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EFC" w:rsidRDefault="00A27A2B">
      <w:pPr>
        <w:spacing w:after="120"/>
        <w:rPr>
          <w:rFonts w:ascii="Arial" w:hAnsi="Arial"/>
          <w:spacing w:val="24"/>
        </w:rPr>
      </w:pPr>
      <w:r>
        <w:rPr>
          <w:noProof/>
        </w:rPr>
        <w:drawing>
          <wp:inline distT="0" distB="0" distL="0" distR="0">
            <wp:extent cx="3724275" cy="904875"/>
            <wp:effectExtent l="19050" t="0" r="9525" b="0"/>
            <wp:docPr id="1" name="Picture 0" descr="Australian Goverment, Department of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aster%20Brandmark%20Inline%20-%20JPEG.jpg"/>
                    <pic:cNvPicPr>
                      <a:picLocks noChangeAspect="1" noChangeArrowheads="1"/>
                    </pic:cNvPicPr>
                  </pic:nvPicPr>
                  <pic:blipFill>
                    <a:blip r:embed="rId11" cstate="print"/>
                    <a:srcRect/>
                    <a:stretch>
                      <a:fillRect/>
                    </a:stretch>
                  </pic:blipFill>
                  <pic:spPr bwMode="auto">
                    <a:xfrm>
                      <a:off x="0" y="0"/>
                      <a:ext cx="3724275" cy="904875"/>
                    </a:xfrm>
                    <a:prstGeom prst="rect">
                      <a:avLst/>
                    </a:prstGeom>
                    <a:noFill/>
                    <a:ln w="9525">
                      <a:noFill/>
                      <a:miter lim="800000"/>
                      <a:headEnd/>
                      <a:tailEnd/>
                    </a:ln>
                  </pic:spPr>
                </pic:pic>
              </a:graphicData>
            </a:graphic>
          </wp:inline>
        </w:drawing>
      </w:r>
    </w:p>
    <w:p w:rsidR="00D25EFC" w:rsidRDefault="00A27A2B">
      <w:pPr>
        <w:pStyle w:val="Heading1"/>
      </w:pPr>
      <w:bookmarkStart w:id="0" w:name="_Toc408388673"/>
      <w:r>
        <w:t>Australian Aquatic Veterinary Emergency Plan</w:t>
      </w:r>
      <w:bookmarkEnd w:id="0"/>
    </w:p>
    <w:p w:rsidR="00D25EFC" w:rsidRDefault="00A27A2B">
      <w:pPr>
        <w:pStyle w:val="Heading2"/>
      </w:pPr>
      <w:bookmarkStart w:id="1" w:name="_Toc408388674"/>
      <w:r>
        <w:t>AQUAVETPLAN</w:t>
      </w:r>
      <w:bookmarkEnd w:id="1"/>
    </w:p>
    <w:p w:rsidR="00D25EFC" w:rsidRDefault="00A27A2B">
      <w:pPr>
        <w:pStyle w:val="Heading2"/>
      </w:pPr>
      <w:bookmarkStart w:id="2" w:name="_Toc408388675"/>
      <w:r>
        <w:t>Disease Strategy</w:t>
      </w:r>
      <w:bookmarkEnd w:id="2"/>
    </w:p>
    <w:p w:rsidR="00D25EFC" w:rsidRDefault="00A27A2B">
      <w:pPr>
        <w:jc w:val="center"/>
      </w:pPr>
      <w:r>
        <w:rPr>
          <w:noProof/>
        </w:rPr>
        <w:drawing>
          <wp:inline distT="0" distB="0" distL="0" distR="0">
            <wp:extent cx="3812133" cy="3869112"/>
            <wp:effectExtent l="19050" t="0" r="0" b="0"/>
            <wp:docPr id="8" name="Picture 1" descr="\\act001cl04fs02\ParliamentMedia$\ParliamentMedia\Corporate Communications\Production\Graphic Design\QuotesInvoices\2015\1 January 2015\Aquavetplan\DA1817_0115_AQUAVET biospheres x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001cl04fs02\ParliamentMedia$\ParliamentMedia\Corporate Communications\Production\Graphic Design\QuotesInvoices\2015\1 January 2015\Aquavetplan\DA1817_0115_AQUAVET biospheres x 42.jpg"/>
                    <pic:cNvPicPr>
                      <a:picLocks noChangeAspect="1" noChangeArrowheads="1"/>
                    </pic:cNvPicPr>
                  </pic:nvPicPr>
                  <pic:blipFill>
                    <a:blip r:embed="rId12"/>
                    <a:stretch>
                      <a:fillRect/>
                    </a:stretch>
                  </pic:blipFill>
                  <pic:spPr bwMode="auto">
                    <a:xfrm>
                      <a:off x="0" y="0"/>
                      <a:ext cx="3812133" cy="3869112"/>
                    </a:xfrm>
                    <a:prstGeom prst="rect">
                      <a:avLst/>
                    </a:prstGeom>
                    <a:noFill/>
                    <a:ln w="9525">
                      <a:noFill/>
                      <a:miter lim="800000"/>
                      <a:headEnd/>
                      <a:tailEnd/>
                    </a:ln>
                  </pic:spPr>
                </pic:pic>
              </a:graphicData>
            </a:graphic>
          </wp:inline>
        </w:drawing>
      </w:r>
    </w:p>
    <w:p w:rsidR="00D25EFC" w:rsidRDefault="00A27A2B">
      <w:pPr>
        <w:pStyle w:val="Heading2"/>
      </w:pPr>
      <w:bookmarkStart w:id="3" w:name="_Toc402970317"/>
      <w:bookmarkStart w:id="4" w:name="_Toc408388676"/>
      <w:r>
        <w:t>Viral haemorrhagic septicaemia</w:t>
      </w:r>
      <w:bookmarkEnd w:id="3"/>
      <w:bookmarkEnd w:id="4"/>
    </w:p>
    <w:p w:rsidR="00D25EFC" w:rsidRPr="00A27A2B" w:rsidRDefault="00A27A2B">
      <w:pPr>
        <w:jc w:val="center"/>
        <w:rPr>
          <w:b/>
        </w:rPr>
      </w:pPr>
      <w:bookmarkStart w:id="5" w:name="_Toc408388677"/>
      <w:r w:rsidRPr="00A27A2B">
        <w:rPr>
          <w:b/>
        </w:rPr>
        <w:t>Version 2.0, 2014</w:t>
      </w:r>
      <w:bookmarkEnd w:id="5"/>
    </w:p>
    <w:p w:rsidR="00D25EFC" w:rsidRDefault="00A27A2B">
      <w:r>
        <w:t xml:space="preserve">AQUAVETPLAN is a series of manuals that outline Australia’s </w:t>
      </w:r>
      <w:r>
        <w:t>approach to national disease preparedness and proposes the technical response and control strategies to be activated in a national aquatic animal disease emergency.</w:t>
      </w:r>
    </w:p>
    <w:p w:rsidR="00D25EFC" w:rsidRDefault="00A27A2B">
      <w:pPr>
        <w:rPr>
          <w:rStyle w:val="Strong"/>
        </w:rPr>
      </w:pPr>
      <w:r>
        <w:rPr>
          <w:rStyle w:val="Strong"/>
        </w:rPr>
        <w:t>National Biosecurity Committee</w:t>
      </w:r>
    </w:p>
    <w:p w:rsidR="00D25EFC" w:rsidRDefault="00A27A2B">
      <w:pPr>
        <w:ind w:left="-709" w:right="-909"/>
        <w:jc w:val="center"/>
      </w:pPr>
      <w:r>
        <w:br w:type="page"/>
      </w:r>
      <w:r>
        <w:rPr>
          <w:b/>
        </w:rPr>
        <w:lastRenderedPageBreak/>
        <w:t>This disease strategy forms part of</w:t>
      </w:r>
      <w:r>
        <w:t>:</w:t>
      </w:r>
    </w:p>
    <w:p w:rsidR="00D25EFC" w:rsidRDefault="00A27A2B">
      <w:pPr>
        <w:jc w:val="center"/>
        <w:rPr>
          <w:rStyle w:val="Strong"/>
        </w:rPr>
      </w:pPr>
      <w:r>
        <w:rPr>
          <w:rStyle w:val="Strong"/>
        </w:rPr>
        <w:t>AQUAVETPLAN</w:t>
      </w:r>
    </w:p>
    <w:p w:rsidR="00D25EFC" w:rsidRDefault="00A27A2B">
      <w:pPr>
        <w:pBdr>
          <w:top w:val="single" w:sz="4" w:space="1" w:color="auto"/>
          <w:left w:val="single" w:sz="4" w:space="4" w:color="auto"/>
          <w:bottom w:val="single" w:sz="4" w:space="1" w:color="auto"/>
          <w:right w:val="single" w:sz="4" w:space="4" w:color="auto"/>
        </w:pBdr>
      </w:pPr>
      <w:r>
        <w:t>This strat</w:t>
      </w:r>
      <w:r>
        <w:t>egy will be reviewed regularly. Suggestions and recommendations for amendments should be forwarded to: AQUAVETPLAN Coordinator, Aquatic Pest and Health Policy, Animal Health Policy, Australian Government Department of Agriculture, GPO Box 858, Canberra ACT</w:t>
      </w:r>
      <w:r>
        <w:t xml:space="preserve"> 2601</w:t>
      </w:r>
    </w:p>
    <w:p w:rsidR="00D25EFC" w:rsidRDefault="00A27A2B">
      <w:pPr>
        <w:pBdr>
          <w:top w:val="single" w:sz="4" w:space="1" w:color="auto"/>
          <w:left w:val="single" w:sz="4" w:space="4" w:color="auto"/>
          <w:bottom w:val="single" w:sz="4" w:space="1" w:color="auto"/>
          <w:right w:val="single" w:sz="4" w:space="4" w:color="auto"/>
        </w:pBdr>
      </w:pPr>
      <w:r>
        <w:t>Tel: (02) 6272 5402; Fax: (02) 6272 3150; email: aah@agriculture.gov.au</w:t>
      </w:r>
    </w:p>
    <w:p w:rsidR="00D25EFC" w:rsidRDefault="00A27A2B">
      <w:pPr>
        <w:pBdr>
          <w:top w:val="single" w:sz="4" w:space="1" w:color="auto"/>
          <w:left w:val="single" w:sz="4" w:space="4" w:color="auto"/>
          <w:bottom w:val="single" w:sz="4" w:space="1" w:color="auto"/>
          <w:right w:val="single" w:sz="4" w:space="4" w:color="auto"/>
        </w:pBdr>
        <w:rPr>
          <w:snapToGrid w:val="0"/>
        </w:rPr>
      </w:pPr>
      <w:r>
        <w:rPr>
          <w:b/>
          <w:snapToGrid w:val="0"/>
        </w:rPr>
        <w:t xml:space="preserve">Approved citation: </w:t>
      </w:r>
      <w:r>
        <w:rPr>
          <w:snapToGrid w:val="0"/>
        </w:rPr>
        <w:t xml:space="preserve">Department of Agriculture (2014). Disease strategy: viral haemorrhagic septicaemia (version 2.0). In: </w:t>
      </w:r>
      <w:r>
        <w:rPr>
          <w:rStyle w:val="Emphasis"/>
        </w:rPr>
        <w:t>Australian Aquatic Veterinary Emergency Plan (AQUAVETPLAN</w:t>
      </w:r>
      <w:r>
        <w:rPr>
          <w:rStyle w:val="Emphasis"/>
        </w:rPr>
        <w:t>)</w:t>
      </w:r>
      <w:r>
        <w:rPr>
          <w:snapToGrid w:val="0"/>
        </w:rPr>
        <w:t>, Australian Government Department of Agriculture, Canberra, ACT.</w:t>
      </w:r>
    </w:p>
    <w:p w:rsidR="00D25EFC" w:rsidRDefault="00A27A2B">
      <w:pPr>
        <w:pBdr>
          <w:top w:val="single" w:sz="4" w:space="1" w:color="auto"/>
          <w:left w:val="single" w:sz="4" w:space="4" w:color="auto"/>
          <w:bottom w:val="single" w:sz="4" w:space="1" w:color="auto"/>
          <w:right w:val="single" w:sz="4" w:space="4" w:color="auto"/>
        </w:pBdr>
      </w:pPr>
      <w:r>
        <w:t>Publication record:  Version 2.0, 2014</w:t>
      </w:r>
    </w:p>
    <w:p w:rsidR="00D25EFC" w:rsidRDefault="00A27A2B">
      <w:pPr>
        <w:pBdr>
          <w:top w:val="single" w:sz="4" w:space="1" w:color="auto"/>
          <w:left w:val="single" w:sz="4" w:space="4" w:color="auto"/>
          <w:bottom w:val="single" w:sz="4" w:space="1" w:color="auto"/>
          <w:right w:val="single" w:sz="4" w:space="4" w:color="auto"/>
        </w:pBdr>
        <w:rPr>
          <w:rStyle w:val="Hyperlink"/>
          <w:rFonts w:eastAsiaTheme="majorEastAsia"/>
        </w:rPr>
      </w:pPr>
      <w:r>
        <w:rPr>
          <w:b/>
        </w:rPr>
        <w:t xml:space="preserve">AQUAVETPLAN is available on the internet at: </w:t>
      </w:r>
      <w:r>
        <w:t>http://www.agriculture.gov.au/animal-plant-health/aquatic/aquavetplan</w:t>
      </w:r>
    </w:p>
    <w:p w:rsidR="00D25EFC" w:rsidRDefault="00A27A2B">
      <w:r>
        <w:t>ISBN 978-1-76003-001-8</w:t>
      </w:r>
    </w:p>
    <w:p w:rsidR="00D25EFC" w:rsidRDefault="00A27A2B">
      <w:r>
        <w:t xml:space="preserve">© </w:t>
      </w:r>
      <w:r>
        <w:t>Commonwealth of Australia 2014</w:t>
      </w:r>
    </w:p>
    <w:p w:rsidR="00D25EFC" w:rsidRDefault="00A27A2B">
      <w:pPr>
        <w:rPr>
          <w:b/>
        </w:rPr>
      </w:pPr>
      <w:r>
        <w:rPr>
          <w:rStyle w:val="Strong"/>
        </w:rPr>
        <w:t>Ownership of intellectual property rights</w:t>
      </w:r>
      <w:r>
        <w:rPr>
          <w:rStyle w:val="Strong"/>
        </w:rPr>
        <w:br/>
      </w:r>
      <w:r>
        <w:t>Unless otherwise noted, copyright (and any other intellectual property rights, if any) in this publication is owned by the Commonwealth of Australia (referred to as the Commonwealth).</w:t>
      </w:r>
    </w:p>
    <w:p w:rsidR="00D25EFC" w:rsidRDefault="00A27A2B">
      <w:pPr>
        <w:rPr>
          <w:b/>
        </w:rPr>
      </w:pPr>
      <w:r>
        <w:rPr>
          <w:rStyle w:val="Strong"/>
        </w:rPr>
        <w:t>Creative Commons licence</w:t>
      </w:r>
      <w:r>
        <w:rPr>
          <w:rStyle w:val="Strong"/>
        </w:rPr>
        <w:br/>
      </w:r>
      <w:r>
        <w:t xml:space="preserve">All material in this publication is licensed under a Creative Commons Attribution 3.0 Australia Licence, save for content supplied by third parties, logos and the Commonwealth Coat of Arms. </w:t>
      </w:r>
    </w:p>
    <w:p w:rsidR="00D25EFC" w:rsidRDefault="00A27A2B">
      <w:r>
        <w:rPr>
          <w:noProof/>
        </w:rPr>
        <w:drawing>
          <wp:inline distT="0" distB="0" distL="0" distR="0">
            <wp:extent cx="723900" cy="247650"/>
            <wp:effectExtent l="19050" t="0" r="0" b="0"/>
            <wp:docPr id="2" name="Picture 1" descr="\\ACT001CL04FS02\parliamentmedia$\ParliamentMedia\Corporate Communications\Production\Temp\GRG\by [Conver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001CL04FS02\parliamentmedia$\ParliamentMedia\Corporate Communications\Production\Temp\GRG\by [Converted]-01.jpg"/>
                    <pic:cNvPicPr>
                      <a:picLocks noChangeAspect="1" noChangeArrowheads="1"/>
                    </pic:cNvPicPr>
                  </pic:nvPicPr>
                  <pic:blipFill>
                    <a:blip r:embed="rId13"/>
                    <a:srcRect/>
                    <a:stretch>
                      <a:fillRect/>
                    </a:stretch>
                  </pic:blipFill>
                  <pic:spPr bwMode="auto">
                    <a:xfrm>
                      <a:off x="0" y="0"/>
                      <a:ext cx="723900" cy="247650"/>
                    </a:xfrm>
                    <a:prstGeom prst="rect">
                      <a:avLst/>
                    </a:prstGeom>
                    <a:noFill/>
                    <a:ln w="9525">
                      <a:noFill/>
                      <a:miter lim="800000"/>
                      <a:headEnd/>
                      <a:tailEnd/>
                    </a:ln>
                  </pic:spPr>
                </pic:pic>
              </a:graphicData>
            </a:graphic>
          </wp:inline>
        </w:drawing>
      </w:r>
    </w:p>
    <w:p w:rsidR="00D25EFC" w:rsidRDefault="00A27A2B">
      <w:pPr>
        <w:rPr>
          <w:b/>
        </w:rPr>
      </w:pPr>
      <w:r>
        <w:t>Creative Commons Attribution 3.0 Aust</w:t>
      </w:r>
      <w:r>
        <w:t>ralia Licence is a standard form licence agreement that allows you to copy, distribute, transmit and adapt this publication provided you attribute the work. A summary of the licence terms is available from creativecommons.org/licenses/by/3.0/au/deed.en. Th</w:t>
      </w:r>
      <w:r>
        <w:t>e full licence terms are available from creativecommons.org/licenses/by/3.0/au/legalcode.</w:t>
      </w:r>
    </w:p>
    <w:p w:rsidR="00D25EFC" w:rsidRDefault="00A27A2B">
      <w:pPr>
        <w:rPr>
          <w:b/>
        </w:rPr>
      </w:pPr>
      <w:r>
        <w:t>This publication (and any material sourced from it) should be attributed as: Department of Agriculture 2014, AQUAVETPLAN Disease strategy: viral haemorrhagic septicae</w:t>
      </w:r>
      <w:r>
        <w:t>mia. CC BY 3.0</w:t>
      </w:r>
    </w:p>
    <w:p w:rsidR="00D25EFC" w:rsidRDefault="00A27A2B">
      <w:pPr>
        <w:rPr>
          <w:b/>
        </w:rPr>
      </w:pPr>
      <w:r>
        <w:rPr>
          <w:rStyle w:val="Strong"/>
        </w:rPr>
        <w:t>Cataloguing data</w:t>
      </w:r>
      <w:r>
        <w:rPr>
          <w:rStyle w:val="Strong"/>
        </w:rPr>
        <w:br/>
      </w:r>
      <w:r>
        <w:t>Department of Agriculture 2014, AQUAVETPLAN Disease strategy: viral haemorrhagic septicaemia, Department of Agriculture, Canberra.</w:t>
      </w:r>
    </w:p>
    <w:p w:rsidR="00D25EFC" w:rsidRDefault="00A27A2B">
      <w:pPr>
        <w:rPr>
          <w:b/>
        </w:rPr>
      </w:pPr>
      <w:r>
        <w:rPr>
          <w:rStyle w:val="Strong"/>
        </w:rPr>
        <w:t>Internet</w:t>
      </w:r>
      <w:r>
        <w:br/>
        <w:t>AQUAVETPLAN Disease strategy: viral haemorrhagic septicaemia is available at http://</w:t>
      </w:r>
      <w:r>
        <w:t>www.agriculture.gov.au/animal-plant-health/aquatic/aquavetplan</w:t>
      </w:r>
    </w:p>
    <w:p w:rsidR="00D25EFC" w:rsidRDefault="00A27A2B">
      <w:pPr>
        <w:rPr>
          <w:b/>
        </w:rPr>
      </w:pPr>
      <w:r>
        <w:rPr>
          <w:rStyle w:val="Strong"/>
        </w:rPr>
        <w:lastRenderedPageBreak/>
        <w:t>Contact</w:t>
      </w:r>
      <w:r>
        <w:br/>
        <w:t>Department of Agriculture</w:t>
      </w:r>
      <w:r>
        <w:br/>
        <w:t>GPO Box 858Canberra ACT 2601</w:t>
      </w:r>
      <w:r>
        <w:br/>
        <w:t>Australia</w:t>
      </w:r>
      <w:r>
        <w:br/>
        <w:t>Web: http://www.agriculture.gov.au/</w:t>
      </w:r>
    </w:p>
    <w:p w:rsidR="00D25EFC" w:rsidRDefault="00A27A2B">
      <w:pPr>
        <w:rPr>
          <w:b/>
        </w:rPr>
      </w:pPr>
      <w:r>
        <w:t>Inquiries regarding the licence and any use of this document should be sent to copyr</w:t>
      </w:r>
      <w:r>
        <w:t>ight@agriculture.gov.au</w:t>
      </w:r>
    </w:p>
    <w:p w:rsidR="00D25EFC" w:rsidRDefault="00A27A2B">
      <w:r>
        <w:t xml:space="preserve">The Australian Government acting through the Department of Agriculture has exercised due care and skill in the preparation and compilation of the information and data in this publication. Notwithstanding, the Department of </w:t>
      </w:r>
      <w:r>
        <w:t xml:space="preserve">Agriculture, its employees and advisers disclaim all liability, including liability for negligence, for any loss, damage, injury, expense or cost incurred by any person as a result of accessing, using or relying upon any of the information or data in this </w:t>
      </w:r>
      <w:r>
        <w:t>publication to the maximum extent permitted by law.</w:t>
      </w:r>
    </w:p>
    <w:p w:rsidR="00D25EFC" w:rsidRDefault="00A27A2B">
      <w:r>
        <w:t>The information in this publication is for general guidance only and does not override common law, laws of the Commonwealth or any Australian state or territory, or place any legal obligation of complianc</w:t>
      </w:r>
      <w:r>
        <w:t>e or action on the Commonwealth, a state or a territory.</w:t>
      </w:r>
    </w:p>
    <w:p w:rsidR="00D25EFC" w:rsidRDefault="00A27A2B">
      <w:r>
        <w:t>It is the responsibility of the users of this publication to identify and ensure they have complied with all legislative or regulatory requirements of the relevant Australian state or territory and t</w:t>
      </w:r>
      <w:r>
        <w:t>he Commonwealth prior to undertaking any of the response options set out within this publication.</w:t>
      </w:r>
    </w:p>
    <w:p w:rsidR="00D25EFC" w:rsidRDefault="00A27A2B">
      <w:pPr>
        <w:rPr>
          <w:b/>
        </w:rPr>
      </w:pPr>
      <w:r>
        <w:t>Being a guide only, outbreaks or suspected outbreaks must be assessed on a case by case basis and expert advice should be obtained to determine the most</w:t>
      </w:r>
      <w:r>
        <w:rPr>
          <w:rFonts w:cs="Arial"/>
        </w:rPr>
        <w:t xml:space="preserve"> appro</w:t>
      </w:r>
      <w:r>
        <w:rPr>
          <w:rFonts w:cs="Arial"/>
        </w:rPr>
        <w:t>priate management plan in response to the risk.</w:t>
      </w:r>
    </w:p>
    <w:p w:rsidR="00D25EFC" w:rsidRDefault="00A27A2B">
      <w:r>
        <w:t xml:space="preserve">IMPORTANT NOTE: Important regulatory information is contained in the OIE </w:t>
      </w:r>
      <w:r>
        <w:rPr>
          <w:rStyle w:val="Emphasis"/>
        </w:rPr>
        <w:t>Aquatic Animal Health Code</w:t>
      </w:r>
      <w:r>
        <w:t>, which is updated annually and is available at:</w:t>
      </w:r>
    </w:p>
    <w:p w:rsidR="00D25EFC" w:rsidRDefault="00A27A2B">
      <w:r>
        <w:t>http://www.oie.int/en/international-standard-setting/aquatic</w:t>
      </w:r>
      <w:r>
        <w:t>-code/access-online</w:t>
      </w:r>
    </w:p>
    <w:p w:rsidR="00D25EFC" w:rsidRDefault="00A27A2B">
      <w:pPr>
        <w:pBdr>
          <w:top w:val="single" w:sz="4" w:space="1" w:color="auto"/>
          <w:left w:val="single" w:sz="4" w:space="4" w:color="auto"/>
          <w:bottom w:val="single" w:sz="4" w:space="1" w:color="auto"/>
          <w:right w:val="single" w:sz="4" w:space="4" w:color="auto"/>
        </w:pBdr>
        <w:ind w:left="-142"/>
        <w:jc w:val="center"/>
        <w:rPr>
          <w:rFonts w:ascii="Calibri" w:hAnsi="Calibri"/>
          <w:b/>
          <w:sz w:val="36"/>
          <w:szCs w:val="36"/>
        </w:rPr>
      </w:pPr>
      <w:r>
        <w:rPr>
          <w:rFonts w:ascii="Calibri" w:hAnsi="Calibri"/>
          <w:b/>
          <w:sz w:val="36"/>
          <w:szCs w:val="36"/>
        </w:rPr>
        <w:t>DISEASE WATCH HOTLINE</w:t>
      </w:r>
    </w:p>
    <w:p w:rsidR="00D25EFC" w:rsidRDefault="00A27A2B">
      <w:pPr>
        <w:pBdr>
          <w:top w:val="single" w:sz="4" w:space="1" w:color="auto"/>
          <w:left w:val="single" w:sz="4" w:space="4" w:color="auto"/>
          <w:bottom w:val="single" w:sz="4" w:space="1" w:color="auto"/>
          <w:right w:val="single" w:sz="4" w:space="4" w:color="auto"/>
        </w:pBdr>
        <w:ind w:left="-142"/>
        <w:jc w:val="center"/>
        <w:rPr>
          <w:rFonts w:ascii="Calibri" w:hAnsi="Calibri"/>
          <w:b/>
          <w:spacing w:val="-5"/>
          <w:sz w:val="36"/>
          <w:szCs w:val="36"/>
        </w:rPr>
      </w:pPr>
      <w:r>
        <w:rPr>
          <w:rFonts w:ascii="Calibri" w:hAnsi="Calibri"/>
          <w:b/>
          <w:sz w:val="36"/>
          <w:szCs w:val="36"/>
        </w:rPr>
        <w:t>1800 675 888</w:t>
      </w:r>
    </w:p>
    <w:p w:rsidR="00D25EFC" w:rsidRDefault="00A27A2B">
      <w:pPr>
        <w:pBdr>
          <w:top w:val="single" w:sz="4" w:space="1" w:color="auto"/>
          <w:left w:val="single" w:sz="4" w:space="4" w:color="auto"/>
          <w:bottom w:val="single" w:sz="4" w:space="1" w:color="auto"/>
          <w:right w:val="single" w:sz="4" w:space="4" w:color="auto"/>
        </w:pBdr>
        <w:ind w:left="-142"/>
      </w:pPr>
      <w:r>
        <w:t>The Disease Watch Hotline is a toll-free telephone number that connects callers to the relevant state or territory officer to report concerns about any potential emergency animal disease situation. Any</w:t>
      </w:r>
      <w:r>
        <w:t>one suspecting an emergency disease outbreak should use this number to get immediate advice and assistance</w:t>
      </w:r>
      <w:r>
        <w:rPr>
          <w:spacing w:val="-5"/>
        </w:rPr>
        <w:t>.</w:t>
      </w:r>
    </w:p>
    <w:p w:rsidR="00D25EFC" w:rsidRDefault="00A27A2B">
      <w:pPr>
        <w:pStyle w:val="Heading3unnumbered"/>
      </w:pPr>
      <w:r>
        <w:br w:type="page"/>
      </w:r>
      <w:bookmarkStart w:id="6" w:name="_Toc402970318"/>
      <w:bookmarkStart w:id="7" w:name="_Toc408388678"/>
      <w:bookmarkStart w:id="8" w:name="_Toc408836290"/>
      <w:r>
        <w:lastRenderedPageBreak/>
        <w:t>Preface</w:t>
      </w:r>
      <w:bookmarkEnd w:id="6"/>
      <w:bookmarkEnd w:id="7"/>
      <w:bookmarkEnd w:id="8"/>
    </w:p>
    <w:p w:rsidR="00D25EFC" w:rsidRDefault="00A27A2B">
      <w:r>
        <w:t>This disease strategy for the control and eradication of viral haemorrhagic septicaemia (VHS) is an integral part of the Australian Aquatic</w:t>
      </w:r>
      <w:r>
        <w:t xml:space="preserve"> Veterinary Emergency Plan (AQUAVETPLAN).</w:t>
      </w:r>
    </w:p>
    <w:p w:rsidR="00D25EFC" w:rsidRDefault="00A27A2B">
      <w:r>
        <w:t>AQUAVETPLAN disease strategy manuals are response manuals and do not include information about preventing the introduction of disease.</w:t>
      </w:r>
    </w:p>
    <w:p w:rsidR="00D25EFC" w:rsidRDefault="00A27A2B">
      <w:r>
        <w:t xml:space="preserve">The Department of Agriculture provides quarantine inspection for international </w:t>
      </w:r>
      <w:r>
        <w:t>passengers, cargo, mail, animals, plants and animal or plant products arriving in Australia, and inspection and certification for a range of agricultural products exported from Australia. Quarantine controls at Australia’s borders minimise the risk of entr</w:t>
      </w:r>
      <w:r>
        <w:t>y of exotic pests and diseases, thereby protecting Australia’s favourable human, animal and plant health status. Information on current import conditions can be found at the Department of Agriculture ICON website (biosecurity import icon). Specific risk ma</w:t>
      </w:r>
      <w:r>
        <w:t xml:space="preserve">nagement measures for VHS in imported fish are discussed in </w:t>
      </w:r>
      <w:r>
        <w:rPr>
          <w:rStyle w:val="Emphasis"/>
        </w:rPr>
        <w:t xml:space="preserve">Import risk analysis on non-viable salmonids and non-salmonid marine finfish </w:t>
      </w:r>
      <w:r>
        <w:t>(http://www.agriculture.gov.au/ba/ira/final-animal/salmon).</w:t>
      </w:r>
    </w:p>
    <w:p w:rsidR="00D25EFC" w:rsidRDefault="00A27A2B">
      <w:r>
        <w:t>This strategy sets out the disease control principles for u</w:t>
      </w:r>
      <w:r>
        <w:t>se in an aquatic veterinary emergency incident caused by the suspicion or confirmation of VHS in Australia. The strategy was scientifically reviewed by the Sub-Committee on Aquatic Animal Health before being endorsed by the Animal Health Committee of the P</w:t>
      </w:r>
      <w:r>
        <w:t>rimary Industries Standing Committee in July 2013.</w:t>
      </w:r>
    </w:p>
    <w:p w:rsidR="00D25EFC" w:rsidRDefault="00A27A2B">
      <w:r>
        <w:t xml:space="preserve">VHS is listed by the World Organisation for Animal Health (OIE) in the </w:t>
      </w:r>
      <w:r>
        <w:rPr>
          <w:rStyle w:val="Emphasis"/>
        </w:rPr>
        <w:t xml:space="preserve">Aquatic Animal Health Code </w:t>
      </w:r>
      <w:r>
        <w:t xml:space="preserve">(OIE 2013) (http://www.oie.int/en/international-standard-setting/aquatic-code/access-online). </w:t>
      </w:r>
    </w:p>
    <w:p w:rsidR="00D25EFC" w:rsidRDefault="00A27A2B">
      <w:r>
        <w:t>VHS is liste</w:t>
      </w:r>
      <w:r>
        <w:t xml:space="preserve">d on Australia’s </w:t>
      </w:r>
      <w:r>
        <w:rPr>
          <w:rStyle w:val="Emphasis"/>
        </w:rPr>
        <w:t xml:space="preserve">National List of Reportable Diseases of Aquatic Animals </w:t>
      </w:r>
      <w:r>
        <w:t>(http://www.agriculture.gov.au/animal-plant-health/aquatic/reporting).</w:t>
      </w:r>
    </w:p>
    <w:p w:rsidR="00D25EFC" w:rsidRDefault="00A27A2B">
      <w:r>
        <w:t>Detailed instructions for the field implementation of AQUAVETPLAN are contained in the disease strategies, opera</w:t>
      </w:r>
      <w:r>
        <w:t xml:space="preserve">tional procedures manuals and management manuals. Industry-specific information is given in the </w:t>
      </w:r>
      <w:r>
        <w:rPr>
          <w:rFonts w:cs="BookAntiqua-Bold"/>
          <w:bCs/>
        </w:rPr>
        <w:t>enterprise manual</w:t>
      </w:r>
      <w:r>
        <w:t>. Table 1 lists available AQUAVETPLAN manuals.</w:t>
      </w:r>
    </w:p>
    <w:p w:rsidR="00D25EFC" w:rsidRDefault="00A27A2B">
      <w:pPr>
        <w:pStyle w:val="Caption"/>
        <w:ind w:left="0" w:firstLine="0"/>
      </w:pPr>
      <w:r>
        <w:t>AQUAVETPLAN manuals</w:t>
      </w:r>
    </w:p>
    <w:tbl>
      <w:tblPr>
        <w:tblStyle w:val="TableGrid"/>
        <w:tblW w:w="8516" w:type="dxa"/>
        <w:tblLook w:val="04A0"/>
      </w:tblPr>
      <w:tblGrid>
        <w:gridCol w:w="4258"/>
        <w:gridCol w:w="4258"/>
      </w:tblGrid>
      <w:tr w:rsidR="00D25EFC">
        <w:tc>
          <w:tcPr>
            <w:tcW w:w="4258" w:type="dxa"/>
          </w:tcPr>
          <w:p w:rsidR="00D25EFC" w:rsidRDefault="00A27A2B">
            <w:pPr>
              <w:pStyle w:val="Tabletextcolumnheading"/>
              <w:ind w:left="0"/>
            </w:pPr>
            <w:r>
              <w:t>Disease strategy manuals</w:t>
            </w:r>
          </w:p>
        </w:tc>
        <w:tc>
          <w:tcPr>
            <w:tcW w:w="4258" w:type="dxa"/>
          </w:tcPr>
          <w:p w:rsidR="00D25EFC" w:rsidRDefault="00A27A2B">
            <w:pPr>
              <w:pStyle w:val="Tabletextcolumnheading"/>
              <w:ind w:left="0"/>
            </w:pPr>
            <w:r>
              <w:t>Operational procedures manuals</w:t>
            </w:r>
          </w:p>
        </w:tc>
      </w:tr>
      <w:tr w:rsidR="00D25EFC">
        <w:tc>
          <w:tcPr>
            <w:tcW w:w="4258" w:type="dxa"/>
          </w:tcPr>
          <w:p w:rsidR="00D25EFC" w:rsidRDefault="00A27A2B">
            <w:pPr>
              <w:pStyle w:val="tabletext"/>
              <w:ind w:left="0"/>
            </w:pPr>
            <w:r>
              <w:t>Crayfish plague</w:t>
            </w:r>
          </w:p>
        </w:tc>
        <w:tc>
          <w:tcPr>
            <w:tcW w:w="4258" w:type="dxa"/>
          </w:tcPr>
          <w:p w:rsidR="00D25EFC" w:rsidRDefault="00A27A2B">
            <w:pPr>
              <w:pStyle w:val="tabletext"/>
              <w:ind w:left="0"/>
            </w:pPr>
            <w:r>
              <w:t>Dis</w:t>
            </w:r>
            <w:r>
              <w:t>posal</w:t>
            </w:r>
          </w:p>
        </w:tc>
      </w:tr>
      <w:tr w:rsidR="00D25EFC">
        <w:tc>
          <w:tcPr>
            <w:tcW w:w="4258" w:type="dxa"/>
          </w:tcPr>
          <w:p w:rsidR="00D25EFC" w:rsidRDefault="00A27A2B">
            <w:pPr>
              <w:pStyle w:val="tabletext"/>
              <w:ind w:left="0"/>
            </w:pPr>
            <w:r>
              <w:t>Furunculosis</w:t>
            </w:r>
          </w:p>
        </w:tc>
        <w:tc>
          <w:tcPr>
            <w:tcW w:w="4258" w:type="dxa"/>
          </w:tcPr>
          <w:p w:rsidR="00D25EFC" w:rsidRDefault="00A27A2B">
            <w:pPr>
              <w:pStyle w:val="tabletext"/>
              <w:ind w:left="0"/>
            </w:pPr>
            <w:r>
              <w:t>Destruction</w:t>
            </w:r>
          </w:p>
        </w:tc>
      </w:tr>
      <w:tr w:rsidR="00D25EFC">
        <w:tc>
          <w:tcPr>
            <w:tcW w:w="4258" w:type="dxa"/>
          </w:tcPr>
          <w:p w:rsidR="00D25EFC" w:rsidRDefault="00A27A2B">
            <w:pPr>
              <w:pStyle w:val="tabletext"/>
              <w:ind w:left="0"/>
            </w:pPr>
            <w:r>
              <w:t>Infectious salmon anaemia</w:t>
            </w:r>
          </w:p>
        </w:tc>
        <w:tc>
          <w:tcPr>
            <w:tcW w:w="4258" w:type="dxa"/>
          </w:tcPr>
          <w:p w:rsidR="00D25EFC" w:rsidRDefault="00A27A2B">
            <w:pPr>
              <w:pStyle w:val="tabletext"/>
              <w:ind w:left="0"/>
            </w:pPr>
            <w:r>
              <w:t>Decontamination</w:t>
            </w:r>
          </w:p>
        </w:tc>
      </w:tr>
      <w:tr w:rsidR="00D25EFC">
        <w:tc>
          <w:tcPr>
            <w:tcW w:w="4258" w:type="dxa"/>
          </w:tcPr>
          <w:p w:rsidR="00D25EFC" w:rsidRDefault="00A27A2B">
            <w:pPr>
              <w:pStyle w:val="tabletext"/>
              <w:ind w:left="0"/>
            </w:pPr>
            <w:r>
              <w:t>Piscirickettsiosis</w:t>
            </w:r>
          </w:p>
        </w:tc>
        <w:tc>
          <w:tcPr>
            <w:tcW w:w="4258" w:type="dxa"/>
          </w:tcPr>
          <w:p w:rsidR="00D25EFC" w:rsidRDefault="00D25EFC">
            <w:pPr>
              <w:pStyle w:val="tabletext"/>
              <w:ind w:left="0"/>
            </w:pPr>
          </w:p>
        </w:tc>
      </w:tr>
      <w:tr w:rsidR="00D25EFC">
        <w:tc>
          <w:tcPr>
            <w:tcW w:w="4258" w:type="dxa"/>
          </w:tcPr>
          <w:p w:rsidR="00D25EFC" w:rsidRDefault="00A27A2B">
            <w:pPr>
              <w:pStyle w:val="tabletext"/>
              <w:ind w:left="0"/>
            </w:pPr>
            <w:r>
              <w:t xml:space="preserve">Viral encephalopathy and retinopathy </w:t>
            </w:r>
          </w:p>
        </w:tc>
        <w:tc>
          <w:tcPr>
            <w:tcW w:w="4258" w:type="dxa"/>
          </w:tcPr>
          <w:p w:rsidR="00D25EFC" w:rsidRDefault="00A27A2B">
            <w:pPr>
              <w:pStyle w:val="tabletext"/>
              <w:ind w:left="0"/>
            </w:pPr>
            <w:r>
              <w:t>Enterprise manual</w:t>
            </w:r>
          </w:p>
        </w:tc>
      </w:tr>
      <w:tr w:rsidR="00D25EFC">
        <w:tc>
          <w:tcPr>
            <w:tcW w:w="4258" w:type="dxa"/>
          </w:tcPr>
          <w:p w:rsidR="00D25EFC" w:rsidRDefault="00A27A2B">
            <w:pPr>
              <w:pStyle w:val="tabletext"/>
              <w:ind w:left="0"/>
            </w:pPr>
            <w:r>
              <w:t xml:space="preserve">Viral haemorrhagic septicaemia </w:t>
            </w:r>
          </w:p>
        </w:tc>
        <w:tc>
          <w:tcPr>
            <w:tcW w:w="4258" w:type="dxa"/>
          </w:tcPr>
          <w:p w:rsidR="00D25EFC" w:rsidRDefault="00A27A2B">
            <w:pPr>
              <w:pStyle w:val="tabletext"/>
              <w:ind w:left="0"/>
            </w:pPr>
            <w:r>
              <w:t>Includes sections on:</w:t>
            </w:r>
          </w:p>
        </w:tc>
      </w:tr>
      <w:tr w:rsidR="00D25EFC">
        <w:tc>
          <w:tcPr>
            <w:tcW w:w="4258" w:type="dxa"/>
          </w:tcPr>
          <w:p w:rsidR="00D25EFC" w:rsidRDefault="00A27A2B">
            <w:pPr>
              <w:pStyle w:val="tabletext"/>
              <w:ind w:left="0"/>
            </w:pPr>
            <w:r>
              <w:t xml:space="preserve">Whirling disease </w:t>
            </w:r>
          </w:p>
        </w:tc>
        <w:tc>
          <w:tcPr>
            <w:tcW w:w="4258" w:type="dxa"/>
          </w:tcPr>
          <w:p w:rsidR="00D25EFC" w:rsidRDefault="00A27A2B">
            <w:pPr>
              <w:pStyle w:val="tabletext"/>
              <w:ind w:left="0"/>
            </w:pPr>
            <w:r>
              <w:t>– open systems</w:t>
            </w:r>
          </w:p>
        </w:tc>
      </w:tr>
      <w:tr w:rsidR="00D25EFC">
        <w:tc>
          <w:tcPr>
            <w:tcW w:w="4258" w:type="dxa"/>
          </w:tcPr>
          <w:p w:rsidR="00D25EFC" w:rsidRDefault="00A27A2B">
            <w:pPr>
              <w:pStyle w:val="tabletext"/>
              <w:ind w:left="0"/>
            </w:pPr>
            <w:r>
              <w:t xml:space="preserve">White spot disease </w:t>
            </w:r>
          </w:p>
        </w:tc>
        <w:tc>
          <w:tcPr>
            <w:tcW w:w="4258" w:type="dxa"/>
          </w:tcPr>
          <w:p w:rsidR="00D25EFC" w:rsidRDefault="00A27A2B">
            <w:pPr>
              <w:pStyle w:val="tabletext"/>
              <w:ind w:left="0"/>
            </w:pPr>
            <w:r>
              <w:t>– semi-open systems</w:t>
            </w:r>
          </w:p>
        </w:tc>
      </w:tr>
      <w:tr w:rsidR="00D25EFC">
        <w:trPr>
          <w:trHeight w:val="526"/>
        </w:trPr>
        <w:tc>
          <w:tcPr>
            <w:tcW w:w="4258" w:type="dxa"/>
          </w:tcPr>
          <w:p w:rsidR="00D25EFC" w:rsidRDefault="00A27A2B">
            <w:pPr>
              <w:pStyle w:val="tabletext"/>
              <w:ind w:left="0"/>
            </w:pPr>
            <w:r>
              <w:t>Withering syndrome of abalone</w:t>
            </w:r>
          </w:p>
        </w:tc>
        <w:tc>
          <w:tcPr>
            <w:tcW w:w="4258" w:type="dxa"/>
          </w:tcPr>
          <w:p w:rsidR="00D25EFC" w:rsidRDefault="00A27A2B">
            <w:pPr>
              <w:pStyle w:val="tabletext"/>
              <w:ind w:left="0"/>
            </w:pPr>
            <w:r>
              <w:t>– semi-closed systems</w:t>
            </w:r>
          </w:p>
          <w:p w:rsidR="00D25EFC" w:rsidRDefault="00A27A2B">
            <w:pPr>
              <w:pStyle w:val="tabletext"/>
              <w:ind w:left="0"/>
            </w:pPr>
            <w:r>
              <w:t>– closed systems</w:t>
            </w:r>
          </w:p>
        </w:tc>
      </w:tr>
      <w:tr w:rsidR="00D25EFC">
        <w:tc>
          <w:tcPr>
            <w:tcW w:w="4258" w:type="dxa"/>
          </w:tcPr>
          <w:p w:rsidR="00D25EFC" w:rsidRDefault="00A27A2B">
            <w:pPr>
              <w:pStyle w:val="tabletext"/>
              <w:ind w:left="0"/>
            </w:pPr>
            <w:r>
              <w:t>Management manual</w:t>
            </w:r>
          </w:p>
        </w:tc>
        <w:tc>
          <w:tcPr>
            <w:tcW w:w="4258" w:type="dxa"/>
          </w:tcPr>
          <w:p w:rsidR="00D25EFC" w:rsidRDefault="00D25EFC">
            <w:pPr>
              <w:pStyle w:val="tabletext"/>
              <w:ind w:left="0"/>
            </w:pPr>
          </w:p>
        </w:tc>
      </w:tr>
      <w:tr w:rsidR="00D25EFC">
        <w:tc>
          <w:tcPr>
            <w:tcW w:w="4258" w:type="dxa"/>
          </w:tcPr>
          <w:p w:rsidR="00D25EFC" w:rsidRDefault="00A27A2B">
            <w:pPr>
              <w:pStyle w:val="tabletext"/>
              <w:ind w:left="0"/>
            </w:pPr>
            <w:r>
              <w:t xml:space="preserve">Control centres management </w:t>
            </w:r>
          </w:p>
        </w:tc>
        <w:tc>
          <w:tcPr>
            <w:tcW w:w="4258" w:type="dxa"/>
          </w:tcPr>
          <w:p w:rsidR="00D25EFC" w:rsidRDefault="00D25EFC">
            <w:pPr>
              <w:pStyle w:val="tabletext"/>
              <w:ind w:left="0"/>
            </w:pPr>
          </w:p>
        </w:tc>
      </w:tr>
    </w:tbl>
    <w:p w:rsidR="00D25EFC" w:rsidRDefault="00A27A2B">
      <w:r>
        <w:lastRenderedPageBreak/>
        <w:t xml:space="preserve">The second edition of the VHS disease strategy manual was prepared by Dr Ben Diggles and Dr </w:t>
      </w:r>
      <w:r>
        <w:t xml:space="preserve">Matt Landos and revises the earlier version (version 1.0) developed by Dr Paul Hardy-Smith, with the assistance of Professor Ron Hedrick, Professor Barry Hill, Dr Craig Stephens and Dr Mark Crane, which was published in June 2005. The current authors were </w:t>
      </w:r>
      <w:r>
        <w:t>responsible for reviewing the first edition of the strategy, in consultation with stakeholders from aquaculture, recreational fishing and government sectors throughout areas of Australia in which there are aquatic species susceptible to VHS. The text was a</w:t>
      </w:r>
      <w:r>
        <w:t xml:space="preserve">mended at various stages of the consultation and endorsement process, and the policies expressed in this version do not necessarily reflect the views of the members of the writing group. Contributions made by others not mentioned above are also gratefully </w:t>
      </w:r>
      <w:r>
        <w:t>acknowledged.</w:t>
      </w:r>
    </w:p>
    <w:p w:rsidR="00D25EFC" w:rsidRDefault="00A27A2B">
      <w:r>
        <w:t>The format of this manual was adapted from similar manuals from AUSVETPLAN. The format and content have been kept as similar as possible to these documents, to enable animal health professionals trained in AUSVETPLAN procedures to work effici</w:t>
      </w:r>
      <w:r>
        <w:t>ently with this document in the event of an aquatic veterinary emergency. The work of the AUSVETPLAN writing teams and permission to use the original AUSVETPLAN documents are gratefully acknowledged.</w:t>
      </w:r>
    </w:p>
    <w:p w:rsidR="00D25EFC" w:rsidRDefault="00A27A2B">
      <w:r>
        <w:t>The revised manual has been reviewed and approved by the</w:t>
      </w:r>
      <w:r>
        <w:t xml:space="preserve"> following representatives of government and industry:</w:t>
      </w:r>
    </w:p>
    <w:p w:rsidR="00D25EFC" w:rsidRDefault="00A27A2B">
      <w:pPr>
        <w:spacing w:after="0"/>
        <w:rPr>
          <w:rStyle w:val="Strong"/>
        </w:rPr>
      </w:pPr>
      <w:r>
        <w:rPr>
          <w:rStyle w:val="Strong"/>
        </w:rPr>
        <w:t>Government</w:t>
      </w:r>
    </w:p>
    <w:p w:rsidR="00D25EFC" w:rsidRDefault="00A27A2B">
      <w:pPr>
        <w:spacing w:after="0"/>
      </w:pPr>
      <w:r>
        <w:t>Department of Primary Industries, New South Wales</w:t>
      </w:r>
    </w:p>
    <w:p w:rsidR="00D25EFC" w:rsidRDefault="00A27A2B">
      <w:pPr>
        <w:spacing w:after="0"/>
      </w:pPr>
      <w:r>
        <w:t>Department of Primary Industry and Fisheries, Northern Territory</w:t>
      </w:r>
    </w:p>
    <w:p w:rsidR="00D25EFC" w:rsidRDefault="00A27A2B">
      <w:pPr>
        <w:spacing w:after="0"/>
      </w:pPr>
      <w:r>
        <w:t>Department of Agriculture, Fisheries and Forestry, Queensland</w:t>
      </w:r>
    </w:p>
    <w:p w:rsidR="00D25EFC" w:rsidRDefault="00A27A2B">
      <w:pPr>
        <w:spacing w:after="0"/>
      </w:pPr>
      <w:r>
        <w:t>Department of</w:t>
      </w:r>
      <w:r>
        <w:t xml:space="preserve"> Primary Industries, Parks, Water and Environment, Tasmania</w:t>
      </w:r>
    </w:p>
    <w:p w:rsidR="00D25EFC" w:rsidRDefault="00A27A2B">
      <w:pPr>
        <w:spacing w:after="0"/>
      </w:pPr>
      <w:r>
        <w:t>Department of Fisheries, Western Australia</w:t>
      </w:r>
    </w:p>
    <w:p w:rsidR="00D25EFC" w:rsidRDefault="00A27A2B">
      <w:pPr>
        <w:spacing w:after="0"/>
      </w:pPr>
      <w:r>
        <w:t>Department of Environment and Primary Industries, Victoria</w:t>
      </w:r>
    </w:p>
    <w:p w:rsidR="00D25EFC" w:rsidRDefault="00A27A2B">
      <w:pPr>
        <w:spacing w:after="0"/>
      </w:pPr>
      <w:r>
        <w:t>Department of Primary Industries and Regions, South Australia</w:t>
      </w:r>
    </w:p>
    <w:p w:rsidR="00D25EFC" w:rsidRDefault="00A27A2B">
      <w:r>
        <w:t xml:space="preserve">Biosecurity, Australian </w:t>
      </w:r>
      <w:r>
        <w:t>Government Department of Agriculture</w:t>
      </w:r>
    </w:p>
    <w:p w:rsidR="00D25EFC" w:rsidRDefault="00A27A2B">
      <w:pPr>
        <w:spacing w:after="0"/>
        <w:rPr>
          <w:rStyle w:val="Strong"/>
        </w:rPr>
      </w:pPr>
      <w:r>
        <w:rPr>
          <w:rStyle w:val="Strong"/>
        </w:rPr>
        <w:t>Industry</w:t>
      </w:r>
    </w:p>
    <w:p w:rsidR="00D25EFC" w:rsidRDefault="00A27A2B">
      <w:pPr>
        <w:spacing w:after="0"/>
      </w:pPr>
      <w:r>
        <w:t>Recfishing Research</w:t>
      </w:r>
    </w:p>
    <w:p w:rsidR="00D25EFC" w:rsidRDefault="00A27A2B">
      <w:pPr>
        <w:spacing w:after="0"/>
      </w:pPr>
      <w:r>
        <w:t>Recfish Australia</w:t>
      </w:r>
    </w:p>
    <w:p w:rsidR="00D25EFC" w:rsidRDefault="00A27A2B">
      <w:r>
        <w:t>Chair, National Aquatic Animal Health Industry Reference Group</w:t>
      </w:r>
    </w:p>
    <w:p w:rsidR="00D25EFC" w:rsidRDefault="00A27A2B">
      <w:r>
        <w:t>The complete series of AQUAVETPLAN documents is available at http://www.agriculture.gov.au/animal-plant-healt</w:t>
      </w:r>
      <w:r>
        <w:t xml:space="preserve">h/aquatic/aquavetplan </w:t>
      </w:r>
    </w:p>
    <w:p w:rsidR="00D25EFC" w:rsidRDefault="00A27A2B">
      <w:pPr>
        <w:pStyle w:val="Heading3unnumbered"/>
      </w:pPr>
      <w:r>
        <w:br w:type="page"/>
      </w:r>
      <w:bookmarkStart w:id="9" w:name="_Toc402970319"/>
      <w:bookmarkStart w:id="10" w:name="_Toc408388679"/>
      <w:bookmarkStart w:id="11" w:name="_Toc408836291"/>
      <w:r>
        <w:lastRenderedPageBreak/>
        <w:t>Contents</w:t>
      </w:r>
      <w:bookmarkEnd w:id="9"/>
      <w:bookmarkEnd w:id="10"/>
      <w:bookmarkEnd w:id="11"/>
    </w:p>
    <w:p w:rsidR="00D25EFC" w:rsidRDefault="00D25EFC">
      <w:pPr>
        <w:pStyle w:val="TOC1"/>
        <w:rPr>
          <w:rFonts w:asciiTheme="minorHAnsi" w:eastAsiaTheme="minorEastAsia" w:hAnsiTheme="minorHAnsi" w:cstheme="minorBidi"/>
          <w:b w:val="0"/>
          <w:szCs w:val="22"/>
        </w:rPr>
      </w:pPr>
      <w:r w:rsidRPr="00D25EFC">
        <w:fldChar w:fldCharType="begin"/>
      </w:r>
      <w:r w:rsidR="00A27A2B">
        <w:instrText xml:space="preserve"> TOC \h \z \t "Heading 3,1,Heading 4,2,Heading 5,3,Heading 3 unnumbered,1,Heading 4 unnumbered,2,Heading 5 unnumbered,3" </w:instrText>
      </w:r>
      <w:r w:rsidRPr="00D25EFC">
        <w:fldChar w:fldCharType="separate"/>
      </w:r>
      <w:hyperlink w:anchor="_Toc408836290" w:history="1">
        <w:r w:rsidR="00A27A2B">
          <w:rPr>
            <w:rStyle w:val="Hyperlink"/>
          </w:rPr>
          <w:t>Preface</w:t>
        </w:r>
        <w:r w:rsidR="00A27A2B">
          <w:rPr>
            <w:webHidden/>
          </w:rPr>
          <w:tab/>
        </w:r>
        <w:r>
          <w:rPr>
            <w:webHidden/>
          </w:rPr>
          <w:fldChar w:fldCharType="begin"/>
        </w:r>
        <w:r w:rsidR="00A27A2B">
          <w:rPr>
            <w:webHidden/>
          </w:rPr>
          <w:instrText xml:space="preserve"> PAGEREF _Toc408836290 \h </w:instrText>
        </w:r>
        <w:r>
          <w:rPr>
            <w:webHidden/>
          </w:rPr>
        </w:r>
        <w:r>
          <w:rPr>
            <w:webHidden/>
          </w:rPr>
          <w:fldChar w:fldCharType="separate"/>
        </w:r>
        <w:r w:rsidR="00A27A2B">
          <w:rPr>
            <w:webHidden/>
          </w:rPr>
          <w:t>iv</w:t>
        </w:r>
        <w:r>
          <w:rPr>
            <w:webHidden/>
          </w:rPr>
          <w:fldChar w:fldCharType="end"/>
        </w:r>
      </w:hyperlink>
    </w:p>
    <w:p w:rsidR="00D25EFC" w:rsidRDefault="00D25EFC">
      <w:pPr>
        <w:pStyle w:val="TOC1"/>
        <w:rPr>
          <w:rFonts w:asciiTheme="minorHAnsi" w:eastAsiaTheme="minorEastAsia" w:hAnsiTheme="minorHAnsi" w:cstheme="minorBidi"/>
          <w:b w:val="0"/>
          <w:szCs w:val="22"/>
        </w:rPr>
      </w:pPr>
      <w:hyperlink w:anchor="_Toc408836291" w:history="1">
        <w:r w:rsidR="00A27A2B">
          <w:rPr>
            <w:rStyle w:val="Hyperlink"/>
          </w:rPr>
          <w:t>Contents</w:t>
        </w:r>
        <w:r w:rsidR="00A27A2B">
          <w:rPr>
            <w:webHidden/>
          </w:rPr>
          <w:tab/>
        </w:r>
        <w:r>
          <w:rPr>
            <w:webHidden/>
          </w:rPr>
          <w:fldChar w:fldCharType="begin"/>
        </w:r>
        <w:r w:rsidR="00A27A2B">
          <w:rPr>
            <w:webHidden/>
          </w:rPr>
          <w:instrText xml:space="preserve"> PAGEREF _Toc408836291 \h </w:instrText>
        </w:r>
        <w:r>
          <w:rPr>
            <w:webHidden/>
          </w:rPr>
        </w:r>
        <w:r>
          <w:rPr>
            <w:webHidden/>
          </w:rPr>
          <w:fldChar w:fldCharType="separate"/>
        </w:r>
        <w:r w:rsidR="00A27A2B">
          <w:rPr>
            <w:webHidden/>
          </w:rPr>
          <w:t>vi</w:t>
        </w:r>
        <w:r>
          <w:rPr>
            <w:webHidden/>
          </w:rPr>
          <w:fldChar w:fldCharType="end"/>
        </w:r>
      </w:hyperlink>
    </w:p>
    <w:p w:rsidR="00D25EFC" w:rsidRDefault="00D25EFC">
      <w:pPr>
        <w:pStyle w:val="TOC1"/>
        <w:rPr>
          <w:rFonts w:asciiTheme="minorHAnsi" w:eastAsiaTheme="minorEastAsia" w:hAnsiTheme="minorHAnsi" w:cstheme="minorBidi"/>
          <w:b w:val="0"/>
          <w:szCs w:val="22"/>
        </w:rPr>
      </w:pPr>
      <w:hyperlink w:anchor="_Toc408836292" w:history="1">
        <w:r w:rsidR="00A27A2B">
          <w:rPr>
            <w:rStyle w:val="Hyperlink"/>
          </w:rPr>
          <w:t>Figures</w:t>
        </w:r>
        <w:r w:rsidR="00A27A2B">
          <w:rPr>
            <w:webHidden/>
          </w:rPr>
          <w:tab/>
        </w:r>
        <w:r>
          <w:rPr>
            <w:webHidden/>
          </w:rPr>
          <w:fldChar w:fldCharType="begin"/>
        </w:r>
        <w:r w:rsidR="00A27A2B">
          <w:rPr>
            <w:webHidden/>
          </w:rPr>
          <w:instrText xml:space="preserve"> PAGEREF _Toc408836292 \h </w:instrText>
        </w:r>
        <w:r>
          <w:rPr>
            <w:webHidden/>
          </w:rPr>
        </w:r>
        <w:r>
          <w:rPr>
            <w:webHidden/>
          </w:rPr>
          <w:fldChar w:fldCharType="separate"/>
        </w:r>
        <w:r w:rsidR="00A27A2B">
          <w:rPr>
            <w:webHidden/>
          </w:rPr>
          <w:t>viii</w:t>
        </w:r>
        <w:r>
          <w:rPr>
            <w:webHidden/>
          </w:rPr>
          <w:fldChar w:fldCharType="end"/>
        </w:r>
      </w:hyperlink>
    </w:p>
    <w:p w:rsidR="00D25EFC" w:rsidRDefault="00D25EFC">
      <w:pPr>
        <w:pStyle w:val="TOC1"/>
        <w:rPr>
          <w:rFonts w:asciiTheme="minorHAnsi" w:eastAsiaTheme="minorEastAsia" w:hAnsiTheme="minorHAnsi" w:cstheme="minorBidi"/>
          <w:b w:val="0"/>
          <w:szCs w:val="22"/>
        </w:rPr>
      </w:pPr>
      <w:hyperlink w:anchor="_Toc408836293" w:history="1">
        <w:r w:rsidR="00A27A2B">
          <w:rPr>
            <w:rStyle w:val="Hyperlink"/>
          </w:rPr>
          <w:t>Tables</w:t>
        </w:r>
        <w:r w:rsidR="00A27A2B">
          <w:rPr>
            <w:webHidden/>
          </w:rPr>
          <w:tab/>
        </w:r>
        <w:r>
          <w:rPr>
            <w:webHidden/>
          </w:rPr>
          <w:fldChar w:fldCharType="begin"/>
        </w:r>
        <w:r w:rsidR="00A27A2B">
          <w:rPr>
            <w:webHidden/>
          </w:rPr>
          <w:instrText xml:space="preserve"> PAGEREF _Toc408836293 \h </w:instrText>
        </w:r>
        <w:r>
          <w:rPr>
            <w:webHidden/>
          </w:rPr>
        </w:r>
        <w:r>
          <w:rPr>
            <w:webHidden/>
          </w:rPr>
          <w:fldChar w:fldCharType="separate"/>
        </w:r>
        <w:r w:rsidR="00A27A2B">
          <w:rPr>
            <w:webHidden/>
          </w:rPr>
          <w:t>viii</w:t>
        </w:r>
        <w:r>
          <w:rPr>
            <w:webHidden/>
          </w:rPr>
          <w:fldChar w:fldCharType="end"/>
        </w:r>
      </w:hyperlink>
    </w:p>
    <w:p w:rsidR="00D25EFC" w:rsidRDefault="00D25EFC">
      <w:pPr>
        <w:pStyle w:val="TOC1"/>
        <w:tabs>
          <w:tab w:val="left" w:pos="426"/>
        </w:tabs>
        <w:rPr>
          <w:rFonts w:asciiTheme="minorHAnsi" w:eastAsiaTheme="minorEastAsia" w:hAnsiTheme="minorHAnsi" w:cstheme="minorBidi"/>
          <w:b w:val="0"/>
          <w:szCs w:val="22"/>
        </w:rPr>
      </w:pPr>
      <w:hyperlink w:anchor="_Toc408836294" w:history="1">
        <w:r w:rsidR="00A27A2B">
          <w:rPr>
            <w:rStyle w:val="Hyperlink"/>
          </w:rPr>
          <w:t>1</w:t>
        </w:r>
        <w:r w:rsidR="00A27A2B">
          <w:rPr>
            <w:rFonts w:asciiTheme="minorHAnsi" w:eastAsiaTheme="minorEastAsia" w:hAnsiTheme="minorHAnsi" w:cstheme="minorBidi"/>
            <w:b w:val="0"/>
            <w:szCs w:val="22"/>
          </w:rPr>
          <w:tab/>
        </w:r>
        <w:r w:rsidR="00A27A2B">
          <w:rPr>
            <w:rStyle w:val="Hyperlink"/>
          </w:rPr>
          <w:t>Nature of the disease</w:t>
        </w:r>
        <w:r w:rsidR="00A27A2B">
          <w:rPr>
            <w:webHidden/>
          </w:rPr>
          <w:tab/>
        </w:r>
        <w:r>
          <w:rPr>
            <w:webHidden/>
          </w:rPr>
          <w:fldChar w:fldCharType="begin"/>
        </w:r>
        <w:r w:rsidR="00A27A2B">
          <w:rPr>
            <w:webHidden/>
          </w:rPr>
          <w:instrText xml:space="preserve"> PAGEREF _Toc408836294 \h </w:instrText>
        </w:r>
        <w:r>
          <w:rPr>
            <w:webHidden/>
          </w:rPr>
        </w:r>
        <w:r>
          <w:rPr>
            <w:webHidden/>
          </w:rPr>
          <w:fldChar w:fldCharType="separate"/>
        </w:r>
        <w:r w:rsidR="00A27A2B">
          <w:rPr>
            <w:webHidden/>
          </w:rPr>
          <w:t>1</w:t>
        </w:r>
        <w:r>
          <w:rPr>
            <w:webHidden/>
          </w:rPr>
          <w:fldChar w:fldCharType="end"/>
        </w:r>
      </w:hyperlink>
    </w:p>
    <w:p w:rsidR="00D25EFC" w:rsidRDefault="00D25EFC">
      <w:pPr>
        <w:pStyle w:val="TOC2"/>
        <w:rPr>
          <w:rFonts w:asciiTheme="minorHAnsi" w:eastAsiaTheme="minorEastAsia" w:hAnsiTheme="minorHAnsi" w:cstheme="minorBidi"/>
          <w:szCs w:val="22"/>
        </w:rPr>
      </w:pPr>
      <w:hyperlink w:anchor="_Toc408836295" w:history="1">
        <w:r w:rsidR="00A27A2B">
          <w:rPr>
            <w:rStyle w:val="Hyperlink"/>
          </w:rPr>
          <w:t>1.1</w:t>
        </w:r>
        <w:r w:rsidR="00A27A2B">
          <w:rPr>
            <w:rFonts w:asciiTheme="minorHAnsi" w:eastAsiaTheme="minorEastAsia" w:hAnsiTheme="minorHAnsi" w:cstheme="minorBidi"/>
            <w:szCs w:val="22"/>
          </w:rPr>
          <w:tab/>
        </w:r>
        <w:r w:rsidR="00A27A2B">
          <w:rPr>
            <w:rStyle w:val="Hyperlink"/>
          </w:rPr>
          <w:t>Aetiology</w:t>
        </w:r>
        <w:r w:rsidR="00A27A2B">
          <w:rPr>
            <w:webHidden/>
          </w:rPr>
          <w:tab/>
        </w:r>
        <w:r>
          <w:rPr>
            <w:webHidden/>
          </w:rPr>
          <w:fldChar w:fldCharType="begin"/>
        </w:r>
        <w:r w:rsidR="00A27A2B">
          <w:rPr>
            <w:webHidden/>
          </w:rPr>
          <w:instrText xml:space="preserve"> PAGEREF _Toc408836295 \h </w:instrText>
        </w:r>
        <w:r>
          <w:rPr>
            <w:webHidden/>
          </w:rPr>
        </w:r>
        <w:r>
          <w:rPr>
            <w:webHidden/>
          </w:rPr>
          <w:fldChar w:fldCharType="separate"/>
        </w:r>
        <w:r w:rsidR="00A27A2B">
          <w:rPr>
            <w:webHidden/>
          </w:rPr>
          <w:t>1</w:t>
        </w:r>
        <w:r>
          <w:rPr>
            <w:webHidden/>
          </w:rPr>
          <w:fldChar w:fldCharType="end"/>
        </w:r>
      </w:hyperlink>
    </w:p>
    <w:p w:rsidR="00D25EFC" w:rsidRDefault="00D25EFC">
      <w:pPr>
        <w:pStyle w:val="TOC2"/>
        <w:rPr>
          <w:rFonts w:asciiTheme="minorHAnsi" w:eastAsiaTheme="minorEastAsia" w:hAnsiTheme="minorHAnsi" w:cstheme="minorBidi"/>
          <w:szCs w:val="22"/>
        </w:rPr>
      </w:pPr>
      <w:hyperlink w:anchor="_Toc408836296" w:history="1">
        <w:r w:rsidR="00A27A2B">
          <w:rPr>
            <w:rStyle w:val="Hyperlink"/>
          </w:rPr>
          <w:t>1.2</w:t>
        </w:r>
        <w:r w:rsidR="00A27A2B">
          <w:rPr>
            <w:rFonts w:asciiTheme="minorHAnsi" w:eastAsiaTheme="minorEastAsia" w:hAnsiTheme="minorHAnsi" w:cstheme="minorBidi"/>
            <w:szCs w:val="22"/>
          </w:rPr>
          <w:tab/>
        </w:r>
        <w:r w:rsidR="00A27A2B">
          <w:rPr>
            <w:rStyle w:val="Hyperlink"/>
          </w:rPr>
          <w:t>Susceptible species</w:t>
        </w:r>
        <w:r w:rsidR="00A27A2B">
          <w:rPr>
            <w:webHidden/>
          </w:rPr>
          <w:tab/>
        </w:r>
        <w:r>
          <w:rPr>
            <w:webHidden/>
          </w:rPr>
          <w:fldChar w:fldCharType="begin"/>
        </w:r>
        <w:r w:rsidR="00A27A2B">
          <w:rPr>
            <w:webHidden/>
          </w:rPr>
          <w:instrText xml:space="preserve"> PAGEREF _Toc408836296 \h </w:instrText>
        </w:r>
        <w:r>
          <w:rPr>
            <w:webHidden/>
          </w:rPr>
        </w:r>
        <w:r>
          <w:rPr>
            <w:webHidden/>
          </w:rPr>
          <w:fldChar w:fldCharType="separate"/>
        </w:r>
        <w:r w:rsidR="00A27A2B">
          <w:rPr>
            <w:webHidden/>
          </w:rPr>
          <w:t>4</w:t>
        </w:r>
        <w:r>
          <w:rPr>
            <w:webHidden/>
          </w:rPr>
          <w:fldChar w:fldCharType="end"/>
        </w:r>
      </w:hyperlink>
    </w:p>
    <w:p w:rsidR="00D25EFC" w:rsidRDefault="00D25EFC">
      <w:pPr>
        <w:pStyle w:val="TOC2"/>
        <w:rPr>
          <w:rFonts w:asciiTheme="minorHAnsi" w:eastAsiaTheme="minorEastAsia" w:hAnsiTheme="minorHAnsi" w:cstheme="minorBidi"/>
          <w:szCs w:val="22"/>
        </w:rPr>
      </w:pPr>
      <w:hyperlink w:anchor="_Toc408836297" w:history="1">
        <w:r w:rsidR="00A27A2B">
          <w:rPr>
            <w:rStyle w:val="Hyperlink"/>
          </w:rPr>
          <w:t>1.3</w:t>
        </w:r>
        <w:r w:rsidR="00A27A2B">
          <w:rPr>
            <w:rFonts w:asciiTheme="minorHAnsi" w:eastAsiaTheme="minorEastAsia" w:hAnsiTheme="minorHAnsi" w:cstheme="minorBidi"/>
            <w:szCs w:val="22"/>
          </w:rPr>
          <w:tab/>
        </w:r>
        <w:r w:rsidR="00A27A2B">
          <w:rPr>
            <w:rStyle w:val="Hyperlink"/>
          </w:rPr>
          <w:t>World distribution and occurrence in Australia</w:t>
        </w:r>
        <w:r w:rsidR="00A27A2B">
          <w:rPr>
            <w:webHidden/>
          </w:rPr>
          <w:tab/>
        </w:r>
        <w:r>
          <w:rPr>
            <w:webHidden/>
          </w:rPr>
          <w:fldChar w:fldCharType="begin"/>
        </w:r>
        <w:r w:rsidR="00A27A2B">
          <w:rPr>
            <w:webHidden/>
          </w:rPr>
          <w:instrText xml:space="preserve"> PAGEREF _Toc408836297 \h </w:instrText>
        </w:r>
        <w:r>
          <w:rPr>
            <w:webHidden/>
          </w:rPr>
        </w:r>
        <w:r>
          <w:rPr>
            <w:webHidden/>
          </w:rPr>
          <w:fldChar w:fldCharType="separate"/>
        </w:r>
        <w:r w:rsidR="00A27A2B">
          <w:rPr>
            <w:webHidden/>
          </w:rPr>
          <w:t>5</w:t>
        </w:r>
        <w:r>
          <w:rPr>
            <w:webHidden/>
          </w:rPr>
          <w:fldChar w:fldCharType="end"/>
        </w:r>
      </w:hyperlink>
    </w:p>
    <w:p w:rsidR="00D25EFC" w:rsidRDefault="00D25EFC">
      <w:pPr>
        <w:pStyle w:val="TOC2"/>
        <w:rPr>
          <w:rFonts w:asciiTheme="minorHAnsi" w:eastAsiaTheme="minorEastAsia" w:hAnsiTheme="minorHAnsi" w:cstheme="minorBidi"/>
          <w:szCs w:val="22"/>
        </w:rPr>
      </w:pPr>
      <w:hyperlink w:anchor="_Toc408836298" w:history="1">
        <w:r w:rsidR="00A27A2B">
          <w:rPr>
            <w:rStyle w:val="Hyperlink"/>
          </w:rPr>
          <w:t>1.4</w:t>
        </w:r>
        <w:r w:rsidR="00A27A2B">
          <w:rPr>
            <w:rFonts w:asciiTheme="minorHAnsi" w:eastAsiaTheme="minorEastAsia" w:hAnsiTheme="minorHAnsi" w:cstheme="minorBidi"/>
            <w:szCs w:val="22"/>
          </w:rPr>
          <w:tab/>
        </w:r>
        <w:r w:rsidR="00A27A2B">
          <w:rPr>
            <w:rStyle w:val="Hyperlink"/>
          </w:rPr>
          <w:t>Diagnostic criteria</w:t>
        </w:r>
        <w:r w:rsidR="00A27A2B">
          <w:rPr>
            <w:webHidden/>
          </w:rPr>
          <w:tab/>
        </w:r>
        <w:r>
          <w:rPr>
            <w:webHidden/>
          </w:rPr>
          <w:fldChar w:fldCharType="begin"/>
        </w:r>
        <w:r w:rsidR="00A27A2B">
          <w:rPr>
            <w:webHidden/>
          </w:rPr>
          <w:instrText xml:space="preserve"> PAGEREF _Toc408836298 \h </w:instrText>
        </w:r>
        <w:r>
          <w:rPr>
            <w:webHidden/>
          </w:rPr>
        </w:r>
        <w:r>
          <w:rPr>
            <w:webHidden/>
          </w:rPr>
          <w:fldChar w:fldCharType="separate"/>
        </w:r>
        <w:r w:rsidR="00A27A2B">
          <w:rPr>
            <w:webHidden/>
          </w:rPr>
          <w:t>5</w:t>
        </w:r>
        <w:r>
          <w:rPr>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299" w:history="1">
        <w:r w:rsidR="00A27A2B">
          <w:rPr>
            <w:rStyle w:val="Hyperlink"/>
            <w:noProof/>
          </w:rPr>
          <w:t>1.4.1</w:t>
        </w:r>
        <w:r w:rsidR="00A27A2B">
          <w:rPr>
            <w:rFonts w:asciiTheme="minorHAnsi" w:eastAsiaTheme="minorEastAsia" w:hAnsiTheme="minorHAnsi" w:cstheme="minorBidi"/>
            <w:noProof/>
            <w:szCs w:val="22"/>
          </w:rPr>
          <w:tab/>
        </w:r>
        <w:r w:rsidR="00A27A2B">
          <w:rPr>
            <w:rStyle w:val="Hyperlink"/>
            <w:noProof/>
          </w:rPr>
          <w:t>Clin</w:t>
        </w:r>
        <w:r w:rsidR="00A27A2B">
          <w:rPr>
            <w:rStyle w:val="Hyperlink"/>
            <w:noProof/>
          </w:rPr>
          <w:t>ical signs</w:t>
        </w:r>
        <w:r w:rsidR="00A27A2B">
          <w:rPr>
            <w:noProof/>
            <w:webHidden/>
          </w:rPr>
          <w:tab/>
        </w:r>
        <w:r>
          <w:rPr>
            <w:noProof/>
            <w:webHidden/>
          </w:rPr>
          <w:fldChar w:fldCharType="begin"/>
        </w:r>
        <w:r w:rsidR="00A27A2B">
          <w:rPr>
            <w:noProof/>
            <w:webHidden/>
          </w:rPr>
          <w:instrText xml:space="preserve"> PAGEREF _Toc408836299 \h </w:instrText>
        </w:r>
        <w:r>
          <w:rPr>
            <w:noProof/>
            <w:webHidden/>
          </w:rPr>
        </w:r>
        <w:r>
          <w:rPr>
            <w:noProof/>
            <w:webHidden/>
          </w:rPr>
          <w:fldChar w:fldCharType="separate"/>
        </w:r>
        <w:r w:rsidR="00A27A2B">
          <w:rPr>
            <w:noProof/>
            <w:webHidden/>
          </w:rPr>
          <w:t>5</w:t>
        </w:r>
        <w:r>
          <w:rPr>
            <w:noProof/>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00" w:history="1">
        <w:r w:rsidR="00A27A2B">
          <w:rPr>
            <w:rStyle w:val="Hyperlink"/>
            <w:noProof/>
          </w:rPr>
          <w:t>1.4.2</w:t>
        </w:r>
        <w:r w:rsidR="00A27A2B">
          <w:rPr>
            <w:rFonts w:asciiTheme="minorHAnsi" w:eastAsiaTheme="minorEastAsia" w:hAnsiTheme="minorHAnsi" w:cstheme="minorBidi"/>
            <w:noProof/>
            <w:szCs w:val="22"/>
          </w:rPr>
          <w:tab/>
        </w:r>
        <w:r w:rsidR="00A27A2B">
          <w:rPr>
            <w:rStyle w:val="Hyperlink"/>
            <w:noProof/>
          </w:rPr>
          <w:t>Pathology, histopathology and haematology</w:t>
        </w:r>
        <w:r w:rsidR="00A27A2B">
          <w:rPr>
            <w:noProof/>
            <w:webHidden/>
          </w:rPr>
          <w:tab/>
        </w:r>
        <w:r>
          <w:rPr>
            <w:noProof/>
            <w:webHidden/>
          </w:rPr>
          <w:fldChar w:fldCharType="begin"/>
        </w:r>
        <w:r w:rsidR="00A27A2B">
          <w:rPr>
            <w:noProof/>
            <w:webHidden/>
          </w:rPr>
          <w:instrText xml:space="preserve"> PAGEREF _Toc408836300 \h </w:instrText>
        </w:r>
        <w:r>
          <w:rPr>
            <w:noProof/>
            <w:webHidden/>
          </w:rPr>
        </w:r>
        <w:r>
          <w:rPr>
            <w:noProof/>
            <w:webHidden/>
          </w:rPr>
          <w:fldChar w:fldCharType="separate"/>
        </w:r>
        <w:r w:rsidR="00A27A2B">
          <w:rPr>
            <w:noProof/>
            <w:webHidden/>
          </w:rPr>
          <w:t>7</w:t>
        </w:r>
        <w:r>
          <w:rPr>
            <w:noProof/>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01" w:history="1">
        <w:r w:rsidR="00A27A2B">
          <w:rPr>
            <w:rStyle w:val="Hyperlink"/>
            <w:noProof/>
          </w:rPr>
          <w:t>1.4.3</w:t>
        </w:r>
        <w:r w:rsidR="00A27A2B">
          <w:rPr>
            <w:rFonts w:asciiTheme="minorHAnsi" w:eastAsiaTheme="minorEastAsia" w:hAnsiTheme="minorHAnsi" w:cstheme="minorBidi"/>
            <w:noProof/>
            <w:szCs w:val="22"/>
          </w:rPr>
          <w:tab/>
        </w:r>
        <w:r w:rsidR="00A27A2B">
          <w:rPr>
            <w:rStyle w:val="Hyperlink"/>
            <w:noProof/>
          </w:rPr>
          <w:t>Laboratory tests</w:t>
        </w:r>
        <w:r w:rsidR="00A27A2B">
          <w:rPr>
            <w:noProof/>
            <w:webHidden/>
          </w:rPr>
          <w:tab/>
        </w:r>
        <w:r>
          <w:rPr>
            <w:noProof/>
            <w:webHidden/>
          </w:rPr>
          <w:fldChar w:fldCharType="begin"/>
        </w:r>
        <w:r w:rsidR="00A27A2B">
          <w:rPr>
            <w:noProof/>
            <w:webHidden/>
          </w:rPr>
          <w:instrText xml:space="preserve"> PAGEREF _Toc408836301 \h </w:instrText>
        </w:r>
        <w:r>
          <w:rPr>
            <w:noProof/>
            <w:webHidden/>
          </w:rPr>
        </w:r>
        <w:r>
          <w:rPr>
            <w:noProof/>
            <w:webHidden/>
          </w:rPr>
          <w:fldChar w:fldCharType="separate"/>
        </w:r>
        <w:r w:rsidR="00A27A2B">
          <w:rPr>
            <w:noProof/>
            <w:webHidden/>
          </w:rPr>
          <w:t>8</w:t>
        </w:r>
        <w:r>
          <w:rPr>
            <w:noProof/>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02" w:history="1">
        <w:r w:rsidR="00A27A2B">
          <w:rPr>
            <w:rStyle w:val="Hyperlink"/>
            <w:noProof/>
          </w:rPr>
          <w:t>1.4.4</w:t>
        </w:r>
        <w:r w:rsidR="00A27A2B">
          <w:rPr>
            <w:rFonts w:asciiTheme="minorHAnsi" w:eastAsiaTheme="minorEastAsia" w:hAnsiTheme="minorHAnsi" w:cstheme="minorBidi"/>
            <w:noProof/>
            <w:szCs w:val="22"/>
          </w:rPr>
          <w:tab/>
        </w:r>
        <w:r w:rsidR="00A27A2B">
          <w:rPr>
            <w:rStyle w:val="Hyperlink"/>
            <w:noProof/>
          </w:rPr>
          <w:t>Differential diagnosis</w:t>
        </w:r>
        <w:r w:rsidR="00A27A2B">
          <w:rPr>
            <w:noProof/>
            <w:webHidden/>
          </w:rPr>
          <w:tab/>
        </w:r>
        <w:r>
          <w:rPr>
            <w:noProof/>
            <w:webHidden/>
          </w:rPr>
          <w:fldChar w:fldCharType="begin"/>
        </w:r>
        <w:r w:rsidR="00A27A2B">
          <w:rPr>
            <w:noProof/>
            <w:webHidden/>
          </w:rPr>
          <w:instrText xml:space="preserve"> PAGEREF _Toc408836302 \h </w:instrText>
        </w:r>
        <w:r>
          <w:rPr>
            <w:noProof/>
            <w:webHidden/>
          </w:rPr>
        </w:r>
        <w:r>
          <w:rPr>
            <w:noProof/>
            <w:webHidden/>
          </w:rPr>
          <w:fldChar w:fldCharType="separate"/>
        </w:r>
        <w:r w:rsidR="00A27A2B">
          <w:rPr>
            <w:noProof/>
            <w:webHidden/>
          </w:rPr>
          <w:t>9</w:t>
        </w:r>
        <w:r>
          <w:rPr>
            <w:noProof/>
            <w:webHidden/>
          </w:rPr>
          <w:fldChar w:fldCharType="end"/>
        </w:r>
      </w:hyperlink>
    </w:p>
    <w:p w:rsidR="00D25EFC" w:rsidRDefault="00D25EFC">
      <w:pPr>
        <w:pStyle w:val="TOC2"/>
        <w:rPr>
          <w:rFonts w:asciiTheme="minorHAnsi" w:eastAsiaTheme="minorEastAsia" w:hAnsiTheme="minorHAnsi" w:cstheme="minorBidi"/>
          <w:szCs w:val="22"/>
        </w:rPr>
      </w:pPr>
      <w:hyperlink w:anchor="_Toc408836303" w:history="1">
        <w:r w:rsidR="00A27A2B">
          <w:rPr>
            <w:rStyle w:val="Hyperlink"/>
          </w:rPr>
          <w:t>1.5</w:t>
        </w:r>
        <w:r w:rsidR="00A27A2B">
          <w:rPr>
            <w:rFonts w:asciiTheme="minorHAnsi" w:eastAsiaTheme="minorEastAsia" w:hAnsiTheme="minorHAnsi" w:cstheme="minorBidi"/>
            <w:szCs w:val="22"/>
          </w:rPr>
          <w:tab/>
        </w:r>
        <w:r w:rsidR="00A27A2B">
          <w:rPr>
            <w:rStyle w:val="Hyperlink"/>
          </w:rPr>
          <w:t>Resistance and immunity</w:t>
        </w:r>
        <w:r w:rsidR="00A27A2B">
          <w:rPr>
            <w:webHidden/>
          </w:rPr>
          <w:tab/>
        </w:r>
        <w:r>
          <w:rPr>
            <w:webHidden/>
          </w:rPr>
          <w:fldChar w:fldCharType="begin"/>
        </w:r>
        <w:r w:rsidR="00A27A2B">
          <w:rPr>
            <w:webHidden/>
          </w:rPr>
          <w:instrText xml:space="preserve"> PAGEREF _Toc408836303 \h </w:instrText>
        </w:r>
        <w:r>
          <w:rPr>
            <w:webHidden/>
          </w:rPr>
        </w:r>
        <w:r>
          <w:rPr>
            <w:webHidden/>
          </w:rPr>
          <w:fldChar w:fldCharType="separate"/>
        </w:r>
        <w:r w:rsidR="00A27A2B">
          <w:rPr>
            <w:webHidden/>
          </w:rPr>
          <w:t>9</w:t>
        </w:r>
        <w:r>
          <w:rPr>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04" w:history="1">
        <w:r w:rsidR="00A27A2B">
          <w:rPr>
            <w:rStyle w:val="Hyperlink"/>
            <w:noProof/>
          </w:rPr>
          <w:t>1.5.1</w:t>
        </w:r>
        <w:r w:rsidR="00A27A2B">
          <w:rPr>
            <w:rFonts w:asciiTheme="minorHAnsi" w:eastAsiaTheme="minorEastAsia" w:hAnsiTheme="minorHAnsi" w:cstheme="minorBidi"/>
            <w:noProof/>
            <w:szCs w:val="22"/>
          </w:rPr>
          <w:tab/>
        </w:r>
        <w:r w:rsidR="00A27A2B">
          <w:rPr>
            <w:rStyle w:val="Hyperlink"/>
            <w:noProof/>
          </w:rPr>
          <w:t>Innate (nonspecific) immunity</w:t>
        </w:r>
        <w:r w:rsidR="00A27A2B">
          <w:rPr>
            <w:noProof/>
            <w:webHidden/>
          </w:rPr>
          <w:tab/>
        </w:r>
        <w:r>
          <w:rPr>
            <w:noProof/>
            <w:webHidden/>
          </w:rPr>
          <w:fldChar w:fldCharType="begin"/>
        </w:r>
        <w:r w:rsidR="00A27A2B">
          <w:rPr>
            <w:noProof/>
            <w:webHidden/>
          </w:rPr>
          <w:instrText xml:space="preserve"> PAGEREF _Toc408836304 \h </w:instrText>
        </w:r>
        <w:r>
          <w:rPr>
            <w:noProof/>
            <w:webHidden/>
          </w:rPr>
        </w:r>
        <w:r>
          <w:rPr>
            <w:noProof/>
            <w:webHidden/>
          </w:rPr>
          <w:fldChar w:fldCharType="separate"/>
        </w:r>
        <w:r w:rsidR="00A27A2B">
          <w:rPr>
            <w:noProof/>
            <w:webHidden/>
          </w:rPr>
          <w:t>10</w:t>
        </w:r>
        <w:r>
          <w:rPr>
            <w:noProof/>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05" w:history="1">
        <w:r w:rsidR="00A27A2B">
          <w:rPr>
            <w:rStyle w:val="Hyperlink"/>
            <w:noProof/>
          </w:rPr>
          <w:t>1.5.2</w:t>
        </w:r>
        <w:r w:rsidR="00A27A2B">
          <w:rPr>
            <w:rFonts w:asciiTheme="minorHAnsi" w:eastAsiaTheme="minorEastAsia" w:hAnsiTheme="minorHAnsi" w:cstheme="minorBidi"/>
            <w:noProof/>
            <w:szCs w:val="22"/>
          </w:rPr>
          <w:tab/>
        </w:r>
        <w:r w:rsidR="00A27A2B">
          <w:rPr>
            <w:rStyle w:val="Hyperlink"/>
            <w:noProof/>
          </w:rPr>
          <w:t>Adaptive (specific) immunity</w:t>
        </w:r>
        <w:r w:rsidR="00A27A2B">
          <w:rPr>
            <w:noProof/>
            <w:webHidden/>
          </w:rPr>
          <w:tab/>
        </w:r>
        <w:r>
          <w:rPr>
            <w:noProof/>
            <w:webHidden/>
          </w:rPr>
          <w:fldChar w:fldCharType="begin"/>
        </w:r>
        <w:r w:rsidR="00A27A2B">
          <w:rPr>
            <w:noProof/>
            <w:webHidden/>
          </w:rPr>
          <w:instrText xml:space="preserve"> PAGEREF _Toc408836305 \h </w:instrText>
        </w:r>
        <w:r>
          <w:rPr>
            <w:noProof/>
            <w:webHidden/>
          </w:rPr>
        </w:r>
        <w:r>
          <w:rPr>
            <w:noProof/>
            <w:webHidden/>
          </w:rPr>
          <w:fldChar w:fldCharType="separate"/>
        </w:r>
        <w:r w:rsidR="00A27A2B">
          <w:rPr>
            <w:noProof/>
            <w:webHidden/>
          </w:rPr>
          <w:t>10</w:t>
        </w:r>
        <w:r>
          <w:rPr>
            <w:noProof/>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06" w:history="1">
        <w:r w:rsidR="00A27A2B">
          <w:rPr>
            <w:rStyle w:val="Hyperlink"/>
            <w:noProof/>
          </w:rPr>
          <w:t>1.5.3</w:t>
        </w:r>
        <w:r w:rsidR="00A27A2B">
          <w:rPr>
            <w:rFonts w:asciiTheme="minorHAnsi" w:eastAsiaTheme="minorEastAsia" w:hAnsiTheme="minorHAnsi" w:cstheme="minorBidi"/>
            <w:noProof/>
            <w:szCs w:val="22"/>
          </w:rPr>
          <w:tab/>
        </w:r>
        <w:r w:rsidR="00A27A2B">
          <w:rPr>
            <w:rStyle w:val="Hyperlink"/>
            <w:noProof/>
          </w:rPr>
          <w:t>Vaccination</w:t>
        </w:r>
        <w:r w:rsidR="00A27A2B">
          <w:rPr>
            <w:noProof/>
            <w:webHidden/>
          </w:rPr>
          <w:tab/>
        </w:r>
        <w:r>
          <w:rPr>
            <w:noProof/>
            <w:webHidden/>
          </w:rPr>
          <w:fldChar w:fldCharType="begin"/>
        </w:r>
        <w:r w:rsidR="00A27A2B">
          <w:rPr>
            <w:noProof/>
            <w:webHidden/>
          </w:rPr>
          <w:instrText xml:space="preserve"> PAGEREF _Toc408836306 \h </w:instrText>
        </w:r>
        <w:r>
          <w:rPr>
            <w:noProof/>
            <w:webHidden/>
          </w:rPr>
        </w:r>
        <w:r>
          <w:rPr>
            <w:noProof/>
            <w:webHidden/>
          </w:rPr>
          <w:fldChar w:fldCharType="separate"/>
        </w:r>
        <w:r w:rsidR="00A27A2B">
          <w:rPr>
            <w:noProof/>
            <w:webHidden/>
          </w:rPr>
          <w:t>11</w:t>
        </w:r>
        <w:r>
          <w:rPr>
            <w:noProof/>
            <w:webHidden/>
          </w:rPr>
          <w:fldChar w:fldCharType="end"/>
        </w:r>
      </w:hyperlink>
    </w:p>
    <w:p w:rsidR="00D25EFC" w:rsidRDefault="00D25EFC">
      <w:pPr>
        <w:pStyle w:val="TOC2"/>
        <w:rPr>
          <w:rFonts w:asciiTheme="minorHAnsi" w:eastAsiaTheme="minorEastAsia" w:hAnsiTheme="minorHAnsi" w:cstheme="minorBidi"/>
          <w:szCs w:val="22"/>
        </w:rPr>
      </w:pPr>
      <w:hyperlink w:anchor="_Toc408836307" w:history="1">
        <w:r w:rsidR="00A27A2B">
          <w:rPr>
            <w:rStyle w:val="Hyperlink"/>
          </w:rPr>
          <w:t>1.6</w:t>
        </w:r>
        <w:r w:rsidR="00A27A2B">
          <w:rPr>
            <w:rFonts w:asciiTheme="minorHAnsi" w:eastAsiaTheme="minorEastAsia" w:hAnsiTheme="minorHAnsi" w:cstheme="minorBidi"/>
            <w:szCs w:val="22"/>
          </w:rPr>
          <w:tab/>
        </w:r>
        <w:r w:rsidR="00A27A2B">
          <w:rPr>
            <w:rStyle w:val="Hyperlink"/>
          </w:rPr>
          <w:t>Epidemiology</w:t>
        </w:r>
        <w:r w:rsidR="00A27A2B">
          <w:rPr>
            <w:webHidden/>
          </w:rPr>
          <w:tab/>
        </w:r>
        <w:r>
          <w:rPr>
            <w:webHidden/>
          </w:rPr>
          <w:fldChar w:fldCharType="begin"/>
        </w:r>
        <w:r w:rsidR="00A27A2B">
          <w:rPr>
            <w:webHidden/>
          </w:rPr>
          <w:instrText xml:space="preserve"> PAGEREF _Toc408836307 \h </w:instrText>
        </w:r>
        <w:r>
          <w:rPr>
            <w:webHidden/>
          </w:rPr>
        </w:r>
        <w:r>
          <w:rPr>
            <w:webHidden/>
          </w:rPr>
          <w:fldChar w:fldCharType="separate"/>
        </w:r>
        <w:r w:rsidR="00A27A2B">
          <w:rPr>
            <w:webHidden/>
          </w:rPr>
          <w:t>11</w:t>
        </w:r>
        <w:r>
          <w:rPr>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08" w:history="1">
        <w:r w:rsidR="00A27A2B">
          <w:rPr>
            <w:rStyle w:val="Hyperlink"/>
            <w:noProof/>
          </w:rPr>
          <w:t>1.6.1</w:t>
        </w:r>
        <w:r w:rsidR="00A27A2B">
          <w:rPr>
            <w:rFonts w:asciiTheme="minorHAnsi" w:eastAsiaTheme="minorEastAsia" w:hAnsiTheme="minorHAnsi" w:cstheme="minorBidi"/>
            <w:noProof/>
            <w:szCs w:val="22"/>
          </w:rPr>
          <w:tab/>
        </w:r>
        <w:r w:rsidR="00A27A2B">
          <w:rPr>
            <w:rStyle w:val="Hyperlink"/>
            <w:noProof/>
          </w:rPr>
          <w:t>Transmission and incubation period</w:t>
        </w:r>
        <w:r w:rsidR="00A27A2B">
          <w:rPr>
            <w:noProof/>
            <w:webHidden/>
          </w:rPr>
          <w:tab/>
        </w:r>
        <w:r>
          <w:rPr>
            <w:noProof/>
            <w:webHidden/>
          </w:rPr>
          <w:fldChar w:fldCharType="begin"/>
        </w:r>
        <w:r w:rsidR="00A27A2B">
          <w:rPr>
            <w:noProof/>
            <w:webHidden/>
          </w:rPr>
          <w:instrText xml:space="preserve"> PAGEREF _Toc408836308 \h </w:instrText>
        </w:r>
        <w:r>
          <w:rPr>
            <w:noProof/>
            <w:webHidden/>
          </w:rPr>
        </w:r>
        <w:r>
          <w:rPr>
            <w:noProof/>
            <w:webHidden/>
          </w:rPr>
          <w:fldChar w:fldCharType="separate"/>
        </w:r>
        <w:r w:rsidR="00A27A2B">
          <w:rPr>
            <w:noProof/>
            <w:webHidden/>
          </w:rPr>
          <w:t>11</w:t>
        </w:r>
        <w:r>
          <w:rPr>
            <w:noProof/>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09" w:history="1">
        <w:r w:rsidR="00A27A2B">
          <w:rPr>
            <w:rStyle w:val="Hyperlink"/>
            <w:noProof/>
          </w:rPr>
          <w:t>1.6.2</w:t>
        </w:r>
        <w:r w:rsidR="00A27A2B">
          <w:rPr>
            <w:rFonts w:asciiTheme="minorHAnsi" w:eastAsiaTheme="minorEastAsia" w:hAnsiTheme="minorHAnsi" w:cstheme="minorBidi"/>
            <w:noProof/>
            <w:szCs w:val="22"/>
          </w:rPr>
          <w:tab/>
        </w:r>
        <w:r w:rsidR="00A27A2B">
          <w:rPr>
            <w:rStyle w:val="Hyperlink"/>
            <w:noProof/>
          </w:rPr>
          <w:t>Virus shedding from infected host</w:t>
        </w:r>
        <w:r w:rsidR="00A27A2B">
          <w:rPr>
            <w:noProof/>
            <w:webHidden/>
          </w:rPr>
          <w:tab/>
        </w:r>
        <w:r>
          <w:rPr>
            <w:noProof/>
            <w:webHidden/>
          </w:rPr>
          <w:fldChar w:fldCharType="begin"/>
        </w:r>
        <w:r w:rsidR="00A27A2B">
          <w:rPr>
            <w:noProof/>
            <w:webHidden/>
          </w:rPr>
          <w:instrText xml:space="preserve"> PAGEREF _Toc408836309 \h </w:instrText>
        </w:r>
        <w:r>
          <w:rPr>
            <w:noProof/>
            <w:webHidden/>
          </w:rPr>
        </w:r>
        <w:r>
          <w:rPr>
            <w:noProof/>
            <w:webHidden/>
          </w:rPr>
          <w:fldChar w:fldCharType="separate"/>
        </w:r>
        <w:r w:rsidR="00A27A2B">
          <w:rPr>
            <w:noProof/>
            <w:webHidden/>
          </w:rPr>
          <w:t>12</w:t>
        </w:r>
        <w:r>
          <w:rPr>
            <w:noProof/>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10" w:history="1">
        <w:r w:rsidR="00A27A2B">
          <w:rPr>
            <w:rStyle w:val="Hyperlink"/>
            <w:noProof/>
          </w:rPr>
          <w:t>1.6.3</w:t>
        </w:r>
        <w:r w:rsidR="00A27A2B">
          <w:rPr>
            <w:rFonts w:asciiTheme="minorHAnsi" w:eastAsiaTheme="minorEastAsia" w:hAnsiTheme="minorHAnsi" w:cstheme="minorBidi"/>
            <w:noProof/>
            <w:szCs w:val="22"/>
          </w:rPr>
          <w:tab/>
        </w:r>
        <w:r w:rsidR="00A27A2B">
          <w:rPr>
            <w:rStyle w:val="Hyperlink"/>
            <w:noProof/>
          </w:rPr>
          <w:t>Persistence of virus</w:t>
        </w:r>
        <w:r w:rsidR="00A27A2B">
          <w:rPr>
            <w:noProof/>
            <w:webHidden/>
          </w:rPr>
          <w:tab/>
        </w:r>
        <w:r>
          <w:rPr>
            <w:noProof/>
            <w:webHidden/>
          </w:rPr>
          <w:fldChar w:fldCharType="begin"/>
        </w:r>
        <w:r w:rsidR="00A27A2B">
          <w:rPr>
            <w:noProof/>
            <w:webHidden/>
          </w:rPr>
          <w:instrText xml:space="preserve"> PAGEREF _Toc408836310 \h </w:instrText>
        </w:r>
        <w:r>
          <w:rPr>
            <w:noProof/>
            <w:webHidden/>
          </w:rPr>
        </w:r>
        <w:r>
          <w:rPr>
            <w:noProof/>
            <w:webHidden/>
          </w:rPr>
          <w:fldChar w:fldCharType="separate"/>
        </w:r>
        <w:r w:rsidR="00A27A2B">
          <w:rPr>
            <w:noProof/>
            <w:webHidden/>
          </w:rPr>
          <w:t>12</w:t>
        </w:r>
        <w:r>
          <w:rPr>
            <w:noProof/>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11" w:history="1">
        <w:r w:rsidR="00A27A2B">
          <w:rPr>
            <w:rStyle w:val="Hyperlink"/>
            <w:noProof/>
          </w:rPr>
          <w:t>1.6.4</w:t>
        </w:r>
        <w:r w:rsidR="00A27A2B">
          <w:rPr>
            <w:rFonts w:asciiTheme="minorHAnsi" w:eastAsiaTheme="minorEastAsia" w:hAnsiTheme="minorHAnsi" w:cstheme="minorBidi"/>
            <w:noProof/>
            <w:szCs w:val="22"/>
          </w:rPr>
          <w:tab/>
        </w:r>
        <w:r w:rsidR="00A27A2B">
          <w:rPr>
            <w:rStyle w:val="Hyperlink"/>
            <w:noProof/>
          </w:rPr>
          <w:t>Sources of VHSV</w:t>
        </w:r>
        <w:r w:rsidR="00A27A2B">
          <w:rPr>
            <w:noProof/>
            <w:webHidden/>
          </w:rPr>
          <w:tab/>
        </w:r>
        <w:r>
          <w:rPr>
            <w:noProof/>
            <w:webHidden/>
          </w:rPr>
          <w:fldChar w:fldCharType="begin"/>
        </w:r>
        <w:r w:rsidR="00A27A2B">
          <w:rPr>
            <w:noProof/>
            <w:webHidden/>
          </w:rPr>
          <w:instrText xml:space="preserve"> PAGEREF _Toc408836311 \h </w:instrText>
        </w:r>
        <w:r>
          <w:rPr>
            <w:noProof/>
            <w:webHidden/>
          </w:rPr>
        </w:r>
        <w:r>
          <w:rPr>
            <w:noProof/>
            <w:webHidden/>
          </w:rPr>
          <w:fldChar w:fldCharType="separate"/>
        </w:r>
        <w:r w:rsidR="00A27A2B">
          <w:rPr>
            <w:noProof/>
            <w:webHidden/>
          </w:rPr>
          <w:t>13</w:t>
        </w:r>
        <w:r>
          <w:rPr>
            <w:noProof/>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12" w:history="1">
        <w:r w:rsidR="00A27A2B">
          <w:rPr>
            <w:rStyle w:val="Hyperlink"/>
            <w:noProof/>
          </w:rPr>
          <w:t>1.6.5</w:t>
        </w:r>
        <w:r w:rsidR="00A27A2B">
          <w:rPr>
            <w:rFonts w:asciiTheme="minorHAnsi" w:eastAsiaTheme="minorEastAsia" w:hAnsiTheme="minorHAnsi" w:cstheme="minorBidi"/>
            <w:noProof/>
            <w:szCs w:val="22"/>
          </w:rPr>
          <w:tab/>
        </w:r>
        <w:r w:rsidR="00A27A2B">
          <w:rPr>
            <w:rStyle w:val="Hyperlink"/>
            <w:noProof/>
          </w:rPr>
          <w:t>Factors influencing transmission</w:t>
        </w:r>
        <w:r w:rsidR="00A27A2B">
          <w:rPr>
            <w:noProof/>
            <w:webHidden/>
          </w:rPr>
          <w:tab/>
        </w:r>
        <w:r>
          <w:rPr>
            <w:noProof/>
            <w:webHidden/>
          </w:rPr>
          <w:fldChar w:fldCharType="begin"/>
        </w:r>
        <w:r w:rsidR="00A27A2B">
          <w:rPr>
            <w:noProof/>
            <w:webHidden/>
          </w:rPr>
          <w:instrText xml:space="preserve"> PAGEREF _Toc408836312 \h </w:instrText>
        </w:r>
        <w:r>
          <w:rPr>
            <w:noProof/>
            <w:webHidden/>
          </w:rPr>
        </w:r>
        <w:r>
          <w:rPr>
            <w:noProof/>
            <w:webHidden/>
          </w:rPr>
          <w:fldChar w:fldCharType="separate"/>
        </w:r>
        <w:r w:rsidR="00A27A2B">
          <w:rPr>
            <w:noProof/>
            <w:webHidden/>
          </w:rPr>
          <w:t>13</w:t>
        </w:r>
        <w:r>
          <w:rPr>
            <w:noProof/>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13" w:history="1">
        <w:r w:rsidR="00A27A2B">
          <w:rPr>
            <w:rStyle w:val="Hyperlink"/>
            <w:noProof/>
          </w:rPr>
          <w:t>1.6.6</w:t>
        </w:r>
        <w:r w:rsidR="00A27A2B">
          <w:rPr>
            <w:rFonts w:asciiTheme="minorHAnsi" w:eastAsiaTheme="minorEastAsia" w:hAnsiTheme="minorHAnsi" w:cstheme="minorBidi"/>
            <w:noProof/>
            <w:szCs w:val="22"/>
          </w:rPr>
          <w:tab/>
        </w:r>
        <w:r w:rsidR="00A27A2B">
          <w:rPr>
            <w:rStyle w:val="Hyperlink"/>
            <w:noProof/>
          </w:rPr>
          <w:t>Inactivation</w:t>
        </w:r>
        <w:r w:rsidR="00A27A2B">
          <w:rPr>
            <w:noProof/>
            <w:webHidden/>
          </w:rPr>
          <w:tab/>
        </w:r>
        <w:r>
          <w:rPr>
            <w:noProof/>
            <w:webHidden/>
          </w:rPr>
          <w:fldChar w:fldCharType="begin"/>
        </w:r>
        <w:r w:rsidR="00A27A2B">
          <w:rPr>
            <w:noProof/>
            <w:webHidden/>
          </w:rPr>
          <w:instrText xml:space="preserve"> PAGEREF _Toc408836313 \h </w:instrText>
        </w:r>
        <w:r>
          <w:rPr>
            <w:noProof/>
            <w:webHidden/>
          </w:rPr>
        </w:r>
        <w:r>
          <w:rPr>
            <w:noProof/>
            <w:webHidden/>
          </w:rPr>
          <w:fldChar w:fldCharType="separate"/>
        </w:r>
        <w:r w:rsidR="00A27A2B">
          <w:rPr>
            <w:noProof/>
            <w:webHidden/>
          </w:rPr>
          <w:t>15</w:t>
        </w:r>
        <w:r>
          <w:rPr>
            <w:noProof/>
            <w:webHidden/>
          </w:rPr>
          <w:fldChar w:fldCharType="end"/>
        </w:r>
      </w:hyperlink>
    </w:p>
    <w:p w:rsidR="00D25EFC" w:rsidRDefault="00D25EFC">
      <w:pPr>
        <w:pStyle w:val="TOC1"/>
        <w:tabs>
          <w:tab w:val="left" w:pos="426"/>
        </w:tabs>
        <w:rPr>
          <w:rFonts w:asciiTheme="minorHAnsi" w:eastAsiaTheme="minorEastAsia" w:hAnsiTheme="minorHAnsi" w:cstheme="minorBidi"/>
          <w:b w:val="0"/>
          <w:szCs w:val="22"/>
        </w:rPr>
      </w:pPr>
      <w:hyperlink w:anchor="_Toc408836314" w:history="1">
        <w:r w:rsidR="00A27A2B">
          <w:rPr>
            <w:rStyle w:val="Hyperlink"/>
          </w:rPr>
          <w:t>2</w:t>
        </w:r>
        <w:r w:rsidR="00A27A2B">
          <w:rPr>
            <w:rFonts w:asciiTheme="minorHAnsi" w:eastAsiaTheme="minorEastAsia" w:hAnsiTheme="minorHAnsi" w:cstheme="minorBidi"/>
            <w:b w:val="0"/>
            <w:szCs w:val="22"/>
          </w:rPr>
          <w:tab/>
        </w:r>
        <w:r w:rsidR="00A27A2B">
          <w:rPr>
            <w:rStyle w:val="Hyperlink"/>
          </w:rPr>
          <w:t>Principles o</w:t>
        </w:r>
        <w:r w:rsidR="00A27A2B">
          <w:rPr>
            <w:rStyle w:val="Hyperlink"/>
          </w:rPr>
          <w:t>f control and eradication</w:t>
        </w:r>
        <w:r w:rsidR="00A27A2B">
          <w:rPr>
            <w:webHidden/>
          </w:rPr>
          <w:tab/>
        </w:r>
        <w:r>
          <w:rPr>
            <w:webHidden/>
          </w:rPr>
          <w:fldChar w:fldCharType="begin"/>
        </w:r>
        <w:r w:rsidR="00A27A2B">
          <w:rPr>
            <w:webHidden/>
          </w:rPr>
          <w:instrText xml:space="preserve"> PAGEREF _Toc408836314 \h </w:instrText>
        </w:r>
        <w:r>
          <w:rPr>
            <w:webHidden/>
          </w:rPr>
        </w:r>
        <w:r>
          <w:rPr>
            <w:webHidden/>
          </w:rPr>
          <w:fldChar w:fldCharType="separate"/>
        </w:r>
        <w:r w:rsidR="00A27A2B">
          <w:rPr>
            <w:webHidden/>
          </w:rPr>
          <w:t>16</w:t>
        </w:r>
        <w:r>
          <w:rPr>
            <w:webHidden/>
          </w:rPr>
          <w:fldChar w:fldCharType="end"/>
        </w:r>
      </w:hyperlink>
    </w:p>
    <w:p w:rsidR="00D25EFC" w:rsidRDefault="00D25EFC">
      <w:pPr>
        <w:pStyle w:val="TOC2"/>
        <w:rPr>
          <w:rFonts w:asciiTheme="minorHAnsi" w:eastAsiaTheme="minorEastAsia" w:hAnsiTheme="minorHAnsi" w:cstheme="minorBidi"/>
          <w:szCs w:val="22"/>
        </w:rPr>
      </w:pPr>
      <w:hyperlink w:anchor="_Toc408836315" w:history="1">
        <w:r w:rsidR="00A27A2B">
          <w:rPr>
            <w:rStyle w:val="Hyperlink"/>
          </w:rPr>
          <w:t>2.1</w:t>
        </w:r>
        <w:r w:rsidR="00A27A2B">
          <w:rPr>
            <w:rFonts w:asciiTheme="minorHAnsi" w:eastAsiaTheme="minorEastAsia" w:hAnsiTheme="minorHAnsi" w:cstheme="minorBidi"/>
            <w:szCs w:val="22"/>
          </w:rPr>
          <w:tab/>
        </w:r>
        <w:r w:rsidR="00A27A2B">
          <w:rPr>
            <w:rStyle w:val="Hyperlink"/>
          </w:rPr>
          <w:t>Introduction</w:t>
        </w:r>
        <w:r w:rsidR="00A27A2B">
          <w:rPr>
            <w:webHidden/>
          </w:rPr>
          <w:tab/>
        </w:r>
        <w:r>
          <w:rPr>
            <w:webHidden/>
          </w:rPr>
          <w:fldChar w:fldCharType="begin"/>
        </w:r>
        <w:r w:rsidR="00A27A2B">
          <w:rPr>
            <w:webHidden/>
          </w:rPr>
          <w:instrText xml:space="preserve"> PAGEREF _Toc408836315 \h </w:instrText>
        </w:r>
        <w:r>
          <w:rPr>
            <w:webHidden/>
          </w:rPr>
        </w:r>
        <w:r>
          <w:rPr>
            <w:webHidden/>
          </w:rPr>
          <w:fldChar w:fldCharType="separate"/>
        </w:r>
        <w:r w:rsidR="00A27A2B">
          <w:rPr>
            <w:webHidden/>
          </w:rPr>
          <w:t>16</w:t>
        </w:r>
        <w:r>
          <w:rPr>
            <w:webHidden/>
          </w:rPr>
          <w:fldChar w:fldCharType="end"/>
        </w:r>
      </w:hyperlink>
    </w:p>
    <w:p w:rsidR="00D25EFC" w:rsidRDefault="00D25EFC">
      <w:pPr>
        <w:pStyle w:val="TOC2"/>
        <w:rPr>
          <w:rFonts w:asciiTheme="minorHAnsi" w:eastAsiaTheme="minorEastAsia" w:hAnsiTheme="minorHAnsi" w:cstheme="minorBidi"/>
          <w:szCs w:val="22"/>
        </w:rPr>
      </w:pPr>
      <w:hyperlink w:anchor="_Toc408836316" w:history="1">
        <w:r w:rsidR="00A27A2B">
          <w:rPr>
            <w:rStyle w:val="Hyperlink"/>
          </w:rPr>
          <w:t>2.2</w:t>
        </w:r>
        <w:r w:rsidR="00A27A2B">
          <w:rPr>
            <w:rFonts w:asciiTheme="minorHAnsi" w:eastAsiaTheme="minorEastAsia" w:hAnsiTheme="minorHAnsi" w:cstheme="minorBidi"/>
            <w:szCs w:val="22"/>
          </w:rPr>
          <w:tab/>
        </w:r>
        <w:r w:rsidR="00A27A2B">
          <w:rPr>
            <w:rStyle w:val="Hyperlink"/>
          </w:rPr>
          <w:t>Methods to prevent spread and eliminate pathogens</w:t>
        </w:r>
        <w:r w:rsidR="00A27A2B">
          <w:rPr>
            <w:webHidden/>
          </w:rPr>
          <w:tab/>
        </w:r>
        <w:r>
          <w:rPr>
            <w:webHidden/>
          </w:rPr>
          <w:fldChar w:fldCharType="begin"/>
        </w:r>
        <w:r w:rsidR="00A27A2B">
          <w:rPr>
            <w:webHidden/>
          </w:rPr>
          <w:instrText xml:space="preserve"> PAGEREF _Toc408836316 \h </w:instrText>
        </w:r>
        <w:r>
          <w:rPr>
            <w:webHidden/>
          </w:rPr>
        </w:r>
        <w:r>
          <w:rPr>
            <w:webHidden/>
          </w:rPr>
          <w:fldChar w:fldCharType="separate"/>
        </w:r>
        <w:r w:rsidR="00A27A2B">
          <w:rPr>
            <w:webHidden/>
          </w:rPr>
          <w:t>16</w:t>
        </w:r>
        <w:r>
          <w:rPr>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17" w:history="1">
        <w:r w:rsidR="00A27A2B">
          <w:rPr>
            <w:rStyle w:val="Hyperlink"/>
            <w:noProof/>
          </w:rPr>
          <w:t>2.2.1</w:t>
        </w:r>
        <w:r w:rsidR="00A27A2B">
          <w:rPr>
            <w:rFonts w:asciiTheme="minorHAnsi" w:eastAsiaTheme="minorEastAsia" w:hAnsiTheme="minorHAnsi" w:cstheme="minorBidi"/>
            <w:noProof/>
            <w:szCs w:val="22"/>
          </w:rPr>
          <w:tab/>
        </w:r>
        <w:r w:rsidR="00A27A2B">
          <w:rPr>
            <w:rStyle w:val="Hyperlink"/>
            <w:noProof/>
          </w:rPr>
          <w:t>Quarantine and movement controls</w:t>
        </w:r>
        <w:r w:rsidR="00A27A2B">
          <w:rPr>
            <w:noProof/>
            <w:webHidden/>
          </w:rPr>
          <w:tab/>
        </w:r>
        <w:r>
          <w:rPr>
            <w:noProof/>
            <w:webHidden/>
          </w:rPr>
          <w:fldChar w:fldCharType="begin"/>
        </w:r>
        <w:r w:rsidR="00A27A2B">
          <w:rPr>
            <w:noProof/>
            <w:webHidden/>
          </w:rPr>
          <w:instrText xml:space="preserve"> PAGEREF _Toc408836317 \h </w:instrText>
        </w:r>
        <w:r>
          <w:rPr>
            <w:noProof/>
            <w:webHidden/>
          </w:rPr>
        </w:r>
        <w:r>
          <w:rPr>
            <w:noProof/>
            <w:webHidden/>
          </w:rPr>
          <w:fldChar w:fldCharType="separate"/>
        </w:r>
        <w:r w:rsidR="00A27A2B">
          <w:rPr>
            <w:noProof/>
            <w:webHidden/>
          </w:rPr>
          <w:t>17</w:t>
        </w:r>
        <w:r>
          <w:rPr>
            <w:noProof/>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18" w:history="1">
        <w:r w:rsidR="00A27A2B">
          <w:rPr>
            <w:rStyle w:val="Hyperlink"/>
            <w:noProof/>
          </w:rPr>
          <w:t>2.2.2</w:t>
        </w:r>
        <w:r w:rsidR="00A27A2B">
          <w:rPr>
            <w:rFonts w:asciiTheme="minorHAnsi" w:eastAsiaTheme="minorEastAsia" w:hAnsiTheme="minorHAnsi" w:cstheme="minorBidi"/>
            <w:noProof/>
            <w:szCs w:val="22"/>
          </w:rPr>
          <w:tab/>
        </w:r>
        <w:r w:rsidR="00A27A2B">
          <w:rPr>
            <w:rStyle w:val="Hyperlink"/>
            <w:noProof/>
          </w:rPr>
          <w:t>Tracing</w:t>
        </w:r>
        <w:r w:rsidR="00A27A2B">
          <w:rPr>
            <w:noProof/>
            <w:webHidden/>
          </w:rPr>
          <w:tab/>
        </w:r>
        <w:r>
          <w:rPr>
            <w:noProof/>
            <w:webHidden/>
          </w:rPr>
          <w:fldChar w:fldCharType="begin"/>
        </w:r>
        <w:r w:rsidR="00A27A2B">
          <w:rPr>
            <w:noProof/>
            <w:webHidden/>
          </w:rPr>
          <w:instrText xml:space="preserve"> PAGEREF _Toc408836318 \h </w:instrText>
        </w:r>
        <w:r>
          <w:rPr>
            <w:noProof/>
            <w:webHidden/>
          </w:rPr>
        </w:r>
        <w:r>
          <w:rPr>
            <w:noProof/>
            <w:webHidden/>
          </w:rPr>
          <w:fldChar w:fldCharType="separate"/>
        </w:r>
        <w:r w:rsidR="00A27A2B">
          <w:rPr>
            <w:noProof/>
            <w:webHidden/>
          </w:rPr>
          <w:t>20</w:t>
        </w:r>
        <w:r>
          <w:rPr>
            <w:noProof/>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19" w:history="1">
        <w:r w:rsidR="00A27A2B">
          <w:rPr>
            <w:rStyle w:val="Hyperlink"/>
            <w:noProof/>
          </w:rPr>
          <w:t>2.2.3</w:t>
        </w:r>
        <w:r w:rsidR="00A27A2B">
          <w:rPr>
            <w:rFonts w:asciiTheme="minorHAnsi" w:eastAsiaTheme="minorEastAsia" w:hAnsiTheme="minorHAnsi" w:cstheme="minorBidi"/>
            <w:noProof/>
            <w:szCs w:val="22"/>
          </w:rPr>
          <w:tab/>
        </w:r>
        <w:r w:rsidR="00A27A2B">
          <w:rPr>
            <w:rStyle w:val="Hyperlink"/>
            <w:noProof/>
          </w:rPr>
          <w:t>Surveillance</w:t>
        </w:r>
        <w:r w:rsidR="00A27A2B">
          <w:rPr>
            <w:noProof/>
            <w:webHidden/>
          </w:rPr>
          <w:tab/>
        </w:r>
        <w:r>
          <w:rPr>
            <w:noProof/>
            <w:webHidden/>
          </w:rPr>
          <w:fldChar w:fldCharType="begin"/>
        </w:r>
        <w:r w:rsidR="00A27A2B">
          <w:rPr>
            <w:noProof/>
            <w:webHidden/>
          </w:rPr>
          <w:instrText xml:space="preserve"> PAGEREF _Toc408836319 \h </w:instrText>
        </w:r>
        <w:r>
          <w:rPr>
            <w:noProof/>
            <w:webHidden/>
          </w:rPr>
        </w:r>
        <w:r>
          <w:rPr>
            <w:noProof/>
            <w:webHidden/>
          </w:rPr>
          <w:fldChar w:fldCharType="separate"/>
        </w:r>
        <w:r w:rsidR="00A27A2B">
          <w:rPr>
            <w:noProof/>
            <w:webHidden/>
          </w:rPr>
          <w:t>21</w:t>
        </w:r>
        <w:r>
          <w:rPr>
            <w:noProof/>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20" w:history="1">
        <w:r w:rsidR="00A27A2B">
          <w:rPr>
            <w:rStyle w:val="Hyperlink"/>
            <w:noProof/>
          </w:rPr>
          <w:t>2.2.4</w:t>
        </w:r>
        <w:r w:rsidR="00A27A2B">
          <w:rPr>
            <w:rFonts w:asciiTheme="minorHAnsi" w:eastAsiaTheme="minorEastAsia" w:hAnsiTheme="minorHAnsi" w:cstheme="minorBidi"/>
            <w:noProof/>
            <w:szCs w:val="22"/>
          </w:rPr>
          <w:tab/>
        </w:r>
        <w:r w:rsidR="00A27A2B">
          <w:rPr>
            <w:rStyle w:val="Hyperlink"/>
            <w:noProof/>
          </w:rPr>
          <w:t>Treatment of infected fish</w:t>
        </w:r>
        <w:r w:rsidR="00A27A2B">
          <w:rPr>
            <w:noProof/>
            <w:webHidden/>
          </w:rPr>
          <w:tab/>
        </w:r>
        <w:r>
          <w:rPr>
            <w:noProof/>
            <w:webHidden/>
          </w:rPr>
          <w:fldChar w:fldCharType="begin"/>
        </w:r>
        <w:r w:rsidR="00A27A2B">
          <w:rPr>
            <w:noProof/>
            <w:webHidden/>
          </w:rPr>
          <w:instrText xml:space="preserve"> PAGEREF _Toc408836320 \h </w:instrText>
        </w:r>
        <w:r>
          <w:rPr>
            <w:noProof/>
            <w:webHidden/>
          </w:rPr>
        </w:r>
        <w:r>
          <w:rPr>
            <w:noProof/>
            <w:webHidden/>
          </w:rPr>
          <w:fldChar w:fldCharType="separate"/>
        </w:r>
        <w:r w:rsidR="00A27A2B">
          <w:rPr>
            <w:noProof/>
            <w:webHidden/>
          </w:rPr>
          <w:t>21</w:t>
        </w:r>
        <w:r>
          <w:rPr>
            <w:noProof/>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21" w:history="1">
        <w:r w:rsidR="00A27A2B">
          <w:rPr>
            <w:rStyle w:val="Hyperlink"/>
            <w:noProof/>
          </w:rPr>
          <w:t>2.2.5</w:t>
        </w:r>
        <w:r w:rsidR="00A27A2B">
          <w:rPr>
            <w:rFonts w:asciiTheme="minorHAnsi" w:eastAsiaTheme="minorEastAsia" w:hAnsiTheme="minorHAnsi" w:cstheme="minorBidi"/>
            <w:noProof/>
            <w:szCs w:val="22"/>
          </w:rPr>
          <w:tab/>
        </w:r>
        <w:r w:rsidR="00A27A2B">
          <w:rPr>
            <w:rStyle w:val="Hyperlink"/>
            <w:noProof/>
          </w:rPr>
          <w:t>Destruction and disposal of fish</w:t>
        </w:r>
        <w:r w:rsidR="00A27A2B">
          <w:rPr>
            <w:noProof/>
            <w:webHidden/>
          </w:rPr>
          <w:tab/>
        </w:r>
        <w:r>
          <w:rPr>
            <w:noProof/>
            <w:webHidden/>
          </w:rPr>
          <w:fldChar w:fldCharType="begin"/>
        </w:r>
        <w:r w:rsidR="00A27A2B">
          <w:rPr>
            <w:noProof/>
            <w:webHidden/>
          </w:rPr>
          <w:instrText xml:space="preserve"> PAGEREF _Toc408836321 \h </w:instrText>
        </w:r>
        <w:r>
          <w:rPr>
            <w:noProof/>
            <w:webHidden/>
          </w:rPr>
        </w:r>
        <w:r>
          <w:rPr>
            <w:noProof/>
            <w:webHidden/>
          </w:rPr>
          <w:fldChar w:fldCharType="separate"/>
        </w:r>
        <w:r w:rsidR="00A27A2B">
          <w:rPr>
            <w:noProof/>
            <w:webHidden/>
          </w:rPr>
          <w:t>21</w:t>
        </w:r>
        <w:r>
          <w:rPr>
            <w:noProof/>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22" w:history="1">
        <w:r w:rsidR="00A27A2B">
          <w:rPr>
            <w:rStyle w:val="Hyperlink"/>
            <w:noProof/>
          </w:rPr>
          <w:t>2.2.6</w:t>
        </w:r>
        <w:r w:rsidR="00A27A2B">
          <w:rPr>
            <w:rFonts w:asciiTheme="minorHAnsi" w:eastAsiaTheme="minorEastAsia" w:hAnsiTheme="minorHAnsi" w:cstheme="minorBidi"/>
            <w:noProof/>
            <w:szCs w:val="22"/>
          </w:rPr>
          <w:tab/>
        </w:r>
        <w:r w:rsidR="00A27A2B">
          <w:rPr>
            <w:rStyle w:val="Hyperlink"/>
            <w:noProof/>
          </w:rPr>
          <w:t>Treatment of fish products and by-products</w:t>
        </w:r>
        <w:r w:rsidR="00A27A2B">
          <w:rPr>
            <w:noProof/>
            <w:webHidden/>
          </w:rPr>
          <w:tab/>
        </w:r>
        <w:r>
          <w:rPr>
            <w:noProof/>
            <w:webHidden/>
          </w:rPr>
          <w:fldChar w:fldCharType="begin"/>
        </w:r>
        <w:r w:rsidR="00A27A2B">
          <w:rPr>
            <w:noProof/>
            <w:webHidden/>
          </w:rPr>
          <w:instrText xml:space="preserve"> PAGEREF _Toc408836322 \h </w:instrText>
        </w:r>
        <w:r>
          <w:rPr>
            <w:noProof/>
            <w:webHidden/>
          </w:rPr>
        </w:r>
        <w:r>
          <w:rPr>
            <w:noProof/>
            <w:webHidden/>
          </w:rPr>
          <w:fldChar w:fldCharType="separate"/>
        </w:r>
        <w:r w:rsidR="00A27A2B">
          <w:rPr>
            <w:noProof/>
            <w:webHidden/>
          </w:rPr>
          <w:t>22</w:t>
        </w:r>
        <w:r>
          <w:rPr>
            <w:noProof/>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23" w:history="1">
        <w:r w:rsidR="00A27A2B">
          <w:rPr>
            <w:rStyle w:val="Hyperlink"/>
            <w:noProof/>
          </w:rPr>
          <w:t>2.2.7</w:t>
        </w:r>
        <w:r w:rsidR="00A27A2B">
          <w:rPr>
            <w:rFonts w:asciiTheme="minorHAnsi" w:eastAsiaTheme="minorEastAsia" w:hAnsiTheme="minorHAnsi" w:cstheme="minorBidi"/>
            <w:noProof/>
            <w:szCs w:val="22"/>
          </w:rPr>
          <w:tab/>
        </w:r>
        <w:r w:rsidR="00A27A2B">
          <w:rPr>
            <w:rStyle w:val="Hyperlink"/>
            <w:noProof/>
          </w:rPr>
          <w:t>Decontamination</w:t>
        </w:r>
        <w:r w:rsidR="00A27A2B">
          <w:rPr>
            <w:noProof/>
            <w:webHidden/>
          </w:rPr>
          <w:tab/>
        </w:r>
        <w:r>
          <w:rPr>
            <w:noProof/>
            <w:webHidden/>
          </w:rPr>
          <w:fldChar w:fldCharType="begin"/>
        </w:r>
        <w:r w:rsidR="00A27A2B">
          <w:rPr>
            <w:noProof/>
            <w:webHidden/>
          </w:rPr>
          <w:instrText xml:space="preserve"> PAGEREF _Toc408836323 \h </w:instrText>
        </w:r>
        <w:r>
          <w:rPr>
            <w:noProof/>
            <w:webHidden/>
          </w:rPr>
        </w:r>
        <w:r>
          <w:rPr>
            <w:noProof/>
            <w:webHidden/>
          </w:rPr>
          <w:fldChar w:fldCharType="separate"/>
        </w:r>
        <w:r w:rsidR="00A27A2B">
          <w:rPr>
            <w:noProof/>
            <w:webHidden/>
          </w:rPr>
          <w:t>22</w:t>
        </w:r>
        <w:r>
          <w:rPr>
            <w:noProof/>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24" w:history="1">
        <w:r w:rsidR="00A27A2B">
          <w:rPr>
            <w:rStyle w:val="Hyperlink"/>
            <w:noProof/>
          </w:rPr>
          <w:t>2.2.8</w:t>
        </w:r>
        <w:r w:rsidR="00A27A2B">
          <w:rPr>
            <w:rFonts w:asciiTheme="minorHAnsi" w:eastAsiaTheme="minorEastAsia" w:hAnsiTheme="minorHAnsi" w:cstheme="minorBidi"/>
            <w:noProof/>
            <w:szCs w:val="22"/>
          </w:rPr>
          <w:tab/>
        </w:r>
        <w:r w:rsidR="00A27A2B">
          <w:rPr>
            <w:rStyle w:val="Hyperlink"/>
            <w:noProof/>
          </w:rPr>
          <w:t>Vaccination</w:t>
        </w:r>
        <w:r w:rsidR="00A27A2B">
          <w:rPr>
            <w:noProof/>
            <w:webHidden/>
          </w:rPr>
          <w:tab/>
        </w:r>
        <w:r>
          <w:rPr>
            <w:noProof/>
            <w:webHidden/>
          </w:rPr>
          <w:fldChar w:fldCharType="begin"/>
        </w:r>
        <w:r w:rsidR="00A27A2B">
          <w:rPr>
            <w:noProof/>
            <w:webHidden/>
          </w:rPr>
          <w:instrText xml:space="preserve"> PAGEREF _Toc408836324 \h </w:instrText>
        </w:r>
        <w:r>
          <w:rPr>
            <w:noProof/>
            <w:webHidden/>
          </w:rPr>
        </w:r>
        <w:r>
          <w:rPr>
            <w:noProof/>
            <w:webHidden/>
          </w:rPr>
          <w:fldChar w:fldCharType="separate"/>
        </w:r>
        <w:r w:rsidR="00A27A2B">
          <w:rPr>
            <w:noProof/>
            <w:webHidden/>
          </w:rPr>
          <w:t>23</w:t>
        </w:r>
        <w:r>
          <w:rPr>
            <w:noProof/>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25" w:history="1">
        <w:r w:rsidR="00A27A2B">
          <w:rPr>
            <w:rStyle w:val="Hyperlink"/>
            <w:noProof/>
          </w:rPr>
          <w:t>2.2.9</w:t>
        </w:r>
        <w:r w:rsidR="00A27A2B">
          <w:rPr>
            <w:rFonts w:asciiTheme="minorHAnsi" w:eastAsiaTheme="minorEastAsia" w:hAnsiTheme="minorHAnsi" w:cstheme="minorBidi"/>
            <w:noProof/>
            <w:szCs w:val="22"/>
          </w:rPr>
          <w:tab/>
        </w:r>
        <w:r w:rsidR="00A27A2B">
          <w:rPr>
            <w:rStyle w:val="Hyperlink"/>
            <w:noProof/>
          </w:rPr>
          <w:t>Vector c</w:t>
        </w:r>
        <w:r w:rsidR="00A27A2B">
          <w:rPr>
            <w:rStyle w:val="Hyperlink"/>
            <w:noProof/>
          </w:rPr>
          <w:t>ontrol</w:t>
        </w:r>
        <w:r w:rsidR="00A27A2B">
          <w:rPr>
            <w:noProof/>
            <w:webHidden/>
          </w:rPr>
          <w:tab/>
        </w:r>
        <w:r>
          <w:rPr>
            <w:noProof/>
            <w:webHidden/>
          </w:rPr>
          <w:fldChar w:fldCharType="begin"/>
        </w:r>
        <w:r w:rsidR="00A27A2B">
          <w:rPr>
            <w:noProof/>
            <w:webHidden/>
          </w:rPr>
          <w:instrText xml:space="preserve"> PAGEREF _Toc408836325 \h </w:instrText>
        </w:r>
        <w:r>
          <w:rPr>
            <w:noProof/>
            <w:webHidden/>
          </w:rPr>
        </w:r>
        <w:r>
          <w:rPr>
            <w:noProof/>
            <w:webHidden/>
          </w:rPr>
          <w:fldChar w:fldCharType="separate"/>
        </w:r>
        <w:r w:rsidR="00A27A2B">
          <w:rPr>
            <w:noProof/>
            <w:webHidden/>
          </w:rPr>
          <w:t>23</w:t>
        </w:r>
        <w:r>
          <w:rPr>
            <w:noProof/>
            <w:webHidden/>
          </w:rPr>
          <w:fldChar w:fldCharType="end"/>
        </w:r>
      </w:hyperlink>
    </w:p>
    <w:p w:rsidR="00D25EFC" w:rsidRDefault="00D25EFC">
      <w:pPr>
        <w:pStyle w:val="TOC3"/>
        <w:tabs>
          <w:tab w:val="left" w:pos="1790"/>
        </w:tabs>
        <w:rPr>
          <w:rFonts w:asciiTheme="minorHAnsi" w:eastAsiaTheme="minorEastAsia" w:hAnsiTheme="minorHAnsi" w:cstheme="minorBidi"/>
          <w:noProof/>
          <w:szCs w:val="22"/>
        </w:rPr>
      </w:pPr>
      <w:hyperlink w:anchor="_Toc408836326" w:history="1">
        <w:r w:rsidR="00A27A2B">
          <w:rPr>
            <w:rStyle w:val="Hyperlink"/>
            <w:noProof/>
          </w:rPr>
          <w:t>2.2.10</w:t>
        </w:r>
        <w:r w:rsidR="00A27A2B">
          <w:rPr>
            <w:rFonts w:asciiTheme="minorHAnsi" w:eastAsiaTheme="minorEastAsia" w:hAnsiTheme="minorHAnsi" w:cstheme="minorBidi"/>
            <w:noProof/>
            <w:szCs w:val="22"/>
          </w:rPr>
          <w:tab/>
        </w:r>
        <w:r w:rsidR="00A27A2B">
          <w:rPr>
            <w:rStyle w:val="Hyperlink"/>
            <w:noProof/>
          </w:rPr>
          <w:t>Restocking</w:t>
        </w:r>
        <w:r w:rsidR="00A27A2B">
          <w:rPr>
            <w:noProof/>
            <w:webHidden/>
          </w:rPr>
          <w:tab/>
        </w:r>
        <w:r>
          <w:rPr>
            <w:noProof/>
            <w:webHidden/>
          </w:rPr>
          <w:fldChar w:fldCharType="begin"/>
        </w:r>
        <w:r w:rsidR="00A27A2B">
          <w:rPr>
            <w:noProof/>
            <w:webHidden/>
          </w:rPr>
          <w:instrText xml:space="preserve"> PAGEREF _Toc408836326 \h </w:instrText>
        </w:r>
        <w:r>
          <w:rPr>
            <w:noProof/>
            <w:webHidden/>
          </w:rPr>
        </w:r>
        <w:r>
          <w:rPr>
            <w:noProof/>
            <w:webHidden/>
          </w:rPr>
          <w:fldChar w:fldCharType="separate"/>
        </w:r>
        <w:r w:rsidR="00A27A2B">
          <w:rPr>
            <w:noProof/>
            <w:webHidden/>
          </w:rPr>
          <w:t>23</w:t>
        </w:r>
        <w:r>
          <w:rPr>
            <w:noProof/>
            <w:webHidden/>
          </w:rPr>
          <w:fldChar w:fldCharType="end"/>
        </w:r>
      </w:hyperlink>
    </w:p>
    <w:p w:rsidR="00D25EFC" w:rsidRDefault="00D25EFC">
      <w:pPr>
        <w:pStyle w:val="TOC3"/>
        <w:tabs>
          <w:tab w:val="left" w:pos="1790"/>
        </w:tabs>
        <w:rPr>
          <w:rFonts w:asciiTheme="minorHAnsi" w:eastAsiaTheme="minorEastAsia" w:hAnsiTheme="minorHAnsi" w:cstheme="minorBidi"/>
          <w:noProof/>
          <w:szCs w:val="22"/>
        </w:rPr>
      </w:pPr>
      <w:hyperlink w:anchor="_Toc408836327" w:history="1">
        <w:r w:rsidR="00A27A2B">
          <w:rPr>
            <w:rStyle w:val="Hyperlink"/>
            <w:noProof/>
          </w:rPr>
          <w:t>2.2.11</w:t>
        </w:r>
        <w:r w:rsidR="00A27A2B">
          <w:rPr>
            <w:rFonts w:asciiTheme="minorHAnsi" w:eastAsiaTheme="minorEastAsia" w:hAnsiTheme="minorHAnsi" w:cstheme="minorBidi"/>
            <w:noProof/>
            <w:szCs w:val="22"/>
          </w:rPr>
          <w:tab/>
        </w:r>
        <w:r w:rsidR="00A27A2B">
          <w:rPr>
            <w:rStyle w:val="Hyperlink"/>
            <w:noProof/>
          </w:rPr>
          <w:t>Public awareness</w:t>
        </w:r>
        <w:r w:rsidR="00A27A2B">
          <w:rPr>
            <w:noProof/>
            <w:webHidden/>
          </w:rPr>
          <w:tab/>
        </w:r>
        <w:r>
          <w:rPr>
            <w:noProof/>
            <w:webHidden/>
          </w:rPr>
          <w:fldChar w:fldCharType="begin"/>
        </w:r>
        <w:r w:rsidR="00A27A2B">
          <w:rPr>
            <w:noProof/>
            <w:webHidden/>
          </w:rPr>
          <w:instrText xml:space="preserve"> PAGEREF _Toc408836327 \h </w:instrText>
        </w:r>
        <w:r>
          <w:rPr>
            <w:noProof/>
            <w:webHidden/>
          </w:rPr>
        </w:r>
        <w:r>
          <w:rPr>
            <w:noProof/>
            <w:webHidden/>
          </w:rPr>
          <w:fldChar w:fldCharType="separate"/>
        </w:r>
        <w:r w:rsidR="00A27A2B">
          <w:rPr>
            <w:noProof/>
            <w:webHidden/>
          </w:rPr>
          <w:t>23</w:t>
        </w:r>
        <w:r>
          <w:rPr>
            <w:noProof/>
            <w:webHidden/>
          </w:rPr>
          <w:fldChar w:fldCharType="end"/>
        </w:r>
      </w:hyperlink>
    </w:p>
    <w:p w:rsidR="00D25EFC" w:rsidRDefault="00D25EFC">
      <w:pPr>
        <w:pStyle w:val="TOC2"/>
        <w:rPr>
          <w:rFonts w:asciiTheme="minorHAnsi" w:eastAsiaTheme="minorEastAsia" w:hAnsiTheme="minorHAnsi" w:cstheme="minorBidi"/>
          <w:szCs w:val="22"/>
        </w:rPr>
      </w:pPr>
      <w:hyperlink w:anchor="_Toc408836328" w:history="1">
        <w:r w:rsidR="00A27A2B">
          <w:rPr>
            <w:rStyle w:val="Hyperlink"/>
          </w:rPr>
          <w:t>2.3</w:t>
        </w:r>
        <w:r w:rsidR="00A27A2B">
          <w:rPr>
            <w:rFonts w:asciiTheme="minorHAnsi" w:eastAsiaTheme="minorEastAsia" w:hAnsiTheme="minorHAnsi" w:cstheme="minorBidi"/>
            <w:szCs w:val="22"/>
          </w:rPr>
          <w:tab/>
        </w:r>
        <w:r w:rsidR="00A27A2B">
          <w:rPr>
            <w:rStyle w:val="Hyperlink"/>
          </w:rPr>
          <w:t>Feasibility of specific options for control in Australia</w:t>
        </w:r>
        <w:r w:rsidR="00A27A2B">
          <w:rPr>
            <w:webHidden/>
          </w:rPr>
          <w:tab/>
        </w:r>
        <w:r>
          <w:rPr>
            <w:webHidden/>
          </w:rPr>
          <w:fldChar w:fldCharType="begin"/>
        </w:r>
        <w:r w:rsidR="00A27A2B">
          <w:rPr>
            <w:webHidden/>
          </w:rPr>
          <w:instrText xml:space="preserve"> PAGEREF _Toc40</w:instrText>
        </w:r>
        <w:r w:rsidR="00A27A2B">
          <w:rPr>
            <w:webHidden/>
          </w:rPr>
          <w:instrText xml:space="preserve">8836328 \h </w:instrText>
        </w:r>
        <w:r>
          <w:rPr>
            <w:webHidden/>
          </w:rPr>
        </w:r>
        <w:r>
          <w:rPr>
            <w:webHidden/>
          </w:rPr>
          <w:fldChar w:fldCharType="separate"/>
        </w:r>
        <w:r w:rsidR="00A27A2B">
          <w:rPr>
            <w:webHidden/>
          </w:rPr>
          <w:t>24</w:t>
        </w:r>
        <w:r>
          <w:rPr>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29" w:history="1">
        <w:r w:rsidR="00A27A2B">
          <w:rPr>
            <w:rStyle w:val="Hyperlink"/>
            <w:noProof/>
          </w:rPr>
          <w:t>2.3.1</w:t>
        </w:r>
        <w:r w:rsidR="00A27A2B">
          <w:rPr>
            <w:rFonts w:asciiTheme="minorHAnsi" w:eastAsiaTheme="minorEastAsia" w:hAnsiTheme="minorHAnsi" w:cstheme="minorBidi"/>
            <w:noProof/>
            <w:szCs w:val="22"/>
          </w:rPr>
          <w:tab/>
        </w:r>
        <w:r w:rsidR="00A27A2B">
          <w:rPr>
            <w:rStyle w:val="Hyperlink"/>
            <w:noProof/>
          </w:rPr>
          <w:t>Eradication</w:t>
        </w:r>
        <w:r w:rsidR="00A27A2B">
          <w:rPr>
            <w:noProof/>
            <w:webHidden/>
          </w:rPr>
          <w:tab/>
        </w:r>
        <w:r>
          <w:rPr>
            <w:noProof/>
            <w:webHidden/>
          </w:rPr>
          <w:fldChar w:fldCharType="begin"/>
        </w:r>
        <w:r w:rsidR="00A27A2B">
          <w:rPr>
            <w:noProof/>
            <w:webHidden/>
          </w:rPr>
          <w:instrText xml:space="preserve"> PAGEREF _Toc408836329 \h </w:instrText>
        </w:r>
        <w:r>
          <w:rPr>
            <w:noProof/>
            <w:webHidden/>
          </w:rPr>
        </w:r>
        <w:r>
          <w:rPr>
            <w:noProof/>
            <w:webHidden/>
          </w:rPr>
          <w:fldChar w:fldCharType="separate"/>
        </w:r>
        <w:r w:rsidR="00A27A2B">
          <w:rPr>
            <w:noProof/>
            <w:webHidden/>
          </w:rPr>
          <w:t>24</w:t>
        </w:r>
        <w:r>
          <w:rPr>
            <w:noProof/>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30" w:history="1">
        <w:r w:rsidR="00A27A2B">
          <w:rPr>
            <w:rStyle w:val="Hyperlink"/>
            <w:noProof/>
          </w:rPr>
          <w:t>2.3.2</w:t>
        </w:r>
        <w:r w:rsidR="00A27A2B">
          <w:rPr>
            <w:rFonts w:asciiTheme="minorHAnsi" w:eastAsiaTheme="minorEastAsia" w:hAnsiTheme="minorHAnsi" w:cstheme="minorBidi"/>
            <w:noProof/>
            <w:szCs w:val="22"/>
          </w:rPr>
          <w:tab/>
        </w:r>
        <w:r w:rsidR="00A27A2B">
          <w:rPr>
            <w:rStyle w:val="Hyperlink"/>
            <w:noProof/>
          </w:rPr>
          <w:t>Containment, control and zoning</w:t>
        </w:r>
        <w:r w:rsidR="00A27A2B">
          <w:rPr>
            <w:noProof/>
            <w:webHidden/>
          </w:rPr>
          <w:tab/>
        </w:r>
        <w:r>
          <w:rPr>
            <w:noProof/>
            <w:webHidden/>
          </w:rPr>
          <w:fldChar w:fldCharType="begin"/>
        </w:r>
        <w:r w:rsidR="00A27A2B">
          <w:rPr>
            <w:noProof/>
            <w:webHidden/>
          </w:rPr>
          <w:instrText xml:space="preserve"> PAGEREF _Toc408836330 \h </w:instrText>
        </w:r>
        <w:r>
          <w:rPr>
            <w:noProof/>
            <w:webHidden/>
          </w:rPr>
        </w:r>
        <w:r>
          <w:rPr>
            <w:noProof/>
            <w:webHidden/>
          </w:rPr>
          <w:fldChar w:fldCharType="separate"/>
        </w:r>
        <w:r w:rsidR="00A27A2B">
          <w:rPr>
            <w:noProof/>
            <w:webHidden/>
          </w:rPr>
          <w:t>25</w:t>
        </w:r>
        <w:r>
          <w:rPr>
            <w:noProof/>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31" w:history="1">
        <w:r w:rsidR="00A27A2B">
          <w:rPr>
            <w:rStyle w:val="Hyperlink"/>
            <w:noProof/>
          </w:rPr>
          <w:t>2.3.3</w:t>
        </w:r>
        <w:r w:rsidR="00A27A2B">
          <w:rPr>
            <w:rFonts w:asciiTheme="minorHAnsi" w:eastAsiaTheme="minorEastAsia" w:hAnsiTheme="minorHAnsi" w:cstheme="minorBidi"/>
            <w:noProof/>
            <w:szCs w:val="22"/>
          </w:rPr>
          <w:tab/>
        </w:r>
        <w:r w:rsidR="00A27A2B">
          <w:rPr>
            <w:rStyle w:val="Hyperlink"/>
            <w:noProof/>
          </w:rPr>
          <w:t>Control and mitigation of disease</w:t>
        </w:r>
        <w:r w:rsidR="00A27A2B">
          <w:rPr>
            <w:noProof/>
            <w:webHidden/>
          </w:rPr>
          <w:tab/>
        </w:r>
        <w:r>
          <w:rPr>
            <w:noProof/>
            <w:webHidden/>
          </w:rPr>
          <w:fldChar w:fldCharType="begin"/>
        </w:r>
        <w:r w:rsidR="00A27A2B">
          <w:rPr>
            <w:noProof/>
            <w:webHidden/>
          </w:rPr>
          <w:instrText xml:space="preserve"> PAGEREF _Toc408836331</w:instrText>
        </w:r>
        <w:r w:rsidR="00A27A2B">
          <w:rPr>
            <w:noProof/>
            <w:webHidden/>
          </w:rPr>
          <w:instrText xml:space="preserve"> \h </w:instrText>
        </w:r>
        <w:r>
          <w:rPr>
            <w:noProof/>
            <w:webHidden/>
          </w:rPr>
        </w:r>
        <w:r>
          <w:rPr>
            <w:noProof/>
            <w:webHidden/>
          </w:rPr>
          <w:fldChar w:fldCharType="separate"/>
        </w:r>
        <w:r w:rsidR="00A27A2B">
          <w:rPr>
            <w:noProof/>
            <w:webHidden/>
          </w:rPr>
          <w:t>26</w:t>
        </w:r>
        <w:r>
          <w:rPr>
            <w:noProof/>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32" w:history="1">
        <w:r w:rsidR="00A27A2B">
          <w:rPr>
            <w:rStyle w:val="Hyperlink"/>
            <w:noProof/>
          </w:rPr>
          <w:t>2.3.4</w:t>
        </w:r>
        <w:r w:rsidR="00A27A2B">
          <w:rPr>
            <w:rFonts w:asciiTheme="minorHAnsi" w:eastAsiaTheme="minorEastAsia" w:hAnsiTheme="minorHAnsi" w:cstheme="minorBidi"/>
            <w:noProof/>
            <w:szCs w:val="22"/>
          </w:rPr>
          <w:tab/>
        </w:r>
        <w:r w:rsidR="00A27A2B">
          <w:rPr>
            <w:rStyle w:val="Hyperlink"/>
            <w:noProof/>
          </w:rPr>
          <w:t>Trade and industry considerations</w:t>
        </w:r>
        <w:r w:rsidR="00A27A2B">
          <w:rPr>
            <w:noProof/>
            <w:webHidden/>
          </w:rPr>
          <w:tab/>
        </w:r>
        <w:r>
          <w:rPr>
            <w:noProof/>
            <w:webHidden/>
          </w:rPr>
          <w:fldChar w:fldCharType="begin"/>
        </w:r>
        <w:r w:rsidR="00A27A2B">
          <w:rPr>
            <w:noProof/>
            <w:webHidden/>
          </w:rPr>
          <w:instrText xml:space="preserve"> PAGEREF _Toc408836332 \h </w:instrText>
        </w:r>
        <w:r>
          <w:rPr>
            <w:noProof/>
            <w:webHidden/>
          </w:rPr>
        </w:r>
        <w:r>
          <w:rPr>
            <w:noProof/>
            <w:webHidden/>
          </w:rPr>
          <w:fldChar w:fldCharType="separate"/>
        </w:r>
        <w:r w:rsidR="00A27A2B">
          <w:rPr>
            <w:noProof/>
            <w:webHidden/>
          </w:rPr>
          <w:t>26</w:t>
        </w:r>
        <w:r>
          <w:rPr>
            <w:noProof/>
            <w:webHidden/>
          </w:rPr>
          <w:fldChar w:fldCharType="end"/>
        </w:r>
      </w:hyperlink>
    </w:p>
    <w:p w:rsidR="00D25EFC" w:rsidRDefault="00D25EFC">
      <w:pPr>
        <w:pStyle w:val="TOC1"/>
        <w:tabs>
          <w:tab w:val="left" w:pos="426"/>
        </w:tabs>
        <w:rPr>
          <w:rFonts w:asciiTheme="minorHAnsi" w:eastAsiaTheme="minorEastAsia" w:hAnsiTheme="minorHAnsi" w:cstheme="minorBidi"/>
          <w:b w:val="0"/>
          <w:szCs w:val="22"/>
        </w:rPr>
      </w:pPr>
      <w:hyperlink w:anchor="_Toc408836333" w:history="1">
        <w:r w:rsidR="00A27A2B">
          <w:rPr>
            <w:rStyle w:val="Hyperlink"/>
          </w:rPr>
          <w:t>3</w:t>
        </w:r>
        <w:r w:rsidR="00A27A2B">
          <w:rPr>
            <w:rFonts w:asciiTheme="minorHAnsi" w:eastAsiaTheme="minorEastAsia" w:hAnsiTheme="minorHAnsi" w:cstheme="minorBidi"/>
            <w:b w:val="0"/>
            <w:szCs w:val="22"/>
          </w:rPr>
          <w:tab/>
        </w:r>
        <w:r w:rsidR="00A27A2B">
          <w:rPr>
            <w:rStyle w:val="Hyperlink"/>
          </w:rPr>
          <w:t>Policy and rationale</w:t>
        </w:r>
        <w:r w:rsidR="00A27A2B">
          <w:rPr>
            <w:webHidden/>
          </w:rPr>
          <w:tab/>
        </w:r>
        <w:r>
          <w:rPr>
            <w:webHidden/>
          </w:rPr>
          <w:fldChar w:fldCharType="begin"/>
        </w:r>
        <w:r w:rsidR="00A27A2B">
          <w:rPr>
            <w:webHidden/>
          </w:rPr>
          <w:instrText xml:space="preserve"> PAGEREF _Toc408836333 \h </w:instrText>
        </w:r>
        <w:r>
          <w:rPr>
            <w:webHidden/>
          </w:rPr>
        </w:r>
        <w:r>
          <w:rPr>
            <w:webHidden/>
          </w:rPr>
          <w:fldChar w:fldCharType="separate"/>
        </w:r>
        <w:r w:rsidR="00A27A2B">
          <w:rPr>
            <w:webHidden/>
          </w:rPr>
          <w:t>28</w:t>
        </w:r>
        <w:r>
          <w:rPr>
            <w:webHidden/>
          </w:rPr>
          <w:fldChar w:fldCharType="end"/>
        </w:r>
      </w:hyperlink>
    </w:p>
    <w:p w:rsidR="00D25EFC" w:rsidRDefault="00D25EFC">
      <w:pPr>
        <w:pStyle w:val="TOC2"/>
        <w:rPr>
          <w:rFonts w:asciiTheme="minorHAnsi" w:eastAsiaTheme="minorEastAsia" w:hAnsiTheme="minorHAnsi" w:cstheme="minorBidi"/>
          <w:szCs w:val="22"/>
        </w:rPr>
      </w:pPr>
      <w:hyperlink w:anchor="_Toc408836334" w:history="1">
        <w:r w:rsidR="00A27A2B">
          <w:rPr>
            <w:rStyle w:val="Hyperlink"/>
          </w:rPr>
          <w:t>3.1</w:t>
        </w:r>
        <w:r w:rsidR="00A27A2B">
          <w:rPr>
            <w:rFonts w:asciiTheme="minorHAnsi" w:eastAsiaTheme="minorEastAsia" w:hAnsiTheme="minorHAnsi" w:cstheme="minorBidi"/>
            <w:szCs w:val="22"/>
          </w:rPr>
          <w:tab/>
        </w:r>
        <w:r w:rsidR="00A27A2B">
          <w:rPr>
            <w:rStyle w:val="Hyperlink"/>
          </w:rPr>
          <w:t>Overall policy</w:t>
        </w:r>
        <w:r w:rsidR="00A27A2B">
          <w:rPr>
            <w:webHidden/>
          </w:rPr>
          <w:tab/>
        </w:r>
        <w:r>
          <w:rPr>
            <w:webHidden/>
          </w:rPr>
          <w:fldChar w:fldCharType="begin"/>
        </w:r>
        <w:r w:rsidR="00A27A2B">
          <w:rPr>
            <w:webHidden/>
          </w:rPr>
          <w:instrText xml:space="preserve"> PAGEREF _Toc408836334 \h </w:instrText>
        </w:r>
        <w:r>
          <w:rPr>
            <w:webHidden/>
          </w:rPr>
        </w:r>
        <w:r>
          <w:rPr>
            <w:webHidden/>
          </w:rPr>
          <w:fldChar w:fldCharType="separate"/>
        </w:r>
        <w:r w:rsidR="00A27A2B">
          <w:rPr>
            <w:webHidden/>
          </w:rPr>
          <w:t>28</w:t>
        </w:r>
        <w:r>
          <w:rPr>
            <w:webHidden/>
          </w:rPr>
          <w:fldChar w:fldCharType="end"/>
        </w:r>
      </w:hyperlink>
    </w:p>
    <w:p w:rsidR="00D25EFC" w:rsidRDefault="00D25EFC">
      <w:pPr>
        <w:pStyle w:val="TOC2"/>
        <w:rPr>
          <w:rFonts w:asciiTheme="minorHAnsi" w:eastAsiaTheme="minorEastAsia" w:hAnsiTheme="minorHAnsi" w:cstheme="minorBidi"/>
          <w:szCs w:val="22"/>
        </w:rPr>
      </w:pPr>
      <w:hyperlink w:anchor="_Toc408836335" w:history="1">
        <w:r w:rsidR="00A27A2B">
          <w:rPr>
            <w:rStyle w:val="Hyperlink"/>
          </w:rPr>
          <w:t>3.2</w:t>
        </w:r>
        <w:r w:rsidR="00A27A2B">
          <w:rPr>
            <w:rFonts w:asciiTheme="minorHAnsi" w:eastAsiaTheme="minorEastAsia" w:hAnsiTheme="minorHAnsi" w:cstheme="minorBidi"/>
            <w:szCs w:val="22"/>
          </w:rPr>
          <w:tab/>
        </w:r>
        <w:r w:rsidR="00A27A2B">
          <w:rPr>
            <w:rStyle w:val="Hyperlink"/>
          </w:rPr>
          <w:t>Overview of response options</w:t>
        </w:r>
        <w:r w:rsidR="00A27A2B">
          <w:rPr>
            <w:webHidden/>
          </w:rPr>
          <w:tab/>
        </w:r>
        <w:r>
          <w:rPr>
            <w:webHidden/>
          </w:rPr>
          <w:fldChar w:fldCharType="begin"/>
        </w:r>
        <w:r w:rsidR="00A27A2B">
          <w:rPr>
            <w:webHidden/>
          </w:rPr>
          <w:instrText xml:space="preserve"> PAGEREF _Toc408836335 \h </w:instrText>
        </w:r>
        <w:r>
          <w:rPr>
            <w:webHidden/>
          </w:rPr>
        </w:r>
        <w:r>
          <w:rPr>
            <w:webHidden/>
          </w:rPr>
          <w:fldChar w:fldCharType="separate"/>
        </w:r>
        <w:r w:rsidR="00A27A2B">
          <w:rPr>
            <w:webHidden/>
          </w:rPr>
          <w:t>29</w:t>
        </w:r>
        <w:r>
          <w:rPr>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36" w:history="1">
        <w:r w:rsidR="00A27A2B">
          <w:rPr>
            <w:rStyle w:val="Hyperlink"/>
            <w:noProof/>
          </w:rPr>
          <w:t>3.2.1</w:t>
        </w:r>
        <w:r w:rsidR="00A27A2B">
          <w:rPr>
            <w:rFonts w:asciiTheme="minorHAnsi" w:eastAsiaTheme="minorEastAsia" w:hAnsiTheme="minorHAnsi" w:cstheme="minorBidi"/>
            <w:noProof/>
            <w:szCs w:val="22"/>
          </w:rPr>
          <w:tab/>
        </w:r>
        <w:r w:rsidR="00A27A2B">
          <w:rPr>
            <w:rStyle w:val="Hyperlink"/>
            <w:noProof/>
          </w:rPr>
          <w:t>Option 1: Eradication</w:t>
        </w:r>
        <w:r w:rsidR="00A27A2B">
          <w:rPr>
            <w:noProof/>
            <w:webHidden/>
          </w:rPr>
          <w:tab/>
        </w:r>
        <w:r>
          <w:rPr>
            <w:noProof/>
            <w:webHidden/>
          </w:rPr>
          <w:fldChar w:fldCharType="begin"/>
        </w:r>
        <w:r w:rsidR="00A27A2B">
          <w:rPr>
            <w:noProof/>
            <w:webHidden/>
          </w:rPr>
          <w:instrText xml:space="preserve"> PAGEREF _Toc408836336 \h </w:instrText>
        </w:r>
        <w:r>
          <w:rPr>
            <w:noProof/>
            <w:webHidden/>
          </w:rPr>
        </w:r>
        <w:r>
          <w:rPr>
            <w:noProof/>
            <w:webHidden/>
          </w:rPr>
          <w:fldChar w:fldCharType="separate"/>
        </w:r>
        <w:r w:rsidR="00A27A2B">
          <w:rPr>
            <w:noProof/>
            <w:webHidden/>
          </w:rPr>
          <w:t>29</w:t>
        </w:r>
        <w:r>
          <w:rPr>
            <w:noProof/>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37" w:history="1">
        <w:r w:rsidR="00A27A2B">
          <w:rPr>
            <w:rStyle w:val="Hyperlink"/>
            <w:noProof/>
          </w:rPr>
          <w:t>3.2.</w:t>
        </w:r>
        <w:r w:rsidR="00A27A2B">
          <w:rPr>
            <w:rStyle w:val="Hyperlink"/>
            <w:noProof/>
          </w:rPr>
          <w:t>2</w:t>
        </w:r>
        <w:r w:rsidR="00A27A2B">
          <w:rPr>
            <w:rFonts w:asciiTheme="minorHAnsi" w:eastAsiaTheme="minorEastAsia" w:hAnsiTheme="minorHAnsi" w:cstheme="minorBidi"/>
            <w:noProof/>
            <w:szCs w:val="22"/>
          </w:rPr>
          <w:tab/>
        </w:r>
        <w:r w:rsidR="00A27A2B">
          <w:rPr>
            <w:rStyle w:val="Hyperlink"/>
            <w:noProof/>
          </w:rPr>
          <w:t>Option 2: Containment, control and zoning</w:t>
        </w:r>
        <w:r w:rsidR="00A27A2B">
          <w:rPr>
            <w:noProof/>
            <w:webHidden/>
          </w:rPr>
          <w:tab/>
        </w:r>
        <w:r>
          <w:rPr>
            <w:noProof/>
            <w:webHidden/>
          </w:rPr>
          <w:fldChar w:fldCharType="begin"/>
        </w:r>
        <w:r w:rsidR="00A27A2B">
          <w:rPr>
            <w:noProof/>
            <w:webHidden/>
          </w:rPr>
          <w:instrText xml:space="preserve"> PAGEREF _Toc408836337 \h </w:instrText>
        </w:r>
        <w:r>
          <w:rPr>
            <w:noProof/>
            <w:webHidden/>
          </w:rPr>
        </w:r>
        <w:r>
          <w:rPr>
            <w:noProof/>
            <w:webHidden/>
          </w:rPr>
          <w:fldChar w:fldCharType="separate"/>
        </w:r>
        <w:r w:rsidR="00A27A2B">
          <w:rPr>
            <w:noProof/>
            <w:webHidden/>
          </w:rPr>
          <w:t>29</w:t>
        </w:r>
        <w:r>
          <w:rPr>
            <w:noProof/>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38" w:history="1">
        <w:r w:rsidR="00A27A2B">
          <w:rPr>
            <w:rStyle w:val="Hyperlink"/>
            <w:noProof/>
          </w:rPr>
          <w:t>3.2.3</w:t>
        </w:r>
        <w:r w:rsidR="00A27A2B">
          <w:rPr>
            <w:rFonts w:asciiTheme="minorHAnsi" w:eastAsiaTheme="minorEastAsia" w:hAnsiTheme="minorHAnsi" w:cstheme="minorBidi"/>
            <w:noProof/>
            <w:szCs w:val="22"/>
          </w:rPr>
          <w:tab/>
        </w:r>
        <w:r w:rsidR="00A27A2B">
          <w:rPr>
            <w:rStyle w:val="Hyperlink"/>
            <w:noProof/>
          </w:rPr>
          <w:t>Option 3: Control and mitigation of disease</w:t>
        </w:r>
        <w:r w:rsidR="00A27A2B">
          <w:rPr>
            <w:noProof/>
            <w:webHidden/>
          </w:rPr>
          <w:tab/>
        </w:r>
        <w:r>
          <w:rPr>
            <w:noProof/>
            <w:webHidden/>
          </w:rPr>
          <w:fldChar w:fldCharType="begin"/>
        </w:r>
        <w:r w:rsidR="00A27A2B">
          <w:rPr>
            <w:noProof/>
            <w:webHidden/>
          </w:rPr>
          <w:instrText xml:space="preserve"> PAGEREF _Toc408836338 \h </w:instrText>
        </w:r>
        <w:r>
          <w:rPr>
            <w:noProof/>
            <w:webHidden/>
          </w:rPr>
        </w:r>
        <w:r>
          <w:rPr>
            <w:noProof/>
            <w:webHidden/>
          </w:rPr>
          <w:fldChar w:fldCharType="separate"/>
        </w:r>
        <w:r w:rsidR="00A27A2B">
          <w:rPr>
            <w:noProof/>
            <w:webHidden/>
          </w:rPr>
          <w:t>29</w:t>
        </w:r>
        <w:r>
          <w:rPr>
            <w:noProof/>
            <w:webHidden/>
          </w:rPr>
          <w:fldChar w:fldCharType="end"/>
        </w:r>
      </w:hyperlink>
    </w:p>
    <w:p w:rsidR="00D25EFC" w:rsidRDefault="00D25EFC">
      <w:pPr>
        <w:pStyle w:val="TOC2"/>
        <w:rPr>
          <w:rFonts w:asciiTheme="minorHAnsi" w:eastAsiaTheme="minorEastAsia" w:hAnsiTheme="minorHAnsi" w:cstheme="minorBidi"/>
          <w:szCs w:val="22"/>
        </w:rPr>
      </w:pPr>
      <w:hyperlink w:anchor="_Toc408836339" w:history="1">
        <w:r w:rsidR="00A27A2B">
          <w:rPr>
            <w:rStyle w:val="Hyperlink"/>
          </w:rPr>
          <w:t>3.3</w:t>
        </w:r>
        <w:r w:rsidR="00A27A2B">
          <w:rPr>
            <w:rFonts w:asciiTheme="minorHAnsi" w:eastAsiaTheme="minorEastAsia" w:hAnsiTheme="minorHAnsi" w:cstheme="minorBidi"/>
            <w:szCs w:val="22"/>
          </w:rPr>
          <w:tab/>
        </w:r>
        <w:r w:rsidR="00A27A2B">
          <w:rPr>
            <w:rStyle w:val="Hyperlink"/>
          </w:rPr>
          <w:t>Strategies for control and eradication</w:t>
        </w:r>
        <w:r w:rsidR="00A27A2B">
          <w:rPr>
            <w:webHidden/>
          </w:rPr>
          <w:tab/>
        </w:r>
        <w:r>
          <w:rPr>
            <w:webHidden/>
          </w:rPr>
          <w:fldChar w:fldCharType="begin"/>
        </w:r>
        <w:r w:rsidR="00A27A2B">
          <w:rPr>
            <w:webHidden/>
          </w:rPr>
          <w:instrText xml:space="preserve"> PAGEREF _Toc408836339 \h </w:instrText>
        </w:r>
        <w:r>
          <w:rPr>
            <w:webHidden/>
          </w:rPr>
        </w:r>
        <w:r>
          <w:rPr>
            <w:webHidden/>
          </w:rPr>
          <w:fldChar w:fldCharType="separate"/>
        </w:r>
        <w:r w:rsidR="00A27A2B">
          <w:rPr>
            <w:webHidden/>
          </w:rPr>
          <w:t>30</w:t>
        </w:r>
        <w:r>
          <w:rPr>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40" w:history="1">
        <w:r w:rsidR="00A27A2B">
          <w:rPr>
            <w:rStyle w:val="Hyperlink"/>
            <w:noProof/>
          </w:rPr>
          <w:t>3.3.1</w:t>
        </w:r>
        <w:r w:rsidR="00A27A2B">
          <w:rPr>
            <w:rFonts w:asciiTheme="minorHAnsi" w:eastAsiaTheme="minorEastAsia" w:hAnsiTheme="minorHAnsi" w:cstheme="minorBidi"/>
            <w:noProof/>
            <w:szCs w:val="22"/>
          </w:rPr>
          <w:tab/>
        </w:r>
        <w:r w:rsidR="00A27A2B">
          <w:rPr>
            <w:rStyle w:val="Hyperlink"/>
            <w:noProof/>
          </w:rPr>
          <w:t>Epidemiological investigations</w:t>
        </w:r>
        <w:r w:rsidR="00A27A2B">
          <w:rPr>
            <w:noProof/>
            <w:webHidden/>
          </w:rPr>
          <w:tab/>
        </w:r>
        <w:r>
          <w:rPr>
            <w:noProof/>
            <w:webHidden/>
          </w:rPr>
          <w:fldChar w:fldCharType="begin"/>
        </w:r>
        <w:r w:rsidR="00A27A2B">
          <w:rPr>
            <w:noProof/>
            <w:webHidden/>
          </w:rPr>
          <w:instrText xml:space="preserve"> PAGEREF _Toc408836340 \h </w:instrText>
        </w:r>
        <w:r>
          <w:rPr>
            <w:noProof/>
            <w:webHidden/>
          </w:rPr>
        </w:r>
        <w:r>
          <w:rPr>
            <w:noProof/>
            <w:webHidden/>
          </w:rPr>
          <w:fldChar w:fldCharType="separate"/>
        </w:r>
        <w:r w:rsidR="00A27A2B">
          <w:rPr>
            <w:noProof/>
            <w:webHidden/>
          </w:rPr>
          <w:t>30</w:t>
        </w:r>
        <w:r>
          <w:rPr>
            <w:noProof/>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41" w:history="1">
        <w:r w:rsidR="00A27A2B">
          <w:rPr>
            <w:rStyle w:val="Hyperlink"/>
            <w:noProof/>
          </w:rPr>
          <w:t>3.3.2</w:t>
        </w:r>
        <w:r w:rsidR="00A27A2B">
          <w:rPr>
            <w:rFonts w:asciiTheme="minorHAnsi" w:eastAsiaTheme="minorEastAsia" w:hAnsiTheme="minorHAnsi" w:cstheme="minorBidi"/>
            <w:noProof/>
            <w:szCs w:val="22"/>
          </w:rPr>
          <w:tab/>
        </w:r>
        <w:r w:rsidR="00A27A2B">
          <w:rPr>
            <w:rStyle w:val="Hyperlink"/>
            <w:noProof/>
          </w:rPr>
          <w:t>Quarantine and movement controls</w:t>
        </w:r>
        <w:r w:rsidR="00A27A2B">
          <w:rPr>
            <w:noProof/>
            <w:webHidden/>
          </w:rPr>
          <w:tab/>
        </w:r>
        <w:r>
          <w:rPr>
            <w:noProof/>
            <w:webHidden/>
          </w:rPr>
          <w:fldChar w:fldCharType="begin"/>
        </w:r>
        <w:r w:rsidR="00A27A2B">
          <w:rPr>
            <w:noProof/>
            <w:webHidden/>
          </w:rPr>
          <w:instrText xml:space="preserve"> PAGEREF _Toc408836341 \h </w:instrText>
        </w:r>
        <w:r>
          <w:rPr>
            <w:noProof/>
            <w:webHidden/>
          </w:rPr>
        </w:r>
        <w:r>
          <w:rPr>
            <w:noProof/>
            <w:webHidden/>
          </w:rPr>
          <w:fldChar w:fldCharType="separate"/>
        </w:r>
        <w:r w:rsidR="00A27A2B">
          <w:rPr>
            <w:noProof/>
            <w:webHidden/>
          </w:rPr>
          <w:t>31</w:t>
        </w:r>
        <w:r>
          <w:rPr>
            <w:noProof/>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42" w:history="1">
        <w:r w:rsidR="00A27A2B">
          <w:rPr>
            <w:rStyle w:val="Hyperlink"/>
            <w:noProof/>
          </w:rPr>
          <w:t>3.3.3</w:t>
        </w:r>
        <w:r w:rsidR="00A27A2B">
          <w:rPr>
            <w:rFonts w:asciiTheme="minorHAnsi" w:eastAsiaTheme="minorEastAsia" w:hAnsiTheme="minorHAnsi" w:cstheme="minorBidi"/>
            <w:noProof/>
            <w:szCs w:val="22"/>
          </w:rPr>
          <w:tab/>
        </w:r>
        <w:r w:rsidR="00A27A2B">
          <w:rPr>
            <w:rStyle w:val="Hyperlink"/>
            <w:noProof/>
          </w:rPr>
          <w:t>Treatment of fish</w:t>
        </w:r>
        <w:r w:rsidR="00A27A2B">
          <w:rPr>
            <w:noProof/>
            <w:webHidden/>
          </w:rPr>
          <w:tab/>
        </w:r>
        <w:r>
          <w:rPr>
            <w:noProof/>
            <w:webHidden/>
          </w:rPr>
          <w:fldChar w:fldCharType="begin"/>
        </w:r>
        <w:r w:rsidR="00A27A2B">
          <w:rPr>
            <w:noProof/>
            <w:webHidden/>
          </w:rPr>
          <w:instrText xml:space="preserve"> PAGEREF _Toc408836342 \h </w:instrText>
        </w:r>
        <w:r>
          <w:rPr>
            <w:noProof/>
            <w:webHidden/>
          </w:rPr>
        </w:r>
        <w:r>
          <w:rPr>
            <w:noProof/>
            <w:webHidden/>
          </w:rPr>
          <w:fldChar w:fldCharType="separate"/>
        </w:r>
        <w:r w:rsidR="00A27A2B">
          <w:rPr>
            <w:noProof/>
            <w:webHidden/>
          </w:rPr>
          <w:t>31</w:t>
        </w:r>
        <w:r>
          <w:rPr>
            <w:noProof/>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43" w:history="1">
        <w:r w:rsidR="00A27A2B">
          <w:rPr>
            <w:rStyle w:val="Hyperlink"/>
            <w:noProof/>
          </w:rPr>
          <w:t>3.3.4</w:t>
        </w:r>
        <w:r w:rsidR="00A27A2B">
          <w:rPr>
            <w:rFonts w:asciiTheme="minorHAnsi" w:eastAsiaTheme="minorEastAsia" w:hAnsiTheme="minorHAnsi" w:cstheme="minorBidi"/>
            <w:noProof/>
            <w:szCs w:val="22"/>
          </w:rPr>
          <w:tab/>
        </w:r>
        <w:r w:rsidR="00A27A2B">
          <w:rPr>
            <w:rStyle w:val="Hyperlink"/>
            <w:noProof/>
          </w:rPr>
          <w:t>Va</w:t>
        </w:r>
        <w:r w:rsidR="00A27A2B">
          <w:rPr>
            <w:rStyle w:val="Hyperlink"/>
            <w:noProof/>
          </w:rPr>
          <w:t>ccination</w:t>
        </w:r>
        <w:r w:rsidR="00A27A2B">
          <w:rPr>
            <w:noProof/>
            <w:webHidden/>
          </w:rPr>
          <w:tab/>
        </w:r>
        <w:r>
          <w:rPr>
            <w:noProof/>
            <w:webHidden/>
          </w:rPr>
          <w:fldChar w:fldCharType="begin"/>
        </w:r>
        <w:r w:rsidR="00A27A2B">
          <w:rPr>
            <w:noProof/>
            <w:webHidden/>
          </w:rPr>
          <w:instrText xml:space="preserve"> PAGEREF _Toc408836343 \h </w:instrText>
        </w:r>
        <w:r>
          <w:rPr>
            <w:noProof/>
            <w:webHidden/>
          </w:rPr>
        </w:r>
        <w:r>
          <w:rPr>
            <w:noProof/>
            <w:webHidden/>
          </w:rPr>
          <w:fldChar w:fldCharType="separate"/>
        </w:r>
        <w:r w:rsidR="00A27A2B">
          <w:rPr>
            <w:noProof/>
            <w:webHidden/>
          </w:rPr>
          <w:t>31</w:t>
        </w:r>
        <w:r>
          <w:rPr>
            <w:noProof/>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44" w:history="1">
        <w:r w:rsidR="00A27A2B">
          <w:rPr>
            <w:rStyle w:val="Hyperlink"/>
            <w:noProof/>
          </w:rPr>
          <w:t>3.3.5</w:t>
        </w:r>
        <w:r w:rsidR="00A27A2B">
          <w:rPr>
            <w:rFonts w:asciiTheme="minorHAnsi" w:eastAsiaTheme="minorEastAsia" w:hAnsiTheme="minorHAnsi" w:cstheme="minorBidi"/>
            <w:noProof/>
            <w:szCs w:val="22"/>
          </w:rPr>
          <w:tab/>
        </w:r>
        <w:r w:rsidR="00A27A2B">
          <w:rPr>
            <w:rStyle w:val="Hyperlink"/>
            <w:noProof/>
          </w:rPr>
          <w:t>Destruction of fish</w:t>
        </w:r>
        <w:r w:rsidR="00A27A2B">
          <w:rPr>
            <w:noProof/>
            <w:webHidden/>
          </w:rPr>
          <w:tab/>
        </w:r>
        <w:r>
          <w:rPr>
            <w:noProof/>
            <w:webHidden/>
          </w:rPr>
          <w:fldChar w:fldCharType="begin"/>
        </w:r>
        <w:r w:rsidR="00A27A2B">
          <w:rPr>
            <w:noProof/>
            <w:webHidden/>
          </w:rPr>
          <w:instrText xml:space="preserve"> PAGEREF _Toc408836344 \h </w:instrText>
        </w:r>
        <w:r>
          <w:rPr>
            <w:noProof/>
            <w:webHidden/>
          </w:rPr>
        </w:r>
        <w:r>
          <w:rPr>
            <w:noProof/>
            <w:webHidden/>
          </w:rPr>
          <w:fldChar w:fldCharType="separate"/>
        </w:r>
        <w:r w:rsidR="00A27A2B">
          <w:rPr>
            <w:noProof/>
            <w:webHidden/>
          </w:rPr>
          <w:t>31</w:t>
        </w:r>
        <w:r>
          <w:rPr>
            <w:noProof/>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45" w:history="1">
        <w:r w:rsidR="00A27A2B">
          <w:rPr>
            <w:rStyle w:val="Hyperlink"/>
            <w:noProof/>
          </w:rPr>
          <w:t>3.3.6</w:t>
        </w:r>
        <w:r w:rsidR="00A27A2B">
          <w:rPr>
            <w:rFonts w:asciiTheme="minorHAnsi" w:eastAsiaTheme="minorEastAsia" w:hAnsiTheme="minorHAnsi" w:cstheme="minorBidi"/>
            <w:noProof/>
            <w:szCs w:val="22"/>
          </w:rPr>
          <w:tab/>
        </w:r>
        <w:r w:rsidR="00A27A2B">
          <w:rPr>
            <w:rStyle w:val="Hyperlink"/>
            <w:noProof/>
          </w:rPr>
          <w:t>Treatment of fish products and by-products</w:t>
        </w:r>
        <w:r w:rsidR="00A27A2B">
          <w:rPr>
            <w:noProof/>
            <w:webHidden/>
          </w:rPr>
          <w:tab/>
        </w:r>
        <w:r>
          <w:rPr>
            <w:noProof/>
            <w:webHidden/>
          </w:rPr>
          <w:fldChar w:fldCharType="begin"/>
        </w:r>
        <w:r w:rsidR="00A27A2B">
          <w:rPr>
            <w:noProof/>
            <w:webHidden/>
          </w:rPr>
          <w:instrText xml:space="preserve"> PAGEREF _Toc408836345 \h </w:instrText>
        </w:r>
        <w:r>
          <w:rPr>
            <w:noProof/>
            <w:webHidden/>
          </w:rPr>
        </w:r>
        <w:r>
          <w:rPr>
            <w:noProof/>
            <w:webHidden/>
          </w:rPr>
          <w:fldChar w:fldCharType="separate"/>
        </w:r>
        <w:r w:rsidR="00A27A2B">
          <w:rPr>
            <w:noProof/>
            <w:webHidden/>
          </w:rPr>
          <w:t>31</w:t>
        </w:r>
        <w:r>
          <w:rPr>
            <w:noProof/>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46" w:history="1">
        <w:r w:rsidR="00A27A2B">
          <w:rPr>
            <w:rStyle w:val="Hyperlink"/>
            <w:noProof/>
          </w:rPr>
          <w:t>3.3.7</w:t>
        </w:r>
        <w:r w:rsidR="00A27A2B">
          <w:rPr>
            <w:rFonts w:asciiTheme="minorHAnsi" w:eastAsiaTheme="minorEastAsia" w:hAnsiTheme="minorHAnsi" w:cstheme="minorBidi"/>
            <w:noProof/>
            <w:szCs w:val="22"/>
          </w:rPr>
          <w:tab/>
        </w:r>
        <w:r w:rsidR="00A27A2B">
          <w:rPr>
            <w:rStyle w:val="Hyperlink"/>
            <w:noProof/>
          </w:rPr>
          <w:t>Vector control</w:t>
        </w:r>
        <w:r w:rsidR="00A27A2B">
          <w:rPr>
            <w:noProof/>
            <w:webHidden/>
          </w:rPr>
          <w:tab/>
        </w:r>
        <w:r>
          <w:rPr>
            <w:noProof/>
            <w:webHidden/>
          </w:rPr>
          <w:fldChar w:fldCharType="begin"/>
        </w:r>
        <w:r w:rsidR="00A27A2B">
          <w:rPr>
            <w:noProof/>
            <w:webHidden/>
          </w:rPr>
          <w:instrText xml:space="preserve"> PAGEREF _Toc408836346 \h </w:instrText>
        </w:r>
        <w:r>
          <w:rPr>
            <w:noProof/>
            <w:webHidden/>
          </w:rPr>
        </w:r>
        <w:r>
          <w:rPr>
            <w:noProof/>
            <w:webHidden/>
          </w:rPr>
          <w:fldChar w:fldCharType="separate"/>
        </w:r>
        <w:r w:rsidR="00A27A2B">
          <w:rPr>
            <w:noProof/>
            <w:webHidden/>
          </w:rPr>
          <w:t>32</w:t>
        </w:r>
        <w:r>
          <w:rPr>
            <w:noProof/>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47" w:history="1">
        <w:r w:rsidR="00A27A2B">
          <w:rPr>
            <w:rStyle w:val="Hyperlink"/>
            <w:noProof/>
          </w:rPr>
          <w:t>3.3.8</w:t>
        </w:r>
        <w:r w:rsidR="00A27A2B">
          <w:rPr>
            <w:rFonts w:asciiTheme="minorHAnsi" w:eastAsiaTheme="minorEastAsia" w:hAnsiTheme="minorHAnsi" w:cstheme="minorBidi"/>
            <w:noProof/>
            <w:szCs w:val="22"/>
          </w:rPr>
          <w:tab/>
        </w:r>
        <w:r w:rsidR="00A27A2B">
          <w:rPr>
            <w:rStyle w:val="Hyperlink"/>
            <w:noProof/>
          </w:rPr>
          <w:t>Public</w:t>
        </w:r>
        <w:r w:rsidR="00A27A2B">
          <w:rPr>
            <w:rStyle w:val="Hyperlink"/>
            <w:noProof/>
          </w:rPr>
          <w:t xml:space="preserve"> awareness</w:t>
        </w:r>
        <w:r w:rsidR="00A27A2B">
          <w:rPr>
            <w:noProof/>
            <w:webHidden/>
          </w:rPr>
          <w:tab/>
        </w:r>
        <w:r>
          <w:rPr>
            <w:noProof/>
            <w:webHidden/>
          </w:rPr>
          <w:fldChar w:fldCharType="begin"/>
        </w:r>
        <w:r w:rsidR="00A27A2B">
          <w:rPr>
            <w:noProof/>
            <w:webHidden/>
          </w:rPr>
          <w:instrText xml:space="preserve"> PAGEREF _Toc408836347 \h </w:instrText>
        </w:r>
        <w:r>
          <w:rPr>
            <w:noProof/>
            <w:webHidden/>
          </w:rPr>
        </w:r>
        <w:r>
          <w:rPr>
            <w:noProof/>
            <w:webHidden/>
          </w:rPr>
          <w:fldChar w:fldCharType="separate"/>
        </w:r>
        <w:r w:rsidR="00A27A2B">
          <w:rPr>
            <w:noProof/>
            <w:webHidden/>
          </w:rPr>
          <w:t>32</w:t>
        </w:r>
        <w:r>
          <w:rPr>
            <w:noProof/>
            <w:webHidden/>
          </w:rPr>
          <w:fldChar w:fldCharType="end"/>
        </w:r>
      </w:hyperlink>
    </w:p>
    <w:p w:rsidR="00D25EFC" w:rsidRDefault="00D25EFC">
      <w:pPr>
        <w:pStyle w:val="TOC2"/>
        <w:rPr>
          <w:rFonts w:asciiTheme="minorHAnsi" w:eastAsiaTheme="minorEastAsia" w:hAnsiTheme="minorHAnsi" w:cstheme="minorBidi"/>
          <w:szCs w:val="22"/>
        </w:rPr>
      </w:pPr>
      <w:hyperlink w:anchor="_Toc408836348" w:history="1">
        <w:r w:rsidR="00A27A2B">
          <w:rPr>
            <w:rStyle w:val="Hyperlink"/>
          </w:rPr>
          <w:t>3.4</w:t>
        </w:r>
        <w:r w:rsidR="00A27A2B">
          <w:rPr>
            <w:rFonts w:asciiTheme="minorHAnsi" w:eastAsiaTheme="minorEastAsia" w:hAnsiTheme="minorHAnsi" w:cstheme="minorBidi"/>
            <w:szCs w:val="22"/>
          </w:rPr>
          <w:tab/>
        </w:r>
        <w:r w:rsidR="00A27A2B">
          <w:rPr>
            <w:rStyle w:val="Hyperlink"/>
          </w:rPr>
          <w:t>Social and economic effects</w:t>
        </w:r>
        <w:r w:rsidR="00A27A2B">
          <w:rPr>
            <w:webHidden/>
          </w:rPr>
          <w:tab/>
        </w:r>
        <w:r>
          <w:rPr>
            <w:webHidden/>
          </w:rPr>
          <w:fldChar w:fldCharType="begin"/>
        </w:r>
        <w:r w:rsidR="00A27A2B">
          <w:rPr>
            <w:webHidden/>
          </w:rPr>
          <w:instrText xml:space="preserve"> PAGEREF _Toc408836348 \h </w:instrText>
        </w:r>
        <w:r>
          <w:rPr>
            <w:webHidden/>
          </w:rPr>
        </w:r>
        <w:r>
          <w:rPr>
            <w:webHidden/>
          </w:rPr>
          <w:fldChar w:fldCharType="separate"/>
        </w:r>
        <w:r w:rsidR="00A27A2B">
          <w:rPr>
            <w:webHidden/>
          </w:rPr>
          <w:t>32</w:t>
        </w:r>
        <w:r>
          <w:rPr>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49" w:history="1">
        <w:r w:rsidR="00A27A2B">
          <w:rPr>
            <w:rStyle w:val="Hyperlink"/>
            <w:noProof/>
          </w:rPr>
          <w:t>3.4.1</w:t>
        </w:r>
        <w:r w:rsidR="00A27A2B">
          <w:rPr>
            <w:rFonts w:asciiTheme="minorHAnsi" w:eastAsiaTheme="minorEastAsia" w:hAnsiTheme="minorHAnsi" w:cstheme="minorBidi"/>
            <w:noProof/>
            <w:szCs w:val="22"/>
          </w:rPr>
          <w:tab/>
        </w:r>
        <w:r w:rsidR="00A27A2B">
          <w:rPr>
            <w:rStyle w:val="Hyperlink"/>
            <w:noProof/>
          </w:rPr>
          <w:t>Export markets</w:t>
        </w:r>
        <w:r w:rsidR="00A27A2B">
          <w:rPr>
            <w:noProof/>
            <w:webHidden/>
          </w:rPr>
          <w:tab/>
        </w:r>
        <w:r>
          <w:rPr>
            <w:noProof/>
            <w:webHidden/>
          </w:rPr>
          <w:fldChar w:fldCharType="begin"/>
        </w:r>
        <w:r w:rsidR="00A27A2B">
          <w:rPr>
            <w:noProof/>
            <w:webHidden/>
          </w:rPr>
          <w:instrText xml:space="preserve"> PAGEREF _Toc408836349 \h </w:instrText>
        </w:r>
        <w:r>
          <w:rPr>
            <w:noProof/>
            <w:webHidden/>
          </w:rPr>
        </w:r>
        <w:r>
          <w:rPr>
            <w:noProof/>
            <w:webHidden/>
          </w:rPr>
          <w:fldChar w:fldCharType="separate"/>
        </w:r>
        <w:r w:rsidR="00A27A2B">
          <w:rPr>
            <w:noProof/>
            <w:webHidden/>
          </w:rPr>
          <w:t>32</w:t>
        </w:r>
        <w:r>
          <w:rPr>
            <w:noProof/>
            <w:webHidden/>
          </w:rPr>
          <w:fldChar w:fldCharType="end"/>
        </w:r>
      </w:hyperlink>
    </w:p>
    <w:p w:rsidR="00D25EFC" w:rsidRDefault="00D25EFC">
      <w:pPr>
        <w:pStyle w:val="TOC3"/>
        <w:tabs>
          <w:tab w:val="left" w:pos="1701"/>
        </w:tabs>
        <w:rPr>
          <w:rFonts w:asciiTheme="minorHAnsi" w:eastAsiaTheme="minorEastAsia" w:hAnsiTheme="minorHAnsi" w:cstheme="minorBidi"/>
          <w:noProof/>
          <w:szCs w:val="22"/>
        </w:rPr>
      </w:pPr>
      <w:hyperlink w:anchor="_Toc408836350" w:history="1">
        <w:r w:rsidR="00A27A2B">
          <w:rPr>
            <w:rStyle w:val="Hyperlink"/>
            <w:noProof/>
          </w:rPr>
          <w:t>3.4.2</w:t>
        </w:r>
        <w:r w:rsidR="00A27A2B">
          <w:rPr>
            <w:rFonts w:asciiTheme="minorHAnsi" w:eastAsiaTheme="minorEastAsia" w:hAnsiTheme="minorHAnsi" w:cstheme="minorBidi"/>
            <w:noProof/>
            <w:szCs w:val="22"/>
          </w:rPr>
          <w:tab/>
        </w:r>
        <w:r w:rsidR="00A27A2B">
          <w:rPr>
            <w:rStyle w:val="Hyperlink"/>
            <w:noProof/>
          </w:rPr>
          <w:t>Domest</w:t>
        </w:r>
        <w:r w:rsidR="00A27A2B">
          <w:rPr>
            <w:rStyle w:val="Hyperlink"/>
            <w:noProof/>
          </w:rPr>
          <w:t>ic markets</w:t>
        </w:r>
        <w:r w:rsidR="00A27A2B">
          <w:rPr>
            <w:noProof/>
            <w:webHidden/>
          </w:rPr>
          <w:tab/>
        </w:r>
        <w:r>
          <w:rPr>
            <w:noProof/>
            <w:webHidden/>
          </w:rPr>
          <w:fldChar w:fldCharType="begin"/>
        </w:r>
        <w:r w:rsidR="00A27A2B">
          <w:rPr>
            <w:noProof/>
            <w:webHidden/>
          </w:rPr>
          <w:instrText xml:space="preserve"> PAGEREF _Toc408836350 \h </w:instrText>
        </w:r>
        <w:r>
          <w:rPr>
            <w:noProof/>
            <w:webHidden/>
          </w:rPr>
        </w:r>
        <w:r>
          <w:rPr>
            <w:noProof/>
            <w:webHidden/>
          </w:rPr>
          <w:fldChar w:fldCharType="separate"/>
        </w:r>
        <w:r w:rsidR="00A27A2B">
          <w:rPr>
            <w:noProof/>
            <w:webHidden/>
          </w:rPr>
          <w:t>32</w:t>
        </w:r>
        <w:r>
          <w:rPr>
            <w:noProof/>
            <w:webHidden/>
          </w:rPr>
          <w:fldChar w:fldCharType="end"/>
        </w:r>
      </w:hyperlink>
    </w:p>
    <w:p w:rsidR="00D25EFC" w:rsidRDefault="00D25EFC">
      <w:pPr>
        <w:pStyle w:val="TOC2"/>
        <w:rPr>
          <w:rFonts w:asciiTheme="minorHAnsi" w:eastAsiaTheme="minorEastAsia" w:hAnsiTheme="minorHAnsi" w:cstheme="minorBidi"/>
          <w:szCs w:val="22"/>
        </w:rPr>
      </w:pPr>
      <w:hyperlink w:anchor="_Toc408836351" w:history="1">
        <w:r w:rsidR="00A27A2B">
          <w:rPr>
            <w:rStyle w:val="Hyperlink"/>
          </w:rPr>
          <w:t>3.5</w:t>
        </w:r>
        <w:r w:rsidR="00A27A2B">
          <w:rPr>
            <w:rFonts w:asciiTheme="minorHAnsi" w:eastAsiaTheme="minorEastAsia" w:hAnsiTheme="minorHAnsi" w:cstheme="minorBidi"/>
            <w:szCs w:val="22"/>
          </w:rPr>
          <w:tab/>
        </w:r>
        <w:r w:rsidR="00A27A2B">
          <w:rPr>
            <w:rStyle w:val="Hyperlink"/>
          </w:rPr>
          <w:t>Criteria for proof of freedom</w:t>
        </w:r>
        <w:r w:rsidR="00A27A2B">
          <w:rPr>
            <w:webHidden/>
          </w:rPr>
          <w:tab/>
        </w:r>
        <w:r>
          <w:rPr>
            <w:webHidden/>
          </w:rPr>
          <w:fldChar w:fldCharType="begin"/>
        </w:r>
        <w:r w:rsidR="00A27A2B">
          <w:rPr>
            <w:webHidden/>
          </w:rPr>
          <w:instrText xml:space="preserve"> PAGEREF _Toc408836351 \h </w:instrText>
        </w:r>
        <w:r>
          <w:rPr>
            <w:webHidden/>
          </w:rPr>
        </w:r>
        <w:r>
          <w:rPr>
            <w:webHidden/>
          </w:rPr>
          <w:fldChar w:fldCharType="separate"/>
        </w:r>
        <w:r w:rsidR="00A27A2B">
          <w:rPr>
            <w:webHidden/>
          </w:rPr>
          <w:t>33</w:t>
        </w:r>
        <w:r>
          <w:rPr>
            <w:webHidden/>
          </w:rPr>
          <w:fldChar w:fldCharType="end"/>
        </w:r>
      </w:hyperlink>
    </w:p>
    <w:p w:rsidR="00D25EFC" w:rsidRDefault="00D25EFC">
      <w:pPr>
        <w:pStyle w:val="TOC2"/>
        <w:rPr>
          <w:rFonts w:asciiTheme="minorHAnsi" w:eastAsiaTheme="minorEastAsia" w:hAnsiTheme="minorHAnsi" w:cstheme="minorBidi"/>
          <w:szCs w:val="22"/>
        </w:rPr>
      </w:pPr>
      <w:hyperlink w:anchor="_Toc408836352" w:history="1">
        <w:r w:rsidR="00A27A2B">
          <w:rPr>
            <w:rStyle w:val="Hyperlink"/>
          </w:rPr>
          <w:t>3.6</w:t>
        </w:r>
        <w:r w:rsidR="00A27A2B">
          <w:rPr>
            <w:rFonts w:asciiTheme="minorHAnsi" w:eastAsiaTheme="minorEastAsia" w:hAnsiTheme="minorHAnsi" w:cstheme="minorBidi"/>
            <w:szCs w:val="22"/>
          </w:rPr>
          <w:tab/>
        </w:r>
        <w:r w:rsidR="00A27A2B">
          <w:rPr>
            <w:rStyle w:val="Hyperlink"/>
          </w:rPr>
          <w:t>Funding and compensation</w:t>
        </w:r>
        <w:r w:rsidR="00A27A2B">
          <w:rPr>
            <w:webHidden/>
          </w:rPr>
          <w:tab/>
        </w:r>
        <w:r>
          <w:rPr>
            <w:webHidden/>
          </w:rPr>
          <w:fldChar w:fldCharType="begin"/>
        </w:r>
        <w:r w:rsidR="00A27A2B">
          <w:rPr>
            <w:webHidden/>
          </w:rPr>
          <w:instrText xml:space="preserve"> PAGEREF _Toc408836352 \h </w:instrText>
        </w:r>
        <w:r>
          <w:rPr>
            <w:webHidden/>
          </w:rPr>
        </w:r>
        <w:r>
          <w:rPr>
            <w:webHidden/>
          </w:rPr>
          <w:fldChar w:fldCharType="separate"/>
        </w:r>
        <w:r w:rsidR="00A27A2B">
          <w:rPr>
            <w:webHidden/>
          </w:rPr>
          <w:t>33</w:t>
        </w:r>
        <w:r>
          <w:rPr>
            <w:webHidden/>
          </w:rPr>
          <w:fldChar w:fldCharType="end"/>
        </w:r>
      </w:hyperlink>
    </w:p>
    <w:p w:rsidR="00D25EFC" w:rsidRDefault="00D25EFC">
      <w:pPr>
        <w:pStyle w:val="TOC1"/>
        <w:rPr>
          <w:rFonts w:asciiTheme="minorHAnsi" w:eastAsiaTheme="minorEastAsia" w:hAnsiTheme="minorHAnsi" w:cstheme="minorBidi"/>
          <w:b w:val="0"/>
          <w:szCs w:val="22"/>
        </w:rPr>
      </w:pPr>
      <w:hyperlink w:anchor="_Toc408836353" w:history="1">
        <w:r w:rsidR="00A27A2B">
          <w:rPr>
            <w:rStyle w:val="Hyperlink"/>
          </w:rPr>
          <w:t>Appendix A: Species susceptibility to viral haemorrhagic septicaemia</w:t>
        </w:r>
        <w:r w:rsidR="00A27A2B">
          <w:rPr>
            <w:webHidden/>
          </w:rPr>
          <w:tab/>
        </w:r>
        <w:r>
          <w:rPr>
            <w:webHidden/>
          </w:rPr>
          <w:fldChar w:fldCharType="begin"/>
        </w:r>
        <w:r w:rsidR="00A27A2B">
          <w:rPr>
            <w:webHidden/>
          </w:rPr>
          <w:instrText xml:space="preserve"> PAGEREF _Toc408836353 \h </w:instrText>
        </w:r>
        <w:r>
          <w:rPr>
            <w:webHidden/>
          </w:rPr>
        </w:r>
        <w:r>
          <w:rPr>
            <w:webHidden/>
          </w:rPr>
          <w:fldChar w:fldCharType="separate"/>
        </w:r>
        <w:r w:rsidR="00A27A2B">
          <w:rPr>
            <w:webHidden/>
          </w:rPr>
          <w:t>34</w:t>
        </w:r>
        <w:r>
          <w:rPr>
            <w:webHidden/>
          </w:rPr>
          <w:fldChar w:fldCharType="end"/>
        </w:r>
      </w:hyperlink>
    </w:p>
    <w:p w:rsidR="00D25EFC" w:rsidRDefault="00D25EFC">
      <w:pPr>
        <w:pStyle w:val="TOC1"/>
        <w:rPr>
          <w:rFonts w:asciiTheme="minorHAnsi" w:eastAsiaTheme="minorEastAsia" w:hAnsiTheme="minorHAnsi" w:cstheme="minorBidi"/>
          <w:b w:val="0"/>
          <w:szCs w:val="22"/>
        </w:rPr>
      </w:pPr>
      <w:hyperlink w:anchor="_Toc408836354" w:history="1">
        <w:r w:rsidR="00A27A2B">
          <w:rPr>
            <w:rStyle w:val="Hyperlink"/>
          </w:rPr>
          <w:t>Appendix B OIE Aquatic Animal Health Code and Manual of Diagnostic Tests for Aquatic Animals</w:t>
        </w:r>
        <w:r w:rsidR="00A27A2B">
          <w:rPr>
            <w:webHidden/>
          </w:rPr>
          <w:tab/>
        </w:r>
        <w:r>
          <w:rPr>
            <w:webHidden/>
          </w:rPr>
          <w:fldChar w:fldCharType="begin"/>
        </w:r>
        <w:r w:rsidR="00A27A2B">
          <w:rPr>
            <w:webHidden/>
          </w:rPr>
          <w:instrText xml:space="preserve"> PAGEREF _Toc408836354 \h </w:instrText>
        </w:r>
        <w:r>
          <w:rPr>
            <w:webHidden/>
          </w:rPr>
        </w:r>
        <w:r>
          <w:rPr>
            <w:webHidden/>
          </w:rPr>
          <w:fldChar w:fldCharType="separate"/>
        </w:r>
        <w:r w:rsidR="00A27A2B">
          <w:rPr>
            <w:webHidden/>
          </w:rPr>
          <w:t>36</w:t>
        </w:r>
        <w:r>
          <w:rPr>
            <w:webHidden/>
          </w:rPr>
          <w:fldChar w:fldCharType="end"/>
        </w:r>
      </w:hyperlink>
    </w:p>
    <w:p w:rsidR="00D25EFC" w:rsidRDefault="00D25EFC">
      <w:pPr>
        <w:pStyle w:val="TOC1"/>
        <w:rPr>
          <w:rFonts w:asciiTheme="minorHAnsi" w:eastAsiaTheme="minorEastAsia" w:hAnsiTheme="minorHAnsi" w:cstheme="minorBidi"/>
          <w:b w:val="0"/>
          <w:szCs w:val="22"/>
        </w:rPr>
      </w:pPr>
      <w:hyperlink w:anchor="_Toc408836355" w:history="1">
        <w:r w:rsidR="00A27A2B">
          <w:rPr>
            <w:rStyle w:val="Hyperlink"/>
          </w:rPr>
          <w:t>Appendix C Detection and identification of viral haemorrhagic septicaemia</w:t>
        </w:r>
        <w:r w:rsidR="00A27A2B">
          <w:rPr>
            <w:webHidden/>
          </w:rPr>
          <w:tab/>
        </w:r>
        <w:r>
          <w:rPr>
            <w:webHidden/>
          </w:rPr>
          <w:fldChar w:fldCharType="begin"/>
        </w:r>
        <w:r w:rsidR="00A27A2B">
          <w:rPr>
            <w:webHidden/>
          </w:rPr>
          <w:instrText xml:space="preserve"> PAGEREF _Toc408836355 \h </w:instrText>
        </w:r>
        <w:r>
          <w:rPr>
            <w:webHidden/>
          </w:rPr>
        </w:r>
        <w:r>
          <w:rPr>
            <w:webHidden/>
          </w:rPr>
          <w:fldChar w:fldCharType="separate"/>
        </w:r>
        <w:r w:rsidR="00A27A2B">
          <w:rPr>
            <w:webHidden/>
          </w:rPr>
          <w:t>37</w:t>
        </w:r>
        <w:r>
          <w:rPr>
            <w:webHidden/>
          </w:rPr>
          <w:fldChar w:fldCharType="end"/>
        </w:r>
      </w:hyperlink>
    </w:p>
    <w:p w:rsidR="00D25EFC" w:rsidRDefault="00D25EFC">
      <w:pPr>
        <w:pStyle w:val="TOC2"/>
        <w:rPr>
          <w:rFonts w:asciiTheme="minorHAnsi" w:eastAsiaTheme="minorEastAsia" w:hAnsiTheme="minorHAnsi" w:cstheme="minorBidi"/>
          <w:szCs w:val="22"/>
        </w:rPr>
      </w:pPr>
      <w:hyperlink w:anchor="_Toc408836356" w:history="1">
        <w:r w:rsidR="00A27A2B">
          <w:rPr>
            <w:rStyle w:val="Hyperlink"/>
          </w:rPr>
          <w:t>Examination and culture of specimens</w:t>
        </w:r>
        <w:r w:rsidR="00A27A2B">
          <w:rPr>
            <w:webHidden/>
          </w:rPr>
          <w:tab/>
        </w:r>
        <w:r>
          <w:rPr>
            <w:webHidden/>
          </w:rPr>
          <w:fldChar w:fldCharType="begin"/>
        </w:r>
        <w:r w:rsidR="00A27A2B">
          <w:rPr>
            <w:webHidden/>
          </w:rPr>
          <w:instrText xml:space="preserve"> PAGEREF _Toc4088</w:instrText>
        </w:r>
        <w:r w:rsidR="00A27A2B">
          <w:rPr>
            <w:webHidden/>
          </w:rPr>
          <w:instrText xml:space="preserve">36356 \h </w:instrText>
        </w:r>
        <w:r>
          <w:rPr>
            <w:webHidden/>
          </w:rPr>
        </w:r>
        <w:r>
          <w:rPr>
            <w:webHidden/>
          </w:rPr>
          <w:fldChar w:fldCharType="separate"/>
        </w:r>
        <w:r w:rsidR="00A27A2B">
          <w:rPr>
            <w:webHidden/>
          </w:rPr>
          <w:t>37</w:t>
        </w:r>
        <w:r>
          <w:rPr>
            <w:webHidden/>
          </w:rPr>
          <w:fldChar w:fldCharType="end"/>
        </w:r>
      </w:hyperlink>
    </w:p>
    <w:p w:rsidR="00D25EFC" w:rsidRDefault="00D25EFC">
      <w:pPr>
        <w:pStyle w:val="TOC3"/>
        <w:rPr>
          <w:rFonts w:asciiTheme="minorHAnsi" w:eastAsiaTheme="minorEastAsia" w:hAnsiTheme="minorHAnsi" w:cstheme="minorBidi"/>
          <w:noProof/>
          <w:szCs w:val="22"/>
        </w:rPr>
      </w:pPr>
      <w:hyperlink w:anchor="_Toc408836357" w:history="1">
        <w:r w:rsidR="00A27A2B">
          <w:rPr>
            <w:rStyle w:val="Hyperlink"/>
            <w:noProof/>
          </w:rPr>
          <w:t>Sampling</w:t>
        </w:r>
        <w:r w:rsidR="00A27A2B">
          <w:rPr>
            <w:noProof/>
            <w:webHidden/>
          </w:rPr>
          <w:tab/>
        </w:r>
        <w:r>
          <w:rPr>
            <w:noProof/>
            <w:webHidden/>
          </w:rPr>
          <w:fldChar w:fldCharType="begin"/>
        </w:r>
        <w:r w:rsidR="00A27A2B">
          <w:rPr>
            <w:noProof/>
            <w:webHidden/>
          </w:rPr>
          <w:instrText xml:space="preserve"> PAGEREF _Toc408836357 \h </w:instrText>
        </w:r>
        <w:r>
          <w:rPr>
            <w:noProof/>
            <w:webHidden/>
          </w:rPr>
        </w:r>
        <w:r>
          <w:rPr>
            <w:noProof/>
            <w:webHidden/>
          </w:rPr>
          <w:fldChar w:fldCharType="separate"/>
        </w:r>
        <w:r w:rsidR="00A27A2B">
          <w:rPr>
            <w:noProof/>
            <w:webHidden/>
          </w:rPr>
          <w:t>37</w:t>
        </w:r>
        <w:r>
          <w:rPr>
            <w:noProof/>
            <w:webHidden/>
          </w:rPr>
          <w:fldChar w:fldCharType="end"/>
        </w:r>
      </w:hyperlink>
    </w:p>
    <w:p w:rsidR="00D25EFC" w:rsidRDefault="00D25EFC">
      <w:pPr>
        <w:pStyle w:val="TOC3"/>
        <w:rPr>
          <w:rFonts w:asciiTheme="minorHAnsi" w:eastAsiaTheme="minorEastAsia" w:hAnsiTheme="minorHAnsi" w:cstheme="minorBidi"/>
          <w:noProof/>
          <w:szCs w:val="22"/>
        </w:rPr>
      </w:pPr>
      <w:hyperlink w:anchor="_Toc408836358" w:history="1">
        <w:r w:rsidR="00A27A2B">
          <w:rPr>
            <w:rStyle w:val="Hyperlink"/>
            <w:noProof/>
          </w:rPr>
          <w:t>Culture</w:t>
        </w:r>
        <w:r w:rsidR="00A27A2B">
          <w:rPr>
            <w:noProof/>
            <w:webHidden/>
          </w:rPr>
          <w:tab/>
        </w:r>
        <w:r>
          <w:rPr>
            <w:noProof/>
            <w:webHidden/>
          </w:rPr>
          <w:fldChar w:fldCharType="begin"/>
        </w:r>
        <w:r w:rsidR="00A27A2B">
          <w:rPr>
            <w:noProof/>
            <w:webHidden/>
          </w:rPr>
          <w:instrText xml:space="preserve"> PAGEREF _Toc408836358 \h </w:instrText>
        </w:r>
        <w:r>
          <w:rPr>
            <w:noProof/>
            <w:webHidden/>
          </w:rPr>
        </w:r>
        <w:r>
          <w:rPr>
            <w:noProof/>
            <w:webHidden/>
          </w:rPr>
          <w:fldChar w:fldCharType="separate"/>
        </w:r>
        <w:r w:rsidR="00A27A2B">
          <w:rPr>
            <w:noProof/>
            <w:webHidden/>
          </w:rPr>
          <w:t>38</w:t>
        </w:r>
        <w:r>
          <w:rPr>
            <w:noProof/>
            <w:webHidden/>
          </w:rPr>
          <w:fldChar w:fldCharType="end"/>
        </w:r>
      </w:hyperlink>
    </w:p>
    <w:p w:rsidR="00D25EFC" w:rsidRDefault="00D25EFC">
      <w:pPr>
        <w:pStyle w:val="TOC2"/>
        <w:rPr>
          <w:rFonts w:asciiTheme="minorHAnsi" w:eastAsiaTheme="minorEastAsia" w:hAnsiTheme="minorHAnsi" w:cstheme="minorBidi"/>
          <w:szCs w:val="22"/>
        </w:rPr>
      </w:pPr>
      <w:hyperlink w:anchor="_Toc408836359" w:history="1">
        <w:r w:rsidR="00A27A2B">
          <w:rPr>
            <w:rStyle w:val="Hyperlink"/>
          </w:rPr>
          <w:t>Identification</w:t>
        </w:r>
        <w:r w:rsidR="00A27A2B">
          <w:rPr>
            <w:webHidden/>
          </w:rPr>
          <w:tab/>
        </w:r>
        <w:r>
          <w:rPr>
            <w:webHidden/>
          </w:rPr>
          <w:fldChar w:fldCharType="begin"/>
        </w:r>
        <w:r w:rsidR="00A27A2B">
          <w:rPr>
            <w:webHidden/>
          </w:rPr>
          <w:instrText xml:space="preserve"> PAGEREF </w:instrText>
        </w:r>
        <w:r w:rsidR="00A27A2B">
          <w:rPr>
            <w:webHidden/>
          </w:rPr>
          <w:instrText xml:space="preserve">_Toc408836359 \h </w:instrText>
        </w:r>
        <w:r>
          <w:rPr>
            <w:webHidden/>
          </w:rPr>
        </w:r>
        <w:r>
          <w:rPr>
            <w:webHidden/>
          </w:rPr>
          <w:fldChar w:fldCharType="separate"/>
        </w:r>
        <w:r w:rsidR="00A27A2B">
          <w:rPr>
            <w:webHidden/>
          </w:rPr>
          <w:t>38</w:t>
        </w:r>
        <w:r>
          <w:rPr>
            <w:webHidden/>
          </w:rPr>
          <w:fldChar w:fldCharType="end"/>
        </w:r>
      </w:hyperlink>
    </w:p>
    <w:p w:rsidR="00D25EFC" w:rsidRDefault="00D25EFC">
      <w:pPr>
        <w:pStyle w:val="TOC3"/>
        <w:rPr>
          <w:rFonts w:asciiTheme="minorHAnsi" w:eastAsiaTheme="minorEastAsia" w:hAnsiTheme="minorHAnsi" w:cstheme="minorBidi"/>
          <w:noProof/>
          <w:szCs w:val="22"/>
        </w:rPr>
      </w:pPr>
      <w:hyperlink w:anchor="_Toc408836360" w:history="1">
        <w:r w:rsidR="00A27A2B">
          <w:rPr>
            <w:rStyle w:val="Hyperlink"/>
            <w:noProof/>
          </w:rPr>
          <w:t>Immunocytochemistry</w:t>
        </w:r>
        <w:r w:rsidR="00A27A2B">
          <w:rPr>
            <w:noProof/>
            <w:webHidden/>
          </w:rPr>
          <w:tab/>
        </w:r>
        <w:r>
          <w:rPr>
            <w:noProof/>
            <w:webHidden/>
          </w:rPr>
          <w:fldChar w:fldCharType="begin"/>
        </w:r>
        <w:r w:rsidR="00A27A2B">
          <w:rPr>
            <w:noProof/>
            <w:webHidden/>
          </w:rPr>
          <w:instrText xml:space="preserve"> PAGEREF _Toc408836360 \h </w:instrText>
        </w:r>
        <w:r>
          <w:rPr>
            <w:noProof/>
            <w:webHidden/>
          </w:rPr>
        </w:r>
        <w:r>
          <w:rPr>
            <w:noProof/>
            <w:webHidden/>
          </w:rPr>
          <w:fldChar w:fldCharType="separate"/>
        </w:r>
        <w:r w:rsidR="00A27A2B">
          <w:rPr>
            <w:noProof/>
            <w:webHidden/>
          </w:rPr>
          <w:t>38</w:t>
        </w:r>
        <w:r>
          <w:rPr>
            <w:noProof/>
            <w:webHidden/>
          </w:rPr>
          <w:fldChar w:fldCharType="end"/>
        </w:r>
      </w:hyperlink>
    </w:p>
    <w:p w:rsidR="00D25EFC" w:rsidRDefault="00D25EFC">
      <w:pPr>
        <w:pStyle w:val="TOC3"/>
        <w:rPr>
          <w:rFonts w:asciiTheme="minorHAnsi" w:eastAsiaTheme="minorEastAsia" w:hAnsiTheme="minorHAnsi" w:cstheme="minorBidi"/>
          <w:noProof/>
          <w:szCs w:val="22"/>
        </w:rPr>
      </w:pPr>
      <w:hyperlink w:anchor="_Toc408836361" w:history="1">
        <w:r w:rsidR="00A27A2B">
          <w:rPr>
            <w:rStyle w:val="Hyperlink"/>
            <w:noProof/>
          </w:rPr>
          <w:t>Polymerase chain reaction</w:t>
        </w:r>
        <w:r w:rsidR="00A27A2B">
          <w:rPr>
            <w:noProof/>
            <w:webHidden/>
          </w:rPr>
          <w:tab/>
        </w:r>
        <w:r>
          <w:rPr>
            <w:noProof/>
            <w:webHidden/>
          </w:rPr>
          <w:fldChar w:fldCharType="begin"/>
        </w:r>
        <w:r w:rsidR="00A27A2B">
          <w:rPr>
            <w:noProof/>
            <w:webHidden/>
          </w:rPr>
          <w:instrText xml:space="preserve"> PAGEREF _Toc408836361 \h </w:instrText>
        </w:r>
        <w:r>
          <w:rPr>
            <w:noProof/>
            <w:webHidden/>
          </w:rPr>
        </w:r>
        <w:r>
          <w:rPr>
            <w:noProof/>
            <w:webHidden/>
          </w:rPr>
          <w:fldChar w:fldCharType="separate"/>
        </w:r>
        <w:r w:rsidR="00A27A2B">
          <w:rPr>
            <w:noProof/>
            <w:webHidden/>
          </w:rPr>
          <w:t>38</w:t>
        </w:r>
        <w:r>
          <w:rPr>
            <w:noProof/>
            <w:webHidden/>
          </w:rPr>
          <w:fldChar w:fldCharType="end"/>
        </w:r>
      </w:hyperlink>
    </w:p>
    <w:p w:rsidR="00D25EFC" w:rsidRDefault="00D25EFC">
      <w:pPr>
        <w:pStyle w:val="TOC2"/>
        <w:rPr>
          <w:rFonts w:asciiTheme="minorHAnsi" w:eastAsiaTheme="minorEastAsia" w:hAnsiTheme="minorHAnsi" w:cstheme="minorBidi"/>
          <w:szCs w:val="22"/>
        </w:rPr>
      </w:pPr>
      <w:hyperlink w:anchor="_Toc408836362" w:history="1">
        <w:r w:rsidR="00A27A2B">
          <w:rPr>
            <w:rStyle w:val="Hyperlink"/>
          </w:rPr>
          <w:t>Further reading</w:t>
        </w:r>
        <w:r w:rsidR="00A27A2B">
          <w:rPr>
            <w:webHidden/>
          </w:rPr>
          <w:tab/>
        </w:r>
        <w:r>
          <w:rPr>
            <w:webHidden/>
          </w:rPr>
          <w:fldChar w:fldCharType="begin"/>
        </w:r>
        <w:r w:rsidR="00A27A2B">
          <w:rPr>
            <w:webHidden/>
          </w:rPr>
          <w:instrText xml:space="preserve"> PAGEREF _Toc408836362 \h </w:instrText>
        </w:r>
        <w:r>
          <w:rPr>
            <w:webHidden/>
          </w:rPr>
        </w:r>
        <w:r>
          <w:rPr>
            <w:webHidden/>
          </w:rPr>
          <w:fldChar w:fldCharType="separate"/>
        </w:r>
        <w:r w:rsidR="00A27A2B">
          <w:rPr>
            <w:webHidden/>
          </w:rPr>
          <w:t>39</w:t>
        </w:r>
        <w:r>
          <w:rPr>
            <w:webHidden/>
          </w:rPr>
          <w:fldChar w:fldCharType="end"/>
        </w:r>
      </w:hyperlink>
    </w:p>
    <w:p w:rsidR="00D25EFC" w:rsidRDefault="00D25EFC">
      <w:pPr>
        <w:pStyle w:val="TOC1"/>
        <w:rPr>
          <w:rFonts w:asciiTheme="minorHAnsi" w:eastAsiaTheme="minorEastAsia" w:hAnsiTheme="minorHAnsi" w:cstheme="minorBidi"/>
          <w:b w:val="0"/>
          <w:szCs w:val="22"/>
        </w:rPr>
      </w:pPr>
      <w:hyperlink w:anchor="_Toc408836363" w:history="1">
        <w:r w:rsidR="00A27A2B">
          <w:rPr>
            <w:rStyle w:val="Hyperlink"/>
          </w:rPr>
          <w:t>Appendix D Example of a VHSV risk mitigation policy – Michigan DNR, USA</w:t>
        </w:r>
        <w:r w:rsidR="00A27A2B">
          <w:rPr>
            <w:webHidden/>
          </w:rPr>
          <w:tab/>
        </w:r>
        <w:r>
          <w:rPr>
            <w:webHidden/>
          </w:rPr>
          <w:fldChar w:fldCharType="begin"/>
        </w:r>
        <w:r w:rsidR="00A27A2B">
          <w:rPr>
            <w:webHidden/>
          </w:rPr>
          <w:instrText xml:space="preserve"> PAGEREF _Toc408836363 \h </w:instrText>
        </w:r>
        <w:r>
          <w:rPr>
            <w:webHidden/>
          </w:rPr>
        </w:r>
        <w:r>
          <w:rPr>
            <w:webHidden/>
          </w:rPr>
          <w:fldChar w:fldCharType="separate"/>
        </w:r>
        <w:r w:rsidR="00A27A2B">
          <w:rPr>
            <w:webHidden/>
          </w:rPr>
          <w:t>40</w:t>
        </w:r>
        <w:r>
          <w:rPr>
            <w:webHidden/>
          </w:rPr>
          <w:fldChar w:fldCharType="end"/>
        </w:r>
      </w:hyperlink>
    </w:p>
    <w:p w:rsidR="00D25EFC" w:rsidRDefault="00D25EFC">
      <w:pPr>
        <w:pStyle w:val="TOC2"/>
        <w:rPr>
          <w:rFonts w:asciiTheme="minorHAnsi" w:eastAsiaTheme="minorEastAsia" w:hAnsiTheme="minorHAnsi" w:cstheme="minorBidi"/>
          <w:szCs w:val="22"/>
        </w:rPr>
      </w:pPr>
      <w:hyperlink w:anchor="_Toc408836364" w:history="1">
        <w:r w:rsidR="00A27A2B">
          <w:rPr>
            <w:rStyle w:val="Hyperlink"/>
          </w:rPr>
          <w:t>FO-245.09</w:t>
        </w:r>
        <w:r w:rsidR="00A27A2B">
          <w:rPr>
            <w:webHidden/>
          </w:rPr>
          <w:tab/>
        </w:r>
        <w:r>
          <w:rPr>
            <w:webHidden/>
          </w:rPr>
          <w:fldChar w:fldCharType="begin"/>
        </w:r>
        <w:r w:rsidR="00A27A2B">
          <w:rPr>
            <w:webHidden/>
          </w:rPr>
          <w:instrText xml:space="preserve"> PAGEREF _Toc408836364 \h </w:instrText>
        </w:r>
        <w:r>
          <w:rPr>
            <w:webHidden/>
          </w:rPr>
        </w:r>
        <w:r>
          <w:rPr>
            <w:webHidden/>
          </w:rPr>
          <w:fldChar w:fldCharType="separate"/>
        </w:r>
        <w:r w:rsidR="00A27A2B">
          <w:rPr>
            <w:webHidden/>
          </w:rPr>
          <w:t>40</w:t>
        </w:r>
        <w:r>
          <w:rPr>
            <w:webHidden/>
          </w:rPr>
          <w:fldChar w:fldCharType="end"/>
        </w:r>
      </w:hyperlink>
    </w:p>
    <w:p w:rsidR="00D25EFC" w:rsidRDefault="00D25EFC">
      <w:pPr>
        <w:pStyle w:val="TOC3"/>
        <w:rPr>
          <w:rFonts w:asciiTheme="minorHAnsi" w:eastAsiaTheme="minorEastAsia" w:hAnsiTheme="minorHAnsi" w:cstheme="minorBidi"/>
          <w:noProof/>
          <w:szCs w:val="22"/>
        </w:rPr>
      </w:pPr>
      <w:hyperlink w:anchor="_Toc408836365" w:history="1">
        <w:r w:rsidR="00A27A2B">
          <w:rPr>
            <w:rStyle w:val="Hyperlink"/>
            <w:noProof/>
          </w:rPr>
          <w:t>Fish disease control</w:t>
        </w:r>
        <w:r w:rsidR="00A27A2B">
          <w:rPr>
            <w:noProof/>
            <w:webHidden/>
          </w:rPr>
          <w:tab/>
        </w:r>
        <w:r>
          <w:rPr>
            <w:noProof/>
            <w:webHidden/>
          </w:rPr>
          <w:fldChar w:fldCharType="begin"/>
        </w:r>
        <w:r w:rsidR="00A27A2B">
          <w:rPr>
            <w:noProof/>
            <w:webHidden/>
          </w:rPr>
          <w:instrText xml:space="preserve"> </w:instrText>
        </w:r>
        <w:r w:rsidR="00A27A2B">
          <w:rPr>
            <w:noProof/>
            <w:webHidden/>
          </w:rPr>
          <w:instrText xml:space="preserve">PAGEREF _Toc408836365 \h </w:instrText>
        </w:r>
        <w:r>
          <w:rPr>
            <w:noProof/>
            <w:webHidden/>
          </w:rPr>
        </w:r>
        <w:r>
          <w:rPr>
            <w:noProof/>
            <w:webHidden/>
          </w:rPr>
          <w:fldChar w:fldCharType="separate"/>
        </w:r>
        <w:r w:rsidR="00A27A2B">
          <w:rPr>
            <w:noProof/>
            <w:webHidden/>
          </w:rPr>
          <w:t>40</w:t>
        </w:r>
        <w:r>
          <w:rPr>
            <w:noProof/>
            <w:webHidden/>
          </w:rPr>
          <w:fldChar w:fldCharType="end"/>
        </w:r>
      </w:hyperlink>
    </w:p>
    <w:p w:rsidR="00D25EFC" w:rsidRDefault="00D25EFC">
      <w:pPr>
        <w:pStyle w:val="TOC3"/>
        <w:rPr>
          <w:rFonts w:asciiTheme="minorHAnsi" w:eastAsiaTheme="minorEastAsia" w:hAnsiTheme="minorHAnsi" w:cstheme="minorBidi"/>
          <w:noProof/>
          <w:szCs w:val="22"/>
        </w:rPr>
      </w:pPr>
      <w:hyperlink w:anchor="_Toc408836366" w:history="1">
        <w:r w:rsidR="00A27A2B">
          <w:rPr>
            <w:rStyle w:val="Hyperlink"/>
            <w:noProof/>
          </w:rPr>
          <w:t>Definitions</w:t>
        </w:r>
        <w:r w:rsidR="00A27A2B">
          <w:rPr>
            <w:noProof/>
            <w:webHidden/>
          </w:rPr>
          <w:tab/>
        </w:r>
        <w:r>
          <w:rPr>
            <w:noProof/>
            <w:webHidden/>
          </w:rPr>
          <w:fldChar w:fldCharType="begin"/>
        </w:r>
        <w:r w:rsidR="00A27A2B">
          <w:rPr>
            <w:noProof/>
            <w:webHidden/>
          </w:rPr>
          <w:instrText xml:space="preserve"> PAGEREF _Toc408836366 \h </w:instrText>
        </w:r>
        <w:r>
          <w:rPr>
            <w:noProof/>
            <w:webHidden/>
          </w:rPr>
        </w:r>
        <w:r>
          <w:rPr>
            <w:noProof/>
            <w:webHidden/>
          </w:rPr>
          <w:fldChar w:fldCharType="separate"/>
        </w:r>
        <w:r w:rsidR="00A27A2B">
          <w:rPr>
            <w:noProof/>
            <w:webHidden/>
          </w:rPr>
          <w:t>40</w:t>
        </w:r>
        <w:r>
          <w:rPr>
            <w:noProof/>
            <w:webHidden/>
          </w:rPr>
          <w:fldChar w:fldCharType="end"/>
        </w:r>
      </w:hyperlink>
    </w:p>
    <w:p w:rsidR="00D25EFC" w:rsidRDefault="00D25EFC">
      <w:pPr>
        <w:pStyle w:val="TOC3"/>
        <w:rPr>
          <w:rFonts w:asciiTheme="minorHAnsi" w:eastAsiaTheme="minorEastAsia" w:hAnsiTheme="minorHAnsi" w:cstheme="minorBidi"/>
          <w:noProof/>
          <w:szCs w:val="22"/>
        </w:rPr>
      </w:pPr>
      <w:hyperlink w:anchor="_Toc408836367" w:history="1">
        <w:r w:rsidR="00A27A2B">
          <w:rPr>
            <w:rStyle w:val="Hyperlink"/>
            <w:noProof/>
          </w:rPr>
          <w:t>Baitfish and roe exclusion zones</w:t>
        </w:r>
        <w:r w:rsidR="00A27A2B">
          <w:rPr>
            <w:noProof/>
            <w:webHidden/>
          </w:rPr>
          <w:tab/>
        </w:r>
        <w:r>
          <w:rPr>
            <w:noProof/>
            <w:webHidden/>
          </w:rPr>
          <w:fldChar w:fldCharType="begin"/>
        </w:r>
        <w:r w:rsidR="00A27A2B">
          <w:rPr>
            <w:noProof/>
            <w:webHidden/>
          </w:rPr>
          <w:instrText xml:space="preserve"> PAGEREF _Toc408836367 \h </w:instrText>
        </w:r>
        <w:r>
          <w:rPr>
            <w:noProof/>
            <w:webHidden/>
          </w:rPr>
        </w:r>
        <w:r>
          <w:rPr>
            <w:noProof/>
            <w:webHidden/>
          </w:rPr>
          <w:fldChar w:fldCharType="separate"/>
        </w:r>
        <w:r w:rsidR="00A27A2B">
          <w:rPr>
            <w:noProof/>
            <w:webHidden/>
          </w:rPr>
          <w:t>40</w:t>
        </w:r>
        <w:r>
          <w:rPr>
            <w:noProof/>
            <w:webHidden/>
          </w:rPr>
          <w:fldChar w:fldCharType="end"/>
        </w:r>
      </w:hyperlink>
    </w:p>
    <w:p w:rsidR="00D25EFC" w:rsidRDefault="00D25EFC">
      <w:pPr>
        <w:pStyle w:val="TOC3"/>
        <w:rPr>
          <w:rFonts w:asciiTheme="minorHAnsi" w:eastAsiaTheme="minorEastAsia" w:hAnsiTheme="minorHAnsi" w:cstheme="minorBidi"/>
          <w:noProof/>
          <w:szCs w:val="22"/>
        </w:rPr>
      </w:pPr>
      <w:hyperlink w:anchor="_Toc408836368" w:history="1">
        <w:r w:rsidR="00A27A2B">
          <w:rPr>
            <w:rStyle w:val="Hyperlink"/>
            <w:noProof/>
          </w:rPr>
          <w:t>Regulation by management area</w:t>
        </w:r>
        <w:r w:rsidR="00A27A2B">
          <w:rPr>
            <w:noProof/>
            <w:webHidden/>
          </w:rPr>
          <w:tab/>
        </w:r>
        <w:r>
          <w:rPr>
            <w:noProof/>
            <w:webHidden/>
          </w:rPr>
          <w:fldChar w:fldCharType="begin"/>
        </w:r>
        <w:r w:rsidR="00A27A2B">
          <w:rPr>
            <w:noProof/>
            <w:webHidden/>
          </w:rPr>
          <w:instrText xml:space="preserve"> PAGEREF _Toc408836368 \h </w:instrText>
        </w:r>
        <w:r>
          <w:rPr>
            <w:noProof/>
            <w:webHidden/>
          </w:rPr>
        </w:r>
        <w:r>
          <w:rPr>
            <w:noProof/>
            <w:webHidden/>
          </w:rPr>
          <w:fldChar w:fldCharType="separate"/>
        </w:r>
        <w:r w:rsidR="00A27A2B">
          <w:rPr>
            <w:noProof/>
            <w:webHidden/>
          </w:rPr>
          <w:t>41</w:t>
        </w:r>
        <w:r>
          <w:rPr>
            <w:noProof/>
            <w:webHidden/>
          </w:rPr>
          <w:fldChar w:fldCharType="end"/>
        </w:r>
      </w:hyperlink>
    </w:p>
    <w:p w:rsidR="00D25EFC" w:rsidRDefault="00D25EFC">
      <w:pPr>
        <w:pStyle w:val="TOC1"/>
        <w:rPr>
          <w:rFonts w:asciiTheme="minorHAnsi" w:eastAsiaTheme="minorEastAsia" w:hAnsiTheme="minorHAnsi" w:cstheme="minorBidi"/>
          <w:b w:val="0"/>
          <w:szCs w:val="22"/>
        </w:rPr>
      </w:pPr>
      <w:hyperlink w:anchor="_Toc408836369" w:history="1">
        <w:r w:rsidR="00A27A2B">
          <w:rPr>
            <w:rStyle w:val="Hyperlink"/>
          </w:rPr>
          <w:t>Appendix E: Fish disease control order, FO-245</w:t>
        </w:r>
        <w:r w:rsidR="00A27A2B">
          <w:rPr>
            <w:webHidden/>
          </w:rPr>
          <w:tab/>
        </w:r>
        <w:r>
          <w:rPr>
            <w:webHidden/>
          </w:rPr>
          <w:fldChar w:fldCharType="begin"/>
        </w:r>
        <w:r w:rsidR="00A27A2B">
          <w:rPr>
            <w:webHidden/>
          </w:rPr>
          <w:instrText xml:space="preserve"> PAGEREF _Toc408836369 \h </w:instrText>
        </w:r>
        <w:r>
          <w:rPr>
            <w:webHidden/>
          </w:rPr>
        </w:r>
        <w:r>
          <w:rPr>
            <w:webHidden/>
          </w:rPr>
          <w:fldChar w:fldCharType="separate"/>
        </w:r>
        <w:r w:rsidR="00A27A2B">
          <w:rPr>
            <w:webHidden/>
          </w:rPr>
          <w:t>49</w:t>
        </w:r>
        <w:r>
          <w:rPr>
            <w:webHidden/>
          </w:rPr>
          <w:fldChar w:fldCharType="end"/>
        </w:r>
      </w:hyperlink>
    </w:p>
    <w:p w:rsidR="00D25EFC" w:rsidRDefault="00D25EFC">
      <w:pPr>
        <w:pStyle w:val="TOC1"/>
        <w:rPr>
          <w:rFonts w:asciiTheme="minorHAnsi" w:eastAsiaTheme="minorEastAsia" w:hAnsiTheme="minorHAnsi" w:cstheme="minorBidi"/>
          <w:b w:val="0"/>
          <w:szCs w:val="22"/>
        </w:rPr>
      </w:pPr>
      <w:hyperlink w:anchor="_Toc408836370" w:history="1">
        <w:r w:rsidR="00A27A2B">
          <w:rPr>
            <w:rStyle w:val="Hyperlink"/>
          </w:rPr>
          <w:t>Appendix F: Fish disease control order, FO-245</w:t>
        </w:r>
        <w:r w:rsidR="00A27A2B">
          <w:rPr>
            <w:webHidden/>
          </w:rPr>
          <w:tab/>
        </w:r>
        <w:r>
          <w:rPr>
            <w:webHidden/>
          </w:rPr>
          <w:fldChar w:fldCharType="begin"/>
        </w:r>
        <w:r w:rsidR="00A27A2B">
          <w:rPr>
            <w:webHidden/>
          </w:rPr>
          <w:instrText xml:space="preserve"> PAGEREF _Toc408836370 \h </w:instrText>
        </w:r>
        <w:r>
          <w:rPr>
            <w:webHidden/>
          </w:rPr>
        </w:r>
        <w:r>
          <w:rPr>
            <w:webHidden/>
          </w:rPr>
          <w:fldChar w:fldCharType="separate"/>
        </w:r>
        <w:r w:rsidR="00A27A2B">
          <w:rPr>
            <w:webHidden/>
          </w:rPr>
          <w:t>50</w:t>
        </w:r>
        <w:r>
          <w:rPr>
            <w:webHidden/>
          </w:rPr>
          <w:fldChar w:fldCharType="end"/>
        </w:r>
      </w:hyperlink>
    </w:p>
    <w:p w:rsidR="00D25EFC" w:rsidRDefault="00D25EFC">
      <w:pPr>
        <w:pStyle w:val="TOC1"/>
        <w:rPr>
          <w:rFonts w:asciiTheme="minorHAnsi" w:eastAsiaTheme="minorEastAsia" w:hAnsiTheme="minorHAnsi" w:cstheme="minorBidi"/>
          <w:b w:val="0"/>
          <w:szCs w:val="22"/>
        </w:rPr>
      </w:pPr>
      <w:hyperlink w:anchor="_Toc408836371" w:history="1">
        <w:r w:rsidR="00A27A2B">
          <w:rPr>
            <w:rStyle w:val="Hyperlink"/>
          </w:rPr>
          <w:t>Glossary</w:t>
        </w:r>
        <w:r w:rsidR="00A27A2B">
          <w:rPr>
            <w:webHidden/>
          </w:rPr>
          <w:tab/>
        </w:r>
        <w:r>
          <w:rPr>
            <w:webHidden/>
          </w:rPr>
          <w:fldChar w:fldCharType="begin"/>
        </w:r>
        <w:r w:rsidR="00A27A2B">
          <w:rPr>
            <w:webHidden/>
          </w:rPr>
          <w:instrText xml:space="preserve"> PAGEREF _Toc408836371 \h </w:instrText>
        </w:r>
        <w:r>
          <w:rPr>
            <w:webHidden/>
          </w:rPr>
        </w:r>
        <w:r>
          <w:rPr>
            <w:webHidden/>
          </w:rPr>
          <w:fldChar w:fldCharType="separate"/>
        </w:r>
        <w:r w:rsidR="00A27A2B">
          <w:rPr>
            <w:webHidden/>
          </w:rPr>
          <w:t>53</w:t>
        </w:r>
        <w:r>
          <w:rPr>
            <w:webHidden/>
          </w:rPr>
          <w:fldChar w:fldCharType="end"/>
        </w:r>
      </w:hyperlink>
    </w:p>
    <w:p w:rsidR="00D25EFC" w:rsidRDefault="00D25EFC">
      <w:pPr>
        <w:pStyle w:val="TOC1"/>
        <w:rPr>
          <w:rFonts w:asciiTheme="minorHAnsi" w:eastAsiaTheme="minorEastAsia" w:hAnsiTheme="minorHAnsi" w:cstheme="minorBidi"/>
          <w:b w:val="0"/>
          <w:szCs w:val="22"/>
        </w:rPr>
      </w:pPr>
      <w:hyperlink w:anchor="_Toc408836372" w:history="1">
        <w:r w:rsidR="00A27A2B">
          <w:rPr>
            <w:rStyle w:val="Hyperlink"/>
          </w:rPr>
          <w:t>Abbreviations</w:t>
        </w:r>
        <w:r w:rsidR="00A27A2B">
          <w:rPr>
            <w:webHidden/>
          </w:rPr>
          <w:tab/>
        </w:r>
        <w:r>
          <w:rPr>
            <w:webHidden/>
          </w:rPr>
          <w:fldChar w:fldCharType="begin"/>
        </w:r>
        <w:r w:rsidR="00A27A2B">
          <w:rPr>
            <w:webHidden/>
          </w:rPr>
          <w:instrText xml:space="preserve"> PAGEREF _</w:instrText>
        </w:r>
        <w:r w:rsidR="00A27A2B">
          <w:rPr>
            <w:webHidden/>
          </w:rPr>
          <w:instrText xml:space="preserve">Toc408836372 \h </w:instrText>
        </w:r>
        <w:r>
          <w:rPr>
            <w:webHidden/>
          </w:rPr>
        </w:r>
        <w:r>
          <w:rPr>
            <w:webHidden/>
          </w:rPr>
          <w:fldChar w:fldCharType="separate"/>
        </w:r>
        <w:r w:rsidR="00A27A2B">
          <w:rPr>
            <w:webHidden/>
          </w:rPr>
          <w:t>59</w:t>
        </w:r>
        <w:r>
          <w:rPr>
            <w:webHidden/>
          </w:rPr>
          <w:fldChar w:fldCharType="end"/>
        </w:r>
      </w:hyperlink>
    </w:p>
    <w:p w:rsidR="00D25EFC" w:rsidRDefault="00D25EFC">
      <w:pPr>
        <w:pStyle w:val="TOC1"/>
        <w:rPr>
          <w:rFonts w:asciiTheme="minorHAnsi" w:eastAsiaTheme="minorEastAsia" w:hAnsiTheme="minorHAnsi" w:cstheme="minorBidi"/>
          <w:b w:val="0"/>
          <w:szCs w:val="22"/>
        </w:rPr>
      </w:pPr>
      <w:hyperlink w:anchor="_Toc408836373" w:history="1">
        <w:r w:rsidR="00A27A2B">
          <w:rPr>
            <w:rStyle w:val="Hyperlink"/>
          </w:rPr>
          <w:t>References</w:t>
        </w:r>
        <w:r w:rsidR="00A27A2B">
          <w:rPr>
            <w:webHidden/>
          </w:rPr>
          <w:tab/>
        </w:r>
        <w:r>
          <w:rPr>
            <w:webHidden/>
          </w:rPr>
          <w:fldChar w:fldCharType="begin"/>
        </w:r>
        <w:r w:rsidR="00A27A2B">
          <w:rPr>
            <w:webHidden/>
          </w:rPr>
          <w:instrText xml:space="preserve"> PAGEREF _Toc408836373 \h </w:instrText>
        </w:r>
        <w:r>
          <w:rPr>
            <w:webHidden/>
          </w:rPr>
        </w:r>
        <w:r>
          <w:rPr>
            <w:webHidden/>
          </w:rPr>
          <w:fldChar w:fldCharType="separate"/>
        </w:r>
        <w:r w:rsidR="00A27A2B">
          <w:rPr>
            <w:webHidden/>
          </w:rPr>
          <w:t>61</w:t>
        </w:r>
        <w:r>
          <w:rPr>
            <w:webHidden/>
          </w:rPr>
          <w:fldChar w:fldCharType="end"/>
        </w:r>
      </w:hyperlink>
    </w:p>
    <w:p w:rsidR="00D25EFC" w:rsidRDefault="00D25EFC">
      <w:pPr>
        <w:pStyle w:val="Heading3unnumbered"/>
      </w:pPr>
      <w:r>
        <w:fldChar w:fldCharType="end"/>
      </w:r>
      <w:bookmarkStart w:id="12" w:name="_Toc408836292"/>
      <w:r w:rsidR="00A27A2B">
        <w:t>Figures</w:t>
      </w:r>
      <w:bookmarkEnd w:id="12"/>
    </w:p>
    <w:p w:rsidR="00D25EFC" w:rsidRDefault="00D25EFC">
      <w:pPr>
        <w:pStyle w:val="TableofFigures"/>
        <w:rPr>
          <w:rFonts w:asciiTheme="minorHAnsi" w:eastAsiaTheme="minorEastAsia" w:hAnsiTheme="minorHAnsi" w:cstheme="minorBidi"/>
          <w:szCs w:val="22"/>
        </w:rPr>
      </w:pPr>
      <w:r>
        <w:fldChar w:fldCharType="begin"/>
      </w:r>
      <w:r w:rsidR="00A27A2B">
        <w:instrText xml:space="preserve"> TOC \h \z \c "Figur</w:instrText>
      </w:r>
      <w:r w:rsidR="00A27A2B">
        <w:instrText xml:space="preserve">e" </w:instrText>
      </w:r>
      <w:r>
        <w:fldChar w:fldCharType="separate"/>
      </w:r>
      <w:hyperlink w:anchor="_Toc408393504" w:history="1">
        <w:r w:rsidR="00A27A2B">
          <w:rPr>
            <w:rStyle w:val="Hyperlink"/>
          </w:rPr>
          <w:t>Figure 1</w:t>
        </w:r>
        <w:r w:rsidR="00A27A2B">
          <w:rPr>
            <w:rFonts w:asciiTheme="minorHAnsi" w:eastAsiaTheme="minorEastAsia" w:hAnsiTheme="minorHAnsi" w:cstheme="minorBidi"/>
            <w:szCs w:val="22"/>
          </w:rPr>
          <w:tab/>
        </w:r>
        <w:r w:rsidR="00A27A2B">
          <w:rPr>
            <w:rStyle w:val="Hyperlink"/>
          </w:rPr>
          <w:t>Schematic representation of a typical rhabdovirus</w:t>
        </w:r>
        <w:r w:rsidR="00A27A2B">
          <w:rPr>
            <w:webHidden/>
          </w:rPr>
          <w:tab/>
        </w:r>
        <w:r>
          <w:rPr>
            <w:webHidden/>
          </w:rPr>
          <w:fldChar w:fldCharType="begin"/>
        </w:r>
        <w:r w:rsidR="00A27A2B">
          <w:rPr>
            <w:webHidden/>
          </w:rPr>
          <w:instrText xml:space="preserve"> PAGEREF _Toc408393504 \h </w:instrText>
        </w:r>
        <w:r>
          <w:rPr>
            <w:webHidden/>
          </w:rPr>
        </w:r>
        <w:r>
          <w:rPr>
            <w:webHidden/>
          </w:rPr>
          <w:fldChar w:fldCharType="separate"/>
        </w:r>
        <w:r w:rsidR="00A27A2B">
          <w:rPr>
            <w:webHidden/>
          </w:rPr>
          <w:t>2</w:t>
        </w:r>
        <w:r>
          <w:rPr>
            <w:webHidden/>
          </w:rPr>
          <w:fldChar w:fldCharType="end"/>
        </w:r>
      </w:hyperlink>
    </w:p>
    <w:p w:rsidR="00D25EFC" w:rsidRDefault="00D25EFC">
      <w:pPr>
        <w:pStyle w:val="TableofFigures"/>
        <w:rPr>
          <w:rFonts w:asciiTheme="minorHAnsi" w:eastAsiaTheme="minorEastAsia" w:hAnsiTheme="minorHAnsi" w:cstheme="minorBidi"/>
          <w:szCs w:val="22"/>
        </w:rPr>
      </w:pPr>
      <w:hyperlink w:anchor="_Toc408393505" w:history="1">
        <w:r w:rsidR="00A27A2B">
          <w:rPr>
            <w:rStyle w:val="Hyperlink"/>
          </w:rPr>
          <w:t>Figure 2</w:t>
        </w:r>
        <w:r w:rsidR="00A27A2B">
          <w:rPr>
            <w:rFonts w:asciiTheme="minorHAnsi" w:eastAsiaTheme="minorEastAsia" w:hAnsiTheme="minorHAnsi" w:cstheme="minorBidi"/>
            <w:szCs w:val="22"/>
          </w:rPr>
          <w:tab/>
        </w:r>
        <w:r w:rsidR="00A27A2B">
          <w:rPr>
            <w:rStyle w:val="Hyperlink"/>
          </w:rPr>
          <w:t>Haemorrhage on skin and around head of gizzard shad in North America</w:t>
        </w:r>
        <w:r w:rsidR="00A27A2B">
          <w:rPr>
            <w:webHidden/>
          </w:rPr>
          <w:tab/>
        </w:r>
        <w:r>
          <w:rPr>
            <w:webHidden/>
          </w:rPr>
          <w:fldChar w:fldCharType="begin"/>
        </w:r>
        <w:r w:rsidR="00A27A2B">
          <w:rPr>
            <w:webHidden/>
          </w:rPr>
          <w:instrText xml:space="preserve"> PAGEREF _Toc408393505 \h </w:instrText>
        </w:r>
        <w:r>
          <w:rPr>
            <w:webHidden/>
          </w:rPr>
        </w:r>
        <w:r>
          <w:rPr>
            <w:webHidden/>
          </w:rPr>
          <w:fldChar w:fldCharType="separate"/>
        </w:r>
        <w:r w:rsidR="00A27A2B">
          <w:rPr>
            <w:webHidden/>
          </w:rPr>
          <w:t>7</w:t>
        </w:r>
        <w:r>
          <w:rPr>
            <w:webHidden/>
          </w:rPr>
          <w:fldChar w:fldCharType="end"/>
        </w:r>
      </w:hyperlink>
    </w:p>
    <w:p w:rsidR="00D25EFC" w:rsidRDefault="00D25EFC">
      <w:pPr>
        <w:pStyle w:val="TableofFigures"/>
        <w:rPr>
          <w:rFonts w:asciiTheme="minorHAnsi" w:eastAsiaTheme="minorEastAsia" w:hAnsiTheme="minorHAnsi" w:cstheme="minorBidi"/>
          <w:szCs w:val="22"/>
        </w:rPr>
      </w:pPr>
      <w:hyperlink w:anchor="_Toc408393506" w:history="1">
        <w:r w:rsidR="00A27A2B">
          <w:rPr>
            <w:rStyle w:val="Hyperlink"/>
          </w:rPr>
          <w:t>Figure 3</w:t>
        </w:r>
        <w:r w:rsidR="00A27A2B">
          <w:rPr>
            <w:rFonts w:asciiTheme="minorHAnsi" w:eastAsiaTheme="minorEastAsia" w:hAnsiTheme="minorHAnsi" w:cstheme="minorBidi"/>
            <w:szCs w:val="22"/>
          </w:rPr>
          <w:tab/>
        </w:r>
        <w:r w:rsidR="00A27A2B">
          <w:rPr>
            <w:rStyle w:val="Hyperlink"/>
          </w:rPr>
          <w:t>Exophthalmia (left) and haemorrhage in muscle of gizzard shad</w:t>
        </w:r>
        <w:r w:rsidR="00A27A2B">
          <w:rPr>
            <w:webHidden/>
          </w:rPr>
          <w:tab/>
        </w:r>
        <w:r>
          <w:rPr>
            <w:webHidden/>
          </w:rPr>
          <w:fldChar w:fldCharType="begin"/>
        </w:r>
        <w:r w:rsidR="00A27A2B">
          <w:rPr>
            <w:webHidden/>
          </w:rPr>
          <w:instrText xml:space="preserve"> PAGEREF _Toc408393506 \h </w:instrText>
        </w:r>
        <w:r>
          <w:rPr>
            <w:webHidden/>
          </w:rPr>
        </w:r>
        <w:r>
          <w:rPr>
            <w:webHidden/>
          </w:rPr>
          <w:fldChar w:fldCharType="separate"/>
        </w:r>
        <w:r w:rsidR="00A27A2B">
          <w:rPr>
            <w:webHidden/>
          </w:rPr>
          <w:t>7</w:t>
        </w:r>
        <w:r>
          <w:rPr>
            <w:webHidden/>
          </w:rPr>
          <w:fldChar w:fldCharType="end"/>
        </w:r>
      </w:hyperlink>
    </w:p>
    <w:p w:rsidR="00D25EFC" w:rsidRDefault="00D25EFC">
      <w:pPr>
        <w:pStyle w:val="TableofFigures"/>
        <w:rPr>
          <w:rFonts w:asciiTheme="minorHAnsi" w:eastAsiaTheme="minorEastAsia" w:hAnsiTheme="minorHAnsi" w:cstheme="minorBidi"/>
          <w:szCs w:val="22"/>
        </w:rPr>
      </w:pPr>
      <w:hyperlink w:anchor="_Toc408393507" w:history="1">
        <w:r w:rsidR="00A27A2B">
          <w:rPr>
            <w:rStyle w:val="Hyperlink"/>
          </w:rPr>
          <w:t>Figure 4</w:t>
        </w:r>
        <w:r w:rsidR="00A27A2B">
          <w:rPr>
            <w:rFonts w:asciiTheme="minorHAnsi" w:eastAsiaTheme="minorEastAsia" w:hAnsiTheme="minorHAnsi" w:cstheme="minorBidi"/>
            <w:szCs w:val="22"/>
          </w:rPr>
          <w:tab/>
        </w:r>
        <w:r w:rsidR="00A27A2B">
          <w:rPr>
            <w:rStyle w:val="Hyperlink"/>
          </w:rPr>
          <w:t>Estab</w:t>
        </w:r>
        <w:r w:rsidR="00A27A2B">
          <w:rPr>
            <w:rStyle w:val="Hyperlink"/>
          </w:rPr>
          <w:t>lishment of specified areas to control viral haemorrhagic septicaemia</w:t>
        </w:r>
        <w:r w:rsidR="00A27A2B">
          <w:rPr>
            <w:webHidden/>
          </w:rPr>
          <w:tab/>
        </w:r>
        <w:r>
          <w:rPr>
            <w:webHidden/>
          </w:rPr>
          <w:fldChar w:fldCharType="begin"/>
        </w:r>
        <w:r w:rsidR="00A27A2B">
          <w:rPr>
            <w:webHidden/>
          </w:rPr>
          <w:instrText xml:space="preserve"> PAGEREF _Toc408393507 \h </w:instrText>
        </w:r>
        <w:r>
          <w:rPr>
            <w:webHidden/>
          </w:rPr>
        </w:r>
        <w:r>
          <w:rPr>
            <w:webHidden/>
          </w:rPr>
          <w:fldChar w:fldCharType="separate"/>
        </w:r>
        <w:r w:rsidR="00A27A2B">
          <w:rPr>
            <w:webHidden/>
          </w:rPr>
          <w:t>18</w:t>
        </w:r>
        <w:r>
          <w:rPr>
            <w:webHidden/>
          </w:rPr>
          <w:fldChar w:fldCharType="end"/>
        </w:r>
      </w:hyperlink>
    </w:p>
    <w:p w:rsidR="00D25EFC" w:rsidRDefault="00D25EFC">
      <w:pPr>
        <w:pStyle w:val="TableofFigures"/>
        <w:rPr>
          <w:rFonts w:asciiTheme="minorHAnsi" w:eastAsiaTheme="minorEastAsia" w:hAnsiTheme="minorHAnsi" w:cstheme="minorBidi"/>
          <w:szCs w:val="22"/>
        </w:rPr>
      </w:pPr>
      <w:hyperlink w:anchor="_Toc408393508" w:history="1">
        <w:r w:rsidR="00A27A2B">
          <w:rPr>
            <w:rStyle w:val="Hyperlink"/>
          </w:rPr>
          <w:t>Figure 5</w:t>
        </w:r>
        <w:r w:rsidR="00A27A2B">
          <w:rPr>
            <w:rFonts w:asciiTheme="minorHAnsi" w:eastAsiaTheme="minorEastAsia" w:hAnsiTheme="minorHAnsi" w:cstheme="minorBidi"/>
            <w:szCs w:val="22"/>
          </w:rPr>
          <w:tab/>
        </w:r>
        <w:r w:rsidR="00A27A2B">
          <w:rPr>
            <w:rStyle w:val="Hyperlink"/>
          </w:rPr>
          <w:t>Response options for viral haemorrhagic septicaem</w:t>
        </w:r>
        <w:r w:rsidR="00A27A2B">
          <w:rPr>
            <w:rStyle w:val="Hyperlink"/>
          </w:rPr>
          <w:t>ia disease outbreaks</w:t>
        </w:r>
        <w:r w:rsidR="00A27A2B">
          <w:rPr>
            <w:webHidden/>
          </w:rPr>
          <w:tab/>
        </w:r>
        <w:r>
          <w:rPr>
            <w:webHidden/>
          </w:rPr>
          <w:fldChar w:fldCharType="begin"/>
        </w:r>
        <w:r w:rsidR="00A27A2B">
          <w:rPr>
            <w:webHidden/>
          </w:rPr>
          <w:instrText xml:space="preserve"> PAGEREF _Toc408393508 \h </w:instrText>
        </w:r>
        <w:r>
          <w:rPr>
            <w:webHidden/>
          </w:rPr>
        </w:r>
        <w:r>
          <w:rPr>
            <w:webHidden/>
          </w:rPr>
          <w:fldChar w:fldCharType="separate"/>
        </w:r>
        <w:r w:rsidR="00A27A2B">
          <w:rPr>
            <w:webHidden/>
          </w:rPr>
          <w:t>30</w:t>
        </w:r>
        <w:r>
          <w:rPr>
            <w:webHidden/>
          </w:rPr>
          <w:fldChar w:fldCharType="end"/>
        </w:r>
      </w:hyperlink>
    </w:p>
    <w:p w:rsidR="00D25EFC" w:rsidRDefault="00D25EFC">
      <w:pPr>
        <w:pStyle w:val="TableofFigures"/>
        <w:rPr>
          <w:rFonts w:asciiTheme="minorHAnsi" w:eastAsiaTheme="minorEastAsia" w:hAnsiTheme="minorHAnsi" w:cstheme="minorBidi"/>
          <w:b/>
          <w:szCs w:val="22"/>
        </w:rPr>
      </w:pPr>
      <w:r>
        <w:fldChar w:fldCharType="end"/>
      </w:r>
      <w:r w:rsidRPr="00D25EFC">
        <w:fldChar w:fldCharType="begin"/>
      </w:r>
      <w:r w:rsidR="00A27A2B">
        <w:instrText xml:space="preserve"> TOC \h \z \c "Figure F" </w:instrText>
      </w:r>
      <w:r w:rsidRPr="00D25EFC">
        <w:fldChar w:fldCharType="separate"/>
      </w:r>
      <w:hyperlink w:anchor="_Toc408393232" w:history="1">
        <w:r w:rsidR="00A27A2B">
          <w:rPr>
            <w:rStyle w:val="Hyperlink"/>
          </w:rPr>
          <w:t>Figure F1</w:t>
        </w:r>
        <w:r w:rsidR="00A27A2B">
          <w:rPr>
            <w:rFonts w:asciiTheme="minorHAnsi" w:eastAsiaTheme="minorEastAsia" w:hAnsiTheme="minorHAnsi" w:cstheme="minorBidi"/>
            <w:b/>
            <w:szCs w:val="22"/>
          </w:rPr>
          <w:tab/>
        </w:r>
        <w:r w:rsidR="00A27A2B">
          <w:rPr>
            <w:rStyle w:val="Hyperlink"/>
          </w:rPr>
          <w:t>VHSV poster – Michigan DNR, USA</w:t>
        </w:r>
        <w:r w:rsidR="00A27A2B">
          <w:rPr>
            <w:webHidden/>
          </w:rPr>
          <w:tab/>
        </w:r>
        <w:r>
          <w:rPr>
            <w:webHidden/>
          </w:rPr>
          <w:fldChar w:fldCharType="begin"/>
        </w:r>
        <w:r w:rsidR="00A27A2B">
          <w:rPr>
            <w:webHidden/>
          </w:rPr>
          <w:instrText xml:space="preserve"> PAGEREF _Toc408393232 \h </w:instrText>
        </w:r>
        <w:r>
          <w:rPr>
            <w:webHidden/>
          </w:rPr>
        </w:r>
        <w:r>
          <w:rPr>
            <w:webHidden/>
          </w:rPr>
          <w:fldChar w:fldCharType="separate"/>
        </w:r>
        <w:r w:rsidR="00A27A2B">
          <w:rPr>
            <w:webHidden/>
          </w:rPr>
          <w:t>51</w:t>
        </w:r>
        <w:r>
          <w:rPr>
            <w:webHidden/>
          </w:rPr>
          <w:fldChar w:fldCharType="end"/>
        </w:r>
      </w:hyperlink>
    </w:p>
    <w:p w:rsidR="00D25EFC" w:rsidRDefault="00D25EFC">
      <w:pPr>
        <w:pStyle w:val="TableofFigures"/>
        <w:rPr>
          <w:rFonts w:asciiTheme="minorHAnsi" w:eastAsiaTheme="minorEastAsia" w:hAnsiTheme="minorHAnsi" w:cstheme="minorBidi"/>
          <w:b/>
          <w:szCs w:val="22"/>
        </w:rPr>
      </w:pPr>
      <w:hyperlink w:anchor="_Toc408393233" w:history="1">
        <w:r w:rsidR="00A27A2B">
          <w:rPr>
            <w:rStyle w:val="Hyperlink"/>
          </w:rPr>
          <w:t>Figure F2</w:t>
        </w:r>
        <w:r w:rsidR="00A27A2B">
          <w:rPr>
            <w:rFonts w:asciiTheme="minorHAnsi" w:eastAsiaTheme="minorEastAsia" w:hAnsiTheme="minorHAnsi" w:cstheme="minorBidi"/>
            <w:b/>
            <w:szCs w:val="22"/>
          </w:rPr>
          <w:tab/>
        </w:r>
        <w:r w:rsidR="00A27A2B">
          <w:rPr>
            <w:rStyle w:val="Hyperlink"/>
          </w:rPr>
          <w:t>VHSV brochure – MN, USA</w:t>
        </w:r>
        <w:r w:rsidR="00A27A2B">
          <w:rPr>
            <w:webHidden/>
          </w:rPr>
          <w:tab/>
        </w:r>
        <w:r>
          <w:rPr>
            <w:webHidden/>
          </w:rPr>
          <w:fldChar w:fldCharType="begin"/>
        </w:r>
        <w:r w:rsidR="00A27A2B">
          <w:rPr>
            <w:webHidden/>
          </w:rPr>
          <w:instrText xml:space="preserve"> PAGEREF _Toc408393233 \h </w:instrText>
        </w:r>
        <w:r>
          <w:rPr>
            <w:webHidden/>
          </w:rPr>
        </w:r>
        <w:r>
          <w:rPr>
            <w:webHidden/>
          </w:rPr>
          <w:fldChar w:fldCharType="separate"/>
        </w:r>
        <w:r w:rsidR="00A27A2B">
          <w:rPr>
            <w:webHidden/>
          </w:rPr>
          <w:t>52</w:t>
        </w:r>
        <w:r>
          <w:rPr>
            <w:webHidden/>
          </w:rPr>
          <w:fldChar w:fldCharType="end"/>
        </w:r>
      </w:hyperlink>
    </w:p>
    <w:p w:rsidR="00D25EFC" w:rsidRDefault="00D25EFC">
      <w:pPr>
        <w:spacing w:after="0"/>
        <w:ind w:left="1134" w:hanging="1134"/>
      </w:pPr>
      <w:r>
        <w:fldChar w:fldCharType="end"/>
      </w:r>
    </w:p>
    <w:p w:rsidR="00D25EFC" w:rsidRDefault="00A27A2B">
      <w:pPr>
        <w:pStyle w:val="Heading3unnumbered"/>
      </w:pPr>
      <w:bookmarkStart w:id="13" w:name="_Toc408836293"/>
      <w:r>
        <w:t>Tables</w:t>
      </w:r>
      <w:bookmarkEnd w:id="13"/>
    </w:p>
    <w:p w:rsidR="00D25EFC" w:rsidRDefault="00D25EFC">
      <w:pPr>
        <w:pStyle w:val="TableofFigures"/>
        <w:rPr>
          <w:rFonts w:asciiTheme="minorHAnsi" w:eastAsiaTheme="minorEastAsia" w:hAnsiTheme="minorHAnsi" w:cstheme="minorBidi"/>
          <w:szCs w:val="22"/>
        </w:rPr>
      </w:pPr>
      <w:r>
        <w:fldChar w:fldCharType="begin"/>
      </w:r>
      <w:r w:rsidR="00A27A2B">
        <w:instrText xml:space="preserve"> TOC \h \z \c "Tab</w:instrText>
      </w:r>
      <w:r w:rsidR="00A27A2B">
        <w:instrText xml:space="preserve">le" </w:instrText>
      </w:r>
      <w:r>
        <w:fldChar w:fldCharType="separate"/>
      </w:r>
      <w:hyperlink w:anchor="_Toc408393629" w:history="1">
        <w:r w:rsidR="00A27A2B">
          <w:rPr>
            <w:rStyle w:val="Hyperlink"/>
          </w:rPr>
          <w:t>Table 1</w:t>
        </w:r>
        <w:r w:rsidR="00A27A2B">
          <w:rPr>
            <w:rFonts w:asciiTheme="minorHAnsi" w:eastAsiaTheme="minorEastAsia" w:hAnsiTheme="minorHAnsi" w:cstheme="minorBidi"/>
            <w:szCs w:val="22"/>
          </w:rPr>
          <w:tab/>
        </w:r>
        <w:r w:rsidR="00A27A2B">
          <w:rPr>
            <w:rStyle w:val="Hyperlink"/>
          </w:rPr>
          <w:t>Differential diagnoses for viral haemorrhagic septicaemia</w:t>
        </w:r>
        <w:r w:rsidR="00A27A2B">
          <w:rPr>
            <w:webHidden/>
          </w:rPr>
          <w:tab/>
        </w:r>
        <w:r>
          <w:rPr>
            <w:webHidden/>
          </w:rPr>
          <w:fldChar w:fldCharType="begin"/>
        </w:r>
        <w:r w:rsidR="00A27A2B">
          <w:rPr>
            <w:webHidden/>
          </w:rPr>
          <w:instrText xml:space="preserve"> PAGEREF _Toc408393629 \h </w:instrText>
        </w:r>
        <w:r>
          <w:rPr>
            <w:webHidden/>
          </w:rPr>
        </w:r>
        <w:r>
          <w:rPr>
            <w:webHidden/>
          </w:rPr>
          <w:fldChar w:fldCharType="separate"/>
        </w:r>
        <w:r w:rsidR="00A27A2B">
          <w:rPr>
            <w:webHidden/>
          </w:rPr>
          <w:t>10</w:t>
        </w:r>
        <w:r>
          <w:rPr>
            <w:webHidden/>
          </w:rPr>
          <w:fldChar w:fldCharType="end"/>
        </w:r>
      </w:hyperlink>
    </w:p>
    <w:p w:rsidR="00D25EFC" w:rsidRDefault="00D25EFC">
      <w:pPr>
        <w:pStyle w:val="TableofFigures"/>
        <w:rPr>
          <w:rFonts w:asciiTheme="minorHAnsi" w:eastAsiaTheme="minorEastAsia" w:hAnsiTheme="minorHAnsi" w:cstheme="minorBidi"/>
          <w:szCs w:val="22"/>
        </w:rPr>
      </w:pPr>
      <w:hyperlink w:anchor="_Toc408393630" w:history="1">
        <w:r w:rsidR="00A27A2B">
          <w:rPr>
            <w:rStyle w:val="Hyperlink"/>
          </w:rPr>
          <w:t>Table 2</w:t>
        </w:r>
        <w:r w:rsidR="00A27A2B">
          <w:rPr>
            <w:rFonts w:asciiTheme="minorHAnsi" w:eastAsiaTheme="minorEastAsia" w:hAnsiTheme="minorHAnsi" w:cstheme="minorBidi"/>
            <w:szCs w:val="22"/>
          </w:rPr>
          <w:tab/>
        </w:r>
        <w:r w:rsidR="00A27A2B">
          <w:rPr>
            <w:rStyle w:val="Hyperlink"/>
          </w:rPr>
          <w:t xml:space="preserve">Dose rates and time </w:t>
        </w:r>
        <w:r w:rsidR="00A27A2B">
          <w:rPr>
            <w:rStyle w:val="Hyperlink"/>
          </w:rPr>
          <w:t>required until VHSV inactivation using physical and chemical agents</w:t>
        </w:r>
        <w:r w:rsidR="00A27A2B">
          <w:rPr>
            <w:webHidden/>
          </w:rPr>
          <w:tab/>
        </w:r>
        <w:r>
          <w:rPr>
            <w:webHidden/>
          </w:rPr>
          <w:fldChar w:fldCharType="begin"/>
        </w:r>
        <w:r w:rsidR="00A27A2B">
          <w:rPr>
            <w:webHidden/>
          </w:rPr>
          <w:instrText xml:space="preserve"> PAGEREF _Toc408393630 \h </w:instrText>
        </w:r>
        <w:r>
          <w:rPr>
            <w:webHidden/>
          </w:rPr>
        </w:r>
        <w:r>
          <w:rPr>
            <w:webHidden/>
          </w:rPr>
          <w:fldChar w:fldCharType="separate"/>
        </w:r>
        <w:r w:rsidR="00A27A2B">
          <w:rPr>
            <w:webHidden/>
          </w:rPr>
          <w:t>15</w:t>
        </w:r>
        <w:r>
          <w:rPr>
            <w:webHidden/>
          </w:rPr>
          <w:fldChar w:fldCharType="end"/>
        </w:r>
      </w:hyperlink>
    </w:p>
    <w:p w:rsidR="00D25EFC" w:rsidRDefault="00D25EFC">
      <w:pPr>
        <w:pStyle w:val="TableofFigures"/>
        <w:rPr>
          <w:rFonts w:asciiTheme="minorHAnsi" w:eastAsiaTheme="minorEastAsia" w:hAnsiTheme="minorHAnsi" w:cstheme="minorBidi"/>
          <w:szCs w:val="22"/>
        </w:rPr>
      </w:pPr>
      <w:r>
        <w:fldChar w:fldCharType="end"/>
      </w:r>
      <w:r>
        <w:fldChar w:fldCharType="begin"/>
      </w:r>
      <w:r w:rsidR="00A27A2B">
        <w:instrText xml:space="preserve"> TOC \h \z \c "Table A" </w:instrText>
      </w:r>
      <w:r>
        <w:fldChar w:fldCharType="separate"/>
      </w:r>
      <w:hyperlink w:anchor="_Toc408393523" w:history="1">
        <w:r w:rsidR="00A27A2B">
          <w:rPr>
            <w:rStyle w:val="Hyperlink"/>
          </w:rPr>
          <w:t>Table A1</w:t>
        </w:r>
        <w:r w:rsidR="00A27A2B">
          <w:rPr>
            <w:rFonts w:asciiTheme="minorHAnsi" w:eastAsiaTheme="minorEastAsia" w:hAnsiTheme="minorHAnsi" w:cstheme="minorBidi"/>
            <w:szCs w:val="22"/>
          </w:rPr>
          <w:tab/>
        </w:r>
        <w:r w:rsidR="00A27A2B">
          <w:rPr>
            <w:rStyle w:val="Hyperlink"/>
          </w:rPr>
          <w:t xml:space="preserve">Species susceptibility </w:t>
        </w:r>
        <w:r w:rsidR="00A27A2B">
          <w:rPr>
            <w:rStyle w:val="Hyperlink"/>
          </w:rPr>
          <w:t>to viral haemorrhagic septicaemia</w:t>
        </w:r>
        <w:r w:rsidR="00A27A2B">
          <w:rPr>
            <w:webHidden/>
          </w:rPr>
          <w:tab/>
        </w:r>
        <w:r>
          <w:rPr>
            <w:webHidden/>
          </w:rPr>
          <w:fldChar w:fldCharType="begin"/>
        </w:r>
        <w:r w:rsidR="00A27A2B">
          <w:rPr>
            <w:webHidden/>
          </w:rPr>
          <w:instrText xml:space="preserve"> PAGEREF _Toc408393523 \h </w:instrText>
        </w:r>
        <w:r>
          <w:rPr>
            <w:webHidden/>
          </w:rPr>
        </w:r>
        <w:r>
          <w:rPr>
            <w:webHidden/>
          </w:rPr>
          <w:fldChar w:fldCharType="separate"/>
        </w:r>
        <w:r w:rsidR="00A27A2B">
          <w:rPr>
            <w:webHidden/>
          </w:rPr>
          <w:t>34</w:t>
        </w:r>
        <w:r>
          <w:rPr>
            <w:webHidden/>
          </w:rPr>
          <w:fldChar w:fldCharType="end"/>
        </w:r>
      </w:hyperlink>
    </w:p>
    <w:p w:rsidR="00D25EFC" w:rsidRDefault="00D25EFC">
      <w:pPr>
        <w:pStyle w:val="TableofFigures"/>
        <w:rPr>
          <w:rFonts w:asciiTheme="minorHAnsi" w:eastAsiaTheme="minorEastAsia" w:hAnsiTheme="minorHAnsi" w:cstheme="minorBidi"/>
          <w:szCs w:val="22"/>
        </w:rPr>
      </w:pPr>
      <w:hyperlink w:anchor="_Toc408393524" w:history="1">
        <w:r w:rsidR="00A27A2B">
          <w:rPr>
            <w:rStyle w:val="Hyperlink"/>
          </w:rPr>
          <w:t>Table A2</w:t>
        </w:r>
        <w:r w:rsidR="00A27A2B">
          <w:rPr>
            <w:rFonts w:asciiTheme="minorHAnsi" w:eastAsiaTheme="minorEastAsia" w:hAnsiTheme="minorHAnsi" w:cstheme="minorBidi"/>
            <w:szCs w:val="22"/>
          </w:rPr>
          <w:tab/>
        </w:r>
        <w:r w:rsidR="00A27A2B">
          <w:rPr>
            <w:rStyle w:val="Hyperlink"/>
          </w:rPr>
          <w:t>Species from which VHSV has been isolated where clinical signs of disease have been o</w:t>
        </w:r>
        <w:r w:rsidR="00A27A2B">
          <w:rPr>
            <w:rStyle w:val="Hyperlink"/>
          </w:rPr>
          <w:t>bserved</w:t>
        </w:r>
        <w:r w:rsidR="00A27A2B">
          <w:rPr>
            <w:webHidden/>
          </w:rPr>
          <w:tab/>
        </w:r>
        <w:r>
          <w:rPr>
            <w:webHidden/>
          </w:rPr>
          <w:fldChar w:fldCharType="begin"/>
        </w:r>
        <w:r w:rsidR="00A27A2B">
          <w:rPr>
            <w:webHidden/>
          </w:rPr>
          <w:instrText xml:space="preserve"> PAGEREF _Toc408393524 \h </w:instrText>
        </w:r>
        <w:r>
          <w:rPr>
            <w:webHidden/>
          </w:rPr>
        </w:r>
        <w:r>
          <w:rPr>
            <w:webHidden/>
          </w:rPr>
          <w:fldChar w:fldCharType="separate"/>
        </w:r>
        <w:r w:rsidR="00A27A2B">
          <w:rPr>
            <w:webHidden/>
          </w:rPr>
          <w:t>35</w:t>
        </w:r>
        <w:r>
          <w:rPr>
            <w:webHidden/>
          </w:rPr>
          <w:fldChar w:fldCharType="end"/>
        </w:r>
      </w:hyperlink>
    </w:p>
    <w:p w:rsidR="00D25EFC" w:rsidRDefault="00D25EFC">
      <w:pPr>
        <w:pStyle w:val="TableofFigures"/>
        <w:rPr>
          <w:rFonts w:asciiTheme="minorHAnsi" w:eastAsiaTheme="minorEastAsia" w:hAnsiTheme="minorHAnsi" w:cstheme="minorBidi"/>
          <w:szCs w:val="22"/>
        </w:rPr>
      </w:pPr>
      <w:hyperlink w:anchor="_Toc408393525" w:history="1">
        <w:r w:rsidR="00A27A2B">
          <w:rPr>
            <w:rStyle w:val="Hyperlink"/>
          </w:rPr>
          <w:t>Table A3</w:t>
        </w:r>
        <w:r w:rsidR="00A27A2B">
          <w:rPr>
            <w:rFonts w:asciiTheme="minorHAnsi" w:eastAsiaTheme="minorEastAsia" w:hAnsiTheme="minorHAnsi" w:cstheme="minorBidi"/>
            <w:szCs w:val="22"/>
          </w:rPr>
          <w:tab/>
        </w:r>
        <w:r w:rsidR="00A27A2B">
          <w:rPr>
            <w:rStyle w:val="Hyperlink"/>
          </w:rPr>
          <w:t>Species challenged with at least one VHSV isolate (generally Type I) and found not to be susceptible*</w:t>
        </w:r>
        <w:r w:rsidR="00A27A2B">
          <w:rPr>
            <w:webHidden/>
          </w:rPr>
          <w:tab/>
        </w:r>
        <w:r>
          <w:rPr>
            <w:webHidden/>
          </w:rPr>
          <w:fldChar w:fldCharType="begin"/>
        </w:r>
        <w:r w:rsidR="00A27A2B">
          <w:rPr>
            <w:webHidden/>
          </w:rPr>
          <w:instrText xml:space="preserve"> PAGEREF </w:instrText>
        </w:r>
        <w:r w:rsidR="00A27A2B">
          <w:rPr>
            <w:webHidden/>
          </w:rPr>
          <w:instrText xml:space="preserve">_Toc408393525 \h </w:instrText>
        </w:r>
        <w:r>
          <w:rPr>
            <w:webHidden/>
          </w:rPr>
        </w:r>
        <w:r>
          <w:rPr>
            <w:webHidden/>
          </w:rPr>
          <w:fldChar w:fldCharType="separate"/>
        </w:r>
        <w:r w:rsidR="00A27A2B">
          <w:rPr>
            <w:webHidden/>
          </w:rPr>
          <w:t>35</w:t>
        </w:r>
        <w:r>
          <w:rPr>
            <w:webHidden/>
          </w:rPr>
          <w:fldChar w:fldCharType="end"/>
        </w:r>
      </w:hyperlink>
    </w:p>
    <w:p w:rsidR="00D25EFC" w:rsidRDefault="00D25EFC">
      <w:pPr>
        <w:pStyle w:val="TableofFigures"/>
        <w:rPr>
          <w:rFonts w:asciiTheme="minorHAnsi" w:eastAsiaTheme="minorEastAsia" w:hAnsiTheme="minorHAnsi" w:cstheme="minorBidi"/>
          <w:b/>
          <w:szCs w:val="22"/>
        </w:rPr>
      </w:pPr>
      <w:r>
        <w:fldChar w:fldCharType="end"/>
      </w:r>
      <w:r w:rsidRPr="00D25EFC">
        <w:fldChar w:fldCharType="begin"/>
      </w:r>
      <w:r w:rsidR="00A27A2B">
        <w:instrText xml:space="preserve"> TOC \h \z \c "Table C" </w:instrText>
      </w:r>
      <w:r w:rsidRPr="00D25EFC">
        <w:fldChar w:fldCharType="separate"/>
      </w:r>
      <w:hyperlink w:anchor="_Toc408393416" w:history="1">
        <w:r w:rsidR="00A27A2B">
          <w:rPr>
            <w:rStyle w:val="Hyperlink"/>
          </w:rPr>
          <w:t>Table C1</w:t>
        </w:r>
        <w:r w:rsidR="00A27A2B">
          <w:rPr>
            <w:rFonts w:asciiTheme="minorHAnsi" w:eastAsiaTheme="minorEastAsia" w:hAnsiTheme="minorHAnsi" w:cstheme="minorBidi"/>
            <w:b/>
            <w:szCs w:val="22"/>
          </w:rPr>
          <w:tab/>
        </w:r>
        <w:r w:rsidR="00A27A2B">
          <w:rPr>
            <w:rStyle w:val="Hyperlink"/>
          </w:rPr>
          <w:t>Fish tissues collected for VHSV testing</w:t>
        </w:r>
        <w:r w:rsidR="00A27A2B">
          <w:rPr>
            <w:webHidden/>
          </w:rPr>
          <w:tab/>
        </w:r>
        <w:r>
          <w:rPr>
            <w:webHidden/>
          </w:rPr>
          <w:fldChar w:fldCharType="begin"/>
        </w:r>
        <w:r w:rsidR="00A27A2B">
          <w:rPr>
            <w:webHidden/>
          </w:rPr>
          <w:instrText xml:space="preserve"> PAGEREF _Toc408393416 \h </w:instrText>
        </w:r>
        <w:r>
          <w:rPr>
            <w:webHidden/>
          </w:rPr>
        </w:r>
        <w:r>
          <w:rPr>
            <w:webHidden/>
          </w:rPr>
          <w:fldChar w:fldCharType="separate"/>
        </w:r>
        <w:r w:rsidR="00A27A2B">
          <w:rPr>
            <w:webHidden/>
          </w:rPr>
          <w:t>37</w:t>
        </w:r>
        <w:r>
          <w:rPr>
            <w:webHidden/>
          </w:rPr>
          <w:fldChar w:fldCharType="end"/>
        </w:r>
      </w:hyperlink>
    </w:p>
    <w:p w:rsidR="00D25EFC" w:rsidRDefault="00D25EFC">
      <w:pPr>
        <w:pStyle w:val="TableofFigures"/>
        <w:rPr>
          <w:rFonts w:asciiTheme="minorHAnsi" w:eastAsiaTheme="minorEastAsia" w:hAnsiTheme="minorHAnsi" w:cstheme="minorBidi"/>
          <w:b/>
          <w:szCs w:val="22"/>
        </w:rPr>
      </w:pPr>
      <w:hyperlink w:anchor="_Toc408393417" w:history="1">
        <w:r w:rsidR="00A27A2B">
          <w:rPr>
            <w:rStyle w:val="Hyperlink"/>
          </w:rPr>
          <w:t>Table C2</w:t>
        </w:r>
        <w:r w:rsidR="00A27A2B">
          <w:rPr>
            <w:rFonts w:asciiTheme="minorHAnsi" w:eastAsiaTheme="minorEastAsia" w:hAnsiTheme="minorHAnsi" w:cstheme="minorBidi"/>
            <w:b/>
            <w:szCs w:val="22"/>
          </w:rPr>
          <w:tab/>
        </w:r>
        <w:r w:rsidR="00A27A2B">
          <w:rPr>
            <w:rStyle w:val="Hyperlink"/>
          </w:rPr>
          <w:t>RT-PCR primers to produce a 505bp product from the N gene (OIE 2013b)</w:t>
        </w:r>
        <w:r w:rsidR="00A27A2B">
          <w:rPr>
            <w:webHidden/>
          </w:rPr>
          <w:tab/>
        </w:r>
        <w:r>
          <w:rPr>
            <w:webHidden/>
          </w:rPr>
          <w:fldChar w:fldCharType="begin"/>
        </w:r>
        <w:r w:rsidR="00A27A2B">
          <w:rPr>
            <w:webHidden/>
          </w:rPr>
          <w:instrText xml:space="preserve"> PAGEREF _Toc408393417 \h </w:instrText>
        </w:r>
        <w:r>
          <w:rPr>
            <w:webHidden/>
          </w:rPr>
        </w:r>
        <w:r>
          <w:rPr>
            <w:webHidden/>
          </w:rPr>
          <w:fldChar w:fldCharType="separate"/>
        </w:r>
        <w:r w:rsidR="00A27A2B">
          <w:rPr>
            <w:webHidden/>
          </w:rPr>
          <w:t>38</w:t>
        </w:r>
        <w:r>
          <w:rPr>
            <w:webHidden/>
          </w:rPr>
          <w:fldChar w:fldCharType="end"/>
        </w:r>
      </w:hyperlink>
    </w:p>
    <w:p w:rsidR="00D25EFC" w:rsidRDefault="00D25EFC">
      <w:pPr>
        <w:spacing w:after="0"/>
        <w:ind w:left="1134" w:hanging="1134"/>
        <w:sectPr w:rsidR="00D25EFC">
          <w:headerReference w:type="default" r:id="rId14"/>
          <w:footerReference w:type="even" r:id="rId15"/>
          <w:footerReference w:type="default" r:id="rId16"/>
          <w:pgSz w:w="11900" w:h="16840"/>
          <w:pgMar w:top="1440" w:right="1800" w:bottom="1440" w:left="1800" w:header="708" w:footer="708" w:gutter="0"/>
          <w:pgNumType w:fmt="lowerRoman"/>
          <w:cols w:space="708"/>
          <w:titlePg/>
          <w:docGrid w:linePitch="360"/>
        </w:sectPr>
      </w:pPr>
      <w:r>
        <w:fldChar w:fldCharType="end"/>
      </w:r>
    </w:p>
    <w:p w:rsidR="00D25EFC" w:rsidRDefault="00A27A2B">
      <w:pPr>
        <w:pStyle w:val="Heading3"/>
      </w:pPr>
      <w:bookmarkStart w:id="14" w:name="_Toc402970320"/>
      <w:bookmarkStart w:id="15" w:name="_Toc408388680"/>
      <w:bookmarkStart w:id="16" w:name="_Toc408836294"/>
      <w:r>
        <w:lastRenderedPageBreak/>
        <w:t>Nature of the disease</w:t>
      </w:r>
      <w:bookmarkEnd w:id="14"/>
      <w:bookmarkEnd w:id="15"/>
      <w:bookmarkEnd w:id="16"/>
    </w:p>
    <w:p w:rsidR="00D25EFC" w:rsidRDefault="00A27A2B">
      <w:pPr>
        <w:pStyle w:val="Normalindent"/>
      </w:pPr>
      <w:r>
        <w:t>Viral haemorrhagic septicaemia (VHS) is an infectious disease of freshwate</w:t>
      </w:r>
      <w:r>
        <w:t>r and marine fish caused by the viral haemorrhagic septicaemia virus (VHSV), a rhabdovirus. VHS was</w:t>
      </w:r>
      <w:r>
        <w:rPr>
          <w:szCs w:val="21"/>
          <w:lang w:eastAsia="en-US"/>
        </w:rPr>
        <w:t xml:space="preserve"> first recognised by Schaeperclaus in Germany in 1938, and in 1949 the disease was referred to as Egtved disease after a village in Denmark where the outbrea</w:t>
      </w:r>
      <w:r>
        <w:rPr>
          <w:szCs w:val="21"/>
          <w:lang w:eastAsia="en-US"/>
        </w:rPr>
        <w:t xml:space="preserve">k occurred (Jensen 1965). In 1966, the </w:t>
      </w:r>
      <w:r>
        <w:t>World Organisation for Animal Health</w:t>
      </w:r>
      <w:r>
        <w:rPr>
          <w:szCs w:val="21"/>
          <w:lang w:eastAsia="en-US"/>
        </w:rPr>
        <w:t xml:space="preserve"> (OIE) recommended that the name be changed to viral haemorrhagic septicaemia (Warren 1983). </w:t>
      </w:r>
      <w:r>
        <w:t>The virus has caused significant mortality and economic loss, first in the aquaculture o</w:t>
      </w:r>
      <w:r>
        <w:t>f salmonids and marine fish in Europe and North America, and more recently in wild fisheries in marine and freshwater environments in North America.</w:t>
      </w:r>
    </w:p>
    <w:p w:rsidR="00D25EFC" w:rsidRDefault="00A27A2B">
      <w:pPr>
        <w:pStyle w:val="Normalindent"/>
      </w:pPr>
      <w:r>
        <w:t xml:space="preserve">The list of species recorded to have had the disease in the wild continues to increase and includes marine </w:t>
      </w:r>
      <w:r>
        <w:t>fish such as pilchards (</w:t>
      </w:r>
      <w:r>
        <w:rPr>
          <w:rStyle w:val="Emphasis"/>
        </w:rPr>
        <w:t>Sardinops sagax</w:t>
      </w:r>
      <w:r>
        <w:t>), Pacific herring (</w:t>
      </w:r>
      <w:r>
        <w:rPr>
          <w:rStyle w:val="Emphasis"/>
        </w:rPr>
        <w:t>Clupea pallasii</w:t>
      </w:r>
      <w:r>
        <w:t>), flounder (</w:t>
      </w:r>
      <w:r>
        <w:rPr>
          <w:rStyle w:val="Emphasis"/>
        </w:rPr>
        <w:t>Paralichthys olivaceus</w:t>
      </w:r>
      <w:r>
        <w:t>) and freshwater species in Europe and North America. Isolates differ markedly in virulence and pathogenicity and clinical signs of disease are oft</w:t>
      </w:r>
      <w:r>
        <w:t>en not observed in many fish species infected with VHSV. Outbreaks of disease most often occur in susceptible fish populations in water temperatures of 4–14°C. Outbreaks in low water temperatures often result in an extended disease course with low daily mo</w:t>
      </w:r>
      <w:r>
        <w:t>rtality but high accumulated mortality. Three forms of the disease (acute, chronic and nervous) have been identified and clinical signs described. The disease generally takes a short course with a modest accumulated mortality at water temperatures of 15–18</w:t>
      </w:r>
      <w:r>
        <w:t>°C. Mortality and morbidity have rarely been documented when water temperatures are above 18°C, al</w:t>
      </w:r>
      <w:r>
        <w:rPr>
          <w:rFonts w:cs="Arial"/>
          <w:lang w:eastAsia="en-US"/>
        </w:rPr>
        <w:t>though VHSV has caused at least one fish kill at 20–22°C and some isolates can replicate in vitro at temperatures of up to 25°C (OIE 2013b)</w:t>
      </w:r>
      <w:r>
        <w:t>.</w:t>
      </w:r>
    </w:p>
    <w:p w:rsidR="00D25EFC" w:rsidRDefault="00A27A2B">
      <w:pPr>
        <w:pStyle w:val="Normalindent"/>
      </w:pPr>
      <w:r>
        <w:t>VHSV has never be</w:t>
      </w:r>
      <w:r>
        <w:t>en reported in Australia, despite ongoing passive surveillance and targetted surveillance in some jurisdictions for trade certification purposes. Australia is considered free of VHSV. This manual is a guide for response in case of detection of VHSV in Aust</w:t>
      </w:r>
      <w:r>
        <w:t>ralia.</w:t>
      </w:r>
    </w:p>
    <w:p w:rsidR="00D25EFC" w:rsidRDefault="00A27A2B">
      <w:pPr>
        <w:pStyle w:val="Normalindent"/>
      </w:pPr>
      <w:r>
        <w:t>Serotyping, genotyping and challenge trials have confirmed significant differences between VHSV isolates in genome structure and virulence. Separation of isolates into distinct genogroups or types is based primarily on geographic origin. VHSV has ne</w:t>
      </w:r>
      <w:r>
        <w:t>ver been isolated in Australia.</w:t>
      </w:r>
    </w:p>
    <w:p w:rsidR="00D25EFC" w:rsidRDefault="00A27A2B">
      <w:pPr>
        <w:pStyle w:val="Normalindent"/>
      </w:pPr>
      <w:r>
        <w:t xml:space="preserve">VHS is listed on Australia’s </w:t>
      </w:r>
      <w:r>
        <w:rPr>
          <w:rStyle w:val="Emphasis"/>
        </w:rPr>
        <w:t>National List of Reportable Diseases of Aquatic Animals</w:t>
      </w:r>
      <w:r>
        <w:rPr>
          <w:rFonts w:cs="BookAntiqua-Italic"/>
          <w:iCs/>
        </w:rPr>
        <w:t xml:space="preserve"> </w:t>
      </w:r>
      <w:r>
        <w:t xml:space="preserve">and is listed by the OIE. Isolation of VHSV, with or without clinical signs of disease, must be reported to the Chief Veterinary Officer </w:t>
      </w:r>
      <w:r>
        <w:t>(CVO) in the jurisdiction where it was found.</w:t>
      </w:r>
    </w:p>
    <w:p w:rsidR="00D25EFC" w:rsidRDefault="00A27A2B">
      <w:pPr>
        <w:pStyle w:val="Heading4"/>
      </w:pPr>
      <w:bookmarkStart w:id="17" w:name="_Toc402970321"/>
      <w:bookmarkStart w:id="18" w:name="_Toc408836295"/>
      <w:r>
        <w:t>Aetiology</w:t>
      </w:r>
      <w:bookmarkEnd w:id="17"/>
      <w:bookmarkEnd w:id="18"/>
    </w:p>
    <w:p w:rsidR="00D25EFC" w:rsidRDefault="00A27A2B">
      <w:pPr>
        <w:pStyle w:val="Normalindent"/>
      </w:pPr>
      <w:r>
        <w:t xml:space="preserve">The causative agent of VHS is a negative sense single-stranded RNA (ssRNA) virus belonging to the genus </w:t>
      </w:r>
      <w:r>
        <w:rPr>
          <w:rStyle w:val="Emphasis"/>
        </w:rPr>
        <w:t xml:space="preserve">Novirhabdovirus </w:t>
      </w:r>
      <w:r>
        <w:t xml:space="preserve">(family </w:t>
      </w:r>
      <w:r>
        <w:rPr>
          <w:rStyle w:val="Emphasis"/>
        </w:rPr>
        <w:t>Rhabdoviridae</w:t>
      </w:r>
      <w:r>
        <w:t>) (Figure 1) (Tordo et al. 2005).</w:t>
      </w:r>
    </w:p>
    <w:p w:rsidR="00D25EFC" w:rsidRDefault="00A27A2B">
      <w:pPr>
        <w:pStyle w:val="Caption"/>
      </w:pPr>
      <w:bookmarkStart w:id="19" w:name="_Toc408392444"/>
      <w:bookmarkStart w:id="20" w:name="_Toc408393504"/>
      <w:r>
        <w:lastRenderedPageBreak/>
        <w:t xml:space="preserve">Figure </w:t>
      </w:r>
      <w:fldSimple w:instr=" SEQ Figure \* ARABIC ">
        <w:r>
          <w:rPr>
            <w:noProof/>
          </w:rPr>
          <w:t>1</w:t>
        </w:r>
      </w:fldSimple>
      <w:r>
        <w:tab/>
        <w:t>Schematic representation of a typical rhabdovirus</w:t>
      </w:r>
      <w:bookmarkEnd w:id="19"/>
      <w:bookmarkEnd w:id="20"/>
    </w:p>
    <w:p w:rsidR="00D25EFC" w:rsidRDefault="00A27A2B">
      <w:pPr>
        <w:pStyle w:val="Normalindent"/>
      </w:pPr>
      <w:r>
        <w:rPr>
          <w:noProof/>
        </w:rPr>
        <w:drawing>
          <wp:inline distT="0" distB="0" distL="0" distR="0">
            <wp:extent cx="3438525" cy="2257425"/>
            <wp:effectExtent l="19050" t="0" r="9525" b="0"/>
            <wp:docPr id="9" name="Picture 3" descr="Schematic picture of VHS virus showing protein envelope and protein and nucleic acid 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matic picture of VHS virus showing protein envelope and protein and nucleic acid core."/>
                    <pic:cNvPicPr>
                      <a:picLocks noChangeAspect="1" noChangeArrowheads="1"/>
                    </pic:cNvPicPr>
                  </pic:nvPicPr>
                  <pic:blipFill>
                    <a:blip r:embed="rId17"/>
                    <a:srcRect/>
                    <a:stretch>
                      <a:fillRect/>
                    </a:stretch>
                  </pic:blipFill>
                  <pic:spPr bwMode="auto">
                    <a:xfrm>
                      <a:off x="0" y="0"/>
                      <a:ext cx="3438525" cy="2257425"/>
                    </a:xfrm>
                    <a:prstGeom prst="rect">
                      <a:avLst/>
                    </a:prstGeom>
                    <a:noFill/>
                    <a:ln w="9525">
                      <a:noFill/>
                      <a:miter lim="800000"/>
                      <a:headEnd/>
                      <a:tailEnd/>
                    </a:ln>
                  </pic:spPr>
                </pic:pic>
              </a:graphicData>
            </a:graphic>
          </wp:inline>
        </w:drawing>
      </w:r>
    </w:p>
    <w:p w:rsidR="00D25EFC" w:rsidRDefault="00A27A2B">
      <w:pPr>
        <w:pStyle w:val="note"/>
        <w:ind w:left="851"/>
      </w:pPr>
      <w:r>
        <w:t>(courtesy G Traxler)</w:t>
      </w:r>
    </w:p>
    <w:p w:rsidR="00D25EFC" w:rsidRDefault="00A27A2B">
      <w:pPr>
        <w:pStyle w:val="Normalindent"/>
        <w:rPr>
          <w:rFonts w:cs="GulliverRM"/>
          <w:lang w:eastAsia="en-US"/>
        </w:rPr>
      </w:pPr>
      <w:r>
        <w:t>The virus is bullet shaped, approximately 180 nm in length and 70 nm in diameter. Virions contain a negative-sense ssRNA genome, approximately 11 kb long and encoding six pro</w:t>
      </w:r>
      <w:r>
        <w:t xml:space="preserve">teins: a nucleoprotein (N), a glycoprotein (G), a phosphoprotein (P), a matrix protein (M), a nonvirion protein (NV) and a polymerase (L) </w:t>
      </w:r>
      <w:r>
        <w:rPr>
          <w:rFonts w:cs="GulliverRM"/>
          <w:lang w:eastAsia="en-US"/>
        </w:rPr>
        <w:t>(Snow et al. 2004, Einer-Jensen et al. 2005).</w:t>
      </w:r>
      <w:r>
        <w:t xml:space="preserve"> The membrane glycoprotein of the envelope of VHSV is the major neutralis</w:t>
      </w:r>
      <w:r>
        <w:t>ing surface antigen (Wolf 1988).</w:t>
      </w:r>
    </w:p>
    <w:p w:rsidR="00D25EFC" w:rsidRDefault="00A27A2B">
      <w:pPr>
        <w:pStyle w:val="Normalindent"/>
      </w:pPr>
      <w:r>
        <w:t xml:space="preserve">The categorisation of isolates is ongoing. Sequence comparisons between isolates have indicated that genetic differences are related to geographic location rather than to host species or year of isolation. </w:t>
      </w:r>
      <w:r>
        <w:rPr>
          <w:rFonts w:cs="AdvGARAD-R"/>
          <w:lang w:eastAsia="en-US"/>
        </w:rPr>
        <w:t>Based on sequenci</w:t>
      </w:r>
      <w:r>
        <w:rPr>
          <w:rFonts w:cs="AdvGARAD-R"/>
          <w:lang w:eastAsia="en-US"/>
        </w:rPr>
        <w:t>ng of full-length and/or truncated genes from the G gene (Einer-Jensen et al. 2004, Einer-Jensen et al. 2005), N gene (Snow et al. 1999, Snow et al. 2004, Einer-Jensen et al. 2005) and NV gene (</w:t>
      </w:r>
      <w:bookmarkStart w:id="21" w:name="OLE_LINK3"/>
      <w:bookmarkStart w:id="22" w:name="OLE_LINK4"/>
      <w:r>
        <w:rPr>
          <w:rFonts w:cs="AdvGARAD-R"/>
          <w:lang w:eastAsia="en-US"/>
        </w:rPr>
        <w:t>Einer-Jensen et al. 2005</w:t>
      </w:r>
      <w:bookmarkEnd w:id="21"/>
      <w:bookmarkEnd w:id="22"/>
      <w:r>
        <w:rPr>
          <w:rFonts w:cs="AdvGARAD-R"/>
          <w:lang w:eastAsia="en-US"/>
        </w:rPr>
        <w:t>), VHSV isolates have been categorised</w:t>
      </w:r>
      <w:r>
        <w:rPr>
          <w:rFonts w:cs="AdvGARAD-R"/>
          <w:lang w:eastAsia="en-US"/>
        </w:rPr>
        <w:t xml:space="preserve"> into four distinct genotype groups (designated I–IV). </w:t>
      </w:r>
      <w:r>
        <w:t>The principal genotypes are:</w:t>
      </w:r>
    </w:p>
    <w:p w:rsidR="00D25EFC" w:rsidRDefault="00A27A2B">
      <w:pPr>
        <w:pStyle w:val="Normalindent"/>
      </w:pPr>
      <w:r>
        <w:rPr>
          <w:rStyle w:val="Strong"/>
        </w:rPr>
        <w:t>Type I</w:t>
      </w:r>
      <w:r>
        <w:rPr>
          <w:rFonts w:cs="BookAntiqua-Bold"/>
          <w:b/>
          <w:bCs/>
        </w:rPr>
        <w:t xml:space="preserve"> </w:t>
      </w:r>
      <w:r>
        <w:t>— Continental Europe freshwater and marine (North and Baltic Sea) group</w:t>
      </w:r>
    </w:p>
    <w:p w:rsidR="00D25EFC" w:rsidRDefault="00A27A2B">
      <w:pPr>
        <w:pStyle w:val="Normalindent"/>
      </w:pPr>
      <w:r>
        <w:t>Genotype I contains isolates considered highly pathogenic for rainbow trout (</w:t>
      </w:r>
      <w:r>
        <w:rPr>
          <w:rStyle w:val="Emphasis"/>
        </w:rPr>
        <w:t>Oncorhynchus myk</w:t>
      </w:r>
      <w:r>
        <w:rPr>
          <w:rStyle w:val="Emphasis"/>
        </w:rPr>
        <w:t>iss</w:t>
      </w:r>
      <w:r>
        <w:t xml:space="preserve">). </w:t>
      </w:r>
      <w:r>
        <w:rPr>
          <w:rFonts w:cs="AdvGARAD-R"/>
          <w:lang w:eastAsia="en-US"/>
        </w:rPr>
        <w:t>This genotype has been further divided into five sublineages (Ia–Ie) containing European freshwater isolates, isolates from Kattegat, Skagerrak and the Black Sea, and a group of marine isolates from the Baltic Sea, North Sea and English Channel (Eine</w:t>
      </w:r>
      <w:r>
        <w:rPr>
          <w:rFonts w:cs="AdvGARAD-R"/>
          <w:lang w:eastAsia="en-US"/>
        </w:rPr>
        <w:t xml:space="preserve">r-Jensen </w:t>
      </w:r>
      <w:r>
        <w:rPr>
          <w:rFonts w:cs="AdvGARAD-I"/>
          <w:lang w:eastAsia="en-US"/>
        </w:rPr>
        <w:t xml:space="preserve">et al. </w:t>
      </w:r>
      <w:r>
        <w:rPr>
          <w:rFonts w:cs="AdvGARAD-R"/>
          <w:lang w:eastAsia="en-US"/>
        </w:rPr>
        <w:t xml:space="preserve">2004, Nishizawa et al. 2006, OIE 2013b). </w:t>
      </w:r>
      <w:r>
        <w:t xml:space="preserve">Genotype Ia includes isolates of freshwater origin which have caused most outbreaks of VHSV disease in European trout farming (Kahns et al. 2012). Isolates from this group have also been reported to </w:t>
      </w:r>
      <w:r>
        <w:t>cause disease outbreaks in wild Northern pike (</w:t>
      </w:r>
      <w:r>
        <w:rPr>
          <w:rStyle w:val="Emphasis"/>
        </w:rPr>
        <w:t>Esox lucius</w:t>
      </w:r>
      <w:r>
        <w:t>), graylings (</w:t>
      </w:r>
      <w:r>
        <w:rPr>
          <w:rStyle w:val="Emphasis"/>
        </w:rPr>
        <w:t>Thymallus thymallus</w:t>
      </w:r>
      <w:r>
        <w:t>) and white fish (</w:t>
      </w:r>
      <w:r>
        <w:rPr>
          <w:rStyle w:val="Emphasis"/>
        </w:rPr>
        <w:t xml:space="preserve">Coregonus </w:t>
      </w:r>
      <w:r>
        <w:rPr>
          <w:rFonts w:cs="BookAntiqua-Italic"/>
          <w:iCs/>
        </w:rPr>
        <w:t>spp.</w:t>
      </w:r>
      <w:r>
        <w:t>).</w:t>
      </w:r>
      <w:r>
        <w:rPr>
          <w:rFonts w:cs="AdvGARAD-R"/>
          <w:lang w:eastAsia="en-US"/>
        </w:rPr>
        <w:t xml:space="preserve"> </w:t>
      </w:r>
      <w:r>
        <w:t xml:space="preserve">Genotype 1b includes isolates from a wide range of wild-caught marine fish species from the North and Baltic Seas. This group has </w:t>
      </w:r>
      <w:r>
        <w:t>been shown to be of generally low pathogenicity to trout. It is thought that the marine VHSV was introduced into rainbow trout farming in the early days of the industry, when it adapted to virulence and was subsequently propagated through the industry. Gen</w:t>
      </w:r>
      <w:r>
        <w:t>etic evidence suggests this may have occurred on multiple independent occasions (</w:t>
      </w:r>
      <w:r>
        <w:rPr>
          <w:rFonts w:cs="AdvGARAD-R"/>
          <w:lang w:eastAsia="en-US"/>
        </w:rPr>
        <w:t xml:space="preserve">Einer-Jensen </w:t>
      </w:r>
      <w:r>
        <w:rPr>
          <w:rFonts w:cs="AdvGARAD-I"/>
          <w:lang w:eastAsia="en-US"/>
        </w:rPr>
        <w:t xml:space="preserve">et al. </w:t>
      </w:r>
      <w:r>
        <w:rPr>
          <w:rFonts w:cs="AdvGARAD-R"/>
          <w:lang w:eastAsia="en-US"/>
        </w:rPr>
        <w:t>2004).</w:t>
      </w:r>
    </w:p>
    <w:p w:rsidR="00D25EFC" w:rsidRDefault="00A27A2B">
      <w:pPr>
        <w:pStyle w:val="Normalindent"/>
      </w:pPr>
      <w:r>
        <w:rPr>
          <w:rStyle w:val="Strong"/>
        </w:rPr>
        <w:lastRenderedPageBreak/>
        <w:t>Type II</w:t>
      </w:r>
      <w:r>
        <w:rPr>
          <w:rFonts w:cs="BookAntiqua-Bold"/>
          <w:b/>
          <w:bCs/>
        </w:rPr>
        <w:t xml:space="preserve"> </w:t>
      </w:r>
      <w:r>
        <w:t>— European marine group (principally from the Baltic Sea)</w:t>
      </w:r>
    </w:p>
    <w:p w:rsidR="00D25EFC" w:rsidRDefault="00A27A2B">
      <w:pPr>
        <w:pStyle w:val="Normalindent"/>
      </w:pPr>
      <w:r>
        <w:t>Genotype II contains isolates considered less pathogenic for rainbow trout and tur</w:t>
      </w:r>
      <w:r>
        <w:t>bot (</w:t>
      </w:r>
      <w:r>
        <w:rPr>
          <w:rStyle w:val="Emphasis"/>
        </w:rPr>
        <w:t xml:space="preserve">Psetta maxima </w:t>
      </w:r>
      <w:r>
        <w:rPr>
          <w:rFonts w:cs="BookAntiqua-Italic"/>
          <w:iCs/>
        </w:rPr>
        <w:t xml:space="preserve">[syn. </w:t>
      </w:r>
      <w:r>
        <w:rPr>
          <w:rStyle w:val="Emphasis"/>
        </w:rPr>
        <w:t>Scophthalmus maximus</w:t>
      </w:r>
      <w:r>
        <w:rPr>
          <w:rFonts w:cs="BookAntiqua-Italic"/>
          <w:iCs/>
        </w:rPr>
        <w:t>]</w:t>
      </w:r>
      <w:r>
        <w:t>) (e.g. Snow et al. 2005). Genotype II isolates naturally infect at least eight marine species in the Baltic Sea and North Sea, with an overall prevalence of 4–6%. However, large variations in prevalence can oc</w:t>
      </w:r>
      <w:r>
        <w:t>cur between species, sampling locations and sampling periods (Skall et al. 2005a). Wild fish infected with genotype II VHSV isolates appear clinically healthy but are generally more likely to carry external parasitic infections (Skall et al. 2005a).</w:t>
      </w:r>
    </w:p>
    <w:p w:rsidR="00D25EFC" w:rsidRDefault="00A27A2B">
      <w:pPr>
        <w:pStyle w:val="Normalindent"/>
      </w:pPr>
      <w:r>
        <w:rPr>
          <w:rStyle w:val="Strong"/>
        </w:rPr>
        <w:t>Type I</w:t>
      </w:r>
      <w:r>
        <w:rPr>
          <w:rStyle w:val="Strong"/>
        </w:rPr>
        <w:t>II</w:t>
      </w:r>
      <w:r>
        <w:t xml:space="preserve"> — North Atlantic marine group</w:t>
      </w:r>
    </w:p>
    <w:p w:rsidR="00D25EFC" w:rsidRDefault="00A27A2B">
      <w:pPr>
        <w:pStyle w:val="Normalindent"/>
        <w:rPr>
          <w:lang w:eastAsia="en-US"/>
        </w:rPr>
      </w:pPr>
      <w:r>
        <w:rPr>
          <w:lang w:eastAsia="en-US"/>
        </w:rPr>
        <w:t>Genotype III comprises isolates from the North Atlantic (from the Flemish Cap to the Norwegian coast, the North Sea, Skagerrak and Kattegat (López-Vázquez et al. 2006, OIE 2013b). A distinct strain from this group was responsible for disease outbreaks in f</w:t>
      </w:r>
      <w:r>
        <w:rPr>
          <w:lang w:eastAsia="en-US"/>
        </w:rPr>
        <w:t xml:space="preserve">armed marine rainbow trout from Norway, and for up to 70% mortality in experimental immersion challenges (Dale et al. 2009). Experimental challenges with other strains of this type were far less pathogenic and generally did not cause disease. Genotype III </w:t>
      </w:r>
      <w:r>
        <w:rPr>
          <w:lang w:eastAsia="en-US"/>
        </w:rPr>
        <w:t xml:space="preserve">has caused mortality in farmed turbot in the United Kingdom (UK) (Ross et al. 1994, </w:t>
      </w:r>
      <w:r>
        <w:rPr>
          <w:rStyle w:val="Emphasis"/>
        </w:rPr>
        <w:t>in</w:t>
      </w:r>
      <w:r>
        <w:rPr>
          <w:lang w:eastAsia="en-US"/>
        </w:rPr>
        <w:t xml:space="preserve"> Snow et al. 2005).</w:t>
      </w:r>
    </w:p>
    <w:p w:rsidR="00D25EFC" w:rsidRDefault="00A27A2B">
      <w:pPr>
        <w:pStyle w:val="Normalindent"/>
      </w:pPr>
      <w:r>
        <w:rPr>
          <w:rStyle w:val="Strong"/>
        </w:rPr>
        <w:t>Type IV</w:t>
      </w:r>
      <w:r>
        <w:rPr>
          <w:rFonts w:cs="BookAntiqua-Bold"/>
          <w:b/>
          <w:bCs/>
        </w:rPr>
        <w:t xml:space="preserve"> </w:t>
      </w:r>
      <w:r>
        <w:t>— North American and East Asian group</w:t>
      </w:r>
    </w:p>
    <w:p w:rsidR="00D25EFC" w:rsidRDefault="00A27A2B">
      <w:pPr>
        <w:pStyle w:val="Normalindent"/>
        <w:rPr>
          <w:rFonts w:cs="Giovanni-Book"/>
          <w:lang w:eastAsia="en-US"/>
        </w:rPr>
      </w:pPr>
      <w:r>
        <w:rPr>
          <w:lang w:eastAsia="en-US"/>
        </w:rPr>
        <w:t xml:space="preserve">Type IV genotypes contain two sublineages (IVa and IVb) corresponding to North Western Pacific, Japanese and Korean isolates; and eastern North American isolates, respectively. Genotype IVa emerged in marine fish, particularly </w:t>
      </w:r>
      <w:r>
        <w:t xml:space="preserve">Pacific herring </w:t>
      </w:r>
      <w:r>
        <w:rPr>
          <w:rStyle w:val="Emphasis"/>
        </w:rPr>
        <w:t>(C. pallasii</w:t>
      </w:r>
      <w:r>
        <w:t>)</w:t>
      </w:r>
      <w:r>
        <w:t xml:space="preserve"> and pilchards </w:t>
      </w:r>
      <w:r>
        <w:rPr>
          <w:rStyle w:val="Emphasis"/>
        </w:rPr>
        <w:t>(S. sagax</w:t>
      </w:r>
      <w:r>
        <w:t xml:space="preserve">) in </w:t>
      </w:r>
      <w:r>
        <w:rPr>
          <w:lang w:eastAsia="en-US"/>
        </w:rPr>
        <w:t xml:space="preserve">the Pacific Northwest region of North America and subsequently from Japan and Korea (Muroga et al. 2004, Skall et al. 2005a, Kim et al. 2009, Hershberger et al. 2010a, 2010b). In 2003, a novel sublineage of VHSV emerged in the </w:t>
      </w:r>
      <w:r>
        <w:rPr>
          <w:lang w:eastAsia="en-US"/>
        </w:rPr>
        <w:t>Laurentian Great Lakes basin causing massive fish kills in at least 28 species of freshwater fish (Elsayed et al. 2006, USDA 2006, 2007, Gagné et al. 2007, Groocock et al. 2007, Lumsden et al. 2007,</w:t>
      </w:r>
      <w:r>
        <w:t xml:space="preserve"> Gustafson 2009, Kim and Faisal 2010)</w:t>
      </w:r>
      <w:r>
        <w:rPr>
          <w:lang w:eastAsia="en-US"/>
        </w:rPr>
        <w:t>. Rainbow trout appea</w:t>
      </w:r>
      <w:r>
        <w:rPr>
          <w:lang w:eastAsia="en-US"/>
        </w:rPr>
        <w:t>r refractory to infection with this genotype (Al-Hussinee et al. 2010). The Great Lakes isolate is distinct from all four previously known genotypes. Since it is phylogenetically closely related to the marine VHSV-IVa isolate, it was designated as VHSV-IVb</w:t>
      </w:r>
      <w:r>
        <w:rPr>
          <w:lang w:eastAsia="en-US"/>
        </w:rPr>
        <w:t xml:space="preserve"> (Elsayed </w:t>
      </w:r>
      <w:r>
        <w:rPr>
          <w:rFonts w:cs="AdvGARAD-I"/>
          <w:lang w:eastAsia="en-US"/>
        </w:rPr>
        <w:t xml:space="preserve">et al. </w:t>
      </w:r>
      <w:r>
        <w:rPr>
          <w:lang w:eastAsia="en-US"/>
        </w:rPr>
        <w:t xml:space="preserve">2006). The index strain </w:t>
      </w:r>
      <w:r>
        <w:rPr>
          <w:rFonts w:cs="Giovanni-Book"/>
          <w:lang w:eastAsia="en-US"/>
        </w:rPr>
        <w:t xml:space="preserve">of the Great Lakes VHSV </w:t>
      </w:r>
      <w:r>
        <w:rPr>
          <w:lang w:eastAsia="en-US"/>
        </w:rPr>
        <w:t xml:space="preserve">was </w:t>
      </w:r>
      <w:r>
        <w:rPr>
          <w:rFonts w:cs="Giovanni-Book"/>
          <w:lang w:eastAsia="en-US"/>
        </w:rPr>
        <w:t>VHSV IVb-MI03 (</w:t>
      </w:r>
      <w:r>
        <w:rPr>
          <w:lang w:eastAsia="en-US"/>
        </w:rPr>
        <w:t xml:space="preserve">GenBank number </w:t>
      </w:r>
      <w:bookmarkStart w:id="23" w:name="OLE_LINK9"/>
      <w:bookmarkStart w:id="24" w:name="OLE_LINK10"/>
      <w:r>
        <w:rPr>
          <w:rFonts w:cs="Giovanni-Book"/>
          <w:lang w:eastAsia="en-US"/>
        </w:rPr>
        <w:t>DQ427105</w:t>
      </w:r>
      <w:bookmarkEnd w:id="23"/>
      <w:bookmarkEnd w:id="24"/>
      <w:r>
        <w:rPr>
          <w:rFonts w:cs="Giovanni-Book"/>
          <w:lang w:eastAsia="en-US"/>
        </w:rPr>
        <w:t>).</w:t>
      </w:r>
    </w:p>
    <w:p w:rsidR="00D25EFC" w:rsidRDefault="00A27A2B">
      <w:pPr>
        <w:pStyle w:val="Normalindent"/>
      </w:pPr>
      <w:r>
        <w:rPr>
          <w:lang w:eastAsia="en-US"/>
        </w:rPr>
        <w:t>The growing number of VHSV isolates and their sequences has necessitated the development of a database (</w:t>
      </w:r>
      <w:r>
        <w:rPr>
          <w:rFonts w:cs="AdvGARAD-R"/>
          <w:lang w:eastAsia="en-US"/>
        </w:rPr>
        <w:t>http://www.fishpathogens.eu/vhsv</w:t>
      </w:r>
      <w:r>
        <w:rPr>
          <w:lang w:eastAsia="en-US"/>
        </w:rPr>
        <w:t>) by the E</w:t>
      </w:r>
      <w:r>
        <w:rPr>
          <w:lang w:eastAsia="en-US"/>
        </w:rPr>
        <w:t>uropean Union Reference Laboratory for VHSV to keep track of isolates and their sequences (Jonstrup et al. 2009). Phylogenetic analysis suggests that genetic differences appear to be related more to geographic location than to year of isolation or host spe</w:t>
      </w:r>
      <w:r>
        <w:rPr>
          <w:lang w:eastAsia="en-US"/>
        </w:rPr>
        <w:t>cies (Skall et al. 2005a).</w:t>
      </w:r>
      <w:r>
        <w:t xml:space="preserve"> One apparent exception is the presence of an isolate belonging to the Type II genotype found in the North Pacific in wild Japanese flounder (</w:t>
      </w:r>
      <w:r>
        <w:rPr>
          <w:rStyle w:val="Emphasis"/>
        </w:rPr>
        <w:t>P. olivaceus</w:t>
      </w:r>
      <w:r>
        <w:t>) (Takano et al. 2000).</w:t>
      </w:r>
    </w:p>
    <w:p w:rsidR="00D25EFC" w:rsidRDefault="00A27A2B">
      <w:pPr>
        <w:pStyle w:val="Normalindent"/>
      </w:pPr>
      <w:r>
        <w:t>It has been suggested that the European freshwater i</w:t>
      </w:r>
      <w:r>
        <w:t>solates of VHSV originated from fish in the northern Pacific and Atlantic oceans. The mechanism of transfer was possibly through the feeding of marine feed-fish to cultured freshwater species (Hedrick et al. 2003).</w:t>
      </w:r>
    </w:p>
    <w:p w:rsidR="00D25EFC" w:rsidRDefault="00A27A2B">
      <w:pPr>
        <w:pStyle w:val="Heading4"/>
      </w:pPr>
      <w:bookmarkStart w:id="25" w:name="_Toc402970322"/>
      <w:bookmarkStart w:id="26" w:name="_Toc408836296"/>
      <w:r>
        <w:lastRenderedPageBreak/>
        <w:t>Susceptible species</w:t>
      </w:r>
      <w:bookmarkEnd w:id="25"/>
      <w:bookmarkEnd w:id="26"/>
    </w:p>
    <w:p w:rsidR="00D25EFC" w:rsidRDefault="00A27A2B">
      <w:pPr>
        <w:pStyle w:val="Normalindent"/>
      </w:pPr>
      <w:r>
        <w:t>Susceptibility and cl</w:t>
      </w:r>
      <w:r>
        <w:t>inical signs of disease can vary between VHSV isolates (Brudeseth et al. 2008, Campbell et al. 2009), fish demographics (e.g. species and age), route of exposure and environmental variables (e.g. water temperature).</w:t>
      </w:r>
    </w:p>
    <w:p w:rsidR="00D25EFC" w:rsidRDefault="00A27A2B">
      <w:pPr>
        <w:pStyle w:val="Normalindent"/>
      </w:pPr>
      <w:r>
        <w:t xml:space="preserve">Rainbow trout are highly susceptible to </w:t>
      </w:r>
      <w:r>
        <w:t>isolates of VHSV-Ia (Kahns et al. 2012). Epizootics in rainbow trout have resulted in mortalities of 80–100% in fry weighing 0.3–3 g (Smail 1999). VHSV-II and VHSV-III genotypes cause disease and mortality in turbot, but</w:t>
      </w:r>
      <w:r>
        <w:rPr>
          <w:rFonts w:cs="Candida-Roman"/>
          <w:lang w:eastAsia="en-US"/>
        </w:rPr>
        <w:t xml:space="preserve"> may cause no or low mortality in ra</w:t>
      </w:r>
      <w:r>
        <w:rPr>
          <w:rFonts w:cs="Candida-Roman"/>
          <w:lang w:eastAsia="en-US"/>
        </w:rPr>
        <w:t>inbow trout exposed by immersion (Skall et al. 2004, Snow et al. 2005). However</w:t>
      </w:r>
      <w:r>
        <w:rPr>
          <w:rFonts w:cs="Candida-Roman"/>
          <w:color w:val="231F20"/>
          <w:lang w:eastAsia="en-US"/>
        </w:rPr>
        <w:t xml:space="preserve">, significant mortality was reported following intraperitoneal injection of the same VHSV isolates (Skall et al. 2004). </w:t>
      </w:r>
      <w:r>
        <w:t>One isolate of VHSV-III was identified as the causative a</w:t>
      </w:r>
      <w:r>
        <w:t>gent of an outbreak in farmed marine rainbow trout in Norway, although other type III isolates do not generally cause clinical disease (Dale et al. 2009). Several marine fish species are susceptible to VHSV-IVa, and over 28 freshwater species are susceptib</w:t>
      </w:r>
      <w:r>
        <w:t xml:space="preserve">le to VHSV-IVb (USDA 2007, Kim and Faisal 2010). Rainbow trout are relatively refractory to VHSV-IVb following </w:t>
      </w:r>
      <w:r>
        <w:rPr>
          <w:rFonts w:cs="Candida-Roman"/>
          <w:lang w:eastAsia="en-US"/>
        </w:rPr>
        <w:t xml:space="preserve">intraperitoneal injection </w:t>
      </w:r>
      <w:r>
        <w:t>(</w:t>
      </w:r>
      <w:r>
        <w:rPr>
          <w:rFonts w:cs="Arial"/>
        </w:rPr>
        <w:t>Al-Hussinee et al. 2010)</w:t>
      </w:r>
      <w:r>
        <w:rPr>
          <w:rFonts w:cs="Arial"/>
          <w:color w:val="333333"/>
        </w:rPr>
        <w:t>.</w:t>
      </w:r>
    </w:p>
    <w:p w:rsidR="00D25EFC" w:rsidRDefault="00A27A2B">
      <w:pPr>
        <w:pStyle w:val="Normalindent"/>
      </w:pPr>
      <w:r>
        <w:t>The range of fish species from which VHSV has been reported continues to increase. The virus</w:t>
      </w:r>
      <w:r>
        <w:t xml:space="preserve"> has been reported from at least 102 species from marine and freshwater environments (OIE 2013b). Appendix 1 lists fish species from which VHSV has been isolated (with and without clinical signs of disease) and species known to be resistant to challenge by</w:t>
      </w:r>
      <w:r>
        <w:t xml:space="preserve"> at least one isolate. A further 11 fish species are susceptible to VHSV under experimental conditions.</w:t>
      </w:r>
    </w:p>
    <w:p w:rsidR="00D25EFC" w:rsidRDefault="00A27A2B">
      <w:pPr>
        <w:pStyle w:val="Normalindent"/>
      </w:pPr>
      <w:r>
        <w:t>The susceptibility of Australian native fish species to VHSV has not been investigated, so it is difficult to predict how VHS might manifest in Australi</w:t>
      </w:r>
      <w:r>
        <w:t>a. Recent data show that several species such as red seabream (snapper [</w:t>
      </w:r>
      <w:r>
        <w:rPr>
          <w:rStyle w:val="Emphasis"/>
        </w:rPr>
        <w:t>Pagrus auratus</w:t>
      </w:r>
      <w:r>
        <w:t>]), Japanese yellowtail (</w:t>
      </w:r>
      <w:r>
        <w:rPr>
          <w:rStyle w:val="Emphasis"/>
        </w:rPr>
        <w:t>Seriola quinqueradiata</w:t>
      </w:r>
      <w:r>
        <w:t>) and black porgy (</w:t>
      </w:r>
      <w:r>
        <w:rPr>
          <w:rStyle w:val="Emphasis"/>
        </w:rPr>
        <w:t>Acanthopagrus schlegelii</w:t>
      </w:r>
      <w:r>
        <w:t>) are susceptible to infection through intraperitoneal injection (OIE 2013b). VH</w:t>
      </w:r>
      <w:r>
        <w:t>SV infection has also been reported from several species of wild marine fish in Korea, including mullet (</w:t>
      </w:r>
      <w:r>
        <w:rPr>
          <w:rStyle w:val="Emphasis"/>
        </w:rPr>
        <w:t>Mugil cephalus</w:t>
      </w:r>
      <w:r>
        <w:t>) and hairtail (</w:t>
      </w:r>
      <w:r>
        <w:rPr>
          <w:rStyle w:val="Emphasis"/>
        </w:rPr>
        <w:t>Trichiurus lepturus</w:t>
      </w:r>
      <w:r>
        <w:t>) (Kim et al. 2009). Consequently, Australian fish species such as snapper, mullet, hairtail, bream (</w:t>
      </w:r>
      <w:r>
        <w:rPr>
          <w:rStyle w:val="Emphasis"/>
        </w:rPr>
        <w:t>A</w:t>
      </w:r>
      <w:r>
        <w:rPr>
          <w:rStyle w:val="Emphasis"/>
        </w:rPr>
        <w:t>canthopagrus</w:t>
      </w:r>
      <w:r>
        <w:t xml:space="preserve"> spp.), kingfish, samson fish and amberjack (</w:t>
      </w:r>
      <w:r>
        <w:rPr>
          <w:rStyle w:val="Emphasis"/>
        </w:rPr>
        <w:t>Seriola</w:t>
      </w:r>
      <w:r>
        <w:t xml:space="preserve"> spp.) may also be susceptible to VHSV infection. Fisheries and industries (including tourism) relying on rainbow trout, Atlantic salmon and species of native freshwater fishes may also be sig</w:t>
      </w:r>
      <w:r>
        <w:t>nificantly affected.</w:t>
      </w:r>
    </w:p>
    <w:p w:rsidR="00D25EFC" w:rsidRDefault="00A27A2B">
      <w:pPr>
        <w:pStyle w:val="Normalindent"/>
      </w:pPr>
      <w:r>
        <w:t>Genotype has been used as an indicator of pathogenicity due to the association of pathogenicity with genetic origin, but pathogenicity determinants are likely to be based on only a few nucleotides (e.g. Campbell et al. 2009). VHSV is a</w:t>
      </w:r>
      <w:r>
        <w:t>n RNA virus which has repeatedly been shown to become virulent given the opportunity presented in aquaculture situations. Caution should thus be exercised in using genotype as a predictor of virulence.</w:t>
      </w:r>
    </w:p>
    <w:p w:rsidR="00D25EFC" w:rsidRDefault="00A27A2B">
      <w:pPr>
        <w:pStyle w:val="Normalindent"/>
      </w:pPr>
      <w:r>
        <w:t>Generally, viruses in nature co-evolve with their host</w:t>
      </w:r>
      <w:r>
        <w:t xml:space="preserve">s within their natural range to ensure their long-term survival. Translocation of viruses exposes previously naïve hosts to new viruses and brings associated risk (e.g. the 2003 </w:t>
      </w:r>
      <w:r>
        <w:rPr>
          <w:lang w:eastAsia="en-US"/>
        </w:rPr>
        <w:t>Laurentian Great Lakes basin fish deaths</w:t>
      </w:r>
      <w:r>
        <w:t>).</w:t>
      </w:r>
    </w:p>
    <w:p w:rsidR="00D25EFC" w:rsidRDefault="00A27A2B">
      <w:pPr>
        <w:pStyle w:val="Heading4"/>
      </w:pPr>
      <w:bookmarkStart w:id="27" w:name="_Toc402970323"/>
      <w:bookmarkStart w:id="28" w:name="_Toc408836297"/>
      <w:r>
        <w:lastRenderedPageBreak/>
        <w:t>World distribution and occurrence i</w:t>
      </w:r>
      <w:r>
        <w:t>n Australia</w:t>
      </w:r>
      <w:bookmarkEnd w:id="27"/>
      <w:bookmarkEnd w:id="28"/>
    </w:p>
    <w:p w:rsidR="00D25EFC" w:rsidRDefault="00A27A2B">
      <w:pPr>
        <w:pStyle w:val="Normalindent"/>
      </w:pPr>
      <w:r>
        <w:t>The geographic distribution of VHSV encompasses marine and freshwater habitats throughout the Northern Hemisphere, incorporating Europe, America and Asia (Skall et al. 2005a). Specifically, the VHS virus:</w:t>
      </w:r>
    </w:p>
    <w:p w:rsidR="00D25EFC" w:rsidRDefault="00A27A2B">
      <w:pPr>
        <w:pStyle w:val="List"/>
      </w:pPr>
      <w:r>
        <w:t>has never been reported in Australia</w:t>
      </w:r>
    </w:p>
    <w:p w:rsidR="00D25EFC" w:rsidRDefault="00A27A2B">
      <w:pPr>
        <w:pStyle w:val="List"/>
      </w:pPr>
      <w:r>
        <w:t>has been reported in freshwater fish species from continental eastern and western Europe and is considered endemic in those regions</w:t>
      </w:r>
    </w:p>
    <w:p w:rsidR="00D25EFC" w:rsidRDefault="00A27A2B">
      <w:pPr>
        <w:pStyle w:val="List"/>
      </w:pPr>
      <w:r>
        <w:t>has been isolated from marine fish in the northeast Pacific Ocean (from Alaska to California), the North Atlantic, the Balti</w:t>
      </w:r>
      <w:r>
        <w:t xml:space="preserve">c Sea, the Mediterranean and Aegean Seas and from flounder in Japan and Korea </w:t>
      </w:r>
    </w:p>
    <w:p w:rsidR="00D25EFC" w:rsidRDefault="00A27A2B">
      <w:pPr>
        <w:pStyle w:val="List"/>
      </w:pPr>
      <w:r>
        <w:t>has been reported in at least 28 freshwater fish in the Great Lakes area of North America (thought to have been introduced via ship ballast water)</w:t>
      </w:r>
    </w:p>
    <w:p w:rsidR="00D25EFC" w:rsidRDefault="00A27A2B">
      <w:pPr>
        <w:pStyle w:val="List"/>
      </w:pPr>
      <w:r>
        <w:t>is not commonly reported in fi</w:t>
      </w:r>
      <w:r>
        <w:t xml:space="preserve">sh from areas where water temperatures are above 18°C, </w:t>
      </w:r>
      <w:r>
        <w:rPr>
          <w:rFonts w:cs="Arial"/>
          <w:lang w:eastAsia="en-US"/>
        </w:rPr>
        <w:t>though VHSV-IVb has been associated with a fish kill at water temperatures of 20–22°C.</w:t>
      </w:r>
    </w:p>
    <w:p w:rsidR="00D25EFC" w:rsidRDefault="00A27A2B">
      <w:pPr>
        <w:pStyle w:val="Heading4"/>
      </w:pPr>
      <w:bookmarkStart w:id="29" w:name="_Toc402970324"/>
      <w:bookmarkStart w:id="30" w:name="_Toc408836298"/>
      <w:r>
        <w:t>Diagnostic criteria</w:t>
      </w:r>
      <w:bookmarkEnd w:id="29"/>
      <w:bookmarkEnd w:id="30"/>
    </w:p>
    <w:p w:rsidR="00D25EFC" w:rsidRDefault="00A27A2B">
      <w:pPr>
        <w:pStyle w:val="Normalindent"/>
      </w:pPr>
      <w:r>
        <w:t>Detailed reviews of the clinical signs and pathological changes of VHS are provided in Smail (</w:t>
      </w:r>
      <w:r>
        <w:t>1999) and Skall et al. (2005a). Clinical and pathological signs of VHS are referred to in terms of acute, chronic and latent stages, which relate to degrees of severity of infection rather than progressive stages of the disease.</w:t>
      </w:r>
    </w:p>
    <w:p w:rsidR="00D25EFC" w:rsidRDefault="00A27A2B">
      <w:pPr>
        <w:pStyle w:val="Heading5"/>
      </w:pPr>
      <w:bookmarkStart w:id="31" w:name="_Toc402970325"/>
      <w:bookmarkStart w:id="32" w:name="_Toc408836299"/>
      <w:r>
        <w:t>Clinical signs</w:t>
      </w:r>
      <w:bookmarkEnd w:id="31"/>
      <w:bookmarkEnd w:id="32"/>
    </w:p>
    <w:p w:rsidR="00D25EFC" w:rsidRDefault="00A27A2B">
      <w:pPr>
        <w:pStyle w:val="Normalindent"/>
      </w:pPr>
      <w:r>
        <w:t>Clinical sig</w:t>
      </w:r>
      <w:r>
        <w:t>ns of infection vary between species and with severity of infection. Acute, chronic and nervous forms of the disease have been identified in rainbow trout. A carrier state occurs in surviving fish, and the virus can be isolated from persistently infected t</w:t>
      </w:r>
      <w:r>
        <w:t>issues, such as kidney and brain (Ghittino 1965). Acute forms of the disease have also been observed in other species of fish, including sea bass (</w:t>
      </w:r>
      <w:r>
        <w:rPr>
          <w:rStyle w:val="Emphasis"/>
        </w:rPr>
        <w:t>Dicentrarchus labrax</w:t>
      </w:r>
      <w:r>
        <w:t>), turbot (</w:t>
      </w:r>
      <w:r>
        <w:rPr>
          <w:rStyle w:val="Emphasis"/>
        </w:rPr>
        <w:t>P. maxima</w:t>
      </w:r>
      <w:r>
        <w:t>) (Castric and de Kinkelin 1984, Schlotfeldt et al. 1991), freshwater</w:t>
      </w:r>
      <w:r>
        <w:t xml:space="preserve"> drum (</w:t>
      </w:r>
      <w:r>
        <w:rPr>
          <w:rStyle w:val="Emphasis"/>
        </w:rPr>
        <w:t>Aplodinotus grunniens</w:t>
      </w:r>
      <w:r>
        <w:t>) and round gobies (</w:t>
      </w:r>
      <w:r>
        <w:rPr>
          <w:rStyle w:val="Emphasis"/>
        </w:rPr>
        <w:t>Neogobius melanostomus</w:t>
      </w:r>
      <w:r>
        <w:t>) (Lumsden et al. 2007, Groocock et al. 2007). Virus multiplication in endothelial cells of blood capillaries, leukocytes, haematopoietic tissues and nephron cells underlies clinical sig</w:t>
      </w:r>
      <w:r>
        <w:t>ns of disease.</w:t>
      </w:r>
    </w:p>
    <w:p w:rsidR="00D25EFC" w:rsidRDefault="00A27A2B">
      <w:pPr>
        <w:pStyle w:val="Normalindent"/>
      </w:pPr>
      <w:r>
        <w:t>Infection is often lethal in susceptible species, since infection results in impairment of the osmotic balance of the fish. This occurs within the clinical context of oedema and haemorrhage. However, these clinical signs are not pathognomoni</w:t>
      </w:r>
      <w:r>
        <w:t>c for VHS.</w:t>
      </w:r>
    </w:p>
    <w:p w:rsidR="00D25EFC" w:rsidRDefault="00A27A2B">
      <w:pPr>
        <w:pStyle w:val="Heading6"/>
      </w:pPr>
      <w:r>
        <w:t>General signs</w:t>
      </w:r>
    </w:p>
    <w:p w:rsidR="00D25EFC" w:rsidRDefault="00A27A2B">
      <w:pPr>
        <w:pStyle w:val="Normalindent"/>
      </w:pPr>
      <w:r>
        <w:t>VHS may present in an acute, chronic or nervous form depending on the fish species. The following are general clinical signs that may be observed in fish infected with VHSV, irrespective of the form.</w:t>
      </w:r>
    </w:p>
    <w:p w:rsidR="00D25EFC" w:rsidRDefault="00A27A2B">
      <w:pPr>
        <w:pStyle w:val="Heading6"/>
      </w:pPr>
      <w:r>
        <w:t>External signs</w:t>
      </w:r>
    </w:p>
    <w:p w:rsidR="00D25EFC" w:rsidRDefault="00A27A2B">
      <w:pPr>
        <w:pStyle w:val="Normalindent"/>
      </w:pPr>
      <w:r>
        <w:t>External signs o</w:t>
      </w:r>
      <w:r>
        <w:t>f VHS include:</w:t>
      </w:r>
    </w:p>
    <w:p w:rsidR="00D25EFC" w:rsidRDefault="00A27A2B">
      <w:pPr>
        <w:pStyle w:val="List"/>
      </w:pPr>
      <w:r>
        <w:t>loss of appetite</w:t>
      </w:r>
    </w:p>
    <w:p w:rsidR="00D25EFC" w:rsidRDefault="00A27A2B">
      <w:pPr>
        <w:pStyle w:val="List"/>
      </w:pPr>
      <w:r>
        <w:t>haemorrhage at the base of fins and in the skin and eyes (Figure 2)</w:t>
      </w:r>
    </w:p>
    <w:p w:rsidR="00D25EFC" w:rsidRDefault="00A27A2B">
      <w:pPr>
        <w:pStyle w:val="List"/>
      </w:pPr>
      <w:r>
        <w:lastRenderedPageBreak/>
        <w:t>exophthalmia (‘pop eye’) due to subretinal haemorrhaging (Figure 3)</w:t>
      </w:r>
    </w:p>
    <w:p w:rsidR="00D25EFC" w:rsidRDefault="00A27A2B">
      <w:pPr>
        <w:pStyle w:val="List"/>
      </w:pPr>
      <w:r>
        <w:t>pale gills (anaemia)</w:t>
      </w:r>
    </w:p>
    <w:p w:rsidR="00D25EFC" w:rsidRDefault="00A27A2B">
      <w:pPr>
        <w:pStyle w:val="List"/>
      </w:pPr>
      <w:r>
        <w:t xml:space="preserve">ascites (distended abdomen caused by abnormal accumulation of </w:t>
      </w:r>
      <w:r>
        <w:t>fluids, which may include blood)</w:t>
      </w:r>
    </w:p>
    <w:p w:rsidR="00D25EFC" w:rsidRDefault="00A27A2B">
      <w:pPr>
        <w:pStyle w:val="List"/>
      </w:pPr>
      <w:r>
        <w:t>ataxia (uncoordinated swimming).</w:t>
      </w:r>
    </w:p>
    <w:p w:rsidR="00D25EFC" w:rsidRDefault="00A27A2B">
      <w:pPr>
        <w:pStyle w:val="Heading6"/>
      </w:pPr>
      <w:r>
        <w:t>Internal signs</w:t>
      </w:r>
    </w:p>
    <w:p w:rsidR="00D25EFC" w:rsidRDefault="00A27A2B">
      <w:pPr>
        <w:pStyle w:val="Normalindent"/>
        <w:rPr>
          <w:rFonts w:ascii="Calibri" w:hAnsi="Calibri"/>
          <w:b/>
        </w:rPr>
      </w:pPr>
      <w:r>
        <w:t>Internal signs of VHS include:</w:t>
      </w:r>
    </w:p>
    <w:p w:rsidR="00D25EFC" w:rsidRDefault="00A27A2B">
      <w:pPr>
        <w:pStyle w:val="List"/>
      </w:pPr>
      <w:r>
        <w:t>swollen, pale liver</w:t>
      </w:r>
    </w:p>
    <w:p w:rsidR="00D25EFC" w:rsidRDefault="00A27A2B">
      <w:pPr>
        <w:pStyle w:val="List"/>
      </w:pPr>
      <w:r>
        <w:t>swollen kidneys, which appear darker red in the early stages of disease (especially in the anterior kidney)</w:t>
      </w:r>
    </w:p>
    <w:p w:rsidR="00D25EFC" w:rsidRDefault="00A27A2B">
      <w:pPr>
        <w:pStyle w:val="List"/>
      </w:pPr>
      <w:r>
        <w:t>the head and mid</w:t>
      </w:r>
      <w:r>
        <w:t>section of the kidney may be totally necrotic (inconsistently reported in the literature)</w:t>
      </w:r>
    </w:p>
    <w:p w:rsidR="00D25EFC" w:rsidRDefault="00A27A2B">
      <w:pPr>
        <w:pStyle w:val="List"/>
      </w:pPr>
      <w:r>
        <w:t>bloody ascitic fluid surrounding abdominal organs</w:t>
      </w:r>
    </w:p>
    <w:p w:rsidR="00D25EFC" w:rsidRDefault="00A27A2B">
      <w:pPr>
        <w:pStyle w:val="List"/>
      </w:pPr>
      <w:r>
        <w:t>oedema in muscles</w:t>
      </w:r>
    </w:p>
    <w:p w:rsidR="00D25EFC" w:rsidRDefault="00A27A2B">
      <w:pPr>
        <w:pStyle w:val="List"/>
      </w:pPr>
      <w:r>
        <w:t>absence of food in the gastrointestinal tract.</w:t>
      </w:r>
    </w:p>
    <w:p w:rsidR="00D25EFC" w:rsidRDefault="00A27A2B">
      <w:pPr>
        <w:pStyle w:val="Heading6"/>
      </w:pPr>
      <w:r>
        <w:t>Acute form</w:t>
      </w:r>
    </w:p>
    <w:p w:rsidR="00D25EFC" w:rsidRDefault="00A27A2B">
      <w:pPr>
        <w:pStyle w:val="Normalindent"/>
      </w:pPr>
      <w:r>
        <w:t>In its acute form, VHS can result in rap</w:t>
      </w:r>
      <w:r>
        <w:t>id death. In rainbow trout, the acute stage occurs 2–30 days after experimental infection at 8–12°C. Clinical signs of acute VHS include:</w:t>
      </w:r>
    </w:p>
    <w:p w:rsidR="00D25EFC" w:rsidRDefault="00A27A2B">
      <w:pPr>
        <w:pStyle w:val="List"/>
      </w:pPr>
      <w:r>
        <w:t>pale gills with or without petechiae</w:t>
      </w:r>
    </w:p>
    <w:p w:rsidR="00D25EFC" w:rsidRDefault="00A27A2B">
      <w:pPr>
        <w:pStyle w:val="List"/>
      </w:pPr>
      <w:r>
        <w:t xml:space="preserve">ataxia </w:t>
      </w:r>
    </w:p>
    <w:p w:rsidR="00D25EFC" w:rsidRDefault="00A27A2B">
      <w:pPr>
        <w:pStyle w:val="List"/>
      </w:pPr>
      <w:r>
        <w:t>lethargy</w:t>
      </w:r>
    </w:p>
    <w:p w:rsidR="00D25EFC" w:rsidRDefault="00A27A2B">
      <w:pPr>
        <w:pStyle w:val="List"/>
      </w:pPr>
      <w:r>
        <w:t>darker than normal colour</w:t>
      </w:r>
    </w:p>
    <w:p w:rsidR="00D25EFC" w:rsidRDefault="00A27A2B">
      <w:pPr>
        <w:pStyle w:val="List"/>
      </w:pPr>
      <w:r>
        <w:t xml:space="preserve">crowding of fish to edges of ponds or </w:t>
      </w:r>
      <w:r>
        <w:t>cages.</w:t>
      </w:r>
    </w:p>
    <w:p w:rsidR="00D25EFC" w:rsidRDefault="00A27A2B">
      <w:pPr>
        <w:pStyle w:val="Heading6"/>
      </w:pPr>
      <w:r>
        <w:t>Chronic form</w:t>
      </w:r>
    </w:p>
    <w:p w:rsidR="00D25EFC" w:rsidRDefault="00A27A2B">
      <w:pPr>
        <w:pStyle w:val="Normalindent"/>
      </w:pPr>
      <w:r>
        <w:t>Clinical signs might not be evident in the chronic form of VHS but the virus can be isolated from all major internal organs including the kidney, heart, spleen and muscle.</w:t>
      </w:r>
    </w:p>
    <w:p w:rsidR="00D25EFC" w:rsidRDefault="00A27A2B">
      <w:pPr>
        <w:pStyle w:val="Heading6"/>
      </w:pPr>
      <w:r>
        <w:t>Nervous form</w:t>
      </w:r>
    </w:p>
    <w:p w:rsidR="00D25EFC" w:rsidRDefault="00A27A2B">
      <w:pPr>
        <w:pStyle w:val="Normalindent"/>
      </w:pPr>
      <w:r>
        <w:t>In the nervous stage, there is marked ataxia caused</w:t>
      </w:r>
      <w:r>
        <w:t xml:space="preserve"> by the effect of the virus on the brain. This is a feature of virulent freshwater strains of VHSV–I that has also been observed in seawater-reared rainbow trout infected with VHSV-III (Dale et al. 2009). </w:t>
      </w:r>
    </w:p>
    <w:p w:rsidR="00D25EFC" w:rsidRDefault="00A27A2B">
      <w:pPr>
        <w:pStyle w:val="Normalindent"/>
      </w:pPr>
      <w:r>
        <w:t>VHSV has been isolated from the brain after experi</w:t>
      </w:r>
      <w:r>
        <w:t>mental infection in marine species, including cod (</w:t>
      </w:r>
      <w:r>
        <w:rPr>
          <w:rStyle w:val="Emphasis"/>
        </w:rPr>
        <w:t>Gadus morhua</w:t>
      </w:r>
      <w:r>
        <w:t>), halibut (</w:t>
      </w:r>
      <w:r>
        <w:rPr>
          <w:rStyle w:val="Emphasis"/>
        </w:rPr>
        <w:t>Hippoglossus hippoglossus</w:t>
      </w:r>
      <w:r>
        <w:t>) and turbot (</w:t>
      </w:r>
      <w:r>
        <w:rPr>
          <w:rStyle w:val="Emphasis"/>
        </w:rPr>
        <w:t>P. maxima</w:t>
      </w:r>
      <w:r>
        <w:t>) (Snow and Smail 1999). A nervous form of the disease has not been reported in these species.</w:t>
      </w:r>
    </w:p>
    <w:p w:rsidR="00D25EFC" w:rsidRDefault="00A27A2B">
      <w:pPr>
        <w:pStyle w:val="Caption"/>
      </w:pPr>
      <w:bookmarkStart w:id="33" w:name="_Toc408392445"/>
      <w:bookmarkStart w:id="34" w:name="_Toc408393505"/>
      <w:r>
        <w:lastRenderedPageBreak/>
        <w:t xml:space="preserve">Figure </w:t>
      </w:r>
      <w:fldSimple w:instr=" SEQ Figure \* ARABIC ">
        <w:r>
          <w:rPr>
            <w:noProof/>
          </w:rPr>
          <w:t>2</w:t>
        </w:r>
      </w:fldSimple>
      <w:r>
        <w:tab/>
      </w:r>
      <w:r>
        <w:t>Haemorrhage on skin and around head of gizzard shad in North America</w:t>
      </w:r>
      <w:bookmarkEnd w:id="33"/>
      <w:bookmarkEnd w:id="34"/>
    </w:p>
    <w:p w:rsidR="00D25EFC" w:rsidRDefault="00A27A2B">
      <w:pPr>
        <w:pStyle w:val="Caption"/>
      </w:pPr>
      <w:r>
        <w:rPr>
          <w:noProof/>
        </w:rPr>
        <w:drawing>
          <wp:inline distT="0" distB="0" distL="0" distR="0">
            <wp:extent cx="5133975" cy="1810055"/>
            <wp:effectExtent l="19050" t="0" r="9525" b="0"/>
            <wp:docPr id="3" name="Picture 1" descr="Gizzard shad from the United States infected with VHS showing haemorrhage on body su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zard shad from the United States infected with VHS showing haemorrhage on body surfaces"/>
                    <pic:cNvPicPr>
                      <a:picLocks noChangeAspect="1" noChangeArrowheads="1"/>
                    </pic:cNvPicPr>
                  </pic:nvPicPr>
                  <pic:blipFill>
                    <a:blip r:embed="rId18"/>
                    <a:srcRect/>
                    <a:stretch>
                      <a:fillRect/>
                    </a:stretch>
                  </pic:blipFill>
                  <pic:spPr bwMode="auto">
                    <a:xfrm>
                      <a:off x="0" y="0"/>
                      <a:ext cx="5142413" cy="1813030"/>
                    </a:xfrm>
                    <a:prstGeom prst="rect">
                      <a:avLst/>
                    </a:prstGeom>
                    <a:noFill/>
                    <a:ln w="9525">
                      <a:noFill/>
                      <a:miter lim="800000"/>
                      <a:headEnd/>
                      <a:tailEnd/>
                    </a:ln>
                  </pic:spPr>
                </pic:pic>
              </a:graphicData>
            </a:graphic>
          </wp:inline>
        </w:drawing>
      </w:r>
    </w:p>
    <w:p w:rsidR="00D25EFC" w:rsidRDefault="00A27A2B">
      <w:pPr>
        <w:pStyle w:val="Caption"/>
      </w:pPr>
      <w:bookmarkStart w:id="35" w:name="_Toc408392446"/>
      <w:bookmarkStart w:id="36" w:name="_Toc408393506"/>
      <w:r>
        <w:t xml:space="preserve">Figure </w:t>
      </w:r>
      <w:fldSimple w:instr=" SEQ Figure \* ARABIC ">
        <w:r>
          <w:rPr>
            <w:noProof/>
          </w:rPr>
          <w:t>3</w:t>
        </w:r>
      </w:fldSimple>
      <w:r>
        <w:tab/>
        <w:t>Exophthalmia (left) and haemorrhage in muscle of gizzard shad</w:t>
      </w:r>
      <w:bookmarkEnd w:id="35"/>
      <w:bookmarkEnd w:id="36"/>
    </w:p>
    <w:p w:rsidR="00D25EFC" w:rsidRDefault="00A27A2B">
      <w:pPr>
        <w:pStyle w:val="Caption"/>
      </w:pPr>
      <w:r>
        <w:rPr>
          <w:noProof/>
        </w:rPr>
        <w:drawing>
          <wp:inline distT="0" distB="0" distL="0" distR="0">
            <wp:extent cx="5200650" cy="1991916"/>
            <wp:effectExtent l="19050" t="0" r="0" b="0"/>
            <wp:docPr id="5" name="Picture 2" descr="Gizzard shad from the United States showing exopthalmia and haemorrhage in muscult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zzard shad from the United States showing exopthalmia and haemorrhage in muscultature."/>
                    <pic:cNvPicPr>
                      <a:picLocks noChangeAspect="1" noChangeArrowheads="1"/>
                    </pic:cNvPicPr>
                  </pic:nvPicPr>
                  <pic:blipFill>
                    <a:blip r:embed="rId19"/>
                    <a:srcRect/>
                    <a:stretch>
                      <a:fillRect/>
                    </a:stretch>
                  </pic:blipFill>
                  <pic:spPr bwMode="auto">
                    <a:xfrm>
                      <a:off x="0" y="0"/>
                      <a:ext cx="5209050" cy="1995133"/>
                    </a:xfrm>
                    <a:prstGeom prst="rect">
                      <a:avLst/>
                    </a:prstGeom>
                    <a:noFill/>
                    <a:ln w="9525">
                      <a:noFill/>
                      <a:miter lim="800000"/>
                      <a:headEnd/>
                      <a:tailEnd/>
                    </a:ln>
                  </pic:spPr>
                </pic:pic>
              </a:graphicData>
            </a:graphic>
          </wp:inline>
        </w:drawing>
      </w:r>
    </w:p>
    <w:p w:rsidR="00D25EFC" w:rsidRDefault="00A27A2B">
      <w:pPr>
        <w:pStyle w:val="note"/>
        <w:ind w:left="851"/>
      </w:pPr>
      <w:r>
        <w:t>(Photos Credit: Dr. Mohamed Faisal, Michigan State University).</w:t>
      </w:r>
    </w:p>
    <w:p w:rsidR="00D25EFC" w:rsidRDefault="00A27A2B">
      <w:pPr>
        <w:pStyle w:val="Heading5"/>
      </w:pPr>
      <w:bookmarkStart w:id="37" w:name="_Toc402970326"/>
      <w:bookmarkStart w:id="38" w:name="_Toc408836300"/>
      <w:r>
        <w:t xml:space="preserve">Pathology, </w:t>
      </w:r>
      <w:r>
        <w:t>histopathology and haematology</w:t>
      </w:r>
      <w:bookmarkEnd w:id="37"/>
      <w:bookmarkEnd w:id="38"/>
    </w:p>
    <w:p w:rsidR="00D25EFC" w:rsidRDefault="00A27A2B">
      <w:pPr>
        <w:pStyle w:val="Normalindent"/>
      </w:pPr>
      <w:r>
        <w:t xml:space="preserve">The OIE </w:t>
      </w:r>
      <w:r>
        <w:rPr>
          <w:rStyle w:val="Emphasis"/>
        </w:rPr>
        <w:t>Manual of Diagnostic Tests for Aquatic Animals</w:t>
      </w:r>
      <w:r>
        <w:t xml:space="preserve"> (Chapter 2.3.9) (see Appendix 2) outlines virus identification and isolation techniques for VHS (OIE 2013b). A prominent feature of VHS is widespread haemorrhaging in the</w:t>
      </w:r>
      <w:r>
        <w:t xml:space="preserve"> internal and external organs, including around the eyes and in the muscle. This has been observed in a number of species, including rainbow trout (</w:t>
      </w:r>
      <w:r>
        <w:rPr>
          <w:rStyle w:val="Emphasis"/>
        </w:rPr>
        <w:t>O. mykiss</w:t>
      </w:r>
      <w:r>
        <w:t>), Japanese flounder (</w:t>
      </w:r>
      <w:r>
        <w:rPr>
          <w:rStyle w:val="Emphasis"/>
        </w:rPr>
        <w:t>P. olivaceus</w:t>
      </w:r>
      <w:r>
        <w:t>), turbot (</w:t>
      </w:r>
      <w:r>
        <w:rPr>
          <w:rStyle w:val="Emphasis"/>
        </w:rPr>
        <w:t>P. maxima</w:t>
      </w:r>
      <w:r>
        <w:t>) and Pacific herring (</w:t>
      </w:r>
      <w:r>
        <w:rPr>
          <w:rStyle w:val="Emphasis"/>
        </w:rPr>
        <w:t>C. pallasii</w:t>
      </w:r>
      <w:r>
        <w:t>) (Munro 19</w:t>
      </w:r>
      <w:r>
        <w:t xml:space="preserve">96, Kocan et al. 1997, Smail 1999, Isshiki et al. 2001), and more recently from </w:t>
      </w:r>
      <w:r>
        <w:rPr>
          <w:rFonts w:cs="AdvP4DF60E"/>
          <w:lang w:eastAsia="en-US"/>
        </w:rPr>
        <w:t>freshwater drum (</w:t>
      </w:r>
      <w:r>
        <w:rPr>
          <w:rStyle w:val="Emphasis"/>
        </w:rPr>
        <w:t>A. grunniens</w:t>
      </w:r>
      <w:r>
        <w:rPr>
          <w:rFonts w:cs="AdvP4DF60E"/>
          <w:lang w:eastAsia="en-US"/>
        </w:rPr>
        <w:t>), musk</w:t>
      </w:r>
      <w:r>
        <w:t>ellunge</w:t>
      </w:r>
      <w:r>
        <w:rPr>
          <w:rStyle w:val="Emphasis"/>
        </w:rPr>
        <w:t xml:space="preserve"> </w:t>
      </w:r>
      <w:r>
        <w:rPr>
          <w:rFonts w:cs="Arial"/>
        </w:rPr>
        <w:t>(</w:t>
      </w:r>
      <w:r>
        <w:rPr>
          <w:rStyle w:val="Emphasis"/>
        </w:rPr>
        <w:t>Esox</w:t>
      </w:r>
      <w:r>
        <w:rPr>
          <w:rFonts w:cs="Arial"/>
        </w:rPr>
        <w:t> </w:t>
      </w:r>
      <w:r>
        <w:rPr>
          <w:rStyle w:val="Emphasis"/>
        </w:rPr>
        <w:t>masquinongy</w:t>
      </w:r>
      <w:r>
        <w:t xml:space="preserve">), </w:t>
      </w:r>
      <w:r>
        <w:rPr>
          <w:rFonts w:cs="Arial"/>
          <w:iCs/>
        </w:rPr>
        <w:t>yellow perch (</w:t>
      </w:r>
      <w:r>
        <w:rPr>
          <w:rStyle w:val="Emphasis"/>
        </w:rPr>
        <w:t>Perca flavescens</w:t>
      </w:r>
      <w:r>
        <w:rPr>
          <w:rFonts w:cs="Arial"/>
          <w:iCs/>
        </w:rPr>
        <w:t xml:space="preserve">) </w:t>
      </w:r>
      <w:r>
        <w:t>and several other recreationally and ecologically important freshwater species i</w:t>
      </w:r>
      <w:r>
        <w:t>n the United States (US) (Elsayed et al. 2006, USDA 2006, Lumsden et al. 2007, Gagne et al. 2007). Petechial and ecchymotic haemorrhaging has been observed on the swim bladder and in the peritoneum, adipose tissue, gonads</w:t>
      </w:r>
      <w:r>
        <w:rPr>
          <w:rStyle w:val="CommentReference"/>
          <w:szCs w:val="22"/>
          <w:lang w:eastAsia="en-US"/>
        </w:rPr>
        <w:t>,</w:t>
      </w:r>
      <w:r>
        <w:t xml:space="preserve"> surface tissue of the liver and w</w:t>
      </w:r>
      <w:r>
        <w:t>ithin muscle. Haemorrhages have also been observed in the epidural area in pike (</w:t>
      </w:r>
      <w:r>
        <w:rPr>
          <w:rStyle w:val="Emphasis"/>
        </w:rPr>
        <w:t>E. lucius</w:t>
      </w:r>
      <w:r>
        <w:t>).</w:t>
      </w:r>
    </w:p>
    <w:p w:rsidR="00D25EFC" w:rsidRDefault="00A27A2B">
      <w:pPr>
        <w:pStyle w:val="Normalindent"/>
      </w:pPr>
      <w:r>
        <w:t xml:space="preserve">A notable gross pathological feature observed in turbot was gross body swelling due to fluid retention (Munro 1996). Differentiation has been made on the basis of </w:t>
      </w:r>
      <w:r>
        <w:t>clinical signs and the different forms of the disease (acute, chronic and nervous). No such differentiation has been made on the basis of histopathology.</w:t>
      </w:r>
    </w:p>
    <w:p w:rsidR="00D25EFC" w:rsidRDefault="00A27A2B">
      <w:pPr>
        <w:pStyle w:val="Heading6"/>
      </w:pPr>
      <w:r>
        <w:lastRenderedPageBreak/>
        <w:t>Histopathology</w:t>
      </w:r>
    </w:p>
    <w:p w:rsidR="00D25EFC" w:rsidRDefault="00A27A2B">
      <w:pPr>
        <w:pStyle w:val="Normalindent"/>
      </w:pPr>
      <w:r>
        <w:t>Haemorrhage is a prominent feature of VHS. Degenerative changes and necrosis are common</w:t>
      </w:r>
      <w:r>
        <w:t>, particularly in tissues of endothelial origin (Wolf 1988, Lumsden et al. 2007, Groocock et al. 2007). The principal tissue affected is the kidney, often with necrosis and/or degeneration of haematopoietic tissue. Lymphoid tissue necrosis leads to leukope</w:t>
      </w:r>
      <w:r>
        <w:t>nia. In acute infections, liver sinusoids are engorged with blood, and hepatocytes exhibit extensive focal changes, including cytoplasmic vacuoles, pyknosis, karyolysis, lymphocytic invasion and occasionally intracytoplasmic and intranuclear inclusions (St</w:t>
      </w:r>
      <w:r>
        <w:t>oskopf 1993, Smail 1999).</w:t>
      </w:r>
    </w:p>
    <w:p w:rsidR="00D25EFC" w:rsidRDefault="00A27A2B">
      <w:pPr>
        <w:pStyle w:val="Normalindent"/>
        <w:rPr>
          <w:rFonts w:cs="Candida-Roman"/>
          <w:color w:val="231F20"/>
          <w:lang w:eastAsia="en-US"/>
        </w:rPr>
      </w:pPr>
      <w:r>
        <w:t>Extravasation of blood may be found in skeletal muscle; however, muscle fibres and bundles may not show signs of damage. Lumsden et al. (2007) reported p</w:t>
      </w:r>
      <w:r>
        <w:rPr>
          <w:rFonts w:cs="Candida-Roman"/>
          <w:color w:val="231F20"/>
          <w:lang w:eastAsia="en-US"/>
        </w:rPr>
        <w:t>erivascular infiltrates in the meninges, kidney and intestine of freshwater d</w:t>
      </w:r>
      <w:r>
        <w:rPr>
          <w:rFonts w:cs="Candida-Roman"/>
          <w:color w:val="231F20"/>
          <w:lang w:eastAsia="en-US"/>
        </w:rPr>
        <w:t>rum. Sporadic necrotising and leukocyte-rich lesions that were associated with blood vessels, extending into the surrounding parenchyma, have been reported in the gills, hepatopancreas, swim bladder, dermis, skeletal muscle, stomach and oesophagus (Lumsden</w:t>
      </w:r>
      <w:r>
        <w:rPr>
          <w:rFonts w:cs="Candida-Roman"/>
          <w:color w:val="231F20"/>
          <w:lang w:eastAsia="en-US"/>
        </w:rPr>
        <w:t xml:space="preserve"> et al. 2007).</w:t>
      </w:r>
      <w:r>
        <w:t xml:space="preserve"> Infections in turbot and freshwater drum have resulted in necrosis and collapse of cardiac muscle (Ross et al. 1994, Lumsden et al. 2007). Likewise, the most prominent pathological changes were observed in the heart tissues of Japanese floun</w:t>
      </w:r>
      <w:r>
        <w:t>der. In this species, many muscle fibres in the inner layer of the myocardium were necrotic (Isshiki et al. 2001). Lumsden et al. (2007) and Dale et al. (2009) also reported significant meningoencephalitis in drum and rainbow trout, respectively.</w:t>
      </w:r>
    </w:p>
    <w:p w:rsidR="00D25EFC" w:rsidRDefault="00A27A2B">
      <w:pPr>
        <w:pStyle w:val="Normalindent"/>
      </w:pPr>
      <w:r>
        <w:rPr>
          <w:rFonts w:cs="Candida-Roman"/>
          <w:color w:val="231F20"/>
          <w:lang w:eastAsia="en-US"/>
        </w:rPr>
        <w:t>Less dest</w:t>
      </w:r>
      <w:r>
        <w:rPr>
          <w:rFonts w:cs="Candida-Roman"/>
          <w:color w:val="231F20"/>
          <w:lang w:eastAsia="en-US"/>
        </w:rPr>
        <w:t xml:space="preserve">ructive changes occur in pancreatic tissues. </w:t>
      </w:r>
      <w:r>
        <w:t>This is in contrast to infectious pancreatic necrosis and infectious haematopoietic necrosis, two other significant differential diagnoses to VHS. Damaged pancreatic islet tissue has been observed in northern pi</w:t>
      </w:r>
      <w:r>
        <w:t>ke (</w:t>
      </w:r>
      <w:r>
        <w:rPr>
          <w:rStyle w:val="Emphasis"/>
        </w:rPr>
        <w:t>E. lucius</w:t>
      </w:r>
      <w:r>
        <w:t>).</w:t>
      </w:r>
    </w:p>
    <w:p w:rsidR="00D25EFC" w:rsidRDefault="00A27A2B">
      <w:pPr>
        <w:pStyle w:val="Normalindent"/>
        <w:rPr>
          <w:rFonts w:ascii="Calibri" w:hAnsi="Calibri"/>
        </w:rPr>
      </w:pPr>
      <w:r>
        <w:t>Long-term studies of Pacific herring indicate that VHSV is associated with chronic lesions, including mineralisation of the myocardium, hepatocellular necrosis, submucosal gastritis, meningoencephalitis and skin ulcerations (Marty et al. 19</w:t>
      </w:r>
      <w:r>
        <w:t>98). Inclusion bodies have also been observed in necrotic myocardial cells of infected Japanese flounder (Isshiki et al. 2001).</w:t>
      </w:r>
    </w:p>
    <w:p w:rsidR="00D25EFC" w:rsidRDefault="00A27A2B">
      <w:pPr>
        <w:pStyle w:val="Heading6"/>
      </w:pPr>
      <w:r>
        <w:t>Haematology</w:t>
      </w:r>
    </w:p>
    <w:p w:rsidR="00D25EFC" w:rsidRDefault="00A27A2B">
      <w:pPr>
        <w:pStyle w:val="Normalindent"/>
      </w:pPr>
      <w:r>
        <w:t xml:space="preserve">Extensive damage to haematopoietic tissue results in anaemia, leukopenia and thrombocytopenia. There is an increase </w:t>
      </w:r>
      <w:r>
        <w:t>in damaged erythrocytes and granulocytes, and a marked increase in immature erythrocytes, particularly late in infection (Wolf 1988).</w:t>
      </w:r>
    </w:p>
    <w:p w:rsidR="00D25EFC" w:rsidRDefault="00A27A2B">
      <w:pPr>
        <w:pStyle w:val="Heading5"/>
      </w:pPr>
      <w:bookmarkStart w:id="39" w:name="_Toc402970327"/>
      <w:bookmarkStart w:id="40" w:name="_Toc408836301"/>
      <w:r>
        <w:t>Laboratory tests</w:t>
      </w:r>
      <w:bookmarkEnd w:id="39"/>
      <w:bookmarkEnd w:id="40"/>
    </w:p>
    <w:p w:rsidR="00D25EFC" w:rsidRDefault="00A27A2B">
      <w:pPr>
        <w:pStyle w:val="Normalindent"/>
        <w:rPr>
          <w:lang w:eastAsia="en-US"/>
        </w:rPr>
      </w:pPr>
      <w:r>
        <w:t>The standard diagnostic procedure for VHS is the isolation of VHSV in a cell culture, followed by identif</w:t>
      </w:r>
      <w:r>
        <w:t xml:space="preserve">ication using molecular methods (e.g. reverse-transcriptase [RT] polymerase chain reaction [PCR]) (OIE 2013b). The virus replicates in several piscine cell lines, and the BF-2 cell line is recommended. Alternatively, the EPC or FHM cell lines may be used, </w:t>
      </w:r>
      <w:r>
        <w:t xml:space="preserve">and although they are generally less susceptible to infection by genotypes I, II and III, EPC cells are susceptible to genotype IV isolates (Olesen and Vestergård 1992, Lorenzen et al. 1999, OIE 2013b). </w:t>
      </w:r>
      <w:r>
        <w:rPr>
          <w:lang w:eastAsia="en-US"/>
        </w:rPr>
        <w:t>Cell susceptibility is ranked in the order (most susc</w:t>
      </w:r>
      <w:r>
        <w:rPr>
          <w:lang w:eastAsia="en-US"/>
        </w:rPr>
        <w:t xml:space="preserve">eptible to least susceptible) BF-2, FHM, RTG-2 and EPC, but other fish cell lines, such as CHSE-214 and SSN-1, are also susceptible. The susceptibility of a cell line to infection depends on a range of parameters including cell-line </w:t>
      </w:r>
      <w:r>
        <w:rPr>
          <w:lang w:eastAsia="en-US"/>
        </w:rPr>
        <w:lastRenderedPageBreak/>
        <w:t>lineage and viral strai</w:t>
      </w:r>
      <w:r>
        <w:rPr>
          <w:lang w:eastAsia="en-US"/>
        </w:rPr>
        <w:t>n. For example, the EPC cell line may be more susceptible to VHSV genotype IV isolates than to type I to III isolates (OIE 2013b).</w:t>
      </w:r>
    </w:p>
    <w:p w:rsidR="00D25EFC" w:rsidRDefault="00A27A2B">
      <w:pPr>
        <w:pStyle w:val="Normalindent"/>
      </w:pPr>
      <w:r>
        <w:t xml:space="preserve">Detection of the virus through a viral cytopathic effect (CPE) in the cell culture is followed by virus identification using </w:t>
      </w:r>
      <w:r>
        <w:t xml:space="preserve">either antibody-based assays (e.g. neutralisation, immunofluorescence, enzyme-linked immunosorbent assay [ELISA] and immunoperoxidase staining) or nucleic acid-based assays, including </w:t>
      </w:r>
      <w:r>
        <w:rPr>
          <w:rFonts w:cs="GulliverRM"/>
          <w:lang w:eastAsia="en-US"/>
        </w:rPr>
        <w:t xml:space="preserve">RT-PCR </w:t>
      </w:r>
      <w:r>
        <w:t xml:space="preserve">and quantitative RT-PCR (qRT-PCR) (OIE 2013b). </w:t>
      </w:r>
      <w:r>
        <w:rPr>
          <w:rFonts w:cs="GulliverRM"/>
          <w:lang w:eastAsia="en-US"/>
        </w:rPr>
        <w:t>The advantage of q</w:t>
      </w:r>
      <w:r>
        <w:rPr>
          <w:rFonts w:cs="GulliverRM"/>
          <w:lang w:eastAsia="en-US"/>
        </w:rPr>
        <w:t>RT-PCR over traditional RT-PCR-based procedures is that qRT-PCR is generally more sensitive and viral loads can be quantified. The time to confirmation of results is also reduced when using qRT-PCR, since additional techniques such as electrophoresis, Sout</w:t>
      </w:r>
      <w:r>
        <w:rPr>
          <w:rFonts w:cs="GulliverRM"/>
          <w:lang w:eastAsia="en-US"/>
        </w:rPr>
        <w:t>hern blot hybridisation and/or nested PCR are not required</w:t>
      </w:r>
      <w:r>
        <w:t xml:space="preserve"> (Chico et al. 2006, </w:t>
      </w:r>
      <w:r>
        <w:rPr>
          <w:rFonts w:cs="Arial"/>
          <w:lang w:eastAsia="en-US"/>
        </w:rPr>
        <w:t xml:space="preserve">Matejusova et al. 2008, </w:t>
      </w:r>
      <w:r>
        <w:t xml:space="preserve">Cutrin et al. 2009, OIE 2013b). </w:t>
      </w:r>
      <w:r>
        <w:rPr>
          <w:rFonts w:cs="Arial"/>
          <w:lang w:eastAsia="en-US"/>
        </w:rPr>
        <w:t>Immunof</w:t>
      </w:r>
      <w:r>
        <w:t>luorescence assays, ELISA, immunohistochemistry, RT-PCR and qRT-PCR are rapid diagnostic techniques suitable for o</w:t>
      </w:r>
      <w:r>
        <w:t>btaining presumptive evidence of VHSV in infected tissues or homogenates. The virus is most abundant in the kidney, spleen and heart. Confirmatory testing for VHSV in Australia must be done by the Commonwealth Scientific and Industrial Research Organisatio</w:t>
      </w:r>
      <w:r>
        <w:t>n (CSIRO) Australian Animal Health Laboratory (AAHL) in Geelong. The detection and identification of VHSV at the AAHL and procedures for the correct submission of specimens are provided in Appendix 3.</w:t>
      </w:r>
    </w:p>
    <w:p w:rsidR="00D25EFC" w:rsidRDefault="00A27A2B">
      <w:pPr>
        <w:pStyle w:val="Normalindent"/>
      </w:pPr>
      <w:r>
        <w:t>The presence of VHSV can usually be confirmed in a subm</w:t>
      </w:r>
      <w:r>
        <w:t>itted sample within days, depending on the original virus titre in the sample. The genotype to which the isolate belongs can also be determined within days. Genotyping can help to more quickly determine where the isolate may have come from and can signific</w:t>
      </w:r>
      <w:r>
        <w:t>antly help an epidemiological investigation. Subclinical carriers of VHSV can be difficult to detect and are problematic for the control of this disease (OIE 2013b).</w:t>
      </w:r>
    </w:p>
    <w:p w:rsidR="00D25EFC" w:rsidRDefault="00A27A2B">
      <w:pPr>
        <w:pStyle w:val="Heading6"/>
      </w:pPr>
      <w:r>
        <w:t>Detection of VHSV in the environment</w:t>
      </w:r>
    </w:p>
    <w:p w:rsidR="00D25EFC" w:rsidRDefault="00A27A2B">
      <w:pPr>
        <w:pStyle w:val="Normalindent"/>
      </w:pPr>
      <w:r>
        <w:t>VHSV can be cultured from marine and fresh water, alt</w:t>
      </w:r>
      <w:r>
        <w:t>hough isolation can be difficult due to large dilution factors. Water samples can be concentrated to increase the probability of detecting VHSV (Watanabe et al. 1988), but the development of RT-PCR and qRT-PCR assays have increased the likelihood of detect</w:t>
      </w:r>
      <w:r>
        <w:t xml:space="preserve">ion of VHSV in environmental samples (Chico et al. 2006, </w:t>
      </w:r>
      <w:r>
        <w:rPr>
          <w:rFonts w:cs="Arial"/>
          <w:lang w:eastAsia="en-US"/>
        </w:rPr>
        <w:t xml:space="preserve">Matejusova et al. 2008, </w:t>
      </w:r>
      <w:r>
        <w:t>Cutrin et al. 2009, Bain et al. 2010).</w:t>
      </w:r>
    </w:p>
    <w:p w:rsidR="00D25EFC" w:rsidRDefault="00A27A2B">
      <w:pPr>
        <w:pStyle w:val="Heading6"/>
      </w:pPr>
      <w:r>
        <w:t>Transport of specimens</w:t>
      </w:r>
    </w:p>
    <w:p w:rsidR="00D25EFC" w:rsidRDefault="00A27A2B">
      <w:pPr>
        <w:pStyle w:val="Normalindent"/>
      </w:pPr>
      <w:r>
        <w:t xml:space="preserve">Suspect fish specimens should initially be sent to the state or territory diagnostic laboratory. After obtaining </w:t>
      </w:r>
      <w:r>
        <w:t>the necessary clearance from the CVO of the state or territory of the disease outbreak and informing the CVO of Victoria, specimens should then be forwarded to the AAHL for emergency disease testing.</w:t>
      </w:r>
    </w:p>
    <w:p w:rsidR="00D25EFC" w:rsidRDefault="00A27A2B">
      <w:pPr>
        <w:pStyle w:val="Heading5"/>
      </w:pPr>
      <w:bookmarkStart w:id="41" w:name="_Toc402970328"/>
      <w:bookmarkStart w:id="42" w:name="_Toc408836302"/>
      <w:r>
        <w:t>Differential diagnosis</w:t>
      </w:r>
      <w:bookmarkEnd w:id="41"/>
      <w:bookmarkEnd w:id="42"/>
    </w:p>
    <w:p w:rsidR="00D25EFC" w:rsidRDefault="00A27A2B">
      <w:pPr>
        <w:pStyle w:val="Normalindent"/>
      </w:pPr>
      <w:r>
        <w:t>There are several differential di</w:t>
      </w:r>
      <w:r>
        <w:t xml:space="preserve">agnoses for VHS (Table 1). Infection with VHSV can only be confirmed by laboratory testing and should be considered when mortality of fish (freshwater or marine species) is observed in conjunction with haemorrhaging of tissues including the liver, muscle, </w:t>
      </w:r>
      <w:r>
        <w:t>brain and heart. Observation of neurological signs, such as spiralling, should reinforce the urgency for laboratory testing of specimens.</w:t>
      </w:r>
    </w:p>
    <w:p w:rsidR="00D25EFC" w:rsidRDefault="00A27A2B">
      <w:pPr>
        <w:pStyle w:val="Heading4"/>
      </w:pPr>
      <w:bookmarkStart w:id="43" w:name="_Toc402970329"/>
      <w:bookmarkStart w:id="44" w:name="_Toc408836303"/>
      <w:r>
        <w:t>Resistance and immunity</w:t>
      </w:r>
      <w:bookmarkEnd w:id="43"/>
      <w:bookmarkEnd w:id="44"/>
    </w:p>
    <w:p w:rsidR="00D25EFC" w:rsidRDefault="00A27A2B">
      <w:pPr>
        <w:pStyle w:val="Normalindent"/>
      </w:pPr>
      <w:r>
        <w:t>Innate fish defence mechanisms against VHS include:</w:t>
      </w:r>
    </w:p>
    <w:p w:rsidR="00D25EFC" w:rsidRDefault="00A27A2B">
      <w:pPr>
        <w:pStyle w:val="List"/>
      </w:pPr>
      <w:r>
        <w:lastRenderedPageBreak/>
        <w:t>physical barriers (scales, skin and associ</w:t>
      </w:r>
      <w:r>
        <w:t>ated mucous layers)</w:t>
      </w:r>
    </w:p>
    <w:p w:rsidR="00D25EFC" w:rsidRDefault="00A27A2B">
      <w:pPr>
        <w:pStyle w:val="List"/>
      </w:pPr>
      <w:r>
        <w:t>bioactive molecules (lysozyme and other bacteriolytic enzymes, often found within mucous layers)</w:t>
      </w:r>
    </w:p>
    <w:p w:rsidR="00D25EFC" w:rsidRDefault="00A27A2B">
      <w:pPr>
        <w:pStyle w:val="List"/>
      </w:pPr>
      <w:r>
        <w:t>nonspecific cytotoxic cells capable of destroying virus-infected cells</w:t>
      </w:r>
    </w:p>
    <w:p w:rsidR="00D25EFC" w:rsidRDefault="00A27A2B">
      <w:pPr>
        <w:pStyle w:val="List"/>
      </w:pPr>
      <w:r>
        <w:t>interferon production.</w:t>
      </w:r>
    </w:p>
    <w:p w:rsidR="00D25EFC" w:rsidRDefault="00A27A2B">
      <w:pPr>
        <w:pStyle w:val="Heading5"/>
      </w:pPr>
      <w:bookmarkStart w:id="45" w:name="_Toc402970330"/>
      <w:bookmarkStart w:id="46" w:name="_Toc408836304"/>
      <w:r>
        <w:t>Innate (nonspecific) immunity</w:t>
      </w:r>
      <w:bookmarkEnd w:id="45"/>
      <w:bookmarkEnd w:id="46"/>
    </w:p>
    <w:p w:rsidR="00D25EFC" w:rsidRDefault="00A27A2B">
      <w:pPr>
        <w:pStyle w:val="Normalindent"/>
      </w:pPr>
      <w:r>
        <w:t>Antiviral cytotoxic cells have been shown in fish (Ellis 2001) and are capable of destroying infected cells before viral replication. The production of interferon peaked three days after VHSV infection in rainbow trout (Dorson et al. 1994). The rapid innat</w:t>
      </w:r>
      <w:r>
        <w:t xml:space="preserve">e response helps to provide some protection until the active (acquired) immune defences respond to the infection. </w:t>
      </w:r>
    </w:p>
    <w:p w:rsidR="00D25EFC" w:rsidRDefault="00A27A2B">
      <w:pPr>
        <w:pStyle w:val="Heading5"/>
      </w:pPr>
      <w:bookmarkStart w:id="47" w:name="_Toc402970331"/>
      <w:bookmarkStart w:id="48" w:name="_Toc408836305"/>
      <w:r>
        <w:t>Adaptive (specific) immunity</w:t>
      </w:r>
      <w:bookmarkEnd w:id="47"/>
      <w:bookmarkEnd w:id="48"/>
    </w:p>
    <w:p w:rsidR="00D25EFC" w:rsidRDefault="00A27A2B">
      <w:pPr>
        <w:pStyle w:val="Normalindent"/>
      </w:pPr>
      <w:r>
        <w:t>Resistance to reinfection has been shown in survivors of VHS (Hershberger et al. 2007, OIE 2013b). Temperature h</w:t>
      </w:r>
      <w:r>
        <w:t>as a profound effect on the development of active immunity. Fish exposed to the virus at 15°C can usually recover if water temperatures are raised to 20°C or 25</w:t>
      </w:r>
      <w:bookmarkStart w:id="49" w:name="OLE_LINK7"/>
      <w:bookmarkStart w:id="50" w:name="OLE_LINK8"/>
      <w:r>
        <w:t>°C</w:t>
      </w:r>
      <w:bookmarkEnd w:id="49"/>
      <w:bookmarkEnd w:id="50"/>
      <w:r>
        <w:t xml:space="preserve"> (Goodwin and Merry 2010). </w:t>
      </w:r>
      <w:r>
        <w:rPr>
          <w:rFonts w:cs="Arial"/>
          <w:lang w:eastAsia="en-US"/>
        </w:rPr>
        <w:t>Infection often results in the development of protective immunity i</w:t>
      </w:r>
      <w:r>
        <w:rPr>
          <w:rFonts w:cs="Arial"/>
          <w:lang w:eastAsia="en-US"/>
        </w:rPr>
        <w:t xml:space="preserve">n fish populations living in VHSV-endemic areas, particularly where the disease is present in populations of young, VHSV-naïve fish (OIE 2013b). </w:t>
      </w:r>
      <w:r>
        <w:t>It has been suggested that VHSV antibodies are both neutralising (i.e. reacting with a few epitopes on the glyc</w:t>
      </w:r>
      <w:r>
        <w:t>oprotein of the virus) and non-neutralising (i.e. directed against virus protein), and that non-neutralising antibodies persist longer in fish than neutralising antibodies (Olesen et al. 1991). Neutralising antibodies have been shown in recovering trout. T</w:t>
      </w:r>
      <w:r>
        <w:t>he time for this antibody response to develop can vary substantially (e.g. in 130 g trout, the response time was approximately 4–10 weeks) (Olesen et al. 1986, 1991).</w:t>
      </w:r>
    </w:p>
    <w:p w:rsidR="00D25EFC" w:rsidRDefault="00A27A2B">
      <w:pPr>
        <w:pStyle w:val="Caption"/>
      </w:pPr>
      <w:bookmarkStart w:id="51" w:name="_Ref408308703"/>
      <w:bookmarkStart w:id="52" w:name="_Toc408393629"/>
      <w:r>
        <w:t xml:space="preserve">Table </w:t>
      </w:r>
      <w:fldSimple w:instr=" SEQ Table \* ARABIC ">
        <w:r>
          <w:rPr>
            <w:noProof/>
          </w:rPr>
          <w:t>1</w:t>
        </w:r>
      </w:fldSimple>
      <w:bookmarkEnd w:id="51"/>
      <w:r>
        <w:tab/>
        <w:t>Differential diagnoses for viral haemorrhagic septicaemia</w:t>
      </w:r>
      <w:bookmarkEnd w:id="52"/>
    </w:p>
    <w:tbl>
      <w:tblPr>
        <w:tblW w:w="10140" w:type="dxa"/>
        <w:tblInd w:w="-492"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1E0"/>
      </w:tblPr>
      <w:tblGrid>
        <w:gridCol w:w="1593"/>
        <w:gridCol w:w="1650"/>
        <w:gridCol w:w="1179"/>
        <w:gridCol w:w="1707"/>
        <w:gridCol w:w="1842"/>
        <w:gridCol w:w="2169"/>
      </w:tblGrid>
      <w:tr w:rsidR="00D25EFC" w:rsidTr="00D25EFC">
        <w:trPr>
          <w:tblHeader/>
        </w:trPr>
        <w:tc>
          <w:tcPr>
            <w:tcW w:w="1593" w:type="dxa"/>
            <w:tcBorders>
              <w:top w:val="single" w:sz="4" w:space="0" w:color="auto"/>
              <w:bottom w:val="single" w:sz="4" w:space="0" w:color="auto"/>
            </w:tcBorders>
            <w:vAlign w:val="bottom"/>
          </w:tcPr>
          <w:p w:rsidR="00D25EFC" w:rsidRDefault="00A27A2B">
            <w:pPr>
              <w:pStyle w:val="Tabletextcolumnheading"/>
            </w:pPr>
            <w:r>
              <w:t>Disorder</w:t>
            </w:r>
          </w:p>
        </w:tc>
        <w:tc>
          <w:tcPr>
            <w:tcW w:w="1650" w:type="dxa"/>
            <w:tcBorders>
              <w:top w:val="single" w:sz="4" w:space="0" w:color="auto"/>
              <w:bottom w:val="single" w:sz="4" w:space="0" w:color="auto"/>
            </w:tcBorders>
            <w:vAlign w:val="bottom"/>
          </w:tcPr>
          <w:p w:rsidR="00D25EFC" w:rsidRDefault="00A27A2B">
            <w:pPr>
              <w:pStyle w:val="Tabletextcolumnheading"/>
            </w:pPr>
            <w:r>
              <w:t>Pathogen</w:t>
            </w:r>
          </w:p>
        </w:tc>
        <w:tc>
          <w:tcPr>
            <w:tcW w:w="1179" w:type="dxa"/>
            <w:tcBorders>
              <w:top w:val="single" w:sz="4" w:space="0" w:color="auto"/>
              <w:bottom w:val="single" w:sz="4" w:space="0" w:color="auto"/>
            </w:tcBorders>
            <w:vAlign w:val="bottom"/>
          </w:tcPr>
          <w:p w:rsidR="00D25EFC" w:rsidRDefault="00A27A2B">
            <w:pPr>
              <w:pStyle w:val="Tabletextcolumnheading"/>
            </w:pPr>
            <w:r>
              <w:t>In Australia</w:t>
            </w:r>
          </w:p>
        </w:tc>
        <w:tc>
          <w:tcPr>
            <w:tcW w:w="1707" w:type="dxa"/>
            <w:tcBorders>
              <w:top w:val="single" w:sz="4" w:space="0" w:color="auto"/>
              <w:bottom w:val="single" w:sz="4" w:space="0" w:color="auto"/>
            </w:tcBorders>
            <w:vAlign w:val="bottom"/>
          </w:tcPr>
          <w:p w:rsidR="00D25EFC" w:rsidRDefault="00A27A2B">
            <w:pPr>
              <w:pStyle w:val="Tabletextcolumnheading"/>
            </w:pPr>
            <w:r>
              <w:t>Species affected</w:t>
            </w:r>
          </w:p>
        </w:tc>
        <w:tc>
          <w:tcPr>
            <w:tcW w:w="1842" w:type="dxa"/>
            <w:tcBorders>
              <w:top w:val="single" w:sz="4" w:space="0" w:color="auto"/>
              <w:bottom w:val="single" w:sz="4" w:space="0" w:color="auto"/>
            </w:tcBorders>
            <w:vAlign w:val="bottom"/>
          </w:tcPr>
          <w:p w:rsidR="00D25EFC" w:rsidRDefault="00A27A2B">
            <w:pPr>
              <w:pStyle w:val="Tabletextcolumnheading"/>
            </w:pPr>
            <w:r>
              <w:t>Clinical signs</w:t>
            </w:r>
          </w:p>
        </w:tc>
        <w:tc>
          <w:tcPr>
            <w:tcW w:w="2169" w:type="dxa"/>
            <w:tcBorders>
              <w:top w:val="single" w:sz="4" w:space="0" w:color="auto"/>
              <w:bottom w:val="single" w:sz="4" w:space="0" w:color="auto"/>
            </w:tcBorders>
            <w:vAlign w:val="bottom"/>
          </w:tcPr>
          <w:p w:rsidR="00D25EFC" w:rsidRDefault="00A27A2B">
            <w:pPr>
              <w:pStyle w:val="Tabletextcolumnheading"/>
            </w:pPr>
            <w:r>
              <w:t>Diagnostic tests</w:t>
            </w:r>
          </w:p>
        </w:tc>
      </w:tr>
      <w:tr w:rsidR="00D25EFC" w:rsidTr="00D25EFC">
        <w:trPr>
          <w:trHeight w:val="1459"/>
        </w:trPr>
        <w:tc>
          <w:tcPr>
            <w:tcW w:w="1593" w:type="dxa"/>
            <w:tcBorders>
              <w:top w:val="single" w:sz="4" w:space="0" w:color="auto"/>
            </w:tcBorders>
          </w:tcPr>
          <w:p w:rsidR="00D25EFC" w:rsidRDefault="00A27A2B">
            <w:pPr>
              <w:pStyle w:val="tabletext"/>
            </w:pPr>
            <w:r>
              <w:t>Epizootic haematopoietic necrosis</w:t>
            </w:r>
          </w:p>
        </w:tc>
        <w:tc>
          <w:tcPr>
            <w:tcW w:w="1650" w:type="dxa"/>
            <w:tcBorders>
              <w:top w:val="single" w:sz="4" w:space="0" w:color="auto"/>
            </w:tcBorders>
          </w:tcPr>
          <w:p w:rsidR="00D25EFC" w:rsidRDefault="00A27A2B">
            <w:pPr>
              <w:pStyle w:val="tabletext"/>
            </w:pPr>
            <w:r>
              <w:t>Epizootic haematopoietic necrosis virus</w:t>
            </w:r>
          </w:p>
        </w:tc>
        <w:tc>
          <w:tcPr>
            <w:tcW w:w="1179" w:type="dxa"/>
            <w:tcBorders>
              <w:top w:val="single" w:sz="4" w:space="0" w:color="auto"/>
            </w:tcBorders>
          </w:tcPr>
          <w:p w:rsidR="00D25EFC" w:rsidRDefault="00A27A2B">
            <w:pPr>
              <w:pStyle w:val="tabletext"/>
            </w:pPr>
            <w:r>
              <w:t>Yes</w:t>
            </w:r>
          </w:p>
        </w:tc>
        <w:tc>
          <w:tcPr>
            <w:tcW w:w="1707" w:type="dxa"/>
            <w:tcBorders>
              <w:top w:val="single" w:sz="4" w:space="0" w:color="auto"/>
            </w:tcBorders>
          </w:tcPr>
          <w:p w:rsidR="00D25EFC" w:rsidRDefault="00A27A2B">
            <w:pPr>
              <w:pStyle w:val="tabletext"/>
            </w:pPr>
            <w:r>
              <w:t xml:space="preserve">Redfin perch, salmonids, Macquarie perch, Murray cod and others </w:t>
            </w:r>
          </w:p>
        </w:tc>
        <w:tc>
          <w:tcPr>
            <w:tcW w:w="1842" w:type="dxa"/>
            <w:tcBorders>
              <w:top w:val="single" w:sz="4" w:space="0" w:color="auto"/>
            </w:tcBorders>
          </w:tcPr>
          <w:p w:rsidR="00D25EFC" w:rsidRDefault="00A27A2B">
            <w:pPr>
              <w:pStyle w:val="tabletext"/>
            </w:pPr>
            <w:r>
              <w:t xml:space="preserve">Haemorrhage, necrosis, </w:t>
            </w:r>
            <w:r>
              <w:t>epizootics in redfin perch</w:t>
            </w:r>
          </w:p>
        </w:tc>
        <w:tc>
          <w:tcPr>
            <w:tcW w:w="2169" w:type="dxa"/>
            <w:tcBorders>
              <w:top w:val="single" w:sz="4" w:space="0" w:color="auto"/>
            </w:tcBorders>
          </w:tcPr>
          <w:p w:rsidR="00D25EFC" w:rsidRDefault="00A27A2B">
            <w:pPr>
              <w:pStyle w:val="tabletext"/>
            </w:pPr>
            <w:r>
              <w:t>Cell culture, immunodiagnostics, histopathology, PCR</w:t>
            </w:r>
          </w:p>
        </w:tc>
      </w:tr>
      <w:tr w:rsidR="00D25EFC" w:rsidTr="00D25EFC">
        <w:tc>
          <w:tcPr>
            <w:tcW w:w="1593" w:type="dxa"/>
          </w:tcPr>
          <w:p w:rsidR="00D25EFC" w:rsidRDefault="00A27A2B">
            <w:pPr>
              <w:pStyle w:val="tabletext"/>
            </w:pPr>
            <w:r>
              <w:t>Infectious haematopoietic necrosis</w:t>
            </w:r>
          </w:p>
        </w:tc>
        <w:tc>
          <w:tcPr>
            <w:tcW w:w="1650" w:type="dxa"/>
          </w:tcPr>
          <w:p w:rsidR="00D25EFC" w:rsidRDefault="00A27A2B">
            <w:pPr>
              <w:pStyle w:val="tabletext"/>
            </w:pPr>
            <w:r>
              <w:t>Infectious haematopoietic necrosis virus</w:t>
            </w:r>
          </w:p>
        </w:tc>
        <w:tc>
          <w:tcPr>
            <w:tcW w:w="1179" w:type="dxa"/>
          </w:tcPr>
          <w:p w:rsidR="00D25EFC" w:rsidRDefault="00A27A2B">
            <w:pPr>
              <w:pStyle w:val="tabletext"/>
            </w:pPr>
            <w:r>
              <w:t>No</w:t>
            </w:r>
          </w:p>
        </w:tc>
        <w:tc>
          <w:tcPr>
            <w:tcW w:w="1707" w:type="dxa"/>
          </w:tcPr>
          <w:p w:rsidR="00D25EFC" w:rsidRDefault="00A27A2B">
            <w:pPr>
              <w:pStyle w:val="tabletext"/>
            </w:pPr>
            <w:r>
              <w:t>Salmonids</w:t>
            </w:r>
          </w:p>
        </w:tc>
        <w:tc>
          <w:tcPr>
            <w:tcW w:w="1842" w:type="dxa"/>
          </w:tcPr>
          <w:p w:rsidR="00D25EFC" w:rsidRDefault="00A27A2B">
            <w:pPr>
              <w:pStyle w:val="tabletext"/>
            </w:pPr>
            <w:r>
              <w:t>Haemorrhage, necrosis</w:t>
            </w:r>
          </w:p>
        </w:tc>
        <w:tc>
          <w:tcPr>
            <w:tcW w:w="2169" w:type="dxa"/>
          </w:tcPr>
          <w:p w:rsidR="00D25EFC" w:rsidRDefault="00A27A2B">
            <w:pPr>
              <w:pStyle w:val="tabletext"/>
            </w:pPr>
            <w:r>
              <w:t>Cell culture, immunodiagnostics, histopathology, PCR</w:t>
            </w:r>
          </w:p>
        </w:tc>
      </w:tr>
      <w:tr w:rsidR="00D25EFC" w:rsidTr="00D25EFC">
        <w:tc>
          <w:tcPr>
            <w:tcW w:w="1593" w:type="dxa"/>
          </w:tcPr>
          <w:p w:rsidR="00D25EFC" w:rsidRDefault="00A27A2B">
            <w:pPr>
              <w:pStyle w:val="tabletext"/>
            </w:pPr>
            <w:r>
              <w:t>Infectious</w:t>
            </w:r>
            <w:r>
              <w:t xml:space="preserve"> pancreatic necrosis</w:t>
            </w:r>
          </w:p>
        </w:tc>
        <w:tc>
          <w:tcPr>
            <w:tcW w:w="1650" w:type="dxa"/>
          </w:tcPr>
          <w:p w:rsidR="00D25EFC" w:rsidRDefault="00A27A2B">
            <w:pPr>
              <w:pStyle w:val="tabletext"/>
            </w:pPr>
            <w:r>
              <w:t>Infectious pancreatic necrosis virus</w:t>
            </w:r>
          </w:p>
        </w:tc>
        <w:tc>
          <w:tcPr>
            <w:tcW w:w="1179" w:type="dxa"/>
          </w:tcPr>
          <w:p w:rsidR="00D25EFC" w:rsidRDefault="00A27A2B">
            <w:pPr>
              <w:pStyle w:val="tabletext"/>
            </w:pPr>
            <w:r>
              <w:t>No</w:t>
            </w:r>
            <w:r>
              <w:rPr>
                <w:szCs w:val="24"/>
              </w:rPr>
              <w:t>*</w:t>
            </w:r>
          </w:p>
        </w:tc>
        <w:tc>
          <w:tcPr>
            <w:tcW w:w="1707" w:type="dxa"/>
          </w:tcPr>
          <w:p w:rsidR="00D25EFC" w:rsidRDefault="00A27A2B">
            <w:pPr>
              <w:pStyle w:val="tabletext"/>
            </w:pPr>
            <w:r>
              <w:t>Salmonids, flatfish</w:t>
            </w:r>
          </w:p>
        </w:tc>
        <w:tc>
          <w:tcPr>
            <w:tcW w:w="1842" w:type="dxa"/>
          </w:tcPr>
          <w:p w:rsidR="00D25EFC" w:rsidRDefault="00A27A2B">
            <w:pPr>
              <w:pStyle w:val="tabletext"/>
            </w:pPr>
            <w:r>
              <w:t>Extended abdomen, ascites, spiralling, high mortality</w:t>
            </w:r>
          </w:p>
        </w:tc>
        <w:tc>
          <w:tcPr>
            <w:tcW w:w="2169" w:type="dxa"/>
          </w:tcPr>
          <w:p w:rsidR="00D25EFC" w:rsidRDefault="00A27A2B">
            <w:pPr>
              <w:pStyle w:val="tabletext"/>
            </w:pPr>
            <w:r>
              <w:t>Cell culture, immunodiagnostics, histopathology, PCR</w:t>
            </w:r>
          </w:p>
        </w:tc>
      </w:tr>
      <w:tr w:rsidR="00D25EFC" w:rsidTr="00D25EFC">
        <w:tc>
          <w:tcPr>
            <w:tcW w:w="1593" w:type="dxa"/>
          </w:tcPr>
          <w:p w:rsidR="00D25EFC" w:rsidRDefault="00A27A2B">
            <w:pPr>
              <w:pStyle w:val="tabletext"/>
              <w:rPr>
                <w:szCs w:val="22"/>
              </w:rPr>
            </w:pPr>
            <w:r>
              <w:rPr>
                <w:szCs w:val="22"/>
              </w:rPr>
              <w:t>Bacterial septicaemia</w:t>
            </w:r>
          </w:p>
        </w:tc>
        <w:tc>
          <w:tcPr>
            <w:tcW w:w="1650" w:type="dxa"/>
          </w:tcPr>
          <w:p w:rsidR="00D25EFC" w:rsidRDefault="00A27A2B">
            <w:pPr>
              <w:pStyle w:val="tabletext"/>
              <w:rPr>
                <w:szCs w:val="22"/>
              </w:rPr>
            </w:pPr>
            <w:r>
              <w:rPr>
                <w:szCs w:val="22"/>
              </w:rPr>
              <w:t>Various types of bacteria</w:t>
            </w:r>
          </w:p>
        </w:tc>
        <w:tc>
          <w:tcPr>
            <w:tcW w:w="1179" w:type="dxa"/>
          </w:tcPr>
          <w:p w:rsidR="00D25EFC" w:rsidRDefault="00A27A2B">
            <w:pPr>
              <w:pStyle w:val="tabletext"/>
              <w:rPr>
                <w:szCs w:val="22"/>
              </w:rPr>
            </w:pPr>
            <w:r>
              <w:rPr>
                <w:szCs w:val="22"/>
              </w:rPr>
              <w:t>Yes</w:t>
            </w:r>
          </w:p>
        </w:tc>
        <w:tc>
          <w:tcPr>
            <w:tcW w:w="1707" w:type="dxa"/>
          </w:tcPr>
          <w:p w:rsidR="00D25EFC" w:rsidRDefault="00A27A2B">
            <w:pPr>
              <w:pStyle w:val="tabletext"/>
              <w:rPr>
                <w:szCs w:val="22"/>
              </w:rPr>
            </w:pPr>
            <w:r>
              <w:rPr>
                <w:szCs w:val="22"/>
              </w:rPr>
              <w:t xml:space="preserve">All species </w:t>
            </w:r>
          </w:p>
        </w:tc>
        <w:tc>
          <w:tcPr>
            <w:tcW w:w="1842" w:type="dxa"/>
          </w:tcPr>
          <w:p w:rsidR="00D25EFC" w:rsidRDefault="00A27A2B">
            <w:pPr>
              <w:pStyle w:val="tabletext"/>
              <w:rPr>
                <w:szCs w:val="22"/>
              </w:rPr>
            </w:pPr>
            <w:r>
              <w:rPr>
                <w:szCs w:val="22"/>
              </w:rPr>
              <w:t>H</w:t>
            </w:r>
            <w:r>
              <w:rPr>
                <w:szCs w:val="22"/>
              </w:rPr>
              <w:t>aemorrhage, reddening, extended abdomen, ascites ulcers, abscesses</w:t>
            </w:r>
          </w:p>
        </w:tc>
        <w:tc>
          <w:tcPr>
            <w:tcW w:w="2169" w:type="dxa"/>
          </w:tcPr>
          <w:p w:rsidR="00D25EFC" w:rsidRDefault="00A27A2B">
            <w:pPr>
              <w:pStyle w:val="tabletext"/>
              <w:rPr>
                <w:szCs w:val="22"/>
              </w:rPr>
            </w:pPr>
            <w:r>
              <w:rPr>
                <w:szCs w:val="22"/>
              </w:rPr>
              <w:t>Bacterial isolation with clinical signs, histopathology, PCR</w:t>
            </w:r>
          </w:p>
        </w:tc>
      </w:tr>
      <w:tr w:rsidR="00D25EFC" w:rsidTr="00D25EFC">
        <w:tc>
          <w:tcPr>
            <w:tcW w:w="1593" w:type="dxa"/>
          </w:tcPr>
          <w:p w:rsidR="00D25EFC" w:rsidRDefault="00A27A2B">
            <w:pPr>
              <w:pStyle w:val="tabletext"/>
              <w:rPr>
                <w:szCs w:val="22"/>
              </w:rPr>
            </w:pPr>
            <w:r>
              <w:rPr>
                <w:szCs w:val="22"/>
              </w:rPr>
              <w:t>Infection with rickettsia-like organisms</w:t>
            </w:r>
          </w:p>
        </w:tc>
        <w:tc>
          <w:tcPr>
            <w:tcW w:w="1650" w:type="dxa"/>
          </w:tcPr>
          <w:p w:rsidR="00D25EFC" w:rsidRDefault="00A27A2B">
            <w:pPr>
              <w:pStyle w:val="tabletext"/>
              <w:rPr>
                <w:szCs w:val="22"/>
              </w:rPr>
            </w:pPr>
            <w:r>
              <w:rPr>
                <w:szCs w:val="22"/>
              </w:rPr>
              <w:t>Rickettsia-like organisms</w:t>
            </w:r>
          </w:p>
        </w:tc>
        <w:tc>
          <w:tcPr>
            <w:tcW w:w="1179" w:type="dxa"/>
          </w:tcPr>
          <w:p w:rsidR="00D25EFC" w:rsidRDefault="00A27A2B">
            <w:pPr>
              <w:pStyle w:val="tabletext"/>
              <w:rPr>
                <w:szCs w:val="22"/>
              </w:rPr>
            </w:pPr>
            <w:r>
              <w:rPr>
                <w:szCs w:val="22"/>
              </w:rPr>
              <w:t>Yes</w:t>
            </w:r>
          </w:p>
        </w:tc>
        <w:tc>
          <w:tcPr>
            <w:tcW w:w="1707" w:type="dxa"/>
          </w:tcPr>
          <w:p w:rsidR="00D25EFC" w:rsidRDefault="00A27A2B">
            <w:pPr>
              <w:pStyle w:val="tabletext"/>
              <w:rPr>
                <w:szCs w:val="22"/>
              </w:rPr>
            </w:pPr>
            <w:r>
              <w:rPr>
                <w:szCs w:val="22"/>
              </w:rPr>
              <w:t>Many species, particularly salmonids</w:t>
            </w:r>
          </w:p>
        </w:tc>
        <w:tc>
          <w:tcPr>
            <w:tcW w:w="1842" w:type="dxa"/>
          </w:tcPr>
          <w:p w:rsidR="00D25EFC" w:rsidRDefault="00A27A2B">
            <w:pPr>
              <w:pStyle w:val="tabletext"/>
              <w:rPr>
                <w:szCs w:val="22"/>
              </w:rPr>
            </w:pPr>
            <w:r>
              <w:rPr>
                <w:szCs w:val="22"/>
              </w:rPr>
              <w:t xml:space="preserve">Congestion, </w:t>
            </w:r>
            <w:r>
              <w:rPr>
                <w:szCs w:val="22"/>
              </w:rPr>
              <w:t>haemorrhage, anaemia, ascites</w:t>
            </w:r>
          </w:p>
        </w:tc>
        <w:tc>
          <w:tcPr>
            <w:tcW w:w="2169" w:type="dxa"/>
          </w:tcPr>
          <w:p w:rsidR="00D25EFC" w:rsidRDefault="00A27A2B">
            <w:pPr>
              <w:pStyle w:val="tabletext"/>
              <w:rPr>
                <w:szCs w:val="22"/>
              </w:rPr>
            </w:pPr>
            <w:r>
              <w:rPr>
                <w:szCs w:val="22"/>
              </w:rPr>
              <w:t>Clinical signs, histopathology, PCR</w:t>
            </w:r>
          </w:p>
        </w:tc>
      </w:tr>
      <w:tr w:rsidR="00D25EFC" w:rsidTr="00D25EFC">
        <w:tc>
          <w:tcPr>
            <w:tcW w:w="1593" w:type="dxa"/>
          </w:tcPr>
          <w:p w:rsidR="00D25EFC" w:rsidRDefault="00A27A2B">
            <w:pPr>
              <w:pStyle w:val="tabletext"/>
              <w:rPr>
                <w:szCs w:val="22"/>
              </w:rPr>
            </w:pPr>
            <w:r>
              <w:rPr>
                <w:szCs w:val="22"/>
              </w:rPr>
              <w:lastRenderedPageBreak/>
              <w:t>Whirling disease</w:t>
            </w:r>
          </w:p>
        </w:tc>
        <w:tc>
          <w:tcPr>
            <w:tcW w:w="1650" w:type="dxa"/>
          </w:tcPr>
          <w:p w:rsidR="00D25EFC" w:rsidRPr="00D25EFC" w:rsidRDefault="00D25EFC">
            <w:pPr>
              <w:pStyle w:val="tabletext"/>
              <w:rPr>
                <w:i/>
                <w:szCs w:val="22"/>
              </w:rPr>
            </w:pPr>
            <w:r w:rsidRPr="00D25EFC">
              <w:rPr>
                <w:i/>
                <w:szCs w:val="22"/>
              </w:rPr>
              <w:t>Myxobolus cerebralis</w:t>
            </w:r>
          </w:p>
        </w:tc>
        <w:tc>
          <w:tcPr>
            <w:tcW w:w="1179" w:type="dxa"/>
          </w:tcPr>
          <w:p w:rsidR="00D25EFC" w:rsidRDefault="00A27A2B">
            <w:pPr>
              <w:pStyle w:val="tabletext"/>
              <w:rPr>
                <w:szCs w:val="22"/>
              </w:rPr>
            </w:pPr>
            <w:r>
              <w:rPr>
                <w:szCs w:val="22"/>
              </w:rPr>
              <w:t>No</w:t>
            </w:r>
          </w:p>
        </w:tc>
        <w:tc>
          <w:tcPr>
            <w:tcW w:w="1707" w:type="dxa"/>
          </w:tcPr>
          <w:p w:rsidR="00D25EFC" w:rsidRDefault="00A27A2B">
            <w:pPr>
              <w:pStyle w:val="tabletext"/>
              <w:rPr>
                <w:szCs w:val="22"/>
              </w:rPr>
            </w:pPr>
            <w:r>
              <w:rPr>
                <w:szCs w:val="22"/>
              </w:rPr>
              <w:t>Salmonids (mainly rainbow trout)</w:t>
            </w:r>
          </w:p>
        </w:tc>
        <w:tc>
          <w:tcPr>
            <w:tcW w:w="1842" w:type="dxa"/>
          </w:tcPr>
          <w:p w:rsidR="00D25EFC" w:rsidRDefault="00A27A2B">
            <w:pPr>
              <w:pStyle w:val="tabletext"/>
              <w:rPr>
                <w:szCs w:val="22"/>
              </w:rPr>
            </w:pPr>
            <w:r>
              <w:rPr>
                <w:szCs w:val="22"/>
              </w:rPr>
              <w:t>Discolouration, whirling, deformities</w:t>
            </w:r>
          </w:p>
        </w:tc>
        <w:tc>
          <w:tcPr>
            <w:tcW w:w="2169" w:type="dxa"/>
          </w:tcPr>
          <w:p w:rsidR="00D25EFC" w:rsidRDefault="00A27A2B">
            <w:pPr>
              <w:pStyle w:val="tabletext"/>
              <w:rPr>
                <w:szCs w:val="22"/>
              </w:rPr>
            </w:pPr>
            <w:r>
              <w:rPr>
                <w:szCs w:val="22"/>
              </w:rPr>
              <w:t>Clinical signs, histopathology, PCR</w:t>
            </w:r>
          </w:p>
        </w:tc>
      </w:tr>
      <w:tr w:rsidR="00D25EFC" w:rsidTr="00D25EFC">
        <w:tc>
          <w:tcPr>
            <w:tcW w:w="1593" w:type="dxa"/>
            <w:tcBorders>
              <w:bottom w:val="nil"/>
            </w:tcBorders>
          </w:tcPr>
          <w:p w:rsidR="00D25EFC" w:rsidRDefault="00A27A2B">
            <w:pPr>
              <w:pStyle w:val="tabletext"/>
              <w:rPr>
                <w:szCs w:val="22"/>
              </w:rPr>
            </w:pPr>
            <w:r>
              <w:rPr>
                <w:szCs w:val="22"/>
              </w:rPr>
              <w:t>Epizootic ulcerative syndrome</w:t>
            </w:r>
          </w:p>
        </w:tc>
        <w:tc>
          <w:tcPr>
            <w:tcW w:w="1650" w:type="dxa"/>
            <w:tcBorders>
              <w:bottom w:val="nil"/>
            </w:tcBorders>
          </w:tcPr>
          <w:p w:rsidR="00D25EFC" w:rsidRPr="00D25EFC" w:rsidRDefault="00D25EFC">
            <w:pPr>
              <w:pStyle w:val="tabletext"/>
              <w:rPr>
                <w:i/>
                <w:szCs w:val="22"/>
              </w:rPr>
            </w:pPr>
            <w:r w:rsidRPr="00D25EFC">
              <w:rPr>
                <w:i/>
                <w:szCs w:val="22"/>
              </w:rPr>
              <w:t>Aphanomyces invadans</w:t>
            </w:r>
          </w:p>
        </w:tc>
        <w:tc>
          <w:tcPr>
            <w:tcW w:w="1179" w:type="dxa"/>
            <w:tcBorders>
              <w:bottom w:val="nil"/>
            </w:tcBorders>
          </w:tcPr>
          <w:p w:rsidR="00D25EFC" w:rsidRDefault="00A27A2B">
            <w:pPr>
              <w:pStyle w:val="tabletext"/>
              <w:rPr>
                <w:szCs w:val="22"/>
              </w:rPr>
            </w:pPr>
            <w:r>
              <w:rPr>
                <w:szCs w:val="22"/>
              </w:rPr>
              <w:t>Yes</w:t>
            </w:r>
          </w:p>
        </w:tc>
        <w:tc>
          <w:tcPr>
            <w:tcW w:w="1707" w:type="dxa"/>
            <w:tcBorders>
              <w:bottom w:val="nil"/>
            </w:tcBorders>
          </w:tcPr>
          <w:p w:rsidR="00D25EFC" w:rsidRDefault="00A27A2B">
            <w:pPr>
              <w:pStyle w:val="tabletext"/>
              <w:rPr>
                <w:szCs w:val="22"/>
              </w:rPr>
            </w:pPr>
            <w:r>
              <w:rPr>
                <w:szCs w:val="22"/>
              </w:rPr>
              <w:t>Many species in freshwater and estuarine areas</w:t>
            </w:r>
          </w:p>
        </w:tc>
        <w:tc>
          <w:tcPr>
            <w:tcW w:w="1842" w:type="dxa"/>
            <w:tcBorders>
              <w:bottom w:val="nil"/>
            </w:tcBorders>
          </w:tcPr>
          <w:p w:rsidR="00D25EFC" w:rsidRDefault="00A27A2B">
            <w:pPr>
              <w:pStyle w:val="tabletext"/>
              <w:rPr>
                <w:szCs w:val="22"/>
              </w:rPr>
            </w:pPr>
            <w:r>
              <w:rPr>
                <w:szCs w:val="22"/>
              </w:rPr>
              <w:t xml:space="preserve">External haemorrhages </w:t>
            </w:r>
          </w:p>
        </w:tc>
        <w:tc>
          <w:tcPr>
            <w:tcW w:w="2169" w:type="dxa"/>
            <w:tcBorders>
              <w:bottom w:val="nil"/>
            </w:tcBorders>
          </w:tcPr>
          <w:p w:rsidR="00D25EFC" w:rsidRDefault="00A27A2B">
            <w:pPr>
              <w:pStyle w:val="tabletext"/>
              <w:rPr>
                <w:szCs w:val="22"/>
              </w:rPr>
            </w:pPr>
            <w:r>
              <w:rPr>
                <w:szCs w:val="22"/>
              </w:rPr>
              <w:t>Clinical signs, histopathology, fungal isolation, PCR</w:t>
            </w:r>
          </w:p>
        </w:tc>
      </w:tr>
      <w:tr w:rsidR="00D25EFC" w:rsidTr="00D25EFC">
        <w:tc>
          <w:tcPr>
            <w:tcW w:w="1593" w:type="dxa"/>
            <w:tcBorders>
              <w:top w:val="nil"/>
              <w:bottom w:val="single" w:sz="4" w:space="0" w:color="auto"/>
            </w:tcBorders>
          </w:tcPr>
          <w:p w:rsidR="00D25EFC" w:rsidRDefault="00A27A2B">
            <w:pPr>
              <w:pStyle w:val="tabletext"/>
              <w:rPr>
                <w:szCs w:val="22"/>
              </w:rPr>
            </w:pPr>
            <w:r>
              <w:rPr>
                <w:szCs w:val="22"/>
              </w:rPr>
              <w:t>Osmotic stress</w:t>
            </w:r>
          </w:p>
        </w:tc>
        <w:tc>
          <w:tcPr>
            <w:tcW w:w="1650" w:type="dxa"/>
            <w:tcBorders>
              <w:top w:val="nil"/>
              <w:bottom w:val="single" w:sz="4" w:space="0" w:color="auto"/>
            </w:tcBorders>
          </w:tcPr>
          <w:p w:rsidR="00D25EFC" w:rsidRDefault="00A27A2B">
            <w:pPr>
              <w:pStyle w:val="tabletext"/>
              <w:rPr>
                <w:szCs w:val="22"/>
              </w:rPr>
            </w:pPr>
            <w:r>
              <w:rPr>
                <w:szCs w:val="22"/>
              </w:rPr>
              <w:t>NA</w:t>
            </w:r>
          </w:p>
        </w:tc>
        <w:tc>
          <w:tcPr>
            <w:tcW w:w="1179" w:type="dxa"/>
            <w:tcBorders>
              <w:top w:val="nil"/>
              <w:bottom w:val="single" w:sz="4" w:space="0" w:color="auto"/>
            </w:tcBorders>
          </w:tcPr>
          <w:p w:rsidR="00D25EFC" w:rsidRDefault="00A27A2B">
            <w:pPr>
              <w:pStyle w:val="tabletext"/>
              <w:rPr>
                <w:szCs w:val="22"/>
              </w:rPr>
            </w:pPr>
            <w:r>
              <w:rPr>
                <w:szCs w:val="22"/>
              </w:rPr>
              <w:t>Yes</w:t>
            </w:r>
          </w:p>
        </w:tc>
        <w:tc>
          <w:tcPr>
            <w:tcW w:w="1707" w:type="dxa"/>
            <w:tcBorders>
              <w:top w:val="nil"/>
              <w:bottom w:val="single" w:sz="4" w:space="0" w:color="auto"/>
            </w:tcBorders>
          </w:tcPr>
          <w:p w:rsidR="00D25EFC" w:rsidRDefault="00A27A2B">
            <w:pPr>
              <w:pStyle w:val="tabletext"/>
              <w:rPr>
                <w:szCs w:val="22"/>
              </w:rPr>
            </w:pPr>
            <w:r>
              <w:rPr>
                <w:szCs w:val="22"/>
              </w:rPr>
              <w:t>All species</w:t>
            </w:r>
          </w:p>
        </w:tc>
        <w:tc>
          <w:tcPr>
            <w:tcW w:w="1842" w:type="dxa"/>
            <w:tcBorders>
              <w:top w:val="nil"/>
              <w:bottom w:val="single" w:sz="4" w:space="0" w:color="auto"/>
            </w:tcBorders>
          </w:tcPr>
          <w:p w:rsidR="00D25EFC" w:rsidRDefault="00A27A2B">
            <w:pPr>
              <w:pStyle w:val="tabletext"/>
              <w:rPr>
                <w:szCs w:val="22"/>
              </w:rPr>
            </w:pPr>
            <w:r>
              <w:rPr>
                <w:szCs w:val="22"/>
              </w:rPr>
              <w:t>Bloody ascitic fluid</w:t>
            </w:r>
          </w:p>
        </w:tc>
        <w:tc>
          <w:tcPr>
            <w:tcW w:w="2169" w:type="dxa"/>
            <w:tcBorders>
              <w:top w:val="nil"/>
              <w:bottom w:val="single" w:sz="4" w:space="0" w:color="auto"/>
            </w:tcBorders>
          </w:tcPr>
          <w:p w:rsidR="00D25EFC" w:rsidRDefault="00A27A2B">
            <w:pPr>
              <w:pStyle w:val="tabletext"/>
              <w:rPr>
                <w:szCs w:val="22"/>
              </w:rPr>
            </w:pPr>
            <w:r>
              <w:rPr>
                <w:szCs w:val="22"/>
              </w:rPr>
              <w:t xml:space="preserve">History (e.g. recent transfer in salmon smolts), absence of pathogenic organisms </w:t>
            </w:r>
          </w:p>
        </w:tc>
      </w:tr>
      <w:tr w:rsidR="00D25EFC">
        <w:tc>
          <w:tcPr>
            <w:tcW w:w="10140" w:type="dxa"/>
            <w:gridSpan w:val="6"/>
            <w:tcBorders>
              <w:top w:val="single" w:sz="4" w:space="0" w:color="auto"/>
            </w:tcBorders>
          </w:tcPr>
          <w:p w:rsidR="00D25EFC" w:rsidRDefault="00A27A2B">
            <w:pPr>
              <w:pStyle w:val="note"/>
            </w:pPr>
            <w:r>
              <w:t xml:space="preserve">* Acute IPN has not been recorded in Australia, but a related aquatic birnavirus is endemic to parts of Tasmania (Crane et al. 2000). PCR  = polymerase chain reaction. </w:t>
            </w:r>
            <w:r>
              <w:t>NA = not applicable.</w:t>
            </w:r>
          </w:p>
        </w:tc>
      </w:tr>
    </w:tbl>
    <w:p w:rsidR="00D25EFC" w:rsidRDefault="00A27A2B">
      <w:pPr>
        <w:pStyle w:val="Heading5"/>
      </w:pPr>
      <w:bookmarkStart w:id="53" w:name="_Toc402970332"/>
      <w:bookmarkStart w:id="54" w:name="_Toc408836306"/>
      <w:r>
        <w:t>Vaccination</w:t>
      </w:r>
      <w:bookmarkEnd w:id="53"/>
      <w:bookmarkEnd w:id="54"/>
    </w:p>
    <w:p w:rsidR="00D25EFC" w:rsidRDefault="00A27A2B">
      <w:pPr>
        <w:pStyle w:val="Normalindent"/>
      </w:pPr>
      <w:r>
        <w:t>At the time of publication, there are no commercially available VHS vaccines, but DNA-based vaccine technology has been proven to be highly effective in stimulating specific and nonspecific immunity under experimental conditions (Ortega-Villaizan et al. 20</w:t>
      </w:r>
      <w:r>
        <w:t>09, Chico et al. 2009), although protection may be influenced by variables such as water temperature (Lorenzen et al. 2009). There have been several attempts to develop vaccines. Despite their ability to induce efficient protection under experimental condi</w:t>
      </w:r>
      <w:r>
        <w:t>tions, live vaccines are, so far, unsafe for field use, and inactivated vaccines require high doses. Different recombinant subunit vaccines based on the VHSV membrane glycoprotein have been less successful, but DNA vaccines encoding the same viral glycopro</w:t>
      </w:r>
      <w:r>
        <w:t xml:space="preserve">teins have been developed and can provide protection when used in small doses (as little as 10 ng in trout fry) as early as 4–8 days, for up to 2 years after vaccination (Lorenzen et al. 1993, Lecocq-Xhonneux et al. 1994, Anderson et al. 1996, Lorenzen et </w:t>
      </w:r>
      <w:r>
        <w:t>al. 1998, Kim et al. 2000, Lorenzen et al. 2000, Sommerset et al. 2003). RNA interference (RNAi) holds promise for reducing future impacts of VHSV (Ruiz et al. 2009).</w:t>
      </w:r>
    </w:p>
    <w:p w:rsidR="00D25EFC" w:rsidRDefault="00A27A2B">
      <w:pPr>
        <w:pStyle w:val="Heading4"/>
      </w:pPr>
      <w:bookmarkStart w:id="55" w:name="_Toc402970333"/>
      <w:bookmarkStart w:id="56" w:name="_Toc408836307"/>
      <w:r>
        <w:t>Epidemiology</w:t>
      </w:r>
      <w:bookmarkEnd w:id="55"/>
      <w:bookmarkEnd w:id="56"/>
    </w:p>
    <w:p w:rsidR="00D25EFC" w:rsidRDefault="00A27A2B">
      <w:pPr>
        <w:pStyle w:val="Heading5"/>
      </w:pPr>
      <w:bookmarkStart w:id="57" w:name="_Toc402970334"/>
      <w:bookmarkStart w:id="58" w:name="_Toc408836308"/>
      <w:r>
        <w:t>Transmission and incubation period</w:t>
      </w:r>
      <w:bookmarkEnd w:id="57"/>
      <w:bookmarkEnd w:id="58"/>
    </w:p>
    <w:p w:rsidR="00D25EFC" w:rsidRDefault="00A27A2B">
      <w:pPr>
        <w:pStyle w:val="Normalindent"/>
      </w:pPr>
      <w:r>
        <w:t xml:space="preserve">Transmission occurs horizontally through water, with excretion of virus in the urine. There is no indication or evidence of true vertical transmission of VHSV </w:t>
      </w:r>
      <w:r>
        <w:rPr>
          <w:rFonts w:cs="Arial"/>
          <w:lang w:eastAsia="en-US"/>
        </w:rPr>
        <w:t xml:space="preserve">(OIE 2013b). </w:t>
      </w:r>
      <w:r>
        <w:t>The virus gains entry through the gills of the fish (Neukirch 1985, Brudeseth et al.</w:t>
      </w:r>
      <w:r>
        <w:t xml:space="preserve"> 2008), through wounds, and possibly through the skin (Yamamoto et al. 1992). Oral exposure through predation on infected fish is also a route of transmission (CFSPH 2007, Schönherz et al. 2012), as is exposure to blood-feeding vectors such as leeches (Fai</w:t>
      </w:r>
      <w:r>
        <w:t>sal and Schulz 2009). Viral multiplication may take place at the site of entry, or the virus may pass through without primary multiplication, which subsequently occurs in the endothelial cells of the vascular system (primarily the kidney, spleen and brain)</w:t>
      </w:r>
      <w:r>
        <w:t>. The virus is shed primarily in the urine and reproductive fluids (ovarian fluids and milt). Virus shed with sex products is via surface contamination of the eggs and is thought to be readily dissipated. This virus has also been reported in the faeces, bu</w:t>
      </w:r>
      <w:r>
        <w:t>t shedding is low. Reservoirs of infection include clinically ill fish and subclinical carriers. Virus carriage seems to be long-term, but shedding appears to be intermittent in carriers.</w:t>
      </w:r>
    </w:p>
    <w:p w:rsidR="00D25EFC" w:rsidRDefault="00A27A2B">
      <w:pPr>
        <w:pStyle w:val="Normalindent"/>
      </w:pPr>
      <w:r>
        <w:lastRenderedPageBreak/>
        <w:t>Pathological changes in cells lining the circulatory system 48 hours</w:t>
      </w:r>
      <w:r>
        <w:t xml:space="preserve"> after infection have been described (Smail 1999). Necrosis of liver hepatocytes occurs by day 4 after infection (Evensen et al. 1994). The incubation period for European freshwater VHSV-I isolates is 1–2 weeks at warmer temperatures (12°C), and 3–4 weeks </w:t>
      </w:r>
      <w:r>
        <w:t>at cooler temperatures (1°C). Mortalities in Pacific herring began 4 days after experimental infection (by immersion) with a marine VHSV-IVa isolate (Kocan et al. 1997). Mortalities in small, medium and large Japanese flounder at 15°C began 7, 11 and 20 da</w:t>
      </w:r>
      <w:r>
        <w:t>ys, respectively, after injection with a VHS-IVa isolate (Isshiki et al. 2001). Fathead minnows injected with a VHS-IVb isolate showed lesions characteristic of VHS after 9 days at 12°C (Al-Hussinee et al. 2010).</w:t>
      </w:r>
    </w:p>
    <w:p w:rsidR="00D25EFC" w:rsidRDefault="00A27A2B">
      <w:pPr>
        <w:pStyle w:val="Heading5"/>
      </w:pPr>
      <w:bookmarkStart w:id="59" w:name="_Toc402970335"/>
      <w:bookmarkStart w:id="60" w:name="_Toc408836309"/>
      <w:r>
        <w:t>Virus shedding from infected host</w:t>
      </w:r>
      <w:bookmarkEnd w:id="59"/>
      <w:bookmarkEnd w:id="60"/>
    </w:p>
    <w:p w:rsidR="00D25EFC" w:rsidRDefault="00A27A2B">
      <w:pPr>
        <w:pStyle w:val="Normalindent"/>
      </w:pPr>
      <w:r>
        <w:t>Virus she</w:t>
      </w:r>
      <w:r>
        <w:t>dding from infected fish occurs rapidly. With Pacific herring, detectable levels of virus in the water were first noted 48 hours after exposure, peaking at days 4–5 (Kocan et al. 1997). At that time, each infected herring was shedding virus at an average r</w:t>
      </w:r>
      <w:r>
        <w:t>ate of more than 10</w:t>
      </w:r>
      <w:r>
        <w:rPr>
          <w:vertAlign w:val="superscript"/>
        </w:rPr>
        <w:t>6.5</w:t>
      </w:r>
      <w:r>
        <w:t> plaque forming unit (PFU)/hour (Kocan et al. 1997). In experimentally infected Pacific herring held at 8.5°C, VHSV shedding rates reached 1.8–5 × 10</w:t>
      </w:r>
      <w:r>
        <w:rPr>
          <w:vertAlign w:val="superscript"/>
        </w:rPr>
        <w:t>8</w:t>
      </w:r>
      <w:r>
        <w:t> PFU/fish/day. The onset of viral shedding was dose-dependent and preceded initial m</w:t>
      </w:r>
      <w:r>
        <w:t>ortality by 2 days (Hershberger et al. 2010a). Although it has been proposed that most viral shedding occurs via urine (Neukirch 1985), some shedding can occur in mucus and from other tissues (e.g. skin, gills and skin ulcers) (Smail 2000).</w:t>
      </w:r>
    </w:p>
    <w:p w:rsidR="00D25EFC" w:rsidRDefault="00A27A2B">
      <w:pPr>
        <w:pStyle w:val="Heading5"/>
      </w:pPr>
      <w:bookmarkStart w:id="61" w:name="_Toc402970336"/>
      <w:bookmarkStart w:id="62" w:name="_Toc408836310"/>
      <w:r>
        <w:t xml:space="preserve">Persistence of </w:t>
      </w:r>
      <w:r>
        <w:t>virus</w:t>
      </w:r>
      <w:bookmarkEnd w:id="61"/>
      <w:bookmarkEnd w:id="62"/>
    </w:p>
    <w:p w:rsidR="00D25EFC" w:rsidRDefault="00A27A2B">
      <w:pPr>
        <w:pStyle w:val="Normalindent"/>
      </w:pPr>
      <w:r>
        <w:t>The European freshwater isolates of VHSV are heat-labile and acid-labile (at pH 3). These isolates are stable at pH 5–10, and stable through several freeze–thaw cycles (Wolf 1988). There may be some variation in susceptibility to freezing and thawing</w:t>
      </w:r>
      <w:r>
        <w:t xml:space="preserve"> depending on the strain of VHSV. For example, North American marine strains (VHSV-IVa) are more sensitive to freeze–thaw cycles than European freshwater strains (Arkush et al. 2006).</w:t>
      </w:r>
    </w:p>
    <w:p w:rsidR="00D25EFC" w:rsidRDefault="00A27A2B">
      <w:pPr>
        <w:pStyle w:val="Normalindent"/>
      </w:pPr>
      <w:r>
        <w:t xml:space="preserve">The length of time VHSV can survive in the environment will depend on: </w:t>
      </w:r>
    </w:p>
    <w:p w:rsidR="00D25EFC" w:rsidRDefault="00A27A2B">
      <w:pPr>
        <w:pStyle w:val="List"/>
      </w:pPr>
      <w:r>
        <w:t>temperature</w:t>
      </w:r>
    </w:p>
    <w:p w:rsidR="00D25EFC" w:rsidRDefault="00A27A2B">
      <w:pPr>
        <w:pStyle w:val="List"/>
      </w:pPr>
      <w:r>
        <w:t>salinity</w:t>
      </w:r>
    </w:p>
    <w:p w:rsidR="00D25EFC" w:rsidRDefault="00A27A2B">
      <w:pPr>
        <w:pStyle w:val="List"/>
      </w:pPr>
      <w:r>
        <w:t>solar radiation</w:t>
      </w:r>
    </w:p>
    <w:p w:rsidR="00D25EFC" w:rsidRDefault="00A27A2B">
      <w:pPr>
        <w:pStyle w:val="List"/>
      </w:pPr>
      <w:r>
        <w:t>presence of chemical pollutants</w:t>
      </w:r>
    </w:p>
    <w:p w:rsidR="00D25EFC" w:rsidRDefault="00A27A2B">
      <w:pPr>
        <w:pStyle w:val="List"/>
      </w:pPr>
      <w:r>
        <w:t>bacterial antagonism</w:t>
      </w:r>
    </w:p>
    <w:p w:rsidR="00D25EFC" w:rsidRDefault="00A27A2B">
      <w:pPr>
        <w:pStyle w:val="List"/>
      </w:pPr>
      <w:r>
        <w:t>water hardness</w:t>
      </w:r>
    </w:p>
    <w:p w:rsidR="00D25EFC" w:rsidRDefault="00A27A2B">
      <w:pPr>
        <w:pStyle w:val="List"/>
      </w:pPr>
      <w:r>
        <w:t>suspended solids.</w:t>
      </w:r>
    </w:p>
    <w:p w:rsidR="00D25EFC" w:rsidRDefault="00A27A2B">
      <w:pPr>
        <w:pStyle w:val="Normalindent"/>
      </w:pPr>
      <w:r>
        <w:t>VHSV can survive in freshwater and marine environments. Hawley and Garver (2008) examined the stability of three VHSV-IV isolates and</w:t>
      </w:r>
      <w:r>
        <w:t xml:space="preserve"> one VHSV-I isolate taken from marine, freshwater or estuarine hosts, from raw and filtered fresh water and seawater, at temperatures of 4–30°C. All four isolates were substantially more stable in fresh water and at lower water temperatures. The average ti</w:t>
      </w:r>
      <w:r>
        <w:t xml:space="preserve">me required for 99.9% inactivation of VHSV in raw fresh water at 15°C was 13 days, and in raw seawater, VHSV was inactivated within an average of 4 days (Hawley and Garver 2008). </w:t>
      </w:r>
      <w:r>
        <w:rPr>
          <w:szCs w:val="18"/>
        </w:rPr>
        <w:t>The virus has been documented to persist in fresh water for 28–35 days at 4°C</w:t>
      </w:r>
      <w:r>
        <w:t xml:space="preserve"> </w:t>
      </w:r>
      <w:r>
        <w:rPr>
          <w:szCs w:val="18"/>
        </w:rPr>
        <w:t>(</w:t>
      </w:r>
      <w:r>
        <w:t>Parry and Dixon 1997)</w:t>
      </w:r>
      <w:r>
        <w:rPr>
          <w:szCs w:val="18"/>
        </w:rPr>
        <w:t xml:space="preserve"> and to be infective for over 1 year at 4°C in filtered fresh water (</w:t>
      </w:r>
      <w:r>
        <w:t xml:space="preserve">Hawley and Garver </w:t>
      </w:r>
      <w:r>
        <w:lastRenderedPageBreak/>
        <w:t>2008</w:t>
      </w:r>
      <w:r>
        <w:rPr>
          <w:szCs w:val="18"/>
        </w:rPr>
        <w:t>)</w:t>
      </w:r>
      <w:r>
        <w:t>. Freezing at –20°C maintains infectivity of VHSV-I isolates for many years (Wolf 1988). However, normal commercial freezing practices result</w:t>
      </w:r>
      <w:r>
        <w:t>ed in a significant (up to 99%) reduction in titres of VHSV-IVa on thawing, with infectious virus remaining in thawed fish tissue at a concentration of 5.5 × 10</w:t>
      </w:r>
      <w:r>
        <w:rPr>
          <w:vertAlign w:val="superscript"/>
        </w:rPr>
        <w:t>3</w:t>
      </w:r>
      <w:r>
        <w:t> PFU/g (Arkush et al. 2006).</w:t>
      </w:r>
    </w:p>
    <w:p w:rsidR="00D25EFC" w:rsidRDefault="00A27A2B">
      <w:pPr>
        <w:pStyle w:val="Normalindent"/>
      </w:pPr>
      <w:r>
        <w:t>Significant reductions in VHSV titre have been reported in untreat</w:t>
      </w:r>
      <w:r>
        <w:t>ed seawater compared to sterilised or filtered seawater, suggesting that there may be considerable inactivation due to the action of bacteria or other microorganisms (Mori et al. 2002, Hawley and Garver 2008). In contrast, Kocan et al. (2001) reported that</w:t>
      </w:r>
      <w:r>
        <w:t xml:space="preserve"> the addition of crude oil at 10 parts per billion had no effect on virus survival. In fresh water, VHSV survival appears to decrease as water hardness increases (Hawley and Garver 2008). </w:t>
      </w:r>
    </w:p>
    <w:p w:rsidR="00D25EFC" w:rsidRDefault="00A27A2B">
      <w:pPr>
        <w:pStyle w:val="Normalindent"/>
      </w:pPr>
      <w:r>
        <w:t xml:space="preserve">Disinfection with an iodophore will rapidly inactivate VHSV on the </w:t>
      </w:r>
      <w:r>
        <w:t>surface of fish eggs (Bovo et al. 2005, OIE 2013b).</w:t>
      </w:r>
    </w:p>
    <w:p w:rsidR="00D25EFC" w:rsidRDefault="00A27A2B">
      <w:pPr>
        <w:pStyle w:val="Normalindent"/>
      </w:pPr>
      <w:r>
        <w:t>Birds may spread the virus from farm to farm by physically carrying infected fish or by eating infected fish at one farm and regurgitating it at another. VHSV will not survive passage through the gut of t</w:t>
      </w:r>
      <w:r>
        <w:t>he bird, due to the high acidity in the anterior digestive tract and the high internal body temperature of birds. The virus remains infectious after passage through the gut of leeches (Faisal and Schulz 2009).</w:t>
      </w:r>
    </w:p>
    <w:p w:rsidR="00D25EFC" w:rsidRDefault="00A27A2B">
      <w:pPr>
        <w:pStyle w:val="Heading5"/>
      </w:pPr>
      <w:bookmarkStart w:id="63" w:name="_Toc402970337"/>
      <w:bookmarkStart w:id="64" w:name="_Toc408836311"/>
      <w:r>
        <w:t>Sources of VHSV</w:t>
      </w:r>
      <w:bookmarkEnd w:id="63"/>
      <w:bookmarkEnd w:id="64"/>
    </w:p>
    <w:p w:rsidR="00D25EFC" w:rsidRDefault="00A27A2B">
      <w:pPr>
        <w:pStyle w:val="Normalindent"/>
      </w:pPr>
      <w:r>
        <w:t>VHSV is distributed throughout</w:t>
      </w:r>
      <w:r>
        <w:t xml:space="preserve"> the Northern Hemisphere from wild and cultured fish in marine and freshwater habitats where temperatures are 4–20°C (OIE 2013b). Prevalence of the virus may vary through the year, and tends to be higher in winter and early spring, which can be attributed </w:t>
      </w:r>
      <w:r>
        <w:t>to the reduced water temperatures at those times (Altuntas and Ogut 2010).</w:t>
      </w:r>
    </w:p>
    <w:p w:rsidR="00D25EFC" w:rsidRDefault="00A27A2B">
      <w:pPr>
        <w:pStyle w:val="Heading5"/>
      </w:pPr>
      <w:bookmarkStart w:id="65" w:name="_Toc402970338"/>
      <w:bookmarkStart w:id="66" w:name="_Toc408836312"/>
      <w:r>
        <w:t>Factors influencing transmission</w:t>
      </w:r>
      <w:bookmarkEnd w:id="65"/>
      <w:bookmarkEnd w:id="66"/>
    </w:p>
    <w:p w:rsidR="00D25EFC" w:rsidRDefault="00A27A2B">
      <w:pPr>
        <w:pStyle w:val="Heading6"/>
      </w:pPr>
      <w:r>
        <w:t>Age and size</w:t>
      </w:r>
    </w:p>
    <w:p w:rsidR="00D25EFC" w:rsidRDefault="00A27A2B">
      <w:pPr>
        <w:pStyle w:val="Normalindent"/>
      </w:pPr>
      <w:r>
        <w:t>Fish age influences susceptibility to and severity of VHS in rainbow trout. Fish weighing 0.3–3 g are most susceptible. Mortality at 9–</w:t>
      </w:r>
      <w:r>
        <w:t>12</w:t>
      </w:r>
      <w:r>
        <w:rPr>
          <w:rFonts w:cs="SymbolMT"/>
        </w:rPr>
        <w:t>°</w:t>
      </w:r>
      <w:r>
        <w:t>C in fish of this weight with virulent isolates of VHSV is 80–100%. In fingerlings and growers, mortality is significantly lower, given the same conditions (Smail 1999). Larval and juvenile Pacific herring were also particularly susceptible to VHS compa</w:t>
      </w:r>
      <w:r>
        <w:t xml:space="preserve">red to adult fish (Kocan et al. 1997, Hershberger et al. 2007). </w:t>
      </w:r>
      <w:r>
        <w:rPr>
          <w:rFonts w:cs="Arial"/>
          <w:lang w:eastAsia="en-US"/>
        </w:rPr>
        <w:t>In general, older fish that experience high VHS mortality have never been in contact with VHSV (OIE 2013b).</w:t>
      </w:r>
    </w:p>
    <w:p w:rsidR="00D25EFC" w:rsidRDefault="00A27A2B">
      <w:pPr>
        <w:pStyle w:val="Heading6"/>
      </w:pPr>
      <w:r>
        <w:t>Temperature</w:t>
      </w:r>
    </w:p>
    <w:p w:rsidR="00D25EFC" w:rsidRDefault="00A27A2B">
      <w:pPr>
        <w:pStyle w:val="Normalindent"/>
      </w:pPr>
      <w:r>
        <w:t xml:space="preserve">Water temperature is an important factor in the propagation and spread </w:t>
      </w:r>
      <w:r>
        <w:t>of VHSV. Transmission of the virus occurs readily over a temperature range of 1–15</w:t>
      </w:r>
      <w:r>
        <w:rPr>
          <w:rFonts w:cs="SymbolMT"/>
        </w:rPr>
        <w:t>°</w:t>
      </w:r>
      <w:r>
        <w:t>C (OIE 2013b). At temperatures above 15°C, virus shedding from infected fish and survivability of the virus outside the fish host are significantly reduced. However, Castric</w:t>
      </w:r>
      <w:r>
        <w:t xml:space="preserve"> and de Kinkelin (1984) found an upper temperature threshold of 18–20°C for in vivo infections in marine fish. Furthermore, VHSV-IVb caused mortalities in freshwater fishes at water temperatures up to 18°C in the Great Lakes in the US (Goodwin and Merry 20</w:t>
      </w:r>
      <w:r>
        <w:t>10). At water temperatures of 15–18°C, the disease generally takes a short course with a modest accumulated mortality, but transmission can occur in temperatures up to 20°C (OIE 2013b). Although VHSV-IVb infection has resulted in mortalities at 20–22°C (OI</w:t>
      </w:r>
      <w:r>
        <w:t xml:space="preserve">E 2011), </w:t>
      </w:r>
      <w:r>
        <w:lastRenderedPageBreak/>
        <w:t>VHSV-related mortalities at temperatures above 18°C may be due to damage sustained during cooler temperatures before discovery of the outbreak (Goodwin and Merry 2010). Different isolates of VHSV in different fish species may show variance in temp</w:t>
      </w:r>
      <w:r>
        <w:t>erature tolerance.</w:t>
      </w:r>
    </w:p>
    <w:p w:rsidR="00D25EFC" w:rsidRDefault="00A27A2B">
      <w:pPr>
        <w:pStyle w:val="Normalindent"/>
      </w:pPr>
      <w:r>
        <w:t>Serial passages of VHSV in cell culture at increasing temperatures of 14–25</w:t>
      </w:r>
      <w:r>
        <w:rPr>
          <w:rFonts w:cs="SymbolMT"/>
        </w:rPr>
        <w:t>°</w:t>
      </w:r>
      <w:r>
        <w:t>C resulted in a temperature-resistant variant able to replicate efficiently at 25</w:t>
      </w:r>
      <w:r>
        <w:rPr>
          <w:rFonts w:cs="SymbolMT"/>
        </w:rPr>
        <w:t>°</w:t>
      </w:r>
      <w:r>
        <w:t xml:space="preserve">C (de Kinkelin et al. 1980). The resulting variant had a reduced virulence for </w:t>
      </w:r>
      <w:r>
        <w:t>rainbow trout when tested at 8–12</w:t>
      </w:r>
      <w:r>
        <w:rPr>
          <w:rFonts w:cs="SymbolMT"/>
        </w:rPr>
        <w:t>°</w:t>
      </w:r>
      <w:r>
        <w:t>C (de Kinkelin et al. 1980).</w:t>
      </w:r>
    </w:p>
    <w:p w:rsidR="00D25EFC" w:rsidRDefault="00A27A2B">
      <w:pPr>
        <w:pStyle w:val="Heading6"/>
      </w:pPr>
      <w:r>
        <w:t>Infectious dose</w:t>
      </w:r>
    </w:p>
    <w:p w:rsidR="00D25EFC" w:rsidRDefault="00A27A2B">
      <w:pPr>
        <w:pStyle w:val="Normalindent"/>
      </w:pPr>
      <w:r>
        <w:t>Units of measurement for infectious dose vary in the literature (e.g. 10</w:t>
      </w:r>
      <w:r>
        <w:rPr>
          <w:vertAlign w:val="superscript"/>
        </w:rPr>
        <w:t>3.5–4.5</w:t>
      </w:r>
      <w:r>
        <w:t> PFU/mL, 10</w:t>
      </w:r>
      <w:r>
        <w:rPr>
          <w:vertAlign w:val="superscript"/>
        </w:rPr>
        <w:t>5</w:t>
      </w:r>
      <w:r>
        <w:t> tissue culture infective dose [TCID]50/mL) (Kocan et al. 1997, King et al. 2001). The</w:t>
      </w:r>
      <w:r>
        <w:t xml:space="preserve"> infectious dose varies considerably between host species and can be influenced by temperature, route of exposure (see below) and, more importantly, the age and size of the host. For example, outbreaks of acute VHS in juvenile Pacific herring followed wate</w:t>
      </w:r>
      <w:r>
        <w:t>rborne exposure to VHSV concentrations as low as 27 PFU/mL (Hershberger et al. 2010a). Similarly, the minimum dose of VHSV required to initiate disease in juvenile Pacific herring by waterborne exposure for 1 hour was 10</w:t>
      </w:r>
      <w:r>
        <w:rPr>
          <w:vertAlign w:val="superscript"/>
        </w:rPr>
        <w:t>1.5–2.5</w:t>
      </w:r>
      <w:r>
        <w:t xml:space="preserve"> PFU/mL (Kocan et al. 1997). </w:t>
      </w:r>
    </w:p>
    <w:p w:rsidR="00D25EFC" w:rsidRDefault="00A27A2B">
      <w:pPr>
        <w:pStyle w:val="Normalindent"/>
      </w:pPr>
      <w:r>
        <w:t>Due to the high levels of shedding of the virus from individual fish, VHSV can spread very quickly in schooling species (e.g. sardines and herring), resulting in clinical VHS outbreaks (Kocan et al. 1997, Hershberger et al. 2010a).</w:t>
      </w:r>
    </w:p>
    <w:p w:rsidR="00D25EFC" w:rsidRDefault="00A27A2B">
      <w:pPr>
        <w:pStyle w:val="Heading6"/>
      </w:pPr>
      <w:r>
        <w:t>Route of exposure</w:t>
      </w:r>
    </w:p>
    <w:p w:rsidR="00D25EFC" w:rsidRDefault="00A27A2B">
      <w:pPr>
        <w:pStyle w:val="Normalindent"/>
      </w:pPr>
      <w:r>
        <w:rPr>
          <w:rFonts w:eastAsia="DINCond-Regular"/>
        </w:rPr>
        <w:t xml:space="preserve">The </w:t>
      </w:r>
      <w:r>
        <w:rPr>
          <w:rFonts w:eastAsia="DINCond-Regular"/>
        </w:rPr>
        <w:t>most common routes of infection are downstream by water flow, upstream by migrating fish, across water catchments by fish-predating birds (herons, cormorants, crows and gulls) and human activities and trade (Bovo et al. 2005).</w:t>
      </w:r>
      <w:r>
        <w:t xml:space="preserve"> Exposure of farmed fish to na</w:t>
      </w:r>
      <w:r>
        <w:t>turally occurring isolates of VHSV has caused mortalities in farmed turbot and trout (e.g. Snow et al. 2005). Infection of fish through eating other infected fish has also been shown (Schönherz et al. 2012). True vertical transmission has not been demonstr</w:t>
      </w:r>
      <w:r>
        <w:t>ated (Bovo et al. 2005).</w:t>
      </w:r>
    </w:p>
    <w:p w:rsidR="00D25EFC" w:rsidRDefault="00A27A2B">
      <w:pPr>
        <w:pStyle w:val="Normalindent"/>
      </w:pPr>
      <w:r>
        <w:t xml:space="preserve">Many species have been infected experimentally but results of infection vary with method. ‘Less natural’ methods, such as intraperitoneal (IP) injection, may produce clinical disease, but ‘more natural’ methods, such as immersion, </w:t>
      </w:r>
      <w:r>
        <w:t>may not (e.g. Skall et al. 2004). For some fish species–virus strain combinations, disease is evident only when the virus is injected, and the fish remain healthy and/or refractory to infection when exposed to the virus by immersion (de Kinkelin and Castri</w:t>
      </w:r>
      <w:r>
        <w:t>c 1982, Skall et al. 2005b, Dale et al. 2009). Examples include fathead minnows that were infected with VHSV-IVb via immersion and IP injection, and exhibited earlier mortalities, higher mortality rates and required a smaller infectious dose when IP inject</w:t>
      </w:r>
      <w:r>
        <w:t>ion alone was used (Al-Hussinee et al. 2010). Similar results have been reported for other fish species (Skall et al. 2004, 2005a, Dale et al. 2009).</w:t>
      </w:r>
    </w:p>
    <w:p w:rsidR="00D25EFC" w:rsidRDefault="00A27A2B">
      <w:pPr>
        <w:pStyle w:val="Heading6"/>
      </w:pPr>
      <w:r>
        <w:t>Species</w:t>
      </w:r>
    </w:p>
    <w:p w:rsidR="00D25EFC" w:rsidRDefault="00A27A2B">
      <w:pPr>
        <w:pStyle w:val="Normalindent"/>
      </w:pPr>
      <w:r>
        <w:t>VHSV has been isolated from at least 101 species of marine and freshwater fish (Appendix 1) but al</w:t>
      </w:r>
      <w:r>
        <w:t xml:space="preserve">l temperate marine species may be susceptible to infection with VHSV under suitable conditions (Stone et al. 1997). Many species of freshwater fish are susceptible to infection with marine and freshwater strains of VHSV. For example, </w:t>
      </w:r>
      <w:r>
        <w:rPr>
          <w:rFonts w:cs="Arial"/>
          <w:lang w:eastAsia="en-US"/>
        </w:rPr>
        <w:t>VHSV-III, a marine gen</w:t>
      </w:r>
      <w:r>
        <w:rPr>
          <w:rFonts w:cs="Arial"/>
          <w:lang w:eastAsia="en-US"/>
        </w:rPr>
        <w:t xml:space="preserve">otype not initially considered to be pathogenic for rainbow trout was the causative agent of </w:t>
      </w:r>
      <w:r>
        <w:t xml:space="preserve">a VHS outbreak </w:t>
      </w:r>
      <w:r>
        <w:rPr>
          <w:rFonts w:cs="Arial"/>
          <w:lang w:eastAsia="en-US"/>
        </w:rPr>
        <w:t xml:space="preserve">in </w:t>
      </w:r>
      <w:r>
        <w:rPr>
          <w:rFonts w:cs="Arial"/>
          <w:lang w:eastAsia="en-US"/>
        </w:rPr>
        <w:lastRenderedPageBreak/>
        <w:t>seawater-reared rainbow trout in Norway (Dale et al. 2009). Consequently, caution should be exercised before assuming a species is resistant to i</w:t>
      </w:r>
      <w:r>
        <w:rPr>
          <w:rFonts w:cs="Arial"/>
          <w:lang w:eastAsia="en-US"/>
        </w:rPr>
        <w:t xml:space="preserve">nfection. </w:t>
      </w:r>
      <w:r>
        <w:t>The h</w:t>
      </w:r>
      <w:r>
        <w:rPr>
          <w:rFonts w:cs="Arial"/>
          <w:lang w:eastAsia="en-US"/>
        </w:rPr>
        <w:t>ighest prevalence of natural infections in the marine environment has a tendency to occur in schooling fish such as herring and sprat (Skall et al. 2005a).</w:t>
      </w:r>
    </w:p>
    <w:p w:rsidR="00D25EFC" w:rsidRDefault="00A27A2B">
      <w:pPr>
        <w:pStyle w:val="Normalindent"/>
      </w:pPr>
      <w:r>
        <w:t>A broad range of Australian temperate marine and freshwater fish species are likely t</w:t>
      </w:r>
      <w:r>
        <w:t>o be susceptible should VHSV be introduced into Australia (Section 1.2).</w:t>
      </w:r>
    </w:p>
    <w:p w:rsidR="00D25EFC" w:rsidRDefault="00A27A2B">
      <w:pPr>
        <w:pStyle w:val="Heading5"/>
      </w:pPr>
      <w:bookmarkStart w:id="67" w:name="_Toc402970339"/>
      <w:bookmarkStart w:id="68" w:name="_Toc408836313"/>
      <w:r>
        <w:t>Inactivation</w:t>
      </w:r>
      <w:bookmarkEnd w:id="67"/>
      <w:bookmarkEnd w:id="68"/>
    </w:p>
    <w:p w:rsidR="00D25EFC" w:rsidRDefault="00A27A2B">
      <w:pPr>
        <w:pStyle w:val="Normalindent"/>
      </w:pPr>
      <w:r>
        <w:t>VHSV is rapidly inactivated by chlorine and iodophore disinfectants (Bovo et al. 2005). Dose rates and time until inactivation depend on the type of disinfectant (Table 2</w:t>
      </w:r>
      <w:r>
        <w:t>).</w:t>
      </w:r>
    </w:p>
    <w:p w:rsidR="00D25EFC" w:rsidRDefault="00A27A2B">
      <w:pPr>
        <w:pStyle w:val="Caption"/>
      </w:pPr>
      <w:bookmarkStart w:id="69" w:name="_Toc408393630"/>
      <w:r>
        <w:t xml:space="preserve">Table </w:t>
      </w:r>
      <w:fldSimple w:instr=" SEQ Table \* ARABIC ">
        <w:r>
          <w:rPr>
            <w:noProof/>
          </w:rPr>
          <w:t>2</w:t>
        </w:r>
      </w:fldSimple>
      <w:r>
        <w:tab/>
        <w:t>Dose rates and time required until VHSV inactivation using physical and chemical agents</w:t>
      </w:r>
      <w:bookmarkEnd w:id="69"/>
    </w:p>
    <w:tbl>
      <w:tblPr>
        <w:tblW w:w="0" w:type="auto"/>
        <w:tblBorders>
          <w:insideH w:val="single" w:sz="4" w:space="0" w:color="auto"/>
          <w:insideV w:val="single" w:sz="4" w:space="0" w:color="auto"/>
        </w:tblBorders>
        <w:tblLook w:val="01E0"/>
      </w:tblPr>
      <w:tblGrid>
        <w:gridCol w:w="2235"/>
        <w:gridCol w:w="6281"/>
      </w:tblGrid>
      <w:tr w:rsidR="00D25EFC">
        <w:trPr>
          <w:tblHeader/>
        </w:trPr>
        <w:tc>
          <w:tcPr>
            <w:tcW w:w="2235" w:type="dxa"/>
            <w:tcBorders>
              <w:top w:val="single" w:sz="4" w:space="0" w:color="auto"/>
              <w:left w:val="single" w:sz="4" w:space="0" w:color="auto"/>
              <w:bottom w:val="single" w:sz="4" w:space="0" w:color="auto"/>
              <w:right w:val="nil"/>
            </w:tcBorders>
            <w:vAlign w:val="bottom"/>
          </w:tcPr>
          <w:p w:rsidR="00D25EFC" w:rsidRDefault="00A27A2B">
            <w:pPr>
              <w:pStyle w:val="Tabletextcolumnheading"/>
            </w:pPr>
            <w:r>
              <w:t>Agent</w:t>
            </w:r>
          </w:p>
        </w:tc>
        <w:tc>
          <w:tcPr>
            <w:tcW w:w="6281" w:type="dxa"/>
            <w:tcBorders>
              <w:top w:val="single" w:sz="4" w:space="0" w:color="auto"/>
              <w:left w:val="nil"/>
              <w:bottom w:val="single" w:sz="4" w:space="0" w:color="auto"/>
              <w:right w:val="single" w:sz="4" w:space="0" w:color="auto"/>
            </w:tcBorders>
            <w:vAlign w:val="bottom"/>
          </w:tcPr>
          <w:p w:rsidR="00D25EFC" w:rsidRDefault="00A27A2B">
            <w:pPr>
              <w:pStyle w:val="Tabletextcolumnheading"/>
            </w:pPr>
            <w:r>
              <w:t>Treatment required for inactivation</w:t>
            </w:r>
            <w:r>
              <w:rPr>
                <w:sz w:val="24"/>
                <w:szCs w:val="24"/>
              </w:rPr>
              <w:t>*</w:t>
            </w:r>
          </w:p>
        </w:tc>
      </w:tr>
      <w:tr w:rsidR="00D25EFC">
        <w:tc>
          <w:tcPr>
            <w:tcW w:w="2235" w:type="dxa"/>
            <w:tcBorders>
              <w:top w:val="single" w:sz="4" w:space="0" w:color="auto"/>
              <w:left w:val="single" w:sz="4" w:space="0" w:color="auto"/>
              <w:bottom w:val="nil"/>
              <w:right w:val="nil"/>
            </w:tcBorders>
            <w:vAlign w:val="bottom"/>
          </w:tcPr>
          <w:p w:rsidR="00D25EFC" w:rsidRDefault="00A27A2B">
            <w:pPr>
              <w:pStyle w:val="tabletext"/>
            </w:pPr>
            <w:r>
              <w:t>Physical agents</w:t>
            </w:r>
          </w:p>
        </w:tc>
        <w:tc>
          <w:tcPr>
            <w:tcW w:w="6281" w:type="dxa"/>
            <w:tcBorders>
              <w:top w:val="single" w:sz="4" w:space="0" w:color="auto"/>
              <w:left w:val="nil"/>
              <w:bottom w:val="nil"/>
              <w:right w:val="single" w:sz="4" w:space="0" w:color="auto"/>
            </w:tcBorders>
            <w:vAlign w:val="bottom"/>
          </w:tcPr>
          <w:p w:rsidR="00D25EFC" w:rsidRDefault="00D25EFC">
            <w:pPr>
              <w:pStyle w:val="tabletext"/>
            </w:pPr>
          </w:p>
        </w:tc>
      </w:tr>
      <w:tr w:rsidR="00D25EFC">
        <w:tc>
          <w:tcPr>
            <w:tcW w:w="2235" w:type="dxa"/>
            <w:tcBorders>
              <w:top w:val="nil"/>
              <w:left w:val="single" w:sz="4" w:space="0" w:color="auto"/>
              <w:bottom w:val="nil"/>
              <w:right w:val="nil"/>
            </w:tcBorders>
          </w:tcPr>
          <w:p w:rsidR="00D25EFC" w:rsidRDefault="00A27A2B">
            <w:pPr>
              <w:pStyle w:val="tabletext"/>
            </w:pPr>
            <w:r>
              <w:t>Heat</w:t>
            </w:r>
          </w:p>
        </w:tc>
        <w:tc>
          <w:tcPr>
            <w:tcW w:w="6281" w:type="dxa"/>
            <w:tcBorders>
              <w:top w:val="nil"/>
              <w:left w:val="nil"/>
              <w:bottom w:val="nil"/>
              <w:right w:val="single" w:sz="4" w:space="0" w:color="auto"/>
            </w:tcBorders>
          </w:tcPr>
          <w:p w:rsidR="00D25EFC" w:rsidRDefault="00A27A2B">
            <w:pPr>
              <w:pStyle w:val="tabletext"/>
            </w:pPr>
            <w:r>
              <w:t>45°C for 60 minutes, or 60°C for 15 minutes, or 70°C for 1 minute</w:t>
            </w:r>
          </w:p>
        </w:tc>
      </w:tr>
      <w:tr w:rsidR="00D25EFC">
        <w:tc>
          <w:tcPr>
            <w:tcW w:w="2235" w:type="dxa"/>
            <w:tcBorders>
              <w:top w:val="nil"/>
              <w:left w:val="single" w:sz="4" w:space="0" w:color="auto"/>
              <w:bottom w:val="nil"/>
              <w:right w:val="nil"/>
            </w:tcBorders>
          </w:tcPr>
          <w:p w:rsidR="00D25EFC" w:rsidRDefault="00A27A2B">
            <w:pPr>
              <w:pStyle w:val="tabletext"/>
            </w:pPr>
            <w:r>
              <w:t>Ultraviolet light</w:t>
            </w:r>
          </w:p>
        </w:tc>
        <w:tc>
          <w:tcPr>
            <w:tcW w:w="6281" w:type="dxa"/>
            <w:tcBorders>
              <w:top w:val="nil"/>
              <w:left w:val="nil"/>
              <w:bottom w:val="nil"/>
              <w:right w:val="single" w:sz="4" w:space="0" w:color="auto"/>
            </w:tcBorders>
          </w:tcPr>
          <w:p w:rsidR="00D25EFC" w:rsidRDefault="00A27A2B">
            <w:pPr>
              <w:pStyle w:val="tabletext"/>
            </w:pPr>
            <w:r>
              <w:t xml:space="preserve">1–3 × 103 µW s/cm2 </w:t>
            </w:r>
          </w:p>
        </w:tc>
      </w:tr>
      <w:tr w:rsidR="00D25EFC">
        <w:tc>
          <w:tcPr>
            <w:tcW w:w="2235" w:type="dxa"/>
            <w:tcBorders>
              <w:top w:val="nil"/>
              <w:left w:val="single" w:sz="4" w:space="0" w:color="auto"/>
              <w:bottom w:val="nil"/>
              <w:right w:val="nil"/>
            </w:tcBorders>
          </w:tcPr>
          <w:p w:rsidR="00D25EFC" w:rsidRDefault="00A27A2B">
            <w:pPr>
              <w:pStyle w:val="tabletext"/>
            </w:pPr>
            <w:r>
              <w:t>Chemical agents</w:t>
            </w:r>
          </w:p>
        </w:tc>
        <w:tc>
          <w:tcPr>
            <w:tcW w:w="6281" w:type="dxa"/>
            <w:tcBorders>
              <w:top w:val="nil"/>
              <w:left w:val="nil"/>
              <w:bottom w:val="nil"/>
              <w:right w:val="single" w:sz="4" w:space="0" w:color="auto"/>
            </w:tcBorders>
          </w:tcPr>
          <w:p w:rsidR="00D25EFC" w:rsidRDefault="00D25EFC">
            <w:pPr>
              <w:pStyle w:val="tabletext"/>
            </w:pPr>
          </w:p>
        </w:tc>
      </w:tr>
      <w:tr w:rsidR="00D25EFC">
        <w:tc>
          <w:tcPr>
            <w:tcW w:w="2235" w:type="dxa"/>
            <w:tcBorders>
              <w:top w:val="nil"/>
              <w:left w:val="single" w:sz="4" w:space="0" w:color="auto"/>
              <w:bottom w:val="nil"/>
              <w:right w:val="nil"/>
            </w:tcBorders>
          </w:tcPr>
          <w:p w:rsidR="00D25EFC" w:rsidRDefault="00A27A2B">
            <w:pPr>
              <w:pStyle w:val="tabletext"/>
            </w:pPr>
            <w:r>
              <w:t>Chlorine</w:t>
            </w:r>
          </w:p>
        </w:tc>
        <w:tc>
          <w:tcPr>
            <w:tcW w:w="6281" w:type="dxa"/>
            <w:tcBorders>
              <w:top w:val="nil"/>
              <w:left w:val="nil"/>
              <w:bottom w:val="nil"/>
              <w:right w:val="single" w:sz="4" w:space="0" w:color="auto"/>
            </w:tcBorders>
          </w:tcPr>
          <w:p w:rsidR="00D25EFC" w:rsidRDefault="00A27A2B">
            <w:pPr>
              <w:pStyle w:val="tabletext"/>
            </w:pPr>
            <w:r>
              <w:t>100 mg/L for 10 minutes, or 515 mg/L for 2 minutes</w:t>
            </w:r>
          </w:p>
        </w:tc>
      </w:tr>
      <w:tr w:rsidR="00D25EFC">
        <w:tc>
          <w:tcPr>
            <w:tcW w:w="2235" w:type="dxa"/>
            <w:tcBorders>
              <w:top w:val="nil"/>
              <w:left w:val="single" w:sz="4" w:space="0" w:color="auto"/>
              <w:bottom w:val="nil"/>
              <w:right w:val="nil"/>
            </w:tcBorders>
          </w:tcPr>
          <w:p w:rsidR="00D25EFC" w:rsidRDefault="00A27A2B">
            <w:pPr>
              <w:pStyle w:val="tabletext"/>
            </w:pPr>
            <w:r>
              <w:t>Sodium hypochlorite</w:t>
            </w:r>
          </w:p>
        </w:tc>
        <w:tc>
          <w:tcPr>
            <w:tcW w:w="6281" w:type="dxa"/>
            <w:tcBorders>
              <w:top w:val="nil"/>
              <w:left w:val="nil"/>
              <w:bottom w:val="nil"/>
              <w:right w:val="single" w:sz="4" w:space="0" w:color="auto"/>
            </w:tcBorders>
          </w:tcPr>
          <w:p w:rsidR="00D25EFC" w:rsidRDefault="00A27A2B">
            <w:pPr>
              <w:pStyle w:val="tabletext"/>
            </w:pPr>
            <w:r>
              <w:t xml:space="preserve">100 mg/L for 5 minutes </w:t>
            </w:r>
          </w:p>
        </w:tc>
      </w:tr>
      <w:tr w:rsidR="00D25EFC">
        <w:tc>
          <w:tcPr>
            <w:tcW w:w="2235" w:type="dxa"/>
            <w:tcBorders>
              <w:top w:val="nil"/>
              <w:left w:val="single" w:sz="4" w:space="0" w:color="auto"/>
              <w:bottom w:val="nil"/>
              <w:right w:val="nil"/>
            </w:tcBorders>
          </w:tcPr>
          <w:p w:rsidR="00D25EFC" w:rsidRDefault="00A27A2B">
            <w:pPr>
              <w:pStyle w:val="tabletext"/>
            </w:pPr>
            <w:r>
              <w:t>Iodine</w:t>
            </w:r>
          </w:p>
        </w:tc>
        <w:tc>
          <w:tcPr>
            <w:tcW w:w="6281" w:type="dxa"/>
            <w:tcBorders>
              <w:top w:val="nil"/>
              <w:left w:val="nil"/>
              <w:bottom w:val="nil"/>
              <w:right w:val="single" w:sz="4" w:space="0" w:color="auto"/>
            </w:tcBorders>
          </w:tcPr>
          <w:p w:rsidR="00D25EFC" w:rsidRDefault="00A27A2B">
            <w:pPr>
              <w:pStyle w:val="tabletext"/>
            </w:pPr>
            <w:r>
              <w:t>100 mg/L for 4 minutes</w:t>
            </w:r>
          </w:p>
        </w:tc>
      </w:tr>
      <w:tr w:rsidR="00D25EFC">
        <w:tc>
          <w:tcPr>
            <w:tcW w:w="2235" w:type="dxa"/>
            <w:tcBorders>
              <w:top w:val="nil"/>
              <w:left w:val="single" w:sz="4" w:space="0" w:color="auto"/>
              <w:bottom w:val="nil"/>
              <w:right w:val="nil"/>
            </w:tcBorders>
          </w:tcPr>
          <w:p w:rsidR="00D25EFC" w:rsidRDefault="00A27A2B">
            <w:pPr>
              <w:pStyle w:val="tabletext"/>
            </w:pPr>
            <w:r>
              <w:t>Sodium hydroxide</w:t>
            </w:r>
          </w:p>
        </w:tc>
        <w:tc>
          <w:tcPr>
            <w:tcW w:w="6281" w:type="dxa"/>
            <w:tcBorders>
              <w:top w:val="nil"/>
              <w:left w:val="nil"/>
              <w:bottom w:val="nil"/>
              <w:right w:val="single" w:sz="4" w:space="0" w:color="auto"/>
            </w:tcBorders>
          </w:tcPr>
          <w:p w:rsidR="00D25EFC" w:rsidRDefault="00A27A2B">
            <w:pPr>
              <w:pStyle w:val="tabletext"/>
            </w:pPr>
            <w:r>
              <w:t>10 g/L for 5 minutes, or pH &gt; 12 for 7 hours</w:t>
            </w:r>
          </w:p>
        </w:tc>
      </w:tr>
      <w:tr w:rsidR="00D25EFC">
        <w:tc>
          <w:tcPr>
            <w:tcW w:w="2235" w:type="dxa"/>
            <w:tcBorders>
              <w:top w:val="nil"/>
              <w:left w:val="single" w:sz="4" w:space="0" w:color="auto"/>
              <w:bottom w:val="nil"/>
              <w:right w:val="nil"/>
            </w:tcBorders>
          </w:tcPr>
          <w:p w:rsidR="00D25EFC" w:rsidRDefault="00A27A2B">
            <w:pPr>
              <w:pStyle w:val="tabletext"/>
            </w:pPr>
            <w:r>
              <w:t>Formic acid</w:t>
            </w:r>
          </w:p>
        </w:tc>
        <w:tc>
          <w:tcPr>
            <w:tcW w:w="6281" w:type="dxa"/>
            <w:tcBorders>
              <w:top w:val="nil"/>
              <w:left w:val="nil"/>
              <w:bottom w:val="nil"/>
              <w:right w:val="single" w:sz="4" w:space="0" w:color="auto"/>
            </w:tcBorders>
          </w:tcPr>
          <w:p w:rsidR="00D25EFC" w:rsidRDefault="00A27A2B">
            <w:pPr>
              <w:pStyle w:val="tabletext"/>
            </w:pPr>
            <w:r>
              <w:t>pH &lt; 4 for 24 hours, pH 3 for 3 hours</w:t>
            </w:r>
          </w:p>
        </w:tc>
      </w:tr>
      <w:tr w:rsidR="00D25EFC">
        <w:tc>
          <w:tcPr>
            <w:tcW w:w="2235" w:type="dxa"/>
            <w:tcBorders>
              <w:top w:val="nil"/>
              <w:left w:val="single" w:sz="4" w:space="0" w:color="auto"/>
              <w:bottom w:val="nil"/>
              <w:right w:val="nil"/>
            </w:tcBorders>
          </w:tcPr>
          <w:p w:rsidR="00D25EFC" w:rsidRDefault="00A27A2B">
            <w:pPr>
              <w:pStyle w:val="tabletext"/>
            </w:pPr>
            <w:r>
              <w:t>Quaternary ammonia</w:t>
            </w:r>
          </w:p>
        </w:tc>
        <w:tc>
          <w:tcPr>
            <w:tcW w:w="6281" w:type="dxa"/>
            <w:tcBorders>
              <w:top w:val="nil"/>
              <w:left w:val="nil"/>
              <w:bottom w:val="nil"/>
              <w:right w:val="single" w:sz="4" w:space="0" w:color="auto"/>
            </w:tcBorders>
          </w:tcPr>
          <w:p w:rsidR="00D25EFC" w:rsidRDefault="00A27A2B">
            <w:pPr>
              <w:pStyle w:val="tabletext"/>
            </w:pPr>
            <w:r>
              <w:t>10 mg/L for 5 minutes</w:t>
            </w:r>
          </w:p>
        </w:tc>
      </w:tr>
      <w:tr w:rsidR="00D25EFC">
        <w:tc>
          <w:tcPr>
            <w:tcW w:w="2235" w:type="dxa"/>
            <w:tcBorders>
              <w:top w:val="nil"/>
              <w:left w:val="single" w:sz="4" w:space="0" w:color="auto"/>
              <w:bottom w:val="nil"/>
              <w:right w:val="nil"/>
            </w:tcBorders>
          </w:tcPr>
          <w:p w:rsidR="00D25EFC" w:rsidRDefault="00A27A2B">
            <w:pPr>
              <w:pStyle w:val="tabletext"/>
            </w:pPr>
            <w:r>
              <w:t>Ozone</w:t>
            </w:r>
          </w:p>
        </w:tc>
        <w:tc>
          <w:tcPr>
            <w:tcW w:w="6281" w:type="dxa"/>
            <w:tcBorders>
              <w:top w:val="nil"/>
              <w:left w:val="nil"/>
              <w:bottom w:val="nil"/>
              <w:right w:val="single" w:sz="4" w:space="0" w:color="auto"/>
            </w:tcBorders>
          </w:tcPr>
          <w:p w:rsidR="00D25EFC" w:rsidRDefault="00A27A2B">
            <w:pPr>
              <w:pStyle w:val="tabletext"/>
            </w:pPr>
            <w:r>
              <w:t>8 mg/L/minute for 3 minutes (redox potential 600–750 mV)</w:t>
            </w:r>
          </w:p>
        </w:tc>
      </w:tr>
      <w:tr w:rsidR="00D25EFC">
        <w:tc>
          <w:tcPr>
            <w:tcW w:w="2235" w:type="dxa"/>
            <w:tcBorders>
              <w:top w:val="nil"/>
              <w:left w:val="single" w:sz="4" w:space="0" w:color="auto"/>
              <w:bottom w:val="nil"/>
              <w:right w:val="nil"/>
            </w:tcBorders>
          </w:tcPr>
          <w:p w:rsidR="00D25EFC" w:rsidRDefault="00A27A2B">
            <w:pPr>
              <w:pStyle w:val="tabletext"/>
            </w:pPr>
            <w:r>
              <w:t>Virkon S</w:t>
            </w:r>
          </w:p>
        </w:tc>
        <w:tc>
          <w:tcPr>
            <w:tcW w:w="6281" w:type="dxa"/>
            <w:tcBorders>
              <w:top w:val="nil"/>
              <w:left w:val="nil"/>
              <w:bottom w:val="nil"/>
              <w:right w:val="single" w:sz="4" w:space="0" w:color="auto"/>
            </w:tcBorders>
          </w:tcPr>
          <w:p w:rsidR="00D25EFC" w:rsidRDefault="00A27A2B">
            <w:pPr>
              <w:pStyle w:val="tabletext"/>
            </w:pPr>
            <w:r>
              <w:t>1% solution</w:t>
            </w:r>
          </w:p>
        </w:tc>
      </w:tr>
      <w:tr w:rsidR="00D25EFC">
        <w:tc>
          <w:tcPr>
            <w:tcW w:w="2235" w:type="dxa"/>
            <w:tcBorders>
              <w:top w:val="nil"/>
              <w:left w:val="single" w:sz="4" w:space="0" w:color="auto"/>
              <w:bottom w:val="nil"/>
              <w:right w:val="nil"/>
            </w:tcBorders>
          </w:tcPr>
          <w:p w:rsidR="00D25EFC" w:rsidRDefault="00A27A2B">
            <w:pPr>
              <w:pStyle w:val="tabletext"/>
            </w:pPr>
            <w:r>
              <w:t>Formaldehyde</w:t>
            </w:r>
          </w:p>
        </w:tc>
        <w:tc>
          <w:tcPr>
            <w:tcW w:w="6281" w:type="dxa"/>
            <w:tcBorders>
              <w:top w:val="nil"/>
              <w:left w:val="nil"/>
              <w:bottom w:val="nil"/>
              <w:right w:val="single" w:sz="4" w:space="0" w:color="auto"/>
            </w:tcBorders>
          </w:tcPr>
          <w:p w:rsidR="00D25EFC" w:rsidRDefault="00A27A2B">
            <w:pPr>
              <w:pStyle w:val="tabletext"/>
            </w:pPr>
            <w:r>
              <w:t>3% for 5 minutes, 1% for 16 hours</w:t>
            </w:r>
          </w:p>
        </w:tc>
      </w:tr>
      <w:tr w:rsidR="00D25EFC">
        <w:tc>
          <w:tcPr>
            <w:tcW w:w="2235" w:type="dxa"/>
            <w:tcBorders>
              <w:top w:val="nil"/>
              <w:left w:val="single" w:sz="4" w:space="0" w:color="auto"/>
              <w:bottom w:val="nil"/>
              <w:right w:val="nil"/>
            </w:tcBorders>
          </w:tcPr>
          <w:p w:rsidR="00D25EFC" w:rsidRDefault="00A27A2B">
            <w:pPr>
              <w:pStyle w:val="tabletext"/>
            </w:pPr>
            <w:r>
              <w:t>Ethanol</w:t>
            </w:r>
          </w:p>
        </w:tc>
        <w:tc>
          <w:tcPr>
            <w:tcW w:w="6281" w:type="dxa"/>
            <w:tcBorders>
              <w:top w:val="nil"/>
              <w:left w:val="nil"/>
              <w:bottom w:val="nil"/>
              <w:right w:val="single" w:sz="4" w:space="0" w:color="auto"/>
            </w:tcBorders>
          </w:tcPr>
          <w:p w:rsidR="00D25EFC" w:rsidRDefault="00A27A2B">
            <w:pPr>
              <w:pStyle w:val="tabletext"/>
            </w:pPr>
            <w:r>
              <w:t>40% in seawater for</w:t>
            </w:r>
            <w:r>
              <w:t xml:space="preserve"> 2 minutes</w:t>
            </w:r>
          </w:p>
        </w:tc>
      </w:tr>
      <w:tr w:rsidR="00D25EFC">
        <w:tc>
          <w:tcPr>
            <w:tcW w:w="2235" w:type="dxa"/>
            <w:tcBorders>
              <w:top w:val="nil"/>
              <w:left w:val="single" w:sz="4" w:space="0" w:color="auto"/>
              <w:bottom w:val="single" w:sz="4" w:space="0" w:color="auto"/>
              <w:right w:val="nil"/>
            </w:tcBorders>
          </w:tcPr>
          <w:p w:rsidR="00D25EFC" w:rsidRDefault="00A27A2B">
            <w:pPr>
              <w:pStyle w:val="tabletext"/>
            </w:pPr>
            <w:r>
              <w:t>Propanol</w:t>
            </w:r>
          </w:p>
        </w:tc>
        <w:tc>
          <w:tcPr>
            <w:tcW w:w="6281" w:type="dxa"/>
            <w:tcBorders>
              <w:top w:val="nil"/>
              <w:left w:val="nil"/>
              <w:bottom w:val="single" w:sz="4" w:space="0" w:color="auto"/>
              <w:right w:val="single" w:sz="4" w:space="0" w:color="auto"/>
            </w:tcBorders>
          </w:tcPr>
          <w:p w:rsidR="00D25EFC" w:rsidRDefault="00A27A2B">
            <w:pPr>
              <w:pStyle w:val="tabletext"/>
            </w:pPr>
            <w:r>
              <w:t xml:space="preserve">20% in </w:t>
            </w:r>
            <w:r>
              <w:rPr>
                <w:szCs w:val="22"/>
              </w:rPr>
              <w:t>seawater</w:t>
            </w:r>
            <w:r>
              <w:t xml:space="preserve"> for 2 minutes, or 30% in seawater for 30 seconds</w:t>
            </w:r>
          </w:p>
        </w:tc>
      </w:tr>
      <w:tr w:rsidR="00D25EFC">
        <w:tc>
          <w:tcPr>
            <w:tcW w:w="8516" w:type="dxa"/>
            <w:gridSpan w:val="2"/>
            <w:tcBorders>
              <w:top w:val="single" w:sz="4" w:space="0" w:color="auto"/>
              <w:left w:val="single" w:sz="4" w:space="0" w:color="auto"/>
              <w:bottom w:val="single" w:sz="4" w:space="0" w:color="auto"/>
              <w:right w:val="single" w:sz="4" w:space="0" w:color="auto"/>
            </w:tcBorders>
          </w:tcPr>
          <w:p w:rsidR="00D25EFC" w:rsidRDefault="00A27A2B">
            <w:pPr>
              <w:pStyle w:val="note"/>
            </w:pPr>
            <w:r>
              <w:t xml:space="preserve">* Affected by factors such as amount of suspended solids, salinity and organic load (see AQUAVETPLAN Operational procedures manual: decontamination, at </w:t>
            </w:r>
            <w:r>
              <w:t>http://www.agriculture.gov.au/animal-plant-health/aquatic/aquavetplan/operational_procedures_manual_-_decontamination)</w:t>
            </w:r>
          </w:p>
        </w:tc>
      </w:tr>
    </w:tbl>
    <w:p w:rsidR="00D25EFC" w:rsidRDefault="00A27A2B">
      <w:pPr>
        <w:pStyle w:val="note"/>
      </w:pPr>
      <w:r>
        <w:t>(Bovo et al. 2005 and Kebus 2007)</w:t>
      </w:r>
    </w:p>
    <w:p w:rsidR="00D25EFC" w:rsidRDefault="00A27A2B">
      <w:r>
        <w:br w:type="page"/>
      </w:r>
    </w:p>
    <w:p w:rsidR="00D25EFC" w:rsidRDefault="00A27A2B">
      <w:pPr>
        <w:pStyle w:val="Heading3"/>
      </w:pPr>
      <w:bookmarkStart w:id="70" w:name="_Toc402970340"/>
      <w:bookmarkStart w:id="71" w:name="_Toc408388681"/>
      <w:bookmarkStart w:id="72" w:name="_Toc408836314"/>
      <w:r>
        <w:lastRenderedPageBreak/>
        <w:t>Principles of control and eradication</w:t>
      </w:r>
      <w:bookmarkEnd w:id="70"/>
      <w:bookmarkEnd w:id="71"/>
      <w:bookmarkEnd w:id="72"/>
    </w:p>
    <w:p w:rsidR="00D25EFC" w:rsidRDefault="00A27A2B">
      <w:pPr>
        <w:pStyle w:val="Heading4"/>
      </w:pPr>
      <w:bookmarkStart w:id="73" w:name="_Toc402970341"/>
      <w:bookmarkStart w:id="74" w:name="_Toc408836315"/>
      <w:r>
        <w:t>Introduction</w:t>
      </w:r>
      <w:bookmarkEnd w:id="73"/>
      <w:bookmarkEnd w:id="74"/>
    </w:p>
    <w:p w:rsidR="00D25EFC" w:rsidRDefault="00A27A2B">
      <w:pPr>
        <w:pStyle w:val="Normalindent"/>
      </w:pPr>
      <w:r>
        <w:t>VHS has caused significant mortality and economic</w:t>
      </w:r>
      <w:r>
        <w:t xml:space="preserve"> loss in cultured and wild fish species overseas. Some fish species in Australia are known to be susceptible to this disease (Section 1.2), but the susceptibility of many other species remains uncertain.</w:t>
      </w:r>
    </w:p>
    <w:p w:rsidR="00D25EFC" w:rsidRDefault="00A27A2B">
      <w:pPr>
        <w:pStyle w:val="Normalindent"/>
      </w:pPr>
      <w:r>
        <w:t>Possible scenarios for the isolation of VHSV in Aust</w:t>
      </w:r>
      <w:r>
        <w:t>ralia include virus from:</w:t>
      </w:r>
    </w:p>
    <w:p w:rsidR="00D25EFC" w:rsidRDefault="00A27A2B">
      <w:pPr>
        <w:pStyle w:val="Normalindent"/>
      </w:pPr>
      <w:r>
        <w:t>Atlantic salmon or rainbow trout in salt water or fresh water as part of routine surveillance, with no clinical signs of disease</w:t>
      </w:r>
    </w:p>
    <w:p w:rsidR="00D25EFC" w:rsidRDefault="00A27A2B">
      <w:pPr>
        <w:pStyle w:val="List"/>
      </w:pPr>
      <w:r>
        <w:t>Atlantic salmon or rainbow trout in salt water or fresh water, accompanied by haemorrhaging, increasi</w:t>
      </w:r>
      <w:r>
        <w:t>ng morbidity and mortality</w:t>
      </w:r>
    </w:p>
    <w:p w:rsidR="00D25EFC" w:rsidRDefault="00A27A2B">
      <w:pPr>
        <w:pStyle w:val="List"/>
      </w:pPr>
      <w:r>
        <w:t>wild fish around southern bluefin tuna, yellowfin tuna or yellowtail kingfish cages</w:t>
      </w:r>
    </w:p>
    <w:p w:rsidR="00D25EFC" w:rsidRDefault="00A27A2B">
      <w:pPr>
        <w:pStyle w:val="List"/>
      </w:pPr>
      <w:r>
        <w:t>southern bluefin tuna, yellowfin tuna or yellowtail kingfish showing no clinical signs of disease, or showing morbidity and mortality</w:t>
      </w:r>
    </w:p>
    <w:p w:rsidR="00D25EFC" w:rsidRDefault="00A27A2B">
      <w:pPr>
        <w:pStyle w:val="List"/>
      </w:pPr>
      <w:r>
        <w:t>pilchards o</w:t>
      </w:r>
      <w:r>
        <w:t>r herrings during mortality events</w:t>
      </w:r>
    </w:p>
    <w:p w:rsidR="00D25EFC" w:rsidRDefault="00A27A2B">
      <w:pPr>
        <w:pStyle w:val="List"/>
      </w:pPr>
      <w:r>
        <w:t>wild marine fish other than pilchards or herring, with or without clinical signs of disease</w:t>
      </w:r>
    </w:p>
    <w:p w:rsidR="00D25EFC" w:rsidRDefault="00A27A2B">
      <w:pPr>
        <w:pStyle w:val="List"/>
      </w:pPr>
      <w:r>
        <w:t>wild freshwater fish, with or without clinical signs of disease.</w:t>
      </w:r>
    </w:p>
    <w:p w:rsidR="00D25EFC" w:rsidRDefault="00A27A2B">
      <w:pPr>
        <w:pStyle w:val="Normalindent"/>
      </w:pPr>
      <w:r>
        <w:t>Each scenario may require a different control strategy, the choi</w:t>
      </w:r>
      <w:r>
        <w:t>ce of which will be influenced by the circumstances at the time. The above list is not exhaustive and takes no account of the different strains of VHSV.</w:t>
      </w:r>
    </w:p>
    <w:p w:rsidR="00D25EFC" w:rsidRDefault="00A27A2B">
      <w:pPr>
        <w:pStyle w:val="Heading4"/>
      </w:pPr>
      <w:bookmarkStart w:id="75" w:name="_Toc402970342"/>
      <w:bookmarkStart w:id="76" w:name="_Toc408836316"/>
      <w:r>
        <w:t>Methods to prevent spread and eliminate pathogens</w:t>
      </w:r>
      <w:bookmarkEnd w:id="75"/>
      <w:bookmarkEnd w:id="76"/>
    </w:p>
    <w:p w:rsidR="00D25EFC" w:rsidRDefault="00A27A2B">
      <w:pPr>
        <w:pStyle w:val="Normalindent"/>
      </w:pPr>
      <w:r>
        <w:t>There are essentially three disease control strategie</w:t>
      </w:r>
      <w:r>
        <w:t>s that could be adopted if VHSV is detected in Australia, including:</w:t>
      </w:r>
    </w:p>
    <w:p w:rsidR="00D25EFC" w:rsidRDefault="00A27A2B">
      <w:pPr>
        <w:pStyle w:val="List"/>
      </w:pPr>
      <w:r>
        <w:t>eradication: the scale may be national (i.e. from Australia), local (e.g. from a local trout farm) or intermediate (e.g. from a sea cage farm, region or state)</w:t>
      </w:r>
    </w:p>
    <w:p w:rsidR="00D25EFC" w:rsidRDefault="00A27A2B">
      <w:pPr>
        <w:pStyle w:val="List"/>
      </w:pPr>
      <w:r>
        <w:t>containment, control and zo</w:t>
      </w:r>
      <w:r>
        <w:t>ning: excluding VHSV from defined geographic areas and unaffected populations (e.g. by quarantine) and containing the virus to areas with enzootic infection</w:t>
      </w:r>
    </w:p>
    <w:p w:rsidR="00D25EFC" w:rsidRDefault="00A27A2B">
      <w:pPr>
        <w:pStyle w:val="List"/>
      </w:pPr>
      <w:r>
        <w:t>control and mitigation: managing the frequency and severity of disease episodes in infected populat</w:t>
      </w:r>
      <w:r>
        <w:t>ions and keeping them within acceptable levels.</w:t>
      </w:r>
    </w:p>
    <w:p w:rsidR="00D25EFC" w:rsidRDefault="00A27A2B">
      <w:pPr>
        <w:pStyle w:val="Normalindent"/>
      </w:pPr>
      <w:r>
        <w:t xml:space="preserve">The basic principles of eradication and the other control responses are described in the AQUAVETPLAN </w:t>
      </w:r>
      <w:r>
        <w:rPr>
          <w:rStyle w:val="Emphasis"/>
        </w:rPr>
        <w:t>Enterprise Manual</w:t>
      </w:r>
      <w:r>
        <w:rPr>
          <w:b/>
        </w:rPr>
        <w:t xml:space="preserve"> </w:t>
      </w:r>
      <w:r>
        <w:t>(http://www.agriculture.gov.au/animal-plant-health/aquatic/aquavetplan) and</w:t>
      </w:r>
      <w:r>
        <w:rPr>
          <w:rStyle w:val="Emphasis"/>
        </w:rPr>
        <w:t xml:space="preserve"> Control Centr</w:t>
      </w:r>
      <w:r>
        <w:rPr>
          <w:rStyle w:val="Emphasis"/>
        </w:rPr>
        <w:t>es Management Manual</w:t>
      </w:r>
      <w:r>
        <w:t xml:space="preserve"> (http://www.agriculture.gov.au/animal-plant-health/aquatic/aquavetplan), which</w:t>
      </w:r>
      <w:r>
        <w:rPr>
          <w:b/>
        </w:rPr>
        <w:t xml:space="preserve"> </w:t>
      </w:r>
      <w:r>
        <w:t>detail state and territory legislation relating to disease control and eradication.</w:t>
      </w:r>
    </w:p>
    <w:p w:rsidR="00D25EFC" w:rsidRDefault="00A27A2B">
      <w:pPr>
        <w:pStyle w:val="Normalindent"/>
      </w:pPr>
      <w:r>
        <w:t>Response measures may involve any or all of the following:</w:t>
      </w:r>
    </w:p>
    <w:p w:rsidR="00D25EFC" w:rsidRDefault="00A27A2B">
      <w:pPr>
        <w:pStyle w:val="List"/>
      </w:pPr>
      <w:r>
        <w:lastRenderedPageBreak/>
        <w:t>early detecti</w:t>
      </w:r>
      <w:r>
        <w:t>on and identification of VHSV and any associated clinical signs of disease</w:t>
      </w:r>
    </w:p>
    <w:p w:rsidR="00D25EFC" w:rsidRDefault="00A27A2B">
      <w:pPr>
        <w:pStyle w:val="List"/>
      </w:pPr>
      <w:r>
        <w:t>rapid definition of the nature and extent of the problem, including delineation of the geographic area of the outbreak</w:t>
      </w:r>
    </w:p>
    <w:p w:rsidR="00D25EFC" w:rsidRDefault="00A27A2B">
      <w:pPr>
        <w:pStyle w:val="List"/>
      </w:pPr>
      <w:r>
        <w:t>testing of wild fish species to assess whether virus is presen</w:t>
      </w:r>
      <w:r>
        <w:t>t in wild fish populations and, if so, its prevalence and geographic extent</w:t>
      </w:r>
    </w:p>
    <w:p w:rsidR="00D25EFC" w:rsidRDefault="00A27A2B">
      <w:pPr>
        <w:pStyle w:val="List"/>
      </w:pPr>
      <w:r>
        <w:t>seizure, quarantine or destruction of infected fish (which may not always be possible or warranted)</w:t>
      </w:r>
    </w:p>
    <w:p w:rsidR="00D25EFC" w:rsidRDefault="00A27A2B">
      <w:pPr>
        <w:pStyle w:val="List"/>
      </w:pPr>
      <w:r>
        <w:t>tracing, seizure and quarantine or destruction of potentially infected fish (whi</w:t>
      </w:r>
      <w:r>
        <w:t>ch may not always be possible or warranted)</w:t>
      </w:r>
    </w:p>
    <w:p w:rsidR="00D25EFC" w:rsidRDefault="00A27A2B">
      <w:pPr>
        <w:pStyle w:val="List"/>
      </w:pPr>
      <w:r>
        <w:t>movement controls over fish and fish products</w:t>
      </w:r>
    </w:p>
    <w:p w:rsidR="00D25EFC" w:rsidRDefault="00A27A2B">
      <w:pPr>
        <w:pStyle w:val="List"/>
      </w:pPr>
      <w:r>
        <w:t>movement controls over water (where possible) and/or disinfection of water to ensure inactivation of virus</w:t>
      </w:r>
    </w:p>
    <w:p w:rsidR="00D25EFC" w:rsidRDefault="00A27A2B">
      <w:pPr>
        <w:pStyle w:val="List"/>
      </w:pPr>
      <w:r>
        <w:t>movement controls over people, vehicles, fish transporters,</w:t>
      </w:r>
      <w:r>
        <w:t xml:space="preserve"> equipment and other means of mechanical spread of the virus</w:t>
      </w:r>
    </w:p>
    <w:p w:rsidR="00D25EFC" w:rsidRDefault="00A27A2B">
      <w:pPr>
        <w:pStyle w:val="List"/>
      </w:pPr>
      <w:r>
        <w:t>good communication between all relevant government and industry stakeholders</w:t>
      </w:r>
    </w:p>
    <w:p w:rsidR="00D25EFC" w:rsidRDefault="00A27A2B">
      <w:pPr>
        <w:pStyle w:val="List"/>
      </w:pPr>
      <w:r>
        <w:t xml:space="preserve">media liaison and development of extension materials. </w:t>
      </w:r>
    </w:p>
    <w:p w:rsidR="00D25EFC" w:rsidRDefault="00A27A2B">
      <w:pPr>
        <w:pStyle w:val="Heading5"/>
      </w:pPr>
      <w:bookmarkStart w:id="77" w:name="_Toc402970343"/>
      <w:bookmarkStart w:id="78" w:name="_Toc408836317"/>
      <w:r>
        <w:t>Quarantine and movement controls</w:t>
      </w:r>
      <w:bookmarkEnd w:id="77"/>
      <w:bookmarkEnd w:id="78"/>
    </w:p>
    <w:p w:rsidR="00D25EFC" w:rsidRDefault="00A27A2B">
      <w:pPr>
        <w:pStyle w:val="Normalindent"/>
      </w:pPr>
      <w:r>
        <w:t xml:space="preserve">If quarantine and movement </w:t>
      </w:r>
      <w:r>
        <w:t>controls are to be implemented, the basic principles to be followed are:</w:t>
      </w:r>
    </w:p>
    <w:p w:rsidR="00D25EFC" w:rsidRDefault="00A27A2B">
      <w:pPr>
        <w:pStyle w:val="List"/>
      </w:pPr>
      <w:r>
        <w:t>establishment of specified areas (Figure 4):</w:t>
      </w:r>
    </w:p>
    <w:p w:rsidR="00D25EFC" w:rsidRDefault="00A27A2B">
      <w:pPr>
        <w:pStyle w:val="List2"/>
        <w:rPr>
          <w:rStyle w:val="Emphasis"/>
        </w:rPr>
      </w:pPr>
      <w:r>
        <w:rPr>
          <w:rStyle w:val="Emphasis"/>
        </w:rPr>
        <w:t>declared area (includes restricted area and control area)</w:t>
      </w:r>
    </w:p>
    <w:p w:rsidR="00D25EFC" w:rsidRDefault="00A27A2B">
      <w:pPr>
        <w:pStyle w:val="List2"/>
        <w:rPr>
          <w:rStyle w:val="Emphasis"/>
        </w:rPr>
      </w:pPr>
      <w:r>
        <w:rPr>
          <w:rStyle w:val="Emphasis"/>
        </w:rPr>
        <w:t>restricted area (an area around an infected premises or area)</w:t>
      </w:r>
    </w:p>
    <w:p w:rsidR="00D25EFC" w:rsidRDefault="00A27A2B">
      <w:pPr>
        <w:pStyle w:val="List2"/>
        <w:rPr>
          <w:rStyle w:val="Emphasis"/>
        </w:rPr>
      </w:pPr>
      <w:r>
        <w:rPr>
          <w:rStyle w:val="Emphasis"/>
        </w:rPr>
        <w:t>control area (a bu</w:t>
      </w:r>
      <w:r>
        <w:rPr>
          <w:rStyle w:val="Emphasis"/>
        </w:rPr>
        <w:t>ffer between the restricted area and free areas)</w:t>
      </w:r>
    </w:p>
    <w:p w:rsidR="00D25EFC" w:rsidRDefault="00A27A2B">
      <w:pPr>
        <w:pStyle w:val="List2"/>
        <w:rPr>
          <w:rStyle w:val="Emphasis"/>
        </w:rPr>
      </w:pPr>
      <w:r>
        <w:rPr>
          <w:rStyle w:val="Emphasis"/>
        </w:rPr>
        <w:t>free area (noninfected area not considered a declared area and may include large areas of Australia in which the presence or absence of VHSV remains unassessed)</w:t>
      </w:r>
    </w:p>
    <w:p w:rsidR="00D25EFC" w:rsidRDefault="00A27A2B">
      <w:pPr>
        <w:pStyle w:val="List"/>
      </w:pPr>
      <w:r>
        <w:t>bans on the movement of live fish and fish pro</w:t>
      </w:r>
      <w:r>
        <w:t>ducts from restricted areas into areas where VHSV is considered absent</w:t>
      </w:r>
    </w:p>
    <w:p w:rsidR="00D25EFC" w:rsidRDefault="00A27A2B">
      <w:pPr>
        <w:pStyle w:val="List"/>
      </w:pPr>
      <w:r>
        <w:t>restrictions or bans on releasing fish into river or freshwater lake systems or marine zones in designated areas</w:t>
      </w:r>
    </w:p>
    <w:p w:rsidR="00D25EFC" w:rsidRDefault="00A27A2B">
      <w:pPr>
        <w:pStyle w:val="List"/>
      </w:pPr>
      <w:r>
        <w:t>restrictions or bans on the movement of fish and fish products between r</w:t>
      </w:r>
      <w:r>
        <w:t>iver systems and between marine zones in designated areas</w:t>
      </w:r>
    </w:p>
    <w:p w:rsidR="00D25EFC" w:rsidRDefault="00A27A2B">
      <w:pPr>
        <w:pStyle w:val="List"/>
      </w:pPr>
      <w:r>
        <w:t>restrictions or bans on the use and movement of vehicles (e.g. cars and boats) and equipment (e.g. nets, buckets, footwear and fishing gear) within and between marine and freshwater areas</w:t>
      </w:r>
    </w:p>
    <w:p w:rsidR="00D25EFC" w:rsidRDefault="00A27A2B">
      <w:pPr>
        <w:pStyle w:val="List"/>
      </w:pPr>
      <w:r>
        <w:t>controls o</w:t>
      </w:r>
      <w:r>
        <w:t>n access of predators, such as birds, to potentially infective material (e.g. fish carcasses and hatchery tanks).</w:t>
      </w:r>
    </w:p>
    <w:p w:rsidR="00D25EFC" w:rsidRDefault="00A27A2B">
      <w:pPr>
        <w:pStyle w:val="Caption"/>
      </w:pPr>
      <w:bookmarkStart w:id="79" w:name="_Toc408392447"/>
      <w:bookmarkStart w:id="80" w:name="_Toc408393507"/>
      <w:r>
        <w:lastRenderedPageBreak/>
        <w:t xml:space="preserve">Figure </w:t>
      </w:r>
      <w:fldSimple w:instr=" SEQ Figure \* ARABIC ">
        <w:r>
          <w:rPr>
            <w:noProof/>
          </w:rPr>
          <w:t>4</w:t>
        </w:r>
      </w:fldSimple>
      <w:r>
        <w:tab/>
        <w:t>Establishment of specified areas to control viral haemorrhagic septicaemia</w:t>
      </w:r>
      <w:bookmarkEnd w:id="79"/>
      <w:bookmarkEnd w:id="80"/>
    </w:p>
    <w:p w:rsidR="00D25EFC" w:rsidRDefault="00A27A2B">
      <w:pPr>
        <w:pStyle w:val="Normalindent"/>
      </w:pPr>
      <w:r>
        <w:rPr>
          <w:noProof/>
        </w:rPr>
        <w:drawing>
          <wp:inline distT="0" distB="0" distL="0" distR="0">
            <wp:extent cx="4599307" cy="2495550"/>
            <wp:effectExtent l="19050" t="19050" r="10793" b="19050"/>
            <wp:docPr id="11" name="Picture 9" descr="Control zone areas for disease management. Any infected areas are in the middle. Around those areas is a restricted area, and around that a control area. Areas external to those are fre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trol zone areas for disease management. Any infected areas are in the middle. Around those areas is a restricted area, and around that a control area. Areas external to those are free areas."/>
                    <pic:cNvPicPr>
                      <a:picLocks noChangeAspect="1" noChangeArrowheads="1"/>
                    </pic:cNvPicPr>
                  </pic:nvPicPr>
                  <pic:blipFill>
                    <a:blip r:embed="rId20"/>
                    <a:srcRect/>
                    <a:stretch>
                      <a:fillRect/>
                    </a:stretch>
                  </pic:blipFill>
                  <pic:spPr bwMode="auto">
                    <a:xfrm>
                      <a:off x="0" y="0"/>
                      <a:ext cx="4599307" cy="2495550"/>
                    </a:xfrm>
                    <a:prstGeom prst="rect">
                      <a:avLst/>
                    </a:prstGeom>
                    <a:noFill/>
                    <a:ln w="6350" cmpd="sng">
                      <a:solidFill>
                        <a:srgbClr val="000000"/>
                      </a:solidFill>
                      <a:miter lim="800000"/>
                      <a:headEnd/>
                      <a:tailEnd/>
                    </a:ln>
                    <a:effectLst/>
                  </pic:spPr>
                </pic:pic>
              </a:graphicData>
            </a:graphic>
          </wp:inline>
        </w:drawing>
      </w:r>
    </w:p>
    <w:p w:rsidR="00D25EFC" w:rsidRDefault="00A27A2B">
      <w:pPr>
        <w:pStyle w:val="Normalindent"/>
      </w:pPr>
      <w:r>
        <w:t xml:space="preserve">Practices that would be </w:t>
      </w:r>
      <w:r>
        <w:t>affected by the implementation of quarantine and movement controls include:</w:t>
      </w:r>
    </w:p>
    <w:p w:rsidR="00D25EFC" w:rsidRDefault="00A27A2B">
      <w:pPr>
        <w:pStyle w:val="List"/>
      </w:pPr>
      <w:r>
        <w:t>transportation of live fish or fish eggs between and within freshwater operations (including broodstock)</w:t>
      </w:r>
    </w:p>
    <w:p w:rsidR="00D25EFC" w:rsidRDefault="00A27A2B">
      <w:pPr>
        <w:pStyle w:val="List"/>
      </w:pPr>
      <w:r>
        <w:t>live fish transportation between freshwater and saltwater operations</w:t>
      </w:r>
    </w:p>
    <w:p w:rsidR="00D25EFC" w:rsidRDefault="00A27A2B">
      <w:pPr>
        <w:pStyle w:val="List"/>
      </w:pPr>
      <w:r>
        <w:t>transl</w:t>
      </w:r>
      <w:r>
        <w:t xml:space="preserve">ocation of fish and fish products as bait </w:t>
      </w:r>
    </w:p>
    <w:p w:rsidR="00D25EFC" w:rsidRDefault="00A27A2B">
      <w:pPr>
        <w:pStyle w:val="List"/>
      </w:pPr>
      <w:r>
        <w:t>fish harvesting (wild and farmed) and transportation to processing plants</w:t>
      </w:r>
    </w:p>
    <w:p w:rsidR="00D25EFC" w:rsidRDefault="00A27A2B">
      <w:pPr>
        <w:pStyle w:val="List"/>
      </w:pPr>
      <w:r>
        <w:t>discharge of processing plant effluent</w:t>
      </w:r>
    </w:p>
    <w:p w:rsidR="00D25EFC" w:rsidRDefault="00A27A2B">
      <w:pPr>
        <w:pStyle w:val="List"/>
      </w:pPr>
      <w:r>
        <w:t>transportation of consumer-ready products</w:t>
      </w:r>
    </w:p>
    <w:p w:rsidR="00D25EFC" w:rsidRDefault="00A27A2B">
      <w:pPr>
        <w:pStyle w:val="List"/>
      </w:pPr>
      <w:r>
        <w:t>disposal of dead fish</w:t>
      </w:r>
    </w:p>
    <w:p w:rsidR="00D25EFC" w:rsidRDefault="00A27A2B">
      <w:pPr>
        <w:pStyle w:val="List"/>
      </w:pPr>
      <w:r>
        <w:t>movements of boats and other vehicle</w:t>
      </w:r>
      <w:r>
        <w:t>s.</w:t>
      </w:r>
    </w:p>
    <w:p w:rsidR="00D25EFC" w:rsidRDefault="00A27A2B">
      <w:pPr>
        <w:pStyle w:val="Normalindent"/>
      </w:pPr>
      <w:r>
        <w:t>The imposition of restrictions can significantly reduce spread of the pathogen in the early stages of control of a disease outbreak. Imposing restrictions may also ‘buy time’ while the true extent of the problem is assessed but, as demonstrated in the o</w:t>
      </w:r>
      <w:r>
        <w:t>utbreaks of VHSV-IVb in the Great Lakes of North America, even if restrictions are implemented,</w:t>
      </w:r>
      <w:r>
        <w:rPr>
          <w:b/>
        </w:rPr>
        <w:t xml:space="preserve"> </w:t>
      </w:r>
      <w:r>
        <w:t>the virus can still spread through natural movements of water, fish and other vectors (Appendix 4) (Gustafson 2009, Bain et al. 2010, Gustafson et al. 2010, VHS</w:t>
      </w:r>
      <w:r>
        <w:t>V Expert Panel and Working Group 2010).</w:t>
      </w:r>
    </w:p>
    <w:p w:rsidR="00D25EFC" w:rsidRDefault="00A27A2B">
      <w:pPr>
        <w:pStyle w:val="Normalindent"/>
      </w:pPr>
      <w:r>
        <w:t xml:space="preserve">If VHSV is detected, it may be difficult to determine the size of the specified areas. For example, during an outbreak of VHS on a turbot farm in Scotland, all farms within 20 km of the infected premises were deemed </w:t>
      </w:r>
      <w:r>
        <w:t>suspect and placed under movement controls (Munro 1996). The 20 km radius was the distance at which virus concentration fell below 1 infectious virion/m</w:t>
      </w:r>
      <w:r>
        <w:rPr>
          <w:vertAlign w:val="superscript"/>
        </w:rPr>
        <w:t>3</w:t>
      </w:r>
      <w:r>
        <w:t xml:space="preserve"> of seawater (with the assumption that natural factors did not inactivate the virus). In another VHS ou</w:t>
      </w:r>
      <w:r>
        <w:t>tbreak on a rainbow trout farm in the UK, control orders were placed on all fish farms within five river catchments that drained into the Humber estuary, and all fish at the affected farm were slaughtered on site (CEFAS 2007). Furthermore, the risk of infe</w:t>
      </w:r>
      <w:r>
        <w:t xml:space="preserve">ctious salmon anaemia (ISA) virus infection </w:t>
      </w:r>
      <w:r>
        <w:lastRenderedPageBreak/>
        <w:t xml:space="preserve">increased by a factor of eight if the site was closer than 5 km to another ISA-positive site (Jarp and Karlsen 1997). For the outbreaks of VHSV-IVb in the Great Lakes, an expert panel considered that the cut-off </w:t>
      </w:r>
      <w:r>
        <w:t>for high-risk linear distance from a</w:t>
      </w:r>
      <w:r>
        <w:rPr>
          <w:rFonts w:cs="AdvP4DF60E"/>
          <w:lang w:eastAsia="en-US"/>
        </w:rPr>
        <w:t xml:space="preserve"> known VHSV-positive watershed was around 100 km, based on the distance a piscivorous bird might travel from feeding grounds to nest (</w:t>
      </w:r>
      <w:r>
        <w:t xml:space="preserve">VHSV Expert Panel and Working Group 2010). The same panel estimated that the </w:t>
      </w:r>
      <w:r>
        <w:rPr>
          <w:rFonts w:cs="AdvP4DF60E"/>
          <w:lang w:eastAsia="en-US"/>
        </w:rPr>
        <w:t>cut-off f</w:t>
      </w:r>
      <w:r>
        <w:rPr>
          <w:rFonts w:cs="AdvP4DF60E"/>
          <w:lang w:eastAsia="en-US"/>
        </w:rPr>
        <w:t xml:space="preserve">or low-risk </w:t>
      </w:r>
      <w:r>
        <w:t xml:space="preserve">linear distance </w:t>
      </w:r>
      <w:r>
        <w:rPr>
          <w:rFonts w:cs="AdvP4DF60E"/>
          <w:lang w:eastAsia="en-US"/>
        </w:rPr>
        <w:t>was around 500 km, based on a day’s travel by car (</w:t>
      </w:r>
      <w:r>
        <w:t>VHSV Expert Panel and Working Group 2010)</w:t>
      </w:r>
      <w:r>
        <w:rPr>
          <w:rFonts w:cs="AdvP4DF60E"/>
          <w:lang w:eastAsia="en-US"/>
        </w:rPr>
        <w:t xml:space="preserve">. </w:t>
      </w:r>
    </w:p>
    <w:p w:rsidR="00D25EFC" w:rsidRDefault="00A27A2B">
      <w:pPr>
        <w:pStyle w:val="Normalindent"/>
      </w:pPr>
      <w:r>
        <w:t xml:space="preserve">The extent of restrictions should take into account movements of fish and water, and the possibility that the virus is widespread in </w:t>
      </w:r>
      <w:r>
        <w:t>the region in which it is first isolated. Rapid determination of the nature and extent of the problem is important for the decision-making process.</w:t>
      </w:r>
    </w:p>
    <w:p w:rsidR="00D25EFC" w:rsidRDefault="00A27A2B">
      <w:pPr>
        <w:pStyle w:val="Heading6"/>
      </w:pPr>
      <w:r>
        <w:t>Semi-open systems</w:t>
      </w:r>
    </w:p>
    <w:p w:rsidR="00D25EFC" w:rsidRDefault="00A27A2B">
      <w:pPr>
        <w:pStyle w:val="Normalindent"/>
      </w:pPr>
      <w:r>
        <w:t>In semi-open fish production systems, there is virtually no control over the aquatic envir</w:t>
      </w:r>
      <w:r>
        <w:t xml:space="preserve">onment. Fish are contained in cages moored in estuaries or sheltered positions. Cages and nets can become damaged, allowing fish to escape into the wild. There is often significant interaction between wild and farmed fish, including wild fish entering sea </w:t>
      </w:r>
      <w:r>
        <w:t>cages holding farmed fish. With such close interaction, the only way to prevent release of virus from infected fish into the surrounding environment in a semi-open system is to remove infected captive fish from the water. If wild fish have already become i</w:t>
      </w:r>
      <w:r>
        <w:t>nfected, this may not eliminate the risk of disease propagation.</w:t>
      </w:r>
    </w:p>
    <w:p w:rsidR="00D25EFC" w:rsidRDefault="00A27A2B">
      <w:pPr>
        <w:pStyle w:val="Heading6"/>
      </w:pPr>
      <w:r>
        <w:t>Semi-closed systems</w:t>
      </w:r>
    </w:p>
    <w:p w:rsidR="00D25EFC" w:rsidRDefault="00A27A2B">
      <w:pPr>
        <w:pStyle w:val="Normalindent"/>
      </w:pPr>
      <w:r>
        <w:t>Semi-closed fish production systems have more control over water than semi-open systems.</w:t>
      </w:r>
      <w:r>
        <w:rPr>
          <w:b/>
        </w:rPr>
        <w:t xml:space="preserve"> </w:t>
      </w:r>
      <w:r>
        <w:t xml:space="preserve">However, there are differences between farms in the extent to which input and </w:t>
      </w:r>
      <w:r>
        <w:t>output water can be contained. Semi-closed systems are not designed to be self-contained, so preventing the inflow or outflow of water may have adverse effects on the capacity of a farm to sustain adequate water quality for support of its captive fish popu</w:t>
      </w:r>
      <w:r>
        <w:t>lation.</w:t>
      </w:r>
    </w:p>
    <w:p w:rsidR="00D25EFC" w:rsidRDefault="00A27A2B">
      <w:pPr>
        <w:pStyle w:val="Normalindent"/>
      </w:pPr>
      <w:r>
        <w:t>Output water control and treatment to control VHSV are possible, but are usually not economically viable. The virus was successfully eradicated in Scotland from a pump-ashore tank farm in Scotland through disinfection of effluent water before relea</w:t>
      </w:r>
      <w:r>
        <w:t>se (Munro 1996).</w:t>
      </w:r>
    </w:p>
    <w:p w:rsidR="00D25EFC" w:rsidRDefault="00A27A2B">
      <w:pPr>
        <w:pStyle w:val="Normalindent"/>
      </w:pPr>
      <w:r>
        <w:t>Fish input and output may be controlled. Fish inputs into freshwater farms may be from onsite hatcheries or from freshwater or marine farms (e.g. broodstock). Fish are also able to enter farm waterways, and possibly ponds, via intake water</w:t>
      </w:r>
      <w:r>
        <w:t xml:space="preserve"> from the water source. Movement restrictions would significantly interrupt some farm management practices and production.</w:t>
      </w:r>
    </w:p>
    <w:p w:rsidR="00D25EFC" w:rsidRDefault="00A27A2B">
      <w:pPr>
        <w:pStyle w:val="Normalindent"/>
      </w:pPr>
      <w:r>
        <w:t>VHSV was successfully eliminated from fish hatcheries in Denmark (Jørgensen 1980). Eradication protocols included draining, disinfect</w:t>
      </w:r>
      <w:r>
        <w:t>ion and drying, for at least 1 month, of all VHSV-infected trout farms using water from the same stream, starting with the farm at the top of the stream and working progressively downstream. The farms were then restocked with VHSV-free fish. There was no d</w:t>
      </w:r>
      <w:r>
        <w:t>estruction of wild fish. VHSV has also been eradicated from fish farms in Scotland (Munro 1996) and England (CEFAS 2007) through slaughter of fish followed by disinfection and fallowing.</w:t>
      </w:r>
    </w:p>
    <w:p w:rsidR="00D25EFC" w:rsidRDefault="00A27A2B">
      <w:pPr>
        <w:pStyle w:val="Heading6"/>
      </w:pPr>
      <w:r>
        <w:lastRenderedPageBreak/>
        <w:t>Closed systems</w:t>
      </w:r>
    </w:p>
    <w:p w:rsidR="00D25EFC" w:rsidRDefault="00A27A2B">
      <w:pPr>
        <w:pStyle w:val="Normalindent"/>
      </w:pPr>
      <w:r>
        <w:t>It is possible to isolate a closed fish production sys</w:t>
      </w:r>
      <w:r>
        <w:t>tem, such as an aquarium or recirculation system. Therefore, it is possible to prevent the spread of VHSV from a closed system.</w:t>
      </w:r>
    </w:p>
    <w:p w:rsidR="00D25EFC" w:rsidRDefault="00A27A2B">
      <w:pPr>
        <w:pStyle w:val="Heading6"/>
      </w:pPr>
      <w:r>
        <w:t>Zoning</w:t>
      </w:r>
    </w:p>
    <w:p w:rsidR="00D25EFC" w:rsidRDefault="00A27A2B">
      <w:pPr>
        <w:pStyle w:val="Normalindent"/>
      </w:pPr>
      <w:r>
        <w:t xml:space="preserve">Principles of zoning for infected and noninfected zones in Australia are outlined in the AQUAPLAN </w:t>
      </w:r>
      <w:r>
        <w:rPr>
          <w:rStyle w:val="Emphasis"/>
        </w:rPr>
        <w:t>Zoning Policy Guideline</w:t>
      </w:r>
      <w:r>
        <w:rPr>
          <w:rStyle w:val="Emphasis"/>
        </w:rPr>
        <w:t>s</w:t>
      </w:r>
      <w:r>
        <w:t xml:space="preserve"> (Zoning Policy Guidelines).</w:t>
      </w:r>
      <w:r>
        <w:rPr>
          <w:sz w:val="14"/>
          <w:szCs w:val="14"/>
        </w:rPr>
        <w:t xml:space="preserve"> </w:t>
      </w:r>
      <w:r>
        <w:t>Zoning may be possible if VHSV is isolated from a single culture facility or if the virus has been carried into a freshwater environment from a marine source (e.g. through feeding of marine trash fish to freshwater cultured fi</w:t>
      </w:r>
      <w:r>
        <w:t>sh), even if the virus is known to be present in wild marine species.</w:t>
      </w:r>
    </w:p>
    <w:p w:rsidR="00D25EFC" w:rsidRDefault="00A27A2B">
      <w:pPr>
        <w:pStyle w:val="Normalindent"/>
      </w:pPr>
      <w:r>
        <w:t>If VHSV becomes enzootic in specific regions of Australia, a zoning policy that is specific for VHSV may be necessary to protect noninfected areas and to prevent further spread of infect</w:t>
      </w:r>
      <w:r>
        <w:t>ion. A corresponding surveillance and monitoring program for VHSV will also be required to support and validate a zoning policy.</w:t>
      </w:r>
    </w:p>
    <w:p w:rsidR="00D25EFC" w:rsidRDefault="00A27A2B">
      <w:pPr>
        <w:pStyle w:val="Heading5"/>
      </w:pPr>
      <w:bookmarkStart w:id="81" w:name="_Toc402970344"/>
      <w:bookmarkStart w:id="82" w:name="_Toc408836318"/>
      <w:r>
        <w:t>Tracing</w:t>
      </w:r>
      <w:bookmarkEnd w:id="81"/>
      <w:bookmarkEnd w:id="82"/>
    </w:p>
    <w:p w:rsidR="00D25EFC" w:rsidRDefault="00A27A2B">
      <w:pPr>
        <w:pStyle w:val="Normalindent"/>
      </w:pPr>
      <w:r>
        <w:t>The tracing of fish, fish products, people and equipment may be difficult, depending on the areas from which VHSV was i</w:t>
      </w:r>
      <w:r>
        <w:t>solated. Some facilities culturing fish are involved in restocking programs where there is extensive movement of live fish. Other facilities move fish products daily to distant markets. Often, very little is known of wild fish movements in water bodies rec</w:t>
      </w:r>
      <w:r>
        <w:t>eiving discharge from fish farms.</w:t>
      </w:r>
    </w:p>
    <w:p w:rsidR="00D25EFC" w:rsidRDefault="00A27A2B">
      <w:pPr>
        <w:pStyle w:val="Normalindent"/>
      </w:pPr>
      <w:r>
        <w:t>A thorough and comprehensive epidemiological investigation, such as the one that occurred in Yorkshire in 2007 (CEFAS 2007), requires trained personnel with adequate time and resources.</w:t>
      </w:r>
    </w:p>
    <w:p w:rsidR="00D25EFC" w:rsidRDefault="00A27A2B">
      <w:pPr>
        <w:pStyle w:val="Normalindent"/>
      </w:pPr>
      <w:r>
        <w:t>Immediate tracing steps to aid in th</w:t>
      </w:r>
      <w:r>
        <w:t>e epidemiological investigation include:</w:t>
      </w:r>
    </w:p>
    <w:p w:rsidR="00D25EFC" w:rsidRDefault="00A27A2B">
      <w:pPr>
        <w:pStyle w:val="List"/>
      </w:pPr>
      <w:r>
        <w:rPr>
          <w:rFonts w:cs="BookAntiqua-Italic"/>
          <w:iCs/>
        </w:rPr>
        <w:t>trace-back</w:t>
      </w:r>
      <w:r>
        <w:rPr>
          <w:rStyle w:val="Emphasis"/>
        </w:rPr>
        <w:t xml:space="preserve"> </w:t>
      </w:r>
      <w:r>
        <w:t>of all movements of infected fish to help establish the origin of the outbreak (were the infected fish exposed to VHSV at their current location? Did they carry the virus to that location?)</w:t>
      </w:r>
    </w:p>
    <w:p w:rsidR="00D25EFC" w:rsidRDefault="00A27A2B">
      <w:pPr>
        <w:pStyle w:val="List"/>
      </w:pPr>
      <w:r>
        <w:rPr>
          <w:rFonts w:cs="BookAntiqua-Italic"/>
          <w:iCs/>
        </w:rPr>
        <w:t>trace-forward</w:t>
      </w:r>
      <w:r>
        <w:rPr>
          <w:rStyle w:val="Emphasis"/>
        </w:rPr>
        <w:t xml:space="preserve"> </w:t>
      </w:r>
      <w:r>
        <w:t>of all contacts with infected fish, premises and sites to establish the current and potential spread of infection (where did fish, water and equipment from the infected facility go, within the period of infection or exposure?).</w:t>
      </w:r>
    </w:p>
    <w:p w:rsidR="00D25EFC" w:rsidRDefault="00A27A2B">
      <w:pPr>
        <w:pStyle w:val="Normalindent"/>
      </w:pPr>
      <w:r>
        <w:t>Tracing should include:</w:t>
      </w:r>
    </w:p>
    <w:p w:rsidR="00D25EFC" w:rsidRDefault="00A27A2B">
      <w:pPr>
        <w:pStyle w:val="List"/>
      </w:pPr>
      <w:r>
        <w:t>fish</w:t>
      </w:r>
      <w:r>
        <w:t xml:space="preserve"> (broodstock, juveniles, fish used for restocking and harvested wild fish)</w:t>
      </w:r>
    </w:p>
    <w:p w:rsidR="00D25EFC" w:rsidRDefault="00A27A2B">
      <w:pPr>
        <w:pStyle w:val="List"/>
      </w:pPr>
      <w:r>
        <w:t>fish products (fish for consumption, used as bait or berley or as aquaculture feed, and effluent and waste products from slaughter and processing)</w:t>
      </w:r>
    </w:p>
    <w:p w:rsidR="00D25EFC" w:rsidRDefault="00A27A2B">
      <w:pPr>
        <w:pStyle w:val="List"/>
      </w:pPr>
      <w:r>
        <w:t>water (input and output)</w:t>
      </w:r>
    </w:p>
    <w:p w:rsidR="00D25EFC" w:rsidRDefault="00A27A2B">
      <w:pPr>
        <w:pStyle w:val="List"/>
      </w:pPr>
      <w:r>
        <w:t>equipment</w:t>
      </w:r>
      <w:r>
        <w:t>, vehicles and personnel (bearing in mind that VHSV is not a robust virus and that these items are readily disinfected).</w:t>
      </w:r>
    </w:p>
    <w:p w:rsidR="00D25EFC" w:rsidRDefault="00A27A2B">
      <w:pPr>
        <w:pStyle w:val="Normalindent"/>
      </w:pPr>
      <w:r>
        <w:t>Diagnostic tools such as RT-PCR (Section 1.4.3) may also be useful in identifying the strain of VHSV. This information can be used to d</w:t>
      </w:r>
      <w:r>
        <w:t>etermine the most likely route of entry of the virus.</w:t>
      </w:r>
    </w:p>
    <w:p w:rsidR="00D25EFC" w:rsidRDefault="00A27A2B">
      <w:pPr>
        <w:pStyle w:val="Heading6"/>
      </w:pPr>
      <w:r>
        <w:lastRenderedPageBreak/>
        <w:t>Neighbouring fish populations</w:t>
      </w:r>
    </w:p>
    <w:p w:rsidR="00D25EFC" w:rsidRDefault="00A27A2B">
      <w:pPr>
        <w:pStyle w:val="Normalindent"/>
      </w:pPr>
      <w:r>
        <w:t xml:space="preserve">For wild marine fish, ‘neighbouring populations’ are numerous and extensive. Detection of VHSV in wild marine fish does not necessarily indicate that the virus is a recent </w:t>
      </w:r>
      <w:r>
        <w:t>introduction. Wild fish must always be considered potential carriers of the virus.</w:t>
      </w:r>
    </w:p>
    <w:p w:rsidR="00D25EFC" w:rsidRDefault="00A27A2B">
      <w:pPr>
        <w:pStyle w:val="Normalindent"/>
      </w:pPr>
      <w:r>
        <w:t xml:space="preserve">If VHSV is isolated from a freshwater facility, it may be possible to quarantine the facility to prevent the spread of the virus to neighbouring farm sites and to wild fish </w:t>
      </w:r>
      <w:r>
        <w:t>populations (CEFAS 2007). Quarantine and movement controls (Section 2.2.1) need to be considered.</w:t>
      </w:r>
    </w:p>
    <w:p w:rsidR="00D25EFC" w:rsidRDefault="00A27A2B">
      <w:pPr>
        <w:pStyle w:val="Heading5"/>
      </w:pPr>
      <w:bookmarkStart w:id="83" w:name="_Toc402970345"/>
      <w:bookmarkStart w:id="84" w:name="_Toc408836319"/>
      <w:r>
        <w:t>Surveillance</w:t>
      </w:r>
      <w:bookmarkEnd w:id="83"/>
      <w:bookmarkEnd w:id="84"/>
    </w:p>
    <w:p w:rsidR="00D25EFC" w:rsidRDefault="00A27A2B">
      <w:pPr>
        <w:pStyle w:val="Normalindent"/>
      </w:pPr>
      <w:r>
        <w:t>Surveillance is critical in any control strategy. Surveillance can be costly and may require:</w:t>
      </w:r>
    </w:p>
    <w:p w:rsidR="00D25EFC" w:rsidRDefault="00A27A2B">
      <w:pPr>
        <w:pStyle w:val="List"/>
      </w:pPr>
      <w:r>
        <w:t>field personnel</w:t>
      </w:r>
    </w:p>
    <w:p w:rsidR="00D25EFC" w:rsidRDefault="00A27A2B">
      <w:pPr>
        <w:pStyle w:val="List"/>
      </w:pPr>
      <w:r>
        <w:t>laboratory personnel</w:t>
      </w:r>
    </w:p>
    <w:p w:rsidR="00D25EFC" w:rsidRDefault="00A27A2B">
      <w:pPr>
        <w:pStyle w:val="List"/>
      </w:pPr>
      <w:r>
        <w:t>administrative</w:t>
      </w:r>
      <w:r>
        <w:t xml:space="preserve"> assistance</w:t>
      </w:r>
    </w:p>
    <w:p w:rsidR="00D25EFC" w:rsidRDefault="00A27A2B">
      <w:pPr>
        <w:pStyle w:val="List"/>
      </w:pPr>
      <w:r>
        <w:t>equipment and instruments</w:t>
      </w:r>
    </w:p>
    <w:p w:rsidR="00D25EFC" w:rsidRDefault="00A27A2B">
      <w:pPr>
        <w:pStyle w:val="List"/>
      </w:pPr>
      <w:r>
        <w:t>validated tests in accredited laboratories</w:t>
      </w:r>
    </w:p>
    <w:p w:rsidR="00D25EFC" w:rsidRDefault="00A27A2B">
      <w:pPr>
        <w:pStyle w:val="List"/>
      </w:pPr>
      <w:r>
        <w:t>diagnostic reagents.</w:t>
      </w:r>
    </w:p>
    <w:p w:rsidR="00D25EFC" w:rsidRDefault="00A27A2B">
      <w:pPr>
        <w:pStyle w:val="Normalindent"/>
      </w:pPr>
      <w:r>
        <w:t>In Australia, VHSV must be confirmed at the AAHL, Geelong. In the development of a surveillance and monitoring program, the capacity of the AAHL to handle</w:t>
      </w:r>
      <w:r>
        <w:t xml:space="preserve"> large numbers of samples must be considered. Note that surveillance may be carried out by other competent laboratories if RT-PCR-positive controls are noninfectious (i.e. positive RNA).</w:t>
      </w:r>
    </w:p>
    <w:p w:rsidR="00D25EFC" w:rsidRDefault="00A27A2B">
      <w:pPr>
        <w:pStyle w:val="Normalindent"/>
        <w:rPr>
          <w:rFonts w:ascii="Calibri" w:hAnsi="Calibri"/>
        </w:rPr>
      </w:pPr>
      <w:r>
        <w:t xml:space="preserve">The OIE </w:t>
      </w:r>
      <w:r>
        <w:rPr>
          <w:rStyle w:val="Emphasis"/>
        </w:rPr>
        <w:t>Manual of Diagnostic Tests for Aquatic Animals</w:t>
      </w:r>
      <w:r>
        <w:t xml:space="preserve"> (aquatic manua</w:t>
      </w:r>
      <w:r>
        <w:t>l) provides specific, up-to-date information on the tests required (</w:t>
      </w:r>
      <w:r>
        <w:rPr>
          <w:rFonts w:cs="ArialMT"/>
        </w:rPr>
        <w:t>two real-time RT-PCR assays have been found to be suitable for identification of VHSV of all genotypes) and other information useful for designing a targeted surveillance program. Any surv</w:t>
      </w:r>
      <w:r>
        <w:rPr>
          <w:rFonts w:cs="ArialMT"/>
        </w:rPr>
        <w:t>eillance program would need to be epidemiologically designed on a fit-for-purpose basis, depending on the specific situation.</w:t>
      </w:r>
    </w:p>
    <w:p w:rsidR="00D25EFC" w:rsidRDefault="00A27A2B">
      <w:pPr>
        <w:pStyle w:val="Heading5"/>
      </w:pPr>
      <w:bookmarkStart w:id="85" w:name="_Toc402970346"/>
      <w:bookmarkStart w:id="86" w:name="_Toc408836320"/>
      <w:r>
        <w:t>Treatment of infected fish</w:t>
      </w:r>
      <w:bookmarkEnd w:id="85"/>
      <w:bookmarkEnd w:id="86"/>
    </w:p>
    <w:p w:rsidR="00D25EFC" w:rsidRDefault="00A27A2B">
      <w:pPr>
        <w:pStyle w:val="Normalindent"/>
      </w:pPr>
      <w:r>
        <w:t>There are currently no treatments for VHS, but experimental vaccines (Section 2.2.8) have been develope</w:t>
      </w:r>
      <w:r>
        <w:t>d to reduce or prevent the impacts of disease. RNAi technology holds promise for reducing the impacts of VHSV (Ruiz et al. 2009).</w:t>
      </w:r>
    </w:p>
    <w:p w:rsidR="00D25EFC" w:rsidRDefault="00A27A2B">
      <w:pPr>
        <w:pStyle w:val="Heading5"/>
      </w:pPr>
      <w:bookmarkStart w:id="87" w:name="_Toc402970347"/>
      <w:bookmarkStart w:id="88" w:name="_Toc408836321"/>
      <w:r>
        <w:t>Destruction and disposal of fish</w:t>
      </w:r>
      <w:bookmarkEnd w:id="87"/>
      <w:bookmarkEnd w:id="88"/>
    </w:p>
    <w:p w:rsidR="00D25EFC" w:rsidRDefault="00A27A2B">
      <w:pPr>
        <w:pStyle w:val="Normalindent"/>
      </w:pPr>
      <w:r>
        <w:t>Destruction of infected fish will eliminate a major potential source of virus, and reduce the</w:t>
      </w:r>
      <w:r>
        <w:t xml:space="preserve"> virus load in the surrounding environment and consequently the risk of infection of other wild or farmed fish. Measures to minimise the spread of virus while fish are destroyed should be implemented where possible.</w:t>
      </w:r>
      <w:r>
        <w:rPr>
          <w:b/>
        </w:rPr>
        <w:t xml:space="preserve"> </w:t>
      </w:r>
      <w:r>
        <w:t>Destruction of wild fish is rarely feasi</w:t>
      </w:r>
      <w:r>
        <w:t xml:space="preserve">ble or practical. </w:t>
      </w:r>
    </w:p>
    <w:p w:rsidR="00D25EFC" w:rsidRDefault="00A27A2B">
      <w:pPr>
        <w:pStyle w:val="Normalindent"/>
      </w:pPr>
      <w:r>
        <w:t xml:space="preserve">In North America, large numbers of Pacific salmon growing in enhancement hatcheries were destroyed after VHSV was detected (Meyers and Winton 1995). Subsequently, the isolated strain was shown to be different from the classical European </w:t>
      </w:r>
      <w:r>
        <w:t xml:space="preserve">strain, enzootic in the region, and avirulent for salmonids. </w:t>
      </w:r>
    </w:p>
    <w:p w:rsidR="00D25EFC" w:rsidRDefault="00A27A2B">
      <w:pPr>
        <w:pStyle w:val="Normalindent"/>
      </w:pPr>
      <w:r>
        <w:t xml:space="preserve">Destruction of large quantities of fish requires considerable resources and logistical planning to handle the carcasses. For example, boats or trucks </w:t>
      </w:r>
      <w:r>
        <w:lastRenderedPageBreak/>
        <w:t>capable of safely containing potentially inf</w:t>
      </w:r>
      <w:r>
        <w:t>ective material and composting or rendering facilities or burial sites are required.</w:t>
      </w:r>
    </w:p>
    <w:p w:rsidR="00D25EFC" w:rsidRDefault="00A27A2B">
      <w:pPr>
        <w:pStyle w:val="Normalindent"/>
      </w:pPr>
      <w:r>
        <w:t>For more details on destruction and disposal of fish, see the AQUAVETPLAN operational</w:t>
      </w:r>
      <w:r>
        <w:rPr>
          <w:rStyle w:val="Emphasis"/>
        </w:rPr>
        <w:t xml:space="preserve"> </w:t>
      </w:r>
      <w:r>
        <w:t xml:space="preserve">procedures manuals </w:t>
      </w:r>
      <w:r>
        <w:rPr>
          <w:rStyle w:val="Emphasis"/>
        </w:rPr>
        <w:t xml:space="preserve">Destruction </w:t>
      </w:r>
      <w:r>
        <w:t>(Destruction) and</w:t>
      </w:r>
      <w:r>
        <w:rPr>
          <w:rStyle w:val="Emphasis"/>
        </w:rPr>
        <w:t xml:space="preserve"> Disposal </w:t>
      </w:r>
      <w:r>
        <w:t>(Disposal)</w:t>
      </w:r>
      <w:r>
        <w:rPr>
          <w:rStyle w:val="Emphasis"/>
        </w:rPr>
        <w:t>.</w:t>
      </w:r>
    </w:p>
    <w:p w:rsidR="00D25EFC" w:rsidRDefault="00A27A2B">
      <w:pPr>
        <w:pStyle w:val="Heading5"/>
      </w:pPr>
      <w:bookmarkStart w:id="89" w:name="_Toc402970348"/>
      <w:bookmarkStart w:id="90" w:name="_Toc408836322"/>
      <w:r>
        <w:t>Treatment of fi</w:t>
      </w:r>
      <w:r>
        <w:t>sh products and by-products</w:t>
      </w:r>
      <w:bookmarkEnd w:id="89"/>
      <w:bookmarkEnd w:id="90"/>
    </w:p>
    <w:p w:rsidR="00D25EFC" w:rsidRDefault="00A27A2B">
      <w:pPr>
        <w:pStyle w:val="Normalindent"/>
      </w:pPr>
      <w:r>
        <w:t>Trade regulations, market requirements, food safety standards and potential spread of the pathogen must be considered when determining the processing methods and the final use of fish products and by-products.</w:t>
      </w:r>
    </w:p>
    <w:p w:rsidR="00D25EFC" w:rsidRDefault="00A27A2B">
      <w:pPr>
        <w:pStyle w:val="Normalindent"/>
      </w:pPr>
      <w:r>
        <w:t>VHSV is not a resi</w:t>
      </w:r>
      <w:r>
        <w:t>lient virus, but survives reasonably well at low temperatures. Freezing will not completely inactivate the virus, but freeze–thaw cycles significantly reduce the overall infectious virus titre (Arkush et al. 2006). Freezing at –20°C maintains infectivity o</w:t>
      </w:r>
      <w:r>
        <w:t>f VHSV-I isolates for many years (Wolf 1988).</w:t>
      </w:r>
    </w:p>
    <w:p w:rsidR="00D25EFC" w:rsidRDefault="00A27A2B">
      <w:pPr>
        <w:pStyle w:val="Normalindent"/>
      </w:pPr>
      <w:r>
        <w:t>The virus may be very difficult to detect in carrier fish, particularly in those in the very early stages of infection or in convalescent fish. However, the titre of virus may be substantial in susceptible spec</w:t>
      </w:r>
      <w:r>
        <w:t xml:space="preserve">ies in the preclinical phase of infection. </w:t>
      </w:r>
      <w:r>
        <w:rPr>
          <w:rFonts w:cs="AdvP641C"/>
          <w:lang w:eastAsia="en-US"/>
        </w:rPr>
        <w:t>The titre of virus in the tissues of Pacific herring experiencing mortality was 10–10,000 times as high during the acute phase of an epizootic than during the recovery phase (Hershberger et al. 2010b). Selecting f</w:t>
      </w:r>
      <w:r>
        <w:rPr>
          <w:rFonts w:cs="AdvP641C"/>
          <w:lang w:eastAsia="en-US"/>
        </w:rPr>
        <w:t>ish that do not have the acute disease, and through the use of</w:t>
      </w:r>
      <w:r>
        <w:t xml:space="preserve"> appropriate controls, it may be feasible to harvest and safely process fish without signs of disease. During the control of an outbreak of VHSV in Scotland, market-sized fish were eviscerated o</w:t>
      </w:r>
      <w:r>
        <w:t>n the farm site, the viscera were destroyed by burning, and the remainder of the carcasses were sent to market. Hence, organs that were most likely to contain the highest titre of virus were removed and destroyed (Munro 1996). The eradication strategy on t</w:t>
      </w:r>
      <w:r>
        <w:t>his farm was successful.</w:t>
      </w:r>
    </w:p>
    <w:p w:rsidR="00D25EFC" w:rsidRDefault="00A27A2B">
      <w:pPr>
        <w:pStyle w:val="Heading5"/>
      </w:pPr>
      <w:bookmarkStart w:id="91" w:name="_Toc402970349"/>
      <w:bookmarkStart w:id="92" w:name="_Toc408836323"/>
      <w:r>
        <w:t>Decontamination</w:t>
      </w:r>
      <w:bookmarkEnd w:id="91"/>
      <w:bookmarkEnd w:id="92"/>
    </w:p>
    <w:p w:rsidR="00D25EFC" w:rsidRDefault="00A27A2B">
      <w:pPr>
        <w:pStyle w:val="Normalindent"/>
      </w:pPr>
      <w:r>
        <w:t xml:space="preserve">Successful disinfection requires effective cleaning prior to the disinfection process. Drying and sunlight will effectively destroy VHSV and the virus can be readily inactivated using several disinfectants (Table 2 </w:t>
      </w:r>
      <w:r>
        <w:t>and Section 1.6.6). Processing plants handling infected or potentially infected fish are potential sources of spread of the pathogen (CEFAS 2007). If an emergency harvest is performed and some of the fish show clinical signs, there may be high virus titres</w:t>
      </w:r>
      <w:r>
        <w:t xml:space="preserve"> in processing plant effluent. For example, titres of infectious haematopoietic necrosis virus (family Rhabdoviridae) have been shown to be approximately 1.3–4.3 × 10</w:t>
      </w:r>
      <w:r>
        <w:rPr>
          <w:vertAlign w:val="superscript"/>
        </w:rPr>
        <w:t>3</w:t>
      </w:r>
      <w:r>
        <w:rPr>
          <w:sz w:val="14"/>
          <w:szCs w:val="14"/>
        </w:rPr>
        <w:t> </w:t>
      </w:r>
      <w:r>
        <w:t xml:space="preserve">PFU/mL in processing water when the fish being processed were from an infected site. </w:t>
      </w:r>
      <w:r>
        <w:t>This is well above levels known to initiate infection of several VHSV isolates. Hence, water would require disinfection before release into the aquatic environment to reduce risk of infection.</w:t>
      </w:r>
    </w:p>
    <w:p w:rsidR="00D25EFC" w:rsidRDefault="00A27A2B">
      <w:pPr>
        <w:pStyle w:val="Normalindent"/>
      </w:pPr>
      <w:r>
        <w:t>Disinfection protocols for freshwater facilities need to be det</w:t>
      </w:r>
      <w:r>
        <w:t>ermined on a case-by-case basis, due to differences between farming enterprises. This will involve the farm manager, the state or territory CVO and/or the director of fisheries. The disinfection protocol should take into consideration the epidemiological f</w:t>
      </w:r>
      <w:r>
        <w:t>actors (Section 1.6), including the following:</w:t>
      </w:r>
    </w:p>
    <w:p w:rsidR="00D25EFC" w:rsidRDefault="00A27A2B">
      <w:pPr>
        <w:pStyle w:val="List"/>
      </w:pPr>
      <w:r>
        <w:t>source and location of infection</w:t>
      </w:r>
    </w:p>
    <w:p w:rsidR="00D25EFC" w:rsidRDefault="00A27A2B">
      <w:pPr>
        <w:pStyle w:val="List"/>
      </w:pPr>
      <w:r>
        <w:lastRenderedPageBreak/>
        <w:t>type of enterprise (e.g. facilities using well water versus those using water from a river, lake or stream, or a sea-cage culture enterprise)</w:t>
      </w:r>
    </w:p>
    <w:p w:rsidR="00D25EFC" w:rsidRDefault="00A27A2B">
      <w:pPr>
        <w:pStyle w:val="List"/>
      </w:pPr>
      <w:r>
        <w:t>design of the site and its proximi</w:t>
      </w:r>
      <w:r>
        <w:t>ty to other waterways</w:t>
      </w:r>
    </w:p>
    <w:p w:rsidR="00D25EFC" w:rsidRDefault="00A27A2B">
      <w:pPr>
        <w:pStyle w:val="List"/>
      </w:pPr>
      <w:r>
        <w:t>environmental impact of the protocol</w:t>
      </w:r>
    </w:p>
    <w:p w:rsidR="00D25EFC" w:rsidRDefault="00A27A2B">
      <w:pPr>
        <w:pStyle w:val="List"/>
      </w:pPr>
      <w:r>
        <w:t>availability of approved, appropriate and effective disinfectants.</w:t>
      </w:r>
    </w:p>
    <w:p w:rsidR="00D25EFC" w:rsidRDefault="00A27A2B">
      <w:pPr>
        <w:pStyle w:val="Normalindent"/>
      </w:pPr>
      <w:r>
        <w:t xml:space="preserve">The AQUAVETPLAN operational procedures manual </w:t>
      </w:r>
      <w:r>
        <w:rPr>
          <w:rStyle w:val="Emphasis"/>
        </w:rPr>
        <w:t>Decontamination</w:t>
      </w:r>
      <w:r>
        <w:t xml:space="preserve"> (http://www.agriculture.gov.au/animal-plant-health/aquatic/aquavetpl</w:t>
      </w:r>
      <w:r>
        <w:t>an) provides further information.</w:t>
      </w:r>
    </w:p>
    <w:p w:rsidR="00D25EFC" w:rsidRDefault="00A27A2B">
      <w:pPr>
        <w:pStyle w:val="Heading6"/>
      </w:pPr>
      <w:r>
        <w:t>Environmental considerations</w:t>
      </w:r>
    </w:p>
    <w:p w:rsidR="00D25EFC" w:rsidRDefault="00A27A2B">
      <w:pPr>
        <w:pStyle w:val="Normalindent"/>
      </w:pPr>
      <w:r>
        <w:t>Large numbers of dead fish can be the source of unpleasant odours and can be unsightly if not covered. Decontamination operations must comply with all legislation and regulations concerning the</w:t>
      </w:r>
      <w:r>
        <w:t xml:space="preserve"> disposal or discharge of chemicals and cleaning agents into the environment.</w:t>
      </w:r>
    </w:p>
    <w:p w:rsidR="00D25EFC" w:rsidRDefault="00A27A2B">
      <w:pPr>
        <w:pStyle w:val="Heading5"/>
      </w:pPr>
      <w:bookmarkStart w:id="93" w:name="_Toc402970350"/>
      <w:bookmarkStart w:id="94" w:name="_Toc408836324"/>
      <w:r>
        <w:t>Vaccination</w:t>
      </w:r>
      <w:bookmarkEnd w:id="93"/>
      <w:bookmarkEnd w:id="94"/>
    </w:p>
    <w:p w:rsidR="00D25EFC" w:rsidRDefault="00A27A2B">
      <w:pPr>
        <w:pStyle w:val="Normalindent"/>
      </w:pPr>
      <w:r>
        <w:t>There are currently no commercial vaccines available for VHS, but DNA-based vaccine technology has been proven to be highly effective at stimulating both specific and</w:t>
      </w:r>
      <w:r>
        <w:t xml:space="preserve"> nonspecific immune systems under experimental conditions (Ortega-Villaizan et al. 2009, Chico et al. 2009), although protection may be influenced by variables such as temperature (Lorenzen et al. 2009).</w:t>
      </w:r>
    </w:p>
    <w:p w:rsidR="00D25EFC" w:rsidRDefault="00A27A2B">
      <w:pPr>
        <w:pStyle w:val="Heading5"/>
      </w:pPr>
      <w:bookmarkStart w:id="95" w:name="_Toc402970351"/>
      <w:bookmarkStart w:id="96" w:name="_Toc408836325"/>
      <w:r>
        <w:t>Vector control</w:t>
      </w:r>
      <w:bookmarkEnd w:id="95"/>
      <w:bookmarkEnd w:id="96"/>
    </w:p>
    <w:p w:rsidR="00D25EFC" w:rsidRDefault="00A27A2B">
      <w:pPr>
        <w:pStyle w:val="Normalindent"/>
      </w:pPr>
      <w:r>
        <w:t>While VHSV cannot survive passage thr</w:t>
      </w:r>
      <w:r>
        <w:t xml:space="preserve">ough the acidic intestinal environment of a bird or fish, birds can carry infected fish and drop them in an uninfected region. Predator fish and mammals can also move infected material from sea cages. Effective precautions should be taken to prevent birds </w:t>
      </w:r>
      <w:r>
        <w:t>and mammalian predators or scavengers (e.g. dogs) from accessing infected fish, including from disposal sites. Wild fish which live around sea cages are also potential carriers that can spread the disease agent to new areas, but it is extremely difficult t</w:t>
      </w:r>
      <w:r>
        <w:t>o control their movements. VHSV has also been detected in parasitic leeches by PCR (prevalence 72.5%) and cell culture (prevalence 62.6%) (Faisal and Schulz 2009), suggesting that these (and other ectoparasites) could play a significant role in transmissio</w:t>
      </w:r>
      <w:r>
        <w:t>n of VHSV as vectors and/or reservoirs of infection.</w:t>
      </w:r>
    </w:p>
    <w:p w:rsidR="00D25EFC" w:rsidRDefault="00A27A2B">
      <w:pPr>
        <w:pStyle w:val="Heading5"/>
      </w:pPr>
      <w:bookmarkStart w:id="97" w:name="_Toc402970352"/>
      <w:bookmarkStart w:id="98" w:name="_Toc408836326"/>
      <w:r>
        <w:t>Restocking</w:t>
      </w:r>
      <w:bookmarkEnd w:id="97"/>
      <w:bookmarkEnd w:id="98"/>
    </w:p>
    <w:p w:rsidR="00D25EFC" w:rsidRDefault="00A27A2B">
      <w:pPr>
        <w:pStyle w:val="Normalindent"/>
      </w:pPr>
      <w:r>
        <w:t>VHSV can infect many species, but strains of VHSV differ significantly in their virulence for different species. For example, rainbow trout are highly susceptible to the VHSV-I genotype, and P</w:t>
      </w:r>
      <w:r>
        <w:t>acific herring are highly susceptible to the VHSV-IVa genotype.</w:t>
      </w:r>
    </w:p>
    <w:p w:rsidR="00D25EFC" w:rsidRDefault="00A27A2B">
      <w:pPr>
        <w:pStyle w:val="Normalindent"/>
      </w:pPr>
      <w:r>
        <w:t xml:space="preserve">If a highly virulent strain of VHSV is isolated in Australia and is accompanied by signs of disease, restocking with a different species of fish could be considered, ideally after determining </w:t>
      </w:r>
      <w:r>
        <w:t>the identity of refractory species through controlled infection trials. Restocking would only be considered after the initial outbreak has been effectively dealt with and sufficient site fallowing has been undertaken.</w:t>
      </w:r>
    </w:p>
    <w:p w:rsidR="00D25EFC" w:rsidRDefault="00A27A2B">
      <w:pPr>
        <w:pStyle w:val="Heading5"/>
      </w:pPr>
      <w:bookmarkStart w:id="99" w:name="_Toc402970353"/>
      <w:bookmarkStart w:id="100" w:name="_Toc408836327"/>
      <w:r>
        <w:t>Public awareness</w:t>
      </w:r>
      <w:bookmarkEnd w:id="99"/>
      <w:bookmarkEnd w:id="100"/>
    </w:p>
    <w:p w:rsidR="00D25EFC" w:rsidRDefault="00A27A2B">
      <w:pPr>
        <w:pStyle w:val="Normalindent"/>
      </w:pPr>
      <w:r>
        <w:t>A public awareness ca</w:t>
      </w:r>
      <w:r>
        <w:t>mpaign emphasising education, surveillance and cooperation from industry and the community is essential. The public should be informed that:</w:t>
      </w:r>
    </w:p>
    <w:p w:rsidR="00D25EFC" w:rsidRDefault="00A27A2B">
      <w:pPr>
        <w:pStyle w:val="List"/>
      </w:pPr>
      <w:r>
        <w:lastRenderedPageBreak/>
        <w:t>VHSV is not infective for humans</w:t>
      </w:r>
    </w:p>
    <w:p w:rsidR="00D25EFC" w:rsidRDefault="00A27A2B">
      <w:pPr>
        <w:pStyle w:val="List"/>
      </w:pPr>
      <w:r>
        <w:t>eating fish that may have been exposed to VHSV is not considered a health risk.</w:t>
      </w:r>
    </w:p>
    <w:p w:rsidR="00D25EFC" w:rsidRDefault="00A27A2B">
      <w:pPr>
        <w:pStyle w:val="Normalindent"/>
      </w:pPr>
      <w:r>
        <w:t xml:space="preserve">A </w:t>
      </w:r>
      <w:r>
        <w:t>media kit should be immediately distributed to ensure that the media can help reduce any potential public fear or perception of risk. Examples of the types of extension materials that can be used to raise public awareness of issues that would become releva</w:t>
      </w:r>
      <w:r>
        <w:t>nt during an outbreak of VHS are contained in Appendix 4.</w:t>
      </w:r>
    </w:p>
    <w:p w:rsidR="00D25EFC" w:rsidRDefault="00A27A2B">
      <w:pPr>
        <w:pStyle w:val="Normalindent"/>
      </w:pPr>
      <w:r>
        <w:t>During significant mortality events of either marine or freshwater fish species, VHSV may be isolated from sick or moribund fish even though the virus may not be identified as the causative agent of</w:t>
      </w:r>
      <w:r>
        <w:t xml:space="preserve"> the mortalities. Although the virus may not be identified as the causative agent of the mortality, it nevertheless is likely to be associated with it. Moribund fish may wash up on beaches or river banks and be of concern to the public. It is important tha</w:t>
      </w:r>
      <w:r>
        <w:t>t the public has the confidence that appropriate people or authorities are taking responsibility for the investigation and that the problem is being addressed.</w:t>
      </w:r>
    </w:p>
    <w:p w:rsidR="00D25EFC" w:rsidRDefault="00A27A2B">
      <w:pPr>
        <w:pStyle w:val="Heading4"/>
      </w:pPr>
      <w:bookmarkStart w:id="101" w:name="_Toc402970354"/>
      <w:bookmarkStart w:id="102" w:name="_Toc408836328"/>
      <w:r>
        <w:t>Feasibility of specific options for control in Australia</w:t>
      </w:r>
      <w:bookmarkEnd w:id="101"/>
      <w:bookmarkEnd w:id="102"/>
    </w:p>
    <w:p w:rsidR="00D25EFC" w:rsidRDefault="00A27A2B">
      <w:pPr>
        <w:pStyle w:val="Normalindent"/>
      </w:pPr>
      <w:r>
        <w:t>Feasibility for control of VHS in Austr</w:t>
      </w:r>
      <w:r>
        <w:t>alia will depend on the circumstances of the detection. There is little that can be done to control wild fish that have been exposed or potentially exposed to VHSV, although containment remains a high priority in that situation (CEFAS 2007, Gustafson 2009,</w:t>
      </w:r>
      <w:r>
        <w:t xml:space="preserve"> Gustafson et al. 2010, VHSV Expert Panel and Working Group 2010).</w:t>
      </w:r>
    </w:p>
    <w:p w:rsidR="00D25EFC" w:rsidRDefault="00A27A2B">
      <w:pPr>
        <w:pStyle w:val="Heading5"/>
      </w:pPr>
      <w:bookmarkStart w:id="103" w:name="_Toc402970355"/>
      <w:bookmarkStart w:id="104" w:name="_Toc408836329"/>
      <w:r>
        <w:t>Eradication</w:t>
      </w:r>
      <w:bookmarkEnd w:id="103"/>
      <w:bookmarkEnd w:id="104"/>
    </w:p>
    <w:p w:rsidR="00D25EFC" w:rsidRDefault="00A27A2B">
      <w:pPr>
        <w:pStyle w:val="Normalindent"/>
      </w:pPr>
      <w:r>
        <w:t>Eradication is not a feasible option if epidemiological investigations determine that:</w:t>
      </w:r>
    </w:p>
    <w:p w:rsidR="00D25EFC" w:rsidRDefault="00A27A2B">
      <w:pPr>
        <w:pStyle w:val="List"/>
      </w:pPr>
      <w:r>
        <w:t>the infection is widespread</w:t>
      </w:r>
    </w:p>
    <w:p w:rsidR="00D25EFC" w:rsidRDefault="00A27A2B">
      <w:pPr>
        <w:pStyle w:val="List"/>
      </w:pPr>
      <w:r>
        <w:t>the outbreak has no point source and cannot be contained</w:t>
      </w:r>
    </w:p>
    <w:p w:rsidR="00D25EFC" w:rsidRDefault="00A27A2B">
      <w:pPr>
        <w:pStyle w:val="List"/>
      </w:pPr>
      <w:r>
        <w:t>the i</w:t>
      </w:r>
      <w:r>
        <w:t>nfection is present or potentially present in wild fish species in freshwater or marine environments.</w:t>
      </w:r>
    </w:p>
    <w:p w:rsidR="00D25EFC" w:rsidRDefault="00A27A2B">
      <w:pPr>
        <w:pStyle w:val="Normalindent"/>
      </w:pPr>
      <w:r>
        <w:t>This is due to:</w:t>
      </w:r>
    </w:p>
    <w:p w:rsidR="00D25EFC" w:rsidRDefault="00A27A2B">
      <w:pPr>
        <w:pStyle w:val="List"/>
      </w:pPr>
      <w:r>
        <w:t>the ability of VHSV to spread and establish reservoirs of infection in wild fish populations</w:t>
      </w:r>
    </w:p>
    <w:p w:rsidR="00D25EFC" w:rsidRDefault="00A27A2B">
      <w:pPr>
        <w:pStyle w:val="List"/>
      </w:pPr>
      <w:r>
        <w:t xml:space="preserve">the ability of VHSV to infect many different </w:t>
      </w:r>
      <w:r>
        <w:t>species of fish in fresh water and in salt water</w:t>
      </w:r>
    </w:p>
    <w:p w:rsidR="00D25EFC" w:rsidRDefault="00A27A2B">
      <w:pPr>
        <w:pStyle w:val="List"/>
      </w:pPr>
      <w:r>
        <w:t>the ability of VHSV to infect fish but remain undetectable</w:t>
      </w:r>
    </w:p>
    <w:p w:rsidR="00D25EFC" w:rsidRDefault="00A27A2B">
      <w:pPr>
        <w:pStyle w:val="List"/>
      </w:pPr>
      <w:r>
        <w:t>the lack of a full understanding of how VHSV survives in the aquatic environment</w:t>
      </w:r>
    </w:p>
    <w:p w:rsidR="00D25EFC" w:rsidRDefault="00A27A2B">
      <w:pPr>
        <w:pStyle w:val="List"/>
      </w:pPr>
      <w:r>
        <w:t>the ability of infected wild fish to transmit and establish VHSV in</w:t>
      </w:r>
      <w:r>
        <w:t>fection in rivers and the sea</w:t>
      </w:r>
    </w:p>
    <w:p w:rsidR="00D25EFC" w:rsidRDefault="00A27A2B">
      <w:pPr>
        <w:pStyle w:val="List"/>
      </w:pPr>
      <w:r>
        <w:t>the close contact between, and relative lack of control over, some farmed and most wild fish populations and water in Australian salmonid, kingfish and tuna farming operations</w:t>
      </w:r>
    </w:p>
    <w:p w:rsidR="00D25EFC" w:rsidRDefault="00A27A2B">
      <w:pPr>
        <w:pStyle w:val="List"/>
      </w:pPr>
      <w:r>
        <w:t>previous experience that an aquatic pathogen canno</w:t>
      </w:r>
      <w:r>
        <w:t>t be eradicated once reservoirs of infection become established in wild fish populations and the natural environment.</w:t>
      </w:r>
    </w:p>
    <w:p w:rsidR="00D25EFC" w:rsidRDefault="00A27A2B">
      <w:pPr>
        <w:pStyle w:val="Normalindent"/>
      </w:pPr>
      <w:r>
        <w:lastRenderedPageBreak/>
        <w:t xml:space="preserve">Eradication may be feasible if the initial isolation of the virus is from a freshwater facility or from a closed aquaculture system (such </w:t>
      </w:r>
      <w:r>
        <w:t>as a semi-closed system or aquarium) (Munro 1996, CEFAS 2007).</w:t>
      </w:r>
    </w:p>
    <w:p w:rsidR="00D25EFC" w:rsidRDefault="00A27A2B">
      <w:pPr>
        <w:pStyle w:val="Normalindent"/>
        <w:rPr>
          <w:rFonts w:ascii="Calibri" w:hAnsi="Calibri"/>
        </w:rPr>
      </w:pPr>
      <w:r>
        <w:t>If eradication is considered feasible, fish must be dealt with as follows:</w:t>
      </w:r>
    </w:p>
    <w:p w:rsidR="00D25EFC" w:rsidRDefault="00A27A2B">
      <w:pPr>
        <w:pStyle w:val="Heading6"/>
      </w:pPr>
      <w:r>
        <w:t>Unexposed fish</w:t>
      </w:r>
    </w:p>
    <w:p w:rsidR="00D25EFC" w:rsidRDefault="00A27A2B">
      <w:pPr>
        <w:pStyle w:val="Normalindent"/>
      </w:pPr>
      <w:r>
        <w:t>Unexposed fish may be destroyed as a precaution in order to remove a potential source of virus before e</w:t>
      </w:r>
      <w:r>
        <w:t>xposure and infection occur, but if exposure can be prevented in the first place, there will be no further propagation of virus and healthy fish will not need to be destroyed. Therefore, rather than destruction of unexposed fish being the first choice, the</w:t>
      </w:r>
      <w:r>
        <w:t xml:space="preserve"> principle should be to determine first if exposure can be prevented and destruction avoided.</w:t>
      </w:r>
    </w:p>
    <w:p w:rsidR="00D25EFC" w:rsidRDefault="00A27A2B">
      <w:pPr>
        <w:pStyle w:val="Heading6"/>
      </w:pPr>
      <w:r>
        <w:t>Exposed or potentially exposed, clinically normal fish</w:t>
      </w:r>
    </w:p>
    <w:p w:rsidR="00D25EFC" w:rsidRDefault="00A27A2B">
      <w:pPr>
        <w:pStyle w:val="Normalindent"/>
      </w:pPr>
      <w:r>
        <w:t>If there is doubt about whether fish have been exposed to VHSV, they should be treated as if exposed. Immed</w:t>
      </w:r>
      <w:r>
        <w:t xml:space="preserve">iate destruction of exposed fish prevents further virus propagation by reducing the infectious load at a site and minimising the spread of infection. A normal or controlled grow-out (to market size) is only an option if there is no possibility that during </w:t>
      </w:r>
      <w:r>
        <w:t xml:space="preserve">the grow-out period the pathogen will spread beyond the declared area. Depending on the number of fish involved, emergency harvesting can depopulate an area as quickly as destruction and disposal. </w:t>
      </w:r>
    </w:p>
    <w:p w:rsidR="00D25EFC" w:rsidRDefault="00A27A2B">
      <w:pPr>
        <w:pStyle w:val="Heading6"/>
      </w:pPr>
      <w:r>
        <w:t>Clinically diseased fish</w:t>
      </w:r>
    </w:p>
    <w:p w:rsidR="00D25EFC" w:rsidRDefault="00A27A2B">
      <w:pPr>
        <w:pStyle w:val="Normalindent"/>
      </w:pPr>
      <w:r>
        <w:t>Immediate removal, destruction an</w:t>
      </w:r>
      <w:r>
        <w:t>d disposal of all clinically diseased and moribund fish are essential for effective eradication. Clinically diseased fish, along with infectious waste, are the main source of VHSV in the environment. In a given population of infected fish, it is likely tha</w:t>
      </w:r>
      <w:r>
        <w:t xml:space="preserve">t some will show clinical signs of disease while others show none. In these circumstances, all fish in the population should be treated as diseased. </w:t>
      </w:r>
    </w:p>
    <w:p w:rsidR="00D25EFC" w:rsidRDefault="00A27A2B">
      <w:pPr>
        <w:pStyle w:val="Heading5"/>
      </w:pPr>
      <w:bookmarkStart w:id="105" w:name="_Toc402970356"/>
      <w:bookmarkStart w:id="106" w:name="_Toc408836330"/>
      <w:r>
        <w:t>Containment, control and zoning</w:t>
      </w:r>
      <w:bookmarkEnd w:id="105"/>
      <w:bookmarkEnd w:id="106"/>
    </w:p>
    <w:p w:rsidR="00D25EFC" w:rsidRDefault="00A27A2B">
      <w:pPr>
        <w:pStyle w:val="Normalindent"/>
      </w:pPr>
      <w:r>
        <w:t xml:space="preserve">The detection of VHSV in wild marine fish in Australia would make control </w:t>
      </w:r>
      <w:r>
        <w:t xml:space="preserve">and containment of the virus very difficult. The geographic and biological distribution of VHSV would need to be investigated to determine if zoning is feasible. Environmental conditions in many parts of Australia are not suitable for the establishment of </w:t>
      </w:r>
      <w:r>
        <w:t>VHSV, which may make zoning easier.</w:t>
      </w:r>
    </w:p>
    <w:p w:rsidR="00D25EFC" w:rsidRDefault="00A27A2B">
      <w:pPr>
        <w:pStyle w:val="Normalindent"/>
      </w:pPr>
      <w:r>
        <w:t>If VHSV is isolated from fish in a freshwater establishment, there is the possibility of the virus becoming established in wild freshwater fish. In Denmark, control of VHS in trout farms has been practised for many years</w:t>
      </w:r>
      <w:r>
        <w:t xml:space="preserve"> without measures being taken to remove wild fish populations (Jørgensen 1974).</w:t>
      </w:r>
    </w:p>
    <w:p w:rsidR="00D25EFC" w:rsidRDefault="00A27A2B">
      <w:pPr>
        <w:pStyle w:val="Heading6"/>
      </w:pPr>
      <w:r>
        <w:t>Unexposed fish</w:t>
      </w:r>
    </w:p>
    <w:p w:rsidR="00D25EFC" w:rsidRDefault="00A27A2B">
      <w:pPr>
        <w:pStyle w:val="Normalindent"/>
      </w:pPr>
      <w:r>
        <w:t>Containment and control options for unexposed fish are the same as those outlined for eradication (Section 2.3.1). A zoning program and associated control measur</w:t>
      </w:r>
      <w:r>
        <w:t>es to maintain uninfected zones will be necessary.</w:t>
      </w:r>
    </w:p>
    <w:p w:rsidR="00D25EFC" w:rsidRDefault="00A27A2B">
      <w:pPr>
        <w:pStyle w:val="Heading6"/>
      </w:pPr>
      <w:r>
        <w:t>Exposed or potentially exposed, clinically normal fish</w:t>
      </w:r>
    </w:p>
    <w:p w:rsidR="00D25EFC" w:rsidRDefault="00A27A2B">
      <w:pPr>
        <w:pStyle w:val="Normalindent"/>
      </w:pPr>
      <w:r>
        <w:t>A successful zoning program for farmed fish relies on movement restrictions on exposed or potentially exposed fish to prevent infection spreading to u</w:t>
      </w:r>
      <w:r>
        <w:t xml:space="preserve">ninfected zones. The feasibility of implementing a zoning program depends on farm management practices, the extent to which infection has already </w:t>
      </w:r>
      <w:r>
        <w:lastRenderedPageBreak/>
        <w:t>spread and the location of reservoirs of infection. Feasibility can only be assessed at the time of the outbre</w:t>
      </w:r>
      <w:r>
        <w:t>ak, taking into account such factors as movement restrictions required for fish, people, vehicles and boats, and market access for the fish products and by-products.</w:t>
      </w:r>
    </w:p>
    <w:p w:rsidR="00D25EFC" w:rsidRDefault="00A27A2B">
      <w:pPr>
        <w:pStyle w:val="Normalindent"/>
      </w:pPr>
      <w:r>
        <w:t>In a declared area, normal or controlled grow-out and slaughter may be feasible without fu</w:t>
      </w:r>
      <w:r>
        <w:t>rther spread of infection. Harvested fish must be processed to the degree required for the designated market. For infected fish, evisceration will remove the organs likely to have the highest titre of virus, potentially allowing their sale for direct consu</w:t>
      </w:r>
      <w:r>
        <w:t>mption within the affected area (CEFAS 2007). Freezing and thawing fish products will further reduce, but not eliminate virus in the product.</w:t>
      </w:r>
    </w:p>
    <w:p w:rsidR="00D25EFC" w:rsidRDefault="00A27A2B">
      <w:pPr>
        <w:pStyle w:val="Heading6"/>
      </w:pPr>
      <w:r>
        <w:t>Clinically diseased fish</w:t>
      </w:r>
    </w:p>
    <w:p w:rsidR="00D25EFC" w:rsidRDefault="00A27A2B">
      <w:pPr>
        <w:pStyle w:val="Normalindent"/>
      </w:pPr>
      <w:r>
        <w:t>Diseased fish, along with infectious wastes, are the most likely means of spreading the v</w:t>
      </w:r>
      <w:r>
        <w:t xml:space="preserve">irus to uninfected zones. There are currently no treatments for VHS, so fish that survive an outbreak can potentially become carriers and a source of infection. Destruction and adequate disposal of diseased fish is therefore the best option if the disease </w:t>
      </w:r>
      <w:r>
        <w:t>is to be contained within a zone.</w:t>
      </w:r>
    </w:p>
    <w:p w:rsidR="00D25EFC" w:rsidRDefault="00A27A2B">
      <w:pPr>
        <w:pStyle w:val="Heading5"/>
      </w:pPr>
      <w:bookmarkStart w:id="107" w:name="_Toc402970357"/>
      <w:bookmarkStart w:id="108" w:name="_Toc408836331"/>
      <w:r>
        <w:t>Control and mitigation of disease</w:t>
      </w:r>
      <w:bookmarkEnd w:id="107"/>
      <w:bookmarkEnd w:id="108"/>
    </w:p>
    <w:p w:rsidR="00D25EFC" w:rsidRDefault="00A27A2B">
      <w:pPr>
        <w:pStyle w:val="Normalindent"/>
      </w:pPr>
      <w:r>
        <w:t>In a control and mitigation program, the aim may simply be to reduce the existing disease to biologically and/or economically acceptable levels. Critically, there may be a level of disease</w:t>
      </w:r>
      <w:r>
        <w:t xml:space="preserve"> in the population below which the cost of further expenditure on control would be greater than the benefit. VHSV is an ssRNA virus, and RNA viruses tend to have higher rates of mutation than DNA viruses (Steinhauer and Holland 1987, Dale et al. 2009). If </w:t>
      </w:r>
      <w:r>
        <w:t>VHSV is not associated with clinical disease, the potential for the strain to adapt to a new host or to be virulent in alternative host species should be considered (Dale et al. 2009).</w:t>
      </w:r>
    </w:p>
    <w:p w:rsidR="00D25EFC" w:rsidRDefault="00A27A2B">
      <w:pPr>
        <w:pStyle w:val="Normalindent"/>
        <w:rPr>
          <w:rFonts w:ascii="Calibri" w:hAnsi="Calibri"/>
        </w:rPr>
      </w:pPr>
      <w:r>
        <w:t xml:space="preserve">If farmed fish infected with VHSV are allowed to grow out for harvest, </w:t>
      </w:r>
      <w:r>
        <w:t>there should be a fallowing period between emptying the farm and restocking, as this will help break the VHSV cycle in the facility, depending on the presence of reservoir hosts. After an outbreak of VHS in a rainbow trout farm in the UK, the farm was disi</w:t>
      </w:r>
      <w:r>
        <w:t>nfected and completely dried out (no water supply to the farm) for a minimum of 4 months (CEFAS 2007).</w:t>
      </w:r>
    </w:p>
    <w:p w:rsidR="00D25EFC" w:rsidRDefault="00A27A2B">
      <w:pPr>
        <w:pStyle w:val="Heading5"/>
      </w:pPr>
      <w:bookmarkStart w:id="109" w:name="_Toc402970358"/>
      <w:bookmarkStart w:id="110" w:name="_Toc408836332"/>
      <w:r>
        <w:t>Trade and industry considerations</w:t>
      </w:r>
      <w:bookmarkEnd w:id="109"/>
      <w:bookmarkEnd w:id="110"/>
    </w:p>
    <w:p w:rsidR="00D25EFC" w:rsidRDefault="00A27A2B">
      <w:pPr>
        <w:pStyle w:val="Normalindent"/>
      </w:pPr>
      <w:r>
        <w:t>Trade regulations, market requirements and food safety standards must be considered as part of a control strategy. Perm</w:t>
      </w:r>
      <w:r>
        <w:t>its may be required from the relevant authorities to allow products derived from disease control programs to be released and sold for human consumption.</w:t>
      </w:r>
    </w:p>
    <w:p w:rsidR="00D25EFC" w:rsidRDefault="00A27A2B">
      <w:pPr>
        <w:pStyle w:val="Heading6"/>
      </w:pPr>
      <w:r>
        <w:t>Export and domestic markets</w:t>
      </w:r>
    </w:p>
    <w:p w:rsidR="00D25EFC" w:rsidRDefault="00A27A2B">
      <w:pPr>
        <w:pStyle w:val="Normalindent"/>
      </w:pPr>
      <w:r>
        <w:t>VHSV is listed by the OIE and is enzootic in North America, Japan and throu</w:t>
      </w:r>
      <w:r>
        <w:t>ghout much of Europe. Isolating VHSV in Australia would not necessarily mean that trade in fish products to these regions would be seriously affected.</w:t>
      </w:r>
    </w:p>
    <w:p w:rsidR="00D25EFC" w:rsidRDefault="00A27A2B">
      <w:pPr>
        <w:pStyle w:val="Normalindent"/>
      </w:pPr>
      <w:r>
        <w:t>Many overseas countries require imports such as fertilised fish eggs (embryos) to be certified as being f</w:t>
      </w:r>
      <w:r>
        <w:t>ree from VHSV. This export trade might still be possible even if some parts of Australia were considered infected with the virus, especially if such products came from a VHSV-free zone or farm.</w:t>
      </w:r>
    </w:p>
    <w:p w:rsidR="00D25EFC" w:rsidRDefault="00A27A2B">
      <w:pPr>
        <w:pStyle w:val="Normalindent"/>
      </w:pPr>
      <w:r>
        <w:t>Generally, evisceration of fish before export will satisfy int</w:t>
      </w:r>
      <w:r>
        <w:t xml:space="preserve">ernational trade requirements for fish harvested from a VHSV-positive region. The Department </w:t>
      </w:r>
      <w:r>
        <w:lastRenderedPageBreak/>
        <w:t>of Agriculture should be contacted for current information on export market requirements.</w:t>
      </w:r>
    </w:p>
    <w:p w:rsidR="00D25EFC" w:rsidRDefault="00A27A2B">
      <w:pPr>
        <w:pStyle w:val="Normalindent"/>
      </w:pPr>
      <w:r>
        <w:t>A cautious approach is required for the salvage of VHSV-exposed or potent</w:t>
      </w:r>
      <w:r>
        <w:t xml:space="preserve">ially exposed product for the domestic market. Decisions about the release of fish or fish products will depend on the control strategy implemented. Evisceration will remove the organs most likely to contain the highest titre of virus in infected fish. If </w:t>
      </w:r>
      <w:r>
        <w:t>areas of Australia remain free of VHSV, restrictions on the release of fish product to the domestic market may help maintain freedom in those areas. If VHSV becomes enzootic in Australia, conditions associated with the import of products from VHSV infected</w:t>
      </w:r>
      <w:r>
        <w:t xml:space="preserve"> areas would be reviewed by the Department of Agriculture.</w:t>
      </w:r>
    </w:p>
    <w:p w:rsidR="00D25EFC" w:rsidRDefault="00A27A2B">
      <w:pPr>
        <w:pStyle w:val="Normalindent"/>
      </w:pPr>
      <w:r>
        <w:br w:type="page"/>
      </w:r>
    </w:p>
    <w:p w:rsidR="00D25EFC" w:rsidRDefault="00A27A2B">
      <w:pPr>
        <w:pStyle w:val="Heading3"/>
      </w:pPr>
      <w:bookmarkStart w:id="111" w:name="_Toc402970359"/>
      <w:bookmarkStart w:id="112" w:name="_Toc408388682"/>
      <w:bookmarkStart w:id="113" w:name="_Toc408836333"/>
      <w:r>
        <w:lastRenderedPageBreak/>
        <w:t>Policy and rationale</w:t>
      </w:r>
      <w:bookmarkEnd w:id="111"/>
      <w:bookmarkEnd w:id="112"/>
      <w:bookmarkEnd w:id="113"/>
    </w:p>
    <w:p w:rsidR="00D25EFC" w:rsidRDefault="00A27A2B">
      <w:pPr>
        <w:pStyle w:val="Heading4"/>
      </w:pPr>
      <w:bookmarkStart w:id="114" w:name="_Toc402970360"/>
      <w:bookmarkStart w:id="115" w:name="_Toc408836334"/>
      <w:r>
        <w:t>Overall policy</w:t>
      </w:r>
      <w:bookmarkEnd w:id="114"/>
      <w:bookmarkEnd w:id="1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6"/>
      </w:tblGrid>
      <w:tr w:rsidR="00D25EFC">
        <w:trPr>
          <w:trHeight w:val="10680"/>
        </w:trPr>
        <w:tc>
          <w:tcPr>
            <w:tcW w:w="9243" w:type="dxa"/>
          </w:tcPr>
          <w:p w:rsidR="00D25EFC" w:rsidRDefault="00A27A2B">
            <w:pPr>
              <w:pStyle w:val="Normalindent"/>
            </w:pPr>
            <w:r>
              <w:t>Viral haemorrhagic septicaemia (VHS) is reportable in Australia and is an OIE-listed disease (OIE 2013a).</w:t>
            </w:r>
          </w:p>
          <w:p w:rsidR="00D25EFC" w:rsidRDefault="00A27A2B">
            <w:pPr>
              <w:pStyle w:val="Normalindent"/>
            </w:pPr>
            <w:r>
              <w:t xml:space="preserve">The policy for response to an outbreak of VHS in </w:t>
            </w:r>
            <w:r>
              <w:t>Australia depends on the nature of the outbreak and on the disease management strategy to be adopted. The response option will be decided by the Chief Veterinary Officer (CVO) and/or the Director of Fisheries of the state or territory in which the outbreak</w:t>
            </w:r>
            <w:r>
              <w:t xml:space="preserve"> occurs. Epidemiological investigation will be used to assist with this decision.</w:t>
            </w:r>
          </w:p>
          <w:p w:rsidR="00D25EFC" w:rsidRDefault="00A27A2B">
            <w:pPr>
              <w:pStyle w:val="Normalindent"/>
            </w:pPr>
            <w:r>
              <w:t>There are three possible response options:</w:t>
            </w:r>
          </w:p>
          <w:p w:rsidR="00D25EFC" w:rsidRDefault="00A27A2B">
            <w:pPr>
              <w:pStyle w:val="List"/>
            </w:pPr>
            <w:r>
              <w:rPr>
                <w:rStyle w:val="Emphasis"/>
              </w:rPr>
              <w:t>eradication</w:t>
            </w:r>
            <w:r>
              <w:t>, with the aim of returning Australia to freedom from VHS</w:t>
            </w:r>
          </w:p>
          <w:p w:rsidR="00D25EFC" w:rsidRDefault="00A27A2B">
            <w:pPr>
              <w:pStyle w:val="List"/>
            </w:pPr>
            <w:r>
              <w:rPr>
                <w:rStyle w:val="Emphasis"/>
              </w:rPr>
              <w:t xml:space="preserve">containment, control and zoning </w:t>
            </w:r>
            <w:r>
              <w:t>to confine the VHS virus to en</w:t>
            </w:r>
            <w:r>
              <w:t>zootic areas, prevent further spread and protect uninfected areas, or</w:t>
            </w:r>
          </w:p>
          <w:p w:rsidR="00D25EFC" w:rsidRDefault="00A27A2B">
            <w:pPr>
              <w:pStyle w:val="List"/>
            </w:pPr>
            <w:r>
              <w:rPr>
                <w:rStyle w:val="Emphasis"/>
              </w:rPr>
              <w:t xml:space="preserve">control and mitigation </w:t>
            </w:r>
            <w:r>
              <w:t>of the disease through management practices that decrease the incidence and severity of the disease.</w:t>
            </w:r>
          </w:p>
          <w:p w:rsidR="00D25EFC" w:rsidRDefault="00A27A2B">
            <w:pPr>
              <w:pStyle w:val="Normalindent"/>
            </w:pPr>
            <w:r>
              <w:t>Epidemiological information on which to base a decision may in</w:t>
            </w:r>
            <w:r>
              <w:t>itially be limited. The policy initially implemented may change as more information becomes available. For example, eradication may eventually be chosen as a long-term policy even when the containment, control and zoning response option was initially imple</w:t>
            </w:r>
            <w:r>
              <w:t>mented.</w:t>
            </w:r>
          </w:p>
          <w:p w:rsidR="00D25EFC" w:rsidRDefault="00A27A2B">
            <w:pPr>
              <w:pStyle w:val="Normalindent"/>
            </w:pPr>
            <w:r>
              <w:t>Strategies that may be used under these control options include:</w:t>
            </w:r>
          </w:p>
          <w:p w:rsidR="00D25EFC" w:rsidRDefault="00A27A2B">
            <w:pPr>
              <w:pStyle w:val="List"/>
            </w:pPr>
            <w:r>
              <w:rPr>
                <w:rStyle w:val="Emphasis"/>
              </w:rPr>
              <w:t xml:space="preserve">quarantine and movement controls </w:t>
            </w:r>
            <w:r>
              <w:t>on fish, fish products, boats, cars and other fomites in declared areas to prevent spread of infection</w:t>
            </w:r>
          </w:p>
          <w:p w:rsidR="00D25EFC" w:rsidRDefault="00A27A2B">
            <w:pPr>
              <w:pStyle w:val="List"/>
            </w:pPr>
            <w:r>
              <w:rPr>
                <w:rStyle w:val="Emphasis"/>
              </w:rPr>
              <w:t xml:space="preserve">prevention of access </w:t>
            </w:r>
            <w:r>
              <w:t>by predators and/or scaven</w:t>
            </w:r>
            <w:r>
              <w:t>gers (e.g. birds) to infected fish</w:t>
            </w:r>
          </w:p>
          <w:p w:rsidR="00D25EFC" w:rsidRDefault="00A27A2B">
            <w:pPr>
              <w:pStyle w:val="List"/>
            </w:pPr>
            <w:r>
              <w:rPr>
                <w:rStyle w:val="Emphasis"/>
              </w:rPr>
              <w:t xml:space="preserve">destruction and disposal </w:t>
            </w:r>
            <w:r>
              <w:t>of clinically diseased and dead fish to prevent further virus release into the environment</w:t>
            </w:r>
          </w:p>
          <w:p w:rsidR="00D25EFC" w:rsidRDefault="00A27A2B">
            <w:pPr>
              <w:pStyle w:val="List"/>
            </w:pPr>
            <w:r>
              <w:rPr>
                <w:rStyle w:val="Emphasis"/>
              </w:rPr>
              <w:t xml:space="preserve">decontamination </w:t>
            </w:r>
            <w:r>
              <w:t>of facilities to inactivate the virus</w:t>
            </w:r>
          </w:p>
          <w:p w:rsidR="00D25EFC" w:rsidRDefault="00A27A2B">
            <w:pPr>
              <w:pStyle w:val="List"/>
            </w:pPr>
            <w:r>
              <w:rPr>
                <w:rStyle w:val="Emphasis"/>
              </w:rPr>
              <w:t xml:space="preserve">surveillance </w:t>
            </w:r>
            <w:r>
              <w:t>to determine the extent of possible fi</w:t>
            </w:r>
            <w:r>
              <w:t>sh hosts that are infected, and to provide proof of freedom from the virus</w:t>
            </w:r>
          </w:p>
          <w:p w:rsidR="00D25EFC" w:rsidRDefault="00A27A2B">
            <w:pPr>
              <w:pStyle w:val="List"/>
            </w:pPr>
            <w:r>
              <w:rPr>
                <w:rStyle w:val="Emphasis"/>
              </w:rPr>
              <w:t xml:space="preserve">zoning </w:t>
            </w:r>
            <w:r>
              <w:t>to define infected and VHS-free zones and to maintain VHS-free zones</w:t>
            </w:r>
          </w:p>
          <w:p w:rsidR="00D25EFC" w:rsidRDefault="00A27A2B">
            <w:pPr>
              <w:pStyle w:val="List"/>
            </w:pPr>
            <w:r>
              <w:rPr>
                <w:rStyle w:val="Emphasis"/>
              </w:rPr>
              <w:t xml:space="preserve">restocking </w:t>
            </w:r>
            <w:r>
              <w:t>with older, less susceptible fish or less susceptible species unlikely to develop clinical dis</w:t>
            </w:r>
            <w:r>
              <w:t>ease</w:t>
            </w:r>
          </w:p>
          <w:p w:rsidR="00D25EFC" w:rsidRDefault="00A27A2B">
            <w:pPr>
              <w:pStyle w:val="List"/>
              <w:rPr>
                <w:rFonts w:ascii="Calibri" w:hAnsi="Calibri"/>
              </w:rPr>
            </w:pPr>
            <w:r>
              <w:rPr>
                <w:rStyle w:val="Emphasis"/>
              </w:rPr>
              <w:t xml:space="preserve">a public awareness campaign </w:t>
            </w:r>
            <w:r>
              <w:t>to assist cooperation from industry and the community.</w:t>
            </w:r>
            <w:r>
              <w:rPr>
                <w:rFonts w:ascii="Calibri" w:hAnsi="Calibri"/>
              </w:rPr>
              <w:t xml:space="preserve"> </w:t>
            </w:r>
          </w:p>
        </w:tc>
      </w:tr>
    </w:tbl>
    <w:p w:rsidR="00D25EFC" w:rsidRDefault="00A27A2B">
      <w:pPr>
        <w:pStyle w:val="Normalindent"/>
        <w:spacing w:before="120"/>
      </w:pPr>
      <w:r>
        <w:t>If VHSV, with or without disease, is confirmed in Australia, the director of fisheries and/or the CVO of the state or territory from which VHSV is detected will be responsible for implementing disease control measures in accordance with relevant legislatio</w:t>
      </w:r>
      <w:r>
        <w:t>n. The Aquatic Consultative Committee on Emergency Animal Diseases (comprising representatives of the state or territory and Australian governments and representatives of the affected industries) will be convened to discuss options for responses to the inc</w:t>
      </w:r>
      <w:r>
        <w:t xml:space="preserve">ident, and the agreed </w:t>
      </w:r>
      <w:r>
        <w:lastRenderedPageBreak/>
        <w:t>management strategy will then be implemented by the state or territory of the outbreak. Detailed control measures will be determined using the principles of control and eradication and epidemiological information about the incident. I</w:t>
      </w:r>
      <w:r>
        <w:t>n some instances, changes to legislation may be required to facilitate a more effective response (e.g. Appendix 4).</w:t>
      </w:r>
    </w:p>
    <w:p w:rsidR="00D25EFC" w:rsidRDefault="00A27A2B">
      <w:pPr>
        <w:pStyle w:val="Normalindent"/>
      </w:pPr>
      <w:r>
        <w:t xml:space="preserve">For information on the responsibilities of the state or territory disease control headquarters and local disease control centres, see the AQUAVETPLAN </w:t>
      </w:r>
      <w:r>
        <w:rPr>
          <w:rStyle w:val="Emphasis"/>
        </w:rPr>
        <w:t>Control Centres Management</w:t>
      </w:r>
      <w:r>
        <w:t xml:space="preserve"> manual (http://www.agriculture.gov.au/animal-plant-health/aquatic/aquavetplan).</w:t>
      </w:r>
    </w:p>
    <w:p w:rsidR="00D25EFC" w:rsidRDefault="00A27A2B">
      <w:pPr>
        <w:pStyle w:val="Heading4"/>
      </w:pPr>
      <w:bookmarkStart w:id="116" w:name="_Toc402970361"/>
      <w:bookmarkStart w:id="117" w:name="_Toc408836335"/>
      <w:r>
        <w:t>Overview of response options</w:t>
      </w:r>
      <w:bookmarkEnd w:id="116"/>
      <w:bookmarkEnd w:id="117"/>
    </w:p>
    <w:p w:rsidR="00D25EFC" w:rsidRDefault="00A27A2B">
      <w:pPr>
        <w:pStyle w:val="Normalindent"/>
      </w:pPr>
      <w:r>
        <w:t>The control option to be adopted will be decided after or during the initial response to the outbreak of VHS and/or isolation of VHSV. This decision may need to be made with only very limited epidemiological information. While</w:t>
      </w:r>
      <w:r>
        <w:t xml:space="preserve"> it is important that the initial choice is decisive, it is also important that the decision is dynamic. As more information becomes available, the decision may be modified. </w:t>
      </w:r>
    </w:p>
    <w:p w:rsidR="00D25EFC" w:rsidRDefault="00A27A2B">
      <w:pPr>
        <w:pStyle w:val="Normalindent"/>
      </w:pPr>
      <w:r>
        <w:t>Below are some key criteria for the adoption of a policy option. These criteria a</w:t>
      </w:r>
      <w:r>
        <w:t>re not exhaustive and are given only as a guide. The flow chart in Figure 5 provides possible scenarios and is designed to aid the initial decision-making process. For full details of measures to be taken under each control option, see Section 2.2.</w:t>
      </w:r>
    </w:p>
    <w:p w:rsidR="00D25EFC" w:rsidRDefault="00A27A2B">
      <w:pPr>
        <w:pStyle w:val="Heading5"/>
      </w:pPr>
      <w:bookmarkStart w:id="118" w:name="_Toc402970362"/>
      <w:bookmarkStart w:id="119" w:name="_Toc408836336"/>
      <w:r>
        <w:t xml:space="preserve">Option </w:t>
      </w:r>
      <w:r>
        <w:t>1: Eradication</w:t>
      </w:r>
      <w:bookmarkEnd w:id="118"/>
      <w:bookmarkEnd w:id="119"/>
    </w:p>
    <w:p w:rsidR="00D25EFC" w:rsidRDefault="00A27A2B">
      <w:pPr>
        <w:pStyle w:val="Normalindent"/>
      </w:pPr>
      <w:r>
        <w:t>Eradication may be feasible and chosen as the preferred control option when:</w:t>
      </w:r>
    </w:p>
    <w:p w:rsidR="00D25EFC" w:rsidRDefault="00A27A2B">
      <w:pPr>
        <w:pStyle w:val="List"/>
      </w:pPr>
      <w:r>
        <w:t>epidemiological investigations determine an obvious point source of infection that has been or may be contained with minimal or no spread of the virus (e.g. in a cl</w:t>
      </w:r>
      <w:r>
        <w:t>osed system such as an aquarium or in a fully recirculating system)</w:t>
      </w:r>
    </w:p>
    <w:p w:rsidR="00D25EFC" w:rsidRDefault="00A27A2B">
      <w:pPr>
        <w:pStyle w:val="List"/>
      </w:pPr>
      <w:r>
        <w:t>there is no possibility of virus being in wild fish stocks (unless such stocks are in a landlocked system where their complete destruction is possible).</w:t>
      </w:r>
    </w:p>
    <w:p w:rsidR="00D25EFC" w:rsidRDefault="00A27A2B">
      <w:pPr>
        <w:pStyle w:val="Heading5"/>
      </w:pPr>
      <w:bookmarkStart w:id="120" w:name="_Toc402970363"/>
      <w:bookmarkStart w:id="121" w:name="_Toc408836337"/>
      <w:r>
        <w:t xml:space="preserve">Option 2: Containment, control and </w:t>
      </w:r>
      <w:r>
        <w:t>zoning</w:t>
      </w:r>
      <w:bookmarkEnd w:id="120"/>
      <w:bookmarkEnd w:id="121"/>
    </w:p>
    <w:p w:rsidR="00D25EFC" w:rsidRDefault="00A27A2B">
      <w:pPr>
        <w:pStyle w:val="Normalindent"/>
      </w:pPr>
      <w:r>
        <w:t>Containment, control and zoning may be the preferred control option when:</w:t>
      </w:r>
    </w:p>
    <w:p w:rsidR="00D25EFC" w:rsidRDefault="00A27A2B">
      <w:pPr>
        <w:pStyle w:val="List"/>
      </w:pPr>
      <w:r>
        <w:t>VHSV is isolated from wild or farmed fish confined to a specific geographic area (the determination of which may require a comprehensive monitoring and surveillance program) a</w:t>
      </w:r>
      <w:r>
        <w:t>nd virus containment is possible</w:t>
      </w:r>
    </w:p>
    <w:p w:rsidR="00D25EFC" w:rsidRDefault="00A27A2B">
      <w:pPr>
        <w:pStyle w:val="List"/>
      </w:pPr>
      <w:r>
        <w:t>there is clinical disease associated with the outbreak</w:t>
      </w:r>
    </w:p>
    <w:p w:rsidR="00D25EFC" w:rsidRDefault="00A27A2B">
      <w:pPr>
        <w:pStyle w:val="List"/>
      </w:pPr>
      <w:r>
        <w:t>eradication is not considered to be an option.</w:t>
      </w:r>
    </w:p>
    <w:p w:rsidR="00D25EFC" w:rsidRDefault="00A27A2B">
      <w:pPr>
        <w:pStyle w:val="Normalindent"/>
      </w:pPr>
      <w:r>
        <w:t>When containment, control and zoning are chosen as the initial option, the policy may later evolve into one of control an</w:t>
      </w:r>
      <w:r>
        <w:t>d mitigation of disease.</w:t>
      </w:r>
    </w:p>
    <w:p w:rsidR="00D25EFC" w:rsidRDefault="00A27A2B">
      <w:pPr>
        <w:pStyle w:val="Heading5"/>
      </w:pPr>
      <w:bookmarkStart w:id="122" w:name="_Toc402970364"/>
      <w:bookmarkStart w:id="123" w:name="_Toc408836338"/>
      <w:r>
        <w:t>Option 3: Control and mitigation of disease</w:t>
      </w:r>
      <w:bookmarkEnd w:id="122"/>
      <w:bookmarkEnd w:id="123"/>
    </w:p>
    <w:p w:rsidR="00D25EFC" w:rsidRDefault="00A27A2B">
      <w:pPr>
        <w:pStyle w:val="Normalindent"/>
      </w:pPr>
      <w:r>
        <w:t>Control and mitigation of disease is the preferred control option when:</w:t>
      </w:r>
    </w:p>
    <w:p w:rsidR="00D25EFC" w:rsidRDefault="00A27A2B">
      <w:pPr>
        <w:pStyle w:val="List"/>
      </w:pPr>
      <w:r>
        <w:t>VHSV is considered to be widespread in wild fish stocks and/or farmed fish stocks and distributed widely in an area</w:t>
      </w:r>
      <w:r>
        <w:t xml:space="preserve"> or areas where zoning would be difficult</w:t>
      </w:r>
    </w:p>
    <w:p w:rsidR="00D25EFC" w:rsidRDefault="00A27A2B">
      <w:pPr>
        <w:pStyle w:val="List"/>
      </w:pPr>
      <w:r>
        <w:lastRenderedPageBreak/>
        <w:t>there is no possibility of limiting the spread of the virus.</w:t>
      </w:r>
    </w:p>
    <w:p w:rsidR="00D25EFC" w:rsidRDefault="00A27A2B">
      <w:pPr>
        <w:pStyle w:val="Caption"/>
      </w:pPr>
      <w:bookmarkStart w:id="124" w:name="_Toc408392448"/>
      <w:bookmarkStart w:id="125" w:name="_Toc408393508"/>
      <w:r>
        <w:t xml:space="preserve">Figure </w:t>
      </w:r>
      <w:fldSimple w:instr=" SEQ Figure \* ARABIC ">
        <w:r>
          <w:rPr>
            <w:noProof/>
          </w:rPr>
          <w:t>5</w:t>
        </w:r>
      </w:fldSimple>
      <w:r>
        <w:tab/>
        <w:t>Response options for viral haemorrhagic septicaemia disease outbreaks</w:t>
      </w:r>
      <w:bookmarkEnd w:id="124"/>
      <w:bookmarkEnd w:id="125"/>
    </w:p>
    <w:p w:rsidR="00D25EFC" w:rsidRDefault="00A27A2B">
      <w:r>
        <w:rPr>
          <w:noProof/>
        </w:rPr>
        <w:drawing>
          <wp:inline distT="0" distB="0" distL="0" distR="0">
            <wp:extent cx="5724525" cy="5534025"/>
            <wp:effectExtent l="19050" t="0" r="9525" b="0"/>
            <wp:docPr id="10" name="Picture 10" descr="Flow chart explaining the options in a potential VHS outbreak. If the product is imported then eradication may be an option and tracing needs to be done.&#10;If the product is confirmed in a closed system then it could potentially be eradicated and tracing will need to be done.&#10;If the virus is detected in farmed fish eradication in the short term is unlikely and you should consider containment, control and zoning.&#10;If it is confirmed in wild fish stocks eradication is unlikety to be an option but control and mitigation should be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ow chart explaining the options in a potential VHS outbreak. If the product is imported then eradication may be an option and tracing needs to be done.&#10;If the product is confirmed in a closed system then it could potentially be eradicated and tracing will need to be done.&#10;If the virus is detected in farmed fish eradication in the short term is unlikely and you should consider containment, control and zoning.&#10;If it is confirmed in wild fish stocks eradication is unlikety to be an option but control and mitigation should be considered."/>
                    <pic:cNvPicPr>
                      <a:picLocks noChangeAspect="1" noChangeArrowheads="1"/>
                    </pic:cNvPicPr>
                  </pic:nvPicPr>
                  <pic:blipFill>
                    <a:blip r:embed="rId21"/>
                    <a:srcRect/>
                    <a:stretch>
                      <a:fillRect/>
                    </a:stretch>
                  </pic:blipFill>
                  <pic:spPr bwMode="auto">
                    <a:xfrm>
                      <a:off x="0" y="0"/>
                      <a:ext cx="5724525" cy="5534025"/>
                    </a:xfrm>
                    <a:prstGeom prst="rect">
                      <a:avLst/>
                    </a:prstGeom>
                    <a:noFill/>
                    <a:ln w="9525">
                      <a:noFill/>
                      <a:miter lim="800000"/>
                      <a:headEnd/>
                      <a:tailEnd/>
                    </a:ln>
                  </pic:spPr>
                </pic:pic>
              </a:graphicData>
            </a:graphic>
          </wp:inline>
        </w:drawing>
      </w:r>
    </w:p>
    <w:p w:rsidR="00D25EFC" w:rsidRDefault="00A27A2B">
      <w:pPr>
        <w:pStyle w:val="Heading4"/>
      </w:pPr>
      <w:bookmarkStart w:id="126" w:name="_Toc402970365"/>
      <w:bookmarkStart w:id="127" w:name="_Toc402970366"/>
      <w:bookmarkStart w:id="128" w:name="_Toc408836339"/>
      <w:r>
        <w:t>Strategies for control and eradication</w:t>
      </w:r>
      <w:bookmarkEnd w:id="126"/>
      <w:bookmarkEnd w:id="127"/>
      <w:bookmarkEnd w:id="128"/>
    </w:p>
    <w:p w:rsidR="00D25EFC" w:rsidRDefault="00A27A2B">
      <w:pPr>
        <w:pStyle w:val="Normalindent"/>
      </w:pPr>
      <w:r>
        <w:t>On suspi</w:t>
      </w:r>
      <w:r>
        <w:t>cion or confirmation of VHSV in Australia, and while the extent of the outbreak or spread of the virus is being determined, the following steps should be taken to minimise or prevent further impact or spread of disease.</w:t>
      </w:r>
    </w:p>
    <w:p w:rsidR="00D25EFC" w:rsidRDefault="00A27A2B">
      <w:pPr>
        <w:pStyle w:val="Heading5"/>
      </w:pPr>
      <w:bookmarkStart w:id="129" w:name="_Toc402970367"/>
      <w:bookmarkStart w:id="130" w:name="_Toc408836340"/>
      <w:r>
        <w:t>Epidemiological investigations</w:t>
      </w:r>
      <w:bookmarkEnd w:id="129"/>
      <w:bookmarkEnd w:id="130"/>
    </w:p>
    <w:p w:rsidR="00D25EFC" w:rsidRDefault="00A27A2B">
      <w:pPr>
        <w:pStyle w:val="Normalindent"/>
      </w:pPr>
      <w:r>
        <w:t>A com</w:t>
      </w:r>
      <w:r>
        <w:t>prehensive epidemiological investigation, including tracing and surveillance, should be initiated immediately to determine:</w:t>
      </w:r>
    </w:p>
    <w:p w:rsidR="00D25EFC" w:rsidRDefault="00A27A2B">
      <w:pPr>
        <w:pStyle w:val="List"/>
      </w:pPr>
      <w:r>
        <w:t>which genogroup or type the isolate is most likely to belong to; this will help identify the possible source of the virus, and possi</w:t>
      </w:r>
      <w:r>
        <w:t>ble extent of disease</w:t>
      </w:r>
    </w:p>
    <w:p w:rsidR="00D25EFC" w:rsidRDefault="00A27A2B">
      <w:pPr>
        <w:pStyle w:val="List"/>
      </w:pPr>
      <w:r>
        <w:t xml:space="preserve">how widespread the virus may be, geographically and biologically (i.e. the range of susceptible fish species that may be infected). Until adequate </w:t>
      </w:r>
      <w:r>
        <w:lastRenderedPageBreak/>
        <w:t>data become available, potentially exposed fish populations should be assumed to have b</w:t>
      </w:r>
      <w:r>
        <w:t xml:space="preserve">een exposed to the virus </w:t>
      </w:r>
    </w:p>
    <w:p w:rsidR="00D25EFC" w:rsidRDefault="00A27A2B">
      <w:pPr>
        <w:pStyle w:val="List"/>
      </w:pPr>
      <w:r>
        <w:t>how to prevent further spread of the virus from the infected location, if prevention is considered possible.</w:t>
      </w:r>
    </w:p>
    <w:p w:rsidR="00D25EFC" w:rsidRDefault="00A27A2B">
      <w:pPr>
        <w:pStyle w:val="Normalindent"/>
      </w:pPr>
      <w:r>
        <w:t xml:space="preserve">It can be difficult to isolate the virus from carrier fish. This must be taken into consideration when designing and </w:t>
      </w:r>
      <w:r>
        <w:t>performing any epidemiological investigation and assessment of the results. Fish from waters cooler than 18°C should be the primary focus.</w:t>
      </w:r>
    </w:p>
    <w:p w:rsidR="00D25EFC" w:rsidRDefault="00A27A2B">
      <w:pPr>
        <w:pStyle w:val="Heading5"/>
      </w:pPr>
      <w:bookmarkStart w:id="131" w:name="_Toc402970368"/>
      <w:bookmarkStart w:id="132" w:name="_Toc408836341"/>
      <w:r>
        <w:t>Quarantine and movement controls</w:t>
      </w:r>
      <w:bookmarkEnd w:id="131"/>
      <w:bookmarkEnd w:id="132"/>
    </w:p>
    <w:p w:rsidR="00D25EFC" w:rsidRDefault="00A27A2B">
      <w:pPr>
        <w:pStyle w:val="Normalindent"/>
      </w:pPr>
      <w:r>
        <w:t>Quarantine and movement controls (Section 2.2.1) must be imposed on anything capable</w:t>
      </w:r>
      <w:r>
        <w:t xml:space="preserve"> of transmitting the virus. Control areas will be established if the virus or the disease has been found in fish in an area conducive to control. Only limited epidemiological information may be available on which to make a decision. Control area boundaries</w:t>
      </w:r>
      <w:r>
        <w:t xml:space="preserve"> can be refined as more information becomes available.</w:t>
      </w:r>
    </w:p>
    <w:p w:rsidR="00D25EFC" w:rsidRDefault="00A27A2B">
      <w:pPr>
        <w:pStyle w:val="Heading5"/>
      </w:pPr>
      <w:bookmarkStart w:id="133" w:name="_Toc402970369"/>
      <w:bookmarkStart w:id="134" w:name="_Toc408836342"/>
      <w:r>
        <w:t>Treatment of fish</w:t>
      </w:r>
      <w:bookmarkEnd w:id="133"/>
      <w:bookmarkEnd w:id="134"/>
    </w:p>
    <w:p w:rsidR="00D25EFC" w:rsidRDefault="00A27A2B">
      <w:pPr>
        <w:pStyle w:val="Normalindent"/>
      </w:pPr>
      <w:r>
        <w:t>There are no treatments currently available for VHS.</w:t>
      </w:r>
    </w:p>
    <w:p w:rsidR="00D25EFC" w:rsidRDefault="00A27A2B">
      <w:pPr>
        <w:pStyle w:val="Heading5"/>
      </w:pPr>
      <w:bookmarkStart w:id="135" w:name="_Toc402970370"/>
      <w:bookmarkStart w:id="136" w:name="_Toc408836343"/>
      <w:r>
        <w:t>Vaccination</w:t>
      </w:r>
      <w:bookmarkEnd w:id="135"/>
      <w:bookmarkEnd w:id="136"/>
    </w:p>
    <w:p w:rsidR="00D25EFC" w:rsidRDefault="00A27A2B">
      <w:pPr>
        <w:pStyle w:val="Normalindent"/>
      </w:pPr>
      <w:r>
        <w:t>There are currently no commercially available vaccines for VHSV, but DNA-based vaccine technology has been shown to be</w:t>
      </w:r>
      <w:r>
        <w:t xml:space="preserve"> effective under experimental conditions (Ortega-Villaizan et al. 2009, Chico et al. 2009, Lorenzen et al. 2009). RNAi technology holds some promise for reducing future impacts from VHSV (Ruiz et al. 2009). Vaccines and RNAi are unlikely to be suitable for</w:t>
      </w:r>
      <w:r>
        <w:t xml:space="preserve"> emergency control of disease outbreaks, but can be used for controlling spread of VHSV to unexposed populations in long-term control programs.</w:t>
      </w:r>
    </w:p>
    <w:p w:rsidR="00D25EFC" w:rsidRDefault="00A27A2B">
      <w:pPr>
        <w:pStyle w:val="Heading5"/>
      </w:pPr>
      <w:bookmarkStart w:id="137" w:name="_Toc402970371"/>
      <w:bookmarkStart w:id="138" w:name="_Toc408836344"/>
      <w:r>
        <w:t>Destruction of fish</w:t>
      </w:r>
      <w:bookmarkEnd w:id="137"/>
      <w:bookmarkEnd w:id="138"/>
    </w:p>
    <w:p w:rsidR="00D25EFC" w:rsidRDefault="00A27A2B">
      <w:pPr>
        <w:pStyle w:val="Normalindent"/>
      </w:pPr>
      <w:r>
        <w:t>The decision to humanely destroy fish must be made based on the circumstances of the outbrea</w:t>
      </w:r>
      <w:r>
        <w:t>k. Virus shedding from clinically diseased fish is likely to be high. An outbreak associated with significant clinical disease may warrant destruction of fish to limit contamination of the environment and reduce the risk of further spread of the virus into</w:t>
      </w:r>
      <w:r>
        <w:t xml:space="preserve"> neighbouring fish populations.</w:t>
      </w:r>
    </w:p>
    <w:p w:rsidR="00D25EFC" w:rsidRDefault="00A27A2B">
      <w:pPr>
        <w:pStyle w:val="Normalindent"/>
      </w:pPr>
      <w:r>
        <w:t>If the outbreak occurs in natural waterways, it is possible that by the time a control strategy is implemented the virus will have established in wild fish populations. In these circumstances, the humane destruction of cultu</w:t>
      </w:r>
      <w:r>
        <w:t>red fish will assist in minimising the virus load in the area, but it will not eradicate the virus from the infected area. See the AQUAVETPLAN operational</w:t>
      </w:r>
      <w:r>
        <w:rPr>
          <w:rStyle w:val="Emphasis"/>
        </w:rPr>
        <w:t xml:space="preserve"> </w:t>
      </w:r>
      <w:r>
        <w:t xml:space="preserve">procedures manual </w:t>
      </w:r>
      <w:r>
        <w:rPr>
          <w:rStyle w:val="Emphasis"/>
        </w:rPr>
        <w:t xml:space="preserve">Destruction </w:t>
      </w:r>
      <w:r>
        <w:t>(http://www.agriculture.gov.au/animal-plant-health/aquatic/aquavetplan)</w:t>
      </w:r>
      <w:r>
        <w:t xml:space="preserve"> for details of destruction operations.</w:t>
      </w:r>
    </w:p>
    <w:p w:rsidR="00D25EFC" w:rsidRDefault="00A27A2B">
      <w:pPr>
        <w:pStyle w:val="Heading5"/>
      </w:pPr>
      <w:bookmarkStart w:id="139" w:name="_Toc402970372"/>
      <w:bookmarkStart w:id="140" w:name="_Toc408836345"/>
      <w:r>
        <w:t>Treatment of fish products and by-products</w:t>
      </w:r>
      <w:bookmarkEnd w:id="139"/>
      <w:bookmarkEnd w:id="140"/>
    </w:p>
    <w:p w:rsidR="00D25EFC" w:rsidRDefault="00A27A2B">
      <w:pPr>
        <w:pStyle w:val="Normalindent"/>
      </w:pPr>
      <w:r>
        <w:t>The treatment of fish products and by-products must consider trade regulations, market requirements, food safety standards and potential spread of the pathogen via products.</w:t>
      </w:r>
    </w:p>
    <w:p w:rsidR="00D25EFC" w:rsidRDefault="00A27A2B">
      <w:pPr>
        <w:pStyle w:val="Normalindent"/>
      </w:pPr>
      <w:r>
        <w:t>Harvested fish should be eviscerated as a minimum, and preferably filleted, to remove organs likely to contain the highest titre of virus. Harvested fish can safely be frozen until infection is definitively diagnosed or discounted. The freeze–thaw cycle w</w:t>
      </w:r>
      <w:r>
        <w:t xml:space="preserve">ill reduce virus titre. </w:t>
      </w:r>
    </w:p>
    <w:p w:rsidR="00D25EFC" w:rsidRDefault="00A27A2B">
      <w:pPr>
        <w:pStyle w:val="Normalindent"/>
      </w:pPr>
      <w:r>
        <w:lastRenderedPageBreak/>
        <w:t xml:space="preserve">A decision on the use of fish products and by-products will depend on the control option selected (Section 2.2.6). </w:t>
      </w:r>
    </w:p>
    <w:p w:rsidR="00D25EFC" w:rsidRDefault="00A27A2B">
      <w:pPr>
        <w:pStyle w:val="Normalindent"/>
      </w:pPr>
      <w:r>
        <w:t xml:space="preserve">Any harvesting or processing equipment used must be treated as contaminated and disinfected accordingly (see the AQUAVETPLAN operational procedures manual </w:t>
      </w:r>
      <w:r>
        <w:rPr>
          <w:rStyle w:val="Emphasis"/>
        </w:rPr>
        <w:t>Disposal</w:t>
      </w:r>
      <w:r>
        <w:t xml:space="preserve"> (http://www.agriculture.gov.au/animal-plant-health/aquatic/aquavetplan).</w:t>
      </w:r>
    </w:p>
    <w:p w:rsidR="00D25EFC" w:rsidRDefault="00A27A2B">
      <w:pPr>
        <w:pStyle w:val="Heading5"/>
      </w:pPr>
      <w:bookmarkStart w:id="141" w:name="_Toc402970373"/>
      <w:bookmarkStart w:id="142" w:name="_Toc408836346"/>
      <w:r>
        <w:t>Vector control</w:t>
      </w:r>
      <w:bookmarkEnd w:id="141"/>
      <w:bookmarkEnd w:id="142"/>
    </w:p>
    <w:p w:rsidR="00D25EFC" w:rsidRDefault="00A27A2B">
      <w:pPr>
        <w:pStyle w:val="Normalindent"/>
      </w:pPr>
      <w:r>
        <w:t>Effe</w:t>
      </w:r>
      <w:r>
        <w:t>ctive vector control is essential in the initial response, to prevent predators and scavengers (e.g. birds and rodents) eating infected carcasses or carrying them away from the infected premises.</w:t>
      </w:r>
    </w:p>
    <w:p w:rsidR="00D25EFC" w:rsidRDefault="00A27A2B">
      <w:pPr>
        <w:pStyle w:val="Heading5"/>
      </w:pPr>
      <w:bookmarkStart w:id="143" w:name="_Toc402970374"/>
      <w:bookmarkStart w:id="144" w:name="_Toc408836347"/>
      <w:r>
        <w:t>Public awareness</w:t>
      </w:r>
      <w:bookmarkEnd w:id="143"/>
      <w:bookmarkEnd w:id="144"/>
    </w:p>
    <w:p w:rsidR="00D25EFC" w:rsidRDefault="00A27A2B">
      <w:pPr>
        <w:pStyle w:val="Normalindent"/>
      </w:pPr>
      <w:r>
        <w:t>In the early stages of an outbreak investig</w:t>
      </w:r>
      <w:r>
        <w:t>ation, education and public relations, especially with the media, is critical. The use of trained communications managers as media contact points is essential to ensure effective communication with stakeholders and the public. A vital aspect of the respons</w:t>
      </w:r>
      <w:r>
        <w:t xml:space="preserve">e program will be to address the concerns of the public (especially groups such as fishers) by conveying the fact that the authorities are taking all necessary measures to control the situation. It must also be clearly stated that VHS poses no health risk </w:t>
      </w:r>
      <w:r>
        <w:t xml:space="preserve">for humans. It is also important to inform and educate the public and key stakeholders on critical issues, especially when their support and cooperation is required. This can be done using extension materials such as the poster and brochure in Appendix 4. </w:t>
      </w:r>
      <w:r>
        <w:t>The use and monitoring of social media are necessary to provide correct information and dispel incorrect rumours early.</w:t>
      </w:r>
    </w:p>
    <w:p w:rsidR="00D25EFC" w:rsidRDefault="00A27A2B">
      <w:pPr>
        <w:pStyle w:val="Heading4"/>
      </w:pPr>
      <w:bookmarkStart w:id="145" w:name="_Toc402970375"/>
      <w:bookmarkStart w:id="146" w:name="_Toc408836348"/>
      <w:r>
        <w:t>Social and economic effects</w:t>
      </w:r>
      <w:bookmarkEnd w:id="145"/>
      <w:bookmarkEnd w:id="146"/>
    </w:p>
    <w:p w:rsidR="00D25EFC" w:rsidRDefault="00A27A2B">
      <w:pPr>
        <w:pStyle w:val="Normalindent"/>
      </w:pPr>
      <w:r>
        <w:t>Australia’s aquatic animal health status for VHS will change if the VHS virus is isolated from Australian fi</w:t>
      </w:r>
      <w:r>
        <w:t>sh. This change may only be temporary if the virus is successfully eradicated.</w:t>
      </w:r>
    </w:p>
    <w:p w:rsidR="00D25EFC" w:rsidRDefault="00A27A2B">
      <w:pPr>
        <w:pStyle w:val="Heading5"/>
      </w:pPr>
      <w:bookmarkStart w:id="147" w:name="_Toc402970376"/>
      <w:bookmarkStart w:id="148" w:name="_Toc408836349"/>
      <w:r>
        <w:t>Export markets</w:t>
      </w:r>
      <w:bookmarkEnd w:id="147"/>
      <w:bookmarkEnd w:id="148"/>
    </w:p>
    <w:p w:rsidR="00D25EFC" w:rsidRDefault="00A27A2B">
      <w:pPr>
        <w:pStyle w:val="Normalindent"/>
      </w:pPr>
      <w:r>
        <w:t>If VHSV is isolated from Australian fish species, its occurrence must be reported to the OIE. In this event, industries exporting fish products (e.g. fertilised e</w:t>
      </w:r>
      <w:r>
        <w:t>ggs) will need to confirm the requirements of countries importing Australian products. Fish exported from temperate areas of Australia are usually eviscerated, so it is not expected that there would be substantial impacts on Australian exports.</w:t>
      </w:r>
    </w:p>
    <w:p w:rsidR="00D25EFC" w:rsidRDefault="00A27A2B">
      <w:pPr>
        <w:pStyle w:val="Normalindent"/>
      </w:pPr>
      <w:r>
        <w:t>Increased m</w:t>
      </w:r>
      <w:r>
        <w:t>onitoring and surveillance, with comprehensive sampling of fish populations in affected industries, may be required to satisfy the requirements for proof of freedom from VHSV for importing countries. Fish egg exporters already have a monitoring and surveil</w:t>
      </w:r>
      <w:r>
        <w:t xml:space="preserve">lance program in place. </w:t>
      </w:r>
    </w:p>
    <w:p w:rsidR="00D25EFC" w:rsidRDefault="00A27A2B">
      <w:pPr>
        <w:pStyle w:val="Normalindent"/>
      </w:pPr>
      <w:r>
        <w:t>Permits may be required from the relevant authorities to allow products from within disease control programs to be released and sold for human consumption.</w:t>
      </w:r>
    </w:p>
    <w:p w:rsidR="00D25EFC" w:rsidRDefault="00A27A2B">
      <w:pPr>
        <w:pStyle w:val="Normalindent"/>
      </w:pPr>
      <w:r>
        <w:t>The Department of Agriculture website should be used for the most current i</w:t>
      </w:r>
      <w:r>
        <w:t>nformation about export market requirements (fish export requirements).</w:t>
      </w:r>
    </w:p>
    <w:p w:rsidR="00D25EFC" w:rsidRDefault="00A27A2B">
      <w:pPr>
        <w:pStyle w:val="Heading5"/>
      </w:pPr>
      <w:bookmarkStart w:id="149" w:name="_Toc402970377"/>
      <w:bookmarkStart w:id="150" w:name="_Toc408836350"/>
      <w:r>
        <w:t>Domestic markets</w:t>
      </w:r>
      <w:bookmarkEnd w:id="149"/>
      <w:bookmarkEnd w:id="150"/>
    </w:p>
    <w:p w:rsidR="00D25EFC" w:rsidRDefault="00A27A2B">
      <w:pPr>
        <w:pStyle w:val="Normalindent"/>
      </w:pPr>
      <w:r>
        <w:t xml:space="preserve">Decisions about the release of fish or fish products to the domestic market will depend on the control strategy implemented (Section 2.3.4). If VHSV is isolated </w:t>
      </w:r>
      <w:r>
        <w:lastRenderedPageBreak/>
        <w:t xml:space="preserve">in </w:t>
      </w:r>
      <w:r>
        <w:t>Australia and becomes enzootic, the entry of fish products from other parts of the world where VHS is endemic into domestic markets might be expected.</w:t>
      </w:r>
    </w:p>
    <w:p w:rsidR="00D25EFC" w:rsidRDefault="00A27A2B">
      <w:pPr>
        <w:pStyle w:val="Heading4"/>
      </w:pPr>
      <w:bookmarkStart w:id="151" w:name="_Toc402970378"/>
      <w:bookmarkStart w:id="152" w:name="_Toc408836351"/>
      <w:r>
        <w:t>Criteria for proof of freedom</w:t>
      </w:r>
      <w:bookmarkEnd w:id="151"/>
      <w:bookmarkEnd w:id="152"/>
    </w:p>
    <w:p w:rsidR="00D25EFC" w:rsidRDefault="00A27A2B">
      <w:pPr>
        <w:pStyle w:val="Normalindent"/>
      </w:pPr>
      <w:r>
        <w:t>Proof of freedom from VHSV may be important for trade. Proof of freedom can</w:t>
      </w:r>
      <w:r>
        <w:t xml:space="preserve"> be demonstrated at the aquaculture establishment, zone and country levels. Criteria for proof of freedom at each level are given in the OIE </w:t>
      </w:r>
      <w:r>
        <w:rPr>
          <w:rStyle w:val="Emphasis"/>
        </w:rPr>
        <w:t>Aquatic Animal Health Code</w:t>
      </w:r>
      <w:r>
        <w:t xml:space="preserve"> (OIE 2013a) (see Appendix 2).</w:t>
      </w:r>
    </w:p>
    <w:p w:rsidR="00D25EFC" w:rsidRDefault="00A27A2B">
      <w:pPr>
        <w:pStyle w:val="Heading4"/>
      </w:pPr>
      <w:bookmarkStart w:id="153" w:name="_Toc402970379"/>
      <w:bookmarkStart w:id="154" w:name="_Toc408836352"/>
      <w:r>
        <w:t>Funding and compensation</w:t>
      </w:r>
      <w:bookmarkEnd w:id="153"/>
      <w:bookmarkEnd w:id="154"/>
    </w:p>
    <w:p w:rsidR="00D25EFC" w:rsidRDefault="00A27A2B">
      <w:pPr>
        <w:pStyle w:val="Normalindent"/>
      </w:pPr>
      <w:r>
        <w:t>There are currently no national c</w:t>
      </w:r>
      <w:r>
        <w:t>ost-sharing agreements in place for emergency responses to VHS. It is the responsibility of the users of this publication to seek advice in relation to any relevant funding or compensation arrangements within the relevant jurisdiction.</w:t>
      </w:r>
    </w:p>
    <w:p w:rsidR="00D25EFC" w:rsidRDefault="00A27A2B">
      <w:pPr>
        <w:pStyle w:val="Normalindent"/>
      </w:pPr>
      <w:r>
        <w:br w:type="page"/>
      </w:r>
    </w:p>
    <w:p w:rsidR="00D25EFC" w:rsidRDefault="00A27A2B">
      <w:pPr>
        <w:pStyle w:val="Heading3unnumbered"/>
      </w:pPr>
      <w:bookmarkStart w:id="155" w:name="_Toc402970380"/>
      <w:bookmarkStart w:id="156" w:name="_Toc408388683"/>
      <w:bookmarkStart w:id="157" w:name="_Toc408836353"/>
      <w:r>
        <w:lastRenderedPageBreak/>
        <w:t>Appendix A: Specie</w:t>
      </w:r>
      <w:r>
        <w:t>s susceptibility to viral haemorrhagic septicaemia</w:t>
      </w:r>
      <w:bookmarkEnd w:id="155"/>
      <w:bookmarkEnd w:id="156"/>
      <w:bookmarkEnd w:id="157"/>
    </w:p>
    <w:p w:rsidR="00D25EFC" w:rsidRDefault="00A27A2B">
      <w:r>
        <w:rPr>
          <w:bCs/>
        </w:rPr>
        <w:t xml:space="preserve">Main sources: the OIE </w:t>
      </w:r>
      <w:r>
        <w:rPr>
          <w:rStyle w:val="Emphasis"/>
        </w:rPr>
        <w:t>Manual of Diagnostic Tests for Aquatic Animals</w:t>
      </w:r>
      <w:r>
        <w:rPr>
          <w:bCs/>
        </w:rPr>
        <w:t>, chapter 2.3.9</w:t>
      </w:r>
      <w:r>
        <w:t xml:space="preserve"> (updates from OIE notifications include up to February 2014)</w:t>
      </w:r>
      <w:r>
        <w:rPr>
          <w:bCs/>
        </w:rPr>
        <w:t xml:space="preserve">, and the </w:t>
      </w:r>
      <w:r>
        <w:t>European Food Safety Authority Panel on Animal Heal</w:t>
      </w:r>
      <w:r>
        <w:t>th and Welfare Scientific Opinion: Aquatic species susceptible to diseases listed in Directive 2006/88/EC (http://www.efsa.europa.eu/en/efsajournal/pub/808.htm).</w:t>
      </w:r>
    </w:p>
    <w:p w:rsidR="00D25EFC" w:rsidRDefault="00A27A2B">
      <w:pPr>
        <w:pStyle w:val="Caption"/>
        <w:ind w:left="0" w:firstLine="0"/>
      </w:pPr>
      <w:bookmarkStart w:id="158" w:name="_Toc408393523"/>
      <w:r>
        <w:t>Table A</w:t>
      </w:r>
      <w:r w:rsidR="00D25EFC">
        <w:fldChar w:fldCharType="begin"/>
      </w:r>
      <w:r>
        <w:instrText xml:space="preserve"> SEQ Table_A \* ARABIC </w:instrText>
      </w:r>
      <w:r w:rsidR="00D25EFC">
        <w:fldChar w:fldCharType="separate"/>
      </w:r>
      <w:r>
        <w:rPr>
          <w:noProof/>
        </w:rPr>
        <w:t>1</w:t>
      </w:r>
      <w:r w:rsidR="00D25EFC">
        <w:fldChar w:fldCharType="end"/>
      </w:r>
      <w:r>
        <w:tab/>
        <w:t>Species susceptibility to viral haemorrhagic septicaemia</w:t>
      </w:r>
      <w:bookmarkEnd w:id="158"/>
    </w:p>
    <w:tbl>
      <w:tblPr>
        <w:tblW w:w="8755" w:type="dxa"/>
        <w:tblLook w:val="04A0"/>
      </w:tblPr>
      <w:tblGrid>
        <w:gridCol w:w="4361"/>
        <w:gridCol w:w="4394"/>
      </w:tblGrid>
      <w:tr w:rsidR="00D25EFC">
        <w:trPr>
          <w:tblHeader/>
        </w:trPr>
        <w:tc>
          <w:tcPr>
            <w:tcW w:w="4361" w:type="dxa"/>
          </w:tcPr>
          <w:p w:rsidR="00D25EFC" w:rsidRDefault="00A27A2B">
            <w:pPr>
              <w:pStyle w:val="Tabletextcolumnheading"/>
            </w:pPr>
            <w:r>
              <w:t>Su</w:t>
            </w:r>
            <w:r>
              <w:t>sceptible Species</w:t>
            </w:r>
          </w:p>
        </w:tc>
        <w:tc>
          <w:tcPr>
            <w:tcW w:w="4394" w:type="dxa"/>
          </w:tcPr>
          <w:p w:rsidR="00D25EFC" w:rsidRDefault="00A27A2B">
            <w:pPr>
              <w:pStyle w:val="Tabletextcolumnheading"/>
            </w:pPr>
            <w:r>
              <w:t>Susceptible Species</w:t>
            </w:r>
          </w:p>
        </w:tc>
      </w:tr>
      <w:tr w:rsidR="00D25EFC">
        <w:tc>
          <w:tcPr>
            <w:tcW w:w="4361" w:type="dxa"/>
          </w:tcPr>
          <w:p w:rsidR="00D25EFC" w:rsidRDefault="00A27A2B">
            <w:pPr>
              <w:pStyle w:val="tabletext"/>
            </w:pPr>
            <w:r>
              <w:t>Alaska pollock (</w:t>
            </w:r>
            <w:r>
              <w:rPr>
                <w:rStyle w:val="Emphasis"/>
              </w:rPr>
              <w:t>Theragra chalcogramma</w:t>
            </w:r>
            <w:r>
              <w:t>)</w:t>
            </w:r>
          </w:p>
        </w:tc>
        <w:tc>
          <w:tcPr>
            <w:tcW w:w="4394" w:type="dxa"/>
          </w:tcPr>
          <w:p w:rsidR="00D25EFC" w:rsidRDefault="00A27A2B">
            <w:pPr>
              <w:pStyle w:val="tabletext"/>
            </w:pPr>
            <w:r>
              <w:t>Armoured weaselfish (</w:t>
            </w:r>
            <w:r>
              <w:rPr>
                <w:rStyle w:val="Emphasis"/>
              </w:rPr>
              <w:t>Hoplobrotula armata</w:t>
            </w:r>
            <w:r>
              <w:t>)</w:t>
            </w:r>
          </w:p>
        </w:tc>
      </w:tr>
      <w:tr w:rsidR="00D25EFC">
        <w:tc>
          <w:tcPr>
            <w:tcW w:w="4361" w:type="dxa"/>
          </w:tcPr>
          <w:p w:rsidR="00D25EFC" w:rsidRDefault="00A27A2B">
            <w:pPr>
              <w:pStyle w:val="tabletext"/>
            </w:pPr>
            <w:r>
              <w:t>Atlantic cod (</w:t>
            </w:r>
            <w:r>
              <w:rPr>
                <w:rStyle w:val="Emphasis"/>
              </w:rPr>
              <w:t>Gadus morhua</w:t>
            </w:r>
            <w:r>
              <w:t xml:space="preserve">) </w:t>
            </w:r>
          </w:p>
        </w:tc>
        <w:tc>
          <w:tcPr>
            <w:tcW w:w="4394" w:type="dxa"/>
          </w:tcPr>
          <w:p w:rsidR="00D25EFC" w:rsidRDefault="00A27A2B">
            <w:pPr>
              <w:pStyle w:val="tabletext"/>
            </w:pPr>
            <w:r>
              <w:t>Atlantic halibut (</w:t>
            </w:r>
            <w:r>
              <w:rPr>
                <w:rStyle w:val="Emphasis"/>
              </w:rPr>
              <w:t>Hippoglossus hippoglossus</w:t>
            </w:r>
            <w:r>
              <w:t>)</w:t>
            </w:r>
          </w:p>
        </w:tc>
      </w:tr>
      <w:tr w:rsidR="00D25EFC">
        <w:tc>
          <w:tcPr>
            <w:tcW w:w="4361" w:type="dxa"/>
          </w:tcPr>
          <w:p w:rsidR="00D25EFC" w:rsidRDefault="00A27A2B">
            <w:pPr>
              <w:pStyle w:val="tabletext"/>
            </w:pPr>
            <w:r>
              <w:t>Atlantic herring (</w:t>
            </w:r>
            <w:r>
              <w:rPr>
                <w:rStyle w:val="Emphasis"/>
              </w:rPr>
              <w:t>Clupea harengus</w:t>
            </w:r>
            <w:r>
              <w:t>)</w:t>
            </w:r>
          </w:p>
        </w:tc>
        <w:tc>
          <w:tcPr>
            <w:tcW w:w="4394" w:type="dxa"/>
          </w:tcPr>
          <w:p w:rsidR="00D25EFC" w:rsidRDefault="00A27A2B">
            <w:pPr>
              <w:pStyle w:val="tabletext"/>
              <w:rPr>
                <w:iCs/>
              </w:rPr>
            </w:pPr>
            <w:r>
              <w:t xml:space="preserve">Atlantic salmon </w:t>
            </w:r>
            <w:r>
              <w:rPr>
                <w:iCs/>
              </w:rPr>
              <w:t>(</w:t>
            </w:r>
            <w:r>
              <w:rPr>
                <w:rStyle w:val="Emphasis"/>
              </w:rPr>
              <w:t xml:space="preserve">Salmo </w:t>
            </w:r>
            <w:r>
              <w:rPr>
                <w:rStyle w:val="Emphasis"/>
              </w:rPr>
              <w:t>salar</w:t>
            </w:r>
            <w:r>
              <w:rPr>
                <w:iCs/>
              </w:rPr>
              <w:t>)</w:t>
            </w:r>
          </w:p>
        </w:tc>
      </w:tr>
      <w:tr w:rsidR="00D25EFC">
        <w:tc>
          <w:tcPr>
            <w:tcW w:w="4361" w:type="dxa"/>
          </w:tcPr>
          <w:p w:rsidR="00D25EFC" w:rsidRDefault="00A27A2B">
            <w:pPr>
              <w:pStyle w:val="tabletext"/>
            </w:pPr>
            <w:r>
              <w:t>Black crappie (</w:t>
            </w:r>
            <w:r>
              <w:rPr>
                <w:rStyle w:val="Emphasis"/>
              </w:rPr>
              <w:t>Pomoxis nigromaculatus</w:t>
            </w:r>
            <w:r>
              <w:t xml:space="preserve">) </w:t>
            </w:r>
          </w:p>
        </w:tc>
        <w:tc>
          <w:tcPr>
            <w:tcW w:w="4394" w:type="dxa"/>
          </w:tcPr>
          <w:p w:rsidR="00D25EFC" w:rsidRDefault="00A27A2B">
            <w:pPr>
              <w:pStyle w:val="tabletext"/>
            </w:pPr>
            <w:r>
              <w:t>Black porgy (</w:t>
            </w:r>
            <w:r>
              <w:rPr>
                <w:rStyle w:val="Emphasis"/>
              </w:rPr>
              <w:t>Acanthopagrus schlegelii</w:t>
            </w:r>
            <w:r>
              <w:t>)</w:t>
            </w:r>
          </w:p>
        </w:tc>
      </w:tr>
      <w:tr w:rsidR="00D25EFC">
        <w:tc>
          <w:tcPr>
            <w:tcW w:w="4361" w:type="dxa"/>
          </w:tcPr>
          <w:p w:rsidR="00D25EFC" w:rsidRDefault="00A27A2B">
            <w:pPr>
              <w:pStyle w:val="tabletext"/>
            </w:pPr>
            <w:r>
              <w:t>Blue whiting (</w:t>
            </w:r>
            <w:r>
              <w:rPr>
                <w:rStyle w:val="Emphasis"/>
              </w:rPr>
              <w:t>Micromesistius poutassou</w:t>
            </w:r>
            <w:r>
              <w:t>)</w:t>
            </w:r>
          </w:p>
        </w:tc>
        <w:tc>
          <w:tcPr>
            <w:tcW w:w="4394" w:type="dxa"/>
          </w:tcPr>
          <w:p w:rsidR="00D25EFC" w:rsidRDefault="00A27A2B">
            <w:pPr>
              <w:pStyle w:val="tabletext"/>
            </w:pPr>
            <w:r>
              <w:t>Bluegill (</w:t>
            </w:r>
            <w:r>
              <w:rPr>
                <w:rStyle w:val="Emphasis"/>
              </w:rPr>
              <w:t>Lepomis macrochirus</w:t>
            </w:r>
            <w:r>
              <w:t>)</w:t>
            </w:r>
          </w:p>
        </w:tc>
      </w:tr>
      <w:tr w:rsidR="00D25EFC">
        <w:tc>
          <w:tcPr>
            <w:tcW w:w="4361" w:type="dxa"/>
          </w:tcPr>
          <w:p w:rsidR="00D25EFC" w:rsidRDefault="00A27A2B">
            <w:pPr>
              <w:pStyle w:val="tabletext"/>
            </w:pPr>
            <w:r>
              <w:t>Bluntnose minnow (</w:t>
            </w:r>
            <w:r>
              <w:rPr>
                <w:rStyle w:val="Emphasis"/>
              </w:rPr>
              <w:t>Pimephales notatus</w:t>
            </w:r>
            <w:r>
              <w:t>)</w:t>
            </w:r>
          </w:p>
        </w:tc>
        <w:tc>
          <w:tcPr>
            <w:tcW w:w="4394" w:type="dxa"/>
          </w:tcPr>
          <w:p w:rsidR="00D25EFC" w:rsidRDefault="00A27A2B">
            <w:pPr>
              <w:pStyle w:val="tabletext"/>
            </w:pPr>
            <w:r>
              <w:t>Brook trout (</w:t>
            </w:r>
            <w:r>
              <w:rPr>
                <w:rStyle w:val="Emphasis"/>
              </w:rPr>
              <w:t>Salvelinus fontinalis</w:t>
            </w:r>
            <w:r>
              <w:t>)</w:t>
            </w:r>
          </w:p>
        </w:tc>
      </w:tr>
      <w:tr w:rsidR="00D25EFC">
        <w:tc>
          <w:tcPr>
            <w:tcW w:w="4361" w:type="dxa"/>
          </w:tcPr>
          <w:p w:rsidR="00D25EFC" w:rsidRDefault="00A27A2B">
            <w:pPr>
              <w:pStyle w:val="tabletext"/>
            </w:pPr>
            <w:r>
              <w:t>Brown bullhead (</w:t>
            </w:r>
            <w:r>
              <w:rPr>
                <w:rStyle w:val="Emphasis"/>
              </w:rPr>
              <w:t>Ictalurus nebulosus</w:t>
            </w:r>
            <w:r>
              <w:t>)</w:t>
            </w:r>
          </w:p>
        </w:tc>
        <w:tc>
          <w:tcPr>
            <w:tcW w:w="4394" w:type="dxa"/>
          </w:tcPr>
          <w:p w:rsidR="00D25EFC" w:rsidRDefault="00A27A2B">
            <w:pPr>
              <w:pStyle w:val="tabletext"/>
            </w:pPr>
            <w:r>
              <w:t>Brown trout (</w:t>
            </w:r>
            <w:r>
              <w:rPr>
                <w:rStyle w:val="Emphasis"/>
              </w:rPr>
              <w:t>Salmo trutta</w:t>
            </w:r>
            <w:r>
              <w:t>)</w:t>
            </w:r>
          </w:p>
        </w:tc>
      </w:tr>
      <w:tr w:rsidR="00D25EFC">
        <w:tc>
          <w:tcPr>
            <w:tcW w:w="4361" w:type="dxa"/>
          </w:tcPr>
          <w:p w:rsidR="00D25EFC" w:rsidRDefault="00A27A2B">
            <w:pPr>
              <w:pStyle w:val="tabletext"/>
            </w:pPr>
            <w:r>
              <w:t>Burbot (</w:t>
            </w:r>
            <w:r>
              <w:rPr>
                <w:rStyle w:val="Emphasis"/>
              </w:rPr>
              <w:t>Lota lota</w:t>
            </w:r>
            <w:r>
              <w:t>)</w:t>
            </w:r>
          </w:p>
        </w:tc>
        <w:tc>
          <w:tcPr>
            <w:tcW w:w="4394" w:type="dxa"/>
          </w:tcPr>
          <w:p w:rsidR="00D25EFC" w:rsidRDefault="00A27A2B">
            <w:pPr>
              <w:pStyle w:val="tabletext"/>
            </w:pPr>
            <w:r>
              <w:t>Channel catfish (</w:t>
            </w:r>
            <w:r>
              <w:rPr>
                <w:rStyle w:val="Emphasis"/>
              </w:rPr>
              <w:t>Ictalurus punctatus</w:t>
            </w:r>
            <w:r>
              <w:t>)</w:t>
            </w:r>
          </w:p>
        </w:tc>
      </w:tr>
      <w:tr w:rsidR="00D25EFC">
        <w:tc>
          <w:tcPr>
            <w:tcW w:w="4361" w:type="dxa"/>
          </w:tcPr>
          <w:p w:rsidR="00D25EFC" w:rsidRDefault="00A27A2B">
            <w:pPr>
              <w:pStyle w:val="tabletext"/>
            </w:pPr>
            <w:r>
              <w:t>Chinook salmon (</w:t>
            </w:r>
            <w:r>
              <w:rPr>
                <w:rStyle w:val="Emphasis"/>
              </w:rPr>
              <w:t>Oncorhynchus tshawytscha</w:t>
            </w:r>
            <w:r>
              <w:t>)</w:t>
            </w:r>
          </w:p>
        </w:tc>
        <w:tc>
          <w:tcPr>
            <w:tcW w:w="4394" w:type="dxa"/>
          </w:tcPr>
          <w:p w:rsidR="00D25EFC" w:rsidRDefault="00A27A2B">
            <w:pPr>
              <w:pStyle w:val="tabletext"/>
            </w:pPr>
            <w:r>
              <w:t>Chum salmon (</w:t>
            </w:r>
            <w:r>
              <w:rPr>
                <w:rStyle w:val="Emphasis"/>
              </w:rPr>
              <w:t>Oncorhynchus keta</w:t>
            </w:r>
            <w:r>
              <w:t>)</w:t>
            </w:r>
          </w:p>
        </w:tc>
      </w:tr>
      <w:tr w:rsidR="00D25EFC">
        <w:tc>
          <w:tcPr>
            <w:tcW w:w="4361" w:type="dxa"/>
          </w:tcPr>
          <w:p w:rsidR="00D25EFC" w:rsidRDefault="00A27A2B">
            <w:pPr>
              <w:pStyle w:val="tabletext"/>
            </w:pPr>
            <w:r>
              <w:t>Coho Salmon (</w:t>
            </w:r>
            <w:r>
              <w:rPr>
                <w:rStyle w:val="Emphasis"/>
              </w:rPr>
              <w:t>Oncorhynchus kisutch</w:t>
            </w:r>
            <w:r>
              <w:t>)</w:t>
            </w:r>
          </w:p>
        </w:tc>
        <w:tc>
          <w:tcPr>
            <w:tcW w:w="4394" w:type="dxa"/>
          </w:tcPr>
          <w:p w:rsidR="00D25EFC" w:rsidRDefault="00A27A2B">
            <w:pPr>
              <w:pStyle w:val="tabletext"/>
            </w:pPr>
            <w:r>
              <w:t>Cuckoo wrasse (</w:t>
            </w:r>
            <w:r>
              <w:rPr>
                <w:rStyle w:val="Emphasis"/>
              </w:rPr>
              <w:t>Labrus mixtus</w:t>
            </w:r>
            <w:r>
              <w:t>)</w:t>
            </w:r>
          </w:p>
        </w:tc>
      </w:tr>
      <w:tr w:rsidR="00D25EFC">
        <w:tc>
          <w:tcPr>
            <w:tcW w:w="4361" w:type="dxa"/>
          </w:tcPr>
          <w:p w:rsidR="00D25EFC" w:rsidRDefault="00A27A2B">
            <w:pPr>
              <w:pStyle w:val="tabletext"/>
            </w:pPr>
            <w:r>
              <w:t>Dab (</w:t>
            </w:r>
            <w:r>
              <w:rPr>
                <w:rStyle w:val="Emphasis"/>
              </w:rPr>
              <w:t>Limanda limanda</w:t>
            </w:r>
            <w:r>
              <w:t>)</w:t>
            </w:r>
          </w:p>
        </w:tc>
        <w:tc>
          <w:tcPr>
            <w:tcW w:w="4394" w:type="dxa"/>
          </w:tcPr>
          <w:p w:rsidR="00D25EFC" w:rsidRDefault="00A27A2B">
            <w:pPr>
              <w:pStyle w:val="tabletext"/>
            </w:pPr>
            <w:r>
              <w:t>Emerald shiner (</w:t>
            </w:r>
            <w:r>
              <w:rPr>
                <w:rStyle w:val="Emphasis"/>
              </w:rPr>
              <w:t>Notropis atherinoides</w:t>
            </w:r>
            <w:r>
              <w:t>)</w:t>
            </w:r>
          </w:p>
        </w:tc>
      </w:tr>
      <w:tr w:rsidR="00D25EFC">
        <w:tc>
          <w:tcPr>
            <w:tcW w:w="4361" w:type="dxa"/>
          </w:tcPr>
          <w:p w:rsidR="00D25EFC" w:rsidRDefault="00A27A2B">
            <w:pPr>
              <w:pStyle w:val="tabletext"/>
            </w:pPr>
            <w:r>
              <w:t>English sole (</w:t>
            </w:r>
            <w:r>
              <w:rPr>
                <w:rStyle w:val="Emphasis"/>
              </w:rPr>
              <w:t>Parophrys vetulus</w:t>
            </w:r>
            <w:r>
              <w:t>)</w:t>
            </w:r>
          </w:p>
        </w:tc>
        <w:tc>
          <w:tcPr>
            <w:tcW w:w="4394" w:type="dxa"/>
          </w:tcPr>
          <w:p w:rsidR="00D25EFC" w:rsidRDefault="00A27A2B">
            <w:pPr>
              <w:pStyle w:val="tabletext"/>
            </w:pPr>
            <w:r>
              <w:t>Eulachon (</w:t>
            </w:r>
            <w:r>
              <w:rPr>
                <w:rStyle w:val="Emphasis"/>
              </w:rPr>
              <w:t>Thaleichthys pacificus</w:t>
            </w:r>
            <w:r>
              <w:t>) (smelt)</w:t>
            </w:r>
          </w:p>
        </w:tc>
      </w:tr>
      <w:tr w:rsidR="00D25EFC">
        <w:tc>
          <w:tcPr>
            <w:tcW w:w="4361" w:type="dxa"/>
          </w:tcPr>
          <w:p w:rsidR="00D25EFC" w:rsidRDefault="00A27A2B">
            <w:pPr>
              <w:pStyle w:val="tabletext"/>
            </w:pPr>
            <w:r>
              <w:t>European eels (</w:t>
            </w:r>
            <w:r>
              <w:rPr>
                <w:rStyle w:val="Emphasis"/>
              </w:rPr>
              <w:t>Anguilla anguilla</w:t>
            </w:r>
            <w:r>
              <w:t>)</w:t>
            </w:r>
          </w:p>
        </w:tc>
        <w:tc>
          <w:tcPr>
            <w:tcW w:w="4394" w:type="dxa"/>
          </w:tcPr>
          <w:p w:rsidR="00D25EFC" w:rsidRDefault="00A27A2B">
            <w:pPr>
              <w:pStyle w:val="tabletext"/>
            </w:pPr>
            <w:r>
              <w:t>European river lamprey (</w:t>
            </w:r>
            <w:r>
              <w:rPr>
                <w:rStyle w:val="Emphasis"/>
              </w:rPr>
              <w:t>Lampetra fluviatilis</w:t>
            </w:r>
            <w:r>
              <w:t>)</w:t>
            </w:r>
          </w:p>
        </w:tc>
      </w:tr>
      <w:tr w:rsidR="00D25EFC">
        <w:tc>
          <w:tcPr>
            <w:tcW w:w="4361" w:type="dxa"/>
          </w:tcPr>
          <w:p w:rsidR="00D25EFC" w:rsidRDefault="00A27A2B">
            <w:pPr>
              <w:pStyle w:val="tabletext"/>
            </w:pPr>
            <w:r>
              <w:t>European sprat (</w:t>
            </w:r>
            <w:r>
              <w:rPr>
                <w:rStyle w:val="Emphasis"/>
              </w:rPr>
              <w:t>Sprattus sprattus</w:t>
            </w:r>
            <w:r>
              <w:t>)</w:t>
            </w:r>
          </w:p>
        </w:tc>
        <w:tc>
          <w:tcPr>
            <w:tcW w:w="4394" w:type="dxa"/>
          </w:tcPr>
          <w:p w:rsidR="00D25EFC" w:rsidRDefault="00A27A2B">
            <w:pPr>
              <w:pStyle w:val="tabletext"/>
            </w:pPr>
            <w:r>
              <w:t>Flounde</w:t>
            </w:r>
            <w:r>
              <w:t>r (</w:t>
            </w:r>
            <w:r>
              <w:rPr>
                <w:rStyle w:val="Emphasis"/>
              </w:rPr>
              <w:t>Platichthys flesus</w:t>
            </w:r>
            <w:r>
              <w:t>)</w:t>
            </w:r>
          </w:p>
        </w:tc>
      </w:tr>
      <w:tr w:rsidR="00D25EFC">
        <w:tc>
          <w:tcPr>
            <w:tcW w:w="4361" w:type="dxa"/>
          </w:tcPr>
          <w:p w:rsidR="00D25EFC" w:rsidRDefault="00A27A2B">
            <w:pPr>
              <w:pStyle w:val="tabletext"/>
            </w:pPr>
            <w:r>
              <w:t>Fourbeard rockling (</w:t>
            </w:r>
            <w:r>
              <w:rPr>
                <w:rStyle w:val="Emphasis"/>
              </w:rPr>
              <w:t>Enchelyopus cimbrius</w:t>
            </w:r>
            <w:r>
              <w:t>)</w:t>
            </w:r>
          </w:p>
        </w:tc>
        <w:tc>
          <w:tcPr>
            <w:tcW w:w="4394" w:type="dxa"/>
          </w:tcPr>
          <w:p w:rsidR="00D25EFC" w:rsidRDefault="00A27A2B">
            <w:pPr>
              <w:pStyle w:val="tabletext"/>
            </w:pPr>
            <w:r>
              <w:t>Freshwater drum (</w:t>
            </w:r>
            <w:r>
              <w:rPr>
                <w:rStyle w:val="Emphasis"/>
              </w:rPr>
              <w:t>Apliodinotus grunniens</w:t>
            </w:r>
            <w:r>
              <w:t>)</w:t>
            </w:r>
          </w:p>
        </w:tc>
      </w:tr>
      <w:tr w:rsidR="00D25EFC">
        <w:tc>
          <w:tcPr>
            <w:tcW w:w="4361" w:type="dxa"/>
          </w:tcPr>
          <w:p w:rsidR="00D25EFC" w:rsidRDefault="00A27A2B">
            <w:pPr>
              <w:pStyle w:val="tabletext"/>
            </w:pPr>
            <w:r>
              <w:t>Gilthead seabream (</w:t>
            </w:r>
            <w:r>
              <w:rPr>
                <w:rStyle w:val="Emphasis"/>
              </w:rPr>
              <w:t>Sparus aurata</w:t>
            </w:r>
            <w:r>
              <w:t>)</w:t>
            </w:r>
          </w:p>
        </w:tc>
        <w:tc>
          <w:tcPr>
            <w:tcW w:w="4394" w:type="dxa"/>
          </w:tcPr>
          <w:p w:rsidR="00D25EFC" w:rsidRDefault="00A27A2B">
            <w:pPr>
              <w:pStyle w:val="tabletext"/>
            </w:pPr>
            <w:r>
              <w:t>Gizzard shad (</w:t>
            </w:r>
            <w:r>
              <w:rPr>
                <w:rStyle w:val="Emphasis"/>
              </w:rPr>
              <w:t>Dorosoma cepedianum</w:t>
            </w:r>
            <w:r>
              <w:t>)</w:t>
            </w:r>
          </w:p>
        </w:tc>
      </w:tr>
      <w:tr w:rsidR="00D25EFC">
        <w:tc>
          <w:tcPr>
            <w:tcW w:w="4361" w:type="dxa"/>
          </w:tcPr>
          <w:p w:rsidR="00D25EFC" w:rsidRDefault="00A27A2B">
            <w:pPr>
              <w:pStyle w:val="tabletext"/>
            </w:pPr>
            <w:r>
              <w:t>Golden trout (</w:t>
            </w:r>
            <w:r>
              <w:rPr>
                <w:rStyle w:val="Emphasis"/>
              </w:rPr>
              <w:t>Salmo aquabonita</w:t>
            </w:r>
            <w:r>
              <w:t>)</w:t>
            </w:r>
          </w:p>
        </w:tc>
        <w:tc>
          <w:tcPr>
            <w:tcW w:w="4394" w:type="dxa"/>
          </w:tcPr>
          <w:p w:rsidR="00D25EFC" w:rsidRDefault="00A27A2B">
            <w:pPr>
              <w:pStyle w:val="tabletext"/>
            </w:pPr>
            <w:r>
              <w:t>Grayling (</w:t>
            </w:r>
            <w:r>
              <w:rPr>
                <w:rStyle w:val="Emphasis"/>
              </w:rPr>
              <w:t>Thymallus thymallus</w:t>
            </w:r>
            <w:r>
              <w:t>)</w:t>
            </w:r>
          </w:p>
        </w:tc>
      </w:tr>
      <w:tr w:rsidR="00D25EFC">
        <w:tc>
          <w:tcPr>
            <w:tcW w:w="4361" w:type="dxa"/>
          </w:tcPr>
          <w:p w:rsidR="00D25EFC" w:rsidRDefault="00A27A2B">
            <w:pPr>
              <w:pStyle w:val="tabletext"/>
            </w:pPr>
            <w:r>
              <w:t xml:space="preserve">Greater </w:t>
            </w:r>
            <w:r>
              <w:t>amberjack (</w:t>
            </w:r>
            <w:r>
              <w:rPr>
                <w:rStyle w:val="Emphasis"/>
              </w:rPr>
              <w:t>Seriola dumerii</w:t>
            </w:r>
            <w:r>
              <w:t>)</w:t>
            </w:r>
          </w:p>
        </w:tc>
        <w:tc>
          <w:tcPr>
            <w:tcW w:w="4394" w:type="dxa"/>
          </w:tcPr>
          <w:p w:rsidR="00D25EFC" w:rsidRDefault="00A27A2B">
            <w:pPr>
              <w:pStyle w:val="tabletext"/>
            </w:pPr>
            <w:r>
              <w:t>Greenland halibut (</w:t>
            </w:r>
            <w:r>
              <w:rPr>
                <w:rStyle w:val="Emphasis"/>
              </w:rPr>
              <w:t>Reinhardtius hippoglossoides</w:t>
            </w:r>
            <w:r>
              <w:t>)</w:t>
            </w:r>
          </w:p>
        </w:tc>
      </w:tr>
      <w:tr w:rsidR="00D25EFC">
        <w:tc>
          <w:tcPr>
            <w:tcW w:w="4361" w:type="dxa"/>
          </w:tcPr>
          <w:p w:rsidR="00D25EFC" w:rsidRDefault="00A27A2B">
            <w:pPr>
              <w:pStyle w:val="tabletext"/>
            </w:pPr>
            <w:r>
              <w:t>Haddock (</w:t>
            </w:r>
            <w:r>
              <w:rPr>
                <w:rStyle w:val="Emphasis"/>
              </w:rPr>
              <w:t>Gadus aeglefinus</w:t>
            </w:r>
            <w:r>
              <w:t>)</w:t>
            </w:r>
          </w:p>
        </w:tc>
        <w:tc>
          <w:tcPr>
            <w:tcW w:w="4394" w:type="dxa"/>
          </w:tcPr>
          <w:p w:rsidR="00D25EFC" w:rsidRDefault="00A27A2B">
            <w:pPr>
              <w:pStyle w:val="tabletext"/>
            </w:pPr>
            <w:r>
              <w:t>Hairtail (</w:t>
            </w:r>
            <w:r>
              <w:rPr>
                <w:rStyle w:val="Emphasis"/>
              </w:rPr>
              <w:t>Trichiurus lepturus</w:t>
            </w:r>
            <w:r>
              <w:t>)</w:t>
            </w:r>
          </w:p>
        </w:tc>
      </w:tr>
      <w:tr w:rsidR="00D25EFC">
        <w:tc>
          <w:tcPr>
            <w:tcW w:w="4361" w:type="dxa"/>
          </w:tcPr>
          <w:p w:rsidR="00D25EFC" w:rsidRDefault="00A27A2B">
            <w:pPr>
              <w:pStyle w:val="tabletext"/>
            </w:pPr>
            <w:r>
              <w:t>Hong Kong grouper (</w:t>
            </w:r>
            <w:r>
              <w:rPr>
                <w:rStyle w:val="Emphasis"/>
              </w:rPr>
              <w:t>Epinephelus akaara</w:t>
            </w:r>
            <w:r>
              <w:t xml:space="preserve">) </w:t>
            </w:r>
          </w:p>
        </w:tc>
        <w:tc>
          <w:tcPr>
            <w:tcW w:w="4394" w:type="dxa"/>
          </w:tcPr>
          <w:p w:rsidR="00D25EFC" w:rsidRDefault="00A27A2B">
            <w:pPr>
              <w:pStyle w:val="tabletext"/>
              <w:rPr>
                <w:iCs/>
              </w:rPr>
            </w:pPr>
            <w:r>
              <w:t>Hybrid (rainbow trout × coho salmon) (</w:t>
            </w:r>
            <w:r>
              <w:rPr>
                <w:rStyle w:val="Emphasis"/>
              </w:rPr>
              <w:t>Oncorhynchus mykiss × O. kisutch</w:t>
            </w:r>
            <w:r>
              <w:rPr>
                <w:iCs/>
              </w:rPr>
              <w:t>)</w:t>
            </w:r>
          </w:p>
        </w:tc>
      </w:tr>
      <w:tr w:rsidR="00D25EFC">
        <w:tc>
          <w:tcPr>
            <w:tcW w:w="4361" w:type="dxa"/>
          </w:tcPr>
          <w:p w:rsidR="00D25EFC" w:rsidRDefault="00A27A2B">
            <w:pPr>
              <w:pStyle w:val="tabletext"/>
            </w:pPr>
            <w:r>
              <w:t>Iberia</w:t>
            </w:r>
            <w:r>
              <w:t>n nase (</w:t>
            </w:r>
            <w:r>
              <w:rPr>
                <w:rStyle w:val="Emphasis"/>
              </w:rPr>
              <w:t>Pseudochondrostoma polylepis</w:t>
            </w:r>
            <w:r>
              <w:t>)</w:t>
            </w:r>
          </w:p>
        </w:tc>
        <w:tc>
          <w:tcPr>
            <w:tcW w:w="4394" w:type="dxa"/>
          </w:tcPr>
          <w:p w:rsidR="00D25EFC" w:rsidRDefault="00A27A2B">
            <w:pPr>
              <w:pStyle w:val="tabletext"/>
            </w:pPr>
            <w:r>
              <w:t>Japanese amberjack (</w:t>
            </w:r>
            <w:r>
              <w:rPr>
                <w:rStyle w:val="Emphasis"/>
              </w:rPr>
              <w:t>Seriola purpurascens</w:t>
            </w:r>
            <w:r>
              <w:t>)</w:t>
            </w:r>
          </w:p>
        </w:tc>
      </w:tr>
      <w:tr w:rsidR="00D25EFC">
        <w:tc>
          <w:tcPr>
            <w:tcW w:w="4361" w:type="dxa"/>
          </w:tcPr>
          <w:p w:rsidR="00D25EFC" w:rsidRDefault="00A27A2B">
            <w:pPr>
              <w:pStyle w:val="tabletext"/>
            </w:pPr>
            <w:r>
              <w:t xml:space="preserve">Japanese flounder </w:t>
            </w:r>
            <w:r>
              <w:rPr>
                <w:iCs/>
              </w:rPr>
              <w:t>(</w:t>
            </w:r>
            <w:r>
              <w:rPr>
                <w:rStyle w:val="Emphasis"/>
              </w:rPr>
              <w:t>Paralichthys olivaceus</w:t>
            </w:r>
            <w:r>
              <w:rPr>
                <w:iCs/>
              </w:rPr>
              <w:t xml:space="preserve">) </w:t>
            </w:r>
            <w:r>
              <w:t>(hirame)</w:t>
            </w:r>
          </w:p>
        </w:tc>
        <w:tc>
          <w:tcPr>
            <w:tcW w:w="4394" w:type="dxa"/>
          </w:tcPr>
          <w:p w:rsidR="00D25EFC" w:rsidRDefault="00A27A2B">
            <w:pPr>
              <w:pStyle w:val="tabletext"/>
            </w:pPr>
            <w:r>
              <w:t>Japanese yellowtail (</w:t>
            </w:r>
            <w:r>
              <w:rPr>
                <w:rStyle w:val="Emphasis"/>
              </w:rPr>
              <w:t>Seriola quinqueradiata</w:t>
            </w:r>
            <w:r>
              <w:t>)</w:t>
            </w:r>
          </w:p>
        </w:tc>
      </w:tr>
      <w:tr w:rsidR="00D25EFC">
        <w:tc>
          <w:tcPr>
            <w:tcW w:w="4361" w:type="dxa"/>
          </w:tcPr>
          <w:p w:rsidR="00D25EFC" w:rsidRDefault="00A27A2B">
            <w:pPr>
              <w:pStyle w:val="tabletext"/>
            </w:pPr>
            <w:r>
              <w:t>Korean flounder (</w:t>
            </w:r>
            <w:r>
              <w:rPr>
                <w:rStyle w:val="Emphasis"/>
              </w:rPr>
              <w:t>Glyptocephalus stelleri</w:t>
            </w:r>
            <w:r>
              <w:t>)</w:t>
            </w:r>
          </w:p>
        </w:tc>
        <w:tc>
          <w:tcPr>
            <w:tcW w:w="4394" w:type="dxa"/>
          </w:tcPr>
          <w:p w:rsidR="00D25EFC" w:rsidRDefault="00A27A2B">
            <w:pPr>
              <w:pStyle w:val="tabletext"/>
            </w:pPr>
            <w:r>
              <w:t>Lake trout (</w:t>
            </w:r>
            <w:r>
              <w:rPr>
                <w:rStyle w:val="Emphasis"/>
              </w:rPr>
              <w:t>Salvelinus namaycush</w:t>
            </w:r>
            <w:r>
              <w:t xml:space="preserve">) </w:t>
            </w:r>
          </w:p>
        </w:tc>
      </w:tr>
      <w:tr w:rsidR="00D25EFC">
        <w:tc>
          <w:tcPr>
            <w:tcW w:w="4361" w:type="dxa"/>
          </w:tcPr>
          <w:p w:rsidR="00D25EFC" w:rsidRDefault="00A27A2B">
            <w:pPr>
              <w:pStyle w:val="tabletext"/>
            </w:pPr>
            <w:r>
              <w:t>Lake whitefish (</w:t>
            </w:r>
            <w:r>
              <w:rPr>
                <w:rStyle w:val="Emphasis"/>
              </w:rPr>
              <w:t>Coregonus clupeaformis</w:t>
            </w:r>
            <w:r>
              <w:t>)</w:t>
            </w:r>
          </w:p>
        </w:tc>
        <w:tc>
          <w:tcPr>
            <w:tcW w:w="4394" w:type="dxa"/>
          </w:tcPr>
          <w:p w:rsidR="00D25EFC" w:rsidRDefault="00A27A2B">
            <w:pPr>
              <w:pStyle w:val="tabletext"/>
            </w:pPr>
            <w:r>
              <w:t>Largemouth bass (</w:t>
            </w:r>
            <w:r>
              <w:rPr>
                <w:rStyle w:val="Emphasis"/>
              </w:rPr>
              <w:t>Micropterus salmoides</w:t>
            </w:r>
            <w:r>
              <w:t>)</w:t>
            </w:r>
          </w:p>
        </w:tc>
      </w:tr>
      <w:tr w:rsidR="00D25EFC">
        <w:tc>
          <w:tcPr>
            <w:tcW w:w="4361" w:type="dxa"/>
          </w:tcPr>
          <w:p w:rsidR="00D25EFC" w:rsidRDefault="00A27A2B">
            <w:pPr>
              <w:pStyle w:val="tabletext"/>
            </w:pPr>
            <w:r>
              <w:t>Lesser argentine (</w:t>
            </w:r>
            <w:r>
              <w:rPr>
                <w:rStyle w:val="Emphasis"/>
              </w:rPr>
              <w:t>Argentina sphyraena</w:t>
            </w:r>
            <w:r>
              <w:t>)</w:t>
            </w:r>
          </w:p>
        </w:tc>
        <w:tc>
          <w:tcPr>
            <w:tcW w:w="4394" w:type="dxa"/>
          </w:tcPr>
          <w:p w:rsidR="00D25EFC" w:rsidRDefault="00A27A2B">
            <w:pPr>
              <w:pStyle w:val="tabletext"/>
            </w:pPr>
            <w:r>
              <w:t>Marbled flounder (</w:t>
            </w:r>
            <w:r>
              <w:rPr>
                <w:rStyle w:val="Emphasis"/>
              </w:rPr>
              <w:t>Pleuronectes yokohamae</w:t>
            </w:r>
            <w:r>
              <w:t>)</w:t>
            </w:r>
          </w:p>
        </w:tc>
      </w:tr>
      <w:tr w:rsidR="00D25EFC">
        <w:tc>
          <w:tcPr>
            <w:tcW w:w="4361" w:type="dxa"/>
          </w:tcPr>
          <w:p w:rsidR="00D25EFC" w:rsidRDefault="00A27A2B">
            <w:pPr>
              <w:pStyle w:val="tabletext"/>
            </w:pPr>
            <w:r>
              <w:t>Mullet (</w:t>
            </w:r>
            <w:r>
              <w:rPr>
                <w:rStyle w:val="Emphasis"/>
              </w:rPr>
              <w:t>Mugil cephalus</w:t>
            </w:r>
            <w:r>
              <w:t>)</w:t>
            </w:r>
          </w:p>
        </w:tc>
        <w:tc>
          <w:tcPr>
            <w:tcW w:w="4394" w:type="dxa"/>
          </w:tcPr>
          <w:p w:rsidR="00D25EFC" w:rsidRDefault="00A27A2B">
            <w:pPr>
              <w:pStyle w:val="tabletext"/>
            </w:pPr>
            <w:r>
              <w:t>Mummichog (</w:t>
            </w:r>
            <w:r>
              <w:rPr>
                <w:rStyle w:val="Emphasis"/>
              </w:rPr>
              <w:t>Fundulus heteroclitus</w:t>
            </w:r>
            <w:r>
              <w:t>)</w:t>
            </w:r>
          </w:p>
        </w:tc>
      </w:tr>
      <w:tr w:rsidR="00D25EFC">
        <w:tc>
          <w:tcPr>
            <w:tcW w:w="4361" w:type="dxa"/>
          </w:tcPr>
          <w:p w:rsidR="00D25EFC" w:rsidRDefault="00A27A2B">
            <w:pPr>
              <w:pStyle w:val="tabletext"/>
            </w:pPr>
            <w:r>
              <w:t>Muskellunge (</w:t>
            </w:r>
            <w:r>
              <w:rPr>
                <w:rStyle w:val="Emphasis"/>
              </w:rPr>
              <w:t>Esox masquinongy</w:t>
            </w:r>
            <w:r>
              <w:t>)</w:t>
            </w:r>
          </w:p>
        </w:tc>
        <w:tc>
          <w:tcPr>
            <w:tcW w:w="4394" w:type="dxa"/>
          </w:tcPr>
          <w:p w:rsidR="00D25EFC" w:rsidRDefault="00A27A2B">
            <w:pPr>
              <w:pStyle w:val="tabletext"/>
            </w:pPr>
            <w:r>
              <w:t>Norway pout (</w:t>
            </w:r>
            <w:r>
              <w:rPr>
                <w:rStyle w:val="Emphasis"/>
              </w:rPr>
              <w:t>Trisopterus esmarki</w:t>
            </w:r>
            <w:r>
              <w:t xml:space="preserve">) </w:t>
            </w:r>
          </w:p>
        </w:tc>
      </w:tr>
      <w:tr w:rsidR="00D25EFC">
        <w:tc>
          <w:tcPr>
            <w:tcW w:w="4361" w:type="dxa"/>
          </w:tcPr>
          <w:p w:rsidR="00D25EFC" w:rsidRDefault="00A27A2B">
            <w:pPr>
              <w:pStyle w:val="tabletext"/>
            </w:pPr>
            <w:r>
              <w:t>Olive flounder (</w:t>
            </w:r>
            <w:r>
              <w:rPr>
                <w:rStyle w:val="Emphasis"/>
              </w:rPr>
              <w:t>Paralichthys olivaceus</w:t>
            </w:r>
            <w:r>
              <w:t>)</w:t>
            </w:r>
          </w:p>
        </w:tc>
        <w:tc>
          <w:tcPr>
            <w:tcW w:w="4394" w:type="dxa"/>
          </w:tcPr>
          <w:p w:rsidR="00D25EFC" w:rsidRDefault="00A27A2B">
            <w:pPr>
              <w:pStyle w:val="tabletext"/>
            </w:pPr>
            <w:r>
              <w:t>Pacific cod (</w:t>
            </w:r>
            <w:r>
              <w:rPr>
                <w:rStyle w:val="Emphasis"/>
              </w:rPr>
              <w:t>Gadus macrocephalus</w:t>
            </w:r>
            <w:r>
              <w:t>)</w:t>
            </w:r>
          </w:p>
        </w:tc>
      </w:tr>
      <w:tr w:rsidR="00D25EFC">
        <w:tc>
          <w:tcPr>
            <w:tcW w:w="4361" w:type="dxa"/>
          </w:tcPr>
          <w:p w:rsidR="00D25EFC" w:rsidRDefault="00A27A2B">
            <w:pPr>
              <w:pStyle w:val="tabletext"/>
            </w:pPr>
            <w:r>
              <w:t>Pacific hake (</w:t>
            </w:r>
            <w:r>
              <w:rPr>
                <w:rStyle w:val="Emphasis"/>
              </w:rPr>
              <w:t>Merluccius productus</w:t>
            </w:r>
            <w:r>
              <w:t>)</w:t>
            </w:r>
          </w:p>
        </w:tc>
        <w:tc>
          <w:tcPr>
            <w:tcW w:w="4394" w:type="dxa"/>
          </w:tcPr>
          <w:p w:rsidR="00D25EFC" w:rsidRDefault="00A27A2B">
            <w:pPr>
              <w:pStyle w:val="tabletext"/>
            </w:pPr>
            <w:r>
              <w:t>Pacific herring (</w:t>
            </w:r>
            <w:r>
              <w:rPr>
                <w:rStyle w:val="Emphasis"/>
              </w:rPr>
              <w:t>Clupea pallasii</w:t>
            </w:r>
            <w:r>
              <w:t>)</w:t>
            </w:r>
          </w:p>
        </w:tc>
      </w:tr>
      <w:tr w:rsidR="00D25EFC">
        <w:tc>
          <w:tcPr>
            <w:tcW w:w="4361" w:type="dxa"/>
          </w:tcPr>
          <w:p w:rsidR="00D25EFC" w:rsidRDefault="00A27A2B">
            <w:pPr>
              <w:pStyle w:val="tabletext"/>
            </w:pPr>
            <w:r>
              <w:t>Pacific mackerel (</w:t>
            </w:r>
            <w:r>
              <w:rPr>
                <w:rStyle w:val="Emphasis"/>
              </w:rPr>
              <w:t>Scomber japonicus</w:t>
            </w:r>
            <w:r>
              <w:t xml:space="preserve">) </w:t>
            </w:r>
          </w:p>
        </w:tc>
        <w:tc>
          <w:tcPr>
            <w:tcW w:w="4394" w:type="dxa"/>
          </w:tcPr>
          <w:p w:rsidR="00D25EFC" w:rsidRDefault="00A27A2B">
            <w:pPr>
              <w:pStyle w:val="tabletext"/>
            </w:pPr>
            <w:r>
              <w:t>Pacific salmon (</w:t>
            </w:r>
            <w:r>
              <w:rPr>
                <w:rStyle w:val="Emphasis"/>
              </w:rPr>
              <w:t>Oncorhynchus</w:t>
            </w:r>
            <w:r>
              <w:t xml:space="preserve"> spp.)</w:t>
            </w:r>
          </w:p>
        </w:tc>
      </w:tr>
      <w:tr w:rsidR="00D25EFC">
        <w:tc>
          <w:tcPr>
            <w:tcW w:w="4361" w:type="dxa"/>
          </w:tcPr>
          <w:p w:rsidR="00D25EFC" w:rsidRDefault="00A27A2B">
            <w:pPr>
              <w:pStyle w:val="tabletext"/>
            </w:pPr>
            <w:r>
              <w:t>Pacific sand eel (</w:t>
            </w:r>
            <w:r>
              <w:rPr>
                <w:rStyle w:val="Emphasis"/>
              </w:rPr>
              <w:t>Ammodytes personatus</w:t>
            </w:r>
            <w:r>
              <w:t>)</w:t>
            </w:r>
          </w:p>
        </w:tc>
        <w:tc>
          <w:tcPr>
            <w:tcW w:w="4394" w:type="dxa"/>
          </w:tcPr>
          <w:p w:rsidR="00D25EFC" w:rsidRDefault="00A27A2B">
            <w:pPr>
              <w:pStyle w:val="tabletext"/>
            </w:pPr>
            <w:r>
              <w:t>Pacific sand lance (</w:t>
            </w:r>
            <w:r>
              <w:rPr>
                <w:rStyle w:val="Emphasis"/>
              </w:rPr>
              <w:t>Ammodytes hexapterus</w:t>
            </w:r>
            <w:r>
              <w:t>)</w:t>
            </w:r>
          </w:p>
        </w:tc>
      </w:tr>
      <w:tr w:rsidR="00D25EFC">
        <w:tc>
          <w:tcPr>
            <w:tcW w:w="4361" w:type="dxa"/>
          </w:tcPr>
          <w:p w:rsidR="00D25EFC" w:rsidRDefault="00A27A2B">
            <w:pPr>
              <w:pStyle w:val="tabletext"/>
            </w:pPr>
            <w:r>
              <w:t>Pacific sardine (</w:t>
            </w:r>
            <w:r>
              <w:rPr>
                <w:rStyle w:val="Emphasis"/>
              </w:rPr>
              <w:t>Sardinops sagax</w:t>
            </w:r>
            <w:r>
              <w:t xml:space="preserve">) </w:t>
            </w:r>
          </w:p>
        </w:tc>
        <w:tc>
          <w:tcPr>
            <w:tcW w:w="4394" w:type="dxa"/>
          </w:tcPr>
          <w:p w:rsidR="00D25EFC" w:rsidRDefault="00A27A2B">
            <w:pPr>
              <w:pStyle w:val="tabletext"/>
            </w:pPr>
            <w:r>
              <w:t>Pacific tomcod (</w:t>
            </w:r>
            <w:r>
              <w:rPr>
                <w:rStyle w:val="Emphasis"/>
              </w:rPr>
              <w:t>Microgadus proximus</w:t>
            </w:r>
            <w:r>
              <w:t>)</w:t>
            </w:r>
          </w:p>
        </w:tc>
      </w:tr>
      <w:tr w:rsidR="00D25EFC">
        <w:tc>
          <w:tcPr>
            <w:tcW w:w="4361" w:type="dxa"/>
          </w:tcPr>
          <w:p w:rsidR="00D25EFC" w:rsidRDefault="00A27A2B">
            <w:pPr>
              <w:pStyle w:val="tabletext"/>
            </w:pPr>
            <w:r>
              <w:t>Pike (</w:t>
            </w:r>
            <w:r>
              <w:rPr>
                <w:rStyle w:val="Emphasis"/>
              </w:rPr>
              <w:t>Esox lucius</w:t>
            </w:r>
            <w:r>
              <w:t>)</w:t>
            </w:r>
          </w:p>
        </w:tc>
        <w:tc>
          <w:tcPr>
            <w:tcW w:w="4394" w:type="dxa"/>
          </w:tcPr>
          <w:p w:rsidR="00D25EFC" w:rsidRDefault="00A27A2B">
            <w:pPr>
              <w:pStyle w:val="tabletext"/>
            </w:pPr>
            <w:r>
              <w:t>Plaice (</w:t>
            </w:r>
            <w:r>
              <w:rPr>
                <w:rStyle w:val="Emphasis"/>
              </w:rPr>
              <w:t>Pleuronectes platessa</w:t>
            </w:r>
            <w:r>
              <w:t>)</w:t>
            </w:r>
          </w:p>
        </w:tc>
      </w:tr>
      <w:tr w:rsidR="00D25EFC">
        <w:tc>
          <w:tcPr>
            <w:tcW w:w="4361" w:type="dxa"/>
          </w:tcPr>
          <w:p w:rsidR="00D25EFC" w:rsidRDefault="00A27A2B">
            <w:pPr>
              <w:pStyle w:val="tabletext"/>
            </w:pPr>
            <w:r>
              <w:t>Poor cod (</w:t>
            </w:r>
            <w:r>
              <w:rPr>
                <w:rStyle w:val="Emphasis"/>
              </w:rPr>
              <w:t>Trisopterus minutus</w:t>
            </w:r>
            <w:r>
              <w:t>)</w:t>
            </w:r>
          </w:p>
        </w:tc>
        <w:tc>
          <w:tcPr>
            <w:tcW w:w="4394" w:type="dxa"/>
          </w:tcPr>
          <w:p w:rsidR="00D25EFC" w:rsidRDefault="00A27A2B">
            <w:pPr>
              <w:pStyle w:val="tabletext"/>
            </w:pPr>
            <w:r>
              <w:t>Pumpkinseed (</w:t>
            </w:r>
            <w:r>
              <w:rPr>
                <w:rStyle w:val="Emphasis"/>
              </w:rPr>
              <w:t>Lepomis gibbosus</w:t>
            </w:r>
            <w:r>
              <w:t>)</w:t>
            </w:r>
          </w:p>
        </w:tc>
      </w:tr>
      <w:tr w:rsidR="00D25EFC">
        <w:tc>
          <w:tcPr>
            <w:tcW w:w="4361" w:type="dxa"/>
          </w:tcPr>
          <w:p w:rsidR="00D25EFC" w:rsidRDefault="00A27A2B">
            <w:pPr>
              <w:pStyle w:val="tabletext"/>
            </w:pPr>
            <w:r>
              <w:lastRenderedPageBreak/>
              <w:t>Rainbow trout (</w:t>
            </w:r>
            <w:r>
              <w:rPr>
                <w:rStyle w:val="Emphasis"/>
              </w:rPr>
              <w:t>Oncorhynchus mykiss</w:t>
            </w:r>
            <w:r>
              <w:t xml:space="preserve">) </w:t>
            </w:r>
          </w:p>
        </w:tc>
        <w:tc>
          <w:tcPr>
            <w:tcW w:w="4394" w:type="dxa"/>
          </w:tcPr>
          <w:p w:rsidR="00D25EFC" w:rsidRDefault="00A27A2B">
            <w:pPr>
              <w:pStyle w:val="tabletext"/>
            </w:pPr>
            <w:r>
              <w:t>Red seabream (</w:t>
            </w:r>
            <w:r>
              <w:rPr>
                <w:rStyle w:val="Emphasis"/>
              </w:rPr>
              <w:t>Pagrus auratus</w:t>
            </w:r>
            <w:r>
              <w:t>)</w:t>
            </w:r>
          </w:p>
        </w:tc>
      </w:tr>
      <w:tr w:rsidR="00D25EFC">
        <w:tc>
          <w:tcPr>
            <w:tcW w:w="4361" w:type="dxa"/>
          </w:tcPr>
          <w:p w:rsidR="00D25EFC" w:rsidRDefault="00A27A2B">
            <w:pPr>
              <w:pStyle w:val="tabletext"/>
            </w:pPr>
            <w:r>
              <w:t>Rock bass (</w:t>
            </w:r>
            <w:r>
              <w:rPr>
                <w:rStyle w:val="Emphasis"/>
              </w:rPr>
              <w:t>Ambloplites rupestris</w:t>
            </w:r>
            <w:r>
              <w:t>)</w:t>
            </w:r>
          </w:p>
        </w:tc>
        <w:tc>
          <w:tcPr>
            <w:tcW w:w="4394" w:type="dxa"/>
          </w:tcPr>
          <w:p w:rsidR="00D25EFC" w:rsidRDefault="00A27A2B">
            <w:pPr>
              <w:pStyle w:val="tabletext"/>
            </w:pPr>
            <w:r>
              <w:t>Rockfish (</w:t>
            </w:r>
            <w:r>
              <w:rPr>
                <w:rStyle w:val="Emphasis"/>
              </w:rPr>
              <w:t>Sebastes</w:t>
            </w:r>
            <w:r>
              <w:t xml:space="preserve"> spp.)</w:t>
            </w:r>
          </w:p>
        </w:tc>
      </w:tr>
      <w:tr w:rsidR="00D25EFC">
        <w:tc>
          <w:tcPr>
            <w:tcW w:w="4361" w:type="dxa"/>
          </w:tcPr>
          <w:p w:rsidR="00D25EFC" w:rsidRDefault="00A27A2B">
            <w:pPr>
              <w:pStyle w:val="tabletext"/>
            </w:pPr>
            <w:r>
              <w:t>Rockling (</w:t>
            </w:r>
            <w:r>
              <w:rPr>
                <w:rStyle w:val="Emphasis"/>
              </w:rPr>
              <w:t>Rhinonemus cimbrius</w:t>
            </w:r>
            <w:r>
              <w:t>)</w:t>
            </w:r>
          </w:p>
        </w:tc>
        <w:tc>
          <w:tcPr>
            <w:tcW w:w="4394" w:type="dxa"/>
          </w:tcPr>
          <w:p w:rsidR="00D25EFC" w:rsidRDefault="00A27A2B">
            <w:pPr>
              <w:pStyle w:val="tabletext"/>
            </w:pPr>
            <w:r>
              <w:t>Round goby (</w:t>
            </w:r>
            <w:r>
              <w:rPr>
                <w:rStyle w:val="Emphasis"/>
              </w:rPr>
              <w:t>Neogobius melanostomus</w:t>
            </w:r>
            <w:r>
              <w:t>)</w:t>
            </w:r>
          </w:p>
        </w:tc>
      </w:tr>
      <w:tr w:rsidR="00D25EFC">
        <w:tc>
          <w:tcPr>
            <w:tcW w:w="4361" w:type="dxa"/>
          </w:tcPr>
          <w:p w:rsidR="00D25EFC" w:rsidRDefault="00A27A2B">
            <w:pPr>
              <w:pStyle w:val="tabletext"/>
            </w:pPr>
            <w:r>
              <w:t>Sablefish (</w:t>
            </w:r>
            <w:r>
              <w:rPr>
                <w:rStyle w:val="Emphasis"/>
              </w:rPr>
              <w:t>Anoplopoma fimbria</w:t>
            </w:r>
            <w:r>
              <w:t>)</w:t>
            </w:r>
          </w:p>
        </w:tc>
        <w:tc>
          <w:tcPr>
            <w:tcW w:w="4394" w:type="dxa"/>
          </w:tcPr>
          <w:p w:rsidR="00D25EFC" w:rsidRDefault="00A27A2B">
            <w:pPr>
              <w:pStyle w:val="tabletext"/>
            </w:pPr>
            <w:r>
              <w:t xml:space="preserve">Sand goby </w:t>
            </w:r>
            <w:r>
              <w:t>(</w:t>
            </w:r>
            <w:r>
              <w:rPr>
                <w:rStyle w:val="Emphasis"/>
              </w:rPr>
              <w:t>Pomatoschistus minutus</w:t>
            </w:r>
            <w:r>
              <w:t>)</w:t>
            </w:r>
          </w:p>
        </w:tc>
      </w:tr>
      <w:tr w:rsidR="00D25EFC">
        <w:tc>
          <w:tcPr>
            <w:tcW w:w="4361" w:type="dxa"/>
          </w:tcPr>
          <w:p w:rsidR="00D25EFC" w:rsidRDefault="00A27A2B">
            <w:pPr>
              <w:pStyle w:val="tabletext"/>
            </w:pPr>
            <w:r>
              <w:t>Sandeel (</w:t>
            </w:r>
            <w:r>
              <w:rPr>
                <w:rStyle w:val="Emphasis"/>
              </w:rPr>
              <w:t>Ammodytes</w:t>
            </w:r>
            <w:r>
              <w:t xml:space="preserve"> spp.)</w:t>
            </w:r>
          </w:p>
        </w:tc>
        <w:tc>
          <w:tcPr>
            <w:tcW w:w="4394" w:type="dxa"/>
          </w:tcPr>
          <w:p w:rsidR="00D25EFC" w:rsidRDefault="00A27A2B">
            <w:pPr>
              <w:pStyle w:val="tabletext"/>
            </w:pPr>
            <w:r>
              <w:t>Sea bass (</w:t>
            </w:r>
            <w:r>
              <w:rPr>
                <w:rStyle w:val="Emphasis"/>
              </w:rPr>
              <w:t>Dicentrarchus labrax</w:t>
            </w:r>
            <w:r>
              <w:t>)</w:t>
            </w:r>
          </w:p>
        </w:tc>
      </w:tr>
      <w:tr w:rsidR="00D25EFC">
        <w:tc>
          <w:tcPr>
            <w:tcW w:w="4361" w:type="dxa"/>
          </w:tcPr>
          <w:p w:rsidR="00D25EFC" w:rsidRDefault="00A27A2B">
            <w:pPr>
              <w:pStyle w:val="tabletext"/>
            </w:pPr>
            <w:r>
              <w:t>Senegalese sole (</w:t>
            </w:r>
            <w:r>
              <w:rPr>
                <w:rStyle w:val="Emphasis"/>
              </w:rPr>
              <w:t>Solea senegalensis</w:t>
            </w:r>
            <w:r>
              <w:t>)</w:t>
            </w:r>
          </w:p>
        </w:tc>
        <w:tc>
          <w:tcPr>
            <w:tcW w:w="4394" w:type="dxa"/>
          </w:tcPr>
          <w:p w:rsidR="00D25EFC" w:rsidRDefault="00A27A2B">
            <w:pPr>
              <w:pStyle w:val="tabletext"/>
            </w:pPr>
            <w:r>
              <w:t>Shiner perch (</w:t>
            </w:r>
            <w:r>
              <w:rPr>
                <w:rStyle w:val="Emphasis"/>
              </w:rPr>
              <w:t>Cymatogaster aggregata</w:t>
            </w:r>
            <w:r>
              <w:t xml:space="preserve">) </w:t>
            </w:r>
          </w:p>
        </w:tc>
      </w:tr>
      <w:tr w:rsidR="00D25EFC">
        <w:tc>
          <w:tcPr>
            <w:tcW w:w="4361" w:type="dxa"/>
          </w:tcPr>
          <w:p w:rsidR="00D25EFC" w:rsidRDefault="00A27A2B">
            <w:pPr>
              <w:pStyle w:val="tabletext"/>
            </w:pPr>
            <w:r>
              <w:t>Shorthead redhorse (</w:t>
            </w:r>
            <w:r>
              <w:rPr>
                <w:rStyle w:val="Emphasis"/>
              </w:rPr>
              <w:t>Moxostoma</w:t>
            </w:r>
            <w:r>
              <w:t xml:space="preserve"> </w:t>
            </w:r>
            <w:r w:rsidR="00D25EFC" w:rsidRPr="00D25EFC">
              <w:rPr>
                <w:i/>
              </w:rPr>
              <w:t>macrolepidotum</w:t>
            </w:r>
            <w:r>
              <w:t>)</w:t>
            </w:r>
          </w:p>
        </w:tc>
        <w:tc>
          <w:tcPr>
            <w:tcW w:w="4394" w:type="dxa"/>
          </w:tcPr>
          <w:p w:rsidR="00D25EFC" w:rsidRDefault="00A27A2B">
            <w:pPr>
              <w:pStyle w:val="tabletext"/>
            </w:pPr>
            <w:r>
              <w:t>Silver pomfret (</w:t>
            </w:r>
            <w:r>
              <w:rPr>
                <w:rStyle w:val="Emphasis"/>
              </w:rPr>
              <w:t>Pampus argenteus</w:t>
            </w:r>
            <w:r>
              <w:t>)</w:t>
            </w:r>
          </w:p>
        </w:tc>
      </w:tr>
      <w:tr w:rsidR="00D25EFC">
        <w:tc>
          <w:tcPr>
            <w:tcW w:w="4361" w:type="dxa"/>
          </w:tcPr>
          <w:p w:rsidR="00D25EFC" w:rsidRDefault="00A27A2B">
            <w:pPr>
              <w:pStyle w:val="tabletext"/>
            </w:pPr>
            <w:r>
              <w:t xml:space="preserve">Silver </w:t>
            </w:r>
            <w:r>
              <w:t>redhorse (</w:t>
            </w:r>
            <w:r>
              <w:rPr>
                <w:rStyle w:val="Emphasis"/>
              </w:rPr>
              <w:t>Moxostoma anisurum</w:t>
            </w:r>
            <w:r>
              <w:t>)</w:t>
            </w:r>
          </w:p>
        </w:tc>
        <w:tc>
          <w:tcPr>
            <w:tcW w:w="4394" w:type="dxa"/>
          </w:tcPr>
          <w:p w:rsidR="00D25EFC" w:rsidRDefault="00A27A2B">
            <w:pPr>
              <w:pStyle w:val="tabletext"/>
            </w:pPr>
            <w:r>
              <w:t>Smallmouth bass (</w:t>
            </w:r>
            <w:r>
              <w:rPr>
                <w:rStyle w:val="Emphasis"/>
              </w:rPr>
              <w:t>Micropterus dolomieui</w:t>
            </w:r>
            <w:r>
              <w:t>)</w:t>
            </w:r>
          </w:p>
        </w:tc>
      </w:tr>
      <w:tr w:rsidR="00D25EFC">
        <w:tc>
          <w:tcPr>
            <w:tcW w:w="4361" w:type="dxa"/>
          </w:tcPr>
          <w:p w:rsidR="00D25EFC" w:rsidRDefault="00A27A2B">
            <w:pPr>
              <w:pStyle w:val="tabletext"/>
            </w:pPr>
            <w:r>
              <w:t>Sockeye salmon (</w:t>
            </w:r>
            <w:r>
              <w:rPr>
                <w:rStyle w:val="Emphasis"/>
              </w:rPr>
              <w:t>Oncorhynchus nerka</w:t>
            </w:r>
            <w:r>
              <w:t>)</w:t>
            </w:r>
          </w:p>
        </w:tc>
        <w:tc>
          <w:tcPr>
            <w:tcW w:w="4394" w:type="dxa"/>
          </w:tcPr>
          <w:p w:rsidR="00D25EFC" w:rsidRDefault="00A27A2B">
            <w:pPr>
              <w:pStyle w:val="tabletext"/>
            </w:pPr>
            <w:r>
              <w:t>Splake (lake trout × brook trout) (</w:t>
            </w:r>
            <w:r>
              <w:rPr>
                <w:rStyle w:val="Emphasis"/>
              </w:rPr>
              <w:t>Salvelinus namaycush × S. fontinalis</w:t>
            </w:r>
            <w:r>
              <w:t xml:space="preserve">) </w:t>
            </w:r>
          </w:p>
        </w:tc>
      </w:tr>
      <w:tr w:rsidR="00D25EFC">
        <w:tc>
          <w:tcPr>
            <w:tcW w:w="4361" w:type="dxa"/>
          </w:tcPr>
          <w:p w:rsidR="00D25EFC" w:rsidRDefault="00A27A2B">
            <w:pPr>
              <w:pStyle w:val="tabletext"/>
            </w:pPr>
            <w:r>
              <w:t>Spottail shiner (</w:t>
            </w:r>
            <w:r>
              <w:rPr>
                <w:rStyle w:val="Emphasis"/>
              </w:rPr>
              <w:t>Notropis hudsonius</w:t>
            </w:r>
            <w:r>
              <w:t>)</w:t>
            </w:r>
          </w:p>
        </w:tc>
        <w:tc>
          <w:tcPr>
            <w:tcW w:w="4394" w:type="dxa"/>
          </w:tcPr>
          <w:p w:rsidR="00D25EFC" w:rsidRDefault="00A27A2B">
            <w:pPr>
              <w:pStyle w:val="tabletext"/>
            </w:pPr>
            <w:r>
              <w:t>Striped bass (</w:t>
            </w:r>
            <w:r>
              <w:rPr>
                <w:rStyle w:val="Emphasis"/>
              </w:rPr>
              <w:t>Morone saxatilis</w:t>
            </w:r>
            <w:r>
              <w:t>)</w:t>
            </w:r>
          </w:p>
        </w:tc>
      </w:tr>
      <w:tr w:rsidR="00D25EFC">
        <w:tc>
          <w:tcPr>
            <w:tcW w:w="4361" w:type="dxa"/>
          </w:tcPr>
          <w:p w:rsidR="00D25EFC" w:rsidRDefault="00A27A2B">
            <w:pPr>
              <w:pStyle w:val="tabletext"/>
            </w:pPr>
            <w:r>
              <w:t>Surf</w:t>
            </w:r>
            <w:r>
              <w:t xml:space="preserve"> smelt (</w:t>
            </w:r>
            <w:r>
              <w:rPr>
                <w:rStyle w:val="Emphasis"/>
              </w:rPr>
              <w:t>Hypomesus pretiosus</w:t>
            </w:r>
            <w:r>
              <w:t>)</w:t>
            </w:r>
          </w:p>
        </w:tc>
        <w:tc>
          <w:tcPr>
            <w:tcW w:w="4394" w:type="dxa"/>
          </w:tcPr>
          <w:p w:rsidR="00D25EFC" w:rsidRDefault="00A27A2B">
            <w:pPr>
              <w:pStyle w:val="tabletext"/>
            </w:pPr>
            <w:r>
              <w:t>Three-spine stickleback (</w:t>
            </w:r>
            <w:r>
              <w:rPr>
                <w:rStyle w:val="Emphasis"/>
              </w:rPr>
              <w:t>Gasterosteus aculeatus</w:t>
            </w:r>
            <w:r>
              <w:t xml:space="preserve">) </w:t>
            </w:r>
          </w:p>
        </w:tc>
      </w:tr>
      <w:tr w:rsidR="00D25EFC">
        <w:tc>
          <w:tcPr>
            <w:tcW w:w="4361" w:type="dxa"/>
          </w:tcPr>
          <w:p w:rsidR="00D25EFC" w:rsidRDefault="00A27A2B">
            <w:pPr>
              <w:pStyle w:val="tabletext"/>
            </w:pPr>
            <w:r>
              <w:t>Trout-perch (</w:t>
            </w:r>
            <w:r>
              <w:rPr>
                <w:rStyle w:val="Emphasis"/>
              </w:rPr>
              <w:t>Percopsis omiscomaycus</w:t>
            </w:r>
            <w:r>
              <w:t>)</w:t>
            </w:r>
          </w:p>
        </w:tc>
        <w:tc>
          <w:tcPr>
            <w:tcW w:w="4394" w:type="dxa"/>
          </w:tcPr>
          <w:p w:rsidR="00D25EFC" w:rsidRDefault="00A27A2B">
            <w:pPr>
              <w:pStyle w:val="tabletext"/>
            </w:pPr>
            <w:r>
              <w:t>Tube snout (</w:t>
            </w:r>
            <w:r>
              <w:rPr>
                <w:rStyle w:val="Emphasis"/>
              </w:rPr>
              <w:t>Aulorhynchus flavidus</w:t>
            </w:r>
            <w:r>
              <w:t>)</w:t>
            </w:r>
          </w:p>
        </w:tc>
      </w:tr>
      <w:tr w:rsidR="00D25EFC">
        <w:tc>
          <w:tcPr>
            <w:tcW w:w="4361" w:type="dxa"/>
          </w:tcPr>
          <w:p w:rsidR="00D25EFC" w:rsidRDefault="00A27A2B">
            <w:pPr>
              <w:pStyle w:val="tabletext"/>
            </w:pPr>
            <w:r>
              <w:t>Turbot (</w:t>
            </w:r>
            <w:r>
              <w:rPr>
                <w:rStyle w:val="Emphasis"/>
              </w:rPr>
              <w:t>Psetta maxima</w:t>
            </w:r>
            <w:r>
              <w:t>)</w:t>
            </w:r>
          </w:p>
        </w:tc>
        <w:tc>
          <w:tcPr>
            <w:tcW w:w="4394" w:type="dxa"/>
          </w:tcPr>
          <w:p w:rsidR="00D25EFC" w:rsidRDefault="00A27A2B">
            <w:pPr>
              <w:pStyle w:val="tabletext"/>
            </w:pPr>
            <w:r>
              <w:t>Walleye (</w:t>
            </w:r>
            <w:r>
              <w:rPr>
                <w:rStyle w:val="Emphasis"/>
              </w:rPr>
              <w:t>Sander vitreus</w:t>
            </w:r>
            <w:r>
              <w:t>)</w:t>
            </w:r>
          </w:p>
        </w:tc>
      </w:tr>
      <w:tr w:rsidR="00D25EFC">
        <w:tc>
          <w:tcPr>
            <w:tcW w:w="4361" w:type="dxa"/>
          </w:tcPr>
          <w:p w:rsidR="00D25EFC" w:rsidRDefault="00A27A2B">
            <w:pPr>
              <w:pStyle w:val="tabletext"/>
            </w:pPr>
            <w:r>
              <w:t>Walleye pollock (</w:t>
            </w:r>
            <w:r>
              <w:rPr>
                <w:rStyle w:val="Emphasis"/>
              </w:rPr>
              <w:t>Theragra chalcogramma</w:t>
            </w:r>
            <w:r>
              <w:t>)</w:t>
            </w:r>
          </w:p>
        </w:tc>
        <w:tc>
          <w:tcPr>
            <w:tcW w:w="4394" w:type="dxa"/>
          </w:tcPr>
          <w:p w:rsidR="00D25EFC" w:rsidRDefault="00A27A2B">
            <w:pPr>
              <w:pStyle w:val="tabletext"/>
            </w:pPr>
            <w:r>
              <w:t>White bass (</w:t>
            </w:r>
            <w:r>
              <w:rPr>
                <w:rStyle w:val="Emphasis"/>
              </w:rPr>
              <w:t>Morone chrysops</w:t>
            </w:r>
            <w:r>
              <w:t>)</w:t>
            </w:r>
          </w:p>
        </w:tc>
      </w:tr>
      <w:tr w:rsidR="00D25EFC">
        <w:tc>
          <w:tcPr>
            <w:tcW w:w="4361" w:type="dxa"/>
          </w:tcPr>
          <w:p w:rsidR="00D25EFC" w:rsidRDefault="00A27A2B">
            <w:pPr>
              <w:pStyle w:val="tabletext"/>
              <w:rPr>
                <w:iCs/>
              </w:rPr>
            </w:pPr>
            <w:r>
              <w:t xml:space="preserve">Whitefish </w:t>
            </w:r>
            <w:r>
              <w:rPr>
                <w:iCs/>
              </w:rPr>
              <w:t>(</w:t>
            </w:r>
            <w:r>
              <w:rPr>
                <w:rStyle w:val="Emphasis"/>
              </w:rPr>
              <w:t>Coregonus</w:t>
            </w:r>
            <w:r>
              <w:rPr>
                <w:iCs/>
              </w:rPr>
              <w:t xml:space="preserve"> </w:t>
            </w:r>
            <w:r>
              <w:t>spp.</w:t>
            </w:r>
            <w:r>
              <w:rPr>
                <w:iCs/>
              </w:rPr>
              <w:t>)</w:t>
            </w:r>
          </w:p>
        </w:tc>
        <w:tc>
          <w:tcPr>
            <w:tcW w:w="4394" w:type="dxa"/>
          </w:tcPr>
          <w:p w:rsidR="00D25EFC" w:rsidRDefault="00A27A2B">
            <w:pPr>
              <w:pStyle w:val="tabletext"/>
            </w:pPr>
            <w:r>
              <w:t>White perch (</w:t>
            </w:r>
            <w:r>
              <w:rPr>
                <w:rStyle w:val="Emphasis"/>
              </w:rPr>
              <w:t>Morone americanus</w:t>
            </w:r>
            <w:r>
              <w:t>)</w:t>
            </w:r>
          </w:p>
        </w:tc>
      </w:tr>
      <w:tr w:rsidR="00D25EFC">
        <w:tc>
          <w:tcPr>
            <w:tcW w:w="4361" w:type="dxa"/>
          </w:tcPr>
          <w:p w:rsidR="00D25EFC" w:rsidRDefault="00A27A2B">
            <w:pPr>
              <w:pStyle w:val="tabletext"/>
            </w:pPr>
            <w:r>
              <w:t>Whiting (</w:t>
            </w:r>
            <w:r>
              <w:rPr>
                <w:rStyle w:val="Emphasis"/>
              </w:rPr>
              <w:t>Merlangius merlangus</w:t>
            </w:r>
            <w:r>
              <w:t>)</w:t>
            </w:r>
          </w:p>
        </w:tc>
        <w:tc>
          <w:tcPr>
            <w:tcW w:w="4394" w:type="dxa"/>
          </w:tcPr>
          <w:p w:rsidR="00D25EFC" w:rsidRDefault="00A27A2B">
            <w:pPr>
              <w:pStyle w:val="tabletext"/>
            </w:pPr>
            <w:r>
              <w:t>Yellow perch (</w:t>
            </w:r>
            <w:r>
              <w:rPr>
                <w:rStyle w:val="Emphasis"/>
              </w:rPr>
              <w:t>Perca flavescens</w:t>
            </w:r>
            <w:r>
              <w:t xml:space="preserve">) </w:t>
            </w:r>
          </w:p>
        </w:tc>
      </w:tr>
      <w:tr w:rsidR="00D25EFC">
        <w:tc>
          <w:tcPr>
            <w:tcW w:w="4361" w:type="dxa"/>
          </w:tcPr>
          <w:p w:rsidR="00D25EFC" w:rsidRDefault="00A27A2B">
            <w:pPr>
              <w:pStyle w:val="tabletext"/>
            </w:pPr>
            <w:r>
              <w:t>Yellowback seabream (</w:t>
            </w:r>
            <w:r>
              <w:rPr>
                <w:rStyle w:val="Emphasis"/>
              </w:rPr>
              <w:t>Dentex tumifrons</w:t>
            </w:r>
            <w:r>
              <w:t>)</w:t>
            </w:r>
          </w:p>
        </w:tc>
        <w:tc>
          <w:tcPr>
            <w:tcW w:w="4394" w:type="dxa"/>
          </w:tcPr>
          <w:p w:rsidR="00D25EFC" w:rsidRDefault="00D25EFC">
            <w:pPr>
              <w:pStyle w:val="tabletext"/>
            </w:pPr>
          </w:p>
        </w:tc>
      </w:tr>
    </w:tbl>
    <w:p w:rsidR="00D25EFC" w:rsidRDefault="00A27A2B">
      <w:pPr>
        <w:pStyle w:val="Heading6"/>
        <w:ind w:left="0"/>
      </w:pPr>
      <w:bookmarkStart w:id="159" w:name="_Toc402970381"/>
      <w:r>
        <w:t>Fish species (freshwater and marine) from which VHSV has been isolated</w:t>
      </w:r>
      <w:bookmarkEnd w:id="159"/>
    </w:p>
    <w:p w:rsidR="00D25EFC" w:rsidRDefault="00A27A2B">
      <w:pPr>
        <w:rPr>
          <w:sz w:val="20"/>
        </w:rPr>
      </w:pPr>
      <w:r>
        <w:rPr>
          <w:bCs/>
          <w:sz w:val="20"/>
        </w:rPr>
        <w:t xml:space="preserve">Main sources: the OIE </w:t>
      </w:r>
      <w:r>
        <w:rPr>
          <w:rStyle w:val="Emphasis"/>
        </w:rPr>
        <w:t>Manual of Diagnostic Tests for Aquatic Animals</w:t>
      </w:r>
      <w:r>
        <w:rPr>
          <w:bCs/>
          <w:sz w:val="20"/>
        </w:rPr>
        <w:t>, chapter 2.3.9</w:t>
      </w:r>
      <w:r>
        <w:rPr>
          <w:sz w:val="20"/>
        </w:rPr>
        <w:t xml:space="preserve"> (updates from OIE notifications include up to February 2014)</w:t>
      </w:r>
      <w:r>
        <w:rPr>
          <w:bCs/>
          <w:sz w:val="20"/>
        </w:rPr>
        <w:t xml:space="preserve">, and the </w:t>
      </w:r>
      <w:r>
        <w:rPr>
          <w:sz w:val="20"/>
        </w:rPr>
        <w:t xml:space="preserve">European Food Safety Authority Panel on Animal Health and Welfare Scientific Opinion: Aquatic species </w:t>
      </w:r>
      <w:r>
        <w:rPr>
          <w:sz w:val="20"/>
        </w:rPr>
        <w:t>susceptible to diseases listed in Directive 2006/88/EC (http://www.efsa.europa.eu/en/efsajournal/pub/808.htm).</w:t>
      </w:r>
    </w:p>
    <w:p w:rsidR="00D25EFC" w:rsidRDefault="00A27A2B">
      <w:pPr>
        <w:pStyle w:val="Caption"/>
        <w:ind w:left="993"/>
      </w:pPr>
      <w:bookmarkStart w:id="160" w:name="_Toc408393524"/>
      <w:r>
        <w:t>Table A</w:t>
      </w:r>
      <w:r w:rsidR="00D25EFC">
        <w:fldChar w:fldCharType="begin"/>
      </w:r>
      <w:r>
        <w:instrText xml:space="preserve"> SEQ Table_A \* ARABIC </w:instrText>
      </w:r>
      <w:r w:rsidR="00D25EFC">
        <w:fldChar w:fldCharType="separate"/>
      </w:r>
      <w:r>
        <w:rPr>
          <w:noProof/>
        </w:rPr>
        <w:t>2</w:t>
      </w:r>
      <w:r w:rsidR="00D25EFC">
        <w:fldChar w:fldCharType="end"/>
      </w:r>
      <w:r>
        <w:tab/>
        <w:t>Species from which VHSV has been isolated where clinical signs of disease have been observed</w:t>
      </w:r>
      <w:bookmarkEnd w:id="160"/>
    </w:p>
    <w:tbl>
      <w:tblPr>
        <w:tblW w:w="0" w:type="auto"/>
        <w:tblInd w:w="-34" w:type="dxa"/>
        <w:tblLook w:val="04A0"/>
      </w:tblPr>
      <w:tblGrid>
        <w:gridCol w:w="4186"/>
        <w:gridCol w:w="4364"/>
      </w:tblGrid>
      <w:tr w:rsidR="00D25EFC">
        <w:tc>
          <w:tcPr>
            <w:tcW w:w="4186" w:type="dxa"/>
          </w:tcPr>
          <w:p w:rsidR="00D25EFC" w:rsidRDefault="00A27A2B">
            <w:pPr>
              <w:pStyle w:val="tabletext"/>
            </w:pPr>
            <w:r>
              <w:t>Ballan wrasse (</w:t>
            </w:r>
            <w:r>
              <w:rPr>
                <w:rStyle w:val="Emphasis"/>
                <w:iCs w:val="0"/>
              </w:rPr>
              <w:t>La</w:t>
            </w:r>
            <w:r>
              <w:rPr>
                <w:rStyle w:val="Emphasis"/>
                <w:iCs w:val="0"/>
              </w:rPr>
              <w:t>brus bergylta</w:t>
            </w:r>
            <w:r>
              <w:t>)*</w:t>
            </w:r>
          </w:p>
        </w:tc>
        <w:tc>
          <w:tcPr>
            <w:tcW w:w="4364" w:type="dxa"/>
          </w:tcPr>
          <w:p w:rsidR="00D25EFC" w:rsidRDefault="00A27A2B">
            <w:pPr>
              <w:pStyle w:val="tabletext"/>
            </w:pPr>
            <w:r>
              <w:t>Burbot (</w:t>
            </w:r>
            <w:r>
              <w:rPr>
                <w:rStyle w:val="Emphasis"/>
                <w:iCs w:val="0"/>
              </w:rPr>
              <w:t>Lota lota</w:t>
            </w:r>
            <w:r>
              <w:t>)</w:t>
            </w:r>
          </w:p>
        </w:tc>
      </w:tr>
      <w:tr w:rsidR="00D25EFC">
        <w:tc>
          <w:tcPr>
            <w:tcW w:w="4186" w:type="dxa"/>
          </w:tcPr>
          <w:p w:rsidR="00D25EFC" w:rsidRDefault="00A27A2B">
            <w:pPr>
              <w:pStyle w:val="tabletext"/>
            </w:pPr>
            <w:r>
              <w:t>Corkwing wrasse (</w:t>
            </w:r>
            <w:r>
              <w:rPr>
                <w:rStyle w:val="Emphasis"/>
                <w:iCs w:val="0"/>
              </w:rPr>
              <w:t>Symphodus melops</w:t>
            </w:r>
            <w:r>
              <w:t>)*</w:t>
            </w:r>
          </w:p>
        </w:tc>
        <w:tc>
          <w:tcPr>
            <w:tcW w:w="4364" w:type="dxa"/>
          </w:tcPr>
          <w:p w:rsidR="00D25EFC" w:rsidRDefault="00A27A2B">
            <w:pPr>
              <w:pStyle w:val="tabletext"/>
            </w:pPr>
            <w:r>
              <w:t>Cuckoo wrasse (</w:t>
            </w:r>
            <w:r>
              <w:rPr>
                <w:rStyle w:val="Emphasis"/>
                <w:iCs w:val="0"/>
              </w:rPr>
              <w:t>Labrus mixtus</w:t>
            </w:r>
            <w:r>
              <w:t>)</w:t>
            </w:r>
          </w:p>
        </w:tc>
      </w:tr>
      <w:tr w:rsidR="00D25EFC">
        <w:tc>
          <w:tcPr>
            <w:tcW w:w="4186" w:type="dxa"/>
          </w:tcPr>
          <w:p w:rsidR="00D25EFC" w:rsidRDefault="00A27A2B">
            <w:pPr>
              <w:pStyle w:val="tabletext"/>
            </w:pPr>
            <w:r>
              <w:t>Eulachon (</w:t>
            </w:r>
            <w:r>
              <w:rPr>
                <w:rStyle w:val="Emphasis"/>
                <w:iCs w:val="0"/>
              </w:rPr>
              <w:t>Thaleichthys pacificus</w:t>
            </w:r>
            <w:r>
              <w:t>) (smelt)</w:t>
            </w:r>
          </w:p>
        </w:tc>
        <w:tc>
          <w:tcPr>
            <w:tcW w:w="4364" w:type="dxa"/>
          </w:tcPr>
          <w:p w:rsidR="00D25EFC" w:rsidRDefault="00A27A2B">
            <w:pPr>
              <w:pStyle w:val="tabletext"/>
            </w:pPr>
            <w:r>
              <w:t>Freshwater drum (</w:t>
            </w:r>
            <w:r>
              <w:rPr>
                <w:rStyle w:val="Emphasis"/>
                <w:iCs w:val="0"/>
              </w:rPr>
              <w:t>Apliodinotus grunniens</w:t>
            </w:r>
            <w:r>
              <w:t>)</w:t>
            </w:r>
          </w:p>
        </w:tc>
      </w:tr>
      <w:tr w:rsidR="00D25EFC">
        <w:tc>
          <w:tcPr>
            <w:tcW w:w="4186" w:type="dxa"/>
          </w:tcPr>
          <w:p w:rsidR="00D25EFC" w:rsidRDefault="00A27A2B">
            <w:pPr>
              <w:pStyle w:val="tabletext"/>
            </w:pPr>
            <w:r>
              <w:t>Goldsinny wrasse (</w:t>
            </w:r>
            <w:r>
              <w:rPr>
                <w:rStyle w:val="Emphasis"/>
                <w:iCs w:val="0"/>
              </w:rPr>
              <w:t>Ctenolabrus rupestris</w:t>
            </w:r>
            <w:r>
              <w:t>)*</w:t>
            </w:r>
          </w:p>
        </w:tc>
        <w:tc>
          <w:tcPr>
            <w:tcW w:w="4364" w:type="dxa"/>
          </w:tcPr>
          <w:p w:rsidR="00D25EFC" w:rsidRDefault="00A27A2B">
            <w:pPr>
              <w:pStyle w:val="tabletext"/>
            </w:pPr>
            <w:r>
              <w:t>Greater amberjack (</w:t>
            </w:r>
            <w:r>
              <w:rPr>
                <w:rStyle w:val="Emphasis"/>
                <w:iCs w:val="0"/>
              </w:rPr>
              <w:t xml:space="preserve">Seriola </w:t>
            </w:r>
            <w:r>
              <w:rPr>
                <w:rStyle w:val="Emphasis"/>
                <w:iCs w:val="0"/>
              </w:rPr>
              <w:t>dumerii</w:t>
            </w:r>
            <w:r>
              <w:t>)</w:t>
            </w:r>
          </w:p>
        </w:tc>
      </w:tr>
      <w:tr w:rsidR="00D25EFC">
        <w:tc>
          <w:tcPr>
            <w:tcW w:w="4186" w:type="dxa"/>
          </w:tcPr>
          <w:p w:rsidR="00D25EFC" w:rsidRDefault="00A27A2B">
            <w:pPr>
              <w:pStyle w:val="tabletext"/>
            </w:pPr>
            <w:r>
              <w:t>Japanese amberjack (</w:t>
            </w:r>
            <w:r>
              <w:rPr>
                <w:rStyle w:val="Emphasis"/>
                <w:iCs w:val="0"/>
              </w:rPr>
              <w:t>Seriola purpurascens</w:t>
            </w:r>
            <w:r>
              <w:t>)</w:t>
            </w:r>
          </w:p>
        </w:tc>
        <w:tc>
          <w:tcPr>
            <w:tcW w:w="4364" w:type="dxa"/>
          </w:tcPr>
          <w:p w:rsidR="00D25EFC" w:rsidRDefault="00A27A2B">
            <w:pPr>
              <w:pStyle w:val="tabletext"/>
            </w:pPr>
            <w:r>
              <w:t>Japanese flounder (</w:t>
            </w:r>
            <w:r>
              <w:rPr>
                <w:rStyle w:val="Emphasis"/>
                <w:iCs w:val="0"/>
              </w:rPr>
              <w:t>Paralichthys olivaceus</w:t>
            </w:r>
            <w:r>
              <w:t>) (hirame)</w:t>
            </w:r>
          </w:p>
        </w:tc>
      </w:tr>
      <w:tr w:rsidR="00D25EFC">
        <w:tc>
          <w:tcPr>
            <w:tcW w:w="4186" w:type="dxa"/>
          </w:tcPr>
          <w:p w:rsidR="00D25EFC" w:rsidRDefault="00A27A2B">
            <w:pPr>
              <w:pStyle w:val="tabletext"/>
            </w:pPr>
            <w:r>
              <w:t>Mummichog (</w:t>
            </w:r>
            <w:r>
              <w:rPr>
                <w:rStyle w:val="Emphasis"/>
                <w:iCs w:val="0"/>
              </w:rPr>
              <w:t>Fundulus heteroclitus</w:t>
            </w:r>
            <w:r>
              <w:t>)</w:t>
            </w:r>
          </w:p>
        </w:tc>
        <w:tc>
          <w:tcPr>
            <w:tcW w:w="4364" w:type="dxa"/>
          </w:tcPr>
          <w:p w:rsidR="00D25EFC" w:rsidRDefault="00A27A2B">
            <w:pPr>
              <w:pStyle w:val="tabletext"/>
            </w:pPr>
            <w:r>
              <w:t>Muskellunge (</w:t>
            </w:r>
            <w:r>
              <w:rPr>
                <w:rStyle w:val="Emphasis"/>
                <w:iCs w:val="0"/>
              </w:rPr>
              <w:t>Esox masquinongy</w:t>
            </w:r>
            <w:r>
              <w:t>)</w:t>
            </w:r>
          </w:p>
        </w:tc>
      </w:tr>
      <w:tr w:rsidR="00D25EFC">
        <w:tc>
          <w:tcPr>
            <w:tcW w:w="4186" w:type="dxa"/>
          </w:tcPr>
          <w:p w:rsidR="00D25EFC" w:rsidRDefault="00A27A2B">
            <w:pPr>
              <w:pStyle w:val="tabletext"/>
            </w:pPr>
            <w:r>
              <w:t>Olive flounder (</w:t>
            </w:r>
            <w:r>
              <w:rPr>
                <w:rStyle w:val="Emphasis"/>
                <w:iCs w:val="0"/>
              </w:rPr>
              <w:t>Paralichthys olivaceus</w:t>
            </w:r>
            <w:r>
              <w:t>)</w:t>
            </w:r>
          </w:p>
        </w:tc>
        <w:tc>
          <w:tcPr>
            <w:tcW w:w="4364" w:type="dxa"/>
          </w:tcPr>
          <w:p w:rsidR="00D25EFC" w:rsidRDefault="00A27A2B">
            <w:pPr>
              <w:pStyle w:val="tabletext"/>
            </w:pPr>
            <w:r>
              <w:t>Pacific hake (</w:t>
            </w:r>
            <w:r>
              <w:rPr>
                <w:rStyle w:val="Emphasis"/>
                <w:iCs w:val="0"/>
              </w:rPr>
              <w:t>Merluccius productus</w:t>
            </w:r>
            <w:r>
              <w:t>)</w:t>
            </w:r>
          </w:p>
        </w:tc>
      </w:tr>
      <w:tr w:rsidR="00D25EFC">
        <w:tc>
          <w:tcPr>
            <w:tcW w:w="4186" w:type="dxa"/>
          </w:tcPr>
          <w:p w:rsidR="00D25EFC" w:rsidRDefault="00A27A2B">
            <w:pPr>
              <w:pStyle w:val="tabletext"/>
            </w:pPr>
            <w:r>
              <w:t xml:space="preserve">Pacific </w:t>
            </w:r>
            <w:r>
              <w:t>herring (</w:t>
            </w:r>
            <w:r>
              <w:rPr>
                <w:rStyle w:val="Emphasis"/>
                <w:iCs w:val="0"/>
              </w:rPr>
              <w:t>Clupea pallasii</w:t>
            </w:r>
            <w:r>
              <w:t xml:space="preserve">) </w:t>
            </w:r>
          </w:p>
        </w:tc>
        <w:tc>
          <w:tcPr>
            <w:tcW w:w="4364" w:type="dxa"/>
          </w:tcPr>
          <w:p w:rsidR="00D25EFC" w:rsidRDefault="00A27A2B">
            <w:pPr>
              <w:pStyle w:val="tabletext"/>
            </w:pPr>
            <w:r>
              <w:t>Pacific sardine (</w:t>
            </w:r>
            <w:r>
              <w:rPr>
                <w:rStyle w:val="Emphasis"/>
                <w:iCs w:val="0"/>
              </w:rPr>
              <w:t>Sardinops sagax</w:t>
            </w:r>
            <w:r>
              <w:t>)</w:t>
            </w:r>
          </w:p>
        </w:tc>
      </w:tr>
      <w:tr w:rsidR="00D25EFC">
        <w:tc>
          <w:tcPr>
            <w:tcW w:w="4186" w:type="dxa"/>
          </w:tcPr>
          <w:p w:rsidR="00D25EFC" w:rsidRDefault="00A27A2B">
            <w:pPr>
              <w:pStyle w:val="tabletext"/>
            </w:pPr>
            <w:r>
              <w:t>Pike (</w:t>
            </w:r>
            <w:r>
              <w:rPr>
                <w:rStyle w:val="Emphasis"/>
                <w:iCs w:val="0"/>
              </w:rPr>
              <w:t>Esox lucius</w:t>
            </w:r>
            <w:r>
              <w:t xml:space="preserve">) </w:t>
            </w:r>
          </w:p>
        </w:tc>
        <w:tc>
          <w:tcPr>
            <w:tcW w:w="4364" w:type="dxa"/>
          </w:tcPr>
          <w:p w:rsidR="00D25EFC" w:rsidRDefault="00A27A2B">
            <w:pPr>
              <w:pStyle w:val="tabletext"/>
            </w:pPr>
            <w:r>
              <w:t>Rainbow trout (</w:t>
            </w:r>
            <w:r>
              <w:rPr>
                <w:rStyle w:val="Emphasis"/>
                <w:iCs w:val="0"/>
              </w:rPr>
              <w:t>Oncorhynchus mykiss</w:t>
            </w:r>
            <w:r>
              <w:t>)</w:t>
            </w:r>
          </w:p>
        </w:tc>
      </w:tr>
      <w:tr w:rsidR="00D25EFC">
        <w:tc>
          <w:tcPr>
            <w:tcW w:w="4186" w:type="dxa"/>
          </w:tcPr>
          <w:p w:rsidR="00D25EFC" w:rsidRDefault="00A27A2B">
            <w:pPr>
              <w:pStyle w:val="tabletext"/>
            </w:pPr>
            <w:r>
              <w:t>Rockcook (</w:t>
            </w:r>
            <w:r>
              <w:rPr>
                <w:rStyle w:val="Emphasis"/>
                <w:iCs w:val="0"/>
              </w:rPr>
              <w:t>Centrolabrus exoletus</w:t>
            </w:r>
            <w:r>
              <w:t>)*</w:t>
            </w:r>
          </w:p>
        </w:tc>
        <w:tc>
          <w:tcPr>
            <w:tcW w:w="4364" w:type="dxa"/>
          </w:tcPr>
          <w:p w:rsidR="00D25EFC" w:rsidRDefault="00A27A2B">
            <w:pPr>
              <w:pStyle w:val="tabletext"/>
            </w:pPr>
            <w:r>
              <w:t>Round goby (</w:t>
            </w:r>
            <w:r>
              <w:rPr>
                <w:rStyle w:val="Emphasis"/>
                <w:iCs w:val="0"/>
              </w:rPr>
              <w:t>Neogobius melanostomus</w:t>
            </w:r>
            <w:r>
              <w:t>)</w:t>
            </w:r>
          </w:p>
        </w:tc>
      </w:tr>
      <w:tr w:rsidR="00D25EFC">
        <w:tc>
          <w:tcPr>
            <w:tcW w:w="4186" w:type="dxa"/>
          </w:tcPr>
          <w:p w:rsidR="00D25EFC" w:rsidRDefault="00A27A2B">
            <w:pPr>
              <w:pStyle w:val="tabletext"/>
            </w:pPr>
            <w:r>
              <w:t>Sablefish (</w:t>
            </w:r>
            <w:r>
              <w:rPr>
                <w:rStyle w:val="Emphasis"/>
                <w:iCs w:val="0"/>
              </w:rPr>
              <w:t>Anoplopoma fimbria</w:t>
            </w:r>
            <w:r>
              <w:t>)</w:t>
            </w:r>
          </w:p>
        </w:tc>
        <w:tc>
          <w:tcPr>
            <w:tcW w:w="4364" w:type="dxa"/>
          </w:tcPr>
          <w:p w:rsidR="00D25EFC" w:rsidRDefault="00A27A2B">
            <w:pPr>
              <w:pStyle w:val="tabletext"/>
            </w:pPr>
            <w:r>
              <w:t>Smallmouth bass (</w:t>
            </w:r>
            <w:r>
              <w:rPr>
                <w:rStyle w:val="Emphasis"/>
                <w:iCs w:val="0"/>
              </w:rPr>
              <w:t xml:space="preserve">Micropterus </w:t>
            </w:r>
            <w:r>
              <w:rPr>
                <w:rStyle w:val="Emphasis"/>
                <w:iCs w:val="0"/>
              </w:rPr>
              <w:t>dolomieui</w:t>
            </w:r>
            <w:r>
              <w:t>)</w:t>
            </w:r>
          </w:p>
        </w:tc>
      </w:tr>
      <w:tr w:rsidR="00D25EFC">
        <w:tc>
          <w:tcPr>
            <w:tcW w:w="4186" w:type="dxa"/>
          </w:tcPr>
          <w:p w:rsidR="00D25EFC" w:rsidRDefault="00A27A2B">
            <w:pPr>
              <w:pStyle w:val="tabletext"/>
            </w:pPr>
            <w:r>
              <w:t>Surf smelt (</w:t>
            </w:r>
            <w:r>
              <w:rPr>
                <w:rStyle w:val="Emphasis"/>
                <w:iCs w:val="0"/>
              </w:rPr>
              <w:t>Hypomesus pretiosus</w:t>
            </w:r>
            <w:r>
              <w:t>)</w:t>
            </w:r>
          </w:p>
        </w:tc>
        <w:tc>
          <w:tcPr>
            <w:tcW w:w="4364" w:type="dxa"/>
          </w:tcPr>
          <w:p w:rsidR="00D25EFC" w:rsidRDefault="00A27A2B">
            <w:pPr>
              <w:pStyle w:val="tabletext"/>
            </w:pPr>
            <w:r>
              <w:t>Turbot (</w:t>
            </w:r>
            <w:r>
              <w:rPr>
                <w:rStyle w:val="Emphasis"/>
                <w:iCs w:val="0"/>
              </w:rPr>
              <w:t>Psetta maxima</w:t>
            </w:r>
            <w:r>
              <w:t>)</w:t>
            </w:r>
          </w:p>
        </w:tc>
      </w:tr>
      <w:tr w:rsidR="00D25EFC">
        <w:tc>
          <w:tcPr>
            <w:tcW w:w="4186" w:type="dxa"/>
          </w:tcPr>
          <w:p w:rsidR="00D25EFC" w:rsidRDefault="00A27A2B">
            <w:pPr>
              <w:pStyle w:val="tabletext"/>
            </w:pPr>
            <w:r>
              <w:t>Walleye pollock (</w:t>
            </w:r>
            <w:r>
              <w:rPr>
                <w:rStyle w:val="Emphasis"/>
                <w:iCs w:val="0"/>
              </w:rPr>
              <w:t>Theragra chalcogramma</w:t>
            </w:r>
            <w:r>
              <w:t>)</w:t>
            </w:r>
          </w:p>
        </w:tc>
        <w:tc>
          <w:tcPr>
            <w:tcW w:w="4364" w:type="dxa"/>
          </w:tcPr>
          <w:p w:rsidR="00D25EFC" w:rsidRDefault="00A27A2B">
            <w:pPr>
              <w:pStyle w:val="tabletext"/>
            </w:pPr>
            <w:r>
              <w:t>Yellow perch (</w:t>
            </w:r>
            <w:r>
              <w:rPr>
                <w:rStyle w:val="Emphasis"/>
                <w:iCs w:val="0"/>
              </w:rPr>
              <w:t>Perca flavescens</w:t>
            </w:r>
            <w:r>
              <w:t>)</w:t>
            </w:r>
          </w:p>
        </w:tc>
      </w:tr>
    </w:tbl>
    <w:p w:rsidR="00D25EFC" w:rsidRDefault="00A27A2B">
      <w:pPr>
        <w:pStyle w:val="Caption"/>
        <w:ind w:left="993"/>
      </w:pPr>
      <w:bookmarkStart w:id="161" w:name="_Toc408393525"/>
      <w:r>
        <w:t>Table A</w:t>
      </w:r>
      <w:r w:rsidR="00D25EFC">
        <w:fldChar w:fldCharType="begin"/>
      </w:r>
      <w:r>
        <w:instrText xml:space="preserve"> SEQ Table_A \* ARABIC </w:instrText>
      </w:r>
      <w:r w:rsidR="00D25EFC">
        <w:fldChar w:fldCharType="separate"/>
      </w:r>
      <w:r>
        <w:rPr>
          <w:noProof/>
        </w:rPr>
        <w:t>3</w:t>
      </w:r>
      <w:r w:rsidR="00D25EFC">
        <w:fldChar w:fldCharType="end"/>
      </w:r>
      <w:r>
        <w:tab/>
        <w:t xml:space="preserve">Species challenged with at least one VHSV isolate (generally Type I) and found </w:t>
      </w:r>
      <w:r>
        <w:t>not to be susceptible*</w:t>
      </w:r>
      <w:bookmarkEnd w:id="161"/>
    </w:p>
    <w:tbl>
      <w:tblPr>
        <w:tblW w:w="0" w:type="auto"/>
        <w:tblInd w:w="-34" w:type="dxa"/>
        <w:tblLook w:val="04A0"/>
      </w:tblPr>
      <w:tblGrid>
        <w:gridCol w:w="4449"/>
        <w:gridCol w:w="4101"/>
      </w:tblGrid>
      <w:tr w:rsidR="00D25EFC">
        <w:tc>
          <w:tcPr>
            <w:tcW w:w="4449" w:type="dxa"/>
          </w:tcPr>
          <w:p w:rsidR="00D25EFC" w:rsidRDefault="00A27A2B">
            <w:pPr>
              <w:pStyle w:val="tabletext"/>
              <w:rPr>
                <w:szCs w:val="22"/>
              </w:rPr>
            </w:pPr>
            <w:r>
              <w:rPr>
                <w:szCs w:val="22"/>
              </w:rPr>
              <w:t>Chinook salmon (</w:t>
            </w:r>
            <w:r>
              <w:rPr>
                <w:rStyle w:val="Emphasis"/>
                <w:iCs w:val="0"/>
              </w:rPr>
              <w:t>Oncorhynchus tshawytscha</w:t>
            </w:r>
            <w:r>
              <w:rPr>
                <w:szCs w:val="22"/>
              </w:rPr>
              <w:t>)</w:t>
            </w:r>
          </w:p>
        </w:tc>
        <w:tc>
          <w:tcPr>
            <w:tcW w:w="4101" w:type="dxa"/>
          </w:tcPr>
          <w:p w:rsidR="00D25EFC" w:rsidRDefault="00A27A2B">
            <w:pPr>
              <w:pStyle w:val="tabletext"/>
              <w:rPr>
                <w:szCs w:val="22"/>
              </w:rPr>
            </w:pPr>
            <w:r>
              <w:rPr>
                <w:szCs w:val="22"/>
              </w:rPr>
              <w:t>Coho salmon (</w:t>
            </w:r>
            <w:r>
              <w:rPr>
                <w:rStyle w:val="Emphasis"/>
                <w:iCs w:val="0"/>
              </w:rPr>
              <w:t>Oncorhynchus kisutch</w:t>
            </w:r>
            <w:r>
              <w:rPr>
                <w:szCs w:val="22"/>
              </w:rPr>
              <w:t>)</w:t>
            </w:r>
          </w:p>
        </w:tc>
      </w:tr>
      <w:tr w:rsidR="00D25EFC">
        <w:tc>
          <w:tcPr>
            <w:tcW w:w="4449" w:type="dxa"/>
          </w:tcPr>
          <w:p w:rsidR="00D25EFC" w:rsidRDefault="00A27A2B">
            <w:pPr>
              <w:pStyle w:val="tabletext"/>
              <w:rPr>
                <w:szCs w:val="22"/>
              </w:rPr>
            </w:pPr>
            <w:r>
              <w:rPr>
                <w:szCs w:val="22"/>
              </w:rPr>
              <w:t>Common carp (</w:t>
            </w:r>
            <w:r>
              <w:rPr>
                <w:rStyle w:val="Emphasis"/>
                <w:iCs w:val="0"/>
              </w:rPr>
              <w:t>Cyprinus carpio</w:t>
            </w:r>
            <w:r>
              <w:rPr>
                <w:szCs w:val="22"/>
              </w:rPr>
              <w:t>)</w:t>
            </w:r>
          </w:p>
        </w:tc>
        <w:tc>
          <w:tcPr>
            <w:tcW w:w="4101" w:type="dxa"/>
          </w:tcPr>
          <w:p w:rsidR="00D25EFC" w:rsidRDefault="00A27A2B">
            <w:pPr>
              <w:pStyle w:val="tabletext"/>
              <w:rPr>
                <w:szCs w:val="22"/>
              </w:rPr>
            </w:pPr>
            <w:r>
              <w:rPr>
                <w:szCs w:val="22"/>
              </w:rPr>
              <w:t>Eurasian perch (</w:t>
            </w:r>
            <w:r>
              <w:rPr>
                <w:rStyle w:val="Emphasis"/>
                <w:iCs w:val="0"/>
              </w:rPr>
              <w:t>Perca fluviatilis</w:t>
            </w:r>
            <w:r>
              <w:rPr>
                <w:szCs w:val="22"/>
              </w:rPr>
              <w:t>)</w:t>
            </w:r>
          </w:p>
        </w:tc>
      </w:tr>
      <w:tr w:rsidR="00D25EFC">
        <w:tc>
          <w:tcPr>
            <w:tcW w:w="4449" w:type="dxa"/>
          </w:tcPr>
          <w:p w:rsidR="00D25EFC" w:rsidRDefault="00A27A2B">
            <w:pPr>
              <w:pStyle w:val="tabletext"/>
              <w:rPr>
                <w:szCs w:val="22"/>
              </w:rPr>
            </w:pPr>
            <w:r>
              <w:rPr>
                <w:szCs w:val="22"/>
              </w:rPr>
              <w:t>Goldfish (</w:t>
            </w:r>
            <w:r>
              <w:rPr>
                <w:rStyle w:val="Emphasis"/>
                <w:iCs w:val="0"/>
              </w:rPr>
              <w:t>Carassius auratus</w:t>
            </w:r>
            <w:r>
              <w:rPr>
                <w:szCs w:val="22"/>
              </w:rPr>
              <w:t>)</w:t>
            </w:r>
          </w:p>
        </w:tc>
        <w:tc>
          <w:tcPr>
            <w:tcW w:w="4101" w:type="dxa"/>
          </w:tcPr>
          <w:p w:rsidR="00D25EFC" w:rsidRDefault="00A27A2B">
            <w:pPr>
              <w:pStyle w:val="tabletext"/>
              <w:rPr>
                <w:szCs w:val="22"/>
              </w:rPr>
            </w:pPr>
            <w:r>
              <w:rPr>
                <w:szCs w:val="22"/>
              </w:rPr>
              <w:t>Roach (</w:t>
            </w:r>
            <w:r>
              <w:rPr>
                <w:rStyle w:val="Emphasis"/>
                <w:iCs w:val="0"/>
              </w:rPr>
              <w:t>Leuciscus rutilus</w:t>
            </w:r>
            <w:r>
              <w:rPr>
                <w:szCs w:val="22"/>
              </w:rPr>
              <w:t>)</w:t>
            </w:r>
          </w:p>
        </w:tc>
      </w:tr>
      <w:tr w:rsidR="00D25EFC">
        <w:tc>
          <w:tcPr>
            <w:tcW w:w="4449" w:type="dxa"/>
          </w:tcPr>
          <w:p w:rsidR="00D25EFC" w:rsidRDefault="00A27A2B">
            <w:pPr>
              <w:pStyle w:val="tabletext"/>
              <w:rPr>
                <w:szCs w:val="22"/>
              </w:rPr>
            </w:pPr>
            <w:r>
              <w:rPr>
                <w:szCs w:val="22"/>
              </w:rPr>
              <w:t>Tench (</w:t>
            </w:r>
            <w:r>
              <w:rPr>
                <w:rStyle w:val="Emphasis"/>
                <w:iCs w:val="0"/>
              </w:rPr>
              <w:t>Tinca tinca</w:t>
            </w:r>
            <w:r>
              <w:rPr>
                <w:szCs w:val="22"/>
              </w:rPr>
              <w:t>)</w:t>
            </w:r>
          </w:p>
        </w:tc>
        <w:tc>
          <w:tcPr>
            <w:tcW w:w="4101" w:type="dxa"/>
          </w:tcPr>
          <w:p w:rsidR="00D25EFC" w:rsidRDefault="00D25EFC">
            <w:pPr>
              <w:pStyle w:val="tabletext"/>
              <w:rPr>
                <w:szCs w:val="22"/>
              </w:rPr>
            </w:pPr>
          </w:p>
        </w:tc>
      </w:tr>
    </w:tbl>
    <w:p w:rsidR="00D25EFC" w:rsidRDefault="00A27A2B">
      <w:pPr>
        <w:rPr>
          <w:sz w:val="20"/>
        </w:rPr>
      </w:pPr>
      <w:r>
        <w:rPr>
          <w:sz w:val="20"/>
        </w:rPr>
        <w:t>* This does</w:t>
      </w:r>
      <w:r>
        <w:rPr>
          <w:sz w:val="20"/>
        </w:rPr>
        <w:t xml:space="preserve"> not mean that these species are not susceptible to other VHSV isolates.</w:t>
      </w:r>
    </w:p>
    <w:p w:rsidR="00D25EFC" w:rsidRDefault="00A27A2B">
      <w:pPr>
        <w:pStyle w:val="Heading3unnumbered"/>
      </w:pPr>
      <w:bookmarkStart w:id="162" w:name="_Toc402970382"/>
      <w:bookmarkStart w:id="163" w:name="_Toc408388684"/>
      <w:bookmarkStart w:id="164" w:name="_Toc408836354"/>
      <w:r>
        <w:lastRenderedPageBreak/>
        <w:t>Appendix B OIE Aquatic Animal Health Code and Manual of Diagnostic Tests for Aquatic Animals</w:t>
      </w:r>
      <w:bookmarkEnd w:id="162"/>
      <w:bookmarkEnd w:id="163"/>
      <w:bookmarkEnd w:id="164"/>
    </w:p>
    <w:p w:rsidR="00D25EFC" w:rsidRDefault="00A27A2B">
      <w:pPr>
        <w:pStyle w:val="Heading6"/>
        <w:ind w:left="0"/>
      </w:pPr>
      <w:bookmarkStart w:id="165" w:name="_Toc402970383"/>
      <w:r>
        <w:t>OIE Aquatic Animal Health Code</w:t>
      </w:r>
      <w:bookmarkEnd w:id="165"/>
    </w:p>
    <w:p w:rsidR="00D25EFC" w:rsidRDefault="00A27A2B">
      <w:r>
        <w:t xml:space="preserve">The objective of the </w:t>
      </w:r>
      <w:r>
        <w:rPr>
          <w:rStyle w:val="Emphasis"/>
        </w:rPr>
        <w:t xml:space="preserve">Aquatic Animal Health Code </w:t>
      </w:r>
      <w:r>
        <w:t>is to preve</w:t>
      </w:r>
      <w:r>
        <w:t>nt the spread of aquatic animal diseases while facilitating international trade in fish and fish products. This annually updated volume is a reference document for use by veterinary departments, import and export services, epidemiologists and all those inv</w:t>
      </w:r>
      <w:r>
        <w:t>olved in international trade.</w:t>
      </w:r>
    </w:p>
    <w:p w:rsidR="00D25EFC" w:rsidRDefault="00A27A2B">
      <w:pPr>
        <w:rPr>
          <w:rFonts w:cs="BookAntiqua"/>
          <w:szCs w:val="21"/>
        </w:rPr>
      </w:pPr>
      <w:r>
        <w:t xml:space="preserve">The latest edition of the OIE Aquatic Code is available at </w:t>
      </w:r>
      <w:r>
        <w:rPr>
          <w:lang w:val="en-US"/>
        </w:rPr>
        <w:t>http://www.oie.int/international-standard-setting/aquatic-code/access-online</w:t>
      </w:r>
      <w:r>
        <w:t xml:space="preserve">. </w:t>
      </w:r>
      <w:r>
        <w:rPr>
          <w:rFonts w:cs="BookAntiqua"/>
          <w:szCs w:val="21"/>
        </w:rPr>
        <w:t xml:space="preserve">Chapter 10.9, Viral haemorrhagic septicaemia </w:t>
      </w:r>
      <w:r>
        <w:t>is relevant to this manual.</w:t>
      </w:r>
    </w:p>
    <w:p w:rsidR="00D25EFC" w:rsidRDefault="00A27A2B">
      <w:pPr>
        <w:pStyle w:val="Heading6"/>
        <w:ind w:left="0"/>
      </w:pPr>
      <w:bookmarkStart w:id="166" w:name="_Toc402970384"/>
      <w:r>
        <w:t xml:space="preserve">OIE Manual of </w:t>
      </w:r>
      <w:r>
        <w:t>Diagnostic Tests for Aquatic Animals</w:t>
      </w:r>
      <w:bookmarkEnd w:id="166"/>
    </w:p>
    <w:p w:rsidR="00D25EFC" w:rsidRDefault="00A27A2B">
      <w:r>
        <w:t xml:space="preserve">The purpose of the </w:t>
      </w:r>
      <w:r>
        <w:rPr>
          <w:rStyle w:val="Emphasis"/>
        </w:rPr>
        <w:t>Manual of Diagnostic Tests for Aquatic Animals</w:t>
      </w:r>
      <w:r>
        <w:t xml:space="preserve"> (OIE 2013b) is to contribute to the international harmonisation of methods for the surveillance and control of the most important aquatic animal diseases</w:t>
      </w:r>
      <w:r>
        <w:t>. Standards are described for laboratory diagnostic tests and the production and control of biological products (principally vaccines) for veterinary use internationally.</w:t>
      </w:r>
    </w:p>
    <w:p w:rsidR="00D25EFC" w:rsidRDefault="00A27A2B">
      <w:r>
        <w:t>The current edition of the OIE Aquatic Manual is available at http://www.oie.int/inte</w:t>
      </w:r>
      <w:r>
        <w:t>rnational-standard-setting/aquatic-manual/access-online. Chapter 2.3.9, Viral haemorrhagic septicaemia is relevant to this manual.</w:t>
      </w:r>
    </w:p>
    <w:p w:rsidR="00D25EFC" w:rsidRDefault="00A27A2B">
      <w:pPr>
        <w:pStyle w:val="Heading6"/>
        <w:ind w:left="0"/>
      </w:pPr>
      <w:r>
        <w:t>Further information</w:t>
      </w:r>
    </w:p>
    <w:p w:rsidR="00D25EFC" w:rsidRDefault="00A27A2B">
      <w:r>
        <w:t xml:space="preserve">Further information about the OIE Aquatic </w:t>
      </w:r>
      <w:r>
        <w:rPr>
          <w:rStyle w:val="Emphasis"/>
        </w:rPr>
        <w:t>Code</w:t>
      </w:r>
      <w:r>
        <w:t xml:space="preserve"> and </w:t>
      </w:r>
      <w:r>
        <w:rPr>
          <w:rStyle w:val="Emphasis"/>
        </w:rPr>
        <w:t>Manual</w:t>
      </w:r>
      <w:r>
        <w:t xml:space="preserve"> is available on the OIE website</w:t>
      </w:r>
      <w:r>
        <w:rPr>
          <w:szCs w:val="21"/>
        </w:rPr>
        <w:t xml:space="preserve"> (http://www.oie</w:t>
      </w:r>
      <w:r>
        <w:rPr>
          <w:szCs w:val="21"/>
        </w:rPr>
        <w:t>.int/en</w:t>
      </w:r>
      <w:r>
        <w:t>). An internet search for ‘OIE aquatic code’ or ‘OIE aquatic manual’ will help find the web pages.</w:t>
      </w:r>
    </w:p>
    <w:p w:rsidR="00D25EFC" w:rsidRDefault="00A27A2B">
      <w:r>
        <w:br w:type="page"/>
      </w:r>
    </w:p>
    <w:p w:rsidR="00D25EFC" w:rsidRDefault="00A27A2B">
      <w:pPr>
        <w:pStyle w:val="Heading3unnumbered"/>
      </w:pPr>
      <w:bookmarkStart w:id="167" w:name="_Toc402970385"/>
      <w:bookmarkStart w:id="168" w:name="_Toc408388685"/>
      <w:bookmarkStart w:id="169" w:name="_Toc408836355"/>
      <w:r>
        <w:lastRenderedPageBreak/>
        <w:t>Appendix C Detection and identification of viral haemorrhagic septicaemia</w:t>
      </w:r>
      <w:bookmarkEnd w:id="167"/>
      <w:bookmarkEnd w:id="168"/>
      <w:bookmarkEnd w:id="169"/>
    </w:p>
    <w:p w:rsidR="00D25EFC" w:rsidRDefault="00A27A2B">
      <w:r>
        <w:t xml:space="preserve">The following methods are used for the detection and identification of </w:t>
      </w:r>
      <w:r>
        <w:t>viral haemorrhagic septicaemia virus (VHSV) at the Australian Animal Health Laboratory (AAHL) Fish Diseases Laboratory (AFDL) at CSIRO Livestock Industries, Geelong.</w:t>
      </w:r>
    </w:p>
    <w:p w:rsidR="00D25EFC" w:rsidRDefault="00A27A2B">
      <w:pPr>
        <w:pStyle w:val="Heading4unnumbered"/>
      </w:pPr>
      <w:bookmarkStart w:id="170" w:name="_Toc402970386"/>
      <w:bookmarkStart w:id="171" w:name="_Toc408836356"/>
      <w:r>
        <w:t>Examination and culture of specimens</w:t>
      </w:r>
      <w:bookmarkEnd w:id="170"/>
      <w:bookmarkEnd w:id="171"/>
    </w:p>
    <w:p w:rsidR="00D25EFC" w:rsidRDefault="00A27A2B">
      <w:pPr>
        <w:pStyle w:val="Heading5unnumbered"/>
      </w:pPr>
      <w:bookmarkStart w:id="172" w:name="_Toc402970387"/>
      <w:bookmarkStart w:id="173" w:name="_Toc408836357"/>
      <w:r>
        <w:t>Sampling</w:t>
      </w:r>
      <w:bookmarkEnd w:id="172"/>
      <w:bookmarkEnd w:id="173"/>
    </w:p>
    <w:p w:rsidR="00D25EFC" w:rsidRDefault="00A27A2B">
      <w:pPr>
        <w:rPr>
          <w:spacing w:val="-3"/>
        </w:rPr>
      </w:pPr>
      <w:r>
        <w:t>Suspected fish specimens should initially be</w:t>
      </w:r>
      <w:r>
        <w:t xml:space="preserve"> sent to the state or territory diagnostic laboratory. After obtaining the necessary clearance from the chief veterinary officer (CVO) of the state or territory of the disease outbreak and informing the CVO of Victoria of transport of specimens to Geelong,</w:t>
      </w:r>
      <w:r>
        <w:t xml:space="preserve"> specimens will be forwarded to the AAHL for exotic disease testing. </w:t>
      </w:r>
      <w:r>
        <w:rPr>
          <w:rFonts w:cs="BookAntiqua"/>
          <w:szCs w:val="21"/>
          <w:lang w:eastAsia="en-US"/>
        </w:rPr>
        <w:t xml:space="preserve">Tissue samples should be collected according to the Australian and New Zealand Standard Diagnostic Procedure </w:t>
      </w:r>
      <w:r>
        <w:rPr>
          <w:rStyle w:val="Emphasis"/>
        </w:rPr>
        <w:t>Collection and submission of samples for investigation of diseases of fin fish</w:t>
      </w:r>
      <w:r>
        <w:rPr>
          <w:rFonts w:cs="BookAntiqua"/>
          <w:szCs w:val="21"/>
          <w:lang w:eastAsia="en-US"/>
        </w:rPr>
        <w:t xml:space="preserve"> </w:t>
      </w:r>
      <w:r>
        <w:t>(finfish sampling).</w:t>
      </w:r>
      <w:r>
        <w:rPr>
          <w:rFonts w:cs="BookAntiqua"/>
          <w:szCs w:val="21"/>
          <w:lang w:eastAsia="en-US"/>
        </w:rPr>
        <w:t xml:space="preserve"> </w:t>
      </w:r>
      <w:r>
        <w:t>Tissues or fluids from affected fish may be pooled in one container with transportation medium at a ratio of 1 part tissue (weighing a minimum of 0.5 g) to 5 parts medium, representing one pooled sample. During transportation to the AA</w:t>
      </w:r>
      <w:r>
        <w:t>HL, pooled tissues may be stored (on ice but not frozen) in transportation medium. The recipe for transportation medium is as follows:</w:t>
      </w:r>
    </w:p>
    <w:p w:rsidR="00D25EFC" w:rsidRDefault="00A27A2B">
      <w:r>
        <w:t>Reagents: 400 mL Hank’s balance salt solution (HBSS), 200 IU penicillin/200 </w:t>
      </w:r>
      <w:r>
        <w:sym w:font="Symbol" w:char="F06D"/>
      </w:r>
      <w:r>
        <w:t>g streptomycin (pen–strep)/mL (final dilutio</w:t>
      </w:r>
      <w:r>
        <w:t>n), and 2% (v/v) foetal bovine serum (FBS).</w:t>
      </w:r>
    </w:p>
    <w:p w:rsidR="00D25EFC" w:rsidRDefault="00A27A2B">
      <w:r>
        <w:t>Method: using an aseptic technique, add 8 mL FBS to 400 mL HBSS. Thaw out antibiotic solution. Aseptically add antibiotic solution to the HBSS–FBS solution.</w:t>
      </w:r>
    </w:p>
    <w:p w:rsidR="00D25EFC" w:rsidRDefault="00A27A2B">
      <w:r>
        <w:t>Storage and transport: samples should not be frozen bef</w:t>
      </w:r>
      <w:r>
        <w:t>ore processing but should be maintained at 4–10°C (shipped on wet ice in a styrofoam shipping container). To maximise sensitivity, samples should be processed and assayed within 24 hours of sampling but, when this is not possible, they must be processed wi</w:t>
      </w:r>
      <w:r>
        <w:t>thin 72 hours of sampling, during which time storage must be at 4°C. Samples to be assayed after 72 hours after collection should be frozen at –70°C to –80°C.</w:t>
      </w:r>
    </w:p>
    <w:p w:rsidR="00D25EFC" w:rsidRDefault="00A27A2B">
      <w:r>
        <w:t>Tissues: tissues to be examined will depend on the size of fish in the population being tested an</w:t>
      </w:r>
      <w:r>
        <w:t xml:space="preserve">d the time of year. During spawning, reproductive fluids (preferably ovarian fluid but sometimes milt) should be tested. Tissue samples obtained during nonspawning season will be either whole fry (for the current year class) or selected fish tissues (from </w:t>
      </w:r>
      <w:r>
        <w:t>older fish of previous year classes), collected aseptically. Samples for testing could include any of the following:</w:t>
      </w:r>
    </w:p>
    <w:p w:rsidR="00D25EFC" w:rsidRDefault="00A27A2B">
      <w:pPr>
        <w:pStyle w:val="Caption"/>
        <w:ind w:left="0" w:firstLine="0"/>
      </w:pPr>
      <w:bookmarkStart w:id="174" w:name="_Toc408393416"/>
      <w:r>
        <w:t>Table C</w:t>
      </w:r>
      <w:fldSimple w:instr=" SEQ Table_C \* ARABIC ">
        <w:r>
          <w:rPr>
            <w:noProof/>
          </w:rPr>
          <w:t>1</w:t>
        </w:r>
      </w:fldSimple>
      <w:r>
        <w:tab/>
        <w:t>Fish tissues collected for VHSV testing</w:t>
      </w:r>
      <w:bookmarkEnd w:id="174"/>
    </w:p>
    <w:tbl>
      <w:tblPr>
        <w:tblW w:w="0" w:type="auto"/>
        <w:tblBorders>
          <w:top w:val="single" w:sz="4" w:space="0" w:color="auto"/>
          <w:left w:val="single" w:sz="4" w:space="0" w:color="auto"/>
          <w:bottom w:val="single" w:sz="4" w:space="0" w:color="auto"/>
          <w:right w:val="single" w:sz="4" w:space="0" w:color="auto"/>
        </w:tblBorders>
        <w:tblLook w:val="04A0"/>
      </w:tblPr>
      <w:tblGrid>
        <w:gridCol w:w="1809"/>
        <w:gridCol w:w="5954"/>
      </w:tblGrid>
      <w:tr w:rsidR="00D25EFC">
        <w:trPr>
          <w:tblHeader/>
        </w:trPr>
        <w:tc>
          <w:tcPr>
            <w:tcW w:w="1809" w:type="dxa"/>
            <w:tcBorders>
              <w:top w:val="single" w:sz="4" w:space="0" w:color="auto"/>
              <w:bottom w:val="single" w:sz="4" w:space="0" w:color="auto"/>
            </w:tcBorders>
            <w:shd w:val="clear" w:color="auto" w:fill="auto"/>
            <w:vAlign w:val="bottom"/>
          </w:tcPr>
          <w:p w:rsidR="00D25EFC" w:rsidRDefault="00A27A2B">
            <w:pPr>
              <w:pStyle w:val="Tabletextcolumnheading"/>
            </w:pPr>
            <w:r>
              <w:t xml:space="preserve">Fish size (length) </w:t>
            </w:r>
          </w:p>
        </w:tc>
        <w:tc>
          <w:tcPr>
            <w:tcW w:w="5954" w:type="dxa"/>
            <w:tcBorders>
              <w:top w:val="single" w:sz="4" w:space="0" w:color="auto"/>
              <w:bottom w:val="single" w:sz="4" w:space="0" w:color="auto"/>
            </w:tcBorders>
            <w:shd w:val="clear" w:color="auto" w:fill="auto"/>
            <w:vAlign w:val="bottom"/>
          </w:tcPr>
          <w:p w:rsidR="00D25EFC" w:rsidRDefault="00A27A2B">
            <w:pPr>
              <w:pStyle w:val="Tabletextcolumnheading"/>
            </w:pPr>
            <w:r>
              <w:t>Tissues</w:t>
            </w:r>
          </w:p>
        </w:tc>
      </w:tr>
      <w:tr w:rsidR="00D25EFC">
        <w:tc>
          <w:tcPr>
            <w:tcW w:w="1809" w:type="dxa"/>
            <w:tcBorders>
              <w:top w:val="single" w:sz="4" w:space="0" w:color="auto"/>
            </w:tcBorders>
            <w:shd w:val="clear" w:color="auto" w:fill="auto"/>
          </w:tcPr>
          <w:p w:rsidR="00D25EFC" w:rsidRDefault="00A27A2B">
            <w:pPr>
              <w:pStyle w:val="tabletext"/>
            </w:pPr>
            <w:r>
              <w:t>&lt; 4 cm</w:t>
            </w:r>
          </w:p>
        </w:tc>
        <w:tc>
          <w:tcPr>
            <w:tcW w:w="5954" w:type="dxa"/>
            <w:tcBorders>
              <w:top w:val="single" w:sz="4" w:space="0" w:color="auto"/>
            </w:tcBorders>
            <w:shd w:val="clear" w:color="auto" w:fill="auto"/>
          </w:tcPr>
          <w:p w:rsidR="00D25EFC" w:rsidRDefault="00A27A2B">
            <w:pPr>
              <w:pStyle w:val="tabletext"/>
            </w:pPr>
            <w:r>
              <w:t>Entire fish (remove yolk sac</w:t>
            </w:r>
            <w:r>
              <w:t xml:space="preserve"> if present)</w:t>
            </w:r>
          </w:p>
        </w:tc>
      </w:tr>
      <w:tr w:rsidR="00D25EFC">
        <w:tc>
          <w:tcPr>
            <w:tcW w:w="1809" w:type="dxa"/>
            <w:tcBorders>
              <w:bottom w:val="nil"/>
            </w:tcBorders>
            <w:shd w:val="clear" w:color="auto" w:fill="auto"/>
          </w:tcPr>
          <w:p w:rsidR="00D25EFC" w:rsidRDefault="00A27A2B">
            <w:pPr>
              <w:pStyle w:val="tabletext"/>
            </w:pPr>
            <w:r>
              <w:t>4–6 cm</w:t>
            </w:r>
          </w:p>
        </w:tc>
        <w:tc>
          <w:tcPr>
            <w:tcW w:w="5954" w:type="dxa"/>
            <w:tcBorders>
              <w:bottom w:val="nil"/>
            </w:tcBorders>
            <w:shd w:val="clear" w:color="auto" w:fill="auto"/>
          </w:tcPr>
          <w:p w:rsidR="00D25EFC" w:rsidRDefault="00A27A2B">
            <w:pPr>
              <w:pStyle w:val="tabletext"/>
            </w:pPr>
            <w:r>
              <w:t>Entire viscera including kidney</w:t>
            </w:r>
          </w:p>
        </w:tc>
      </w:tr>
      <w:tr w:rsidR="00D25EFC">
        <w:tc>
          <w:tcPr>
            <w:tcW w:w="1809" w:type="dxa"/>
            <w:tcBorders>
              <w:top w:val="nil"/>
              <w:bottom w:val="nil"/>
            </w:tcBorders>
            <w:shd w:val="clear" w:color="auto" w:fill="auto"/>
          </w:tcPr>
          <w:p w:rsidR="00D25EFC" w:rsidRDefault="00A27A2B">
            <w:pPr>
              <w:pStyle w:val="tabletext"/>
            </w:pPr>
            <w:r>
              <w:t>&gt; 6 cm</w:t>
            </w:r>
          </w:p>
        </w:tc>
        <w:tc>
          <w:tcPr>
            <w:tcW w:w="5954" w:type="dxa"/>
            <w:tcBorders>
              <w:top w:val="nil"/>
              <w:bottom w:val="nil"/>
            </w:tcBorders>
            <w:shd w:val="clear" w:color="auto" w:fill="auto"/>
          </w:tcPr>
          <w:p w:rsidR="00D25EFC" w:rsidRDefault="00A27A2B">
            <w:pPr>
              <w:pStyle w:val="tabletext"/>
            </w:pPr>
            <w:r>
              <w:t>Kidney, liver, spleen, encephalon, heart and gill filaments</w:t>
            </w:r>
          </w:p>
        </w:tc>
      </w:tr>
      <w:tr w:rsidR="00D25EFC">
        <w:tc>
          <w:tcPr>
            <w:tcW w:w="1809" w:type="dxa"/>
            <w:tcBorders>
              <w:top w:val="nil"/>
              <w:bottom w:val="single" w:sz="4" w:space="0" w:color="auto"/>
            </w:tcBorders>
            <w:shd w:val="clear" w:color="auto" w:fill="auto"/>
          </w:tcPr>
          <w:p w:rsidR="00D25EFC" w:rsidRDefault="00A27A2B">
            <w:pPr>
              <w:pStyle w:val="tabletext"/>
            </w:pPr>
            <w:r>
              <w:t>Sexually mature</w:t>
            </w:r>
          </w:p>
        </w:tc>
        <w:tc>
          <w:tcPr>
            <w:tcW w:w="5954" w:type="dxa"/>
            <w:tcBorders>
              <w:top w:val="nil"/>
              <w:bottom w:val="single" w:sz="4" w:space="0" w:color="auto"/>
            </w:tcBorders>
            <w:shd w:val="clear" w:color="auto" w:fill="auto"/>
          </w:tcPr>
          <w:p w:rsidR="00D25EFC" w:rsidRDefault="00A27A2B">
            <w:pPr>
              <w:pStyle w:val="tabletext"/>
            </w:pPr>
            <w:r>
              <w:t>Ovarian fluids, kidney, liver, spleen, encephalon, heart and gill filaments</w:t>
            </w:r>
          </w:p>
        </w:tc>
      </w:tr>
    </w:tbl>
    <w:p w:rsidR="00D25EFC" w:rsidRDefault="00A27A2B">
      <w:r>
        <w:rPr>
          <w:lang w:eastAsia="en-US"/>
        </w:rPr>
        <w:t xml:space="preserve">VHSV is very sensitive to enzymatic </w:t>
      </w:r>
      <w:r>
        <w:rPr>
          <w:lang w:eastAsia="en-US"/>
        </w:rPr>
        <w:t>degradation, therefore sampling tissues with high enzymatic activities such as viscera and liver should be avoided (OIE 2013b).</w:t>
      </w:r>
    </w:p>
    <w:p w:rsidR="00D25EFC" w:rsidRDefault="00A27A2B">
      <w:pPr>
        <w:pStyle w:val="Heading5unnumbered"/>
      </w:pPr>
      <w:bookmarkStart w:id="175" w:name="_Toc402970388"/>
      <w:bookmarkStart w:id="176" w:name="_Toc408836358"/>
      <w:r>
        <w:lastRenderedPageBreak/>
        <w:t>Culture</w:t>
      </w:r>
      <w:bookmarkEnd w:id="175"/>
      <w:bookmarkEnd w:id="176"/>
    </w:p>
    <w:p w:rsidR="00D25EFC" w:rsidRDefault="00A27A2B">
      <w:r>
        <w:t>It is recognised that some fish cell lines are more susceptible to virus infection and support growth and development of</w:t>
      </w:r>
      <w:r>
        <w:t xml:space="preserve"> some viruses better than other cell lines. Thus, as part of a disease investigation where involvement of a viral pathogen is suspected, the AFDL will use a range of fish cell lines in an attempt to isolate the virus. Based on international protocols, the </w:t>
      </w:r>
      <w:r>
        <w:t>AFDL will use two or more of the cell lines BF-2, EPC, RTG-2, CHSE-214 and FHM for isolation of VHSV.</w:t>
      </w:r>
    </w:p>
    <w:p w:rsidR="00D25EFC" w:rsidRDefault="00A27A2B">
      <w:r>
        <w:t>Tissue samples submitted to the AAHL are homogenised using a frozen, sterile mortar and pestle to assist release of a portion of any virus particles prese</w:t>
      </w:r>
      <w:r>
        <w:t>nt. Diluted aliquots of the supernatants, obtained by centrifuging the prepared tissue homogenates, are inoculated onto cell culture monolayers. These are then incubated at 15°C over a period of several days to allow the development of any viral cytopathic</w:t>
      </w:r>
      <w:r>
        <w:t xml:space="preserve"> effect, which would be due to the presence of specific viruses (Crane and Williams 2008).</w:t>
      </w:r>
    </w:p>
    <w:p w:rsidR="00D25EFC" w:rsidRDefault="00A27A2B">
      <w:pPr>
        <w:pStyle w:val="Heading4unnumbered"/>
      </w:pPr>
      <w:bookmarkStart w:id="177" w:name="_Toc402970389"/>
      <w:bookmarkStart w:id="178" w:name="_Toc408836359"/>
      <w:r>
        <w:t>Identification</w:t>
      </w:r>
      <w:bookmarkEnd w:id="177"/>
      <w:bookmarkEnd w:id="178"/>
    </w:p>
    <w:p w:rsidR="00D25EFC" w:rsidRDefault="00A27A2B">
      <w:pPr>
        <w:pStyle w:val="Heading5unnumbered"/>
      </w:pPr>
      <w:bookmarkStart w:id="179" w:name="_Toc408836360"/>
      <w:r>
        <w:t>Immunocytochemistry</w:t>
      </w:r>
      <w:bookmarkEnd w:id="179"/>
    </w:p>
    <w:p w:rsidR="00D25EFC" w:rsidRDefault="00A27A2B">
      <w:r>
        <w:t xml:space="preserve">Virus identification by various immunoassays has become a standard procedure for viruses where specific antibodies are available. </w:t>
      </w:r>
      <w:r>
        <w:t xml:space="preserve">At the AFDL, immunocytochemistry using an immunoperoxidase test is favoured. Virus-infected cell cultures are fixed and incubated with a primary antibody preparation containing either monoclonal or polyclonal antibodies that will bind to specific epitopes </w:t>
      </w:r>
      <w:r>
        <w:t xml:space="preserve">if present. Excess primary antibody is removed by washing, and a secondary biotinylated antibody (e.g. biotinylated anti-rabbit Ig if the primary antibody was raised in rabbits) is added. After an incubation period, excess secondary antibody is removed by </w:t>
      </w:r>
      <w:r>
        <w:t>washing, and streptavidin–peroxidase conjugate is added. After incubation, excess conjugate is removed by washing, a substrate (e.g. with 3 amino-9-ethylcarboxyole) is added and colour is allowed to develop. Finally, after washing in water, cells are count</w:t>
      </w:r>
      <w:r>
        <w:t>erstained with Mayer’s haematoxylin, rinsed in water and blued with Scott’s tap water. Any virus that is recognised by the primary antibody will yield a positive colour reaction (Crane et al. 2000).</w:t>
      </w:r>
    </w:p>
    <w:p w:rsidR="00D25EFC" w:rsidRDefault="00A27A2B">
      <w:r>
        <w:t xml:space="preserve">Similarly, the immunoperoxidase test can be performed on </w:t>
      </w:r>
      <w:r>
        <w:t>fixed tissues from affected fish (Crane et al. 2000).</w:t>
      </w:r>
    </w:p>
    <w:p w:rsidR="00D25EFC" w:rsidRDefault="00A27A2B">
      <w:pPr>
        <w:pStyle w:val="Heading5unnumbered"/>
      </w:pPr>
      <w:bookmarkStart w:id="180" w:name="_Toc408836361"/>
      <w:r>
        <w:t>Polymerase chain reaction</w:t>
      </w:r>
      <w:bookmarkEnd w:id="180"/>
    </w:p>
    <w:p w:rsidR="00D25EFC" w:rsidRDefault="00A27A2B">
      <w:r>
        <w:t>Tissue samples (homogenised, frozen and thawed, centrifuged and supernatant fluids collected) and tissue culture supernatants are inactivated by adding them to an appropriate c</w:t>
      </w:r>
      <w:r>
        <w:t xml:space="preserve">ommercially prepared buffer (e.g. Qiagen AVL buffer) containing guanidinium isothiocyanate. </w:t>
      </w:r>
    </w:p>
    <w:p w:rsidR="00D25EFC" w:rsidRDefault="00A27A2B">
      <w:r>
        <w:t>Nucleic acid is obtained from cell-free samples using the QIAamp viral RNA extraction kit or from tissues using the RNeasy viral RNA extraction kit. RT-PCR is unde</w:t>
      </w:r>
      <w:r>
        <w:t>rtaken using the SuperScript III One-Step RT-PCR with Platinum Taq kit using primers and cycling conditions described in the OIE Aquatic Manual (OIE, 2013a) which are based on Snow et al. (2004).</w:t>
      </w:r>
    </w:p>
    <w:p w:rsidR="00D25EFC" w:rsidRDefault="00A27A2B">
      <w:pPr>
        <w:pStyle w:val="Caption"/>
        <w:ind w:left="993"/>
      </w:pPr>
      <w:bookmarkStart w:id="181" w:name="_Toc408393417"/>
      <w:r>
        <w:t>Table C</w:t>
      </w:r>
      <w:fldSimple w:instr=" SEQ Table_C \* ARABIC ">
        <w:r>
          <w:rPr>
            <w:noProof/>
          </w:rPr>
          <w:t>2</w:t>
        </w:r>
      </w:fldSimple>
      <w:r>
        <w:tab/>
        <w:t>RT-PCR primers to produce</w:t>
      </w:r>
      <w:r>
        <w:t xml:space="preserve"> a 505bp product from the N gene (OIE 2013b)</w:t>
      </w:r>
      <w:bookmarkEnd w:id="181"/>
    </w:p>
    <w:tbl>
      <w:tblPr>
        <w:tblW w:w="6164" w:type="dxa"/>
        <w:tblBorders>
          <w:top w:val="single" w:sz="4" w:space="0" w:color="auto"/>
          <w:left w:val="single" w:sz="4" w:space="0" w:color="auto"/>
          <w:bottom w:val="single" w:sz="4" w:space="0" w:color="auto"/>
          <w:right w:val="single" w:sz="4" w:space="0" w:color="auto"/>
        </w:tblBorders>
        <w:tblLook w:val="01E0"/>
      </w:tblPr>
      <w:tblGrid>
        <w:gridCol w:w="1682"/>
        <w:gridCol w:w="4482"/>
      </w:tblGrid>
      <w:tr w:rsidR="00D25EFC">
        <w:tc>
          <w:tcPr>
            <w:tcW w:w="1682" w:type="dxa"/>
            <w:tcBorders>
              <w:top w:val="single" w:sz="4" w:space="0" w:color="auto"/>
              <w:bottom w:val="single" w:sz="4" w:space="0" w:color="auto"/>
            </w:tcBorders>
            <w:vAlign w:val="bottom"/>
          </w:tcPr>
          <w:p w:rsidR="00D25EFC" w:rsidRDefault="00A27A2B">
            <w:pPr>
              <w:pStyle w:val="Tabletextcolumnheading"/>
            </w:pPr>
            <w:r>
              <w:t>Primer</w:t>
            </w:r>
          </w:p>
        </w:tc>
        <w:tc>
          <w:tcPr>
            <w:tcW w:w="4482" w:type="dxa"/>
            <w:tcBorders>
              <w:top w:val="single" w:sz="4" w:space="0" w:color="auto"/>
              <w:bottom w:val="single" w:sz="4" w:space="0" w:color="auto"/>
            </w:tcBorders>
            <w:vAlign w:val="bottom"/>
          </w:tcPr>
          <w:p w:rsidR="00D25EFC" w:rsidRDefault="00A27A2B">
            <w:pPr>
              <w:pStyle w:val="Tabletextcolumnheading"/>
            </w:pPr>
            <w:r>
              <w:t>Sequence</w:t>
            </w:r>
          </w:p>
        </w:tc>
      </w:tr>
      <w:tr w:rsidR="00D25EFC">
        <w:trPr>
          <w:trHeight w:val="155"/>
        </w:trPr>
        <w:tc>
          <w:tcPr>
            <w:tcW w:w="1682" w:type="dxa"/>
            <w:tcBorders>
              <w:top w:val="single" w:sz="4" w:space="0" w:color="auto"/>
            </w:tcBorders>
          </w:tcPr>
          <w:p w:rsidR="00D25EFC" w:rsidRDefault="00A27A2B">
            <w:pPr>
              <w:pStyle w:val="tabletext"/>
            </w:pPr>
            <w:r>
              <w:t>VHSV VNF</w:t>
            </w:r>
          </w:p>
        </w:tc>
        <w:tc>
          <w:tcPr>
            <w:tcW w:w="4482" w:type="dxa"/>
            <w:tcBorders>
              <w:top w:val="single" w:sz="4" w:space="0" w:color="auto"/>
            </w:tcBorders>
          </w:tcPr>
          <w:p w:rsidR="00D25EFC" w:rsidRDefault="00A27A2B">
            <w:pPr>
              <w:pStyle w:val="tabletext"/>
            </w:pPr>
            <w:r>
              <w:rPr>
                <w:bCs/>
              </w:rPr>
              <w:t>5’-</w:t>
            </w:r>
            <w:r>
              <w:t>ATG-GAA-GGA-GGA-ATT-CGT-GAA-GCG</w:t>
            </w:r>
            <w:r>
              <w:rPr>
                <w:bCs/>
              </w:rPr>
              <w:t>-3’</w:t>
            </w:r>
          </w:p>
        </w:tc>
      </w:tr>
      <w:tr w:rsidR="00D25EFC">
        <w:tc>
          <w:tcPr>
            <w:tcW w:w="1682" w:type="dxa"/>
          </w:tcPr>
          <w:p w:rsidR="00D25EFC" w:rsidRDefault="00A27A2B">
            <w:pPr>
              <w:pStyle w:val="tabletext"/>
            </w:pPr>
            <w:r>
              <w:t>VHSV VNR</w:t>
            </w:r>
          </w:p>
        </w:tc>
        <w:tc>
          <w:tcPr>
            <w:tcW w:w="4482" w:type="dxa"/>
          </w:tcPr>
          <w:p w:rsidR="00D25EFC" w:rsidRDefault="00A27A2B">
            <w:pPr>
              <w:pStyle w:val="tabletext"/>
            </w:pPr>
            <w:r>
              <w:rPr>
                <w:bCs/>
              </w:rPr>
              <w:t>5’</w:t>
            </w:r>
            <w:r>
              <w:t>-GCG-GTG-AAG-TGC-TGC-AGT-TCC-C-</w:t>
            </w:r>
            <w:r>
              <w:rPr>
                <w:bCs/>
              </w:rPr>
              <w:t>3’</w:t>
            </w:r>
          </w:p>
        </w:tc>
      </w:tr>
    </w:tbl>
    <w:p w:rsidR="00D25EFC" w:rsidRDefault="00D25EFC"/>
    <w:p w:rsidR="00D25EFC" w:rsidRDefault="00A27A2B">
      <w:r>
        <w:lastRenderedPageBreak/>
        <w:t xml:space="preserve">Sequencing of PCR products is required for definitive diagnosis, and will help strain </w:t>
      </w:r>
      <w:r>
        <w:t>identification.</w:t>
      </w:r>
    </w:p>
    <w:p w:rsidR="00D25EFC" w:rsidRDefault="00A27A2B">
      <w:pPr>
        <w:pStyle w:val="Heading4unnumbered"/>
      </w:pPr>
      <w:bookmarkStart w:id="182" w:name="_Toc408836362"/>
      <w:r>
        <w:t>Further reading</w:t>
      </w:r>
      <w:bookmarkEnd w:id="182"/>
    </w:p>
    <w:p w:rsidR="00D25EFC" w:rsidRDefault="00A27A2B">
      <w:r>
        <w:t xml:space="preserve">Crane MS, Hardy-Smith P, Williams LM, Hyatt AD, Eaton LM, Gould A, Handlinger J, Kattenbelt J and Gudkovs N (2000). First isolation of an aquatic birnavirus from farmed and wild fish species in Australia. </w:t>
      </w:r>
      <w:r>
        <w:rPr>
          <w:rStyle w:val="Emphasis"/>
        </w:rPr>
        <w:t>Diseases of Aquatic</w:t>
      </w:r>
      <w:r>
        <w:rPr>
          <w:rStyle w:val="Emphasis"/>
        </w:rPr>
        <w:t xml:space="preserve"> Organisms </w:t>
      </w:r>
      <w:r>
        <w:t>43:1–14.</w:t>
      </w:r>
    </w:p>
    <w:p w:rsidR="00D25EFC" w:rsidRDefault="00A27A2B">
      <w:r>
        <w:t xml:space="preserve">Crane MS and Williams LM (2008). </w:t>
      </w:r>
      <w:r>
        <w:rPr>
          <w:iCs/>
        </w:rPr>
        <w:t>Viruses of salmonids: virus isolation in fish cell lines</w:t>
      </w:r>
      <w:r>
        <w:rPr>
          <w:rStyle w:val="Emphasis"/>
        </w:rPr>
        <w:t xml:space="preserve">. </w:t>
      </w:r>
      <w:r>
        <w:rPr>
          <w:rFonts w:cs="Arial"/>
          <w:color w:val="222222"/>
        </w:rPr>
        <w:t>http://www.scahls.org.au/Procedures/Pages/Aquatic-ANZSDPs.aspx [Virus isolation]</w:t>
      </w:r>
    </w:p>
    <w:p w:rsidR="00D25EFC" w:rsidRDefault="00A27A2B">
      <w:r>
        <w:t>Department of Fisheries and Oceans (Canada) (1984, revised 2011)</w:t>
      </w:r>
      <w:r>
        <w:t xml:space="preserve">. </w:t>
      </w:r>
      <w:r>
        <w:rPr>
          <w:rFonts w:cs="BookAntiqua-Italic"/>
          <w:iCs/>
        </w:rPr>
        <w:t>Fish Health Protection Regulations: manual of compliance</w:t>
      </w:r>
      <w:r>
        <w:t>. Special publication 31 (revised). Ottawa. http://www.dfo-mpo.gc.ca/science/enviro/aah-saa/regulation-reglements-eng.htm</w:t>
      </w:r>
    </w:p>
    <w:p w:rsidR="00D25EFC" w:rsidRDefault="00A27A2B">
      <w:r>
        <w:t xml:space="preserve">Commission of the European Communities (2001). Commission decision of 22 </w:t>
      </w:r>
      <w:r>
        <w:t xml:space="preserve">February 2001 laying down the sampling plans and diagnostic methods for the detection and confirmation of certain fish diseases and repealing decision 92/532/EEC. </w:t>
      </w:r>
      <w:r>
        <w:rPr>
          <w:rStyle w:val="Emphasis"/>
        </w:rPr>
        <w:t>Official Journal of the European Communities</w:t>
      </w:r>
      <w:r>
        <w:t xml:space="preserve"> L67/65–76, 9 March 2001.</w:t>
      </w:r>
    </w:p>
    <w:p w:rsidR="00D25EFC" w:rsidRDefault="00A27A2B">
      <w:r>
        <w:t>Hill BJ (1976). Procedu</w:t>
      </w:r>
      <w:r>
        <w:t>res for the isolation and identification of IPN, VHS, IHN and SVC viruses from diseased fish. Fisheries Research Technical Report No. 27, Ministry of Agriculture, Fisheries and Food, Directorate of Fisheries Research, Lowestoft, United Kingdom.</w:t>
      </w:r>
    </w:p>
    <w:p w:rsidR="00D25EFC" w:rsidRDefault="00A27A2B">
      <w:r>
        <w:t>Snow M, Bai</w:t>
      </w:r>
      <w:r>
        <w:t xml:space="preserve">n N, Black J, Taupin V, Cunningham CO, King JA, Skall HF and Raynard RS (2004). Genetic population structure of marine viral haemorrhagic septicaemia virus (VHSV). </w:t>
      </w:r>
      <w:r>
        <w:rPr>
          <w:rStyle w:val="Emphasis"/>
        </w:rPr>
        <w:t>Diseases of Aquatic Organisms</w:t>
      </w:r>
      <w:r>
        <w:t xml:space="preserve"> 61:11–21.</w:t>
      </w:r>
    </w:p>
    <w:p w:rsidR="00D25EFC" w:rsidRDefault="00A27A2B">
      <w:r>
        <w:t>Stone DM, Way K and Dixon PF (1997). Nucleotide sequ</w:t>
      </w:r>
      <w:r>
        <w:t>ence of the glycoprotein gene of viral haemorrhagic septicaemia (VHS) viruses from different geographical areas: a link between VHS in farmed fish species and viruses isolated from North Sea cod (</w:t>
      </w:r>
      <w:r>
        <w:rPr>
          <w:rStyle w:val="Emphasis"/>
        </w:rPr>
        <w:t xml:space="preserve">Gadus morhua </w:t>
      </w:r>
      <w:r>
        <w:t xml:space="preserve">L.). </w:t>
      </w:r>
      <w:r>
        <w:rPr>
          <w:rStyle w:val="Emphasis"/>
        </w:rPr>
        <w:t xml:space="preserve">Journal of General Virology </w:t>
      </w:r>
      <w:r>
        <w:t>78:1319–1326.</w:t>
      </w:r>
    </w:p>
    <w:p w:rsidR="00D25EFC" w:rsidRDefault="00A27A2B">
      <w:r>
        <w:t xml:space="preserve">Thoesen JC (ed) (1994). </w:t>
      </w:r>
      <w:r>
        <w:rPr>
          <w:rFonts w:cs="BookAntiqua-Italic"/>
          <w:iCs/>
        </w:rPr>
        <w:t>Suggested procedures for the detection and identification of certain fish and shellfish pathogens</w:t>
      </w:r>
      <w:r>
        <w:t>. 4th edition, version 1. Fish Health Section, American Fisheries Society.</w:t>
      </w:r>
    </w:p>
    <w:p w:rsidR="00D25EFC" w:rsidRDefault="00A27A2B">
      <w:r>
        <w:t xml:space="preserve">OIE (World Organisation for Animal Health) (2013b). </w:t>
      </w:r>
      <w:r>
        <w:rPr>
          <w:rStyle w:val="Emphasis"/>
        </w:rPr>
        <w:t>Manual o</w:t>
      </w:r>
      <w:r>
        <w:rPr>
          <w:rStyle w:val="Emphasis"/>
        </w:rPr>
        <w:t>f Diagnostic Tests for Aquatic Animals</w:t>
      </w:r>
      <w:r>
        <w:t xml:space="preserve"> OIE, Paris. http://www.oie.int/en/international-standard-setting/aquatic-manual/access-online</w:t>
      </w:r>
    </w:p>
    <w:p w:rsidR="00D25EFC" w:rsidRDefault="00A27A2B">
      <w:pPr>
        <w:pStyle w:val="Heading3unnumbered"/>
      </w:pPr>
      <w:r>
        <w:br w:type="page"/>
      </w:r>
      <w:bookmarkStart w:id="183" w:name="_Toc402970390"/>
      <w:bookmarkStart w:id="184" w:name="_Toc408388686"/>
      <w:bookmarkStart w:id="185" w:name="_Toc408836363"/>
      <w:r>
        <w:lastRenderedPageBreak/>
        <w:t>Appendix D Example of a VHSV risk mitigation policy – Michigan DNR, USA</w:t>
      </w:r>
      <w:bookmarkEnd w:id="183"/>
      <w:bookmarkEnd w:id="184"/>
      <w:bookmarkEnd w:id="185"/>
    </w:p>
    <w:p w:rsidR="00D25EFC" w:rsidRDefault="00A27A2B">
      <w:pPr>
        <w:pStyle w:val="Heading4unnumbered"/>
      </w:pPr>
      <w:bookmarkStart w:id="186" w:name="_Toc402970391"/>
      <w:bookmarkStart w:id="187" w:name="_Toc408836364"/>
      <w:r>
        <w:t>FO-245.09</w:t>
      </w:r>
      <w:bookmarkEnd w:id="186"/>
      <w:bookmarkEnd w:id="187"/>
    </w:p>
    <w:p w:rsidR="00D25EFC" w:rsidRDefault="00A27A2B">
      <w:pPr>
        <w:pStyle w:val="Heading5unnumbered"/>
      </w:pPr>
      <w:bookmarkStart w:id="188" w:name="_Toc402970392"/>
      <w:bookmarkStart w:id="189" w:name="_Toc408836365"/>
      <w:r>
        <w:t>Fish disease control</w:t>
      </w:r>
      <w:bookmarkEnd w:id="188"/>
      <w:bookmarkEnd w:id="189"/>
    </w:p>
    <w:p w:rsidR="00D25EFC" w:rsidRDefault="00A27A2B">
      <w:r>
        <w:t>By authority confer</w:t>
      </w:r>
      <w:r>
        <w:t>red on the Department of Natural Resources by sections 41101 through 41105 of 1994 PA 451, MCL 324.41105, it is ordered that effective, December 4, 2008, for a period of five years, the following regulations are established for fish disease control:</w:t>
      </w:r>
    </w:p>
    <w:p w:rsidR="00D25EFC" w:rsidRDefault="00A27A2B">
      <w:r>
        <w:t>The go</w:t>
      </w:r>
      <w:r>
        <w:t>als of the Department’s actions under this Fish Disease Control Order are to protect the aquatic resources of the State, minimize the spread of Pathogens of concern to uninfected waters, and protect the Department’s fish hatchery system. The Department wil</w:t>
      </w:r>
      <w:r>
        <w:t>l address the control of diseases of fish through the development of regulations for specific Management Areas that are designed to contain or slow the spread of Pathogens of concern.</w:t>
      </w:r>
    </w:p>
    <w:p w:rsidR="00D25EFC" w:rsidRDefault="00A27A2B">
      <w:pPr>
        <w:pStyle w:val="Heading5unnumbered"/>
      </w:pPr>
      <w:bookmarkStart w:id="190" w:name="_Toc402970393"/>
      <w:bookmarkStart w:id="191" w:name="_Toc408836366"/>
      <w:r>
        <w:t>Definitions</w:t>
      </w:r>
      <w:bookmarkEnd w:id="190"/>
      <w:bookmarkEnd w:id="191"/>
    </w:p>
    <w:p w:rsidR="00D25EFC" w:rsidRDefault="00A27A2B">
      <w:r>
        <w:t xml:space="preserve">As used in this Fish Disease Control Order, specific terms </w:t>
      </w:r>
      <w:r>
        <w:t>are defined as follows:</w:t>
      </w:r>
    </w:p>
    <w:p w:rsidR="00D25EFC" w:rsidRDefault="00A27A2B">
      <w:r>
        <w:rPr>
          <w:b/>
          <w:bCs/>
        </w:rPr>
        <w:t xml:space="preserve">Baitfish </w:t>
      </w:r>
      <w:r>
        <w:t>–live or dead species of fish, or parts of fish excluding Roe, that are used by anglers to catch fish.</w:t>
      </w:r>
    </w:p>
    <w:p w:rsidR="00D25EFC" w:rsidRDefault="00A27A2B">
      <w:r>
        <w:rPr>
          <w:b/>
          <w:bCs/>
        </w:rPr>
        <w:t>Baitfish and Roe Exclusion Zone</w:t>
      </w:r>
      <w:r>
        <w:t>- waters designated as critical to hatchery operations where possession and use of baitfi</w:t>
      </w:r>
      <w:r>
        <w:t>sh and roe as defined is prohibited.</w:t>
      </w:r>
    </w:p>
    <w:p w:rsidR="00D25EFC" w:rsidRDefault="00A27A2B">
      <w:r>
        <w:rPr>
          <w:b/>
          <w:bCs/>
        </w:rPr>
        <w:t xml:space="preserve">Certification Process </w:t>
      </w:r>
      <w:r>
        <w:t>– a process used by the Department to grant or deny applications from individuals who want to conduct certain activities that are regulated by this Fish Disease Control Order.</w:t>
      </w:r>
    </w:p>
    <w:p w:rsidR="00D25EFC" w:rsidRDefault="00A27A2B">
      <w:r>
        <w:rPr>
          <w:b/>
          <w:bCs/>
        </w:rPr>
        <w:t xml:space="preserve">Inland Waters </w:t>
      </w:r>
      <w:r>
        <w:t>– all p</w:t>
      </w:r>
      <w:r>
        <w:t>ublic waters of the State except for the Great Lakes and their connecting waters.</w:t>
      </w:r>
    </w:p>
    <w:p w:rsidR="00D25EFC" w:rsidRDefault="00A27A2B">
      <w:r>
        <w:rPr>
          <w:b/>
          <w:bCs/>
        </w:rPr>
        <w:t xml:space="preserve">Pathogen </w:t>
      </w:r>
      <w:r>
        <w:t>– viruses, bacteria, fungi, and parasites that cause disease in living organisms.</w:t>
      </w:r>
    </w:p>
    <w:p w:rsidR="00D25EFC" w:rsidRDefault="00A27A2B">
      <w:r>
        <w:rPr>
          <w:b/>
          <w:bCs/>
        </w:rPr>
        <w:t xml:space="preserve">Prohibited Fish Species </w:t>
      </w:r>
      <w:r>
        <w:t>– Baitfish and other species of fish identified by the Depa</w:t>
      </w:r>
      <w:r>
        <w:t>rtment as infected with one or more Pathogens of concern.</w:t>
      </w:r>
    </w:p>
    <w:p w:rsidR="00D25EFC" w:rsidRDefault="00A27A2B">
      <w:r>
        <w:rPr>
          <w:b/>
          <w:bCs/>
        </w:rPr>
        <w:t xml:space="preserve">Roe </w:t>
      </w:r>
      <w:r>
        <w:t>– eggs of fish.</w:t>
      </w:r>
    </w:p>
    <w:p w:rsidR="00D25EFC" w:rsidRDefault="00A27A2B">
      <w:pPr>
        <w:pStyle w:val="Heading5unnumbered"/>
      </w:pPr>
      <w:bookmarkStart w:id="192" w:name="_Toc402970394"/>
      <w:bookmarkStart w:id="193" w:name="_Toc408836367"/>
      <w:r>
        <w:t>Baitfish and roe exclusion zones</w:t>
      </w:r>
      <w:bookmarkEnd w:id="192"/>
      <w:bookmarkEnd w:id="193"/>
    </w:p>
    <w:p w:rsidR="00D25EFC" w:rsidRDefault="00A27A2B">
      <w:r>
        <w:t>The Department has identified locations vital to the protection of hatchery operations in an effort to control or contain pathogen movement and r</w:t>
      </w:r>
      <w:r>
        <w:t>educe disease risks to these facilities. In these critical areas restrictions on the possession and subsequent use of baitfish and roe must be implemented. Therefore, baitfish and roe shall not be possessed on the following waters of the State:</w:t>
      </w:r>
    </w:p>
    <w:p w:rsidR="00D25EFC" w:rsidRDefault="00A27A2B">
      <w:r>
        <w:t>Benzie Coun</w:t>
      </w:r>
      <w:r>
        <w:t>ty</w:t>
      </w:r>
      <w:r>
        <w:br/>
        <w:t>Brundage Creek and tributaries Kinney Creek and Stanley Creek, from its confluence with the Platte River (T26N, R13W, S7), to their headwaters, including Brundage Spring Pond.</w:t>
      </w:r>
    </w:p>
    <w:p w:rsidR="00D25EFC" w:rsidRDefault="00A27A2B">
      <w:r>
        <w:lastRenderedPageBreak/>
        <w:t>Chippewa County</w:t>
      </w:r>
      <w:r>
        <w:br/>
        <w:t>Pendills Lake (T47N, R4W, S25, 26) including tributary Pendil</w:t>
      </w:r>
      <w:r>
        <w:t>ls Creek downstream to its confluence with Lake Superior (T47N, R4W, S28).</w:t>
      </w:r>
    </w:p>
    <w:p w:rsidR="00D25EFC" w:rsidRDefault="00A27A2B">
      <w:r>
        <w:t>Sullivan Creek from its headwaters (T46N, R4W, S32) downstream to its confluence with the North Branch of the Pine River (T45N, R4W, S23).</w:t>
      </w:r>
    </w:p>
    <w:p w:rsidR="00D25EFC" w:rsidRDefault="00A27A2B">
      <w:r>
        <w:t>Viddian Creek from its headwaters (T47N, R</w:t>
      </w:r>
      <w:r>
        <w:t>4W, S32) downstream to its confluence with Pendills Creek (T47N, R4W, S28).</w:t>
      </w:r>
    </w:p>
    <w:p w:rsidR="00D25EFC" w:rsidRDefault="00A27A2B">
      <w:r>
        <w:t>Marquette County</w:t>
      </w:r>
      <w:r>
        <w:br/>
        <w:t>Cherry Creek from the location of the Cherry Creek Road (T47N, R24W, S18) to the headwaters at County Road 480 (T47N, R25W, S22).</w:t>
      </w:r>
    </w:p>
    <w:p w:rsidR="00D25EFC" w:rsidRDefault="00A27A2B">
      <w:pPr>
        <w:pStyle w:val="Heading5unnumbered"/>
      </w:pPr>
      <w:bookmarkStart w:id="194" w:name="_Toc402970395"/>
      <w:bookmarkStart w:id="195" w:name="_Toc408836368"/>
      <w:r>
        <w:t>Regulation by management area</w:t>
      </w:r>
      <w:bookmarkEnd w:id="194"/>
      <w:bookmarkEnd w:id="195"/>
    </w:p>
    <w:p w:rsidR="00D25EFC" w:rsidRDefault="00A27A2B">
      <w:r>
        <w:t>The</w:t>
      </w:r>
      <w:r>
        <w:t xml:space="preserve"> Department uses a classification system to categorize waters based on their disease status. Specific Management Areas identified by the Department under this system include: 1) Named Pathogen Positive Management Area, where the presence of a named Pathoge</w:t>
      </w:r>
      <w:r>
        <w:t>n has been confirmed; 2) Named Pathogen Surveillance Management Area, where a named Pathogen is likely to be found in the near future; and 3) Named Pathogen Free Management Area, where a named Pathogen has not been confirmed to date. Regulatory actions are</w:t>
      </w:r>
      <w:r>
        <w:t xml:space="preserve"> designed for each Management Area to reduce the risk of spreading a Pathogen from, and in some cases containing a Pathogen within, a Named Pathogen Positive Management Area. Unique regulatory actions will be developed for each new Pathogen that is discove</w:t>
      </w:r>
      <w:r>
        <w:t>red, and such actions will take into account the likely dispersal routes for a Pathogen.</w:t>
      </w:r>
    </w:p>
    <w:p w:rsidR="00D25EFC" w:rsidRDefault="00A27A2B">
      <w:r>
        <w:t>GENERAL STATEWIDE PROVISIONS [In this order the terms State-licensed baitfish retail and State-licensed baitfish wholesale operations are those that are required to be</w:t>
      </w:r>
      <w:r>
        <w:t xml:space="preserve"> licensed by the state of Michigan for these activities]</w:t>
      </w:r>
    </w:p>
    <w:p w:rsidR="00D25EFC" w:rsidRDefault="00A27A2B">
      <w:r>
        <w:t xml:space="preserve">1. The official list of Prohibited Fish Species for each Pathogen of concern as identified by the Department will be available from the Department and will be posted on Fisheries Division’s web site </w:t>
      </w:r>
      <w:r>
        <w:t>(http://www.michigan.gov/dnrfishing). The list of Prohibited Fish Species for each Pathogen of concern as of June 28, 2007 is attached to this Fish Disease Control Order for reference only (Appendix A). Updates to the list of Prohibited Fish Species will b</w:t>
      </w:r>
      <w:r>
        <w:t>e made as necessary. Those changes will be immediately posted on Fisheries Division’s web site, and incorporated into this Fish Disease Control Order at least annually.</w:t>
      </w:r>
    </w:p>
    <w:p w:rsidR="00D25EFC" w:rsidRDefault="00A27A2B">
      <w:r>
        <w:t>2. The official list of waters classified by Named Pathogen Management Area for each Pa</w:t>
      </w:r>
      <w:r>
        <w:t>thogen of concern as identified by the Department shall be posted on Fisheries Division’s web site (http://www.michigan.gov/dnrfishing). The list of waters classified by Named Pathogen Management Area for each Pathogen of concern as of June 28, 2007 is att</w:t>
      </w:r>
      <w:r>
        <w:t>ached to this Fish Disease Control Order for reference only (Appendix B). Updates to the list of list of waters classified by Named Pathogen Management Area will be made as necessary. Those changes will be immediately posted on Fisheries Division’s web sit</w:t>
      </w:r>
      <w:r>
        <w:t>e, and incorporated into this Fish Disease Control Order at least annually.</w:t>
      </w:r>
    </w:p>
    <w:p w:rsidR="00D25EFC" w:rsidRDefault="00A27A2B">
      <w:r>
        <w:t>3. It shall be unlawful to import into this state any uncertified baitfish species found on the list of Prohibited Fish Species (Appendix A).</w:t>
      </w:r>
    </w:p>
    <w:p w:rsidR="00D25EFC" w:rsidRDefault="00A27A2B">
      <w:r>
        <w:t xml:space="preserve">4. The Certification Process includes </w:t>
      </w:r>
      <w:r>
        <w:t xml:space="preserve">two Parts: Part A) Status of a Facility and Part B) Status of Fish Health. The </w:t>
      </w:r>
      <w:r>
        <w:rPr>
          <w:rStyle w:val="Emphasis"/>
        </w:rPr>
        <w:t xml:space="preserve">Guide for Certification of Status of a Facility and Status of Fish </w:t>
      </w:r>
      <w:r>
        <w:rPr>
          <w:rStyle w:val="Emphasis"/>
        </w:rPr>
        <w:lastRenderedPageBreak/>
        <w:t xml:space="preserve">Health </w:t>
      </w:r>
      <w:r>
        <w:t>will identify the specific steps to be completed for each Pathogen of concern as identified by the Depa</w:t>
      </w:r>
      <w:r>
        <w:t xml:space="preserve">rtment, as well as when a Certification for Status of a Facility that has been granted, or a Certification for Status of Fish Health that has been granted, shall expire. The </w:t>
      </w:r>
      <w:r>
        <w:rPr>
          <w:rStyle w:val="Emphasis"/>
        </w:rPr>
        <w:t>Guide for Certification of Status of a Facility and</w:t>
      </w:r>
      <w:r>
        <w:t xml:space="preserve"> </w:t>
      </w:r>
      <w:r>
        <w:rPr>
          <w:rStyle w:val="Emphasis"/>
        </w:rPr>
        <w:t xml:space="preserve">Status of Fish Health </w:t>
      </w:r>
      <w:r>
        <w:t xml:space="preserve">will be </w:t>
      </w:r>
      <w:r>
        <w:t>available from the Department and will be posted on Fisheries Division’s web site (http://www.michigan.gov/dnrfishing).</w:t>
      </w:r>
    </w:p>
    <w:p w:rsidR="00D25EFC" w:rsidRDefault="00A27A2B">
      <w:r>
        <w:t>Part A) Status of a Facility – Applicants who wish to keep Baitfish or live fish that are listed as Prohibited Fish Species, or Roe take</w:t>
      </w:r>
      <w:r>
        <w:t>n from fish that are listed as Prohibited Fish Species, in a facility shall have that facility reviewed by the Department to ensure that there is minimal risk to public waters of the State and that appropriate biological security measures are in effect for</w:t>
      </w:r>
      <w:r>
        <w:t xml:space="preserve"> the facility. The Department will review the results for each application under Part A) and respond to the applicant in writing with a letter of Certification for Status of a facility that either grants or denies the application and includes the Departmen</w:t>
      </w:r>
      <w:r>
        <w:t>t’s rationale for the decision as well as the actions necessary for achieving certification. This Part A) does not apply to: 1) an owner of an aquaculture facility regulated and permitted by theMichigan Department of Agriculture; 2) an owner of a State-lic</w:t>
      </w:r>
      <w:r>
        <w:t>ensed Baitfish retail operation; or 3) an owner of a State-licensed commercial fishing operation specifically for that part of the operation related to the sale for human consumption of Roe taken from fish that are listed as Prohibited Fish Species.</w:t>
      </w:r>
    </w:p>
    <w:p w:rsidR="00D25EFC" w:rsidRDefault="00A27A2B">
      <w:r>
        <w:t>Part B</w:t>
      </w:r>
      <w:r>
        <w:t>) Status of Fish Health – Applicants who wish to offer for sale or sell Baitfish or live fish that are listed as Prohibited Fish Species, or Roe taken from fish that are listed as Prohibited Fish Species, shall have those Baitfish or that Roe tested for ea</w:t>
      </w:r>
      <w:r>
        <w:t>ch Pathogen of concern by a certified laboratory that has been approved by the State of Michigan. Applicants shall submit the results of all tests to the Department. The Department will review the results for each application under Part B) and respond to t</w:t>
      </w:r>
      <w:r>
        <w:t>he applicant in writing with a letter of Certification for Status of Fish Health that contains a transaction number, and that either grants or denies the application and includes the Department’s rationale for the decision. This Part B) does not apply to a</w:t>
      </w:r>
      <w:r>
        <w:t>n owner of a State-licensed Baitfish retail operation or an owner of a State-licensed commercial fishing operation specifically for that part of the operation related to the sale for human consumption of Roe taken from fish that are listed as Prohibited Fi</w:t>
      </w:r>
      <w:r>
        <w:t>sh Species.</w:t>
      </w:r>
    </w:p>
    <w:p w:rsidR="00D25EFC" w:rsidRDefault="00A27A2B">
      <w:r>
        <w:t xml:space="preserve">5. A person shall not stock Baitfish or live fish that are listed as Prohibited Fish Species, or Roe taken from fish that are listed as Prohibited Fish Species, in holding facilities, ponds, or other waters that discharge into public waters of </w:t>
      </w:r>
      <w:r>
        <w:t>the State prior to completing Part A) of the Certification Process and receiving a letter of Certification for Status of a Facility from the Department permitting such activity. This Provision 4 does not apply to 1) an owner of an aquaculture facility regu</w:t>
      </w:r>
      <w:r>
        <w:t>lated and permitted by the Michigan Department of Agriculture; 2) an owner of a State-licensed Baitfish retail operation; or 3) an owner of a State-licensed commercial fishing operation specifically for that part of the operation related to the sale for hu</w:t>
      </w:r>
      <w:r>
        <w:t>man consumption of Roe taken from fish that are listed as Prohibited Fish Species.</w:t>
      </w:r>
    </w:p>
    <w:p w:rsidR="00D25EFC" w:rsidRDefault="00A27A2B">
      <w:r>
        <w:t>6. If an approved Certification for Status of a Facility is issued by the Department under Part A) of the Certification Process, an applicant shall carry that letter of Cert</w:t>
      </w:r>
      <w:r>
        <w:t>ification for Status of a Facility with them when transporting and stocking Baitfish or live fish that are listed as Prohibited Fish Species, or Roe taken from fish that are listed as Prohibited Fish Species, in holding facilities, ponds, or other waters t</w:t>
      </w:r>
      <w:r>
        <w:t>hat discharge into public waters of the State. That letter of Certification for Status of a Facility shall be shown upon request. This Provision 5 does not apply to 1) an owner of an aquaculture facility regulated and permitted by the Michigan Department o</w:t>
      </w:r>
      <w:r>
        <w:t xml:space="preserve">f Agriculture; 2) an owner of a </w:t>
      </w:r>
      <w:r>
        <w:lastRenderedPageBreak/>
        <w:t xml:space="preserve">State-licensed Baitfish retail operation; or 3) an owner of a State-licensed commercial fishing operation specifically for that part of the operation related to the sale for human consumption of Roe taken from fish that are </w:t>
      </w:r>
      <w:r>
        <w:t>listed as Prohibited Fish Species.</w:t>
      </w:r>
    </w:p>
    <w:p w:rsidR="00D25EFC" w:rsidRDefault="00A27A2B">
      <w:r>
        <w:t>7. A person shall not stock Baitfish or live fish that are listed as Prohibited Fish Species, or Roe taken from fish that are listed as Prohibited Fish Species, in public waters of the State prior to receiving a Fish Stoc</w:t>
      </w:r>
      <w:r>
        <w:t>king Permit from the Department permitting such activity.</w:t>
      </w:r>
    </w:p>
    <w:p w:rsidR="00D25EFC" w:rsidRDefault="00A27A2B">
      <w:r>
        <w:t xml:space="preserve">8. If an approved Fish Stocking Permit is issued by the Department, an applicant shall carry that Fish Stocking Permit with them when transporting and stocking Baitfish or live fish that are listed </w:t>
      </w:r>
      <w:r>
        <w:t>as Prohibited Fish Species, or Roe taken from fish that are listed as Prohibited Fish Species, in public waters of the State. That Fish Stocking Permit shall be shown upon request.</w:t>
      </w:r>
    </w:p>
    <w:p w:rsidR="00D25EFC" w:rsidRDefault="00A27A2B">
      <w:r>
        <w:t>9. Except as otherwise provided for in this Fish Disease Control Order, a p</w:t>
      </w:r>
      <w:r>
        <w:t xml:space="preserve">erson shall not offer for sale or sell any Baitfish or live fish that are listed as Prohibited Fish Species, or Roe taken from fish that are listed as Prohibited Fish Species, prior to completing Part B) of the Certification Process and receiving a letter </w:t>
      </w:r>
      <w:r>
        <w:t>of Certification for Status of Fish Health from the Department permitting such activity. This Provision 8 does not apply to an owner of a State-licensed Baitfish retail operation or an owner of a State-licensed commercial fishing operation specifically for</w:t>
      </w:r>
      <w:r>
        <w:t xml:space="preserve"> that part of the operation related to the sale for human consumption of Roe taken from fish that are listed as Prohibited Fish Species.</w:t>
      </w:r>
    </w:p>
    <w:p w:rsidR="00D25EFC" w:rsidRDefault="00A27A2B">
      <w:r>
        <w:t>10. If an approved Certification for Status of Fish Health is issued by the Department under Part B) of the Certificati</w:t>
      </w:r>
      <w:r>
        <w:t xml:space="preserve">on Process, an applicant shall carry that letter of Certification for Status of Fish Health with them when transporting, offering for sale, or selling Baitfish or live fish that are listed as Prohibited Fish Species, or Roe taken from fish that are listed </w:t>
      </w:r>
      <w:r>
        <w:t>as Prohibited Fish Species. That letter of Certification for Status of Fish Health shall be shown upon request. This Provision 9 does not apply to an owner of a State-licensed Baitfish retail operation or an owner of a State-licensed commercial fishing ope</w:t>
      </w:r>
      <w:r>
        <w:t>ration specifically for that part of the operation related to the sale for human consumption of Roe taken from fish that are listed as Prohibited Fish Species.</w:t>
      </w:r>
    </w:p>
    <w:p w:rsidR="00D25EFC" w:rsidRDefault="00A27A2B">
      <w:r>
        <w:t>11. An owner of a State-licensed Baitfish wholesale operation shall provide to each wholesale pu</w:t>
      </w:r>
      <w:r>
        <w:t xml:space="preserve">rchaser at the point of sale a copy of the receipt that contains specific information as identified by the Department in the </w:t>
      </w:r>
      <w:r>
        <w:rPr>
          <w:rStyle w:val="Emphasis"/>
        </w:rPr>
        <w:t>Guide for Certification of Status of a Facility and Status of Fish Health</w:t>
      </w:r>
      <w:r>
        <w:t>, as well as the transaction number from the letter of Cer</w:t>
      </w:r>
      <w:r>
        <w:t>tification for Status of Fish Health. An owner of a State licensed Baitfish wholesale operation shall retain the original receipts for at least one year after the date of sale. Receipts shall be shown upon request.</w:t>
      </w:r>
    </w:p>
    <w:p w:rsidR="00D25EFC" w:rsidRDefault="00A27A2B">
      <w:r>
        <w:t>12. A wholesale purchaser shall retain co</w:t>
      </w:r>
      <w:r>
        <w:t>pies of receipts for purchases from a State-licensed Baitfish wholesale operation for at least one year after the date of sale. Receipts shall be shown upon request.</w:t>
      </w:r>
    </w:p>
    <w:p w:rsidR="00D25EFC" w:rsidRDefault="00A27A2B">
      <w:r>
        <w:t>13. An owner of a State-licensed Baitfish retail operation shall provide to each retail cu</w:t>
      </w:r>
      <w:r>
        <w:t xml:space="preserve">stomer at the point of sale a receipt that contains specific information as identified by the Department in the </w:t>
      </w:r>
      <w:r>
        <w:rPr>
          <w:rStyle w:val="Emphasis"/>
        </w:rPr>
        <w:t>Guide for Certification of Status of a Facility and Status of Fish Health</w:t>
      </w:r>
      <w:r>
        <w:t>, as well as the transaction number from the letter of Certification fo</w:t>
      </w:r>
      <w:r>
        <w:t>r Status of Fish Health.</w:t>
      </w:r>
    </w:p>
    <w:p w:rsidR="00D25EFC" w:rsidRDefault="00A27A2B">
      <w:r>
        <w:lastRenderedPageBreak/>
        <w:t>14. A retail customer shall retain and show upon request the receipt for purchases of Baitfish or Roe from a State-licensed Baitfish retail operation. A receipt shall be valid for 14 days from the date of sale for all certified bai</w:t>
      </w:r>
      <w:r>
        <w:t>tfish, except frozen baitfish, and 3 days from the date of sale for all uncertified bait. Receipts for certified frozen baitfish shall be good for 6 months from the date of sale and original packaging showing certification status must be kept with the bait</w:t>
      </w:r>
      <w:r>
        <w:t>fish for verification. Receipts for uncertified frozen baitfish shall be valid for 3 days from the date of sale.</w:t>
      </w:r>
    </w:p>
    <w:p w:rsidR="00D25EFC" w:rsidRDefault="00A27A2B">
      <w:r>
        <w:t>15. All species of live fish and Roe maintained at a location by an owner of a State-licensed commercial fishing operation, an owner of a State</w:t>
      </w:r>
      <w:r>
        <w:t>-licensed Baitfish wholesale operation, or an owner of a State licensed Baitfish retail operation shall be considered uncertified if live fish that are listed as Prohibited Fish Species, or Roe taken from fish that are listed as Prohibited Fish Species, ar</w:t>
      </w:r>
      <w:r>
        <w:t>e also maintained at that location and those live fish or that Roe have not been approved as required under Part B) of the Certification Process.</w:t>
      </w:r>
    </w:p>
    <w:p w:rsidR="00D25EFC" w:rsidRDefault="00A27A2B">
      <w:r>
        <w:t>16. A person, who catches fish in a lake or a Great Lake, shall not release those fish alive in any public wat</w:t>
      </w:r>
      <w:r>
        <w:t>ers of the State if those fish are listed as Prohibited Fish Species, except that those fish may be released alive in that lake, or that Great Lake, or in a connecting body of water to that lake, or that Great Lake, so long as those fish can freely move be</w:t>
      </w:r>
      <w:r>
        <w:t>tween the original location of capture and the location of release. This Provision 15 does not apply to Baitfish.</w:t>
      </w:r>
    </w:p>
    <w:p w:rsidR="00D25EFC" w:rsidRDefault="00A27A2B">
      <w:r>
        <w:t>17. A person who catches fish in a stream shall not release those fish alive in any public waters of the State if those fish are listed as Pro</w:t>
      </w:r>
      <w:r>
        <w:t>hibited Fish Species, except that those fish may be released alive in any part of that stream, or in a connecting body of water to that stream, so long as those fish can freely move between the original location of capture and the location of release. This</w:t>
      </w:r>
      <w:r>
        <w:t xml:space="preserve"> Provision 16 does not apply to Baitfish.</w:t>
      </w:r>
    </w:p>
    <w:p w:rsidR="00D25EFC" w:rsidRDefault="00A27A2B">
      <w:r>
        <w:t>18. Except as further restricted in this Fish Disease Control Order, a person shall not use or otherwise release Baitfish that are listed as Prohibited Fish Species, or Roe harvested from fish that are listed as Pr</w:t>
      </w:r>
      <w:r>
        <w:t>ohibited Fish Species, in any public waters of the State, unless that person is fishing and those Baitfish or that Roe are attached to a hook.</w:t>
      </w:r>
    </w:p>
    <w:p w:rsidR="00D25EFC" w:rsidRDefault="00A27A2B">
      <w:r>
        <w:t>19. A person who trailers a boat over land shall drain all water from the live well(s) and the bilge of their boa</w:t>
      </w:r>
      <w:r>
        <w:t>t upon leaving any body of water.</w:t>
      </w:r>
    </w:p>
    <w:p w:rsidR="00D25EFC" w:rsidRDefault="00A27A2B">
      <w:r>
        <w:rPr>
          <w:rStyle w:val="Strong"/>
        </w:rPr>
        <w:t>SECTION I</w:t>
      </w:r>
      <w:r>
        <w:t xml:space="preserve"> – Viral Hemorrhagic Septicemia Virus (VHSv)</w:t>
      </w:r>
    </w:p>
    <w:p w:rsidR="00D25EFC" w:rsidRDefault="00A27A2B">
      <w:r>
        <w:t xml:space="preserve">Viral hemorrhagic septicemia virus (VHSv) is a disease of fish that has caused large-scale mortalities of fish in aquaculture operations in Europe, in certain </w:t>
      </w:r>
      <w:r>
        <w:t>populations of wild fish along the Pacific Coast of North America, and now in various populations of wild fish in several areas of the Great Lakes Basin. There are four known genetic types of the virus, three in Europe where VHSv originated and one in Nort</w:t>
      </w:r>
      <w:r>
        <w:t>h America. The genetic type found in the Great Lakes Basin (VHSv IVb) is most similar to the strain of VHSv previously isolated from the Atlantic Coast of Eastern North America. VHSv types I, II, and III have caused significant mortalities, particularly in</w:t>
      </w:r>
      <w:r>
        <w:t xml:space="preserve"> rainbow trout in European aquaculture facilities, and type IVa has caused large mortalities in Pacific herring in the Puget Sound area. In the Great Lakes Basin, VHSv IVb has caused mortalities in several species of wild fish inhabiting Lake Huron, the St</w:t>
      </w:r>
      <w:r>
        <w:t>. Clair River, Lake St. Clair, the Detroit River, Lake Erie, the Niagara River, Lake Ontario, and the St. Lawrence River, along with a few inland waters in the basin.</w:t>
      </w:r>
    </w:p>
    <w:p w:rsidR="00D25EFC" w:rsidRDefault="00A27A2B">
      <w:r>
        <w:lastRenderedPageBreak/>
        <w:t>On November 10, 2008, a Federal Interim Rule was issued by the Animal and Plant Health In</w:t>
      </w:r>
      <w:r>
        <w:t>spection Service of the US Department of Agriculture in an effort to prevent the spread of VHSv between States and between the U.S. and Canada, thus hopefully protecting economically important sport fisheries and aquaculture operations. This Fish Disease C</w:t>
      </w:r>
      <w:r>
        <w:t>ontrol Order is consistent with the Federal Interim Rule, and it provides for additional protections to slow the spread of VHSv throughout the Great Lakes and Inland Waters under the jurisdiction of Michigan that are not covered by the federal Emergency Or</w:t>
      </w:r>
      <w:r>
        <w:t>der (as amended).</w:t>
      </w:r>
    </w:p>
    <w:p w:rsidR="00D25EFC" w:rsidRDefault="00A27A2B">
      <w:r>
        <w:t>VHSv is likely to continue spreading in fish throughout the Great Lakes Basin via the natural movements of infected fish. Although the virus may take years to infect fish in Lake Superior, it could be rapidly moved by ships that discharge</w:t>
      </w:r>
      <w:r>
        <w:t xml:space="preserve"> untreated ballast water, the stocking of infected fish, or the unintended movement of water by boaters and anglers that contains either the virus itself or live fish that are infected with the virus. While containment and eradication of VHSv are likely no</w:t>
      </w:r>
      <w:r>
        <w:t>t possible, the regulations specified in this Fish Disease Control Order are necessary to slow the spread of VHSv, thus providing the time required to develop strategies for managing the Pathogen. The restrictions detailed below will help the Department to</w:t>
      </w:r>
      <w:r>
        <w:t xml:space="preserve"> 1) protect populations of wild fish in Inland Waters, and in several areas of the Great Lakes, that are not yet infected with the virus; 2) protect wild populations of fish used as broodstock for fisheries management, and 3) prevent the infection of fish </w:t>
      </w:r>
      <w:r>
        <w:t xml:space="preserve">being reared in State-owned fish hatcheries. </w:t>
      </w:r>
    </w:p>
    <w:p w:rsidR="00D25EFC" w:rsidRDefault="00A27A2B">
      <w:pPr>
        <w:rPr>
          <w:rStyle w:val="Strong"/>
        </w:rPr>
      </w:pPr>
      <w:r>
        <w:rPr>
          <w:rStyle w:val="Strong"/>
        </w:rPr>
        <w:t>Management Area Regulations for Viral Hemorrhagic Septicemia virus (VHSv)</w:t>
      </w:r>
    </w:p>
    <w:p w:rsidR="00D25EFC" w:rsidRDefault="00A27A2B">
      <w:pPr>
        <w:rPr>
          <w:rStyle w:val="Strong"/>
        </w:rPr>
      </w:pPr>
      <w:r>
        <w:rPr>
          <w:rStyle w:val="Strong"/>
        </w:rPr>
        <w:t>VHSv Positive Management Area</w:t>
      </w:r>
    </w:p>
    <w:p w:rsidR="00D25EFC" w:rsidRDefault="00A27A2B">
      <w:r>
        <w:t>On all waters designated within the VHSv Positive Management Area, the following regulations further restrict the transportation, sale, use, and release of Baitfish and fish that are listed as Prohibited Fish Species, and Roe taken from fish that are liste</w:t>
      </w:r>
      <w:r>
        <w:t xml:space="preserve">d as Prohibited Fish Species, that </w:t>
      </w:r>
      <w:r>
        <w:rPr>
          <w:b/>
          <w:bCs/>
        </w:rPr>
        <w:t xml:space="preserve">have not </w:t>
      </w:r>
      <w:r>
        <w:t>been approved as required under Part B) of the Certification Process.</w:t>
      </w:r>
    </w:p>
    <w:p w:rsidR="00D25EFC" w:rsidRDefault="00A27A2B">
      <w:pPr>
        <w:pBdr>
          <w:top w:val="single" w:sz="4" w:space="1" w:color="auto"/>
          <w:left w:val="single" w:sz="4" w:space="4" w:color="auto"/>
          <w:bottom w:val="single" w:sz="4" w:space="1" w:color="auto"/>
          <w:right w:val="single" w:sz="4" w:space="4" w:color="auto"/>
        </w:pBdr>
      </w:pPr>
      <w:r>
        <w:t>A person who catches Baitfish that are listed as Prohibited Fish Species, or harvests Roe from fish that are listed as Prohibited Fish Species</w:t>
      </w:r>
      <w:r>
        <w:t>, in a body of water that is included in the VHSv Positive Management Area shall not use or otherwise release those Baitfish or that Roe in any public waters of the State, except that those Baitfish or that Roe may be used in any waters included in the VHS</w:t>
      </w:r>
      <w:r>
        <w:t>v Positive Management Area subject to Provision 17 under the General Statewide Provisions.</w:t>
      </w:r>
    </w:p>
    <w:p w:rsidR="00D25EFC" w:rsidRDefault="00A27A2B">
      <w:pPr>
        <w:rPr>
          <w:rStyle w:val="Strong"/>
        </w:rPr>
      </w:pPr>
      <w:r>
        <w:rPr>
          <w:rStyle w:val="Strong"/>
        </w:rPr>
        <w:t>Recreational anglers</w:t>
      </w:r>
    </w:p>
    <w:p w:rsidR="00D25EFC" w:rsidRDefault="00A27A2B">
      <w:pPr>
        <w:pBdr>
          <w:top w:val="single" w:sz="4" w:space="1" w:color="auto"/>
          <w:left w:val="single" w:sz="4" w:space="4" w:color="auto"/>
          <w:bottom w:val="single" w:sz="4" w:space="1" w:color="auto"/>
          <w:right w:val="single" w:sz="4" w:space="4" w:color="auto"/>
        </w:pBdr>
      </w:pPr>
      <w:r>
        <w:t>1. A person who purchases Baitfish that are listed as Prohibited Fish Species, or purchases Roe from fish that are listed as Prohibited Fish Spe</w:t>
      </w:r>
      <w:r>
        <w:t xml:space="preserve">cies, shall not use or otherwise release those Baitfish or that Roe in any public waters of the State, except that those Baitfish or that Roe may be used in any waters included in the VHSv Positive Management Area subject to Provision 17 under the General </w:t>
      </w:r>
      <w:r>
        <w:t xml:space="preserve">Statewide Provisions. </w:t>
      </w:r>
    </w:p>
    <w:p w:rsidR="00D25EFC" w:rsidRDefault="00A27A2B">
      <w:pPr>
        <w:pBdr>
          <w:top w:val="single" w:sz="4" w:space="1" w:color="auto"/>
          <w:left w:val="single" w:sz="4" w:space="4" w:color="auto"/>
          <w:bottom w:val="single" w:sz="4" w:space="1" w:color="auto"/>
          <w:right w:val="single" w:sz="4" w:space="4" w:color="auto"/>
        </w:pBdr>
      </w:pPr>
      <w:r>
        <w:t>2. A person who catches Baitfish that are listed as Prohibited Fish Species, or harvests Roe from fish that are listed as Prohibited Fish Species, in a body of water that is included in the VHSv Positive Management Area shall not use</w:t>
      </w:r>
      <w:r>
        <w:t xml:space="preserve"> or otherwise release those Baitfish or that Roe in any public waters of the State, except that those Baitfish or that Roe may be used in any waters included in the VHSv Positive Management Area subject to Provision 17 under the General Statewide Provision</w:t>
      </w:r>
      <w:r>
        <w:t>s</w:t>
      </w:r>
    </w:p>
    <w:p w:rsidR="00D25EFC" w:rsidRDefault="00A27A2B">
      <w:pPr>
        <w:rPr>
          <w:rStyle w:val="Strong"/>
        </w:rPr>
      </w:pPr>
      <w:r>
        <w:rPr>
          <w:rStyle w:val="Strong"/>
        </w:rPr>
        <w:lastRenderedPageBreak/>
        <w:t>State-licensed Baitfish wholesale operations; State-licensed Baitfish retail operations</w:t>
      </w:r>
    </w:p>
    <w:p w:rsidR="00D25EFC" w:rsidRDefault="00A27A2B">
      <w:pPr>
        <w:pBdr>
          <w:top w:val="single" w:sz="4" w:space="1" w:color="auto"/>
          <w:left w:val="single" w:sz="4" w:space="4" w:color="auto"/>
          <w:bottom w:val="single" w:sz="4" w:space="1" w:color="auto"/>
          <w:right w:val="single" w:sz="4" w:space="4" w:color="auto"/>
        </w:pBdr>
      </w:pPr>
      <w:r>
        <w:t xml:space="preserve">1. An owner of a State-licensed Baitfish wholesale operation or a State-licensed Baitfish retail operation shall not transport Baitfish that are listed as Prohibited </w:t>
      </w:r>
      <w:r>
        <w:t xml:space="preserve">Fish Species, or Roe from fish that are listed as Prohibited Fish Species, if those Baitfish or that Roe has been harvested from a body of water that is included in the VHSv Positive Management Area, unless that owner has documentation demonstrating proof </w:t>
      </w:r>
      <w:r>
        <w:t>that those Baitfish or that Roe has been harvested from a body of water that is included in the VHSv Positive Management Area</w:t>
      </w:r>
    </w:p>
    <w:p w:rsidR="00D25EFC" w:rsidRDefault="00A27A2B">
      <w:pPr>
        <w:pBdr>
          <w:top w:val="single" w:sz="4" w:space="1" w:color="auto"/>
          <w:left w:val="single" w:sz="4" w:space="4" w:color="auto"/>
          <w:bottom w:val="single" w:sz="4" w:space="1" w:color="auto"/>
          <w:right w:val="single" w:sz="4" w:space="4" w:color="auto"/>
        </w:pBdr>
      </w:pPr>
      <w:r>
        <w:t>2. Written documentation demonstrating proof (water body, county, and date) that each species of Baitfish that are listed as Prohi</w:t>
      </w:r>
      <w:r>
        <w:t>bited Fish Species, or Roe from fish that are listed as Prohibited Fish Species, has been harvested from a body of water that is included in the VHSv Positive Management Area shall accompany all shipments of those Baitfish or that Roe, and that documentati</w:t>
      </w:r>
      <w:r>
        <w:t>on shall be shown upon request.</w:t>
      </w:r>
    </w:p>
    <w:p w:rsidR="00D25EFC" w:rsidRDefault="00A27A2B">
      <w:pPr>
        <w:pBdr>
          <w:top w:val="single" w:sz="4" w:space="1" w:color="auto"/>
          <w:left w:val="single" w:sz="4" w:space="4" w:color="auto"/>
          <w:bottom w:val="single" w:sz="4" w:space="1" w:color="auto"/>
          <w:right w:val="single" w:sz="4" w:space="4" w:color="auto"/>
        </w:pBdr>
      </w:pPr>
      <w:r>
        <w:t>3. An owner of a State-licensed Baitfish wholesale operation or a State-licensed Baitfish retail operation shall not offer for sale or sell Baitfish that are listed as Prohibited Fish Species, or Roe from fish that are liste</w:t>
      </w:r>
      <w:r>
        <w:t>d as Prohibited Fish Species, if those Baitfish or that Roe has been harvested from a body of water that is included in the VHSv Positive Management Area, unless that owner has clearly identified at the point of sale that those Baitfish or that Roe may onl</w:t>
      </w:r>
      <w:r>
        <w:t>y be used in a body of water that is included in the VHSv Positive Management Area.</w:t>
      </w:r>
    </w:p>
    <w:p w:rsidR="00D25EFC" w:rsidRDefault="00A27A2B">
      <w:pPr>
        <w:rPr>
          <w:rStyle w:val="Strong"/>
        </w:rPr>
      </w:pPr>
      <w:r>
        <w:rPr>
          <w:rStyle w:val="Strong"/>
        </w:rPr>
        <w:t>VHSv Surveillance Management Area</w:t>
      </w:r>
    </w:p>
    <w:p w:rsidR="00D25EFC" w:rsidRDefault="00A27A2B">
      <w:r>
        <w:t>On all waters designated within the VHSv Surveillance Management Area, the following regulations further restrict the transportation, sale</w:t>
      </w:r>
      <w:r>
        <w:t xml:space="preserve">, use, and release of Baitfish and fish that are listed as Prohibited Fish Species, and Roe taken from fish that are listed as Prohibited Fish Species, that </w:t>
      </w:r>
      <w:r>
        <w:rPr>
          <w:b/>
          <w:bCs/>
        </w:rPr>
        <w:t xml:space="preserve">have not </w:t>
      </w:r>
      <w:r>
        <w:t>been approved as required under Part B) of the Certification Process.</w:t>
      </w:r>
    </w:p>
    <w:p w:rsidR="00D25EFC" w:rsidRDefault="00A27A2B">
      <w:pPr>
        <w:rPr>
          <w:rStyle w:val="Strong"/>
        </w:rPr>
      </w:pPr>
      <w:r>
        <w:rPr>
          <w:rStyle w:val="Strong"/>
        </w:rPr>
        <w:t>Recreational anglers</w:t>
      </w:r>
    </w:p>
    <w:p w:rsidR="00D25EFC" w:rsidRDefault="00A27A2B">
      <w:pPr>
        <w:pBdr>
          <w:top w:val="single" w:sz="4" w:space="1" w:color="auto"/>
          <w:left w:val="single" w:sz="4" w:space="4" w:color="auto"/>
          <w:bottom w:val="single" w:sz="4" w:space="1" w:color="auto"/>
          <w:right w:val="single" w:sz="4" w:space="4" w:color="auto"/>
        </w:pBdr>
      </w:pPr>
      <w:r>
        <w:t>1. A person who catches Baitfish that are listed as Prohibited Fish Species, or harvests Roe from fish that are listed as Prohibited Fish Species in a body of water that is included in the VHSv Surveillance Management Area shall not use or otherwise relea</w:t>
      </w:r>
      <w:r>
        <w:t>se those Baitfish or that Roe in any public waters of the State, except that those Baitfish or that Roe may be used in any waters included in either the VHSv Positive Management Area or the VHSv Surveillance Management Area subject to Provision 17 under th</w:t>
      </w:r>
      <w:r>
        <w:t>e General Statewide Provisions.</w:t>
      </w:r>
    </w:p>
    <w:p w:rsidR="00D25EFC" w:rsidRDefault="00A27A2B">
      <w:pPr>
        <w:pBdr>
          <w:top w:val="single" w:sz="4" w:space="1" w:color="auto"/>
          <w:left w:val="single" w:sz="4" w:space="4" w:color="auto"/>
          <w:bottom w:val="single" w:sz="4" w:space="1" w:color="auto"/>
          <w:right w:val="single" w:sz="4" w:space="4" w:color="auto"/>
        </w:pBdr>
      </w:pPr>
      <w:r>
        <w:t>2. A person who purchases Baitfish that are listed as Prohibited Fish Species, or purchases Roe from fish that are listed as Prohibited Fish Species, shall not use or otherwise release those Baitfish or that Roe in any publi</w:t>
      </w:r>
      <w:r>
        <w:t>c waters of the State, except that those Baitfish or that Roe may be used in any waters included in either the VHSv Positive Management Area or the VHSv Surveillance Management Area subject to Provision 17 under the General Statewide Provisions.</w:t>
      </w:r>
    </w:p>
    <w:p w:rsidR="00D25EFC" w:rsidRDefault="00A27A2B">
      <w:pPr>
        <w:rPr>
          <w:rStyle w:val="Strong"/>
        </w:rPr>
      </w:pPr>
      <w:r>
        <w:rPr>
          <w:rStyle w:val="Strong"/>
        </w:rPr>
        <w:t>State-lice</w:t>
      </w:r>
      <w:r>
        <w:rPr>
          <w:rStyle w:val="Strong"/>
        </w:rPr>
        <w:t>nsed Baitfish wholesale operations; State-licensed Baitfish retail operations</w:t>
      </w:r>
    </w:p>
    <w:p w:rsidR="00D25EFC" w:rsidRDefault="00A27A2B">
      <w:pPr>
        <w:pBdr>
          <w:top w:val="single" w:sz="4" w:space="1" w:color="auto"/>
          <w:left w:val="single" w:sz="4" w:space="4" w:color="auto"/>
          <w:bottom w:val="single" w:sz="4" w:space="1" w:color="auto"/>
          <w:right w:val="single" w:sz="4" w:space="4" w:color="auto"/>
        </w:pBdr>
      </w:pPr>
      <w:r>
        <w:lastRenderedPageBreak/>
        <w:t>1. An owner of a State-licensed Baitfish wholesale operation or a State-licensed Baitfish retail operation shall not transport Baitfish that are listed as Prohibited Fish Species</w:t>
      </w:r>
      <w:r>
        <w:t>, or Roe from fish that are listed as Prohibited Fish Species, if those Baitfish or that Roe has been harvested from a body of water that is included in the VHSv Surveillance Management Area, unless that owner has documentation demonstrating proof that tho</w:t>
      </w:r>
      <w:r>
        <w:t>se Baitfish or that Roe has been harvested from a body of water that is included in the VHSv Surveillance Management Area.</w:t>
      </w:r>
    </w:p>
    <w:p w:rsidR="00D25EFC" w:rsidRDefault="00A27A2B">
      <w:pPr>
        <w:pBdr>
          <w:top w:val="single" w:sz="4" w:space="1" w:color="auto"/>
          <w:left w:val="single" w:sz="4" w:space="4" w:color="auto"/>
          <w:bottom w:val="single" w:sz="4" w:space="1" w:color="auto"/>
          <w:right w:val="single" w:sz="4" w:space="4" w:color="auto"/>
        </w:pBdr>
      </w:pPr>
      <w:r>
        <w:t>2. Written documentation demonstrating proof (water body, county, and date) that each species of Baitfish that are listed as Prohibit</w:t>
      </w:r>
      <w:r>
        <w:t>ed Fish Species, or Roe from fish that are listed as Prohibited Fish Species, has been harvested from a body of water that is included in the VHSv Surveillance Management Area shall accompany all shipments of those Baitfish or that Roe, and that documentat</w:t>
      </w:r>
      <w:r>
        <w:t>ion shall be shown upon request.</w:t>
      </w:r>
    </w:p>
    <w:p w:rsidR="00D25EFC" w:rsidRDefault="00A27A2B">
      <w:pPr>
        <w:pBdr>
          <w:top w:val="single" w:sz="4" w:space="1" w:color="auto"/>
          <w:left w:val="single" w:sz="4" w:space="4" w:color="auto"/>
          <w:bottom w:val="single" w:sz="4" w:space="1" w:color="auto"/>
          <w:right w:val="single" w:sz="4" w:space="4" w:color="auto"/>
        </w:pBdr>
      </w:pPr>
      <w:r>
        <w:t>3. An owner of a State-licensed Baitfish wholesale operation or a State-licensed Baitfish retail operation shall not offer for sale or sell Baitfish that are listed as Prohibited Fish Species, or Roe from fish that are list</w:t>
      </w:r>
      <w:r>
        <w:t>ed as Prohibited Fish Species, if those Baitfish or that Roe has been harvested from a body of water that is included in the VHSv Surveillance Management Area, unless that owner has clearly identified at the point of sale that those Baitfish or that Roe ma</w:t>
      </w:r>
      <w:r>
        <w:t>y only be used in a body of water that is included in either the VHSv Positive Management Area or the VHSv Surveillance Management Area</w:t>
      </w:r>
    </w:p>
    <w:p w:rsidR="00D25EFC" w:rsidRDefault="00A27A2B">
      <w:pPr>
        <w:rPr>
          <w:rStyle w:val="Strong"/>
        </w:rPr>
      </w:pPr>
      <w:r>
        <w:rPr>
          <w:rStyle w:val="Strong"/>
        </w:rPr>
        <w:t xml:space="preserve">VHSv Free Management Area </w:t>
      </w:r>
    </w:p>
    <w:p w:rsidR="00D25EFC" w:rsidRDefault="00A27A2B">
      <w:r>
        <w:t>On all waters designated within the VHSv Free Management Area, the following regulations appl</w:t>
      </w:r>
      <w:r>
        <w:t xml:space="preserve">y to the transportation, sale, use, and release of Baitfish and fish that are listed as Prohibited Fish Species, and Roe taken from fish that are listed as Prohibited Fish Species, that </w:t>
      </w:r>
      <w:r>
        <w:rPr>
          <w:b/>
          <w:bCs/>
        </w:rPr>
        <w:t xml:space="preserve">have not </w:t>
      </w:r>
      <w:r>
        <w:t xml:space="preserve">been approved as required under Part B) of the Certification </w:t>
      </w:r>
      <w:r>
        <w:t>Process.</w:t>
      </w:r>
    </w:p>
    <w:p w:rsidR="00D25EFC" w:rsidRDefault="00A27A2B">
      <w:pPr>
        <w:rPr>
          <w:rStyle w:val="Strong"/>
        </w:rPr>
      </w:pPr>
      <w:r>
        <w:rPr>
          <w:rStyle w:val="Strong"/>
        </w:rPr>
        <w:t>Recreational anglers</w:t>
      </w:r>
    </w:p>
    <w:p w:rsidR="00D25EFC" w:rsidRDefault="00A27A2B">
      <w:pPr>
        <w:pBdr>
          <w:top w:val="single" w:sz="4" w:space="1" w:color="auto"/>
          <w:left w:val="single" w:sz="4" w:space="4" w:color="auto"/>
          <w:bottom w:val="single" w:sz="4" w:space="1" w:color="auto"/>
          <w:right w:val="single" w:sz="4" w:space="4" w:color="auto"/>
        </w:pBdr>
      </w:pPr>
      <w:r>
        <w:t>1. A person who catches Baitfish that are listed as Prohibited Fish Species, or harvests Roe from fish that are listed as Prohibited Fish Species in a body of water that is included in the VHSv Free Management Area may use tho</w:t>
      </w:r>
      <w:r>
        <w:t xml:space="preserve">se Baitfish or that Roe in any public waters of the State, subject to Provision 17 under the General Statewide Provisions. </w:t>
      </w:r>
    </w:p>
    <w:p w:rsidR="00D25EFC" w:rsidRDefault="00A27A2B">
      <w:pPr>
        <w:pBdr>
          <w:top w:val="single" w:sz="4" w:space="1" w:color="auto"/>
          <w:left w:val="single" w:sz="4" w:space="4" w:color="auto"/>
          <w:bottom w:val="single" w:sz="4" w:space="1" w:color="auto"/>
          <w:right w:val="single" w:sz="4" w:space="4" w:color="auto"/>
        </w:pBdr>
        <w:rPr>
          <w:b/>
        </w:rPr>
      </w:pPr>
      <w:r>
        <w:t>2. A person who purchases Baitfish that are listed as Prohibited Fish Species, or purchases Roe from fish that are listed as Prohibi</w:t>
      </w:r>
      <w:r>
        <w:t>ted Fish Species, that has been harvested from a body of water included in the VHSv Free Management Area may use those Baitfish or that Roe in any public waters of the State, subject to Provision 17 under the General Statewide Provisions.</w:t>
      </w:r>
    </w:p>
    <w:p w:rsidR="00D25EFC" w:rsidRDefault="00A27A2B">
      <w:pPr>
        <w:rPr>
          <w:rStyle w:val="Strong"/>
        </w:rPr>
      </w:pPr>
      <w:r>
        <w:rPr>
          <w:rStyle w:val="Strong"/>
        </w:rPr>
        <w:t>State-licensed Ba</w:t>
      </w:r>
      <w:r>
        <w:rPr>
          <w:rStyle w:val="Strong"/>
        </w:rPr>
        <w:t>itfish wholesale operations; State-licensed Baitfish retail operations</w:t>
      </w:r>
    </w:p>
    <w:p w:rsidR="00D25EFC" w:rsidRDefault="00A27A2B">
      <w:pPr>
        <w:pBdr>
          <w:top w:val="single" w:sz="4" w:space="1" w:color="auto"/>
          <w:left w:val="single" w:sz="4" w:space="4" w:color="auto"/>
          <w:bottom w:val="single" w:sz="4" w:space="1" w:color="auto"/>
          <w:right w:val="single" w:sz="4" w:space="4" w:color="auto"/>
        </w:pBdr>
      </w:pPr>
      <w:r>
        <w:t>1. An owner of a State-licensed Baitfish wholesale operation or a State-licensed Baitfish retail operation may transport Baitfish that are listed as Prohibited Fish Species, or Roe from</w:t>
      </w:r>
      <w:r>
        <w:t xml:space="preserve"> fish that are listed as Prohibited Fish Species, so long as those Baitfish or that Roe has been harvested from a body of water that is included in the VHSv Free Management Area and that owner has documentation demonstrating proof that those Baitfish or th</w:t>
      </w:r>
      <w:r>
        <w:t xml:space="preserve">at </w:t>
      </w:r>
      <w:r>
        <w:lastRenderedPageBreak/>
        <w:t>Roe has been harvested from a body of water that is included in the VHSv Free Management Area.</w:t>
      </w:r>
    </w:p>
    <w:p w:rsidR="00D25EFC" w:rsidRDefault="00A27A2B">
      <w:pPr>
        <w:pBdr>
          <w:top w:val="single" w:sz="4" w:space="1" w:color="auto"/>
          <w:left w:val="single" w:sz="4" w:space="4" w:color="auto"/>
          <w:bottom w:val="single" w:sz="4" w:space="1" w:color="auto"/>
          <w:right w:val="single" w:sz="4" w:space="4" w:color="auto"/>
        </w:pBdr>
      </w:pPr>
      <w:r>
        <w:t>2. Documentation demonstrating proof that each species of Baitfish that are listed as Prohibited Fish Species, or Roe from fish that are listed as Prohibited Fish Species, has been harvested from a body of water that is included in the VHSv Free Management</w:t>
      </w:r>
      <w:r>
        <w:t xml:space="preserve"> Area shall accompany all shipments of those Baitfish or that Roe, and that documentation shall be shown upon request. </w:t>
      </w:r>
    </w:p>
    <w:p w:rsidR="00D25EFC" w:rsidRDefault="00A27A2B">
      <w:pPr>
        <w:pBdr>
          <w:top w:val="single" w:sz="4" w:space="1" w:color="auto"/>
          <w:left w:val="single" w:sz="4" w:space="4" w:color="auto"/>
          <w:bottom w:val="single" w:sz="4" w:space="1" w:color="auto"/>
          <w:right w:val="single" w:sz="4" w:space="4" w:color="auto"/>
        </w:pBdr>
      </w:pPr>
      <w:r>
        <w:t>3. An owner of a State-licensed Baitfish wholesale operation or a State-licensed Baitfish retail operation may offer for sale or sell Ba</w:t>
      </w:r>
      <w:r>
        <w:t>itfish that are listed as Prohibited Fish Species, or Roe from fish that are listed as Prohibited Fish Species, so long as those Baitfish or that Roe has been harvested from a body of water that is included in the VHSv Free Management Area and that owner h</w:t>
      </w:r>
      <w:r>
        <w:t>as clearly identified at the point of sale that those Baitfish or that Roe may be used in any waters of the State.</w:t>
      </w:r>
    </w:p>
    <w:p w:rsidR="00D25EFC" w:rsidRDefault="00A27A2B">
      <w:r>
        <w:t>This order shall be assigned number FO-245.09, and is entitled “Fish Disease Control.” If a discrepancy occurs between this Fish Disease Cont</w:t>
      </w:r>
      <w:r>
        <w:t xml:space="preserve">rol Order, FO-245.09, and other orders and laws currently in existence, then the more restrictive regulation shall take precedence. </w:t>
      </w:r>
    </w:p>
    <w:p w:rsidR="00D25EFC" w:rsidRDefault="00A27A2B">
      <w:r>
        <w:t xml:space="preserve">This order supersedes the order entitled “Fish Disease Control” effective April 1, 2008, and assigned number FO-245.08. </w:t>
      </w:r>
    </w:p>
    <w:p w:rsidR="00D25EFC" w:rsidRDefault="00A27A2B">
      <w:r>
        <w:t>Th</w:t>
      </w:r>
      <w:r>
        <w:t>is order shall take effect April 1, 2009, and shall remain effective through March 31, 2014.</w:t>
      </w:r>
    </w:p>
    <w:p w:rsidR="00D25EFC" w:rsidRDefault="00A27A2B">
      <w:pPr>
        <w:spacing w:after="0"/>
      </w:pPr>
      <w:r>
        <w:br w:type="page"/>
      </w:r>
    </w:p>
    <w:p w:rsidR="00D25EFC" w:rsidRDefault="00A27A2B">
      <w:pPr>
        <w:pStyle w:val="Heading3unnumbered"/>
      </w:pPr>
      <w:bookmarkStart w:id="196" w:name="_Toc408836369"/>
      <w:r>
        <w:lastRenderedPageBreak/>
        <w:t>Appendix E</w:t>
      </w:r>
      <w:bookmarkStart w:id="197" w:name="_Toc402970396"/>
      <w:r>
        <w:t>: Fish disease control order, FO-245</w:t>
      </w:r>
      <w:bookmarkEnd w:id="197"/>
      <w:bookmarkEnd w:id="196"/>
    </w:p>
    <w:p w:rsidR="00D25EFC" w:rsidRDefault="00A27A2B">
      <w:r>
        <w:t>The official list of Prohibited Fish Species for each Pathogen of concern as identified by the Department shall be</w:t>
      </w:r>
      <w:r>
        <w:t xml:space="preserve"> posted on Fisheries Division’s web site (http://www.michigan.gov/dnrfishing). This Appendix E, which contains the list of Prohibited Fish Species for each Pathogen of concern as identified by the Department of Natural Resources as of December 4, 2008, is </w:t>
      </w:r>
      <w:r>
        <w:t>incorporated by reference into this Fish Disease Control Order, FO- 245.</w:t>
      </w:r>
    </w:p>
    <w:p w:rsidR="00D25EFC" w:rsidRDefault="00A27A2B">
      <w:pPr>
        <w:pStyle w:val="Caption"/>
        <w:ind w:left="993"/>
      </w:pPr>
      <w:r>
        <w:t>Table E</w:t>
      </w:r>
      <w:fldSimple w:instr=" SEQ Table_E \* ARABIC ">
        <w:r>
          <w:rPr>
            <w:noProof/>
          </w:rPr>
          <w:t>1</w:t>
        </w:r>
      </w:fldSimple>
      <w:r>
        <w:tab/>
        <w:t>Prohibited Fish Species for each Pathogen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5"/>
        <w:gridCol w:w="3276"/>
        <w:gridCol w:w="2395"/>
      </w:tblGrid>
      <w:tr w:rsidR="00D25EFC">
        <w:trPr>
          <w:tblHeader/>
        </w:trPr>
        <w:tc>
          <w:tcPr>
            <w:tcW w:w="2845" w:type="dxa"/>
          </w:tcPr>
          <w:p w:rsidR="00D25EFC" w:rsidRDefault="00A27A2B">
            <w:pPr>
              <w:pStyle w:val="Tabletextcolumnheading"/>
            </w:pPr>
            <w:r>
              <w:t>Common name</w:t>
            </w:r>
          </w:p>
        </w:tc>
        <w:tc>
          <w:tcPr>
            <w:tcW w:w="3276" w:type="dxa"/>
          </w:tcPr>
          <w:p w:rsidR="00D25EFC" w:rsidRDefault="00A27A2B">
            <w:pPr>
              <w:pStyle w:val="Tabletextcolumnheading"/>
              <w:rPr>
                <w:szCs w:val="13"/>
              </w:rPr>
            </w:pPr>
            <w:r>
              <w:t xml:space="preserve">Prohibited Fish Species </w:t>
            </w:r>
            <w:r>
              <w:rPr>
                <w:szCs w:val="13"/>
              </w:rPr>
              <w:t>1</w:t>
            </w:r>
          </w:p>
          <w:p w:rsidR="00D25EFC" w:rsidRDefault="00A27A2B">
            <w:pPr>
              <w:pStyle w:val="Tabletextcolumnheading"/>
            </w:pPr>
            <w:r>
              <w:t>Scientific name</w:t>
            </w:r>
          </w:p>
        </w:tc>
        <w:tc>
          <w:tcPr>
            <w:tcW w:w="2395" w:type="dxa"/>
          </w:tcPr>
          <w:p w:rsidR="00D25EFC" w:rsidRDefault="00A27A2B">
            <w:pPr>
              <w:pStyle w:val="Tabletextcolumnheading"/>
            </w:pPr>
            <w:r>
              <w:t>Pathogen of concern Section I  VHSv</w:t>
            </w:r>
          </w:p>
        </w:tc>
      </w:tr>
      <w:tr w:rsidR="00D25EFC">
        <w:tc>
          <w:tcPr>
            <w:tcW w:w="2845" w:type="dxa"/>
          </w:tcPr>
          <w:p w:rsidR="00D25EFC" w:rsidRDefault="00A27A2B">
            <w:pPr>
              <w:pStyle w:val="tabletext"/>
            </w:pPr>
            <w:r>
              <w:t xml:space="preserve">Black crappie </w:t>
            </w:r>
          </w:p>
        </w:tc>
        <w:tc>
          <w:tcPr>
            <w:tcW w:w="3276" w:type="dxa"/>
          </w:tcPr>
          <w:p w:rsidR="00D25EFC" w:rsidRDefault="00A27A2B">
            <w:pPr>
              <w:pStyle w:val="tabletext"/>
              <w:rPr>
                <w:rStyle w:val="Emphasis"/>
              </w:rPr>
            </w:pPr>
            <w:r>
              <w:rPr>
                <w:rStyle w:val="Emphasis"/>
              </w:rPr>
              <w:t>Pomoxis nigromaculatus</w:t>
            </w:r>
          </w:p>
        </w:tc>
        <w:tc>
          <w:tcPr>
            <w:tcW w:w="2395" w:type="dxa"/>
          </w:tcPr>
          <w:p w:rsidR="00D25EFC" w:rsidRDefault="00A27A2B">
            <w:pPr>
              <w:pStyle w:val="tabletext"/>
            </w:pPr>
            <w:r>
              <w:t>X</w:t>
            </w:r>
          </w:p>
        </w:tc>
      </w:tr>
      <w:tr w:rsidR="00D25EFC">
        <w:tc>
          <w:tcPr>
            <w:tcW w:w="2845" w:type="dxa"/>
          </w:tcPr>
          <w:p w:rsidR="00D25EFC" w:rsidRDefault="00A27A2B">
            <w:pPr>
              <w:pStyle w:val="tabletext"/>
            </w:pPr>
            <w:r>
              <w:t xml:space="preserve">Bluegill </w:t>
            </w:r>
          </w:p>
        </w:tc>
        <w:tc>
          <w:tcPr>
            <w:tcW w:w="3276" w:type="dxa"/>
          </w:tcPr>
          <w:p w:rsidR="00D25EFC" w:rsidRDefault="00A27A2B">
            <w:pPr>
              <w:pStyle w:val="tabletext"/>
              <w:rPr>
                <w:rStyle w:val="Emphasis"/>
              </w:rPr>
            </w:pPr>
            <w:r>
              <w:rPr>
                <w:rStyle w:val="Emphasis"/>
              </w:rPr>
              <w:t>Lepomis macrochirus</w:t>
            </w:r>
          </w:p>
        </w:tc>
        <w:tc>
          <w:tcPr>
            <w:tcW w:w="2395" w:type="dxa"/>
          </w:tcPr>
          <w:p w:rsidR="00D25EFC" w:rsidRDefault="00A27A2B">
            <w:pPr>
              <w:pStyle w:val="tabletext"/>
            </w:pPr>
            <w:r>
              <w:t>X</w:t>
            </w:r>
          </w:p>
        </w:tc>
      </w:tr>
      <w:tr w:rsidR="00D25EFC">
        <w:tc>
          <w:tcPr>
            <w:tcW w:w="2845" w:type="dxa"/>
          </w:tcPr>
          <w:p w:rsidR="00D25EFC" w:rsidRDefault="00A27A2B">
            <w:pPr>
              <w:pStyle w:val="tabletext"/>
            </w:pPr>
            <w:r>
              <w:t xml:space="preserve">Bluntnose minnow </w:t>
            </w:r>
          </w:p>
        </w:tc>
        <w:tc>
          <w:tcPr>
            <w:tcW w:w="3276" w:type="dxa"/>
          </w:tcPr>
          <w:p w:rsidR="00D25EFC" w:rsidRDefault="00A27A2B">
            <w:pPr>
              <w:pStyle w:val="tabletext"/>
              <w:rPr>
                <w:rStyle w:val="Emphasis"/>
              </w:rPr>
            </w:pPr>
            <w:r>
              <w:rPr>
                <w:rStyle w:val="Emphasis"/>
              </w:rPr>
              <w:t>Pimephales notatus</w:t>
            </w:r>
          </w:p>
        </w:tc>
        <w:tc>
          <w:tcPr>
            <w:tcW w:w="2395" w:type="dxa"/>
          </w:tcPr>
          <w:p w:rsidR="00D25EFC" w:rsidRDefault="00A27A2B">
            <w:pPr>
              <w:pStyle w:val="tabletext"/>
            </w:pPr>
            <w:r>
              <w:t>X</w:t>
            </w:r>
          </w:p>
        </w:tc>
      </w:tr>
      <w:tr w:rsidR="00D25EFC">
        <w:tc>
          <w:tcPr>
            <w:tcW w:w="2845" w:type="dxa"/>
          </w:tcPr>
          <w:p w:rsidR="00D25EFC" w:rsidRDefault="00A27A2B">
            <w:pPr>
              <w:pStyle w:val="tabletext"/>
            </w:pPr>
            <w:r>
              <w:t xml:space="preserve">Brown bullhead </w:t>
            </w:r>
          </w:p>
        </w:tc>
        <w:tc>
          <w:tcPr>
            <w:tcW w:w="3276" w:type="dxa"/>
          </w:tcPr>
          <w:p w:rsidR="00D25EFC" w:rsidRDefault="00A27A2B">
            <w:pPr>
              <w:pStyle w:val="tabletext"/>
              <w:rPr>
                <w:rStyle w:val="Emphasis"/>
              </w:rPr>
            </w:pPr>
            <w:r>
              <w:rPr>
                <w:rStyle w:val="Emphasis"/>
              </w:rPr>
              <w:t>Ictalurus nebulosus</w:t>
            </w:r>
          </w:p>
        </w:tc>
        <w:tc>
          <w:tcPr>
            <w:tcW w:w="2395" w:type="dxa"/>
          </w:tcPr>
          <w:p w:rsidR="00D25EFC" w:rsidRDefault="00A27A2B">
            <w:pPr>
              <w:pStyle w:val="tabletext"/>
            </w:pPr>
            <w:r>
              <w:t>X</w:t>
            </w:r>
          </w:p>
        </w:tc>
      </w:tr>
      <w:tr w:rsidR="00D25EFC">
        <w:tc>
          <w:tcPr>
            <w:tcW w:w="2845" w:type="dxa"/>
          </w:tcPr>
          <w:p w:rsidR="00D25EFC" w:rsidRDefault="00A27A2B">
            <w:pPr>
              <w:pStyle w:val="tabletext"/>
            </w:pPr>
            <w:r>
              <w:t xml:space="preserve">Brown trout </w:t>
            </w:r>
          </w:p>
        </w:tc>
        <w:tc>
          <w:tcPr>
            <w:tcW w:w="3276" w:type="dxa"/>
          </w:tcPr>
          <w:p w:rsidR="00D25EFC" w:rsidRDefault="00A27A2B">
            <w:pPr>
              <w:pStyle w:val="tabletext"/>
              <w:rPr>
                <w:rStyle w:val="Emphasis"/>
              </w:rPr>
            </w:pPr>
            <w:r>
              <w:rPr>
                <w:rStyle w:val="Emphasis"/>
              </w:rPr>
              <w:t>Salmo trutta</w:t>
            </w:r>
          </w:p>
        </w:tc>
        <w:tc>
          <w:tcPr>
            <w:tcW w:w="2395" w:type="dxa"/>
          </w:tcPr>
          <w:p w:rsidR="00D25EFC" w:rsidRDefault="00A27A2B">
            <w:pPr>
              <w:pStyle w:val="tabletext"/>
            </w:pPr>
            <w:r>
              <w:t>X</w:t>
            </w:r>
          </w:p>
        </w:tc>
      </w:tr>
      <w:tr w:rsidR="00D25EFC">
        <w:tc>
          <w:tcPr>
            <w:tcW w:w="2845" w:type="dxa"/>
          </w:tcPr>
          <w:p w:rsidR="00D25EFC" w:rsidRDefault="00A27A2B">
            <w:pPr>
              <w:pStyle w:val="tabletext"/>
            </w:pPr>
            <w:r>
              <w:t xml:space="preserve">Burbot </w:t>
            </w:r>
          </w:p>
        </w:tc>
        <w:tc>
          <w:tcPr>
            <w:tcW w:w="3276" w:type="dxa"/>
          </w:tcPr>
          <w:p w:rsidR="00D25EFC" w:rsidRDefault="00A27A2B">
            <w:pPr>
              <w:pStyle w:val="tabletext"/>
              <w:rPr>
                <w:rStyle w:val="Emphasis"/>
              </w:rPr>
            </w:pPr>
            <w:r>
              <w:rPr>
                <w:rStyle w:val="Emphasis"/>
              </w:rPr>
              <w:t>Lota lota</w:t>
            </w:r>
          </w:p>
        </w:tc>
        <w:tc>
          <w:tcPr>
            <w:tcW w:w="2395" w:type="dxa"/>
          </w:tcPr>
          <w:p w:rsidR="00D25EFC" w:rsidRDefault="00A27A2B">
            <w:pPr>
              <w:pStyle w:val="tabletext"/>
            </w:pPr>
            <w:r>
              <w:t>X</w:t>
            </w:r>
          </w:p>
        </w:tc>
      </w:tr>
      <w:tr w:rsidR="00D25EFC">
        <w:tc>
          <w:tcPr>
            <w:tcW w:w="2845" w:type="dxa"/>
          </w:tcPr>
          <w:p w:rsidR="00D25EFC" w:rsidRDefault="00A27A2B">
            <w:pPr>
              <w:pStyle w:val="tabletext"/>
            </w:pPr>
            <w:r>
              <w:t xml:space="preserve">Channel catfish </w:t>
            </w:r>
          </w:p>
        </w:tc>
        <w:tc>
          <w:tcPr>
            <w:tcW w:w="3276" w:type="dxa"/>
          </w:tcPr>
          <w:p w:rsidR="00D25EFC" w:rsidRDefault="00A27A2B">
            <w:pPr>
              <w:pStyle w:val="tabletext"/>
              <w:rPr>
                <w:rStyle w:val="Emphasis"/>
              </w:rPr>
            </w:pPr>
            <w:r>
              <w:rPr>
                <w:rStyle w:val="Emphasis"/>
              </w:rPr>
              <w:t>Ictalurus punctatus</w:t>
            </w:r>
          </w:p>
        </w:tc>
        <w:tc>
          <w:tcPr>
            <w:tcW w:w="2395" w:type="dxa"/>
          </w:tcPr>
          <w:p w:rsidR="00D25EFC" w:rsidRDefault="00A27A2B">
            <w:pPr>
              <w:pStyle w:val="tabletext"/>
            </w:pPr>
            <w:r>
              <w:t>X</w:t>
            </w:r>
          </w:p>
        </w:tc>
      </w:tr>
      <w:tr w:rsidR="00D25EFC">
        <w:tc>
          <w:tcPr>
            <w:tcW w:w="2845" w:type="dxa"/>
          </w:tcPr>
          <w:p w:rsidR="00D25EFC" w:rsidRDefault="00A27A2B">
            <w:pPr>
              <w:pStyle w:val="tabletext"/>
            </w:pPr>
            <w:r>
              <w:t xml:space="preserve">Chinook salmon </w:t>
            </w:r>
          </w:p>
        </w:tc>
        <w:tc>
          <w:tcPr>
            <w:tcW w:w="3276" w:type="dxa"/>
          </w:tcPr>
          <w:p w:rsidR="00D25EFC" w:rsidRDefault="00A27A2B">
            <w:pPr>
              <w:pStyle w:val="tabletext"/>
              <w:rPr>
                <w:rStyle w:val="Emphasis"/>
              </w:rPr>
            </w:pPr>
            <w:r>
              <w:rPr>
                <w:rStyle w:val="Emphasis"/>
              </w:rPr>
              <w:t>Oncorhynchus</w:t>
            </w:r>
            <w:r>
              <w:rPr>
                <w:rStyle w:val="Emphasis"/>
              </w:rPr>
              <w:t xml:space="preserve"> tshawytscha</w:t>
            </w:r>
          </w:p>
        </w:tc>
        <w:tc>
          <w:tcPr>
            <w:tcW w:w="2395" w:type="dxa"/>
          </w:tcPr>
          <w:p w:rsidR="00D25EFC" w:rsidRDefault="00A27A2B">
            <w:pPr>
              <w:pStyle w:val="tabletext"/>
            </w:pPr>
            <w:r>
              <w:t>X</w:t>
            </w:r>
          </w:p>
        </w:tc>
      </w:tr>
      <w:tr w:rsidR="00D25EFC">
        <w:tc>
          <w:tcPr>
            <w:tcW w:w="2845" w:type="dxa"/>
          </w:tcPr>
          <w:p w:rsidR="00D25EFC" w:rsidRDefault="00A27A2B">
            <w:pPr>
              <w:pStyle w:val="tabletext"/>
            </w:pPr>
            <w:r>
              <w:t xml:space="preserve">Coho salmon </w:t>
            </w:r>
          </w:p>
        </w:tc>
        <w:tc>
          <w:tcPr>
            <w:tcW w:w="3276" w:type="dxa"/>
          </w:tcPr>
          <w:p w:rsidR="00D25EFC" w:rsidRDefault="00A27A2B">
            <w:pPr>
              <w:pStyle w:val="tabletext"/>
              <w:rPr>
                <w:rStyle w:val="Emphasis"/>
              </w:rPr>
            </w:pPr>
            <w:r>
              <w:rPr>
                <w:rStyle w:val="Emphasis"/>
              </w:rPr>
              <w:t>Oncorhynchus kisutch</w:t>
            </w:r>
          </w:p>
        </w:tc>
        <w:tc>
          <w:tcPr>
            <w:tcW w:w="2395" w:type="dxa"/>
          </w:tcPr>
          <w:p w:rsidR="00D25EFC" w:rsidRDefault="00A27A2B">
            <w:pPr>
              <w:pStyle w:val="tabletext"/>
            </w:pPr>
            <w:r>
              <w:t>X</w:t>
            </w:r>
          </w:p>
        </w:tc>
      </w:tr>
      <w:tr w:rsidR="00D25EFC">
        <w:tc>
          <w:tcPr>
            <w:tcW w:w="2845" w:type="dxa"/>
          </w:tcPr>
          <w:p w:rsidR="00D25EFC" w:rsidRDefault="00A27A2B">
            <w:pPr>
              <w:pStyle w:val="tabletext"/>
            </w:pPr>
            <w:r>
              <w:t xml:space="preserve">Emerald shiner </w:t>
            </w:r>
          </w:p>
        </w:tc>
        <w:tc>
          <w:tcPr>
            <w:tcW w:w="3276" w:type="dxa"/>
          </w:tcPr>
          <w:p w:rsidR="00D25EFC" w:rsidRDefault="00A27A2B">
            <w:pPr>
              <w:pStyle w:val="tabletext"/>
              <w:rPr>
                <w:rStyle w:val="Emphasis"/>
              </w:rPr>
            </w:pPr>
            <w:r>
              <w:rPr>
                <w:rStyle w:val="Emphasis"/>
              </w:rPr>
              <w:t>Notropis atherinoides</w:t>
            </w:r>
          </w:p>
        </w:tc>
        <w:tc>
          <w:tcPr>
            <w:tcW w:w="2395" w:type="dxa"/>
          </w:tcPr>
          <w:p w:rsidR="00D25EFC" w:rsidRDefault="00A27A2B">
            <w:pPr>
              <w:pStyle w:val="tabletext"/>
            </w:pPr>
            <w:r>
              <w:t>X</w:t>
            </w:r>
          </w:p>
        </w:tc>
      </w:tr>
      <w:tr w:rsidR="00D25EFC">
        <w:tc>
          <w:tcPr>
            <w:tcW w:w="2845" w:type="dxa"/>
          </w:tcPr>
          <w:p w:rsidR="00D25EFC" w:rsidRDefault="00A27A2B">
            <w:pPr>
              <w:pStyle w:val="tabletext"/>
            </w:pPr>
            <w:r>
              <w:t xml:space="preserve">Freshwater drum </w:t>
            </w:r>
          </w:p>
        </w:tc>
        <w:tc>
          <w:tcPr>
            <w:tcW w:w="3276" w:type="dxa"/>
          </w:tcPr>
          <w:p w:rsidR="00D25EFC" w:rsidRDefault="00A27A2B">
            <w:pPr>
              <w:pStyle w:val="tabletext"/>
              <w:rPr>
                <w:rStyle w:val="Emphasis"/>
              </w:rPr>
            </w:pPr>
            <w:r>
              <w:rPr>
                <w:rStyle w:val="Emphasis"/>
              </w:rPr>
              <w:t>Aplodinotus grunniens</w:t>
            </w:r>
          </w:p>
        </w:tc>
        <w:tc>
          <w:tcPr>
            <w:tcW w:w="2395" w:type="dxa"/>
          </w:tcPr>
          <w:p w:rsidR="00D25EFC" w:rsidRDefault="00A27A2B">
            <w:pPr>
              <w:pStyle w:val="tabletext"/>
            </w:pPr>
            <w:r>
              <w:t>X</w:t>
            </w:r>
          </w:p>
        </w:tc>
      </w:tr>
      <w:tr w:rsidR="00D25EFC">
        <w:tc>
          <w:tcPr>
            <w:tcW w:w="2845" w:type="dxa"/>
          </w:tcPr>
          <w:p w:rsidR="00D25EFC" w:rsidRDefault="00A27A2B">
            <w:pPr>
              <w:pStyle w:val="tabletext"/>
            </w:pPr>
            <w:r>
              <w:t xml:space="preserve">Gizzard shad </w:t>
            </w:r>
          </w:p>
        </w:tc>
        <w:tc>
          <w:tcPr>
            <w:tcW w:w="3276" w:type="dxa"/>
          </w:tcPr>
          <w:p w:rsidR="00D25EFC" w:rsidRDefault="00A27A2B">
            <w:pPr>
              <w:pStyle w:val="tabletext"/>
              <w:rPr>
                <w:rStyle w:val="Emphasis"/>
              </w:rPr>
            </w:pPr>
            <w:r>
              <w:rPr>
                <w:rStyle w:val="Emphasis"/>
              </w:rPr>
              <w:t>Dorosoma cepedianum</w:t>
            </w:r>
          </w:p>
        </w:tc>
        <w:tc>
          <w:tcPr>
            <w:tcW w:w="2395" w:type="dxa"/>
          </w:tcPr>
          <w:p w:rsidR="00D25EFC" w:rsidRDefault="00A27A2B">
            <w:pPr>
              <w:pStyle w:val="tabletext"/>
            </w:pPr>
            <w:r>
              <w:t>X</w:t>
            </w:r>
          </w:p>
        </w:tc>
      </w:tr>
      <w:tr w:rsidR="00D25EFC">
        <w:tc>
          <w:tcPr>
            <w:tcW w:w="2845" w:type="dxa"/>
          </w:tcPr>
          <w:p w:rsidR="00D25EFC" w:rsidRDefault="00A27A2B">
            <w:pPr>
              <w:pStyle w:val="tabletext"/>
            </w:pPr>
            <w:r>
              <w:t xml:space="preserve">Lake whitefish </w:t>
            </w:r>
          </w:p>
        </w:tc>
        <w:tc>
          <w:tcPr>
            <w:tcW w:w="3276" w:type="dxa"/>
          </w:tcPr>
          <w:p w:rsidR="00D25EFC" w:rsidRDefault="00A27A2B">
            <w:pPr>
              <w:pStyle w:val="tabletext"/>
              <w:rPr>
                <w:rStyle w:val="Emphasis"/>
              </w:rPr>
            </w:pPr>
            <w:r>
              <w:rPr>
                <w:rStyle w:val="Emphasis"/>
              </w:rPr>
              <w:t>Coregonus clupeaformis</w:t>
            </w:r>
          </w:p>
        </w:tc>
        <w:tc>
          <w:tcPr>
            <w:tcW w:w="2395" w:type="dxa"/>
          </w:tcPr>
          <w:p w:rsidR="00D25EFC" w:rsidRDefault="00A27A2B">
            <w:pPr>
              <w:pStyle w:val="tabletext"/>
            </w:pPr>
            <w:r>
              <w:t>X</w:t>
            </w:r>
          </w:p>
        </w:tc>
      </w:tr>
      <w:tr w:rsidR="00D25EFC">
        <w:tc>
          <w:tcPr>
            <w:tcW w:w="2845" w:type="dxa"/>
          </w:tcPr>
          <w:p w:rsidR="00D25EFC" w:rsidRDefault="00A27A2B">
            <w:pPr>
              <w:pStyle w:val="tabletext"/>
            </w:pPr>
            <w:r>
              <w:t xml:space="preserve">Largemouth bass </w:t>
            </w:r>
          </w:p>
        </w:tc>
        <w:tc>
          <w:tcPr>
            <w:tcW w:w="3276" w:type="dxa"/>
          </w:tcPr>
          <w:p w:rsidR="00D25EFC" w:rsidRDefault="00A27A2B">
            <w:pPr>
              <w:pStyle w:val="tabletext"/>
              <w:rPr>
                <w:rStyle w:val="Emphasis"/>
              </w:rPr>
            </w:pPr>
            <w:r>
              <w:rPr>
                <w:rStyle w:val="Emphasis"/>
              </w:rPr>
              <w:t>Micropterus salmoides</w:t>
            </w:r>
          </w:p>
        </w:tc>
        <w:tc>
          <w:tcPr>
            <w:tcW w:w="2395" w:type="dxa"/>
          </w:tcPr>
          <w:p w:rsidR="00D25EFC" w:rsidRDefault="00A27A2B">
            <w:pPr>
              <w:pStyle w:val="tabletext"/>
            </w:pPr>
            <w:r>
              <w:t>X</w:t>
            </w:r>
          </w:p>
        </w:tc>
      </w:tr>
      <w:tr w:rsidR="00D25EFC">
        <w:tc>
          <w:tcPr>
            <w:tcW w:w="2845" w:type="dxa"/>
          </w:tcPr>
          <w:p w:rsidR="00D25EFC" w:rsidRDefault="00A27A2B">
            <w:pPr>
              <w:pStyle w:val="tabletext"/>
            </w:pPr>
            <w:r>
              <w:t xml:space="preserve">Muskellunge </w:t>
            </w:r>
          </w:p>
        </w:tc>
        <w:tc>
          <w:tcPr>
            <w:tcW w:w="3276" w:type="dxa"/>
          </w:tcPr>
          <w:p w:rsidR="00D25EFC" w:rsidRDefault="00A27A2B">
            <w:pPr>
              <w:pStyle w:val="tabletext"/>
              <w:rPr>
                <w:rStyle w:val="Emphasis"/>
              </w:rPr>
            </w:pPr>
            <w:r>
              <w:rPr>
                <w:rStyle w:val="Emphasis"/>
              </w:rPr>
              <w:t>Esox masquinongy</w:t>
            </w:r>
          </w:p>
        </w:tc>
        <w:tc>
          <w:tcPr>
            <w:tcW w:w="2395" w:type="dxa"/>
          </w:tcPr>
          <w:p w:rsidR="00D25EFC" w:rsidRDefault="00A27A2B">
            <w:pPr>
              <w:pStyle w:val="tabletext"/>
            </w:pPr>
            <w:r>
              <w:t>X</w:t>
            </w:r>
          </w:p>
        </w:tc>
      </w:tr>
      <w:tr w:rsidR="00D25EFC">
        <w:tc>
          <w:tcPr>
            <w:tcW w:w="2845" w:type="dxa"/>
          </w:tcPr>
          <w:p w:rsidR="00D25EFC" w:rsidRDefault="00A27A2B">
            <w:pPr>
              <w:pStyle w:val="tabletext"/>
            </w:pPr>
            <w:r>
              <w:t xml:space="preserve">Northern pike </w:t>
            </w:r>
          </w:p>
        </w:tc>
        <w:tc>
          <w:tcPr>
            <w:tcW w:w="3276" w:type="dxa"/>
          </w:tcPr>
          <w:p w:rsidR="00D25EFC" w:rsidRDefault="00A27A2B">
            <w:pPr>
              <w:pStyle w:val="tabletext"/>
              <w:rPr>
                <w:rStyle w:val="Emphasis"/>
              </w:rPr>
            </w:pPr>
            <w:r>
              <w:rPr>
                <w:rStyle w:val="Emphasis"/>
              </w:rPr>
              <w:t>Esox lucius</w:t>
            </w:r>
          </w:p>
        </w:tc>
        <w:tc>
          <w:tcPr>
            <w:tcW w:w="2395" w:type="dxa"/>
          </w:tcPr>
          <w:p w:rsidR="00D25EFC" w:rsidRDefault="00A27A2B">
            <w:pPr>
              <w:pStyle w:val="tabletext"/>
            </w:pPr>
            <w:r>
              <w:t>X</w:t>
            </w:r>
          </w:p>
        </w:tc>
      </w:tr>
      <w:tr w:rsidR="00D25EFC">
        <w:tc>
          <w:tcPr>
            <w:tcW w:w="2845" w:type="dxa"/>
          </w:tcPr>
          <w:p w:rsidR="00D25EFC" w:rsidRDefault="00A27A2B">
            <w:pPr>
              <w:pStyle w:val="tabletext"/>
            </w:pPr>
            <w:r>
              <w:t xml:space="preserve">Pacific herring </w:t>
            </w:r>
          </w:p>
        </w:tc>
        <w:tc>
          <w:tcPr>
            <w:tcW w:w="3276" w:type="dxa"/>
          </w:tcPr>
          <w:p w:rsidR="00D25EFC" w:rsidRDefault="00A27A2B">
            <w:pPr>
              <w:pStyle w:val="tabletext"/>
              <w:rPr>
                <w:rStyle w:val="Emphasis"/>
              </w:rPr>
            </w:pPr>
            <w:r>
              <w:rPr>
                <w:rStyle w:val="Emphasis"/>
              </w:rPr>
              <w:t>Clupea pallasi</w:t>
            </w:r>
          </w:p>
        </w:tc>
        <w:tc>
          <w:tcPr>
            <w:tcW w:w="2395" w:type="dxa"/>
          </w:tcPr>
          <w:p w:rsidR="00D25EFC" w:rsidRDefault="00A27A2B">
            <w:pPr>
              <w:pStyle w:val="tabletext"/>
            </w:pPr>
            <w:r>
              <w:t>X</w:t>
            </w:r>
          </w:p>
        </w:tc>
      </w:tr>
      <w:tr w:rsidR="00D25EFC">
        <w:tc>
          <w:tcPr>
            <w:tcW w:w="2845" w:type="dxa"/>
          </w:tcPr>
          <w:p w:rsidR="00D25EFC" w:rsidRDefault="00A27A2B">
            <w:pPr>
              <w:pStyle w:val="tabletext"/>
            </w:pPr>
            <w:r>
              <w:t xml:space="preserve">Pink salmon </w:t>
            </w:r>
          </w:p>
        </w:tc>
        <w:tc>
          <w:tcPr>
            <w:tcW w:w="3276" w:type="dxa"/>
          </w:tcPr>
          <w:p w:rsidR="00D25EFC" w:rsidRDefault="00A27A2B">
            <w:pPr>
              <w:pStyle w:val="tabletext"/>
              <w:rPr>
                <w:rStyle w:val="Emphasis"/>
              </w:rPr>
            </w:pPr>
            <w:r>
              <w:rPr>
                <w:rStyle w:val="Emphasis"/>
              </w:rPr>
              <w:t>Onchorhynchus gorbuscha</w:t>
            </w:r>
          </w:p>
        </w:tc>
        <w:tc>
          <w:tcPr>
            <w:tcW w:w="2395" w:type="dxa"/>
          </w:tcPr>
          <w:p w:rsidR="00D25EFC" w:rsidRDefault="00A27A2B">
            <w:pPr>
              <w:pStyle w:val="tabletext"/>
            </w:pPr>
            <w:r>
              <w:t>X</w:t>
            </w:r>
          </w:p>
        </w:tc>
      </w:tr>
      <w:tr w:rsidR="00D25EFC">
        <w:tc>
          <w:tcPr>
            <w:tcW w:w="2845" w:type="dxa"/>
          </w:tcPr>
          <w:p w:rsidR="00D25EFC" w:rsidRDefault="00A27A2B">
            <w:pPr>
              <w:pStyle w:val="tabletext"/>
            </w:pPr>
            <w:r>
              <w:t xml:space="preserve">Pumpkinseed </w:t>
            </w:r>
          </w:p>
        </w:tc>
        <w:tc>
          <w:tcPr>
            <w:tcW w:w="3276" w:type="dxa"/>
          </w:tcPr>
          <w:p w:rsidR="00D25EFC" w:rsidRDefault="00A27A2B">
            <w:pPr>
              <w:pStyle w:val="tabletext"/>
              <w:rPr>
                <w:rStyle w:val="Emphasis"/>
              </w:rPr>
            </w:pPr>
            <w:r>
              <w:rPr>
                <w:rStyle w:val="Emphasis"/>
              </w:rPr>
              <w:t>Lepomis gibbosus</w:t>
            </w:r>
          </w:p>
        </w:tc>
        <w:tc>
          <w:tcPr>
            <w:tcW w:w="2395" w:type="dxa"/>
          </w:tcPr>
          <w:p w:rsidR="00D25EFC" w:rsidRDefault="00A27A2B">
            <w:pPr>
              <w:pStyle w:val="tabletext"/>
            </w:pPr>
            <w:r>
              <w:t>X</w:t>
            </w:r>
          </w:p>
        </w:tc>
      </w:tr>
      <w:tr w:rsidR="00D25EFC">
        <w:tc>
          <w:tcPr>
            <w:tcW w:w="2845" w:type="dxa"/>
          </w:tcPr>
          <w:p w:rsidR="00D25EFC" w:rsidRDefault="00A27A2B">
            <w:pPr>
              <w:pStyle w:val="tabletext"/>
            </w:pPr>
            <w:r>
              <w:t xml:space="preserve">Rainbow trout </w:t>
            </w:r>
          </w:p>
        </w:tc>
        <w:tc>
          <w:tcPr>
            <w:tcW w:w="3276" w:type="dxa"/>
          </w:tcPr>
          <w:p w:rsidR="00D25EFC" w:rsidRDefault="00A27A2B">
            <w:pPr>
              <w:pStyle w:val="tabletext"/>
              <w:rPr>
                <w:rStyle w:val="Emphasis"/>
              </w:rPr>
            </w:pPr>
            <w:r>
              <w:rPr>
                <w:rStyle w:val="Emphasis"/>
              </w:rPr>
              <w:t>Oncorhynchus mykiss</w:t>
            </w:r>
          </w:p>
        </w:tc>
        <w:tc>
          <w:tcPr>
            <w:tcW w:w="2395" w:type="dxa"/>
          </w:tcPr>
          <w:p w:rsidR="00D25EFC" w:rsidRDefault="00A27A2B">
            <w:pPr>
              <w:pStyle w:val="tabletext"/>
            </w:pPr>
            <w:r>
              <w:t>X</w:t>
            </w:r>
          </w:p>
        </w:tc>
      </w:tr>
      <w:tr w:rsidR="00D25EFC">
        <w:tc>
          <w:tcPr>
            <w:tcW w:w="2845" w:type="dxa"/>
          </w:tcPr>
          <w:p w:rsidR="00D25EFC" w:rsidRDefault="00A27A2B">
            <w:pPr>
              <w:pStyle w:val="tabletext"/>
            </w:pPr>
            <w:r>
              <w:t xml:space="preserve">Rock bass </w:t>
            </w:r>
          </w:p>
        </w:tc>
        <w:tc>
          <w:tcPr>
            <w:tcW w:w="3276" w:type="dxa"/>
          </w:tcPr>
          <w:p w:rsidR="00D25EFC" w:rsidRDefault="00A27A2B">
            <w:pPr>
              <w:pStyle w:val="tabletext"/>
              <w:rPr>
                <w:rStyle w:val="Emphasis"/>
              </w:rPr>
            </w:pPr>
            <w:r>
              <w:rPr>
                <w:rStyle w:val="Emphasis"/>
              </w:rPr>
              <w:t>Ambloplites rupestris</w:t>
            </w:r>
          </w:p>
        </w:tc>
        <w:tc>
          <w:tcPr>
            <w:tcW w:w="2395" w:type="dxa"/>
          </w:tcPr>
          <w:p w:rsidR="00D25EFC" w:rsidRDefault="00A27A2B">
            <w:pPr>
              <w:pStyle w:val="tabletext"/>
            </w:pPr>
            <w:r>
              <w:t>X</w:t>
            </w:r>
          </w:p>
        </w:tc>
      </w:tr>
      <w:tr w:rsidR="00D25EFC">
        <w:tc>
          <w:tcPr>
            <w:tcW w:w="2845" w:type="dxa"/>
          </w:tcPr>
          <w:p w:rsidR="00D25EFC" w:rsidRDefault="00A27A2B">
            <w:pPr>
              <w:pStyle w:val="tabletext"/>
            </w:pPr>
            <w:r>
              <w:t xml:space="preserve">Round goby </w:t>
            </w:r>
          </w:p>
        </w:tc>
        <w:tc>
          <w:tcPr>
            <w:tcW w:w="3276" w:type="dxa"/>
          </w:tcPr>
          <w:p w:rsidR="00D25EFC" w:rsidRDefault="00A27A2B">
            <w:pPr>
              <w:pStyle w:val="tabletext"/>
              <w:rPr>
                <w:rStyle w:val="Emphasis"/>
              </w:rPr>
            </w:pPr>
            <w:r>
              <w:rPr>
                <w:rStyle w:val="Emphasis"/>
              </w:rPr>
              <w:t>Neogobius melanostomus</w:t>
            </w:r>
          </w:p>
        </w:tc>
        <w:tc>
          <w:tcPr>
            <w:tcW w:w="2395" w:type="dxa"/>
          </w:tcPr>
          <w:p w:rsidR="00D25EFC" w:rsidRDefault="00A27A2B">
            <w:pPr>
              <w:pStyle w:val="tabletext"/>
            </w:pPr>
            <w:r>
              <w:t>X</w:t>
            </w:r>
          </w:p>
        </w:tc>
      </w:tr>
      <w:tr w:rsidR="00D25EFC">
        <w:tc>
          <w:tcPr>
            <w:tcW w:w="2845" w:type="dxa"/>
          </w:tcPr>
          <w:p w:rsidR="00D25EFC" w:rsidRDefault="00A27A2B">
            <w:pPr>
              <w:pStyle w:val="tabletext"/>
            </w:pPr>
            <w:r>
              <w:t xml:space="preserve">Shorthead redhorse </w:t>
            </w:r>
          </w:p>
        </w:tc>
        <w:tc>
          <w:tcPr>
            <w:tcW w:w="3276" w:type="dxa"/>
          </w:tcPr>
          <w:p w:rsidR="00D25EFC" w:rsidRDefault="00A27A2B">
            <w:pPr>
              <w:pStyle w:val="tabletext"/>
              <w:rPr>
                <w:rStyle w:val="Emphasis"/>
              </w:rPr>
            </w:pPr>
            <w:r>
              <w:rPr>
                <w:rStyle w:val="Emphasis"/>
              </w:rPr>
              <w:t>Moxostoma macrolepidotum</w:t>
            </w:r>
          </w:p>
        </w:tc>
        <w:tc>
          <w:tcPr>
            <w:tcW w:w="2395" w:type="dxa"/>
          </w:tcPr>
          <w:p w:rsidR="00D25EFC" w:rsidRDefault="00A27A2B">
            <w:pPr>
              <w:pStyle w:val="tabletext"/>
            </w:pPr>
            <w:r>
              <w:t>X</w:t>
            </w:r>
          </w:p>
        </w:tc>
      </w:tr>
      <w:tr w:rsidR="00D25EFC">
        <w:tc>
          <w:tcPr>
            <w:tcW w:w="2845" w:type="dxa"/>
          </w:tcPr>
          <w:p w:rsidR="00D25EFC" w:rsidRDefault="00A27A2B">
            <w:pPr>
              <w:pStyle w:val="tabletext"/>
            </w:pPr>
            <w:r>
              <w:t xml:space="preserve">Silver redhorse </w:t>
            </w:r>
          </w:p>
        </w:tc>
        <w:tc>
          <w:tcPr>
            <w:tcW w:w="3276" w:type="dxa"/>
          </w:tcPr>
          <w:p w:rsidR="00D25EFC" w:rsidRDefault="00A27A2B">
            <w:pPr>
              <w:pStyle w:val="tabletext"/>
              <w:rPr>
                <w:rStyle w:val="Emphasis"/>
              </w:rPr>
            </w:pPr>
            <w:r>
              <w:rPr>
                <w:rStyle w:val="Emphasis"/>
              </w:rPr>
              <w:t>Moxostoma anisurum</w:t>
            </w:r>
          </w:p>
        </w:tc>
        <w:tc>
          <w:tcPr>
            <w:tcW w:w="2395" w:type="dxa"/>
          </w:tcPr>
          <w:p w:rsidR="00D25EFC" w:rsidRDefault="00A27A2B">
            <w:pPr>
              <w:pStyle w:val="tabletext"/>
            </w:pPr>
            <w:r>
              <w:t>X</w:t>
            </w:r>
          </w:p>
        </w:tc>
      </w:tr>
      <w:tr w:rsidR="00D25EFC">
        <w:tc>
          <w:tcPr>
            <w:tcW w:w="2845" w:type="dxa"/>
          </w:tcPr>
          <w:p w:rsidR="00D25EFC" w:rsidRDefault="00A27A2B">
            <w:pPr>
              <w:pStyle w:val="tabletext"/>
            </w:pPr>
            <w:r>
              <w:t xml:space="preserve">Smallmouth bass </w:t>
            </w:r>
          </w:p>
        </w:tc>
        <w:tc>
          <w:tcPr>
            <w:tcW w:w="3276" w:type="dxa"/>
          </w:tcPr>
          <w:p w:rsidR="00D25EFC" w:rsidRDefault="00A27A2B">
            <w:pPr>
              <w:pStyle w:val="tabletext"/>
              <w:rPr>
                <w:rStyle w:val="Emphasis"/>
              </w:rPr>
            </w:pPr>
            <w:r>
              <w:rPr>
                <w:rStyle w:val="Emphasis"/>
              </w:rPr>
              <w:t>Micropterus dolomieu</w:t>
            </w:r>
          </w:p>
        </w:tc>
        <w:tc>
          <w:tcPr>
            <w:tcW w:w="2395" w:type="dxa"/>
          </w:tcPr>
          <w:p w:rsidR="00D25EFC" w:rsidRDefault="00A27A2B">
            <w:pPr>
              <w:pStyle w:val="tabletext"/>
            </w:pPr>
            <w:r>
              <w:t>X</w:t>
            </w:r>
          </w:p>
        </w:tc>
      </w:tr>
      <w:tr w:rsidR="00D25EFC">
        <w:tc>
          <w:tcPr>
            <w:tcW w:w="2845" w:type="dxa"/>
          </w:tcPr>
          <w:p w:rsidR="00D25EFC" w:rsidRDefault="00A27A2B">
            <w:pPr>
              <w:pStyle w:val="tabletext"/>
            </w:pPr>
            <w:r>
              <w:t xml:space="preserve">Spottail shiner </w:t>
            </w:r>
          </w:p>
        </w:tc>
        <w:tc>
          <w:tcPr>
            <w:tcW w:w="3276" w:type="dxa"/>
          </w:tcPr>
          <w:p w:rsidR="00D25EFC" w:rsidRDefault="00A27A2B">
            <w:pPr>
              <w:pStyle w:val="tabletext"/>
              <w:rPr>
                <w:rStyle w:val="Emphasis"/>
              </w:rPr>
            </w:pPr>
            <w:r>
              <w:rPr>
                <w:rStyle w:val="Emphasis"/>
              </w:rPr>
              <w:t>Notropis hudsonius</w:t>
            </w:r>
          </w:p>
        </w:tc>
        <w:tc>
          <w:tcPr>
            <w:tcW w:w="2395" w:type="dxa"/>
          </w:tcPr>
          <w:p w:rsidR="00D25EFC" w:rsidRDefault="00A27A2B">
            <w:pPr>
              <w:pStyle w:val="tabletext"/>
            </w:pPr>
            <w:r>
              <w:t>X</w:t>
            </w:r>
          </w:p>
        </w:tc>
      </w:tr>
      <w:tr w:rsidR="00D25EFC">
        <w:tc>
          <w:tcPr>
            <w:tcW w:w="2845" w:type="dxa"/>
          </w:tcPr>
          <w:p w:rsidR="00D25EFC" w:rsidRDefault="00A27A2B">
            <w:pPr>
              <w:pStyle w:val="tabletext"/>
            </w:pPr>
            <w:r>
              <w:t xml:space="preserve">Trout perch </w:t>
            </w:r>
          </w:p>
        </w:tc>
        <w:tc>
          <w:tcPr>
            <w:tcW w:w="3276" w:type="dxa"/>
          </w:tcPr>
          <w:p w:rsidR="00D25EFC" w:rsidRDefault="00A27A2B">
            <w:pPr>
              <w:pStyle w:val="tabletext"/>
              <w:rPr>
                <w:rStyle w:val="Emphasis"/>
              </w:rPr>
            </w:pPr>
            <w:r>
              <w:rPr>
                <w:rStyle w:val="Emphasis"/>
              </w:rPr>
              <w:t>Percopsis omiscomaycus</w:t>
            </w:r>
          </w:p>
        </w:tc>
        <w:tc>
          <w:tcPr>
            <w:tcW w:w="2395" w:type="dxa"/>
          </w:tcPr>
          <w:p w:rsidR="00D25EFC" w:rsidRDefault="00A27A2B">
            <w:pPr>
              <w:pStyle w:val="tabletext"/>
            </w:pPr>
            <w:r>
              <w:t>X</w:t>
            </w:r>
          </w:p>
        </w:tc>
      </w:tr>
      <w:tr w:rsidR="00D25EFC">
        <w:tc>
          <w:tcPr>
            <w:tcW w:w="2845" w:type="dxa"/>
          </w:tcPr>
          <w:p w:rsidR="00D25EFC" w:rsidRDefault="00A27A2B">
            <w:pPr>
              <w:pStyle w:val="tabletext"/>
            </w:pPr>
            <w:r>
              <w:t xml:space="preserve">Walleye </w:t>
            </w:r>
          </w:p>
        </w:tc>
        <w:tc>
          <w:tcPr>
            <w:tcW w:w="3276" w:type="dxa"/>
          </w:tcPr>
          <w:p w:rsidR="00D25EFC" w:rsidRDefault="00A27A2B">
            <w:pPr>
              <w:pStyle w:val="tabletext"/>
              <w:rPr>
                <w:rStyle w:val="Emphasis"/>
              </w:rPr>
            </w:pPr>
            <w:r>
              <w:rPr>
                <w:rStyle w:val="Emphasis"/>
              </w:rPr>
              <w:t>Sander vitreus</w:t>
            </w:r>
          </w:p>
        </w:tc>
        <w:tc>
          <w:tcPr>
            <w:tcW w:w="2395" w:type="dxa"/>
          </w:tcPr>
          <w:p w:rsidR="00D25EFC" w:rsidRDefault="00A27A2B">
            <w:pPr>
              <w:pStyle w:val="tabletext"/>
            </w:pPr>
            <w:r>
              <w:t>X</w:t>
            </w:r>
          </w:p>
        </w:tc>
      </w:tr>
      <w:tr w:rsidR="00D25EFC">
        <w:tc>
          <w:tcPr>
            <w:tcW w:w="2845" w:type="dxa"/>
          </w:tcPr>
          <w:p w:rsidR="00D25EFC" w:rsidRDefault="00A27A2B">
            <w:pPr>
              <w:pStyle w:val="tabletext"/>
            </w:pPr>
            <w:r>
              <w:t xml:space="preserve">White bass </w:t>
            </w:r>
          </w:p>
        </w:tc>
        <w:tc>
          <w:tcPr>
            <w:tcW w:w="3276" w:type="dxa"/>
          </w:tcPr>
          <w:p w:rsidR="00D25EFC" w:rsidRDefault="00A27A2B">
            <w:pPr>
              <w:pStyle w:val="tabletext"/>
              <w:rPr>
                <w:rStyle w:val="Emphasis"/>
              </w:rPr>
            </w:pPr>
            <w:r>
              <w:rPr>
                <w:rStyle w:val="Emphasis"/>
              </w:rPr>
              <w:t>Morone chrysops</w:t>
            </w:r>
          </w:p>
        </w:tc>
        <w:tc>
          <w:tcPr>
            <w:tcW w:w="2395" w:type="dxa"/>
          </w:tcPr>
          <w:p w:rsidR="00D25EFC" w:rsidRDefault="00A27A2B">
            <w:pPr>
              <w:pStyle w:val="tabletext"/>
            </w:pPr>
            <w:r>
              <w:t>X</w:t>
            </w:r>
          </w:p>
        </w:tc>
      </w:tr>
      <w:tr w:rsidR="00D25EFC">
        <w:tc>
          <w:tcPr>
            <w:tcW w:w="2845" w:type="dxa"/>
          </w:tcPr>
          <w:p w:rsidR="00D25EFC" w:rsidRDefault="00A27A2B">
            <w:pPr>
              <w:pStyle w:val="tabletext"/>
            </w:pPr>
            <w:r>
              <w:t xml:space="preserve">White perch </w:t>
            </w:r>
          </w:p>
        </w:tc>
        <w:tc>
          <w:tcPr>
            <w:tcW w:w="3276" w:type="dxa"/>
          </w:tcPr>
          <w:p w:rsidR="00D25EFC" w:rsidRDefault="00A27A2B">
            <w:pPr>
              <w:pStyle w:val="tabletext"/>
              <w:rPr>
                <w:rStyle w:val="Emphasis"/>
              </w:rPr>
            </w:pPr>
            <w:r>
              <w:rPr>
                <w:rStyle w:val="Emphasis"/>
              </w:rPr>
              <w:t>Morone Americana</w:t>
            </w:r>
          </w:p>
        </w:tc>
        <w:tc>
          <w:tcPr>
            <w:tcW w:w="2395" w:type="dxa"/>
          </w:tcPr>
          <w:p w:rsidR="00D25EFC" w:rsidRDefault="00A27A2B">
            <w:pPr>
              <w:pStyle w:val="tabletext"/>
            </w:pPr>
            <w:r>
              <w:t>X</w:t>
            </w:r>
          </w:p>
        </w:tc>
      </w:tr>
      <w:tr w:rsidR="00D25EFC">
        <w:tc>
          <w:tcPr>
            <w:tcW w:w="2845" w:type="dxa"/>
          </w:tcPr>
          <w:p w:rsidR="00D25EFC" w:rsidRDefault="00A27A2B">
            <w:pPr>
              <w:pStyle w:val="tabletext"/>
            </w:pPr>
            <w:r>
              <w:t xml:space="preserve">White sucker </w:t>
            </w:r>
          </w:p>
        </w:tc>
        <w:tc>
          <w:tcPr>
            <w:tcW w:w="3276" w:type="dxa"/>
          </w:tcPr>
          <w:p w:rsidR="00D25EFC" w:rsidRDefault="00A27A2B">
            <w:pPr>
              <w:pStyle w:val="tabletext"/>
              <w:rPr>
                <w:rStyle w:val="Emphasis"/>
              </w:rPr>
            </w:pPr>
            <w:r>
              <w:rPr>
                <w:rStyle w:val="Emphasis"/>
              </w:rPr>
              <w:t>Catostomus commersonii</w:t>
            </w:r>
          </w:p>
        </w:tc>
        <w:tc>
          <w:tcPr>
            <w:tcW w:w="2395" w:type="dxa"/>
          </w:tcPr>
          <w:p w:rsidR="00D25EFC" w:rsidRDefault="00A27A2B">
            <w:pPr>
              <w:pStyle w:val="tabletext"/>
            </w:pPr>
            <w:r>
              <w:t>X</w:t>
            </w:r>
          </w:p>
        </w:tc>
      </w:tr>
      <w:tr w:rsidR="00D25EFC">
        <w:tc>
          <w:tcPr>
            <w:tcW w:w="2845" w:type="dxa"/>
          </w:tcPr>
          <w:p w:rsidR="00D25EFC" w:rsidRDefault="00A27A2B">
            <w:pPr>
              <w:pStyle w:val="tabletext"/>
            </w:pPr>
            <w:r>
              <w:t xml:space="preserve">Yellow perch </w:t>
            </w:r>
          </w:p>
        </w:tc>
        <w:tc>
          <w:tcPr>
            <w:tcW w:w="3276" w:type="dxa"/>
          </w:tcPr>
          <w:p w:rsidR="00D25EFC" w:rsidRDefault="00A27A2B">
            <w:pPr>
              <w:pStyle w:val="tabletext"/>
              <w:rPr>
                <w:rStyle w:val="Emphasis"/>
              </w:rPr>
            </w:pPr>
            <w:r>
              <w:rPr>
                <w:rStyle w:val="Emphasis"/>
              </w:rPr>
              <w:t>Perca flavescens</w:t>
            </w:r>
          </w:p>
        </w:tc>
        <w:tc>
          <w:tcPr>
            <w:tcW w:w="2395" w:type="dxa"/>
          </w:tcPr>
          <w:p w:rsidR="00D25EFC" w:rsidRDefault="00A27A2B">
            <w:pPr>
              <w:pStyle w:val="tabletext"/>
            </w:pPr>
            <w:r>
              <w:t>X</w:t>
            </w:r>
          </w:p>
        </w:tc>
      </w:tr>
    </w:tbl>
    <w:p w:rsidR="00D25EFC" w:rsidRDefault="00A27A2B">
      <w:pPr>
        <w:spacing w:after="0"/>
      </w:pPr>
      <w:bookmarkStart w:id="198" w:name="_Toc402970397"/>
      <w:r>
        <w:t>Note: An “</w:t>
      </w:r>
      <w:r>
        <w:rPr>
          <w:b/>
          <w:bCs/>
        </w:rPr>
        <w:t>X</w:t>
      </w:r>
      <w:r>
        <w:t>” for a species of fish under each Section/named Pathogen signifies that the species has been identified by the Department as infected with that Pathogen of concern. Such species of fish are therefore subject to the restrictions imposed by this Fish Disease Control Order, FO-245.</w:t>
      </w:r>
      <w:r>
        <w:br w:type="page"/>
      </w:r>
    </w:p>
    <w:p w:rsidR="00D25EFC" w:rsidRDefault="00A27A2B">
      <w:pPr>
        <w:pStyle w:val="Heading3unnumbered"/>
      </w:pPr>
      <w:bookmarkStart w:id="199" w:name="_Toc408836370"/>
      <w:r>
        <w:lastRenderedPageBreak/>
        <w:t>Appendix F: Fish disease control order, FO-245</w:t>
      </w:r>
      <w:bookmarkEnd w:id="198"/>
      <w:bookmarkEnd w:id="199"/>
    </w:p>
    <w:p w:rsidR="00D25EFC" w:rsidRDefault="00A27A2B">
      <w:r>
        <w:t xml:space="preserve">The official </w:t>
      </w:r>
      <w:r>
        <w:t>list of waters classified by Named Pathogen Management Area for each Pathogen of concern as identified by the Department shall be posted on Fisheries Division’s web site (http://www.michigan.gov/dnrfishing). This Appendix B, which contains the list of wate</w:t>
      </w:r>
      <w:r>
        <w:t>rs classified by Named Pathogen Management Area for each Pathogen of concern as identified by the Department of Natural Resources as of December 4, 2008, is incorporated by reference into this Fish Disease Control Order, FO-245.</w:t>
      </w:r>
    </w:p>
    <w:p w:rsidR="00D25EFC" w:rsidRDefault="00A27A2B">
      <w:r>
        <w:rPr>
          <w:rStyle w:val="Strong"/>
        </w:rPr>
        <w:t>SECTION I</w:t>
      </w:r>
      <w:r>
        <w:t xml:space="preserve"> – Viral Hemorrhag</w:t>
      </w:r>
      <w:r>
        <w:t>ic Septicemia Virus (VHSv)</w:t>
      </w:r>
    </w:p>
    <w:p w:rsidR="00D25EFC" w:rsidRDefault="00A27A2B">
      <w:pPr>
        <w:rPr>
          <w:rStyle w:val="Strong"/>
        </w:rPr>
      </w:pPr>
      <w:r>
        <w:rPr>
          <w:rStyle w:val="Strong"/>
        </w:rPr>
        <w:t>VHSv Positive Management Area</w:t>
      </w:r>
    </w:p>
    <w:p w:rsidR="00D25EFC" w:rsidRDefault="00A27A2B">
      <w:r>
        <w:t>Lake Huron including Saginaw Bay, the St. Clair River, Lake St. Clair, the Detroit River, and Lake Erie are classified as a VHSv Positive Management Area. All tributaries to Lake Huron including Sagi</w:t>
      </w:r>
      <w:r>
        <w:t>naw Bay, to the St. Clair River, to Lake St. Clair, to the Detroit River, and to Lake Erie are classified as a VHSv Positive Management Area in their entirety or from their confluence upstream to the first barrier that prevents the upstream passage of fish</w:t>
      </w:r>
      <w:r>
        <w:t xml:space="preserve"> if such a barrier exists. VHSv has been documented in Budd Lake (Clare County) resulting in its addition to the VHSv Positive Management Area.</w:t>
      </w:r>
    </w:p>
    <w:p w:rsidR="00D25EFC" w:rsidRDefault="00A27A2B">
      <w:pPr>
        <w:rPr>
          <w:rStyle w:val="Strong"/>
        </w:rPr>
      </w:pPr>
      <w:r>
        <w:rPr>
          <w:rStyle w:val="Strong"/>
        </w:rPr>
        <w:t>VHSv Surveillance Management Area</w:t>
      </w:r>
    </w:p>
    <w:p w:rsidR="00D25EFC" w:rsidRDefault="00A27A2B">
      <w:r>
        <w:t>Lake Michigan including Grand Traverse bays and bays de Noc, and the St. Marys</w:t>
      </w:r>
      <w:r>
        <w:t xml:space="preserve"> River are classified as a VHSv Surveillance Management Area. All tributaries to Lake Michigan including Grand Traverse bays and bays de Noc, and to the St. Marys River are classified as a VHSv Surveillance Management Area in their entirety or from their c</w:t>
      </w:r>
      <w:r>
        <w:t>onfluence upstream to the first barrier that prevents the upstream passage of fish if such a barrier exists. All Inland Waters in the watersheds of Lake Huron including Saginaw Bay, of the St. Clair River, of Lake St. Clair, of the Detroit River, and of La</w:t>
      </w:r>
      <w:r>
        <w:t>ke Erie are classified as a VHSv Surveillance Management Area, except for those tributaries to Lake Huron including Saginaw Bay, to the St. Clair River, to Lake St. Clair, to the Detroit River, and to Lake Erie that are classified as a VHSv Positive Manage</w:t>
      </w:r>
      <w:r>
        <w:t>ment Area.</w:t>
      </w:r>
    </w:p>
    <w:p w:rsidR="00D25EFC" w:rsidRDefault="00A27A2B">
      <w:pPr>
        <w:rPr>
          <w:rStyle w:val="Strong"/>
        </w:rPr>
      </w:pPr>
      <w:r>
        <w:rPr>
          <w:rStyle w:val="Strong"/>
        </w:rPr>
        <w:t>VHSv Free Management Area</w:t>
      </w:r>
    </w:p>
    <w:p w:rsidR="00D25EFC" w:rsidRDefault="00A27A2B">
      <w:r>
        <w:t>Lake Superior and all Inland Waters in the watersheds of Lake Superior are classified as a VHSv Free Management Area. All Inland Waters in the watersheds of Lake Michigan including Grand Traverse bays and bays de Noc, a</w:t>
      </w:r>
      <w:r>
        <w:t>nd of the St. Marys River are classified as a VHSv Free Management Area, except for those tributaries to Lake Michigan including Grand Traverse bays and bays de Noc, and to the St. Marys River that are classified as a VHSv Surveillance Management Area.</w:t>
      </w:r>
    </w:p>
    <w:p w:rsidR="00D25EFC" w:rsidRDefault="00A27A2B">
      <w:pPr>
        <w:pStyle w:val="Caption"/>
        <w:ind w:left="993"/>
      </w:pPr>
      <w:bookmarkStart w:id="200" w:name="_Toc408392320"/>
      <w:bookmarkStart w:id="201" w:name="_Toc408393232"/>
      <w:r>
        <w:lastRenderedPageBreak/>
        <w:t>Fig</w:t>
      </w:r>
      <w:r>
        <w:t>ure F</w:t>
      </w:r>
      <w:fldSimple w:instr=" SEQ Figure_F \* ARABIC ">
        <w:r>
          <w:rPr>
            <w:noProof/>
          </w:rPr>
          <w:t>1</w:t>
        </w:r>
      </w:fldSimple>
      <w:r>
        <w:tab/>
        <w:t>VHSV poster – Michigan DNR, USA</w:t>
      </w:r>
      <w:bookmarkEnd w:id="200"/>
      <w:bookmarkEnd w:id="201"/>
    </w:p>
    <w:p w:rsidR="00D25EFC" w:rsidRDefault="00A27A2B">
      <w:pPr>
        <w:jc w:val="both"/>
      </w:pPr>
      <w:r>
        <w:rPr>
          <w:noProof/>
        </w:rPr>
        <w:drawing>
          <wp:inline distT="0" distB="0" distL="0" distR="0">
            <wp:extent cx="5121990" cy="7543800"/>
            <wp:effectExtent l="19050" t="0" r="2460" b="0"/>
            <wp:docPr id="7" name="Picture 1" descr="Michigan state poster for VHS awar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igan state poster for VHS awareness"/>
                    <pic:cNvPicPr>
                      <a:picLocks noChangeAspect="1" noChangeArrowheads="1"/>
                    </pic:cNvPicPr>
                  </pic:nvPicPr>
                  <pic:blipFill>
                    <a:blip r:embed="rId22"/>
                    <a:srcRect/>
                    <a:stretch>
                      <a:fillRect/>
                    </a:stretch>
                  </pic:blipFill>
                  <pic:spPr bwMode="auto">
                    <a:xfrm>
                      <a:off x="0" y="0"/>
                      <a:ext cx="5121990" cy="7543800"/>
                    </a:xfrm>
                    <a:prstGeom prst="rect">
                      <a:avLst/>
                    </a:prstGeom>
                    <a:noFill/>
                    <a:ln w="9525">
                      <a:noFill/>
                      <a:miter lim="800000"/>
                      <a:headEnd/>
                      <a:tailEnd/>
                    </a:ln>
                  </pic:spPr>
                </pic:pic>
              </a:graphicData>
            </a:graphic>
          </wp:inline>
        </w:drawing>
      </w:r>
    </w:p>
    <w:p w:rsidR="00D25EFC" w:rsidRDefault="00A27A2B">
      <w:pPr>
        <w:pStyle w:val="Caption"/>
        <w:ind w:left="993"/>
      </w:pPr>
      <w:bookmarkStart w:id="202" w:name="_Toc408392321"/>
      <w:bookmarkStart w:id="203" w:name="_Toc408393233"/>
      <w:r>
        <w:lastRenderedPageBreak/>
        <w:t>Figure F</w:t>
      </w:r>
      <w:fldSimple w:instr=" SEQ Figure_F \* ARABIC ">
        <w:r>
          <w:rPr>
            <w:noProof/>
          </w:rPr>
          <w:t>2</w:t>
        </w:r>
      </w:fldSimple>
      <w:r>
        <w:tab/>
        <w:t>VHSV brochure – MN, USA</w:t>
      </w:r>
      <w:bookmarkEnd w:id="202"/>
      <w:bookmarkEnd w:id="203"/>
    </w:p>
    <w:p w:rsidR="00D25EFC" w:rsidRDefault="00A27A2B">
      <w:r>
        <w:rPr>
          <w:noProof/>
        </w:rPr>
        <w:drawing>
          <wp:inline distT="0" distB="0" distL="0" distR="0">
            <wp:extent cx="5724525" cy="3838575"/>
            <wp:effectExtent l="19050" t="0" r="9525" b="0"/>
            <wp:docPr id="6" name="Picture 2" descr="VHS awareness poster from Minnesota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HS awareness poster from Minnesota USA"/>
                    <pic:cNvPicPr>
                      <a:picLocks noChangeAspect="1" noChangeArrowheads="1"/>
                    </pic:cNvPicPr>
                  </pic:nvPicPr>
                  <pic:blipFill>
                    <a:blip r:embed="rId23"/>
                    <a:srcRect/>
                    <a:stretch>
                      <a:fillRect/>
                    </a:stretch>
                  </pic:blipFill>
                  <pic:spPr bwMode="auto">
                    <a:xfrm>
                      <a:off x="0" y="0"/>
                      <a:ext cx="5724525" cy="3838575"/>
                    </a:xfrm>
                    <a:prstGeom prst="rect">
                      <a:avLst/>
                    </a:prstGeom>
                    <a:noFill/>
                    <a:ln w="9525">
                      <a:noFill/>
                      <a:miter lim="800000"/>
                      <a:headEnd/>
                      <a:tailEnd/>
                    </a:ln>
                  </pic:spPr>
                </pic:pic>
              </a:graphicData>
            </a:graphic>
          </wp:inline>
        </w:drawing>
      </w:r>
    </w:p>
    <w:p w:rsidR="00D25EFC" w:rsidRDefault="00A27A2B">
      <w:r>
        <w:rPr>
          <w:noProof/>
        </w:rPr>
        <w:drawing>
          <wp:inline distT="0" distB="0" distL="0" distR="0">
            <wp:extent cx="5734050" cy="3438525"/>
            <wp:effectExtent l="19050" t="0" r="0" b="0"/>
            <wp:docPr id="4" name="Picture 3" descr="VHS awareness poster from Minnesota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HS awareness poster from Minnesota USA"/>
                    <pic:cNvPicPr>
                      <a:picLocks noChangeAspect="1" noChangeArrowheads="1"/>
                    </pic:cNvPicPr>
                  </pic:nvPicPr>
                  <pic:blipFill>
                    <a:blip r:embed="rId24"/>
                    <a:srcRect/>
                    <a:stretch>
                      <a:fillRect/>
                    </a:stretch>
                  </pic:blipFill>
                  <pic:spPr bwMode="auto">
                    <a:xfrm>
                      <a:off x="0" y="0"/>
                      <a:ext cx="5734050" cy="3438525"/>
                    </a:xfrm>
                    <a:prstGeom prst="rect">
                      <a:avLst/>
                    </a:prstGeom>
                    <a:noFill/>
                    <a:ln w="9525">
                      <a:noFill/>
                      <a:miter lim="800000"/>
                      <a:headEnd/>
                      <a:tailEnd/>
                    </a:ln>
                  </pic:spPr>
                </pic:pic>
              </a:graphicData>
            </a:graphic>
          </wp:inline>
        </w:drawing>
      </w:r>
    </w:p>
    <w:p w:rsidR="00D25EFC" w:rsidRDefault="00A27A2B">
      <w:pPr>
        <w:pStyle w:val="Heading3unnumbered"/>
      </w:pPr>
      <w:r>
        <w:br w:type="page"/>
      </w:r>
      <w:bookmarkStart w:id="204" w:name="_Toc402970398"/>
      <w:bookmarkStart w:id="205" w:name="_Toc408388687"/>
      <w:bookmarkStart w:id="206" w:name="_Toc408836371"/>
      <w:bookmarkStart w:id="207" w:name="_Toc220988322"/>
      <w:r>
        <w:lastRenderedPageBreak/>
        <w:t>Glossary</w:t>
      </w:r>
      <w:bookmarkEnd w:id="204"/>
      <w:bookmarkEnd w:id="205"/>
      <w:bookmarkEnd w:id="206"/>
    </w:p>
    <w:tbl>
      <w:tblPr>
        <w:tblW w:w="0" w:type="auto"/>
        <w:tblLook w:val="04A0"/>
      </w:tblPr>
      <w:tblGrid>
        <w:gridCol w:w="2599"/>
        <w:gridCol w:w="5917"/>
      </w:tblGrid>
      <w:tr w:rsidR="00D25EFC">
        <w:trPr>
          <w:cantSplit/>
        </w:trPr>
        <w:tc>
          <w:tcPr>
            <w:tcW w:w="3168" w:type="dxa"/>
          </w:tcPr>
          <w:p w:rsidR="00D25EFC" w:rsidRDefault="00A27A2B">
            <w:pPr>
              <w:rPr>
                <w:rFonts w:eastAsia="Calibri"/>
              </w:rPr>
            </w:pPr>
            <w:r>
              <w:t>ACVO</w:t>
            </w:r>
          </w:p>
        </w:tc>
        <w:tc>
          <w:tcPr>
            <w:tcW w:w="6075" w:type="dxa"/>
          </w:tcPr>
          <w:p w:rsidR="00D25EFC" w:rsidRDefault="00A27A2B">
            <w:pPr>
              <w:rPr>
                <w:rFonts w:eastAsia="Calibri"/>
              </w:rPr>
            </w:pPr>
            <w:r>
              <w:t>Australian Chief Veterinary Officer. The nominated senior veterinarian in the Australian Government Departme</w:t>
            </w:r>
            <w:r>
              <w:t xml:space="preserve">nt of Agriculture who manages international animal health commitments and the Australian Government’s response to an animal disease outbreak. </w:t>
            </w:r>
            <w:r>
              <w:rPr>
                <w:rStyle w:val="Emphasis"/>
              </w:rPr>
              <w:t xml:space="preserve">See also </w:t>
            </w:r>
            <w:r>
              <w:t>CVO.</w:t>
            </w:r>
          </w:p>
        </w:tc>
      </w:tr>
      <w:tr w:rsidR="00D25EFC">
        <w:trPr>
          <w:cantSplit/>
        </w:trPr>
        <w:tc>
          <w:tcPr>
            <w:tcW w:w="3168" w:type="dxa"/>
          </w:tcPr>
          <w:p w:rsidR="00D25EFC" w:rsidRDefault="00A27A2B">
            <w:pPr>
              <w:rPr>
                <w:rFonts w:eastAsia="Calibri"/>
              </w:rPr>
            </w:pPr>
            <w:r>
              <w:t>Anaemia</w:t>
            </w:r>
          </w:p>
        </w:tc>
        <w:tc>
          <w:tcPr>
            <w:tcW w:w="6075" w:type="dxa"/>
          </w:tcPr>
          <w:p w:rsidR="00D25EFC" w:rsidRDefault="00A27A2B">
            <w:pPr>
              <w:rPr>
                <w:rFonts w:eastAsia="Calibri"/>
              </w:rPr>
            </w:pPr>
            <w:r>
              <w:t>A decrease in the normal number of red blood cells.</w:t>
            </w:r>
          </w:p>
        </w:tc>
      </w:tr>
      <w:tr w:rsidR="00D25EFC">
        <w:trPr>
          <w:cantSplit/>
        </w:trPr>
        <w:tc>
          <w:tcPr>
            <w:tcW w:w="3168" w:type="dxa"/>
          </w:tcPr>
          <w:p w:rsidR="00D25EFC" w:rsidRDefault="00A27A2B">
            <w:pPr>
              <w:rPr>
                <w:rFonts w:eastAsia="Calibri"/>
              </w:rPr>
            </w:pPr>
            <w:r>
              <w:t>AQUAVETPLAN</w:t>
            </w:r>
          </w:p>
        </w:tc>
        <w:tc>
          <w:tcPr>
            <w:tcW w:w="6075" w:type="dxa"/>
          </w:tcPr>
          <w:p w:rsidR="00D25EFC" w:rsidRDefault="00A27A2B">
            <w:pPr>
              <w:rPr>
                <w:rFonts w:eastAsia="Calibri"/>
              </w:rPr>
            </w:pPr>
            <w:r>
              <w:rPr>
                <w:rFonts w:cs="BookAntiqua-Italic"/>
                <w:iCs/>
              </w:rPr>
              <w:t>A</w:t>
            </w:r>
            <w:r>
              <w:t>ustralian A</w:t>
            </w:r>
            <w:r>
              <w:rPr>
                <w:rFonts w:cs="BookAntiqua-Italic"/>
                <w:iCs/>
              </w:rPr>
              <w:t>qua</w:t>
            </w:r>
            <w:r>
              <w:t xml:space="preserve">tic </w:t>
            </w:r>
            <w:r>
              <w:rPr>
                <w:rFonts w:cs="BookAntiqua-Italic"/>
                <w:iCs/>
              </w:rPr>
              <w:t>Vet</w:t>
            </w:r>
            <w:r>
              <w:t xml:space="preserve">erinary Emergency </w:t>
            </w:r>
            <w:r>
              <w:rPr>
                <w:rFonts w:cs="BookAntiqua-Italic"/>
                <w:iCs/>
              </w:rPr>
              <w:t>Plan</w:t>
            </w:r>
            <w:r>
              <w:t xml:space="preserve">. </w:t>
            </w:r>
            <w:r>
              <w:rPr>
                <w:rFonts w:cs="Arial"/>
              </w:rPr>
              <w:t>A series of technical response and control plans that outline the proposed Australian approach to an emergency aquatic animal disease incident. The plans provide guidance based on sound analysis, linking policy, strategy, implementa</w:t>
            </w:r>
            <w:r>
              <w:rPr>
                <w:rFonts w:cs="Arial"/>
              </w:rPr>
              <w:t xml:space="preserve">tion, coordination and emergency management components. </w:t>
            </w:r>
            <w:r>
              <w:rPr>
                <w:rStyle w:val="Emphasis"/>
              </w:rPr>
              <w:t>See also</w:t>
            </w:r>
            <w:r>
              <w:rPr>
                <w:rFonts w:cs="Arial"/>
              </w:rPr>
              <w:t xml:space="preserve"> AUSVETPLAN.</w:t>
            </w:r>
          </w:p>
        </w:tc>
      </w:tr>
      <w:tr w:rsidR="00D25EFC">
        <w:trPr>
          <w:cantSplit/>
        </w:trPr>
        <w:tc>
          <w:tcPr>
            <w:tcW w:w="3168" w:type="dxa"/>
          </w:tcPr>
          <w:p w:rsidR="00D25EFC" w:rsidRDefault="00A27A2B">
            <w:pPr>
              <w:rPr>
                <w:rFonts w:eastAsia="Calibri"/>
              </w:rPr>
            </w:pPr>
            <w:r>
              <w:t>AUSVETPLAN</w:t>
            </w:r>
          </w:p>
        </w:tc>
        <w:tc>
          <w:tcPr>
            <w:tcW w:w="6075" w:type="dxa"/>
          </w:tcPr>
          <w:p w:rsidR="00D25EFC" w:rsidRDefault="00A27A2B">
            <w:pPr>
              <w:rPr>
                <w:rFonts w:eastAsia="Calibri"/>
              </w:rPr>
            </w:pPr>
            <w:r>
              <w:rPr>
                <w:rFonts w:cs="BookAntiqua-Italic"/>
                <w:iCs/>
              </w:rPr>
              <w:t>Aus</w:t>
            </w:r>
            <w:r>
              <w:t xml:space="preserve">tralian </w:t>
            </w:r>
            <w:r>
              <w:rPr>
                <w:rFonts w:cs="BookAntiqua-Italic"/>
                <w:iCs/>
              </w:rPr>
              <w:t>Vet</w:t>
            </w:r>
            <w:r>
              <w:t xml:space="preserve">erinary Emergency </w:t>
            </w:r>
            <w:r>
              <w:rPr>
                <w:rFonts w:cs="BookAntiqua-Italic"/>
                <w:iCs/>
              </w:rPr>
              <w:t>Plan</w:t>
            </w:r>
            <w:r>
              <w:t xml:space="preserve">. A series of technical response plans that describe the proposed Australian approach to an emergency animal disease incident. The </w:t>
            </w:r>
            <w:r>
              <w:t>documents provide guidance based on sound analysis, linking policy, strategies, implementation, coordination and emergency management components.</w:t>
            </w:r>
          </w:p>
        </w:tc>
      </w:tr>
      <w:tr w:rsidR="00D25EFC">
        <w:trPr>
          <w:cantSplit/>
        </w:trPr>
        <w:tc>
          <w:tcPr>
            <w:tcW w:w="3168" w:type="dxa"/>
          </w:tcPr>
          <w:p w:rsidR="00D25EFC" w:rsidRDefault="00A27A2B">
            <w:pPr>
              <w:rPr>
                <w:rFonts w:eastAsia="Calibri"/>
              </w:rPr>
            </w:pPr>
            <w:r>
              <w:t>CCEAD</w:t>
            </w:r>
          </w:p>
        </w:tc>
        <w:tc>
          <w:tcPr>
            <w:tcW w:w="6075" w:type="dxa"/>
          </w:tcPr>
          <w:p w:rsidR="00D25EFC" w:rsidRDefault="00A27A2B">
            <w:pPr>
              <w:rPr>
                <w:rFonts w:eastAsia="Calibri"/>
              </w:rPr>
            </w:pPr>
            <w:r>
              <w:t>Consultative Committee on Emergency Animal Diseases. AqCCEAD: Aquatic Consultative Committee on Emergen</w:t>
            </w:r>
            <w:r>
              <w:t>cy Animal Diseases.</w:t>
            </w:r>
          </w:p>
        </w:tc>
      </w:tr>
      <w:tr w:rsidR="00D25EFC">
        <w:trPr>
          <w:cantSplit/>
        </w:trPr>
        <w:tc>
          <w:tcPr>
            <w:tcW w:w="3168" w:type="dxa"/>
          </w:tcPr>
          <w:p w:rsidR="00D25EFC" w:rsidRDefault="00A27A2B">
            <w:pPr>
              <w:rPr>
                <w:rFonts w:eastAsia="Calibri"/>
              </w:rPr>
            </w:pPr>
            <w:r>
              <w:t>Compensation</w:t>
            </w:r>
          </w:p>
        </w:tc>
        <w:tc>
          <w:tcPr>
            <w:tcW w:w="6075" w:type="dxa"/>
          </w:tcPr>
          <w:p w:rsidR="00D25EFC" w:rsidRDefault="00A27A2B">
            <w:pPr>
              <w:rPr>
                <w:rFonts w:eastAsia="Calibri"/>
              </w:rPr>
            </w:pPr>
            <w:r>
              <w:t>The sum of money paid by government to an owner for stock and/or property that is destroyed, possibly compulsorily, because of an emergency animal disease.</w:t>
            </w:r>
          </w:p>
        </w:tc>
      </w:tr>
      <w:tr w:rsidR="00D25EFC">
        <w:trPr>
          <w:cantSplit/>
        </w:trPr>
        <w:tc>
          <w:tcPr>
            <w:tcW w:w="3168" w:type="dxa"/>
          </w:tcPr>
          <w:p w:rsidR="00D25EFC" w:rsidRDefault="00A27A2B">
            <w:pPr>
              <w:rPr>
                <w:rFonts w:eastAsia="Calibri"/>
              </w:rPr>
            </w:pPr>
            <w:r>
              <w:t>Control area</w:t>
            </w:r>
          </w:p>
        </w:tc>
        <w:tc>
          <w:tcPr>
            <w:tcW w:w="6075" w:type="dxa"/>
          </w:tcPr>
          <w:p w:rsidR="00D25EFC" w:rsidRDefault="00A27A2B">
            <w:pPr>
              <w:rPr>
                <w:rFonts w:eastAsia="Calibri" w:cs="BookAntiqua"/>
              </w:rPr>
            </w:pPr>
            <w:r>
              <w:t>An area around the restricted area in which movement</w:t>
            </w:r>
            <w:r>
              <w:t xml:space="preserve"> is controlled but not restricted. The control area is intended to reduce likelihood of the disease spreading beyond the restricted area.</w:t>
            </w:r>
          </w:p>
        </w:tc>
      </w:tr>
      <w:tr w:rsidR="00D25EFC">
        <w:trPr>
          <w:cantSplit/>
        </w:trPr>
        <w:tc>
          <w:tcPr>
            <w:tcW w:w="3168" w:type="dxa"/>
          </w:tcPr>
          <w:p w:rsidR="00D25EFC" w:rsidRDefault="00A27A2B">
            <w:pPr>
              <w:rPr>
                <w:rFonts w:eastAsia="Calibri"/>
              </w:rPr>
            </w:pPr>
            <w:r>
              <w:t>Covert infection</w:t>
            </w:r>
          </w:p>
        </w:tc>
        <w:tc>
          <w:tcPr>
            <w:tcW w:w="6075" w:type="dxa"/>
          </w:tcPr>
          <w:p w:rsidR="00D25EFC" w:rsidRDefault="00A27A2B">
            <w:pPr>
              <w:rPr>
                <w:rFonts w:eastAsia="Calibri" w:cs="BookAntiqua"/>
              </w:rPr>
            </w:pPr>
            <w:r>
              <w:t>A clinically inapparent infection that is transmissible and that may eventually lead to clinical dis</w:t>
            </w:r>
            <w:r>
              <w:t>ease</w:t>
            </w:r>
            <w:r>
              <w:rPr>
                <w:rFonts w:cs="BookAntiqua"/>
              </w:rPr>
              <w:t>.</w:t>
            </w:r>
          </w:p>
        </w:tc>
      </w:tr>
      <w:tr w:rsidR="00D25EFC">
        <w:trPr>
          <w:cantSplit/>
        </w:trPr>
        <w:tc>
          <w:tcPr>
            <w:tcW w:w="3168" w:type="dxa"/>
          </w:tcPr>
          <w:p w:rsidR="00D25EFC" w:rsidRDefault="00A27A2B">
            <w:pPr>
              <w:rPr>
                <w:rFonts w:eastAsia="Calibri" w:cs="BookAntiqua"/>
              </w:rPr>
            </w:pPr>
            <w:r>
              <w:t>CVO</w:t>
            </w:r>
          </w:p>
        </w:tc>
        <w:tc>
          <w:tcPr>
            <w:tcW w:w="6075" w:type="dxa"/>
          </w:tcPr>
          <w:p w:rsidR="00D25EFC" w:rsidRDefault="00A27A2B">
            <w:pPr>
              <w:rPr>
                <w:rFonts w:eastAsia="Calibri"/>
              </w:rPr>
            </w:pPr>
            <w:r>
              <w:t xml:space="preserve">Chief Veterinary Officer. The senior veterinarian of the animal health authority in each jurisdiction (national, state or territory) who has responsibility for animal disease control in that jurisdiction. </w:t>
            </w:r>
            <w:r>
              <w:rPr>
                <w:rStyle w:val="Emphasis"/>
              </w:rPr>
              <w:t xml:space="preserve">See also </w:t>
            </w:r>
            <w:r>
              <w:t>ACVO.</w:t>
            </w:r>
          </w:p>
        </w:tc>
      </w:tr>
      <w:tr w:rsidR="00D25EFC">
        <w:trPr>
          <w:cantSplit/>
        </w:trPr>
        <w:tc>
          <w:tcPr>
            <w:tcW w:w="3168" w:type="dxa"/>
          </w:tcPr>
          <w:p w:rsidR="00D25EFC" w:rsidRDefault="00A27A2B">
            <w:pPr>
              <w:rPr>
                <w:rFonts w:eastAsia="Calibri"/>
              </w:rPr>
            </w:pPr>
            <w:r>
              <w:t>Dangerous contact animal</w:t>
            </w:r>
          </w:p>
        </w:tc>
        <w:tc>
          <w:tcPr>
            <w:tcW w:w="6075" w:type="dxa"/>
          </w:tcPr>
          <w:p w:rsidR="00D25EFC" w:rsidRDefault="00A27A2B">
            <w:pPr>
              <w:rPr>
                <w:rFonts w:eastAsia="Calibri"/>
              </w:rPr>
            </w:pPr>
            <w:r>
              <w:t>A susceptible animal that has been designated as being exposed to other infected animals or potentially infectious products following tracing and epidemiological investigation.</w:t>
            </w:r>
          </w:p>
        </w:tc>
      </w:tr>
      <w:tr w:rsidR="00D25EFC">
        <w:trPr>
          <w:cantSplit/>
        </w:trPr>
        <w:tc>
          <w:tcPr>
            <w:tcW w:w="3168" w:type="dxa"/>
          </w:tcPr>
          <w:p w:rsidR="00D25EFC" w:rsidRDefault="00A27A2B">
            <w:pPr>
              <w:rPr>
                <w:rFonts w:eastAsia="Calibri"/>
              </w:rPr>
            </w:pPr>
            <w:r>
              <w:lastRenderedPageBreak/>
              <w:t>Dangerous contact premises or area</w:t>
            </w:r>
          </w:p>
        </w:tc>
        <w:tc>
          <w:tcPr>
            <w:tcW w:w="6075" w:type="dxa"/>
          </w:tcPr>
          <w:p w:rsidR="00D25EFC" w:rsidRDefault="00A27A2B">
            <w:pPr>
              <w:rPr>
                <w:rFonts w:eastAsia="Calibri"/>
              </w:rPr>
            </w:pPr>
            <w:r>
              <w:t>An area that has had a direct, and possibl</w:t>
            </w:r>
            <w:r>
              <w:t>y infectious, contact with an infected premises or area. The type of contact will depend on the agent involved in the outbreak but, for example, may involve animal movements or net or equipment movements.</w:t>
            </w:r>
          </w:p>
        </w:tc>
      </w:tr>
      <w:tr w:rsidR="00D25EFC">
        <w:trPr>
          <w:cantSplit/>
        </w:trPr>
        <w:tc>
          <w:tcPr>
            <w:tcW w:w="3168" w:type="dxa"/>
          </w:tcPr>
          <w:p w:rsidR="00D25EFC" w:rsidRDefault="00A27A2B">
            <w:pPr>
              <w:rPr>
                <w:rFonts w:eastAsia="Calibri"/>
              </w:rPr>
            </w:pPr>
            <w:r>
              <w:t>Declared area</w:t>
            </w:r>
          </w:p>
        </w:tc>
        <w:tc>
          <w:tcPr>
            <w:tcW w:w="6075" w:type="dxa"/>
          </w:tcPr>
          <w:p w:rsidR="00D25EFC" w:rsidRDefault="00A27A2B">
            <w:pPr>
              <w:rPr>
                <w:rFonts w:eastAsia="Calibri"/>
              </w:rPr>
            </w:pPr>
            <w:r>
              <w:t>A defined tract of land or water tha</w:t>
            </w:r>
            <w:r>
              <w:t xml:space="preserve">t is subjected to disease control restrictions under emergency animal disease legislation. Types of declared areas include </w:t>
            </w:r>
            <w:r>
              <w:rPr>
                <w:rStyle w:val="Emphasis"/>
              </w:rPr>
              <w:t xml:space="preserve">restricted area, control area, infected premises, dangerous contact premises </w:t>
            </w:r>
            <w:r>
              <w:t xml:space="preserve">and </w:t>
            </w:r>
            <w:r>
              <w:rPr>
                <w:rStyle w:val="Emphasis"/>
              </w:rPr>
              <w:t>suspect premises</w:t>
            </w:r>
            <w:r>
              <w:rPr>
                <w:rFonts w:cs="BookAntiqua-Italic"/>
                <w:iCs/>
              </w:rPr>
              <w:t>.</w:t>
            </w:r>
          </w:p>
        </w:tc>
      </w:tr>
      <w:tr w:rsidR="00D25EFC">
        <w:trPr>
          <w:cantSplit/>
        </w:trPr>
        <w:tc>
          <w:tcPr>
            <w:tcW w:w="3168" w:type="dxa"/>
          </w:tcPr>
          <w:p w:rsidR="00D25EFC" w:rsidRDefault="00A27A2B">
            <w:pPr>
              <w:rPr>
                <w:rFonts w:eastAsia="Calibri"/>
              </w:rPr>
            </w:pPr>
            <w:r>
              <w:t>Decontamination</w:t>
            </w:r>
          </w:p>
        </w:tc>
        <w:tc>
          <w:tcPr>
            <w:tcW w:w="6075" w:type="dxa"/>
          </w:tcPr>
          <w:p w:rsidR="00D25EFC" w:rsidRDefault="00A27A2B">
            <w:pPr>
              <w:rPr>
                <w:rFonts w:eastAsia="Calibri" w:cs="BookAntiqua"/>
              </w:rPr>
            </w:pPr>
            <w:r>
              <w:t xml:space="preserve">A combination of </w:t>
            </w:r>
            <w:r>
              <w:t xml:space="preserve">physical and chemical procedures that are used to remove soiling and inactivate the target disease organism. </w:t>
            </w:r>
            <w:r>
              <w:rPr>
                <w:rFonts w:cs="BookAntiqua"/>
              </w:rPr>
              <w:t>Includes all stages of cleaning and disinfection.</w:t>
            </w:r>
          </w:p>
        </w:tc>
      </w:tr>
      <w:tr w:rsidR="00D25EFC">
        <w:trPr>
          <w:cantSplit/>
        </w:trPr>
        <w:tc>
          <w:tcPr>
            <w:tcW w:w="3168" w:type="dxa"/>
          </w:tcPr>
          <w:p w:rsidR="00D25EFC" w:rsidRDefault="00A27A2B">
            <w:pPr>
              <w:rPr>
                <w:rFonts w:eastAsia="Calibri"/>
              </w:rPr>
            </w:pPr>
            <w:r>
              <w:t>Disease agent</w:t>
            </w:r>
          </w:p>
        </w:tc>
        <w:tc>
          <w:tcPr>
            <w:tcW w:w="6075" w:type="dxa"/>
          </w:tcPr>
          <w:p w:rsidR="00D25EFC" w:rsidRDefault="00A27A2B">
            <w:pPr>
              <w:rPr>
                <w:rFonts w:eastAsia="Calibri"/>
              </w:rPr>
            </w:pPr>
            <w:r>
              <w:t>A general term for a transmissible organism or other factor that causes an infecti</w:t>
            </w:r>
            <w:r>
              <w:t>ous disease.</w:t>
            </w:r>
          </w:p>
        </w:tc>
      </w:tr>
      <w:tr w:rsidR="00D25EFC">
        <w:trPr>
          <w:cantSplit/>
        </w:trPr>
        <w:tc>
          <w:tcPr>
            <w:tcW w:w="3168" w:type="dxa"/>
          </w:tcPr>
          <w:p w:rsidR="00D25EFC" w:rsidRDefault="00A27A2B">
            <w:pPr>
              <w:rPr>
                <w:rFonts w:eastAsia="Calibri"/>
              </w:rPr>
            </w:pPr>
            <w:r>
              <w:t>Disinfectant</w:t>
            </w:r>
          </w:p>
        </w:tc>
        <w:tc>
          <w:tcPr>
            <w:tcW w:w="6075" w:type="dxa"/>
          </w:tcPr>
          <w:p w:rsidR="00D25EFC" w:rsidRDefault="00A27A2B">
            <w:pPr>
              <w:rPr>
                <w:rFonts w:eastAsia="Calibri"/>
              </w:rPr>
            </w:pPr>
            <w:r>
              <w:t>A chemical used to destroy or inactivate disease agents outside a living animal.</w:t>
            </w:r>
          </w:p>
        </w:tc>
      </w:tr>
      <w:tr w:rsidR="00D25EFC">
        <w:trPr>
          <w:cantSplit/>
        </w:trPr>
        <w:tc>
          <w:tcPr>
            <w:tcW w:w="3168" w:type="dxa"/>
          </w:tcPr>
          <w:p w:rsidR="00D25EFC" w:rsidRDefault="00A27A2B">
            <w:pPr>
              <w:rPr>
                <w:rFonts w:eastAsia="Calibri"/>
              </w:rPr>
            </w:pPr>
            <w:r>
              <w:t>Disinfection</w:t>
            </w:r>
          </w:p>
        </w:tc>
        <w:tc>
          <w:tcPr>
            <w:tcW w:w="6075" w:type="dxa"/>
          </w:tcPr>
          <w:p w:rsidR="00D25EFC" w:rsidRDefault="00A27A2B">
            <w:pPr>
              <w:rPr>
                <w:rFonts w:eastAsia="Calibri"/>
              </w:rPr>
            </w:pPr>
            <w:r>
              <w:t xml:space="preserve">Procedures intended to destroy the infectious or parasitic agents of animal diseases, including zoonoses; applies (after thorough </w:t>
            </w:r>
            <w:r>
              <w:t>cleansing) to premises, vehicles and other objects that may have been directly or indirectly contaminated.</w:t>
            </w:r>
          </w:p>
        </w:tc>
      </w:tr>
      <w:tr w:rsidR="00D25EFC">
        <w:trPr>
          <w:cantSplit/>
        </w:trPr>
        <w:tc>
          <w:tcPr>
            <w:tcW w:w="3168" w:type="dxa"/>
          </w:tcPr>
          <w:p w:rsidR="00D25EFC" w:rsidRDefault="00A27A2B">
            <w:pPr>
              <w:rPr>
                <w:rFonts w:eastAsia="Calibri"/>
              </w:rPr>
            </w:pPr>
            <w:r>
              <w:t>Disposal</w:t>
            </w:r>
          </w:p>
        </w:tc>
        <w:tc>
          <w:tcPr>
            <w:tcW w:w="6075" w:type="dxa"/>
          </w:tcPr>
          <w:p w:rsidR="00D25EFC" w:rsidRDefault="00A27A2B">
            <w:pPr>
              <w:rPr>
                <w:rFonts w:eastAsia="Calibri"/>
              </w:rPr>
            </w:pPr>
            <w:r>
              <w:t xml:space="preserve">Sanitary removal of fish carcasses and other contaminated objects by burial, burning, rendering, composting or some other process so as to </w:t>
            </w:r>
            <w:r>
              <w:t>prevent the spread of disease.</w:t>
            </w:r>
          </w:p>
        </w:tc>
      </w:tr>
      <w:tr w:rsidR="00D25EFC">
        <w:trPr>
          <w:cantSplit/>
        </w:trPr>
        <w:tc>
          <w:tcPr>
            <w:tcW w:w="3168" w:type="dxa"/>
          </w:tcPr>
          <w:p w:rsidR="00D25EFC" w:rsidRDefault="00A27A2B">
            <w:pPr>
              <w:rPr>
                <w:rFonts w:eastAsia="Calibri"/>
              </w:rPr>
            </w:pPr>
            <w:r>
              <w:t>Ecchymotic haemorrhage</w:t>
            </w:r>
          </w:p>
        </w:tc>
        <w:tc>
          <w:tcPr>
            <w:tcW w:w="6075" w:type="dxa"/>
          </w:tcPr>
          <w:p w:rsidR="00D25EFC" w:rsidRDefault="00A27A2B">
            <w:pPr>
              <w:rPr>
                <w:rFonts w:eastAsia="Calibri"/>
              </w:rPr>
            </w:pPr>
            <w:r>
              <w:t>Bleeding or bruising in the skin or a mucous membrane in the form of small, nonelevated, round or irregular red, purple or blue spots. Larger than petechial haemorrhages.</w:t>
            </w:r>
          </w:p>
        </w:tc>
      </w:tr>
      <w:tr w:rsidR="00D25EFC">
        <w:trPr>
          <w:cantSplit/>
        </w:trPr>
        <w:tc>
          <w:tcPr>
            <w:tcW w:w="3168" w:type="dxa"/>
          </w:tcPr>
          <w:p w:rsidR="00D25EFC" w:rsidRDefault="00A27A2B">
            <w:pPr>
              <w:rPr>
                <w:rFonts w:eastAsia="Calibri"/>
              </w:rPr>
            </w:pPr>
            <w:r>
              <w:t>ELISA</w:t>
            </w:r>
          </w:p>
        </w:tc>
        <w:tc>
          <w:tcPr>
            <w:tcW w:w="6075" w:type="dxa"/>
          </w:tcPr>
          <w:p w:rsidR="00D25EFC" w:rsidRDefault="00A27A2B">
            <w:pPr>
              <w:rPr>
                <w:rFonts w:eastAsia="Calibri"/>
              </w:rPr>
            </w:pPr>
            <w:r>
              <w:t>Enzyme-linked immunosor</w:t>
            </w:r>
            <w:r>
              <w:t>bent assay. A serological test to detect and measure the presence of antibody or antigen in a sample. The test uses an enzyme reaction with a substrate to produce a colour change when antigen–antibody binding occurs.</w:t>
            </w:r>
          </w:p>
        </w:tc>
      </w:tr>
      <w:tr w:rsidR="00D25EFC">
        <w:trPr>
          <w:cantSplit/>
        </w:trPr>
        <w:tc>
          <w:tcPr>
            <w:tcW w:w="3168" w:type="dxa"/>
          </w:tcPr>
          <w:p w:rsidR="00D25EFC" w:rsidRDefault="00A27A2B">
            <w:pPr>
              <w:rPr>
                <w:rFonts w:eastAsia="Calibri"/>
              </w:rPr>
            </w:pPr>
            <w:r>
              <w:t>Emergency animal disease</w:t>
            </w:r>
          </w:p>
        </w:tc>
        <w:tc>
          <w:tcPr>
            <w:tcW w:w="6075" w:type="dxa"/>
          </w:tcPr>
          <w:p w:rsidR="00D25EFC" w:rsidRDefault="00A27A2B">
            <w:pPr>
              <w:rPr>
                <w:rFonts w:eastAsia="Calibri"/>
              </w:rPr>
            </w:pPr>
            <w:r>
              <w:t>A disease tha</w:t>
            </w:r>
            <w:r>
              <w:t>t is (a) exotic to Australia or (b) a variant of an endemic disease or (c) a serious infectious disease of unknown or uncertain cause or (d) a severe outbreak of a known endemic disease, and that is considered to be of national significance with serious so</w:t>
            </w:r>
            <w:r>
              <w:t xml:space="preserve">cial or trade implications. </w:t>
            </w:r>
            <w:r>
              <w:rPr>
                <w:rStyle w:val="Emphasis"/>
              </w:rPr>
              <w:t xml:space="preserve">See also </w:t>
            </w:r>
            <w:r>
              <w:t>Endemic animal disease, Exotic animal disease.</w:t>
            </w:r>
          </w:p>
        </w:tc>
      </w:tr>
      <w:tr w:rsidR="00D25EFC">
        <w:trPr>
          <w:cantSplit/>
        </w:trPr>
        <w:tc>
          <w:tcPr>
            <w:tcW w:w="3168" w:type="dxa"/>
          </w:tcPr>
          <w:p w:rsidR="00D25EFC" w:rsidRDefault="00A27A2B">
            <w:pPr>
              <w:rPr>
                <w:rFonts w:eastAsia="Calibri"/>
              </w:rPr>
            </w:pPr>
            <w:r>
              <w:t>Endemic animal disease</w:t>
            </w:r>
          </w:p>
        </w:tc>
        <w:tc>
          <w:tcPr>
            <w:tcW w:w="6075" w:type="dxa"/>
          </w:tcPr>
          <w:p w:rsidR="00D25EFC" w:rsidRDefault="00A27A2B">
            <w:pPr>
              <w:rPr>
                <w:rFonts w:eastAsia="Calibri"/>
              </w:rPr>
            </w:pPr>
            <w:r>
              <w:t xml:space="preserve">A disease affecting animals (which may include humans) that is known to occur in Australia. </w:t>
            </w:r>
            <w:r>
              <w:rPr>
                <w:rStyle w:val="Emphasis"/>
              </w:rPr>
              <w:t xml:space="preserve">See also </w:t>
            </w:r>
            <w:r>
              <w:t>Emergency animal disease, Exotic animal disease</w:t>
            </w:r>
            <w:r>
              <w:t>.</w:t>
            </w:r>
          </w:p>
        </w:tc>
      </w:tr>
      <w:tr w:rsidR="00D25EFC">
        <w:trPr>
          <w:cantSplit/>
        </w:trPr>
        <w:tc>
          <w:tcPr>
            <w:tcW w:w="3168" w:type="dxa"/>
          </w:tcPr>
          <w:p w:rsidR="00D25EFC" w:rsidRDefault="00A27A2B">
            <w:pPr>
              <w:rPr>
                <w:rFonts w:eastAsia="Calibri"/>
              </w:rPr>
            </w:pPr>
            <w:r>
              <w:lastRenderedPageBreak/>
              <w:t>Enterprise</w:t>
            </w:r>
          </w:p>
        </w:tc>
        <w:tc>
          <w:tcPr>
            <w:tcW w:w="6075" w:type="dxa"/>
          </w:tcPr>
          <w:p w:rsidR="00D25EFC" w:rsidRDefault="00A27A2B">
            <w:pPr>
              <w:rPr>
                <w:rFonts w:eastAsia="Calibri"/>
              </w:rPr>
            </w:pPr>
            <w:r>
              <w:rPr>
                <w:rStyle w:val="Emphasis"/>
              </w:rPr>
              <w:t xml:space="preserve">See </w:t>
            </w:r>
            <w:r>
              <w:t>Risk enterprise.</w:t>
            </w:r>
          </w:p>
        </w:tc>
      </w:tr>
      <w:tr w:rsidR="00D25EFC">
        <w:trPr>
          <w:cantSplit/>
        </w:trPr>
        <w:tc>
          <w:tcPr>
            <w:tcW w:w="3168" w:type="dxa"/>
          </w:tcPr>
          <w:p w:rsidR="00D25EFC" w:rsidRDefault="00A27A2B">
            <w:pPr>
              <w:rPr>
                <w:rFonts w:eastAsia="Calibri"/>
              </w:rPr>
            </w:pPr>
            <w:r>
              <w:t>Epidemiological investigation</w:t>
            </w:r>
          </w:p>
        </w:tc>
        <w:tc>
          <w:tcPr>
            <w:tcW w:w="6075" w:type="dxa"/>
          </w:tcPr>
          <w:p w:rsidR="00D25EFC" w:rsidRDefault="00A27A2B">
            <w:pPr>
              <w:rPr>
                <w:rFonts w:eastAsia="Calibri"/>
              </w:rPr>
            </w:pPr>
            <w:r>
              <w:t>An investigation to identify and qualify the risk factors associated with a disease.</w:t>
            </w:r>
          </w:p>
        </w:tc>
      </w:tr>
      <w:tr w:rsidR="00D25EFC">
        <w:trPr>
          <w:cantSplit/>
        </w:trPr>
        <w:tc>
          <w:tcPr>
            <w:tcW w:w="3168" w:type="dxa"/>
          </w:tcPr>
          <w:p w:rsidR="00D25EFC" w:rsidRDefault="00A27A2B">
            <w:pPr>
              <w:rPr>
                <w:rFonts w:eastAsia="Calibri"/>
              </w:rPr>
            </w:pPr>
            <w:r>
              <w:t>Exophthalmia</w:t>
            </w:r>
          </w:p>
        </w:tc>
        <w:tc>
          <w:tcPr>
            <w:tcW w:w="6075" w:type="dxa"/>
          </w:tcPr>
          <w:p w:rsidR="00D25EFC" w:rsidRDefault="00A27A2B">
            <w:pPr>
              <w:rPr>
                <w:rFonts w:eastAsia="Calibri"/>
              </w:rPr>
            </w:pPr>
            <w:r>
              <w:t>Protrusion of the eyeball from the orbit, caused by disease or injury.</w:t>
            </w:r>
          </w:p>
        </w:tc>
      </w:tr>
      <w:tr w:rsidR="00D25EFC">
        <w:trPr>
          <w:cantSplit/>
        </w:trPr>
        <w:tc>
          <w:tcPr>
            <w:tcW w:w="3168" w:type="dxa"/>
          </w:tcPr>
          <w:p w:rsidR="00D25EFC" w:rsidRDefault="00A27A2B">
            <w:pPr>
              <w:rPr>
                <w:rFonts w:eastAsia="Calibri"/>
              </w:rPr>
            </w:pPr>
            <w:r>
              <w:t xml:space="preserve">Exotic animal </w:t>
            </w:r>
            <w:r>
              <w:t>disease</w:t>
            </w:r>
          </w:p>
        </w:tc>
        <w:tc>
          <w:tcPr>
            <w:tcW w:w="6075" w:type="dxa"/>
          </w:tcPr>
          <w:p w:rsidR="00D25EFC" w:rsidRDefault="00A27A2B">
            <w:pPr>
              <w:rPr>
                <w:rFonts w:eastAsia="Calibri"/>
              </w:rPr>
            </w:pPr>
            <w:r>
              <w:t xml:space="preserve">A disease affecting animals (which may include humans) that does not normally occur in Australia. </w:t>
            </w:r>
            <w:r>
              <w:rPr>
                <w:rStyle w:val="Emphasis"/>
              </w:rPr>
              <w:t xml:space="preserve">See also </w:t>
            </w:r>
            <w:r>
              <w:t>Emergency animal disease, Endemic animal disease.</w:t>
            </w:r>
          </w:p>
        </w:tc>
      </w:tr>
      <w:tr w:rsidR="00D25EFC">
        <w:trPr>
          <w:cantSplit/>
        </w:trPr>
        <w:tc>
          <w:tcPr>
            <w:tcW w:w="3168" w:type="dxa"/>
          </w:tcPr>
          <w:p w:rsidR="00D25EFC" w:rsidRDefault="00A27A2B">
            <w:pPr>
              <w:rPr>
                <w:rFonts w:eastAsia="Calibri"/>
              </w:rPr>
            </w:pPr>
            <w:r>
              <w:t>Fish by-products</w:t>
            </w:r>
          </w:p>
        </w:tc>
        <w:tc>
          <w:tcPr>
            <w:tcW w:w="6075" w:type="dxa"/>
          </w:tcPr>
          <w:p w:rsidR="00D25EFC" w:rsidRDefault="00A27A2B">
            <w:pPr>
              <w:rPr>
                <w:rFonts w:eastAsia="Calibri"/>
              </w:rPr>
            </w:pPr>
            <w:r>
              <w:t>Products of fish origin destined for industrial use (e.g. fishmeal).</w:t>
            </w:r>
          </w:p>
        </w:tc>
      </w:tr>
      <w:tr w:rsidR="00D25EFC">
        <w:trPr>
          <w:cantSplit/>
        </w:trPr>
        <w:tc>
          <w:tcPr>
            <w:tcW w:w="3168" w:type="dxa"/>
          </w:tcPr>
          <w:p w:rsidR="00D25EFC" w:rsidRDefault="00A27A2B">
            <w:pPr>
              <w:rPr>
                <w:rFonts w:eastAsia="Calibri"/>
              </w:rPr>
            </w:pPr>
            <w:r>
              <w:t>Fis</w:t>
            </w:r>
            <w:r>
              <w:t>h products</w:t>
            </w:r>
          </w:p>
        </w:tc>
        <w:tc>
          <w:tcPr>
            <w:tcW w:w="6075" w:type="dxa"/>
          </w:tcPr>
          <w:p w:rsidR="00D25EFC" w:rsidRDefault="00A27A2B">
            <w:pPr>
              <w:rPr>
                <w:rFonts w:eastAsia="Calibri"/>
              </w:rPr>
            </w:pPr>
            <w:r>
              <w:t>Fish meat products and products of fish origin (e.g. fish eggs) for human consumption or use in animal feeding.</w:t>
            </w:r>
          </w:p>
        </w:tc>
      </w:tr>
      <w:tr w:rsidR="00D25EFC">
        <w:trPr>
          <w:cantSplit/>
        </w:trPr>
        <w:tc>
          <w:tcPr>
            <w:tcW w:w="3168" w:type="dxa"/>
          </w:tcPr>
          <w:p w:rsidR="00D25EFC" w:rsidRDefault="00A27A2B">
            <w:pPr>
              <w:rPr>
                <w:rFonts w:eastAsia="Calibri"/>
              </w:rPr>
            </w:pPr>
            <w:r>
              <w:t>Free area</w:t>
            </w:r>
          </w:p>
        </w:tc>
        <w:tc>
          <w:tcPr>
            <w:tcW w:w="6075" w:type="dxa"/>
          </w:tcPr>
          <w:p w:rsidR="00D25EFC" w:rsidRDefault="00A27A2B">
            <w:pPr>
              <w:rPr>
                <w:rFonts w:eastAsia="Calibri" w:cs="BookAntiqua"/>
              </w:rPr>
            </w:pPr>
            <w:r>
              <w:t>An area known not to be contaminated with a given disease agent.</w:t>
            </w:r>
          </w:p>
        </w:tc>
      </w:tr>
      <w:tr w:rsidR="00D25EFC">
        <w:trPr>
          <w:cantSplit/>
        </w:trPr>
        <w:tc>
          <w:tcPr>
            <w:tcW w:w="3168" w:type="dxa"/>
          </w:tcPr>
          <w:p w:rsidR="00D25EFC" w:rsidRDefault="00A27A2B">
            <w:pPr>
              <w:rPr>
                <w:rFonts w:eastAsia="Calibri"/>
              </w:rPr>
            </w:pPr>
            <w:r>
              <w:t>Haemorrhage</w:t>
            </w:r>
          </w:p>
        </w:tc>
        <w:tc>
          <w:tcPr>
            <w:tcW w:w="6075" w:type="dxa"/>
          </w:tcPr>
          <w:p w:rsidR="00D25EFC" w:rsidRDefault="00A27A2B">
            <w:pPr>
              <w:rPr>
                <w:rFonts w:eastAsia="Calibri"/>
              </w:rPr>
            </w:pPr>
            <w:r>
              <w:t>Escape of blood from a ruptured blood vessel</w:t>
            </w:r>
            <w:r>
              <w:t>; bleeding.</w:t>
            </w:r>
          </w:p>
        </w:tc>
      </w:tr>
      <w:tr w:rsidR="00D25EFC">
        <w:trPr>
          <w:cantSplit/>
        </w:trPr>
        <w:tc>
          <w:tcPr>
            <w:tcW w:w="3168" w:type="dxa"/>
          </w:tcPr>
          <w:p w:rsidR="00D25EFC" w:rsidRDefault="00A27A2B">
            <w:r>
              <w:t xml:space="preserve">Inappetence </w:t>
            </w:r>
          </w:p>
        </w:tc>
        <w:tc>
          <w:tcPr>
            <w:tcW w:w="6075" w:type="dxa"/>
          </w:tcPr>
          <w:p w:rsidR="00D25EFC" w:rsidRDefault="00A27A2B">
            <w:r>
              <w:t>Lack of appetite.</w:t>
            </w:r>
          </w:p>
        </w:tc>
      </w:tr>
      <w:tr w:rsidR="00D25EFC">
        <w:trPr>
          <w:cantSplit/>
        </w:trPr>
        <w:tc>
          <w:tcPr>
            <w:tcW w:w="3168" w:type="dxa"/>
          </w:tcPr>
          <w:p w:rsidR="00D25EFC" w:rsidRDefault="00A27A2B">
            <w:r>
              <w:t xml:space="preserve">Infected premises or area </w:t>
            </w:r>
          </w:p>
        </w:tc>
        <w:tc>
          <w:tcPr>
            <w:tcW w:w="6075" w:type="dxa"/>
          </w:tcPr>
          <w:p w:rsidR="00D25EFC" w:rsidRDefault="00A27A2B">
            <w:r>
              <w:t>The area in which the disease has been confirmed; likely to apply to an open system, such as an oceanic lease or a pond-based farm.</w:t>
            </w:r>
          </w:p>
        </w:tc>
      </w:tr>
      <w:tr w:rsidR="00D25EFC">
        <w:trPr>
          <w:cantSplit/>
        </w:trPr>
        <w:tc>
          <w:tcPr>
            <w:tcW w:w="3168" w:type="dxa"/>
          </w:tcPr>
          <w:p w:rsidR="00D25EFC" w:rsidRDefault="00A27A2B">
            <w:r>
              <w:t>LDCC</w:t>
            </w:r>
          </w:p>
        </w:tc>
        <w:tc>
          <w:tcPr>
            <w:tcW w:w="6075" w:type="dxa"/>
          </w:tcPr>
          <w:p w:rsidR="00D25EFC" w:rsidRDefault="00A27A2B">
            <w:r>
              <w:t xml:space="preserve">Local Disease Control Centre. An emergency </w:t>
            </w:r>
            <w:r>
              <w:t>operations centre responsible for the command and control of field operations in a defined area.</w:t>
            </w:r>
          </w:p>
        </w:tc>
      </w:tr>
      <w:tr w:rsidR="00D25EFC">
        <w:trPr>
          <w:cantSplit/>
        </w:trPr>
        <w:tc>
          <w:tcPr>
            <w:tcW w:w="3168" w:type="dxa"/>
          </w:tcPr>
          <w:p w:rsidR="00D25EFC" w:rsidRDefault="00A27A2B">
            <w:r>
              <w:rPr>
                <w:rFonts w:cs="BookAntiqua"/>
              </w:rPr>
              <w:t>Le</w:t>
            </w:r>
            <w:r>
              <w:t>ukopenia</w:t>
            </w:r>
          </w:p>
        </w:tc>
        <w:tc>
          <w:tcPr>
            <w:tcW w:w="6075" w:type="dxa"/>
          </w:tcPr>
          <w:p w:rsidR="00D25EFC" w:rsidRDefault="00A27A2B">
            <w:pPr>
              <w:rPr>
                <w:rFonts w:cs="BookAntiqua"/>
              </w:rPr>
            </w:pPr>
            <w:r>
              <w:t>A decrease in the number of white blood cells in the blood.</w:t>
            </w:r>
          </w:p>
        </w:tc>
      </w:tr>
      <w:tr w:rsidR="00D25EFC">
        <w:trPr>
          <w:cantSplit/>
        </w:trPr>
        <w:tc>
          <w:tcPr>
            <w:tcW w:w="3168" w:type="dxa"/>
          </w:tcPr>
          <w:p w:rsidR="00D25EFC" w:rsidRDefault="00A27A2B">
            <w:r>
              <w:t xml:space="preserve">Monitoring </w:t>
            </w:r>
          </w:p>
        </w:tc>
        <w:tc>
          <w:tcPr>
            <w:tcW w:w="6075" w:type="dxa"/>
          </w:tcPr>
          <w:p w:rsidR="00D25EFC" w:rsidRDefault="00A27A2B">
            <w:r>
              <w:t xml:space="preserve">Routine collection of data for assessing the health status of a population. </w:t>
            </w:r>
            <w:r>
              <w:rPr>
                <w:rStyle w:val="Emphasis"/>
              </w:rPr>
              <w:t xml:space="preserve">See also </w:t>
            </w:r>
            <w:r>
              <w:t>Surveillance.</w:t>
            </w:r>
          </w:p>
        </w:tc>
      </w:tr>
      <w:tr w:rsidR="00D25EFC">
        <w:trPr>
          <w:cantSplit/>
        </w:trPr>
        <w:tc>
          <w:tcPr>
            <w:tcW w:w="3168" w:type="dxa"/>
          </w:tcPr>
          <w:p w:rsidR="00D25EFC" w:rsidRDefault="00A27A2B">
            <w:r>
              <w:t xml:space="preserve">Movement control </w:t>
            </w:r>
          </w:p>
        </w:tc>
        <w:tc>
          <w:tcPr>
            <w:tcW w:w="6075" w:type="dxa"/>
          </w:tcPr>
          <w:p w:rsidR="00D25EFC" w:rsidRDefault="00A27A2B">
            <w:r>
              <w:t>Restrictions placed on the movement of fish, people and other things to prevent the spread of a pest or disease.</w:t>
            </w:r>
          </w:p>
        </w:tc>
      </w:tr>
      <w:tr w:rsidR="00D25EFC">
        <w:trPr>
          <w:cantSplit/>
        </w:trPr>
        <w:tc>
          <w:tcPr>
            <w:tcW w:w="3168" w:type="dxa"/>
          </w:tcPr>
          <w:p w:rsidR="00D25EFC" w:rsidRDefault="00A27A2B">
            <w:r>
              <w:t xml:space="preserve">Nested RT-PCR </w:t>
            </w:r>
          </w:p>
        </w:tc>
        <w:tc>
          <w:tcPr>
            <w:tcW w:w="6075" w:type="dxa"/>
          </w:tcPr>
          <w:p w:rsidR="00D25EFC" w:rsidRDefault="00A27A2B">
            <w:pPr>
              <w:rPr>
                <w:rFonts w:cs="BookAntiqua-Italic"/>
                <w:iCs/>
              </w:rPr>
            </w:pPr>
            <w:r>
              <w:t>A two-ste</w:t>
            </w:r>
            <w:r>
              <w:t xml:space="preserve">p PCR process in which the second round identifies a DNA sequence ‘nested’ within the initial sequence, thus increasing the specificity. See </w:t>
            </w:r>
            <w:r>
              <w:rPr>
                <w:rStyle w:val="Emphasis"/>
              </w:rPr>
              <w:t xml:space="preserve">Polymerase chain reaction (PCR) </w:t>
            </w:r>
            <w:r>
              <w:t xml:space="preserve">and </w:t>
            </w:r>
            <w:r>
              <w:rPr>
                <w:rStyle w:val="Emphasis"/>
              </w:rPr>
              <w:t>Reverse transcriptase-PCR (RT-PCR)</w:t>
            </w:r>
            <w:r>
              <w:rPr>
                <w:rFonts w:cs="BookAntiqua-Italic"/>
                <w:iCs/>
              </w:rPr>
              <w:t>.</w:t>
            </w:r>
          </w:p>
        </w:tc>
      </w:tr>
      <w:tr w:rsidR="00D25EFC">
        <w:trPr>
          <w:cantSplit/>
        </w:trPr>
        <w:tc>
          <w:tcPr>
            <w:tcW w:w="3168" w:type="dxa"/>
          </w:tcPr>
          <w:p w:rsidR="00D25EFC" w:rsidRDefault="00A27A2B">
            <w:r>
              <w:t xml:space="preserve">OIE Aquatic Code </w:t>
            </w:r>
          </w:p>
        </w:tc>
        <w:tc>
          <w:tcPr>
            <w:tcW w:w="6075" w:type="dxa"/>
          </w:tcPr>
          <w:p w:rsidR="00D25EFC" w:rsidRDefault="00A27A2B">
            <w:r>
              <w:t xml:space="preserve">OIE </w:t>
            </w:r>
            <w:r>
              <w:rPr>
                <w:rStyle w:val="Emphasis"/>
              </w:rPr>
              <w:t>Aquatic Animal Healt</w:t>
            </w:r>
            <w:r>
              <w:rPr>
                <w:rStyle w:val="Emphasis"/>
              </w:rPr>
              <w:t xml:space="preserve">h Code </w:t>
            </w:r>
            <w:r>
              <w:t xml:space="preserve">(OIE 2013), at http://www.oie.int/eng/normes/fcode/en_sommaire.htm. </w:t>
            </w:r>
            <w:r>
              <w:rPr>
                <w:rStyle w:val="Emphasis"/>
              </w:rPr>
              <w:t xml:space="preserve">See </w:t>
            </w:r>
            <w:r>
              <w:t>Appendix 1 for further details.</w:t>
            </w:r>
          </w:p>
        </w:tc>
      </w:tr>
      <w:tr w:rsidR="00D25EFC">
        <w:trPr>
          <w:cantSplit/>
        </w:trPr>
        <w:tc>
          <w:tcPr>
            <w:tcW w:w="3168" w:type="dxa"/>
          </w:tcPr>
          <w:p w:rsidR="00D25EFC" w:rsidRDefault="00A27A2B">
            <w:r>
              <w:lastRenderedPageBreak/>
              <w:t xml:space="preserve">OIE Aquatic Manual </w:t>
            </w:r>
          </w:p>
        </w:tc>
        <w:tc>
          <w:tcPr>
            <w:tcW w:w="6075" w:type="dxa"/>
          </w:tcPr>
          <w:p w:rsidR="00D25EFC" w:rsidRDefault="00A27A2B">
            <w:r>
              <w:t xml:space="preserve">OIE </w:t>
            </w:r>
            <w:r>
              <w:rPr>
                <w:rStyle w:val="Emphasis"/>
              </w:rPr>
              <w:t xml:space="preserve">Manual of Diagnostic Tests for Aquatic Animals. </w:t>
            </w:r>
            <w:r>
              <w:t xml:space="preserve">Describes standards for laboratory diagnostic tests and the production and control of biological products (principally vaccines). Published annually online at http://www.oie.int/eng/normes/fmanual/A_summry.htm. </w:t>
            </w:r>
            <w:r>
              <w:rPr>
                <w:rStyle w:val="Emphasis"/>
              </w:rPr>
              <w:t xml:space="preserve">See </w:t>
            </w:r>
            <w:r>
              <w:t>Appendix 1 for further details.</w:t>
            </w:r>
          </w:p>
        </w:tc>
      </w:tr>
      <w:tr w:rsidR="00D25EFC">
        <w:trPr>
          <w:cantSplit/>
        </w:trPr>
        <w:tc>
          <w:tcPr>
            <w:tcW w:w="3168" w:type="dxa"/>
          </w:tcPr>
          <w:p w:rsidR="00D25EFC" w:rsidRDefault="00A27A2B">
            <w:r>
              <w:t>Operatio</w:t>
            </w:r>
            <w:r>
              <w:t xml:space="preserve">nal procedures </w:t>
            </w:r>
          </w:p>
        </w:tc>
        <w:tc>
          <w:tcPr>
            <w:tcW w:w="6075" w:type="dxa"/>
          </w:tcPr>
          <w:p w:rsidR="00D25EFC" w:rsidRDefault="00A27A2B">
            <w:r>
              <w:t>Detailed instructions for carrying out specific disease control activities, such as disposal, destruction, decontamination and valuation.</w:t>
            </w:r>
          </w:p>
        </w:tc>
      </w:tr>
      <w:tr w:rsidR="00D25EFC">
        <w:trPr>
          <w:cantSplit/>
        </w:trPr>
        <w:tc>
          <w:tcPr>
            <w:tcW w:w="3168" w:type="dxa"/>
          </w:tcPr>
          <w:p w:rsidR="00D25EFC" w:rsidRDefault="00A27A2B">
            <w:r>
              <w:t xml:space="preserve">Owner </w:t>
            </w:r>
          </w:p>
        </w:tc>
        <w:tc>
          <w:tcPr>
            <w:tcW w:w="6075" w:type="dxa"/>
          </w:tcPr>
          <w:p w:rsidR="00D25EFC" w:rsidRDefault="00A27A2B">
            <w:r>
              <w:t xml:space="preserve">Person responsible for a premises (includes an agent of the owner, such as a manager or other </w:t>
            </w:r>
            <w:r>
              <w:t>controlling officer).</w:t>
            </w:r>
          </w:p>
        </w:tc>
      </w:tr>
      <w:tr w:rsidR="00D25EFC">
        <w:trPr>
          <w:cantSplit/>
        </w:trPr>
        <w:tc>
          <w:tcPr>
            <w:tcW w:w="3168" w:type="dxa"/>
          </w:tcPr>
          <w:p w:rsidR="00D25EFC" w:rsidRDefault="00A27A2B">
            <w:r>
              <w:t>PCR</w:t>
            </w:r>
          </w:p>
        </w:tc>
        <w:tc>
          <w:tcPr>
            <w:tcW w:w="6075" w:type="dxa"/>
          </w:tcPr>
          <w:p w:rsidR="00D25EFC" w:rsidRDefault="00A27A2B">
            <w:pPr>
              <w:rPr>
                <w:rFonts w:cs="BookAntiqua-Italic"/>
                <w:iCs/>
              </w:rPr>
            </w:pPr>
            <w:r>
              <w:t xml:space="preserve">Polymerase chain reaction. A method of amplifying and analysing DNA sequences that can be used to detect the presence of virus DNA. See also </w:t>
            </w:r>
            <w:r>
              <w:rPr>
                <w:rStyle w:val="Emphasis"/>
              </w:rPr>
              <w:t xml:space="preserve">Reverse transcriptase-PCR (RT-PCR) </w:t>
            </w:r>
            <w:r>
              <w:t xml:space="preserve">and </w:t>
            </w:r>
            <w:r>
              <w:rPr>
                <w:rStyle w:val="Emphasis"/>
              </w:rPr>
              <w:t>Nested RT-PCR</w:t>
            </w:r>
            <w:r>
              <w:rPr>
                <w:rFonts w:cs="BookAntiqua-Italic"/>
                <w:iCs/>
              </w:rPr>
              <w:t>.</w:t>
            </w:r>
          </w:p>
        </w:tc>
      </w:tr>
      <w:tr w:rsidR="00D25EFC">
        <w:trPr>
          <w:cantSplit/>
        </w:trPr>
        <w:tc>
          <w:tcPr>
            <w:tcW w:w="3168" w:type="dxa"/>
          </w:tcPr>
          <w:p w:rsidR="00D25EFC" w:rsidRDefault="00A27A2B">
            <w:r>
              <w:t xml:space="preserve">Petechial haemorrhage </w:t>
            </w:r>
          </w:p>
        </w:tc>
        <w:tc>
          <w:tcPr>
            <w:tcW w:w="6075" w:type="dxa"/>
          </w:tcPr>
          <w:p w:rsidR="00D25EFC" w:rsidRDefault="00A27A2B">
            <w:r>
              <w:t>Tiny, flat</w:t>
            </w:r>
            <w:r>
              <w:t>, red or purple spots in the skin or mucous membranes caused by bleeding from small blood vessels.</w:t>
            </w:r>
          </w:p>
        </w:tc>
      </w:tr>
      <w:tr w:rsidR="00D25EFC">
        <w:trPr>
          <w:cantSplit/>
        </w:trPr>
        <w:tc>
          <w:tcPr>
            <w:tcW w:w="3168" w:type="dxa"/>
          </w:tcPr>
          <w:p w:rsidR="00D25EFC" w:rsidRDefault="00A27A2B">
            <w:r>
              <w:t xml:space="preserve">Premises or area </w:t>
            </w:r>
          </w:p>
        </w:tc>
        <w:tc>
          <w:tcPr>
            <w:tcW w:w="6075" w:type="dxa"/>
          </w:tcPr>
          <w:p w:rsidR="00D25EFC" w:rsidRDefault="00A27A2B">
            <w:pPr>
              <w:rPr>
                <w:rFonts w:cs="BookAntiqua"/>
              </w:rPr>
            </w:pPr>
            <w:r>
              <w:t xml:space="preserve">Any land, building or structure whatsoever or wheresoever situated where animals, animal product, animal pathogen, biological preparation </w:t>
            </w:r>
            <w:r>
              <w:t xml:space="preserve">or agricultural produce or any other thing that might carry animal pathogen is kept, stored, sold, prepared or dealt with in any manner whatsoever. </w:t>
            </w:r>
            <w:r>
              <w:rPr>
                <w:rFonts w:cs="BookAntiqua"/>
              </w:rPr>
              <w:t>A production site, which may range from an aquarium to an aquaculture lease in the open ocean.</w:t>
            </w:r>
          </w:p>
        </w:tc>
      </w:tr>
      <w:tr w:rsidR="00D25EFC">
        <w:trPr>
          <w:cantSplit/>
        </w:trPr>
        <w:tc>
          <w:tcPr>
            <w:tcW w:w="3168" w:type="dxa"/>
          </w:tcPr>
          <w:p w:rsidR="00D25EFC" w:rsidRDefault="00A27A2B">
            <w:r>
              <w:t xml:space="preserve">Prevalence </w:t>
            </w:r>
          </w:p>
        </w:tc>
        <w:tc>
          <w:tcPr>
            <w:tcW w:w="6075" w:type="dxa"/>
          </w:tcPr>
          <w:p w:rsidR="00D25EFC" w:rsidRDefault="00A27A2B">
            <w:r>
              <w:t>The proportion (or percentage) of animals in a particular population affected by a particular disease (or infection or demonstrating positive antibody titres) at a given point in time.</w:t>
            </w:r>
          </w:p>
        </w:tc>
      </w:tr>
      <w:tr w:rsidR="00D25EFC">
        <w:trPr>
          <w:cantSplit/>
        </w:trPr>
        <w:tc>
          <w:tcPr>
            <w:tcW w:w="3168" w:type="dxa"/>
          </w:tcPr>
          <w:p w:rsidR="00D25EFC" w:rsidRDefault="00A27A2B">
            <w:r>
              <w:t>qRT-PCR</w:t>
            </w:r>
          </w:p>
        </w:tc>
        <w:tc>
          <w:tcPr>
            <w:tcW w:w="6075" w:type="dxa"/>
          </w:tcPr>
          <w:p w:rsidR="00D25EFC" w:rsidRDefault="00A27A2B">
            <w:r>
              <w:t>Quantitative RT-PCR, also known as real time RT-PCR or kinetic</w:t>
            </w:r>
            <w:r>
              <w:t xml:space="preserve"> RT-PCR. A method that allows detection and measurement of the number of copies of PCR templates generated during each cycle of the PCR process.</w:t>
            </w:r>
          </w:p>
        </w:tc>
      </w:tr>
      <w:tr w:rsidR="00D25EFC">
        <w:trPr>
          <w:cantSplit/>
        </w:trPr>
        <w:tc>
          <w:tcPr>
            <w:tcW w:w="3168" w:type="dxa"/>
          </w:tcPr>
          <w:p w:rsidR="00D25EFC" w:rsidRDefault="00A27A2B">
            <w:r>
              <w:t xml:space="preserve">Quarantine </w:t>
            </w:r>
          </w:p>
        </w:tc>
        <w:tc>
          <w:tcPr>
            <w:tcW w:w="6075" w:type="dxa"/>
          </w:tcPr>
          <w:p w:rsidR="00D25EFC" w:rsidRDefault="00A27A2B">
            <w:r>
              <w:t>Legal restrictions imposed on places, fish, vehicles, or other objects, limiting movement.</w:t>
            </w:r>
          </w:p>
        </w:tc>
      </w:tr>
      <w:tr w:rsidR="00D25EFC">
        <w:trPr>
          <w:cantSplit/>
        </w:trPr>
        <w:tc>
          <w:tcPr>
            <w:tcW w:w="3168" w:type="dxa"/>
          </w:tcPr>
          <w:p w:rsidR="00D25EFC" w:rsidRDefault="00A27A2B">
            <w:r>
              <w:t xml:space="preserve">Restricted area </w:t>
            </w:r>
          </w:p>
        </w:tc>
        <w:tc>
          <w:tcPr>
            <w:tcW w:w="6075" w:type="dxa"/>
          </w:tcPr>
          <w:p w:rsidR="00D25EFC" w:rsidRDefault="00A27A2B">
            <w:r>
              <w:t>The area around an infected premises (or area), likely to be subject to intense surveillance and movement controls. It is likely to be relatively small. It may include some dangerous contact premises (or area) and some suspect premises (or</w:t>
            </w:r>
            <w:r>
              <w:t xml:space="preserve"> area), as well as enterprises that are not infected or under suspicion. Movement of potential vectors of disease out of the area will, in general, be prohibited. Movement into the restricted area would only be by permit. Multiple restricted areas may exis</w:t>
            </w:r>
            <w:r>
              <w:t>t within one control area.</w:t>
            </w:r>
          </w:p>
        </w:tc>
      </w:tr>
      <w:tr w:rsidR="00D25EFC">
        <w:trPr>
          <w:cantSplit/>
        </w:trPr>
        <w:tc>
          <w:tcPr>
            <w:tcW w:w="3168" w:type="dxa"/>
          </w:tcPr>
          <w:p w:rsidR="00D25EFC" w:rsidRDefault="00A27A2B">
            <w:r>
              <w:lastRenderedPageBreak/>
              <w:t xml:space="preserve">Risk enterprise </w:t>
            </w:r>
          </w:p>
        </w:tc>
        <w:tc>
          <w:tcPr>
            <w:tcW w:w="6075" w:type="dxa"/>
          </w:tcPr>
          <w:p w:rsidR="00D25EFC" w:rsidRDefault="00A27A2B">
            <w:r>
              <w:t>A defined livestock or related enterprise which is potentially a major source of infection for many other premises. Examples include hatcheries, aquaculture farms, processing plants, packing sheds, fish markets,</w:t>
            </w:r>
            <w:r>
              <w:t xml:space="preserve"> tourist angling premises, veterinary laboratories, road and rail freight depots and garbage depots.</w:t>
            </w:r>
          </w:p>
        </w:tc>
      </w:tr>
      <w:tr w:rsidR="00D25EFC">
        <w:trPr>
          <w:cantSplit/>
        </w:trPr>
        <w:tc>
          <w:tcPr>
            <w:tcW w:w="3168" w:type="dxa"/>
          </w:tcPr>
          <w:p w:rsidR="00D25EFC" w:rsidRDefault="00A27A2B">
            <w:r>
              <w:t>RT-PCR</w:t>
            </w:r>
          </w:p>
        </w:tc>
        <w:tc>
          <w:tcPr>
            <w:tcW w:w="6075" w:type="dxa"/>
          </w:tcPr>
          <w:p w:rsidR="00D25EFC" w:rsidRDefault="00A27A2B">
            <w:pPr>
              <w:rPr>
                <w:rFonts w:cs="BookAntiqua-Italic"/>
                <w:iCs/>
              </w:rPr>
            </w:pPr>
            <w:r>
              <w:rPr>
                <w:rFonts w:cs="BookAntiqua"/>
              </w:rPr>
              <w:t xml:space="preserve">Reverse transcriptase polymerase chain reaction. </w:t>
            </w:r>
            <w:r>
              <w:t>A PCR method for amplifying a defined piece of ribonucleic acid (RNA). The RNA strand is first rev</w:t>
            </w:r>
            <w:r>
              <w:t>erse transcribed into its DNA complement, followed by amplification of the resulting DNA.</w:t>
            </w:r>
            <w:r>
              <w:rPr>
                <w:rFonts w:cs="BookAntiqua"/>
              </w:rPr>
              <w:t xml:space="preserve"> See </w:t>
            </w:r>
            <w:r>
              <w:rPr>
                <w:rStyle w:val="Emphasis"/>
              </w:rPr>
              <w:t>Polymerase chain reaction (PCR),</w:t>
            </w:r>
            <w:r>
              <w:rPr>
                <w:rFonts w:cs="BookAntiqua"/>
              </w:rPr>
              <w:t xml:space="preserve"> </w:t>
            </w:r>
            <w:r>
              <w:rPr>
                <w:rStyle w:val="Emphasis"/>
              </w:rPr>
              <w:t xml:space="preserve">Nested RT-PCR </w:t>
            </w:r>
            <w:r>
              <w:rPr>
                <w:rFonts w:cs="BookAntiqua-Italic"/>
                <w:iCs/>
              </w:rPr>
              <w:t xml:space="preserve">and </w:t>
            </w:r>
            <w:r>
              <w:rPr>
                <w:rStyle w:val="Emphasis"/>
              </w:rPr>
              <w:t>qRT-PCR</w:t>
            </w:r>
            <w:r>
              <w:rPr>
                <w:rFonts w:cs="BookAntiqua-Italic"/>
                <w:iCs/>
              </w:rPr>
              <w:t>.</w:t>
            </w:r>
          </w:p>
        </w:tc>
      </w:tr>
      <w:tr w:rsidR="00D25EFC">
        <w:trPr>
          <w:cantSplit/>
        </w:trPr>
        <w:tc>
          <w:tcPr>
            <w:tcW w:w="3168" w:type="dxa"/>
          </w:tcPr>
          <w:p w:rsidR="00D25EFC" w:rsidRDefault="00A27A2B">
            <w:pPr>
              <w:rPr>
                <w:rFonts w:cs="BookAntiqua"/>
              </w:rPr>
            </w:pPr>
            <w:r>
              <w:t>Standing Council on Primary Industries (SCoPI)</w:t>
            </w:r>
          </w:p>
        </w:tc>
        <w:tc>
          <w:tcPr>
            <w:tcW w:w="6075" w:type="dxa"/>
          </w:tcPr>
          <w:p w:rsidR="00D25EFC" w:rsidRDefault="00A27A2B">
            <w:pPr>
              <w:rPr>
                <w:rFonts w:cs="BookAntiqua"/>
              </w:rPr>
            </w:pPr>
            <w:r>
              <w:t xml:space="preserve">SCoPI is the subsumed parts of the two previous </w:t>
            </w:r>
            <w:r>
              <w:t>ministerial councils, the Primary Industries Ministerial Council (PIMC) and the Natural Resource Management Ministerial Council (NRMMC). SCoPI aims to pursue and monitor priority issues of national significance affecting Australia’s primary production sect</w:t>
            </w:r>
            <w:r>
              <w:t>ors which require a sustained and collaborative effort across jurisdictions; and address key areas of shared Commonwealth, state and territory responsibility and funding for Australia’s primary production sectors.</w:t>
            </w:r>
          </w:p>
        </w:tc>
      </w:tr>
      <w:tr w:rsidR="00D25EFC">
        <w:trPr>
          <w:cantSplit/>
        </w:trPr>
        <w:tc>
          <w:tcPr>
            <w:tcW w:w="3168" w:type="dxa"/>
          </w:tcPr>
          <w:p w:rsidR="00D25EFC" w:rsidRDefault="00A27A2B">
            <w:r>
              <w:t xml:space="preserve">Sensitivity </w:t>
            </w:r>
          </w:p>
        </w:tc>
        <w:tc>
          <w:tcPr>
            <w:tcW w:w="6075" w:type="dxa"/>
          </w:tcPr>
          <w:p w:rsidR="00D25EFC" w:rsidRDefault="00A27A2B">
            <w:r>
              <w:t>The proportion of affected i</w:t>
            </w:r>
            <w:r>
              <w:t xml:space="preserve">ndividuals in the tested population that are correctly identified as positive by a diagnostic test (true positive rate). </w:t>
            </w:r>
            <w:r>
              <w:rPr>
                <w:rStyle w:val="Emphasis"/>
              </w:rPr>
              <w:t xml:space="preserve">See also </w:t>
            </w:r>
            <w:r>
              <w:t>Specificity.</w:t>
            </w:r>
          </w:p>
        </w:tc>
      </w:tr>
      <w:tr w:rsidR="00D25EFC">
        <w:trPr>
          <w:cantSplit/>
        </w:trPr>
        <w:tc>
          <w:tcPr>
            <w:tcW w:w="3168" w:type="dxa"/>
          </w:tcPr>
          <w:p w:rsidR="00D25EFC" w:rsidRDefault="00A27A2B">
            <w:r>
              <w:t xml:space="preserve">Septicaemia </w:t>
            </w:r>
          </w:p>
        </w:tc>
        <w:tc>
          <w:tcPr>
            <w:tcW w:w="6075" w:type="dxa"/>
          </w:tcPr>
          <w:p w:rsidR="00D25EFC" w:rsidRDefault="00A27A2B">
            <w:r>
              <w:t>Systemic disease associated with the invasion and persistence of pathogens, or their toxins, in the</w:t>
            </w:r>
            <w:r>
              <w:t xml:space="preserve"> bloodstream.</w:t>
            </w:r>
          </w:p>
        </w:tc>
      </w:tr>
      <w:tr w:rsidR="00D25EFC">
        <w:trPr>
          <w:cantSplit/>
        </w:trPr>
        <w:tc>
          <w:tcPr>
            <w:tcW w:w="3168" w:type="dxa"/>
          </w:tcPr>
          <w:p w:rsidR="00D25EFC" w:rsidRDefault="00A27A2B">
            <w:r>
              <w:t xml:space="preserve">Serotype </w:t>
            </w:r>
          </w:p>
        </w:tc>
        <w:tc>
          <w:tcPr>
            <w:tcW w:w="6075" w:type="dxa"/>
          </w:tcPr>
          <w:p w:rsidR="00D25EFC" w:rsidRDefault="00A27A2B">
            <w:r>
              <w:t>A subgroup of a specific microorganism identified by the antigens carried (as determined by a serological test).</w:t>
            </w:r>
          </w:p>
        </w:tc>
      </w:tr>
      <w:tr w:rsidR="00D25EFC">
        <w:trPr>
          <w:cantSplit/>
        </w:trPr>
        <w:tc>
          <w:tcPr>
            <w:tcW w:w="3168" w:type="dxa"/>
          </w:tcPr>
          <w:p w:rsidR="00D25EFC" w:rsidRDefault="00A27A2B">
            <w:r>
              <w:t xml:space="preserve">Specificity </w:t>
            </w:r>
          </w:p>
        </w:tc>
        <w:tc>
          <w:tcPr>
            <w:tcW w:w="6075" w:type="dxa"/>
          </w:tcPr>
          <w:p w:rsidR="00D25EFC" w:rsidRDefault="00A27A2B">
            <w:r>
              <w:t xml:space="preserve">The proportion of nonaffected individuals in the tested population that are correctly identified as negative by a diagnostic test (true negative rate). </w:t>
            </w:r>
            <w:r>
              <w:rPr>
                <w:rStyle w:val="Emphasis"/>
              </w:rPr>
              <w:t xml:space="preserve">See also </w:t>
            </w:r>
            <w:r>
              <w:t>Sensitivity.</w:t>
            </w:r>
          </w:p>
        </w:tc>
      </w:tr>
      <w:tr w:rsidR="00D25EFC">
        <w:trPr>
          <w:cantSplit/>
        </w:trPr>
        <w:tc>
          <w:tcPr>
            <w:tcW w:w="3168" w:type="dxa"/>
          </w:tcPr>
          <w:p w:rsidR="00D25EFC" w:rsidRDefault="00A27A2B">
            <w:r>
              <w:t>State or territory disease control headquarters</w:t>
            </w:r>
          </w:p>
        </w:tc>
        <w:tc>
          <w:tcPr>
            <w:tcW w:w="6075" w:type="dxa"/>
          </w:tcPr>
          <w:p w:rsidR="00D25EFC" w:rsidRDefault="00A27A2B">
            <w:r>
              <w:t>The emergency operations centre t</w:t>
            </w:r>
            <w:r>
              <w:t>hat directs the disease control operations to be undertaken in that state or territory.</w:t>
            </w:r>
          </w:p>
        </w:tc>
      </w:tr>
      <w:tr w:rsidR="00D25EFC">
        <w:trPr>
          <w:cantSplit/>
        </w:trPr>
        <w:tc>
          <w:tcPr>
            <w:tcW w:w="3168" w:type="dxa"/>
          </w:tcPr>
          <w:p w:rsidR="00D25EFC" w:rsidRDefault="00A27A2B">
            <w:r>
              <w:t xml:space="preserve">Surveillance </w:t>
            </w:r>
          </w:p>
        </w:tc>
        <w:tc>
          <w:tcPr>
            <w:tcW w:w="6075" w:type="dxa"/>
          </w:tcPr>
          <w:p w:rsidR="00D25EFC" w:rsidRDefault="00A27A2B">
            <w:r>
              <w:t>A systematic series of investigations of a given population of fish to detect the occurrence of disease for control purposes, and which may involve testi</w:t>
            </w:r>
            <w:r>
              <w:t>ng samples of a population.</w:t>
            </w:r>
          </w:p>
        </w:tc>
      </w:tr>
      <w:tr w:rsidR="00D25EFC">
        <w:trPr>
          <w:cantSplit/>
        </w:trPr>
        <w:tc>
          <w:tcPr>
            <w:tcW w:w="3168" w:type="dxa"/>
          </w:tcPr>
          <w:p w:rsidR="00D25EFC" w:rsidRDefault="00A27A2B">
            <w:r>
              <w:t xml:space="preserve">Susceptible fish </w:t>
            </w:r>
          </w:p>
        </w:tc>
        <w:tc>
          <w:tcPr>
            <w:tcW w:w="6075" w:type="dxa"/>
          </w:tcPr>
          <w:p w:rsidR="00D25EFC" w:rsidRDefault="00A27A2B">
            <w:r>
              <w:t>Fish that can be infected by a particular disease agent.</w:t>
            </w:r>
          </w:p>
        </w:tc>
      </w:tr>
      <w:tr w:rsidR="00D25EFC">
        <w:trPr>
          <w:cantSplit/>
        </w:trPr>
        <w:tc>
          <w:tcPr>
            <w:tcW w:w="3168" w:type="dxa"/>
          </w:tcPr>
          <w:p w:rsidR="00D25EFC" w:rsidRDefault="00A27A2B">
            <w:r>
              <w:lastRenderedPageBreak/>
              <w:t xml:space="preserve">Suspect fish </w:t>
            </w:r>
          </w:p>
        </w:tc>
        <w:tc>
          <w:tcPr>
            <w:tcW w:w="6075" w:type="dxa"/>
          </w:tcPr>
          <w:p w:rsidR="00D25EFC" w:rsidRDefault="00A27A2B">
            <w:r>
              <w:t>Fish that may have been exposed to an emergency disease (such exposure may prompt quarantine and intensive surveillance, but not necessar</w:t>
            </w:r>
            <w:r>
              <w:t xml:space="preserve">ily pre-emptive slaughter); </w:t>
            </w:r>
            <w:r>
              <w:rPr>
                <w:rStyle w:val="Emphasis"/>
              </w:rPr>
              <w:t xml:space="preserve">or </w:t>
            </w:r>
            <w:r>
              <w:t>fish not known to have been exposed to a disease agent but showing clinical signs requiring further diagnostic investigation to confirm cause.</w:t>
            </w:r>
          </w:p>
        </w:tc>
      </w:tr>
      <w:tr w:rsidR="00D25EFC">
        <w:trPr>
          <w:cantSplit/>
        </w:trPr>
        <w:tc>
          <w:tcPr>
            <w:tcW w:w="3168" w:type="dxa"/>
          </w:tcPr>
          <w:p w:rsidR="00D25EFC" w:rsidRDefault="00A27A2B">
            <w:r>
              <w:t>Suspect premises or area</w:t>
            </w:r>
          </w:p>
        </w:tc>
        <w:tc>
          <w:tcPr>
            <w:tcW w:w="6075" w:type="dxa"/>
          </w:tcPr>
          <w:p w:rsidR="00D25EFC" w:rsidRDefault="00A27A2B">
            <w:r>
              <w:t xml:space="preserve">Temporary classification of premises containing suspect </w:t>
            </w:r>
            <w:r>
              <w:t xml:space="preserve">fish. After rapid resolution of the status of the suspect fish contained on it, a suspect premises is reclassified either as an infected premises (and appropriate disease control measures taken) or as free from disease. The reason for the suspicion varies </w:t>
            </w:r>
            <w:r>
              <w:t>with the agent and may involve expression of clinical signs or observations of increased mortality.</w:t>
            </w:r>
          </w:p>
        </w:tc>
      </w:tr>
      <w:tr w:rsidR="00D25EFC">
        <w:trPr>
          <w:cantSplit/>
        </w:trPr>
        <w:tc>
          <w:tcPr>
            <w:tcW w:w="3168" w:type="dxa"/>
          </w:tcPr>
          <w:p w:rsidR="00D25EFC" w:rsidRDefault="00A27A2B">
            <w:r>
              <w:t>Thrombocytopenia</w:t>
            </w:r>
          </w:p>
        </w:tc>
        <w:tc>
          <w:tcPr>
            <w:tcW w:w="6075" w:type="dxa"/>
          </w:tcPr>
          <w:p w:rsidR="00D25EFC" w:rsidRDefault="00A27A2B">
            <w:pPr>
              <w:rPr>
                <w:rFonts w:cs="BookAntiqua"/>
              </w:rPr>
            </w:pPr>
            <w:r>
              <w:t>Reduced number of thrombocytes in the blood.</w:t>
            </w:r>
          </w:p>
        </w:tc>
      </w:tr>
      <w:tr w:rsidR="00D25EFC">
        <w:trPr>
          <w:cantSplit/>
        </w:trPr>
        <w:tc>
          <w:tcPr>
            <w:tcW w:w="3168" w:type="dxa"/>
          </w:tcPr>
          <w:p w:rsidR="00D25EFC" w:rsidRDefault="00A27A2B">
            <w:r>
              <w:t xml:space="preserve">Tracing </w:t>
            </w:r>
          </w:p>
        </w:tc>
        <w:tc>
          <w:tcPr>
            <w:tcW w:w="6075" w:type="dxa"/>
          </w:tcPr>
          <w:p w:rsidR="00D25EFC" w:rsidRDefault="00A27A2B">
            <w:r>
              <w:t xml:space="preserve">The process of locating animals, persons or other items that may be implicated in </w:t>
            </w:r>
            <w:r>
              <w:t>the spread of disease, so that appropriate action can be taken.</w:t>
            </w:r>
          </w:p>
        </w:tc>
      </w:tr>
      <w:tr w:rsidR="00D25EFC">
        <w:trPr>
          <w:cantSplit/>
        </w:trPr>
        <w:tc>
          <w:tcPr>
            <w:tcW w:w="3168" w:type="dxa"/>
          </w:tcPr>
          <w:p w:rsidR="00D25EFC" w:rsidRDefault="00A27A2B">
            <w:r>
              <w:t xml:space="preserve">Vaccination </w:t>
            </w:r>
          </w:p>
        </w:tc>
        <w:tc>
          <w:tcPr>
            <w:tcW w:w="6075" w:type="dxa"/>
          </w:tcPr>
          <w:p w:rsidR="00D25EFC" w:rsidRDefault="00A27A2B">
            <w:r>
              <w:t>Inoculation of healthy individuals with antigens of disease-causing agents to stimulate a host immune response to provide protection from disease.</w:t>
            </w:r>
          </w:p>
        </w:tc>
      </w:tr>
      <w:tr w:rsidR="00D25EFC">
        <w:trPr>
          <w:cantSplit/>
        </w:trPr>
        <w:tc>
          <w:tcPr>
            <w:tcW w:w="3168" w:type="dxa"/>
          </w:tcPr>
          <w:p w:rsidR="00D25EFC" w:rsidRDefault="00A27A2B">
            <w:r>
              <w:t xml:space="preserve">Vaccine </w:t>
            </w:r>
          </w:p>
        </w:tc>
        <w:tc>
          <w:tcPr>
            <w:tcW w:w="6075" w:type="dxa"/>
          </w:tcPr>
          <w:p w:rsidR="00D25EFC" w:rsidRDefault="00A27A2B">
            <w:r>
              <w:t>Modified strains or a</w:t>
            </w:r>
            <w:r>
              <w:t>ntigenic components of disease-causing agents which are manufactured specifically to protect against a pathogen. They are typically applied to fish by injection or immersion.</w:t>
            </w:r>
          </w:p>
        </w:tc>
      </w:tr>
      <w:tr w:rsidR="00D25EFC">
        <w:trPr>
          <w:cantSplit/>
        </w:trPr>
        <w:tc>
          <w:tcPr>
            <w:tcW w:w="3168" w:type="dxa"/>
          </w:tcPr>
          <w:p w:rsidR="00D25EFC" w:rsidRDefault="00A27A2B">
            <w:r>
              <w:t>Vector</w:t>
            </w:r>
          </w:p>
        </w:tc>
        <w:tc>
          <w:tcPr>
            <w:tcW w:w="6075" w:type="dxa"/>
          </w:tcPr>
          <w:p w:rsidR="00D25EFC" w:rsidRDefault="00A27A2B">
            <w:r>
              <w:t>A living organism that transmits an infectious agent from one host to ano</w:t>
            </w:r>
            <w:r>
              <w:t xml:space="preserve">ther. A </w:t>
            </w:r>
            <w:r>
              <w:rPr>
                <w:rStyle w:val="Emphasis"/>
              </w:rPr>
              <w:t xml:space="preserve">biological </w:t>
            </w:r>
            <w:r>
              <w:t xml:space="preserve">vector is one in which the infectious agent must develop or multiply before becoming infective to a recipient host. A </w:t>
            </w:r>
            <w:r>
              <w:rPr>
                <w:rStyle w:val="Emphasis"/>
              </w:rPr>
              <w:t xml:space="preserve">mechanical </w:t>
            </w:r>
            <w:r>
              <w:t>vector is one that transmits an infectious agent from one host to another but is not essential to the life c</w:t>
            </w:r>
            <w:r>
              <w:t>ycle of the agent.</w:t>
            </w:r>
          </w:p>
        </w:tc>
      </w:tr>
      <w:tr w:rsidR="00D25EFC">
        <w:trPr>
          <w:cantSplit/>
        </w:trPr>
        <w:tc>
          <w:tcPr>
            <w:tcW w:w="3168" w:type="dxa"/>
          </w:tcPr>
          <w:p w:rsidR="00D25EFC" w:rsidRDefault="00A27A2B">
            <w:r>
              <w:t xml:space="preserve">Zoning </w:t>
            </w:r>
          </w:p>
        </w:tc>
        <w:tc>
          <w:tcPr>
            <w:tcW w:w="6075" w:type="dxa"/>
          </w:tcPr>
          <w:p w:rsidR="00D25EFC" w:rsidRDefault="00A27A2B">
            <w:r>
              <w:t>The process of defining disease-free and infected areas.</w:t>
            </w:r>
          </w:p>
        </w:tc>
      </w:tr>
    </w:tbl>
    <w:p w:rsidR="00D25EFC" w:rsidRDefault="00A27A2B">
      <w:r>
        <w:br w:type="page"/>
      </w:r>
    </w:p>
    <w:p w:rsidR="00D25EFC" w:rsidRDefault="00A27A2B">
      <w:pPr>
        <w:pStyle w:val="Heading3unnumbered"/>
      </w:pPr>
      <w:bookmarkStart w:id="208" w:name="_Toc402970399"/>
      <w:bookmarkStart w:id="209" w:name="_Toc408388688"/>
      <w:bookmarkStart w:id="210" w:name="_Toc408836372"/>
      <w:r>
        <w:lastRenderedPageBreak/>
        <w:t>Abbreviations</w:t>
      </w:r>
      <w:bookmarkEnd w:id="208"/>
      <w:bookmarkEnd w:id="209"/>
      <w:bookmarkEnd w:id="210"/>
    </w:p>
    <w:tbl>
      <w:tblPr>
        <w:tblW w:w="0" w:type="auto"/>
        <w:tblLook w:val="04A0"/>
      </w:tblPr>
      <w:tblGrid>
        <w:gridCol w:w="2166"/>
        <w:gridCol w:w="6350"/>
      </w:tblGrid>
      <w:tr w:rsidR="00D25EFC">
        <w:tc>
          <w:tcPr>
            <w:tcW w:w="2235" w:type="dxa"/>
            <w:shd w:val="clear" w:color="auto" w:fill="auto"/>
          </w:tcPr>
          <w:p w:rsidR="00D25EFC" w:rsidRDefault="00A27A2B">
            <w:r>
              <w:t>AAHL</w:t>
            </w:r>
          </w:p>
        </w:tc>
        <w:tc>
          <w:tcPr>
            <w:tcW w:w="7008" w:type="dxa"/>
            <w:shd w:val="clear" w:color="auto" w:fill="auto"/>
          </w:tcPr>
          <w:p w:rsidR="00D25EFC" w:rsidRDefault="00A27A2B">
            <w:r>
              <w:t>Australian Animal Health Laboratory</w:t>
            </w:r>
          </w:p>
        </w:tc>
      </w:tr>
      <w:tr w:rsidR="00D25EFC">
        <w:tc>
          <w:tcPr>
            <w:tcW w:w="2235" w:type="dxa"/>
            <w:shd w:val="clear" w:color="auto" w:fill="auto"/>
          </w:tcPr>
          <w:p w:rsidR="00D25EFC" w:rsidRDefault="00A27A2B">
            <w:r>
              <w:t>ACVO</w:t>
            </w:r>
          </w:p>
        </w:tc>
        <w:tc>
          <w:tcPr>
            <w:tcW w:w="7008" w:type="dxa"/>
            <w:shd w:val="clear" w:color="auto" w:fill="auto"/>
          </w:tcPr>
          <w:p w:rsidR="00D25EFC" w:rsidRDefault="00A27A2B">
            <w:r>
              <w:t>Australian Chief Veterinary Officer</w:t>
            </w:r>
          </w:p>
        </w:tc>
      </w:tr>
      <w:tr w:rsidR="00D25EFC">
        <w:tc>
          <w:tcPr>
            <w:tcW w:w="2235" w:type="dxa"/>
            <w:shd w:val="clear" w:color="auto" w:fill="auto"/>
          </w:tcPr>
          <w:p w:rsidR="00D25EFC" w:rsidRDefault="00A27A2B">
            <w:r>
              <w:t>AFDL</w:t>
            </w:r>
          </w:p>
        </w:tc>
        <w:tc>
          <w:tcPr>
            <w:tcW w:w="7008" w:type="dxa"/>
            <w:shd w:val="clear" w:color="auto" w:fill="auto"/>
          </w:tcPr>
          <w:p w:rsidR="00D25EFC" w:rsidRDefault="00A27A2B">
            <w:r>
              <w:t>AAHL Fish Disease Laboratory</w:t>
            </w:r>
          </w:p>
        </w:tc>
      </w:tr>
      <w:tr w:rsidR="00D25EFC">
        <w:tc>
          <w:tcPr>
            <w:tcW w:w="2235" w:type="dxa"/>
            <w:shd w:val="clear" w:color="auto" w:fill="auto"/>
          </w:tcPr>
          <w:p w:rsidR="00D25EFC" w:rsidRDefault="00A27A2B">
            <w:r>
              <w:t>AQUAVETPLAN</w:t>
            </w:r>
          </w:p>
        </w:tc>
        <w:tc>
          <w:tcPr>
            <w:tcW w:w="7008" w:type="dxa"/>
            <w:shd w:val="clear" w:color="auto" w:fill="auto"/>
          </w:tcPr>
          <w:p w:rsidR="00D25EFC" w:rsidRDefault="00A27A2B">
            <w:r>
              <w:t xml:space="preserve">Australian Aquatic </w:t>
            </w:r>
            <w:r>
              <w:t>Veterinary Emergency Plan</w:t>
            </w:r>
          </w:p>
        </w:tc>
      </w:tr>
      <w:tr w:rsidR="00D25EFC">
        <w:tc>
          <w:tcPr>
            <w:tcW w:w="2235" w:type="dxa"/>
            <w:shd w:val="clear" w:color="auto" w:fill="auto"/>
          </w:tcPr>
          <w:p w:rsidR="00D25EFC" w:rsidRDefault="00A27A2B">
            <w:r>
              <w:t>AUSVETPLAN</w:t>
            </w:r>
          </w:p>
        </w:tc>
        <w:tc>
          <w:tcPr>
            <w:tcW w:w="7008" w:type="dxa"/>
            <w:shd w:val="clear" w:color="auto" w:fill="auto"/>
          </w:tcPr>
          <w:p w:rsidR="00D25EFC" w:rsidRDefault="00A27A2B">
            <w:r>
              <w:t>Australian Veterinary Emergency Plan</w:t>
            </w:r>
          </w:p>
        </w:tc>
      </w:tr>
      <w:tr w:rsidR="00D25EFC">
        <w:tc>
          <w:tcPr>
            <w:tcW w:w="2235" w:type="dxa"/>
            <w:shd w:val="clear" w:color="auto" w:fill="auto"/>
          </w:tcPr>
          <w:p w:rsidR="00D25EFC" w:rsidRDefault="00A27A2B">
            <w:r>
              <w:t>CEFAS</w:t>
            </w:r>
          </w:p>
        </w:tc>
        <w:tc>
          <w:tcPr>
            <w:tcW w:w="7008" w:type="dxa"/>
            <w:shd w:val="clear" w:color="auto" w:fill="auto"/>
          </w:tcPr>
          <w:p w:rsidR="00D25EFC" w:rsidRDefault="00A27A2B">
            <w:r>
              <w:t>Centre for Environment, Fisheries and Aquaculture Science</w:t>
            </w:r>
          </w:p>
        </w:tc>
      </w:tr>
      <w:tr w:rsidR="00D25EFC">
        <w:tc>
          <w:tcPr>
            <w:tcW w:w="2235" w:type="dxa"/>
            <w:shd w:val="clear" w:color="auto" w:fill="auto"/>
          </w:tcPr>
          <w:p w:rsidR="00D25EFC" w:rsidRDefault="00A27A2B">
            <w:r>
              <w:t>CSIRO</w:t>
            </w:r>
          </w:p>
        </w:tc>
        <w:tc>
          <w:tcPr>
            <w:tcW w:w="7008" w:type="dxa"/>
            <w:shd w:val="clear" w:color="auto" w:fill="auto"/>
          </w:tcPr>
          <w:p w:rsidR="00D25EFC" w:rsidRDefault="00A27A2B">
            <w:r>
              <w:t>Commonwealth Scientific and Industrial Research Organisation</w:t>
            </w:r>
          </w:p>
        </w:tc>
      </w:tr>
      <w:tr w:rsidR="00D25EFC">
        <w:tc>
          <w:tcPr>
            <w:tcW w:w="2235" w:type="dxa"/>
            <w:shd w:val="clear" w:color="auto" w:fill="auto"/>
          </w:tcPr>
          <w:p w:rsidR="00D25EFC" w:rsidRDefault="00A27A2B">
            <w:r>
              <w:t>CVO</w:t>
            </w:r>
          </w:p>
        </w:tc>
        <w:tc>
          <w:tcPr>
            <w:tcW w:w="7008" w:type="dxa"/>
            <w:shd w:val="clear" w:color="auto" w:fill="auto"/>
          </w:tcPr>
          <w:p w:rsidR="00D25EFC" w:rsidRDefault="00A27A2B">
            <w:r>
              <w:t>Chief Veterinary Officer</w:t>
            </w:r>
          </w:p>
        </w:tc>
      </w:tr>
      <w:tr w:rsidR="00D25EFC">
        <w:tc>
          <w:tcPr>
            <w:tcW w:w="2235" w:type="dxa"/>
            <w:shd w:val="clear" w:color="auto" w:fill="auto"/>
          </w:tcPr>
          <w:p w:rsidR="00D25EFC" w:rsidRDefault="00A27A2B">
            <w:r>
              <w:t>DNA</w:t>
            </w:r>
          </w:p>
        </w:tc>
        <w:tc>
          <w:tcPr>
            <w:tcW w:w="7008" w:type="dxa"/>
            <w:shd w:val="clear" w:color="auto" w:fill="auto"/>
          </w:tcPr>
          <w:p w:rsidR="00D25EFC" w:rsidRDefault="00A27A2B">
            <w:r>
              <w:t>Deoxyribonucleic acid</w:t>
            </w:r>
          </w:p>
        </w:tc>
      </w:tr>
      <w:tr w:rsidR="00D25EFC">
        <w:tc>
          <w:tcPr>
            <w:tcW w:w="2235" w:type="dxa"/>
            <w:shd w:val="clear" w:color="auto" w:fill="auto"/>
          </w:tcPr>
          <w:p w:rsidR="00D25EFC" w:rsidRDefault="00A27A2B">
            <w:r>
              <w:t>ELISA</w:t>
            </w:r>
          </w:p>
        </w:tc>
        <w:tc>
          <w:tcPr>
            <w:tcW w:w="7008" w:type="dxa"/>
            <w:shd w:val="clear" w:color="auto" w:fill="auto"/>
          </w:tcPr>
          <w:p w:rsidR="00D25EFC" w:rsidRDefault="00A27A2B">
            <w:r>
              <w:t>Enzyme-linked immunosorbent assay</w:t>
            </w:r>
          </w:p>
        </w:tc>
      </w:tr>
      <w:tr w:rsidR="00D25EFC">
        <w:tc>
          <w:tcPr>
            <w:tcW w:w="2235" w:type="dxa"/>
            <w:shd w:val="clear" w:color="auto" w:fill="auto"/>
          </w:tcPr>
          <w:p w:rsidR="00D25EFC" w:rsidRDefault="00A27A2B">
            <w:r>
              <w:t>FRDC</w:t>
            </w:r>
          </w:p>
        </w:tc>
        <w:tc>
          <w:tcPr>
            <w:tcW w:w="7008" w:type="dxa"/>
            <w:shd w:val="clear" w:color="auto" w:fill="auto"/>
          </w:tcPr>
          <w:p w:rsidR="00D25EFC" w:rsidRDefault="00A27A2B">
            <w:r>
              <w:t>Fisheries Research and Development Corporation</w:t>
            </w:r>
          </w:p>
        </w:tc>
      </w:tr>
      <w:tr w:rsidR="00D25EFC">
        <w:tc>
          <w:tcPr>
            <w:tcW w:w="2235" w:type="dxa"/>
            <w:shd w:val="clear" w:color="auto" w:fill="auto"/>
          </w:tcPr>
          <w:p w:rsidR="00D25EFC" w:rsidRDefault="00A27A2B">
            <w:r>
              <w:t>G</w:t>
            </w:r>
          </w:p>
        </w:tc>
        <w:tc>
          <w:tcPr>
            <w:tcW w:w="7008" w:type="dxa"/>
            <w:shd w:val="clear" w:color="auto" w:fill="auto"/>
          </w:tcPr>
          <w:p w:rsidR="00D25EFC" w:rsidRDefault="00A27A2B">
            <w:r>
              <w:t>Glycoprotein of VHSV</w:t>
            </w:r>
          </w:p>
        </w:tc>
      </w:tr>
      <w:tr w:rsidR="00D25EFC">
        <w:tc>
          <w:tcPr>
            <w:tcW w:w="2235" w:type="dxa"/>
            <w:shd w:val="clear" w:color="auto" w:fill="auto"/>
          </w:tcPr>
          <w:p w:rsidR="00D25EFC" w:rsidRDefault="00A27A2B">
            <w:r>
              <w:t>IHN</w:t>
            </w:r>
          </w:p>
        </w:tc>
        <w:tc>
          <w:tcPr>
            <w:tcW w:w="7008" w:type="dxa"/>
            <w:shd w:val="clear" w:color="auto" w:fill="auto"/>
          </w:tcPr>
          <w:p w:rsidR="00D25EFC" w:rsidRDefault="00A27A2B">
            <w:r>
              <w:t>Infectious haematopoietic necrosis</w:t>
            </w:r>
          </w:p>
        </w:tc>
      </w:tr>
      <w:tr w:rsidR="00D25EFC">
        <w:tc>
          <w:tcPr>
            <w:tcW w:w="2235" w:type="dxa"/>
            <w:shd w:val="clear" w:color="auto" w:fill="auto"/>
          </w:tcPr>
          <w:p w:rsidR="00D25EFC" w:rsidRDefault="00A27A2B">
            <w:r>
              <w:t>ISA</w:t>
            </w:r>
          </w:p>
        </w:tc>
        <w:tc>
          <w:tcPr>
            <w:tcW w:w="7008" w:type="dxa"/>
            <w:shd w:val="clear" w:color="auto" w:fill="auto"/>
          </w:tcPr>
          <w:p w:rsidR="00D25EFC" w:rsidRDefault="00A27A2B">
            <w:r>
              <w:t>Infectious salmon anaemia</w:t>
            </w:r>
          </w:p>
        </w:tc>
      </w:tr>
      <w:tr w:rsidR="00D25EFC">
        <w:tc>
          <w:tcPr>
            <w:tcW w:w="2235" w:type="dxa"/>
            <w:shd w:val="clear" w:color="auto" w:fill="auto"/>
          </w:tcPr>
          <w:p w:rsidR="00D25EFC" w:rsidRDefault="00A27A2B">
            <w:r>
              <w:t>L</w:t>
            </w:r>
          </w:p>
        </w:tc>
        <w:tc>
          <w:tcPr>
            <w:tcW w:w="7008" w:type="dxa"/>
            <w:shd w:val="clear" w:color="auto" w:fill="auto"/>
          </w:tcPr>
          <w:p w:rsidR="00D25EFC" w:rsidRDefault="00A27A2B">
            <w:r>
              <w:t>Polymerase of VHSV</w:t>
            </w:r>
          </w:p>
        </w:tc>
      </w:tr>
      <w:tr w:rsidR="00D25EFC">
        <w:tc>
          <w:tcPr>
            <w:tcW w:w="2235" w:type="dxa"/>
            <w:shd w:val="clear" w:color="auto" w:fill="auto"/>
          </w:tcPr>
          <w:p w:rsidR="00D25EFC" w:rsidRDefault="00A27A2B">
            <w:r>
              <w:t>M</w:t>
            </w:r>
          </w:p>
        </w:tc>
        <w:tc>
          <w:tcPr>
            <w:tcW w:w="7008" w:type="dxa"/>
            <w:shd w:val="clear" w:color="auto" w:fill="auto"/>
          </w:tcPr>
          <w:p w:rsidR="00D25EFC" w:rsidRDefault="00A27A2B">
            <w:r>
              <w:t xml:space="preserve">Matrix protein of </w:t>
            </w:r>
            <w:r>
              <w:t>VHSV</w:t>
            </w:r>
          </w:p>
        </w:tc>
      </w:tr>
      <w:tr w:rsidR="00D25EFC">
        <w:tc>
          <w:tcPr>
            <w:tcW w:w="2235" w:type="dxa"/>
            <w:shd w:val="clear" w:color="auto" w:fill="auto"/>
          </w:tcPr>
          <w:p w:rsidR="00D25EFC" w:rsidRDefault="00A27A2B">
            <w:r>
              <w:t>N</w:t>
            </w:r>
          </w:p>
        </w:tc>
        <w:tc>
          <w:tcPr>
            <w:tcW w:w="7008" w:type="dxa"/>
            <w:shd w:val="clear" w:color="auto" w:fill="auto"/>
          </w:tcPr>
          <w:p w:rsidR="00D25EFC" w:rsidRDefault="00A27A2B">
            <w:r>
              <w:t>Nucleoprotein of VHSV</w:t>
            </w:r>
          </w:p>
        </w:tc>
      </w:tr>
      <w:tr w:rsidR="00D25EFC">
        <w:tc>
          <w:tcPr>
            <w:tcW w:w="2235" w:type="dxa"/>
            <w:shd w:val="clear" w:color="auto" w:fill="auto"/>
          </w:tcPr>
          <w:p w:rsidR="00D25EFC" w:rsidRDefault="00A27A2B">
            <w:r>
              <w:t>NV</w:t>
            </w:r>
          </w:p>
        </w:tc>
        <w:tc>
          <w:tcPr>
            <w:tcW w:w="7008" w:type="dxa"/>
            <w:shd w:val="clear" w:color="auto" w:fill="auto"/>
          </w:tcPr>
          <w:p w:rsidR="00D25EFC" w:rsidRDefault="00A27A2B">
            <w:r>
              <w:t>Non-viral protein of VHSV</w:t>
            </w:r>
          </w:p>
        </w:tc>
      </w:tr>
      <w:tr w:rsidR="00D25EFC">
        <w:tc>
          <w:tcPr>
            <w:tcW w:w="2235" w:type="dxa"/>
            <w:shd w:val="clear" w:color="auto" w:fill="auto"/>
          </w:tcPr>
          <w:p w:rsidR="00D25EFC" w:rsidRDefault="00A27A2B">
            <w:r>
              <w:t>OIE</w:t>
            </w:r>
          </w:p>
        </w:tc>
        <w:tc>
          <w:tcPr>
            <w:tcW w:w="7008" w:type="dxa"/>
            <w:shd w:val="clear" w:color="auto" w:fill="auto"/>
          </w:tcPr>
          <w:p w:rsidR="00D25EFC" w:rsidRDefault="00A27A2B">
            <w:r>
              <w:t>World Organisation for Animal Health (formerly Office International des Epizooties)</w:t>
            </w:r>
          </w:p>
        </w:tc>
      </w:tr>
      <w:tr w:rsidR="00D25EFC">
        <w:tc>
          <w:tcPr>
            <w:tcW w:w="2235" w:type="dxa"/>
            <w:shd w:val="clear" w:color="auto" w:fill="auto"/>
          </w:tcPr>
          <w:p w:rsidR="00D25EFC" w:rsidRDefault="00A27A2B">
            <w:r>
              <w:t>P</w:t>
            </w:r>
          </w:p>
        </w:tc>
        <w:tc>
          <w:tcPr>
            <w:tcW w:w="7008" w:type="dxa"/>
            <w:shd w:val="clear" w:color="auto" w:fill="auto"/>
          </w:tcPr>
          <w:p w:rsidR="00D25EFC" w:rsidRDefault="00A27A2B">
            <w:r>
              <w:t>Phosphoprotein of VHSV</w:t>
            </w:r>
          </w:p>
        </w:tc>
      </w:tr>
      <w:tr w:rsidR="00D25EFC">
        <w:tc>
          <w:tcPr>
            <w:tcW w:w="2235" w:type="dxa"/>
            <w:shd w:val="clear" w:color="auto" w:fill="auto"/>
          </w:tcPr>
          <w:p w:rsidR="00D25EFC" w:rsidRDefault="00A27A2B">
            <w:r>
              <w:t>PCR</w:t>
            </w:r>
          </w:p>
        </w:tc>
        <w:tc>
          <w:tcPr>
            <w:tcW w:w="7008" w:type="dxa"/>
            <w:shd w:val="clear" w:color="auto" w:fill="auto"/>
          </w:tcPr>
          <w:p w:rsidR="00D25EFC" w:rsidRDefault="00A27A2B">
            <w:r>
              <w:t>Polymerase chain reaction</w:t>
            </w:r>
          </w:p>
        </w:tc>
      </w:tr>
      <w:tr w:rsidR="00D25EFC">
        <w:tc>
          <w:tcPr>
            <w:tcW w:w="2235" w:type="dxa"/>
            <w:shd w:val="clear" w:color="auto" w:fill="auto"/>
          </w:tcPr>
          <w:p w:rsidR="00D25EFC" w:rsidRDefault="00A27A2B">
            <w:r>
              <w:t>PFU</w:t>
            </w:r>
          </w:p>
        </w:tc>
        <w:tc>
          <w:tcPr>
            <w:tcW w:w="7008" w:type="dxa"/>
            <w:shd w:val="clear" w:color="auto" w:fill="auto"/>
          </w:tcPr>
          <w:p w:rsidR="00D25EFC" w:rsidRDefault="00A27A2B">
            <w:r>
              <w:t>Plaque forming units</w:t>
            </w:r>
          </w:p>
        </w:tc>
      </w:tr>
      <w:tr w:rsidR="00D25EFC">
        <w:tc>
          <w:tcPr>
            <w:tcW w:w="2235" w:type="dxa"/>
            <w:shd w:val="clear" w:color="auto" w:fill="auto"/>
          </w:tcPr>
          <w:p w:rsidR="00D25EFC" w:rsidRDefault="00A27A2B">
            <w:r>
              <w:t>qRT-PCR</w:t>
            </w:r>
          </w:p>
        </w:tc>
        <w:tc>
          <w:tcPr>
            <w:tcW w:w="7008" w:type="dxa"/>
            <w:shd w:val="clear" w:color="auto" w:fill="auto"/>
          </w:tcPr>
          <w:p w:rsidR="00D25EFC" w:rsidRDefault="00A27A2B">
            <w:r>
              <w:t xml:space="preserve">Quantitative </w:t>
            </w:r>
            <w:r>
              <w:t>reverse transcriptase polymerase chain reaction</w:t>
            </w:r>
          </w:p>
        </w:tc>
      </w:tr>
      <w:tr w:rsidR="00D25EFC">
        <w:tc>
          <w:tcPr>
            <w:tcW w:w="2235" w:type="dxa"/>
            <w:shd w:val="clear" w:color="auto" w:fill="auto"/>
          </w:tcPr>
          <w:p w:rsidR="00D25EFC" w:rsidRDefault="00A27A2B">
            <w:r>
              <w:t>RNA</w:t>
            </w:r>
          </w:p>
        </w:tc>
        <w:tc>
          <w:tcPr>
            <w:tcW w:w="7008" w:type="dxa"/>
            <w:shd w:val="clear" w:color="auto" w:fill="auto"/>
          </w:tcPr>
          <w:p w:rsidR="00D25EFC" w:rsidRDefault="00A27A2B">
            <w:r>
              <w:t>Ribonucleic acid</w:t>
            </w:r>
          </w:p>
        </w:tc>
      </w:tr>
      <w:tr w:rsidR="00D25EFC">
        <w:tc>
          <w:tcPr>
            <w:tcW w:w="2235" w:type="dxa"/>
            <w:shd w:val="clear" w:color="auto" w:fill="auto"/>
          </w:tcPr>
          <w:p w:rsidR="00D25EFC" w:rsidRDefault="00A27A2B">
            <w:r>
              <w:t>RNAi</w:t>
            </w:r>
          </w:p>
        </w:tc>
        <w:tc>
          <w:tcPr>
            <w:tcW w:w="7008" w:type="dxa"/>
            <w:shd w:val="clear" w:color="auto" w:fill="auto"/>
          </w:tcPr>
          <w:p w:rsidR="00D25EFC" w:rsidRDefault="00A27A2B">
            <w:r>
              <w:t>RNA interference</w:t>
            </w:r>
          </w:p>
        </w:tc>
      </w:tr>
      <w:tr w:rsidR="00D25EFC">
        <w:tc>
          <w:tcPr>
            <w:tcW w:w="2235" w:type="dxa"/>
            <w:shd w:val="clear" w:color="auto" w:fill="auto"/>
          </w:tcPr>
          <w:p w:rsidR="00D25EFC" w:rsidRDefault="00A27A2B">
            <w:r>
              <w:lastRenderedPageBreak/>
              <w:t>RT-PCR</w:t>
            </w:r>
          </w:p>
        </w:tc>
        <w:tc>
          <w:tcPr>
            <w:tcW w:w="7008" w:type="dxa"/>
            <w:shd w:val="clear" w:color="auto" w:fill="auto"/>
          </w:tcPr>
          <w:p w:rsidR="00D25EFC" w:rsidRDefault="00A27A2B">
            <w:r>
              <w:t>Reverse transcriptase polymerase chain reaction</w:t>
            </w:r>
          </w:p>
        </w:tc>
      </w:tr>
      <w:tr w:rsidR="00D25EFC">
        <w:tc>
          <w:tcPr>
            <w:tcW w:w="2235" w:type="dxa"/>
            <w:shd w:val="clear" w:color="auto" w:fill="auto"/>
          </w:tcPr>
          <w:p w:rsidR="00D25EFC" w:rsidRDefault="00A27A2B">
            <w:r>
              <w:t>ssRNA</w:t>
            </w:r>
          </w:p>
        </w:tc>
        <w:tc>
          <w:tcPr>
            <w:tcW w:w="7008" w:type="dxa"/>
            <w:shd w:val="clear" w:color="auto" w:fill="auto"/>
          </w:tcPr>
          <w:p w:rsidR="00D25EFC" w:rsidRDefault="00A27A2B">
            <w:r>
              <w:t>Single-stranded ribonucleic acid</w:t>
            </w:r>
          </w:p>
        </w:tc>
      </w:tr>
      <w:tr w:rsidR="00D25EFC">
        <w:tc>
          <w:tcPr>
            <w:tcW w:w="2235" w:type="dxa"/>
            <w:shd w:val="clear" w:color="auto" w:fill="auto"/>
          </w:tcPr>
          <w:p w:rsidR="00D25EFC" w:rsidRDefault="00A27A2B">
            <w:r>
              <w:t>TCID</w:t>
            </w:r>
          </w:p>
        </w:tc>
        <w:tc>
          <w:tcPr>
            <w:tcW w:w="7008" w:type="dxa"/>
            <w:shd w:val="clear" w:color="auto" w:fill="auto"/>
          </w:tcPr>
          <w:p w:rsidR="00D25EFC" w:rsidRDefault="00A27A2B">
            <w:r>
              <w:t>Tissue culture infective dose</w:t>
            </w:r>
          </w:p>
        </w:tc>
      </w:tr>
      <w:tr w:rsidR="00D25EFC">
        <w:tc>
          <w:tcPr>
            <w:tcW w:w="2235" w:type="dxa"/>
            <w:shd w:val="clear" w:color="auto" w:fill="auto"/>
          </w:tcPr>
          <w:p w:rsidR="00D25EFC" w:rsidRDefault="00A27A2B">
            <w:r>
              <w:t>VHS</w:t>
            </w:r>
          </w:p>
        </w:tc>
        <w:tc>
          <w:tcPr>
            <w:tcW w:w="7008" w:type="dxa"/>
            <w:shd w:val="clear" w:color="auto" w:fill="auto"/>
          </w:tcPr>
          <w:p w:rsidR="00D25EFC" w:rsidRDefault="00A27A2B">
            <w:r>
              <w:t xml:space="preserve">Viral haemorrhagic </w:t>
            </w:r>
            <w:r>
              <w:t>septicaemia</w:t>
            </w:r>
          </w:p>
        </w:tc>
      </w:tr>
      <w:tr w:rsidR="00D25EFC">
        <w:tc>
          <w:tcPr>
            <w:tcW w:w="2235" w:type="dxa"/>
            <w:shd w:val="clear" w:color="auto" w:fill="auto"/>
          </w:tcPr>
          <w:p w:rsidR="00D25EFC" w:rsidRDefault="00A27A2B">
            <w:r>
              <w:t>VHSV</w:t>
            </w:r>
          </w:p>
        </w:tc>
        <w:tc>
          <w:tcPr>
            <w:tcW w:w="7008" w:type="dxa"/>
            <w:shd w:val="clear" w:color="auto" w:fill="auto"/>
          </w:tcPr>
          <w:p w:rsidR="00D25EFC" w:rsidRDefault="00A27A2B">
            <w:r>
              <w:t>Viral haemorrhagic septicaemia virus</w:t>
            </w:r>
          </w:p>
        </w:tc>
      </w:tr>
    </w:tbl>
    <w:p w:rsidR="00D25EFC" w:rsidRDefault="00D25EFC"/>
    <w:p w:rsidR="00D25EFC" w:rsidRDefault="00A27A2B">
      <w:pPr>
        <w:pStyle w:val="Heading3unnumbered"/>
      </w:pPr>
      <w:r>
        <w:br w:type="page"/>
      </w:r>
      <w:bookmarkStart w:id="211" w:name="_Toc402970400"/>
      <w:bookmarkStart w:id="212" w:name="_Toc408388689"/>
      <w:bookmarkStart w:id="213" w:name="_Toc408836373"/>
      <w:r>
        <w:lastRenderedPageBreak/>
        <w:t>References</w:t>
      </w:r>
      <w:bookmarkEnd w:id="207"/>
      <w:bookmarkEnd w:id="211"/>
      <w:bookmarkEnd w:id="212"/>
      <w:bookmarkEnd w:id="213"/>
    </w:p>
    <w:p w:rsidR="00D25EFC" w:rsidRDefault="00A27A2B">
      <w:r>
        <w:t xml:space="preserve">Al-Hussinee L, Huber P, Russell S, LePage V, Reid A, Young KM, Nagy E, Stevenson RMW and Lumsden JS (2010). </w:t>
      </w:r>
      <w:r>
        <w:t xml:space="preserve">Viral haemorrhagic septicaemia virus IVb experimental infection of rainbow trout, </w:t>
      </w:r>
      <w:r>
        <w:rPr>
          <w:rStyle w:val="Emphasis"/>
        </w:rPr>
        <w:t>Oncorhynchus mykiss</w:t>
      </w:r>
      <w:r>
        <w:t xml:space="preserve"> (Walbaum), and fathead minnow, </w:t>
      </w:r>
      <w:r>
        <w:rPr>
          <w:rStyle w:val="Emphasis"/>
        </w:rPr>
        <w:t>Pimphales promelas</w:t>
      </w:r>
      <w:r>
        <w:t xml:space="preserve"> (Rafinesque). </w:t>
      </w:r>
      <w:r>
        <w:rPr>
          <w:rStyle w:val="Emphasis"/>
        </w:rPr>
        <w:t>Journal of Fish Diseases</w:t>
      </w:r>
      <w:r>
        <w:t xml:space="preserve"> 33:347–360.</w:t>
      </w:r>
    </w:p>
    <w:p w:rsidR="00D25EFC" w:rsidRDefault="00A27A2B">
      <w:r>
        <w:t xml:space="preserve">Altuntas C and Ogut H (2010). Monthly occurrence and </w:t>
      </w:r>
      <w:r>
        <w:t xml:space="preserve">prevalence of viral haemorrhagic septicaemia virus (VHSV) in whiting </w:t>
      </w:r>
      <w:r>
        <w:rPr>
          <w:rStyle w:val="Emphasis"/>
        </w:rPr>
        <w:t>Merlangius merlangus. Diseases of Aquatic Organisms</w:t>
      </w:r>
      <w:r>
        <w:t xml:space="preserve"> 88:107–113.</w:t>
      </w:r>
    </w:p>
    <w:p w:rsidR="00D25EFC" w:rsidRDefault="00A27A2B">
      <w:r>
        <w:t>Anderson ED, Mourich DV, Fahrenkrug SC, LaPatra S, Shepherd J and Leong JA (1996). Genetic immunization of rainbow trout (</w:t>
      </w:r>
      <w:r>
        <w:rPr>
          <w:rStyle w:val="Emphasis"/>
        </w:rPr>
        <w:t>O</w:t>
      </w:r>
      <w:r>
        <w:rPr>
          <w:rStyle w:val="Emphasis"/>
        </w:rPr>
        <w:t>ncorhynchus mykiss</w:t>
      </w:r>
      <w:r>
        <w:t xml:space="preserve">) against infectious hematopoietic necrosis virus. </w:t>
      </w:r>
      <w:r>
        <w:rPr>
          <w:rStyle w:val="Emphasis"/>
        </w:rPr>
        <w:t>Molecular Marine Biology and Biotechnology</w:t>
      </w:r>
      <w:r>
        <w:t xml:space="preserve"> 5:114–122.</w:t>
      </w:r>
    </w:p>
    <w:p w:rsidR="00D25EFC" w:rsidRDefault="00A27A2B">
      <w:pPr>
        <w:rPr>
          <w:b/>
          <w:bCs/>
          <w:color w:val="333333"/>
        </w:rPr>
      </w:pPr>
      <w:r>
        <w:t>Arkush KD, Mendonca HL, McBride AM, Yun S, McDowell TS and Hedrick RP (2006). Effects of temperature on infectivity and of commercial</w:t>
      </w:r>
      <w:r>
        <w:t xml:space="preserve"> freezing on survival of the North American strain of viral hemorrhagic septicemia virus (VHSV). </w:t>
      </w:r>
      <w:r>
        <w:rPr>
          <w:rStyle w:val="Emphasis"/>
        </w:rPr>
        <w:t xml:space="preserve">Diseases of Aquatic Organisms </w:t>
      </w:r>
      <w:r>
        <w:rPr>
          <w:bCs/>
        </w:rPr>
        <w:t>69:</w:t>
      </w:r>
      <w:r>
        <w:t>145–151.</w:t>
      </w:r>
    </w:p>
    <w:p w:rsidR="00D25EFC" w:rsidRDefault="00A27A2B">
      <w:r>
        <w:rPr>
          <w:lang w:eastAsia="en-US"/>
        </w:rPr>
        <w:t>Bain MB, Cornwell ER, Hope KM, Eckerlin GE, Casey RN, Groocock GH, Getchell RG, Bowser PR, Winton JR, Batts WN, Cange</w:t>
      </w:r>
      <w:r>
        <w:rPr>
          <w:lang w:eastAsia="en-US"/>
        </w:rPr>
        <w:t xml:space="preserve">losi A and Casey JW (2010). Distribution of an invasive aquatic pathogen (viral hemorrhagic septicemia virus) in the Great Lakes and its relationship to shipping. </w:t>
      </w:r>
      <w:r>
        <w:rPr>
          <w:rStyle w:val="Emphasis"/>
        </w:rPr>
        <w:t>PLoS One</w:t>
      </w:r>
      <w:r>
        <w:rPr>
          <w:lang w:eastAsia="en-US"/>
        </w:rPr>
        <w:t xml:space="preserve"> 5:e10156. doi:10.1371/journal.pone.0010156.</w:t>
      </w:r>
    </w:p>
    <w:p w:rsidR="00D25EFC" w:rsidRDefault="00A27A2B">
      <w:pPr>
        <w:rPr>
          <w:rFonts w:cs="Candida-Roman"/>
          <w:color w:val="231F20"/>
          <w:lang w:eastAsia="en-US"/>
        </w:rPr>
      </w:pPr>
      <w:r>
        <w:rPr>
          <w:lang w:eastAsia="en-US"/>
        </w:rPr>
        <w:t>Bovo G, Hill B, Husby A, Hastein T, Mich</w:t>
      </w:r>
      <w:r>
        <w:rPr>
          <w:lang w:eastAsia="en-US"/>
        </w:rPr>
        <w:t xml:space="preserve">el C, Olesen NJ, Storset A and Midtlyng P (2005). Work package 3 report: Pathogen survival outside the host, and susceptibility to disinfection. VESO, PO Box 8109 Dep., N-0032 Oslo, Norway. http://www.eurl-fish.eu/Reports. </w:t>
      </w:r>
    </w:p>
    <w:p w:rsidR="00D25EFC" w:rsidRDefault="00A27A2B">
      <w:r>
        <w:rPr>
          <w:lang w:eastAsia="en-US"/>
        </w:rPr>
        <w:t>Brudeseth BE, Skall HF, and Even</w:t>
      </w:r>
      <w:r>
        <w:rPr>
          <w:lang w:eastAsia="en-US"/>
        </w:rPr>
        <w:t>sen Ø (2008). Differences in virulence of marine and freshwater isolates of viral hemorrhagic septicemia virus in vivo correlate with in vitro ability to infect gill epithelial cells and macrophages of rainbow trout (</w:t>
      </w:r>
      <w:r>
        <w:rPr>
          <w:rStyle w:val="Emphasis"/>
        </w:rPr>
        <w:t>Oncorhynchus mykiss</w:t>
      </w:r>
      <w:r>
        <w:rPr>
          <w:lang w:eastAsia="en-US"/>
        </w:rPr>
        <w:t xml:space="preserve">). </w:t>
      </w:r>
      <w:r>
        <w:rPr>
          <w:rStyle w:val="Emphasis"/>
        </w:rPr>
        <w:t>Journal of Virolo</w:t>
      </w:r>
      <w:r>
        <w:rPr>
          <w:rStyle w:val="Emphasis"/>
        </w:rPr>
        <w:t>gy</w:t>
      </w:r>
      <w:r>
        <w:rPr>
          <w:lang w:eastAsia="en-US"/>
        </w:rPr>
        <w:t xml:space="preserve"> 82:10359–10365.</w:t>
      </w:r>
    </w:p>
    <w:p w:rsidR="00D25EFC" w:rsidRDefault="00A27A2B">
      <w:r>
        <w:t xml:space="preserve">Campbell S, Collet B, Einer-Jensen K, Secombes CJ and Snow M (2009). Identifying potential virulence determinants in viral haemorrhagic septicaemia virus (VHSV) for rainbow trout. </w:t>
      </w:r>
      <w:r>
        <w:rPr>
          <w:rStyle w:val="Emphasis"/>
        </w:rPr>
        <w:t>Diseases of Aquatic Organisms</w:t>
      </w:r>
      <w:r>
        <w:t xml:space="preserve"> 86:205–212.</w:t>
      </w:r>
    </w:p>
    <w:p w:rsidR="00D25EFC" w:rsidRDefault="00A27A2B">
      <w:r>
        <w:t>Castric J and d</w:t>
      </w:r>
      <w:r>
        <w:t>e Kinkelin P (1984). Experimental study of the susceptibility of two marine fish species, sea bass (</w:t>
      </w:r>
      <w:r>
        <w:rPr>
          <w:rStyle w:val="Emphasis"/>
        </w:rPr>
        <w:t>Dicentrarchus labrax</w:t>
      </w:r>
      <w:r>
        <w:t xml:space="preserve">) and turbot </w:t>
      </w:r>
      <w:r>
        <w:rPr>
          <w:rStyle w:val="Emphasis"/>
        </w:rPr>
        <w:t>(Scophthalmus maximus</w:t>
      </w:r>
      <w:r>
        <w:t xml:space="preserve">), to viral haemorrhagic septicaemia. </w:t>
      </w:r>
      <w:r>
        <w:rPr>
          <w:rStyle w:val="Emphasis"/>
        </w:rPr>
        <w:t xml:space="preserve">Aquaculture </w:t>
      </w:r>
      <w:r>
        <w:t>41:203–212.</w:t>
      </w:r>
    </w:p>
    <w:p w:rsidR="00D25EFC" w:rsidRDefault="00A27A2B">
      <w:r>
        <w:rPr>
          <w:sz w:val="20"/>
        </w:rPr>
        <w:t>CEFAS (Centre for Environment, Fisheries</w:t>
      </w:r>
      <w:r>
        <w:rPr>
          <w:sz w:val="20"/>
        </w:rPr>
        <w:t xml:space="preserve"> and Aquaculture Science) </w:t>
      </w:r>
      <w:r>
        <w:t xml:space="preserve">(2007). Epidemiological investigations into an outbreak of viral haemorrhagic septicaemia (VHS) in Yorkshire, United Kingdom: first report. January 2007. National Control Centre for VHS, CEFAS, Weymouth, Dorset, UK. </w:t>
      </w:r>
    </w:p>
    <w:p w:rsidR="00D25EFC" w:rsidRDefault="00A27A2B">
      <w:r>
        <w:t>CFSPH (Centre</w:t>
      </w:r>
      <w:r>
        <w:t xml:space="preserve"> for Food Security and Public Health) (2007). Viral hemorrhagic septicemia [fact sheet]. Iowa State University and Institute for International Cooperation in Animal Biologics. http://www.cfsph.iastate.edu/Factsheets/pdfs/viral_hemorrhagic_septicemia.pdf </w:t>
      </w:r>
    </w:p>
    <w:p w:rsidR="00D25EFC" w:rsidRDefault="00A27A2B">
      <w:pPr>
        <w:rPr>
          <w:lang w:eastAsia="en-US"/>
        </w:rPr>
      </w:pPr>
      <w:r>
        <w:rPr>
          <w:lang w:eastAsia="en-US"/>
        </w:rPr>
        <w:lastRenderedPageBreak/>
        <w:t>C</w:t>
      </w:r>
      <w:r>
        <w:rPr>
          <w:lang w:eastAsia="en-US"/>
        </w:rPr>
        <w:t xml:space="preserve">hico V, Gomez N, Estepa A and Perez L (2006). Rapid detection and quantitation of viral hemorrhagic septicemia virus in experimentally challenged rainbow trout by real-time RT-PCR. </w:t>
      </w:r>
      <w:r>
        <w:rPr>
          <w:rStyle w:val="Emphasis"/>
        </w:rPr>
        <w:t>Journal of Virological Methods</w:t>
      </w:r>
      <w:r>
        <w:rPr>
          <w:lang w:eastAsia="en-US"/>
        </w:rPr>
        <w:t xml:space="preserve"> 132:154–159.</w:t>
      </w:r>
    </w:p>
    <w:p w:rsidR="00D25EFC" w:rsidRDefault="00A27A2B">
      <w:pPr>
        <w:rPr>
          <w:lang w:eastAsia="en-US"/>
        </w:rPr>
      </w:pPr>
      <w:r>
        <w:rPr>
          <w:lang w:eastAsia="en-US"/>
        </w:rPr>
        <w:t>Chico V, Ortega-Villaizan M, Fa</w:t>
      </w:r>
      <w:r>
        <w:rPr>
          <w:lang w:eastAsia="en-US"/>
        </w:rPr>
        <w:t xml:space="preserve">lco A, Tafalla C, Perez L, Coll JM and Estepa A (2009). The immunogenicity of viral haemorragic septicaemia rhabdovirus (VHSV) DNA vaccines can depend on plasmid regulatory sequences. </w:t>
      </w:r>
      <w:r>
        <w:rPr>
          <w:rStyle w:val="Emphasis"/>
        </w:rPr>
        <w:t>Vaccine</w:t>
      </w:r>
      <w:r>
        <w:rPr>
          <w:lang w:eastAsia="en-US"/>
        </w:rPr>
        <w:t xml:space="preserve"> 27:1938–1948.</w:t>
      </w:r>
    </w:p>
    <w:p w:rsidR="00D25EFC" w:rsidRDefault="00A27A2B">
      <w:r>
        <w:t>Crane MS, Hardy-Smith P, Williams LM, Hyatt AD, Ea</w:t>
      </w:r>
      <w:r>
        <w:t xml:space="preserve">ton LM, Gould A, Handlinger J, Kattenbelt J and Gudkovs N (2000). First isolation of an aquatic birnavirus from farmed and wild fish species in Australia. </w:t>
      </w:r>
      <w:r>
        <w:rPr>
          <w:rStyle w:val="Emphasis"/>
        </w:rPr>
        <w:t xml:space="preserve">Diseases of Aquatic Organisms </w:t>
      </w:r>
      <w:r>
        <w:t>43:1–14.</w:t>
      </w:r>
    </w:p>
    <w:p w:rsidR="00D25EFC" w:rsidRDefault="00A27A2B">
      <w:r>
        <w:t xml:space="preserve">Crane MS and Williams LM (2008). </w:t>
      </w:r>
      <w:r>
        <w:rPr>
          <w:iCs/>
        </w:rPr>
        <w:t>Viruses of salmonids: virus i</w:t>
      </w:r>
      <w:r>
        <w:rPr>
          <w:iCs/>
        </w:rPr>
        <w:t>solation in fish cell lines</w:t>
      </w:r>
      <w:r>
        <w:rPr>
          <w:rStyle w:val="Emphasis"/>
        </w:rPr>
        <w:t xml:space="preserve">. </w:t>
      </w:r>
      <w:r>
        <w:rPr>
          <w:rFonts w:cs="Arial"/>
          <w:color w:val="222222"/>
        </w:rPr>
        <w:t>http://www.scahls.org.au/Procedures/Pages/Aquatic-ANZSDPs.aspx [Virus isolation]</w:t>
      </w:r>
    </w:p>
    <w:p w:rsidR="00D25EFC" w:rsidRDefault="00A27A2B">
      <w:r>
        <w:t>Cutrin JM, Oliveira JG, Bandin I</w:t>
      </w:r>
      <w:r>
        <w:t xml:space="preserve"> and Dopazo CP (2009). Validation of real time RT-PCR applied to cell culture for diagnosis of any known genotype of viral haemorrhagic septicaemia virus. </w:t>
      </w:r>
      <w:r>
        <w:rPr>
          <w:rStyle w:val="Emphasis"/>
        </w:rPr>
        <w:t>Journal of Virological Methods</w:t>
      </w:r>
      <w:r>
        <w:t xml:space="preserve"> 162:155–162. </w:t>
      </w:r>
    </w:p>
    <w:p w:rsidR="00D25EFC" w:rsidRDefault="00A27A2B">
      <w:r>
        <w:t xml:space="preserve">Dale OB, </w:t>
      </w:r>
      <w:r>
        <w:rPr>
          <w:rFonts w:cs="Candida-Roman"/>
          <w:color w:val="231F20"/>
          <w:lang w:eastAsia="en-US"/>
        </w:rPr>
        <w:t>Ø</w:t>
      </w:r>
      <w:r>
        <w:t>rpetveit I, Lyngstad TM, Kahns S, Skall HF, Ol</w:t>
      </w:r>
      <w:r>
        <w:t xml:space="preserve">esen NJ and Dannevig BH (2009). Outbreak of viral haemorrhagic septicaemia (VHS) in seawater-farmed rainbow trout in Norway caused by VHS virus Genotype III. </w:t>
      </w:r>
      <w:r>
        <w:rPr>
          <w:rStyle w:val="Emphasis"/>
        </w:rPr>
        <w:t>Diseases of Aquatic Organisms</w:t>
      </w:r>
      <w:r>
        <w:t xml:space="preserve"> 85:93–103.</w:t>
      </w:r>
    </w:p>
    <w:p w:rsidR="00D25EFC" w:rsidRDefault="00A27A2B">
      <w:r>
        <w:t>de Kinkelin P, Bearzotti-Le Berre M and Bernard J (1980).</w:t>
      </w:r>
      <w:r>
        <w:t xml:space="preserve"> Viral hemorrhagic septicemia of rainbow trout: selection of a thermoresistant virus variant and comparison of polypeptide synthesis with the wild-type virus strain. </w:t>
      </w:r>
      <w:r>
        <w:rPr>
          <w:rStyle w:val="Emphasis"/>
        </w:rPr>
        <w:t xml:space="preserve">Journal of Virology </w:t>
      </w:r>
      <w:r>
        <w:t>36:652–658.</w:t>
      </w:r>
    </w:p>
    <w:p w:rsidR="00D25EFC" w:rsidRDefault="00A27A2B">
      <w:r>
        <w:rPr>
          <w:lang w:eastAsia="en-US"/>
        </w:rPr>
        <w:t xml:space="preserve">de Kinkelin P and Castric J (1982). An experimental study </w:t>
      </w:r>
      <w:r>
        <w:rPr>
          <w:lang w:eastAsia="en-US"/>
        </w:rPr>
        <w:t xml:space="preserve">of the susceptibility of Atlantic salmon fry, </w:t>
      </w:r>
      <w:r>
        <w:rPr>
          <w:rStyle w:val="Emphasis"/>
        </w:rPr>
        <w:t>Salmo salar</w:t>
      </w:r>
      <w:r>
        <w:rPr>
          <w:rFonts w:cs="AdvGARAD-I"/>
          <w:lang w:eastAsia="en-US"/>
        </w:rPr>
        <w:t xml:space="preserve"> </w:t>
      </w:r>
      <w:r>
        <w:rPr>
          <w:lang w:eastAsia="en-US"/>
        </w:rPr>
        <w:t xml:space="preserve">L., to viral haemorrhagic septicaemia. </w:t>
      </w:r>
      <w:r>
        <w:rPr>
          <w:rStyle w:val="Emphasis"/>
        </w:rPr>
        <w:t>Journal of Fish Diseases</w:t>
      </w:r>
      <w:r>
        <w:rPr>
          <w:rFonts w:cs="AdvGARAD-I"/>
          <w:lang w:eastAsia="en-US"/>
        </w:rPr>
        <w:t xml:space="preserve"> </w:t>
      </w:r>
      <w:r>
        <w:rPr>
          <w:rFonts w:cs="AdvGARAD-B"/>
          <w:lang w:eastAsia="en-US"/>
        </w:rPr>
        <w:t>5:</w:t>
      </w:r>
      <w:r>
        <w:rPr>
          <w:lang w:eastAsia="en-US"/>
        </w:rPr>
        <w:t>57–65.</w:t>
      </w:r>
    </w:p>
    <w:p w:rsidR="00D25EFC" w:rsidRDefault="00A27A2B">
      <w:r>
        <w:t xml:space="preserve">Department of Fisheries and Oceans (Canada) (1984, revised 2011). </w:t>
      </w:r>
      <w:r>
        <w:rPr>
          <w:rFonts w:cs="BookAntiqua-Italic"/>
          <w:iCs/>
        </w:rPr>
        <w:t>Fish Health Protection Regulations: manual of compliance</w:t>
      </w:r>
      <w:r>
        <w:t>. S</w:t>
      </w:r>
      <w:r>
        <w:t>pecial publication 31 (revised). Ottawa. http://www.dfo-mpo.gc.ca/science/enviro/aah-saa/regulation-reglements-eng.htm</w:t>
      </w:r>
    </w:p>
    <w:p w:rsidR="00D25EFC" w:rsidRDefault="00A27A2B">
      <w:r>
        <w:t>Dorson M, Torhy C and de Kinkelin P (1994). Viral haemorrhagic septicaemia virus multiplication and interferon production in rainbow trou</w:t>
      </w:r>
      <w:r>
        <w:t xml:space="preserve">t and in rainbow trout x brook trout hybrids. </w:t>
      </w:r>
      <w:r>
        <w:rPr>
          <w:rStyle w:val="Emphasis"/>
        </w:rPr>
        <w:t xml:space="preserve">Fish and Shellfish Immunology </w:t>
      </w:r>
      <w:r>
        <w:t>4:369–381.</w:t>
      </w:r>
    </w:p>
    <w:p w:rsidR="00D25EFC" w:rsidRDefault="00A27A2B">
      <w:r>
        <w:t xml:space="preserve">Einer-Jensen K, Ahrens P, Forsberg R and Lorenzen N (2004). Evolution of the fish rhabdovirus viral haemorrhagic septicaemia virus. </w:t>
      </w:r>
      <w:r>
        <w:rPr>
          <w:rStyle w:val="Emphasis"/>
        </w:rPr>
        <w:t>Journal of General Virology</w:t>
      </w:r>
      <w:r>
        <w:t xml:space="preserve"> 85:1167–1</w:t>
      </w:r>
      <w:r>
        <w:t xml:space="preserve">179. </w:t>
      </w:r>
    </w:p>
    <w:p w:rsidR="00D25EFC" w:rsidRDefault="00A27A2B">
      <w:r>
        <w:t xml:space="preserve">Einer-Jensen K, Ahrens P and Lorenzen N (2005). Parallel phylogenetic analyses using the N, G or Nv gene from a fixed group of VHSV isolates reveal the same overall genetic typing. </w:t>
      </w:r>
      <w:r>
        <w:rPr>
          <w:rStyle w:val="Emphasis"/>
        </w:rPr>
        <w:t>Diseases of Aquatic Organisms</w:t>
      </w:r>
      <w:r>
        <w:t xml:space="preserve"> 67:39–45. </w:t>
      </w:r>
    </w:p>
    <w:p w:rsidR="00D25EFC" w:rsidRDefault="00A27A2B">
      <w:r>
        <w:t>Ellis AE (2001). Innate host</w:t>
      </w:r>
      <w:r>
        <w:t xml:space="preserve"> defense mechanisms of fish against viruses and bacteria. </w:t>
      </w:r>
      <w:r>
        <w:rPr>
          <w:rStyle w:val="Emphasis"/>
        </w:rPr>
        <w:t xml:space="preserve">Developmental and Comparative Immunology </w:t>
      </w:r>
      <w:r>
        <w:t>25:827–839.</w:t>
      </w:r>
    </w:p>
    <w:p w:rsidR="00D25EFC" w:rsidRDefault="00A27A2B">
      <w:r>
        <w:rPr>
          <w:lang w:eastAsia="en-US"/>
        </w:rPr>
        <w:t xml:space="preserve">Elsayed E, Faisal M, Thomas M, Whelan G, Batts W and Winton J (2006). Isolation of viral haemorrhagic septicaemia virus from muskellunge, </w:t>
      </w:r>
      <w:r>
        <w:rPr>
          <w:rStyle w:val="Emphasis"/>
        </w:rPr>
        <w:t>Esox ma</w:t>
      </w:r>
      <w:r>
        <w:rPr>
          <w:rStyle w:val="Emphasis"/>
        </w:rPr>
        <w:t>squinongy</w:t>
      </w:r>
      <w:r>
        <w:rPr>
          <w:rFonts w:cs="AdvGARAD-I"/>
          <w:lang w:eastAsia="en-US"/>
        </w:rPr>
        <w:t xml:space="preserve"> </w:t>
      </w:r>
      <w:r>
        <w:rPr>
          <w:lang w:eastAsia="en-US"/>
        </w:rPr>
        <w:t xml:space="preserve">(Mitchill), in Lake St Clair, Michigan, USA reveals a new sublineage of the North American genotype. </w:t>
      </w:r>
      <w:r>
        <w:rPr>
          <w:rStyle w:val="Emphasis"/>
        </w:rPr>
        <w:t>Journal of Fish Diseases</w:t>
      </w:r>
      <w:r>
        <w:rPr>
          <w:rFonts w:cs="AdvGARAD-I"/>
          <w:lang w:eastAsia="en-US"/>
        </w:rPr>
        <w:t xml:space="preserve"> </w:t>
      </w:r>
      <w:r>
        <w:rPr>
          <w:rFonts w:cs="AdvGARAD-B"/>
          <w:lang w:eastAsia="en-US"/>
        </w:rPr>
        <w:t xml:space="preserve">29: </w:t>
      </w:r>
      <w:r>
        <w:rPr>
          <w:lang w:eastAsia="en-US"/>
        </w:rPr>
        <w:t>611–619.</w:t>
      </w:r>
    </w:p>
    <w:p w:rsidR="00D25EFC" w:rsidRDefault="00A27A2B">
      <w:r>
        <w:lastRenderedPageBreak/>
        <w:t>Commission of the European Communities (2001). Commission decision of 22 February 2001 laying down the samp</w:t>
      </w:r>
      <w:r>
        <w:t xml:space="preserve">ling plans and diagnostic methods for the detection and confirmation of certain fish diseases and repealing decision 92/532/EEC. </w:t>
      </w:r>
      <w:r>
        <w:rPr>
          <w:rStyle w:val="Emphasis"/>
        </w:rPr>
        <w:t>Official Journal of the European Communities</w:t>
      </w:r>
      <w:r>
        <w:t xml:space="preserve"> L67/65–76, 9 March 2001.</w:t>
      </w:r>
    </w:p>
    <w:p w:rsidR="00D25EFC" w:rsidRDefault="00A27A2B">
      <w:r>
        <w:t xml:space="preserve">Evensen </w:t>
      </w:r>
      <w:r>
        <w:rPr>
          <w:rFonts w:cs="Candida-Roman"/>
          <w:color w:val="231F20"/>
          <w:lang w:eastAsia="en-US"/>
        </w:rPr>
        <w:t>Ø</w:t>
      </w:r>
      <w:r>
        <w:t>, Meier W, Wahli T, Olesen NJ, Vestergård-Jørgen</w:t>
      </w:r>
      <w:r>
        <w:t xml:space="preserve">sen PE and Hästein T (1994). Comparison of immunohistochemistry and virus cultivation for detection of viral haemorrhagic septicaemia virus in experimentally infected rainbow trout </w:t>
      </w:r>
      <w:r>
        <w:rPr>
          <w:rStyle w:val="Emphasis"/>
        </w:rPr>
        <w:t>Oncorhynchus mykiss</w:t>
      </w:r>
      <w:r>
        <w:t xml:space="preserve">. </w:t>
      </w:r>
      <w:r>
        <w:rPr>
          <w:rStyle w:val="Emphasis"/>
        </w:rPr>
        <w:t xml:space="preserve">Diseases of Aquatic Organisms </w:t>
      </w:r>
      <w:r>
        <w:t>20:101–109.</w:t>
      </w:r>
    </w:p>
    <w:p w:rsidR="00D25EFC" w:rsidRDefault="00A27A2B">
      <w:r>
        <w:t>Faisal M and</w:t>
      </w:r>
      <w:r>
        <w:t xml:space="preserve"> Schulz CA (2009). Detection of Viral Hemorrhagic Septicemia virus (VHSV) from the leech </w:t>
      </w:r>
      <w:r>
        <w:rPr>
          <w:rStyle w:val="Emphasis"/>
        </w:rPr>
        <w:t>Myzobdella lugubris</w:t>
      </w:r>
      <w:r>
        <w:t xml:space="preserve"> Leidy, 1851 [short report]. </w:t>
      </w:r>
      <w:r>
        <w:rPr>
          <w:rStyle w:val="Emphasis"/>
        </w:rPr>
        <w:t>Parasites and Vectors</w:t>
      </w:r>
      <w:r>
        <w:t xml:space="preserve"> 2:45. http://www.parasitesandvectors.com/content/2/1/45 </w:t>
      </w:r>
    </w:p>
    <w:p w:rsidR="00D25EFC" w:rsidRDefault="00A27A2B">
      <w:r>
        <w:rPr>
          <w:lang w:eastAsia="en-US"/>
        </w:rPr>
        <w:t xml:space="preserve">Gagné N, Mackinnon AM, Boston L, Souter </w:t>
      </w:r>
      <w:r>
        <w:rPr>
          <w:lang w:eastAsia="en-US"/>
        </w:rPr>
        <w:t xml:space="preserve">B, Cook-Versloot M, Griffiths S and Olivier G (2007). Isolation of viral haemorrhagic septicaemia virus from mummichog, stickleback, striped bass and brown trout in eastern Canada. </w:t>
      </w:r>
      <w:r>
        <w:rPr>
          <w:rStyle w:val="Emphasis"/>
        </w:rPr>
        <w:t>Journal of Fish Diseases</w:t>
      </w:r>
      <w:r>
        <w:rPr>
          <w:rFonts w:cs="AdvGARAD-I"/>
          <w:lang w:eastAsia="en-US"/>
        </w:rPr>
        <w:t xml:space="preserve"> </w:t>
      </w:r>
      <w:r>
        <w:rPr>
          <w:rFonts w:cs="AdvGARAD-B"/>
          <w:lang w:eastAsia="en-US"/>
        </w:rPr>
        <w:t>30:</w:t>
      </w:r>
      <w:r>
        <w:rPr>
          <w:lang w:eastAsia="en-US"/>
        </w:rPr>
        <w:t>213–223.</w:t>
      </w:r>
    </w:p>
    <w:p w:rsidR="00D25EFC" w:rsidRDefault="00A27A2B">
      <w:r>
        <w:t>Ghittino P (1965). Viral hemorrhagic s</w:t>
      </w:r>
      <w:r>
        <w:t xml:space="preserve">epticemia (VHS) in rainbow trout in Italy. </w:t>
      </w:r>
      <w:r>
        <w:rPr>
          <w:rStyle w:val="Emphasis"/>
        </w:rPr>
        <w:t xml:space="preserve">Annals of the New York Academy of Sciences </w:t>
      </w:r>
      <w:r>
        <w:t>126:468–478.</w:t>
      </w:r>
    </w:p>
    <w:p w:rsidR="00D25EFC" w:rsidRDefault="00A27A2B">
      <w:pPr>
        <w:rPr>
          <w:lang w:eastAsia="en-US"/>
        </w:rPr>
      </w:pPr>
      <w:r>
        <w:rPr>
          <w:lang w:eastAsia="en-US"/>
        </w:rPr>
        <w:t>Goodwin AE and Merry GE (2010). Great Lakes viral hemorrhagic septicemia (VHS) virus strain IVb: can it become established in warmer climates? [abstract] Wor</w:t>
      </w:r>
      <w:r>
        <w:rPr>
          <w:lang w:eastAsia="en-US"/>
        </w:rPr>
        <w:t xml:space="preserve">ld Aquaculture Society meeting: Aquaculture 2010, San Diego, California. </w:t>
      </w:r>
      <w:r>
        <w:rPr>
          <w:bCs/>
        </w:rPr>
        <w:t>https://www.was.org/meetings/ShowAbstract.aspx?Id=19421</w:t>
      </w:r>
    </w:p>
    <w:p w:rsidR="00D25EFC" w:rsidRDefault="00A27A2B">
      <w:pPr>
        <w:rPr>
          <w:lang w:eastAsia="en-US"/>
        </w:rPr>
      </w:pPr>
      <w:r>
        <w:rPr>
          <w:lang w:eastAsia="en-US"/>
        </w:rPr>
        <w:t xml:space="preserve">Groocock GH, Getchell RG, Wooster GA, Britt KL, Batts WN, Winton JR, Casey RN, Casey JW and Bowser PR (2007). Detection of viral hemorrhagic septicemia in round gobies in New York State (USA) waters of Lake Ontario and the St. Lawrence River. </w:t>
      </w:r>
      <w:r>
        <w:rPr>
          <w:rStyle w:val="Emphasis"/>
        </w:rPr>
        <w:t>Diseases of A</w:t>
      </w:r>
      <w:r>
        <w:rPr>
          <w:rStyle w:val="Emphasis"/>
        </w:rPr>
        <w:t>quatic Organisms</w:t>
      </w:r>
      <w:r>
        <w:rPr>
          <w:rFonts w:cs="AdvGARAD-I"/>
          <w:lang w:eastAsia="en-US"/>
        </w:rPr>
        <w:t xml:space="preserve"> </w:t>
      </w:r>
      <w:r>
        <w:rPr>
          <w:rFonts w:cs="AdvGARAD-B"/>
          <w:lang w:eastAsia="en-US"/>
        </w:rPr>
        <w:t>76:1</w:t>
      </w:r>
      <w:r>
        <w:rPr>
          <w:lang w:eastAsia="en-US"/>
        </w:rPr>
        <w:t>87–192.</w:t>
      </w:r>
    </w:p>
    <w:p w:rsidR="00D25EFC" w:rsidRDefault="00A27A2B">
      <w:pPr>
        <w:rPr>
          <w:lang w:eastAsia="en-US"/>
        </w:rPr>
      </w:pPr>
      <w:r>
        <w:rPr>
          <w:lang w:eastAsia="en-US"/>
        </w:rPr>
        <w:t xml:space="preserve">Gustafson L (2009). Summary of VHS surveillance data analysis. NAHSS Outlook, Dec 2009. http://naldc.nal.usda.gov/download/40160/PDF </w:t>
      </w:r>
    </w:p>
    <w:p w:rsidR="00D25EFC" w:rsidRDefault="00A27A2B">
      <w:pPr>
        <w:rPr>
          <w:lang w:eastAsia="en-US"/>
        </w:rPr>
      </w:pPr>
      <w:r>
        <w:rPr>
          <w:lang w:eastAsia="en-US"/>
        </w:rPr>
        <w:t>Gustafson L, Klotins K, Tomlinson S, Karreman G, Cameron A, Wagner B, Remmenga M, Bruneau N a</w:t>
      </w:r>
      <w:r>
        <w:rPr>
          <w:lang w:eastAsia="en-US"/>
        </w:rPr>
        <w:t xml:space="preserve">nd Scott A (2010). Combining surveillance and expert evidence of viral hemorrhagic septicemia freedom: a decision science approach. </w:t>
      </w:r>
      <w:r>
        <w:rPr>
          <w:rStyle w:val="Emphasis"/>
        </w:rPr>
        <w:t xml:space="preserve">Preventive Veterinary Medicine </w:t>
      </w:r>
      <w:r>
        <w:rPr>
          <w:lang w:eastAsia="en-US"/>
        </w:rPr>
        <w:t>94:140–153.</w:t>
      </w:r>
    </w:p>
    <w:p w:rsidR="00D25EFC" w:rsidRDefault="00A27A2B">
      <w:r>
        <w:rPr>
          <w:lang w:eastAsia="en-US"/>
        </w:rPr>
        <w:t>Hawley LM and Garver KA (2008). Stability of viral hemorrhagic septicemia virus (</w:t>
      </w:r>
      <w:r>
        <w:rPr>
          <w:lang w:eastAsia="en-US"/>
        </w:rPr>
        <w:t xml:space="preserve">VHSV) in freshwater and seawater at various temperatures. </w:t>
      </w:r>
      <w:r>
        <w:rPr>
          <w:rStyle w:val="Emphasis"/>
        </w:rPr>
        <w:t xml:space="preserve">Diseases of Aquatic Organisms </w:t>
      </w:r>
      <w:r>
        <w:rPr>
          <w:bCs/>
          <w:lang w:eastAsia="en-US"/>
        </w:rPr>
        <w:t>82:</w:t>
      </w:r>
      <w:r>
        <w:rPr>
          <w:lang w:eastAsia="en-US"/>
        </w:rPr>
        <w:t>171–178.</w:t>
      </w:r>
    </w:p>
    <w:p w:rsidR="00D25EFC" w:rsidRDefault="00A27A2B">
      <w:r>
        <w:t>Hedrick RP, Batts WN, Yun S, Traxler GS, Kaufman J and Winton JR (2003). Host and geographic range extensions of the North American strain of viral hemorrha</w:t>
      </w:r>
      <w:r>
        <w:t xml:space="preserve">gic septicemia virus. </w:t>
      </w:r>
      <w:r>
        <w:rPr>
          <w:rStyle w:val="Emphasis"/>
        </w:rPr>
        <w:t xml:space="preserve">Diseases of Aquatic Organisms </w:t>
      </w:r>
      <w:r>
        <w:t>55:211–220.</w:t>
      </w:r>
    </w:p>
    <w:p w:rsidR="00D25EFC" w:rsidRDefault="00A27A2B">
      <w:r>
        <w:t xml:space="preserve">Hershberger PK, Gregg J, Pacheco C, Winton J, Richard J and Traxler G (2007). Larval Pacific herring, </w:t>
      </w:r>
      <w:r>
        <w:rPr>
          <w:rStyle w:val="Emphasis"/>
        </w:rPr>
        <w:t>Clupea pallasii</w:t>
      </w:r>
      <w:r>
        <w:t xml:space="preserve"> (Valenciennes), are highly susceptible to viral haemorrhagic septicaemia a</w:t>
      </w:r>
      <w:r>
        <w:t xml:space="preserve">nd survivors are partially protected after their metamorphosis to juveniles. </w:t>
      </w:r>
      <w:r>
        <w:rPr>
          <w:rStyle w:val="Emphasis"/>
        </w:rPr>
        <w:t>Journal of Fish Diseases</w:t>
      </w:r>
      <w:r>
        <w:t xml:space="preserve"> 30:445–458. </w:t>
      </w:r>
    </w:p>
    <w:p w:rsidR="00D25EFC" w:rsidRDefault="00A27A2B">
      <w:pPr>
        <w:rPr>
          <w:lang w:eastAsia="en-US"/>
        </w:rPr>
      </w:pPr>
      <w:r>
        <w:lastRenderedPageBreak/>
        <w:t xml:space="preserve">Hershberger PK, Gregg J, Grady C, Collins R and Winton J (2010a). </w:t>
      </w:r>
      <w:r>
        <w:rPr>
          <w:lang w:eastAsia="en-US"/>
        </w:rPr>
        <w:t xml:space="preserve">Kinetics of viral shedding provide insights into the epidemiology of viral </w:t>
      </w:r>
      <w:r>
        <w:rPr>
          <w:lang w:eastAsia="en-US"/>
        </w:rPr>
        <w:t xml:space="preserve">hemorrhagic septicemia in Pacific herring. </w:t>
      </w:r>
      <w:r>
        <w:rPr>
          <w:rStyle w:val="Emphasis"/>
        </w:rPr>
        <w:t>Marine Ecology Progress Series</w:t>
      </w:r>
      <w:r>
        <w:rPr>
          <w:lang w:eastAsia="en-US"/>
        </w:rPr>
        <w:t xml:space="preserve"> 400:187–193.</w:t>
      </w:r>
    </w:p>
    <w:p w:rsidR="00D25EFC" w:rsidRDefault="00A27A2B">
      <w:pPr>
        <w:rPr>
          <w:rFonts w:cs="Arial"/>
          <w:lang w:eastAsia="en-US"/>
        </w:rPr>
      </w:pPr>
      <w:r>
        <w:t xml:space="preserve">Hershberger PK, Gregg JL, Grady CA, Collins RM and Winton JR (2010b). Susceptibility of three stocks of Pacfic herring to viral hemorrhagic septicemia. </w:t>
      </w:r>
      <w:r>
        <w:rPr>
          <w:rStyle w:val="Emphasis"/>
        </w:rPr>
        <w:t>Journal of Aquati</w:t>
      </w:r>
      <w:r>
        <w:rPr>
          <w:rStyle w:val="Emphasis"/>
        </w:rPr>
        <w:t>c Animal Health</w:t>
      </w:r>
      <w:r>
        <w:t xml:space="preserve"> 22:1–7.</w:t>
      </w:r>
    </w:p>
    <w:p w:rsidR="00D25EFC" w:rsidRDefault="00A27A2B">
      <w:r>
        <w:t>Hill BJ (1976). Procedures for the isolation and identification of IPN, VHS, IHN and SVC viruses from diseased fish. Fisheries Research Technical Report No. 27, Ministry of Agriculture, Fisheries and Food, Directorate of Fisheries R</w:t>
      </w:r>
      <w:r>
        <w:t>esearch, Lowestoft, United Kingdom.</w:t>
      </w:r>
    </w:p>
    <w:p w:rsidR="00D25EFC" w:rsidRDefault="00A27A2B">
      <w:r>
        <w:t xml:space="preserve">Isshiki T, Nishizawa T, Kobayashi T, Nagano T and Miyazaki T (2001). An outbreak of VHSV (viral hemorrhagic septicemia virus) infection in farmed Japanese flounder </w:t>
      </w:r>
      <w:r>
        <w:rPr>
          <w:rStyle w:val="Emphasis"/>
        </w:rPr>
        <w:t xml:space="preserve">Paralichthys olivaceus </w:t>
      </w:r>
      <w:r>
        <w:t xml:space="preserve">in Japan. </w:t>
      </w:r>
      <w:r>
        <w:rPr>
          <w:rStyle w:val="Emphasis"/>
        </w:rPr>
        <w:t>Diseases of Aquatic Org</w:t>
      </w:r>
      <w:r>
        <w:rPr>
          <w:rStyle w:val="Emphasis"/>
        </w:rPr>
        <w:t xml:space="preserve">anisms </w:t>
      </w:r>
      <w:r>
        <w:t>47:87–99.</w:t>
      </w:r>
    </w:p>
    <w:p w:rsidR="00D25EFC" w:rsidRDefault="00A27A2B">
      <w:r>
        <w:t xml:space="preserve">Jarp J and Karlsen E (1997). Infectious salmon anaemia (ISA) risk factors in sea-cultured Atlantic salmon </w:t>
      </w:r>
      <w:r>
        <w:rPr>
          <w:rStyle w:val="Emphasis"/>
        </w:rPr>
        <w:t>Salmo salar</w:t>
      </w:r>
      <w:r>
        <w:t xml:space="preserve">. </w:t>
      </w:r>
      <w:r>
        <w:rPr>
          <w:rStyle w:val="Emphasis"/>
        </w:rPr>
        <w:t>Diseases of Aquatic Organisms</w:t>
      </w:r>
      <w:r>
        <w:t xml:space="preserve"> 28:79–86.</w:t>
      </w:r>
    </w:p>
    <w:p w:rsidR="00D25EFC" w:rsidRDefault="00A27A2B">
      <w:r>
        <w:rPr>
          <w:lang w:eastAsia="en-US"/>
        </w:rPr>
        <w:t xml:space="preserve">Jensen MH (1965). Research on the virus of Egtved disease. </w:t>
      </w:r>
      <w:r>
        <w:rPr>
          <w:rStyle w:val="Emphasis"/>
        </w:rPr>
        <w:t>Annals of the New Yor</w:t>
      </w:r>
      <w:r>
        <w:rPr>
          <w:rStyle w:val="Emphasis"/>
        </w:rPr>
        <w:t>k Academy of Sciences</w:t>
      </w:r>
      <w:r>
        <w:rPr>
          <w:rFonts w:cs="AdvGARAD-I"/>
          <w:lang w:eastAsia="en-US"/>
        </w:rPr>
        <w:t xml:space="preserve"> </w:t>
      </w:r>
      <w:r>
        <w:rPr>
          <w:rFonts w:cs="AdvGARAD-B"/>
          <w:lang w:eastAsia="en-US"/>
        </w:rPr>
        <w:t>126:</w:t>
      </w:r>
      <w:r>
        <w:rPr>
          <w:lang w:eastAsia="en-US"/>
        </w:rPr>
        <w:t>422–426.</w:t>
      </w:r>
    </w:p>
    <w:p w:rsidR="00D25EFC" w:rsidRDefault="00A27A2B">
      <w:r>
        <w:t xml:space="preserve">Jonstrup SP, Gray T, Kahns S, Skall HF, Snow M and Olesen NJ (2009). FishPathogens.eu/vhsv: a user-friendly viral haemorrhagic septicaemia virus isolate and sequence database. </w:t>
      </w:r>
      <w:r>
        <w:rPr>
          <w:rStyle w:val="Emphasis"/>
        </w:rPr>
        <w:t>Journal of Fish Diseases</w:t>
      </w:r>
      <w:r>
        <w:t xml:space="preserve"> 32:925–929.</w:t>
      </w:r>
    </w:p>
    <w:p w:rsidR="00D25EFC" w:rsidRDefault="00A27A2B">
      <w:r>
        <w:t>Jørgensen PEV (1974). A study of viral diseases in Danish rainbow trout, their diagnosis and control. Thesis, commissioned by A/S Mortensen CF, Bülowsvej 5c 1870 Copenhagen V, 101.</w:t>
      </w:r>
    </w:p>
    <w:p w:rsidR="00D25EFC" w:rsidRDefault="00A27A2B">
      <w:r>
        <w:t>Jørgensen PEV (1980). Egtved virus: The susceptibility of brown trout and r</w:t>
      </w:r>
      <w:r>
        <w:t xml:space="preserve">ainbow trout to eight virus isolates and the significance of the findings for VHS control. In: </w:t>
      </w:r>
      <w:r>
        <w:rPr>
          <w:rFonts w:cs="BookAntiqua-Italic"/>
          <w:iCs/>
        </w:rPr>
        <w:t>Fish Diseases</w:t>
      </w:r>
      <w:r>
        <w:t>: Third COPRAQ Session, Ahne W (ed), Springer–Verlag, Berlin, Heidelberg, New York.</w:t>
      </w:r>
    </w:p>
    <w:p w:rsidR="00D25EFC" w:rsidRDefault="00A27A2B">
      <w:r>
        <w:t xml:space="preserve">Kahns S, Skall HF, Kaas RS, Korsholm H, Bang Jensen B, Jonstrup </w:t>
      </w:r>
      <w:r>
        <w:t xml:space="preserve">SP, Dodge MJ, Einer-Jenser K, Stone D and Olesen NJ (2012). European freshwater VHSV genotype Ia isolates divide into two distinct subpopulations. </w:t>
      </w:r>
      <w:r>
        <w:rPr>
          <w:rStyle w:val="Emphasis"/>
        </w:rPr>
        <w:t>Diseases of Aquatic Organisms</w:t>
      </w:r>
      <w:r>
        <w:t xml:space="preserve"> 99: 23–35.</w:t>
      </w:r>
    </w:p>
    <w:p w:rsidR="00D25EFC" w:rsidRDefault="00A27A2B">
      <w:r>
        <w:t>Kebus M (2007). Some current facts of VHS. In: VHS Presentations. Wi</w:t>
      </w:r>
      <w:r>
        <w:t xml:space="preserve">sconsin Aquaculture Association WAIAC Meeting March 2007. </w:t>
      </w:r>
      <w:r>
        <w:rPr>
          <w:rStyle w:val="Emphasis"/>
        </w:rPr>
        <w:t>The Creel</w:t>
      </w:r>
      <w:r>
        <w:t xml:space="preserve"> Vol 40 (2). June 2007. https://secure.wisconsinaquaculture.com/Newsletters.cfm </w:t>
      </w:r>
    </w:p>
    <w:p w:rsidR="00D25EFC" w:rsidRDefault="00A27A2B">
      <w:r>
        <w:t>Kim R and Faisal M (2010). Experimental studies confirm the wide host range of the Great Lakes viral haemorr</w:t>
      </w:r>
      <w:r>
        <w:t xml:space="preserve">hagic septicaemia virus genotype IVb. </w:t>
      </w:r>
      <w:r>
        <w:rPr>
          <w:rStyle w:val="Emphasis"/>
        </w:rPr>
        <w:t>Journal of Fish Diseases</w:t>
      </w:r>
      <w:r>
        <w:t xml:space="preserve"> 33:83–88.</w:t>
      </w:r>
    </w:p>
    <w:p w:rsidR="00D25EFC" w:rsidRDefault="00A27A2B">
      <w:r>
        <w:t xml:space="preserve">Kim CH, Johnson MC, Drennan JD, Simon BE, Thomann E and Leong JA (2000). DNA vaccines encoding viral glycoproteins induce nonspecific immunity and Mx protein synthesis in fish. </w:t>
      </w:r>
      <w:r>
        <w:rPr>
          <w:rStyle w:val="Emphasis"/>
        </w:rPr>
        <w:t>Journa</w:t>
      </w:r>
      <w:r>
        <w:rPr>
          <w:rStyle w:val="Emphasis"/>
        </w:rPr>
        <w:t>l of Virology</w:t>
      </w:r>
      <w:r>
        <w:t xml:space="preserve"> 74:7048–7054.</w:t>
      </w:r>
    </w:p>
    <w:p w:rsidR="00D25EFC" w:rsidRDefault="00A27A2B">
      <w:r>
        <w:t xml:space="preserve">Kim WS, Kim SR, Kim D, Kim JO, Park MA, Kitamura SI, Kim HY, Kim DH, Han HJ, Jung SJ and Oh MJ (2009). An outbreak of VHSV (viral hemorrhagic septicemia virus) infection in farmed olive flounder </w:t>
      </w:r>
      <w:r>
        <w:rPr>
          <w:rStyle w:val="Emphasis"/>
        </w:rPr>
        <w:t>Paralichthys olivaceus</w:t>
      </w:r>
      <w:r>
        <w:t xml:space="preserve"> in Korea. </w:t>
      </w:r>
      <w:r>
        <w:rPr>
          <w:rStyle w:val="Emphasis"/>
        </w:rPr>
        <w:t>Aquaculture</w:t>
      </w:r>
      <w:r>
        <w:t xml:space="preserve"> 296:165–168.</w:t>
      </w:r>
    </w:p>
    <w:p w:rsidR="00D25EFC" w:rsidRDefault="00A27A2B">
      <w:r>
        <w:lastRenderedPageBreak/>
        <w:t xml:space="preserve">King JA, Snow M, Skall HF and Raynard RS (2001). Experimental susceptibility of Atlantic salmon </w:t>
      </w:r>
      <w:r>
        <w:rPr>
          <w:rStyle w:val="Emphasis"/>
        </w:rPr>
        <w:t xml:space="preserve">Salmo salar </w:t>
      </w:r>
      <w:r>
        <w:t xml:space="preserve">and turbot </w:t>
      </w:r>
      <w:r>
        <w:rPr>
          <w:rStyle w:val="Emphasis"/>
        </w:rPr>
        <w:t xml:space="preserve">Scophthalmus maximus </w:t>
      </w:r>
      <w:r>
        <w:t xml:space="preserve">to European freshwater and marine isolates of viral haemorrhagic septicaemia virus. </w:t>
      </w:r>
      <w:r>
        <w:rPr>
          <w:rStyle w:val="Emphasis"/>
        </w:rPr>
        <w:t>Disease</w:t>
      </w:r>
      <w:r>
        <w:rPr>
          <w:rStyle w:val="Emphasis"/>
        </w:rPr>
        <w:t xml:space="preserve">s of Aquatic Organisms </w:t>
      </w:r>
      <w:r>
        <w:t>47:25–31.</w:t>
      </w:r>
    </w:p>
    <w:p w:rsidR="00D25EFC" w:rsidRDefault="00A27A2B">
      <w:r>
        <w:t xml:space="preserve">Kocan RM, Bradley M, Elder N, Meyers T, Batts W and Winton J (1997). North American strain of viral hemorrhagic septicemia virus is highly pathogenic for laboratory-reared Pacific herring. </w:t>
      </w:r>
      <w:r>
        <w:rPr>
          <w:rStyle w:val="Emphasis"/>
        </w:rPr>
        <w:t xml:space="preserve">Journal of Aquatic Animal Health </w:t>
      </w:r>
      <w:r>
        <w:t>9</w:t>
      </w:r>
      <w:r>
        <w:t>:279–290.</w:t>
      </w:r>
    </w:p>
    <w:p w:rsidR="00D25EFC" w:rsidRDefault="00A27A2B">
      <w:pPr>
        <w:rPr>
          <w:lang w:eastAsia="en-US"/>
        </w:rPr>
      </w:pPr>
      <w:r>
        <w:t xml:space="preserve">Kocan RM, Hershberger PK and Elder NE (2001). </w:t>
      </w:r>
      <w:r>
        <w:rPr>
          <w:lang w:eastAsia="en-US"/>
        </w:rPr>
        <w:t xml:space="preserve">Survival of the North American strain of viral hemorrhagic septicemia virus (VHSV) in filtered seawater and seawater containing ovarian fluid, crude oil and serum-enriched culture medium. </w:t>
      </w:r>
      <w:r>
        <w:rPr>
          <w:rStyle w:val="Emphasis"/>
        </w:rPr>
        <w:t xml:space="preserve">Diseases of </w:t>
      </w:r>
      <w:r>
        <w:rPr>
          <w:rStyle w:val="Emphasis"/>
        </w:rPr>
        <w:t>Aquatic Organisms</w:t>
      </w:r>
      <w:r>
        <w:rPr>
          <w:lang w:eastAsia="en-US"/>
        </w:rPr>
        <w:t xml:space="preserve"> 44:75–78.</w:t>
      </w:r>
    </w:p>
    <w:p w:rsidR="00D25EFC" w:rsidRDefault="00A27A2B">
      <w:r>
        <w:t>Lecocq-Xhonneux F, Thiry M, Dheur I, Rossius M, Vanderheijden N, Martial J and de Kinkelin P (1994). A recombinant viral haemorrhagic septicaemia virus glycoprotein expressed in insect cells induces protective immunity in rainbo</w:t>
      </w:r>
      <w:r>
        <w:t xml:space="preserve">w trout. </w:t>
      </w:r>
      <w:r>
        <w:rPr>
          <w:rStyle w:val="Emphasis"/>
        </w:rPr>
        <w:t>Journal of General Virology</w:t>
      </w:r>
      <w:r>
        <w:t xml:space="preserve"> 75:1579–1587.</w:t>
      </w:r>
    </w:p>
    <w:p w:rsidR="00D25EFC" w:rsidRDefault="00A27A2B">
      <w:pPr>
        <w:rPr>
          <w:lang w:eastAsia="en-US"/>
        </w:rPr>
      </w:pPr>
      <w:r>
        <w:rPr>
          <w:lang w:eastAsia="en-US"/>
        </w:rPr>
        <w:t>López-Vázquez C, Raynard RS, Bain N, Snow M, Bandín I and Dopazo CP (2006). Genotyping of marine isolates of viral haemorrhagic septicaemia virus isolated from the Flemish Cap by nucleotide sequence analys</w:t>
      </w:r>
      <w:r>
        <w:rPr>
          <w:lang w:eastAsia="en-US"/>
        </w:rPr>
        <w:t xml:space="preserve">is and restriction fragment length polymorphism patterns. </w:t>
      </w:r>
      <w:r>
        <w:rPr>
          <w:rStyle w:val="Emphasis"/>
        </w:rPr>
        <w:t>Diseases of Aquatic Organisms</w:t>
      </w:r>
      <w:r>
        <w:rPr>
          <w:lang w:eastAsia="en-US"/>
        </w:rPr>
        <w:t xml:space="preserve"> 73:23–31.</w:t>
      </w:r>
    </w:p>
    <w:p w:rsidR="00D25EFC" w:rsidRDefault="00A27A2B">
      <w:pPr>
        <w:rPr>
          <w:lang w:eastAsia="en-US"/>
        </w:rPr>
      </w:pPr>
      <w:r>
        <w:rPr>
          <w:lang w:eastAsia="en-US"/>
        </w:rPr>
        <w:t xml:space="preserve">Lorenzen, E, Carstensen B and Olesen NJ (1999). Inter-laboratory comparison of cell lines for susceptibility to three viruses: VHSV, IHNV and IPNV. </w:t>
      </w:r>
      <w:r>
        <w:rPr>
          <w:rStyle w:val="Emphasis"/>
        </w:rPr>
        <w:t>Diseases o</w:t>
      </w:r>
      <w:r>
        <w:rPr>
          <w:rStyle w:val="Emphasis"/>
        </w:rPr>
        <w:t xml:space="preserve">f Aquatic Organisms </w:t>
      </w:r>
      <w:r>
        <w:rPr>
          <w:lang w:eastAsia="en-US"/>
        </w:rPr>
        <w:t>37:81–88.</w:t>
      </w:r>
    </w:p>
    <w:p w:rsidR="00D25EFC" w:rsidRDefault="00A27A2B">
      <w:r>
        <w:t xml:space="preserve">Lorenzen N, Olesen NJ, Jørgensen PE, Etzerodt M, Holtet TL and Thøgersen HC (1993). Molecular cloning and expression in </w:t>
      </w:r>
      <w:r>
        <w:rPr>
          <w:rStyle w:val="Emphasis"/>
        </w:rPr>
        <w:t>Escherichia coli</w:t>
      </w:r>
      <w:r>
        <w:t xml:space="preserve"> of the glycoprotein gene of VHS virus, and immunization of rainbow trout with the recombi</w:t>
      </w:r>
      <w:r>
        <w:t xml:space="preserve">nant protein. </w:t>
      </w:r>
      <w:r>
        <w:rPr>
          <w:rStyle w:val="Emphasis"/>
        </w:rPr>
        <w:t>Journal of General Virology</w:t>
      </w:r>
      <w:r>
        <w:t xml:space="preserve"> 74:623–630.</w:t>
      </w:r>
    </w:p>
    <w:p w:rsidR="00D25EFC" w:rsidRDefault="00A27A2B">
      <w:pPr>
        <w:rPr>
          <w:lang w:eastAsia="en-US"/>
        </w:rPr>
      </w:pPr>
      <w:r>
        <w:t>Lorenzen N, Lorenzen E, Einer-Jensen K, Heppell J, Wu T and Davis H (1998). Protective immunity to VHS in rainbow trout (</w:t>
      </w:r>
      <w:r>
        <w:rPr>
          <w:rStyle w:val="Emphasis"/>
        </w:rPr>
        <w:t>Oncorhynchus mykiss</w:t>
      </w:r>
      <w:r>
        <w:t xml:space="preserve">, Walbaum) following DNA vaccination. </w:t>
      </w:r>
      <w:r>
        <w:rPr>
          <w:rStyle w:val="Emphasis"/>
        </w:rPr>
        <w:t>Fish and Shellfish Immun</w:t>
      </w:r>
      <w:r>
        <w:rPr>
          <w:rStyle w:val="Emphasis"/>
        </w:rPr>
        <w:t>ology</w:t>
      </w:r>
      <w:r>
        <w:t xml:space="preserve"> 8:261–270.</w:t>
      </w:r>
    </w:p>
    <w:p w:rsidR="00D25EFC" w:rsidRDefault="00A27A2B">
      <w:pPr>
        <w:rPr>
          <w:lang w:eastAsia="en-US"/>
        </w:rPr>
      </w:pPr>
      <w:r>
        <w:t xml:space="preserve">Lorenzen E, Einer-Jensen K, Martinussen T, LaPatra SE and Lorenzen N (2000). DNA vaccination of rainbow trout against viral hemorrhagic septicemia virus: A dose–response and time-course study. </w:t>
      </w:r>
      <w:r>
        <w:rPr>
          <w:rStyle w:val="Emphasis"/>
        </w:rPr>
        <w:t>Journal of Aquatic Animal Health</w:t>
      </w:r>
      <w:r>
        <w:t xml:space="preserve"> 12:167–180.</w:t>
      </w:r>
    </w:p>
    <w:p w:rsidR="00D25EFC" w:rsidRDefault="00A27A2B">
      <w:pPr>
        <w:rPr>
          <w:lang w:eastAsia="en-US"/>
        </w:rPr>
      </w:pPr>
      <w:r>
        <w:rPr>
          <w:lang w:eastAsia="en-US"/>
        </w:rPr>
        <w:t>L</w:t>
      </w:r>
      <w:r>
        <w:rPr>
          <w:lang w:eastAsia="en-US"/>
        </w:rPr>
        <w:t xml:space="preserve">orenzen E, Einer-Jensen K, Rasmussen JS, Kjaer TE, Collet B, Secombes CJ and Lorenzen N (2009). The protective mechanisms induced by a fish rhabdovirus DNA vaccine depend on temperature. </w:t>
      </w:r>
      <w:r>
        <w:rPr>
          <w:rStyle w:val="Emphasis"/>
        </w:rPr>
        <w:t>Vaccine</w:t>
      </w:r>
      <w:r>
        <w:rPr>
          <w:lang w:eastAsia="en-US"/>
        </w:rPr>
        <w:t xml:space="preserve"> 27:3870–3880.</w:t>
      </w:r>
    </w:p>
    <w:p w:rsidR="00D25EFC" w:rsidRDefault="00A27A2B">
      <w:r>
        <w:rPr>
          <w:lang w:eastAsia="en-US"/>
        </w:rPr>
        <w:t>Lumsden JS, Morrison B, Yason C, Russell S, You</w:t>
      </w:r>
      <w:r>
        <w:rPr>
          <w:lang w:eastAsia="en-US"/>
        </w:rPr>
        <w:t xml:space="preserve">ng K, Yazdanpanah A, Huber P, Al-Hussinee L, Stone D and Way K (2007). Mortality event in freshwater drum </w:t>
      </w:r>
      <w:r>
        <w:rPr>
          <w:rStyle w:val="Emphasis"/>
        </w:rPr>
        <w:t>Aplodinotus grunniens</w:t>
      </w:r>
      <w:r>
        <w:rPr>
          <w:lang w:eastAsia="en-US"/>
        </w:rPr>
        <w:t xml:space="preserve"> from Lake Ontario, Canada, associated with viral haemorrhagic septicemia virus, type IV. </w:t>
      </w:r>
      <w:r>
        <w:rPr>
          <w:rStyle w:val="Emphasis"/>
        </w:rPr>
        <w:t>Diseases of Aquatic Organisms</w:t>
      </w:r>
      <w:r>
        <w:rPr>
          <w:rFonts w:cs="AdvGARAD-I"/>
          <w:lang w:eastAsia="en-US"/>
        </w:rPr>
        <w:t xml:space="preserve"> </w:t>
      </w:r>
      <w:r>
        <w:rPr>
          <w:rFonts w:cs="AdvGARAD-B"/>
          <w:lang w:eastAsia="en-US"/>
        </w:rPr>
        <w:t>76:</w:t>
      </w:r>
      <w:r>
        <w:rPr>
          <w:lang w:eastAsia="en-US"/>
        </w:rPr>
        <w:t>99–111</w:t>
      </w:r>
      <w:r>
        <w:rPr>
          <w:lang w:eastAsia="en-US"/>
        </w:rPr>
        <w:t>.</w:t>
      </w:r>
    </w:p>
    <w:p w:rsidR="00D25EFC" w:rsidRDefault="00A27A2B">
      <w:r>
        <w:t xml:space="preserve">Marty GD, Freiberg EF, Meyers TR, Wilcock J, Farver TB and Hinton DE (1998). Viral hemorrhagic septicemia virus, </w:t>
      </w:r>
      <w:r>
        <w:rPr>
          <w:rStyle w:val="Emphasis"/>
        </w:rPr>
        <w:t>Ichthyophonus hoferi</w:t>
      </w:r>
      <w:r>
        <w:t xml:space="preserve">, and other causes of morbidity in Pacific herring </w:t>
      </w:r>
      <w:r>
        <w:rPr>
          <w:rStyle w:val="Emphasis"/>
        </w:rPr>
        <w:t xml:space="preserve">Clupea pallasi </w:t>
      </w:r>
      <w:r>
        <w:t xml:space="preserve">spawning in Prince William Sound, Alaska, USA. </w:t>
      </w:r>
      <w:r>
        <w:rPr>
          <w:rStyle w:val="Emphasis"/>
        </w:rPr>
        <w:t>Diseases</w:t>
      </w:r>
      <w:r>
        <w:rPr>
          <w:rStyle w:val="Emphasis"/>
        </w:rPr>
        <w:t xml:space="preserve"> of Aquatic Organisms </w:t>
      </w:r>
      <w:r>
        <w:t>32:15–40.</w:t>
      </w:r>
    </w:p>
    <w:p w:rsidR="00D25EFC" w:rsidRDefault="00A27A2B">
      <w:r>
        <w:lastRenderedPageBreak/>
        <w:t xml:space="preserve">Matejusova I, </w:t>
      </w:r>
      <w:r>
        <w:rPr>
          <w:lang w:eastAsia="en-US"/>
        </w:rPr>
        <w:t xml:space="preserve">McKay P, McBeath AJ, Collet B and Snow M (2008). Development of a sensitive and controlled real-time RT-PCR assay for viral haemorrhagic septicaemia virus (VHSV) in marine salmonid aquaculture. </w:t>
      </w:r>
      <w:r>
        <w:rPr>
          <w:rStyle w:val="Emphasis"/>
        </w:rPr>
        <w:t>Diseases of Aqua</w:t>
      </w:r>
      <w:r>
        <w:rPr>
          <w:rStyle w:val="Emphasis"/>
        </w:rPr>
        <w:t>tic Organisms</w:t>
      </w:r>
      <w:r>
        <w:rPr>
          <w:lang w:eastAsia="en-US"/>
        </w:rPr>
        <w:t xml:space="preserve"> 80:137–144.</w:t>
      </w:r>
    </w:p>
    <w:p w:rsidR="00D25EFC" w:rsidRDefault="00A27A2B">
      <w:r>
        <w:t xml:space="preserve">Meyers TR and Winton JR (1995). Viral hemorrhagic septicemia virus in North America. </w:t>
      </w:r>
      <w:r>
        <w:rPr>
          <w:rStyle w:val="Emphasis"/>
        </w:rPr>
        <w:t xml:space="preserve">Annual Review of Fish Diseases </w:t>
      </w:r>
      <w:r>
        <w:t>5:3–24.</w:t>
      </w:r>
    </w:p>
    <w:p w:rsidR="00D25EFC" w:rsidRDefault="00A27A2B">
      <w:r>
        <w:t>Mori K, Iida H, Nishizawa T, Arimoto M, Nakajima K and Muroga K (2002). Properties of viral hemorrhagic se</w:t>
      </w:r>
      <w:r>
        <w:t xml:space="preserve">pticemia virus (VHSV) isolated from Japanese flounder </w:t>
      </w:r>
      <w:r>
        <w:rPr>
          <w:rStyle w:val="Emphasis"/>
        </w:rPr>
        <w:t>Paralichthys olivaceus</w:t>
      </w:r>
      <w:r>
        <w:t xml:space="preserve">. </w:t>
      </w:r>
      <w:r>
        <w:rPr>
          <w:rStyle w:val="Emphasis"/>
        </w:rPr>
        <w:t xml:space="preserve">Fish Pathology </w:t>
      </w:r>
      <w:r>
        <w:t>37:169–174.</w:t>
      </w:r>
    </w:p>
    <w:p w:rsidR="00D25EFC" w:rsidRDefault="00A27A2B">
      <w:r>
        <w:t xml:space="preserve">Munro ALS (1996). Report on the first recorded outbreak of viral haemorrhagic septicaemia (VHS) in GB and subsequent actions to contain, eradicate and </w:t>
      </w:r>
      <w:r>
        <w:t xml:space="preserve">investigate the origins of the infection. </w:t>
      </w:r>
      <w:r>
        <w:rPr>
          <w:rStyle w:val="Emphasis"/>
        </w:rPr>
        <w:t xml:space="preserve">Scottish Aquaculture Research Reports </w:t>
      </w:r>
      <w:r>
        <w:t>No. 3, 1996. http://www.scotland.gov.uk/Topics/marine/science/Publications/FRS-Reports/sarr</w:t>
      </w:r>
    </w:p>
    <w:p w:rsidR="00D25EFC" w:rsidRDefault="00A27A2B">
      <w:r>
        <w:t>Muroga K, Iida H, Mori K, Nishizawa T and Arimoto M (2004).</w:t>
      </w:r>
      <w:r>
        <w:t xml:space="preserve"> Experimental horizontal transmission of viral hemorrhagic septicemia virus (VHSV) in Japanese flounder </w:t>
      </w:r>
      <w:r>
        <w:rPr>
          <w:rStyle w:val="Emphasis"/>
        </w:rPr>
        <w:t>Paralichthys olivaceus</w:t>
      </w:r>
      <w:r>
        <w:t xml:space="preserve">. </w:t>
      </w:r>
      <w:r>
        <w:rPr>
          <w:rStyle w:val="Emphasis"/>
        </w:rPr>
        <w:t>Diseases of Aquatic Organisms</w:t>
      </w:r>
      <w:r>
        <w:t xml:space="preserve"> 58:111–115. </w:t>
      </w:r>
    </w:p>
    <w:p w:rsidR="00D25EFC" w:rsidRDefault="00A27A2B">
      <w:r>
        <w:t>Neukirch M (1985). Uptake, multiplication and excretion of viral haemorrhagic septica</w:t>
      </w:r>
      <w:r>
        <w:t>emia virus in rainbow trout (</w:t>
      </w:r>
      <w:r>
        <w:rPr>
          <w:rStyle w:val="Emphasis"/>
        </w:rPr>
        <w:t>Salmo gairdneri</w:t>
      </w:r>
      <w:r>
        <w:t xml:space="preserve">). In: </w:t>
      </w:r>
      <w:r>
        <w:rPr>
          <w:rStyle w:val="Emphasis"/>
        </w:rPr>
        <w:t>Fish and Shellfish Pathology</w:t>
      </w:r>
      <w:r>
        <w:t>, Ellis AE (ed), Academic Press, London, 295–300.</w:t>
      </w:r>
    </w:p>
    <w:p w:rsidR="00D25EFC" w:rsidRDefault="00A27A2B">
      <w:r>
        <w:t>Nishizawa T, Savas H, Isidan H, Ustündağ C, Iwamoto H and Yoshimizu M (2006). Genotyping and pathogenicity of viral hemorrhagic</w:t>
      </w:r>
      <w:r>
        <w:t xml:space="preserve"> septicemia virus from free-living turbot (</w:t>
      </w:r>
      <w:r>
        <w:rPr>
          <w:rStyle w:val="Emphasis"/>
        </w:rPr>
        <w:t>Psetta maxima</w:t>
      </w:r>
      <w:r>
        <w:t xml:space="preserve">) in a Turkish coastal area of the Black Sea. </w:t>
      </w:r>
      <w:r>
        <w:rPr>
          <w:rStyle w:val="Emphasis"/>
        </w:rPr>
        <w:t>Applied and Environmental Microbiology</w:t>
      </w:r>
      <w:r>
        <w:t xml:space="preserve"> 72:2373–2378.</w:t>
      </w:r>
    </w:p>
    <w:p w:rsidR="00D25EFC" w:rsidRDefault="00A27A2B">
      <w:r>
        <w:t xml:space="preserve">OIE (World Organisation for Animal Health) (2006). </w:t>
      </w:r>
      <w:r>
        <w:rPr>
          <w:rStyle w:val="Emphasis"/>
        </w:rPr>
        <w:t>Manual of Diagnostic Tests for Aquatic Animals</w:t>
      </w:r>
      <w:r>
        <w:rPr>
          <w:rFonts w:cs="BookAntiqua-Italic"/>
          <w:iCs/>
        </w:rPr>
        <w:t>.</w:t>
      </w:r>
      <w:r>
        <w:t xml:space="preserve"> OI</w:t>
      </w:r>
      <w:r>
        <w:t xml:space="preserve">E, Paris. </w:t>
      </w:r>
    </w:p>
    <w:p w:rsidR="00D25EFC" w:rsidRDefault="00A27A2B">
      <w:pPr>
        <w:rPr>
          <w:rFonts w:cs="BookAntiqua"/>
        </w:rPr>
      </w:pPr>
      <w:r>
        <w:t xml:space="preserve">OIE (World Organisation for Animal Health) (2013a). </w:t>
      </w:r>
      <w:r>
        <w:rPr>
          <w:rStyle w:val="Emphasis"/>
        </w:rPr>
        <w:t>Aquatic Animal Health Code</w:t>
      </w:r>
      <w:r>
        <w:t xml:space="preserve">. OIE, Paris. </w:t>
      </w:r>
      <w:r>
        <w:rPr>
          <w:rFonts w:cs="BookAntiqua"/>
        </w:rPr>
        <w:t>http://www.oie.int/en/international-standard-setting/aquatic-code/access-online</w:t>
      </w:r>
    </w:p>
    <w:p w:rsidR="00D25EFC" w:rsidRDefault="00A27A2B">
      <w:r>
        <w:t xml:space="preserve">OIE (World Organisation for Animal Health) (2013b). </w:t>
      </w:r>
      <w:r>
        <w:rPr>
          <w:rStyle w:val="Emphasis"/>
        </w:rPr>
        <w:t xml:space="preserve">Manual of Diagnostic </w:t>
      </w:r>
      <w:r>
        <w:rPr>
          <w:rStyle w:val="Emphasis"/>
        </w:rPr>
        <w:t>Tests for Aquatic Animals</w:t>
      </w:r>
      <w:r>
        <w:t xml:space="preserve"> OIE, Paris. http://www.oie.int/en/international-standard-setting/aquatic-manual/access-online</w:t>
      </w:r>
    </w:p>
    <w:p w:rsidR="00D25EFC" w:rsidRDefault="00A27A2B">
      <w:r>
        <w:t>Olesen NJ and Vestergård Jørgensen PE (1992).</w:t>
      </w:r>
      <w:r>
        <w:t xml:space="preserve"> Comparative susceptibility of three fish cell lines to Egtved virus, the virus of viral haemorrhagic septicaemia (VHS). </w:t>
      </w:r>
      <w:r>
        <w:rPr>
          <w:rStyle w:val="Emphasis"/>
        </w:rPr>
        <w:t xml:space="preserve">Diseases of Aquatic Organisms </w:t>
      </w:r>
      <w:r>
        <w:t>12:235–237.</w:t>
      </w:r>
    </w:p>
    <w:p w:rsidR="00D25EFC" w:rsidRDefault="00A27A2B">
      <w:r>
        <w:t>Olesen NJ and Vestergård Jørgensen PE (1986). Detection of neutralizing antibody to Egtved vi</w:t>
      </w:r>
      <w:r>
        <w:t>rus in rainbow trout (</w:t>
      </w:r>
      <w:r>
        <w:rPr>
          <w:rStyle w:val="Emphasis"/>
        </w:rPr>
        <w:t>Salmo gairdneri</w:t>
      </w:r>
      <w:r>
        <w:t xml:space="preserve">) by plaque neutralization test with complement addition. </w:t>
      </w:r>
      <w:r>
        <w:rPr>
          <w:rStyle w:val="Emphasis"/>
        </w:rPr>
        <w:t xml:space="preserve">Journal of Applied Ichthyology </w:t>
      </w:r>
      <w:r>
        <w:t>2:33–41.</w:t>
      </w:r>
    </w:p>
    <w:p w:rsidR="00D25EFC" w:rsidRDefault="00A27A2B">
      <w:r>
        <w:t>Olesen NJ, Lorenzen N and Jørgensen PEV (1991). Detection of rainbow trout antibody to Egtved virus by enzyme-linked immu</w:t>
      </w:r>
      <w:r>
        <w:t xml:space="preserve">nosorbent assay (ELISA), immunofluorescence (IF), and plaque neutralization tests (50%PNT). </w:t>
      </w:r>
      <w:r>
        <w:rPr>
          <w:rStyle w:val="Emphasis"/>
        </w:rPr>
        <w:t xml:space="preserve">Diseases of Aquatic Organisms </w:t>
      </w:r>
      <w:r>
        <w:t>10:31–38.</w:t>
      </w:r>
    </w:p>
    <w:p w:rsidR="00D25EFC" w:rsidRDefault="00A27A2B">
      <w:pPr>
        <w:rPr>
          <w:lang w:eastAsia="en-US"/>
        </w:rPr>
      </w:pPr>
      <w:r>
        <w:rPr>
          <w:lang w:eastAsia="en-US"/>
        </w:rPr>
        <w:t xml:space="preserve">Ortega-Villaizan M, Chico V, Falco A, Perez L, Coll JM and Estepa A (2009). The rainbow trout TLR9 gene and its role in the </w:t>
      </w:r>
      <w:r>
        <w:rPr>
          <w:lang w:eastAsia="en-US"/>
        </w:rPr>
        <w:t xml:space="preserve">immune responses elicited by a plasmid encoding the </w:t>
      </w:r>
      <w:r>
        <w:rPr>
          <w:lang w:eastAsia="en-US"/>
        </w:rPr>
        <w:lastRenderedPageBreak/>
        <w:t xml:space="preserve">glycoprotein G of the viral haemorrhagic septicaemia rhabdovirus (VHSV). </w:t>
      </w:r>
      <w:r>
        <w:rPr>
          <w:rStyle w:val="Emphasis"/>
        </w:rPr>
        <w:t>Molecular Immunology</w:t>
      </w:r>
      <w:r>
        <w:rPr>
          <w:lang w:eastAsia="en-US"/>
        </w:rPr>
        <w:t xml:space="preserve"> 46:1710–1717.</w:t>
      </w:r>
    </w:p>
    <w:p w:rsidR="00D25EFC" w:rsidRDefault="00A27A2B">
      <w:r>
        <w:rPr>
          <w:lang w:eastAsia="en-US"/>
        </w:rPr>
        <w:t>Parry L and Dixon PF (1997). Stability of nine viral haemorrhagic septicaemia virus (VHSV) isola</w:t>
      </w:r>
      <w:r>
        <w:rPr>
          <w:lang w:eastAsia="en-US"/>
        </w:rPr>
        <w:t xml:space="preserve">tes in seawater. </w:t>
      </w:r>
      <w:r>
        <w:rPr>
          <w:rStyle w:val="Emphasis"/>
        </w:rPr>
        <w:t xml:space="preserve">Bulletin of the European Association of Fish Pathologists </w:t>
      </w:r>
      <w:r>
        <w:rPr>
          <w:bCs/>
          <w:lang w:eastAsia="en-US"/>
        </w:rPr>
        <w:t>17:</w:t>
      </w:r>
      <w:r>
        <w:rPr>
          <w:lang w:eastAsia="en-US"/>
        </w:rPr>
        <w:t>31–36.</w:t>
      </w:r>
    </w:p>
    <w:p w:rsidR="00D25EFC" w:rsidRDefault="00A27A2B">
      <w:r>
        <w:t>Ross K, McCarthy U, Huntly PJ, Wood BP, Stuart D, Rough EI, Smail DA and Bruno DW (1994). An outbreak of viral haemorrhagic septicaemia (VHS) in turbot (</w:t>
      </w:r>
      <w:r>
        <w:rPr>
          <w:rStyle w:val="Emphasis"/>
        </w:rPr>
        <w:t>Scophthalmus maxim</w:t>
      </w:r>
      <w:r>
        <w:rPr>
          <w:rStyle w:val="Emphasis"/>
        </w:rPr>
        <w:t>us</w:t>
      </w:r>
      <w:r>
        <w:t xml:space="preserve">) in Scotland. </w:t>
      </w:r>
      <w:r>
        <w:rPr>
          <w:rStyle w:val="Emphasis"/>
        </w:rPr>
        <w:t xml:space="preserve">Bulletin of the European Association of Fish Pathologists </w:t>
      </w:r>
      <w:r>
        <w:t>14:213–214.</w:t>
      </w:r>
    </w:p>
    <w:p w:rsidR="00D25EFC" w:rsidRDefault="00A27A2B">
      <w:r>
        <w:t>Ruiz S, Schyth BD, Encinas P, Tafalla C, Estepa A, Lorenzen N and Coll JM (2009). New tools to study RNA interference to fish viruses: Fish cell lines permanently expres</w:t>
      </w:r>
      <w:r>
        <w:t xml:space="preserve">sing siRNAs targeting the viral polymerase of viral hemorrhagic septicemia virus. </w:t>
      </w:r>
      <w:r>
        <w:rPr>
          <w:rStyle w:val="Emphasis"/>
        </w:rPr>
        <w:t>Antiviral Research</w:t>
      </w:r>
      <w:r>
        <w:t xml:space="preserve"> 82:148–156.</w:t>
      </w:r>
    </w:p>
    <w:p w:rsidR="00D25EFC" w:rsidRDefault="00A27A2B">
      <w:r>
        <w:t>Schlotfeldt H-J, Ahne W, Vestergård Jørgessen PE and Glende W (1991). Occurrence of viral haemorrhagic septicaemia in turbot (</w:t>
      </w:r>
      <w:r>
        <w:rPr>
          <w:rStyle w:val="Emphasis"/>
        </w:rPr>
        <w:t>Scophthalmus maxi</w:t>
      </w:r>
      <w:r>
        <w:rPr>
          <w:rStyle w:val="Emphasis"/>
        </w:rPr>
        <w:t>mus</w:t>
      </w:r>
      <w:r>
        <w:t xml:space="preserve">)—a natural outbreak. </w:t>
      </w:r>
      <w:r>
        <w:rPr>
          <w:rStyle w:val="Emphasis"/>
        </w:rPr>
        <w:t>Bulletin of the European Association of Fish Pathologists</w:t>
      </w:r>
      <w:r>
        <w:t xml:space="preserve"> 11:105–107.</w:t>
      </w:r>
    </w:p>
    <w:p w:rsidR="00D25EFC" w:rsidRDefault="00A27A2B">
      <w:r>
        <w:t>Schönherz AA, Hansen MH, Jørgensen HB, Lorenzen N and Einer-Jensen K (2012). Oral transmission as a route of infection for viral haemorrhagic septicaemia virus i</w:t>
      </w:r>
      <w:r>
        <w:t xml:space="preserve">n rainbow trout, </w:t>
      </w:r>
      <w:r>
        <w:rPr>
          <w:rStyle w:val="Emphasis"/>
        </w:rPr>
        <w:t>Oncorhynchus mykiss</w:t>
      </w:r>
      <w:r>
        <w:t xml:space="preserve"> (Walbaum). </w:t>
      </w:r>
      <w:r>
        <w:rPr>
          <w:rStyle w:val="Emphasis"/>
        </w:rPr>
        <w:t>Journal of Fish Diseases</w:t>
      </w:r>
      <w:r>
        <w:t xml:space="preserve"> 35:395–406.</w:t>
      </w:r>
    </w:p>
    <w:p w:rsidR="00D25EFC" w:rsidRDefault="00A27A2B">
      <w:pPr>
        <w:rPr>
          <w:lang w:eastAsia="en-US"/>
        </w:rPr>
      </w:pPr>
      <w:r>
        <w:rPr>
          <w:lang w:eastAsia="en-US"/>
        </w:rPr>
        <w:t xml:space="preserve">Skall HF, Slierendrecht WJ, King JA and Olesen NJ (2004). Experimental infection of rainbow trout </w:t>
      </w:r>
      <w:r>
        <w:rPr>
          <w:rStyle w:val="Emphasis"/>
        </w:rPr>
        <w:t>Oncorhynchus mykiss</w:t>
      </w:r>
      <w:r>
        <w:rPr>
          <w:rFonts w:cs="ObliqueStraightPlain"/>
          <w:iCs/>
          <w:lang w:eastAsia="en-US"/>
        </w:rPr>
        <w:t xml:space="preserve"> </w:t>
      </w:r>
      <w:r>
        <w:rPr>
          <w:lang w:eastAsia="en-US"/>
        </w:rPr>
        <w:t>with viral haemorrhagic septicaemia virus isolates fr</w:t>
      </w:r>
      <w:r>
        <w:rPr>
          <w:lang w:eastAsia="en-US"/>
        </w:rPr>
        <w:t xml:space="preserve">om European marine and farmed fishes. </w:t>
      </w:r>
      <w:r>
        <w:rPr>
          <w:rStyle w:val="Emphasis"/>
        </w:rPr>
        <w:t>Diseases of Aquatic Organisms</w:t>
      </w:r>
      <w:r>
        <w:rPr>
          <w:lang w:eastAsia="en-US"/>
        </w:rPr>
        <w:t xml:space="preserve"> 58:99–110.</w:t>
      </w:r>
    </w:p>
    <w:p w:rsidR="00D25EFC" w:rsidRDefault="00A27A2B">
      <w:r>
        <w:rPr>
          <w:lang w:eastAsia="en-US"/>
        </w:rPr>
        <w:t xml:space="preserve">Skall HF, Olesen NJ and Mellergaard S (2005a). Prevalence of viral haemorrhagic septicaemia virus in Danish marine fishes and its occurrence in new host species. </w:t>
      </w:r>
      <w:r>
        <w:rPr>
          <w:rStyle w:val="Emphasis"/>
        </w:rPr>
        <w:t xml:space="preserve">Diseases of </w:t>
      </w:r>
      <w:r>
        <w:rPr>
          <w:rStyle w:val="Emphasis"/>
        </w:rPr>
        <w:t>Aquatic Organisms</w:t>
      </w:r>
      <w:r>
        <w:rPr>
          <w:lang w:eastAsia="en-US"/>
        </w:rPr>
        <w:t xml:space="preserve"> 66:145–151.</w:t>
      </w:r>
    </w:p>
    <w:p w:rsidR="00D25EFC" w:rsidRDefault="00A27A2B">
      <w:pPr>
        <w:rPr>
          <w:lang w:eastAsia="en-US"/>
        </w:rPr>
      </w:pPr>
      <w:r>
        <w:rPr>
          <w:lang w:eastAsia="en-US"/>
        </w:rPr>
        <w:t>Skall HF, Olesen NJ and Mellergaard S (2005b). Viral haemorrhagic septicaemia virus in marine fish and its implications for fish farming</w:t>
      </w:r>
      <w:r>
        <w:t>—</w:t>
      </w:r>
      <w:r>
        <w:rPr>
          <w:lang w:eastAsia="en-US"/>
        </w:rPr>
        <w:t xml:space="preserve">a review. </w:t>
      </w:r>
      <w:r>
        <w:rPr>
          <w:rFonts w:cs="AdvGARAD-I"/>
          <w:lang w:eastAsia="en-US"/>
        </w:rPr>
        <w:t>J</w:t>
      </w:r>
      <w:r>
        <w:rPr>
          <w:rStyle w:val="Emphasis"/>
        </w:rPr>
        <w:t>ournal of Fish Diseases</w:t>
      </w:r>
      <w:r>
        <w:rPr>
          <w:rFonts w:cs="AdvGARAD-I"/>
          <w:lang w:eastAsia="en-US"/>
        </w:rPr>
        <w:t xml:space="preserve"> </w:t>
      </w:r>
      <w:r>
        <w:rPr>
          <w:rFonts w:cs="AdvGARAD-B"/>
          <w:lang w:eastAsia="en-US"/>
        </w:rPr>
        <w:t>28:</w:t>
      </w:r>
      <w:r>
        <w:rPr>
          <w:lang w:eastAsia="en-US"/>
        </w:rPr>
        <w:t>509–529.</w:t>
      </w:r>
    </w:p>
    <w:p w:rsidR="00D25EFC" w:rsidRDefault="00A27A2B">
      <w:r>
        <w:t xml:space="preserve">Smail DA (1999). </w:t>
      </w:r>
      <w:bookmarkStart w:id="214" w:name="OLE_LINK5"/>
      <w:bookmarkStart w:id="215" w:name="OLE_LINK6"/>
      <w:r>
        <w:t>Viral haemorrhagic septic</w:t>
      </w:r>
      <w:r>
        <w:t>aemia</w:t>
      </w:r>
      <w:bookmarkEnd w:id="214"/>
      <w:bookmarkEnd w:id="215"/>
      <w:r>
        <w:t xml:space="preserve">. In: </w:t>
      </w:r>
      <w:r>
        <w:rPr>
          <w:rStyle w:val="Emphasis"/>
        </w:rPr>
        <w:t>Fish Diseases and Disorders</w:t>
      </w:r>
      <w:r>
        <w:t>, vol. 3, Woo PTK and Bruno DW (eds):123–147.</w:t>
      </w:r>
    </w:p>
    <w:p w:rsidR="00D25EFC" w:rsidRDefault="00A27A2B">
      <w:r>
        <w:t xml:space="preserve">Smail DA (2000). Isolation and identification of viral haemorrhagic septicaemia (VHS) viruses from cod </w:t>
      </w:r>
      <w:r>
        <w:rPr>
          <w:rStyle w:val="Emphasis"/>
        </w:rPr>
        <w:t>Gadus morhua</w:t>
      </w:r>
      <w:r>
        <w:t xml:space="preserve"> with the ulcus syndrome and from haddock </w:t>
      </w:r>
      <w:r>
        <w:rPr>
          <w:rStyle w:val="Emphasis"/>
        </w:rPr>
        <w:t>Melanogrammus a</w:t>
      </w:r>
      <w:r>
        <w:rPr>
          <w:rStyle w:val="Emphasis"/>
        </w:rPr>
        <w:t>eglefinus</w:t>
      </w:r>
      <w:r>
        <w:t xml:space="preserve"> having skin haemorrhages in the North Sea. </w:t>
      </w:r>
      <w:r>
        <w:rPr>
          <w:rStyle w:val="Emphasis"/>
        </w:rPr>
        <w:t>Diseases of Aquatic Organisms</w:t>
      </w:r>
      <w:r>
        <w:t xml:space="preserve"> 41:231–235.</w:t>
      </w:r>
    </w:p>
    <w:p w:rsidR="00D25EFC" w:rsidRDefault="00A27A2B">
      <w:r>
        <w:t xml:space="preserve">Snow M and Smail DA (1999). Experimental susceptibility of turbot </w:t>
      </w:r>
      <w:r>
        <w:rPr>
          <w:rStyle w:val="Emphasis"/>
        </w:rPr>
        <w:t>Scopthalmus maximus</w:t>
      </w:r>
      <w:r>
        <w:t xml:space="preserve"> to viral haemorrhagic septicaemia virus isolated from cultivated turbot. </w:t>
      </w:r>
      <w:r>
        <w:rPr>
          <w:rStyle w:val="Emphasis"/>
        </w:rPr>
        <w:t>Di</w:t>
      </w:r>
      <w:r>
        <w:rPr>
          <w:rStyle w:val="Emphasis"/>
        </w:rPr>
        <w:t>seases of Aquatic Organisms</w:t>
      </w:r>
      <w:r>
        <w:t xml:space="preserve"> 38:163–168.</w:t>
      </w:r>
    </w:p>
    <w:p w:rsidR="00D25EFC" w:rsidRDefault="00A27A2B">
      <w:r>
        <w:t xml:space="preserve">Snow M, Cunningham CO, Melvin WT and Kurath G (1999). Analysis of the nucleoprotein gene identifies distinct lineages of viral haemorrhagic septicaemia virus within the European marine environment. </w:t>
      </w:r>
      <w:r>
        <w:rPr>
          <w:rStyle w:val="Emphasis"/>
        </w:rPr>
        <w:t>Virus Research</w:t>
      </w:r>
      <w:r>
        <w:t xml:space="preserve"> 63:</w:t>
      </w:r>
      <w:r>
        <w:t xml:space="preserve">35–44. </w:t>
      </w:r>
    </w:p>
    <w:p w:rsidR="00D25EFC" w:rsidRDefault="00A27A2B">
      <w:r>
        <w:lastRenderedPageBreak/>
        <w:t xml:space="preserve">Snow M, Bain N, Black J, Taupin V, Cunningham CO, King JA, Skall HF and Raynard RS (2004). Genetic population structure of marine viral haemorrhagic septicaemia virus (VHSV). </w:t>
      </w:r>
      <w:r>
        <w:rPr>
          <w:rStyle w:val="Emphasis"/>
        </w:rPr>
        <w:t>Diseases of Aquatic Organisms</w:t>
      </w:r>
      <w:r>
        <w:t xml:space="preserve"> 61:11–21.</w:t>
      </w:r>
    </w:p>
    <w:p w:rsidR="00D25EFC" w:rsidRDefault="00A27A2B">
      <w:r>
        <w:t>Snow M, King JA, Garden A, Shanks</w:t>
      </w:r>
      <w:r>
        <w:t xml:space="preserve"> AM and Raynard RS (2005). Comparative susceptibility of turbot </w:t>
      </w:r>
      <w:r>
        <w:rPr>
          <w:rStyle w:val="Emphasis"/>
        </w:rPr>
        <w:t>Scophthalmus maximus</w:t>
      </w:r>
      <w:r>
        <w:t xml:space="preserve"> to different genotypes of viral haemorrhagic septicaemia virus. </w:t>
      </w:r>
      <w:r>
        <w:rPr>
          <w:rStyle w:val="Emphasis"/>
        </w:rPr>
        <w:t>Diseases of Aquatic Organisms</w:t>
      </w:r>
      <w:r>
        <w:t xml:space="preserve"> 67:31–38.</w:t>
      </w:r>
    </w:p>
    <w:p w:rsidR="00D25EFC" w:rsidRDefault="00A27A2B">
      <w:r>
        <w:t>Sommerset I, Lorenzen E, Lorenzen N, Bleie H and Nerland AH (2003).</w:t>
      </w:r>
      <w:r>
        <w:t xml:space="preserve"> A DNA vaccine directed against a rainbow trout rhabdovirus induces early protection against a nodavirus challenge in turbot. </w:t>
      </w:r>
      <w:r>
        <w:rPr>
          <w:rStyle w:val="Emphasis"/>
        </w:rPr>
        <w:t>Vaccine</w:t>
      </w:r>
      <w:r>
        <w:t xml:space="preserve"> 21:4661–4667.</w:t>
      </w:r>
    </w:p>
    <w:p w:rsidR="00D25EFC" w:rsidRDefault="00A27A2B">
      <w:r>
        <w:t xml:space="preserve">Steinhauer DA and Holland JJ (1987). Rapid evolution of RNA viruses. </w:t>
      </w:r>
      <w:r>
        <w:rPr>
          <w:rStyle w:val="Emphasis"/>
        </w:rPr>
        <w:t xml:space="preserve">Annual Review of Microbiology </w:t>
      </w:r>
      <w:r>
        <w:t>41:409–43</w:t>
      </w:r>
      <w:r>
        <w:t>1.</w:t>
      </w:r>
    </w:p>
    <w:p w:rsidR="00D25EFC" w:rsidRDefault="00A27A2B">
      <w:r>
        <w:t>Stone DM, Way K and Dixon PF (1997). Nucleotide sequence of the glycoprotein gene of viral haemorrhagic septicaemia (VHS) viruses from different geographical areas: a link between VHS in farmed fish species and viruses isolated from North Sea cod (</w:t>
      </w:r>
      <w:r>
        <w:rPr>
          <w:rStyle w:val="Emphasis"/>
        </w:rPr>
        <w:t>Gadus</w:t>
      </w:r>
      <w:r>
        <w:rPr>
          <w:rStyle w:val="Emphasis"/>
        </w:rPr>
        <w:t xml:space="preserve"> morhua </w:t>
      </w:r>
      <w:r>
        <w:t xml:space="preserve">L.). </w:t>
      </w:r>
      <w:r>
        <w:rPr>
          <w:rStyle w:val="Emphasis"/>
        </w:rPr>
        <w:t xml:space="preserve">Journal of General Virology </w:t>
      </w:r>
      <w:r>
        <w:t>78:1319–1326.</w:t>
      </w:r>
    </w:p>
    <w:p w:rsidR="00D25EFC" w:rsidRDefault="00A27A2B">
      <w:r>
        <w:t xml:space="preserve">Stoskopf MK (1993). </w:t>
      </w:r>
      <w:r>
        <w:rPr>
          <w:rStyle w:val="Emphasis"/>
        </w:rPr>
        <w:t>Fish Medicine</w:t>
      </w:r>
      <w:r>
        <w:t>. WB Saunders Company, Philadelphia.</w:t>
      </w:r>
    </w:p>
    <w:p w:rsidR="00D25EFC" w:rsidRDefault="00A27A2B">
      <w:r>
        <w:t>Takano R, Nishizawa T, Arimoto M and Muroga K (2000). Isolation of viral haemorrhagic septicaemia (VHSV) from wild Japanese flounde</w:t>
      </w:r>
      <w:r>
        <w:t xml:space="preserve">r, </w:t>
      </w:r>
      <w:r>
        <w:rPr>
          <w:rStyle w:val="Emphasis"/>
        </w:rPr>
        <w:t xml:space="preserve">Paralichthys olivaceus. Bulletin of the European Association of Fish Pathology </w:t>
      </w:r>
      <w:r>
        <w:t>20:186–192.</w:t>
      </w:r>
    </w:p>
    <w:p w:rsidR="00D25EFC" w:rsidRDefault="00A27A2B">
      <w:r>
        <w:t xml:space="preserve">Thoesen JC (ed) (1994). </w:t>
      </w:r>
      <w:r>
        <w:rPr>
          <w:rFonts w:cs="BookAntiqua-Italic"/>
          <w:iCs/>
        </w:rPr>
        <w:t>Suggested procedures for the detection and identification of certain fish and shellfish pathogens</w:t>
      </w:r>
      <w:r>
        <w:t>. 4th edition, version 1. Fish Health Sec</w:t>
      </w:r>
      <w:r>
        <w:t>tion, American Fisheries Society.</w:t>
      </w:r>
    </w:p>
    <w:p w:rsidR="00D25EFC" w:rsidRDefault="00A27A2B">
      <w:pPr>
        <w:rPr>
          <w:lang w:eastAsia="en-US"/>
        </w:rPr>
      </w:pPr>
      <w:r>
        <w:rPr>
          <w:lang w:eastAsia="en-US"/>
        </w:rPr>
        <w:t xml:space="preserve">Tordo N, Benmansour A, Calisher C, Dietzgen RG, Fang RX, Jackson AO, Kurath G, Nadin-Davis S, Tesh RB and Walker PJ (2005). Family Rhabdoviridae. In: </w:t>
      </w:r>
      <w:r>
        <w:rPr>
          <w:rFonts w:cs="AdvGARAD-I"/>
          <w:lang w:eastAsia="en-US"/>
        </w:rPr>
        <w:t>Virus taxonomy: classification and nomenclature of viruses; eighth repor</w:t>
      </w:r>
      <w:r>
        <w:rPr>
          <w:rFonts w:cs="AdvGARAD-I"/>
          <w:lang w:eastAsia="en-US"/>
        </w:rPr>
        <w:t xml:space="preserve">t of the International Committee on the Taxonomy of Viruses </w:t>
      </w:r>
      <w:r>
        <w:rPr>
          <w:lang w:eastAsia="en-US"/>
        </w:rPr>
        <w:t>(Fauquet CM [ed]) (2005) pp. 635–644. Academic Press, London.</w:t>
      </w:r>
      <w:r>
        <w:t xml:space="preserve"> </w:t>
      </w:r>
    </w:p>
    <w:p w:rsidR="00D25EFC" w:rsidRDefault="00A27A2B">
      <w:r>
        <w:rPr>
          <w:lang w:eastAsia="en-US"/>
        </w:rPr>
        <w:t xml:space="preserve">United States Department of Agriculture (2006). Viral hemorrhagic septicemia in the Great Lakes. July 2006. Emerging Disease Notice. </w:t>
      </w:r>
      <w:r>
        <w:rPr>
          <w:lang w:eastAsia="en-US"/>
        </w:rPr>
        <w:t>USDA, Fort Collins. http://www.aphis.usda.gov/animal_health/emergingissues/downloads/vhsgreatlakes.pdf</w:t>
      </w:r>
    </w:p>
    <w:p w:rsidR="00D25EFC" w:rsidRDefault="00A27A2B">
      <w:r>
        <w:rPr>
          <w:lang w:eastAsia="en-US"/>
        </w:rPr>
        <w:t xml:space="preserve">United States Department of Agriculture </w:t>
      </w:r>
      <w:r>
        <w:t>(2007). Species affected by the viral hemorrhagic septicemia (VHS) Federal Order. November 8, 2007. Reynoldsburg,</w:t>
      </w:r>
      <w:r>
        <w:t xml:space="preserve"> Ohio Department of Agriculture. http://www.agri.ohio.gov/public_docs/News/2008/news_admn_051608_VHSSpecies.pdf</w:t>
      </w:r>
    </w:p>
    <w:p w:rsidR="00D25EFC" w:rsidRDefault="00A27A2B">
      <w:r>
        <w:t>VHSV Expert Panel and Working Group (2010). Viral hemorrhagic septicemia virus (VHSV IVb) risk factors and association measures derived by exper</w:t>
      </w:r>
      <w:r>
        <w:t xml:space="preserve">t panel. </w:t>
      </w:r>
      <w:r>
        <w:rPr>
          <w:rStyle w:val="Emphasis"/>
        </w:rPr>
        <w:t>Preventive Veterinary Medicine</w:t>
      </w:r>
      <w:r>
        <w:t xml:space="preserve"> 94:128–139.</w:t>
      </w:r>
    </w:p>
    <w:p w:rsidR="00D25EFC" w:rsidRDefault="00A27A2B">
      <w:r>
        <w:t xml:space="preserve">Warren JW (1983). Chapter 19: Viral hemorrhagic septicemia. In: Meyer FP, Warren JW, Carey TG (eds). A guide to integrated fish health management in the Great Lakes Basin. </w:t>
      </w:r>
      <w:r>
        <w:lastRenderedPageBreak/>
        <w:t>Great Lakes Fishery Commission S</w:t>
      </w:r>
      <w:r>
        <w:t xml:space="preserve">pecial Publication 83-2. http://www.glfc.org/pubs/SpecialPubs/sp83_2/main.html </w:t>
      </w:r>
    </w:p>
    <w:p w:rsidR="00D25EFC" w:rsidRDefault="00A27A2B">
      <w:r>
        <w:t xml:space="preserve">Watanabe RA, Fryer JL and Rohovec JS (1988). Molecular filtration for recovery of waterborne viruses of fish. </w:t>
      </w:r>
      <w:r>
        <w:rPr>
          <w:rStyle w:val="Emphasis"/>
        </w:rPr>
        <w:t xml:space="preserve">Applied and Environmental Microbiology </w:t>
      </w:r>
      <w:r>
        <w:t>54:1606–1609.</w:t>
      </w:r>
    </w:p>
    <w:p w:rsidR="00D25EFC" w:rsidRDefault="00A27A2B">
      <w:r>
        <w:t xml:space="preserve">Wolf K (1988). Viral hemorrhagic septicemia. In: </w:t>
      </w:r>
      <w:r>
        <w:rPr>
          <w:rFonts w:cs="BookAntiqua-Italic"/>
          <w:iCs/>
        </w:rPr>
        <w:t>Fish viruses and fish viral diseases.</w:t>
      </w:r>
      <w:r>
        <w:t xml:space="preserve"> Cornell University Press, Ithaca, New York, pp. 217–249.</w:t>
      </w:r>
    </w:p>
    <w:p w:rsidR="00D25EFC" w:rsidRDefault="00A27A2B">
      <w:r>
        <w:t>Yamamoto T, Batts WN and Winton JR (1992). In vitro infection of salmonid epidermal tissues by infectious hemato</w:t>
      </w:r>
      <w:r>
        <w:t xml:space="preserve">poietic necrosis and viral haemorrhagic septicaemia virus. </w:t>
      </w:r>
      <w:r>
        <w:rPr>
          <w:rStyle w:val="Emphasis"/>
        </w:rPr>
        <w:t xml:space="preserve">Journal of Aquatic Animal Health </w:t>
      </w:r>
      <w:r>
        <w:t xml:space="preserve">4:231–239. </w:t>
      </w:r>
    </w:p>
    <w:sectPr w:rsidR="00D25EFC" w:rsidSect="00D25EFC">
      <w:pgSz w:w="11900" w:h="16840"/>
      <w:pgMar w:top="1440" w:right="1800" w:bottom="1440" w:left="180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5EFC" w:rsidRDefault="00A27A2B">
      <w:r>
        <w:separator/>
      </w:r>
    </w:p>
    <w:p w:rsidR="00D25EFC" w:rsidRDefault="00D25EFC"/>
  </w:endnote>
  <w:endnote w:type="continuationSeparator" w:id="0">
    <w:p w:rsidR="00D25EFC" w:rsidRDefault="00A27A2B">
      <w:r>
        <w:continuationSeparator/>
      </w:r>
    </w:p>
    <w:p w:rsidR="00D25EFC" w:rsidRDefault="00D25EF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BookAntiqua-Italic">
    <w:altName w:val="Book Antiqua"/>
    <w:panose1 w:val="00000000000000000000"/>
    <w:charset w:val="4D"/>
    <w:family w:val="roman"/>
    <w:notTrueType/>
    <w:pitch w:val="default"/>
    <w:sig w:usb0="00000003" w:usb1="00000000" w:usb2="00000000" w:usb3="00000000" w:csb0="00000001" w:csb1="00000000"/>
  </w:font>
  <w:font w:name="BookAntiqua-Bold">
    <w:panose1 w:val="00000000000000000000"/>
    <w:charset w:val="00"/>
    <w:family w:val="roman"/>
    <w:notTrueType/>
    <w:pitch w:val="default"/>
    <w:sig w:usb0="00000003" w:usb1="00000000" w:usb2="00000000" w:usb3="00000000" w:csb0="00000001" w:csb1="00000000"/>
  </w:font>
  <w:font w:name="GulliverRM">
    <w:panose1 w:val="00000000000000000000"/>
    <w:charset w:val="00"/>
    <w:family w:val="auto"/>
    <w:notTrueType/>
    <w:pitch w:val="default"/>
    <w:sig w:usb0="00000003" w:usb1="00000000" w:usb2="00000000" w:usb3="00000000" w:csb0="00000001" w:csb1="00000000"/>
  </w:font>
  <w:font w:name="AdvGARAD-R">
    <w:panose1 w:val="00000000000000000000"/>
    <w:charset w:val="00"/>
    <w:family w:val="roman"/>
    <w:notTrueType/>
    <w:pitch w:val="default"/>
    <w:sig w:usb0="00000003" w:usb1="00000000" w:usb2="00000000" w:usb3="00000000" w:csb0="00000001" w:csb1="00000000"/>
  </w:font>
  <w:font w:name="AdvGARAD-I">
    <w:panose1 w:val="00000000000000000000"/>
    <w:charset w:val="00"/>
    <w:family w:val="roman"/>
    <w:notTrueType/>
    <w:pitch w:val="default"/>
    <w:sig w:usb0="00000003" w:usb1="00000000" w:usb2="00000000" w:usb3="00000000" w:csb0="00000001" w:csb1="00000000"/>
  </w:font>
  <w:font w:name="Giovanni-Book">
    <w:panose1 w:val="00000000000000000000"/>
    <w:charset w:val="00"/>
    <w:family w:val="roman"/>
    <w:notTrueType/>
    <w:pitch w:val="default"/>
    <w:sig w:usb0="00000003" w:usb1="00000000" w:usb2="00000000" w:usb3="00000000" w:csb0="00000001" w:csb1="00000000"/>
  </w:font>
  <w:font w:name="Candida-Roman">
    <w:panose1 w:val="00000000000000000000"/>
    <w:charset w:val="00"/>
    <w:family w:val="roman"/>
    <w:notTrueType/>
    <w:pitch w:val="default"/>
    <w:sig w:usb0="00000003" w:usb1="00000000" w:usb2="00000000" w:usb3="00000000" w:csb0="00000001" w:csb1="00000000"/>
  </w:font>
  <w:font w:name="AdvP4DF60E">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DINCond-Regular">
    <w:altName w:val="MS Mincho"/>
    <w:panose1 w:val="00000000000000000000"/>
    <w:charset w:val="80"/>
    <w:family w:val="auto"/>
    <w:notTrueType/>
    <w:pitch w:val="default"/>
    <w:sig w:usb0="00000000" w:usb1="08070000" w:usb2="00000010" w:usb3="00000000" w:csb0="00020000" w:csb1="00000000"/>
  </w:font>
  <w:font w:name="ArialMT">
    <w:panose1 w:val="00000000000000000000"/>
    <w:charset w:val="00"/>
    <w:family w:val="roman"/>
    <w:notTrueType/>
    <w:pitch w:val="default"/>
    <w:sig w:usb0="00000000" w:usb1="00000000" w:usb2="00000000" w:usb3="00000000" w:csb0="00000000" w:csb1="00000000"/>
  </w:font>
  <w:font w:name="AdvP641C">
    <w:panose1 w:val="00000000000000000000"/>
    <w:charset w:val="00"/>
    <w:family w:val="roman"/>
    <w:notTrueType/>
    <w:pitch w:val="default"/>
    <w:sig w:usb0="00000003" w:usb1="00000000" w:usb2="00000000" w:usb3="00000000" w:csb0="00000001" w:csb1="00000000"/>
  </w:font>
  <w:font w:name="BookAntiqua">
    <w:altName w:val="Book Antiqua"/>
    <w:panose1 w:val="00000000000000000000"/>
    <w:charset w:val="4D"/>
    <w:family w:val="roman"/>
    <w:notTrueType/>
    <w:pitch w:val="default"/>
    <w:sig w:usb0="00000003" w:usb1="00000000" w:usb2="00000000" w:usb3="00000000" w:csb0="00000001" w:csb1="00000000"/>
  </w:font>
  <w:font w:name="AdvGARAD-B">
    <w:panose1 w:val="00000000000000000000"/>
    <w:charset w:val="00"/>
    <w:family w:val="roman"/>
    <w:notTrueType/>
    <w:pitch w:val="default"/>
    <w:sig w:usb0="00000003" w:usb1="00000000" w:usb2="00000000" w:usb3="00000000" w:csb0="00000001" w:csb1="00000000"/>
  </w:font>
  <w:font w:name="ObliqueStraightPlai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EFC" w:rsidRDefault="00D25EFC">
    <w:pPr>
      <w:pStyle w:val="Footer"/>
    </w:pPr>
    <w:fldSimple w:instr="PAGE  ">
      <w:r w:rsidR="00A27A2B">
        <w:rPr>
          <w:noProof/>
        </w:rPr>
        <w:t>32</w:t>
      </w:r>
    </w:fldSimple>
  </w:p>
  <w:p w:rsidR="00D25EFC" w:rsidRDefault="00D25EFC">
    <w:pPr>
      <w:pStyle w:val="Footer"/>
    </w:pPr>
  </w:p>
  <w:p w:rsidR="00D25EFC" w:rsidRDefault="00D25EF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87938"/>
      <w:docPartObj>
        <w:docPartGallery w:val="Page Numbers (Bottom of Page)"/>
        <w:docPartUnique/>
      </w:docPartObj>
    </w:sdtPr>
    <w:sdtContent>
      <w:p w:rsidR="00D25EFC" w:rsidRDefault="00D25EFC">
        <w:pPr>
          <w:pStyle w:val="Footer"/>
          <w:jc w:val="right"/>
        </w:pPr>
        <w:fldSimple w:instr=" PAGE   \* MERGEFORMAT ">
          <w:r w:rsidR="00A27A2B">
            <w:rPr>
              <w:noProof/>
            </w:rPr>
            <w:t>ii</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5EFC" w:rsidRDefault="00A27A2B">
      <w:r>
        <w:separator/>
      </w:r>
    </w:p>
    <w:p w:rsidR="00D25EFC" w:rsidRDefault="00D25EFC"/>
  </w:footnote>
  <w:footnote w:type="continuationSeparator" w:id="0">
    <w:p w:rsidR="00D25EFC" w:rsidRDefault="00A27A2B">
      <w:r>
        <w:continuationSeparator/>
      </w:r>
    </w:p>
    <w:p w:rsidR="00D25EFC" w:rsidRDefault="00D25EF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EFC" w:rsidRDefault="00A27A2B">
    <w:pPr>
      <w:pStyle w:val="Header"/>
    </w:pPr>
    <w:r>
      <w:t>Department of Agriculture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53E42E0"/>
    <w:lvl w:ilvl="0">
      <w:start w:val="1"/>
      <w:numFmt w:val="decimal"/>
      <w:lvlText w:val="%1."/>
      <w:lvlJc w:val="left"/>
      <w:pPr>
        <w:tabs>
          <w:tab w:val="num" w:pos="1492"/>
        </w:tabs>
        <w:ind w:left="1492" w:hanging="360"/>
      </w:pPr>
    </w:lvl>
  </w:abstractNum>
  <w:abstractNum w:abstractNumId="1">
    <w:nsid w:val="FFFFFF7D"/>
    <w:multiLevelType w:val="singleLevel"/>
    <w:tmpl w:val="44B0712C"/>
    <w:lvl w:ilvl="0">
      <w:start w:val="1"/>
      <w:numFmt w:val="decimal"/>
      <w:lvlText w:val="%1."/>
      <w:lvlJc w:val="left"/>
      <w:pPr>
        <w:tabs>
          <w:tab w:val="num" w:pos="1209"/>
        </w:tabs>
        <w:ind w:left="1209" w:hanging="360"/>
      </w:pPr>
    </w:lvl>
  </w:abstractNum>
  <w:abstractNum w:abstractNumId="2">
    <w:nsid w:val="FFFFFF7E"/>
    <w:multiLevelType w:val="singleLevel"/>
    <w:tmpl w:val="860AB3D4"/>
    <w:lvl w:ilvl="0">
      <w:start w:val="1"/>
      <w:numFmt w:val="decimal"/>
      <w:lvlText w:val="%1."/>
      <w:lvlJc w:val="left"/>
      <w:pPr>
        <w:tabs>
          <w:tab w:val="num" w:pos="926"/>
        </w:tabs>
        <w:ind w:left="926" w:hanging="360"/>
      </w:pPr>
    </w:lvl>
  </w:abstractNum>
  <w:abstractNum w:abstractNumId="3">
    <w:nsid w:val="FFFFFF7F"/>
    <w:multiLevelType w:val="singleLevel"/>
    <w:tmpl w:val="A6C6ADBC"/>
    <w:lvl w:ilvl="0">
      <w:start w:val="1"/>
      <w:numFmt w:val="decimal"/>
      <w:lvlText w:val="%1."/>
      <w:lvlJc w:val="left"/>
      <w:pPr>
        <w:tabs>
          <w:tab w:val="num" w:pos="643"/>
        </w:tabs>
        <w:ind w:left="643" w:hanging="360"/>
      </w:pPr>
    </w:lvl>
  </w:abstractNum>
  <w:abstractNum w:abstractNumId="4">
    <w:nsid w:val="FFFFFF80"/>
    <w:multiLevelType w:val="singleLevel"/>
    <w:tmpl w:val="7BFC0A3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7BE6CF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714A6E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FB237A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8B21360"/>
    <w:lvl w:ilvl="0">
      <w:start w:val="1"/>
      <w:numFmt w:val="decimal"/>
      <w:lvlText w:val="%1."/>
      <w:lvlJc w:val="left"/>
      <w:pPr>
        <w:tabs>
          <w:tab w:val="num" w:pos="360"/>
        </w:tabs>
        <w:ind w:left="360" w:hanging="360"/>
      </w:pPr>
    </w:lvl>
  </w:abstractNum>
  <w:abstractNum w:abstractNumId="9">
    <w:nsid w:val="FFFFFF89"/>
    <w:multiLevelType w:val="singleLevel"/>
    <w:tmpl w:val="ECF64F76"/>
    <w:lvl w:ilvl="0">
      <w:start w:val="1"/>
      <w:numFmt w:val="bullet"/>
      <w:lvlText w:val=""/>
      <w:lvlJc w:val="left"/>
      <w:pPr>
        <w:tabs>
          <w:tab w:val="num" w:pos="360"/>
        </w:tabs>
        <w:ind w:left="360" w:hanging="360"/>
      </w:pPr>
      <w:rPr>
        <w:rFonts w:ascii="Symbol" w:hAnsi="Symbol" w:hint="default"/>
      </w:rPr>
    </w:lvl>
  </w:abstractNum>
  <w:abstractNum w:abstractNumId="10">
    <w:nsid w:val="054560AD"/>
    <w:multiLevelType w:val="hybridMultilevel"/>
    <w:tmpl w:val="3A9608C2"/>
    <w:lvl w:ilvl="0" w:tplc="373EA5BC">
      <w:start w:val="1"/>
      <w:numFmt w:val="bullet"/>
      <w:lvlText w:val=""/>
      <w:lvlJc w:val="left"/>
      <w:pPr>
        <w:ind w:left="1457" w:hanging="360"/>
      </w:pPr>
      <w:rPr>
        <w:rFonts w:ascii="Symbol" w:hAnsi="Symbol"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1">
    <w:nsid w:val="07D51A37"/>
    <w:multiLevelType w:val="multilevel"/>
    <w:tmpl w:val="87565612"/>
    <w:numStyleLink w:val="Headings"/>
  </w:abstractNum>
  <w:abstractNum w:abstractNumId="12">
    <w:nsid w:val="0DF81CEB"/>
    <w:multiLevelType w:val="multilevel"/>
    <w:tmpl w:val="87565612"/>
    <w:numStyleLink w:val="Headings"/>
  </w:abstractNum>
  <w:abstractNum w:abstractNumId="13">
    <w:nsid w:val="1A4C00A1"/>
    <w:multiLevelType w:val="multilevel"/>
    <w:tmpl w:val="95FEAC2A"/>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4">
    <w:nsid w:val="1B9144B3"/>
    <w:multiLevelType w:val="multilevel"/>
    <w:tmpl w:val="87565612"/>
    <w:numStyleLink w:val="Headings"/>
  </w:abstractNum>
  <w:abstractNum w:abstractNumId="15">
    <w:nsid w:val="23EC4A85"/>
    <w:multiLevelType w:val="hybridMultilevel"/>
    <w:tmpl w:val="BEF41AF4"/>
    <w:lvl w:ilvl="0" w:tplc="534020A6">
      <w:start w:val="1"/>
      <w:numFmt w:val="bullet"/>
      <w:pStyle w:val="List2"/>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6">
    <w:nsid w:val="27232633"/>
    <w:multiLevelType w:val="multilevel"/>
    <w:tmpl w:val="87565612"/>
    <w:numStyleLink w:val="Headings"/>
  </w:abstractNum>
  <w:abstractNum w:abstractNumId="17">
    <w:nsid w:val="2A680A2E"/>
    <w:multiLevelType w:val="multilevel"/>
    <w:tmpl w:val="87565612"/>
    <w:numStyleLink w:val="Headings"/>
  </w:abstractNum>
  <w:abstractNum w:abstractNumId="18">
    <w:nsid w:val="2E3B48BB"/>
    <w:multiLevelType w:val="multilevel"/>
    <w:tmpl w:val="87565612"/>
    <w:styleLink w:val="Headings"/>
    <w:lvl w:ilvl="0">
      <w:start w:val="1"/>
      <w:numFmt w:val="none"/>
      <w:lvlText w:val=""/>
      <w:lvlJc w:val="left"/>
      <w:pPr>
        <w:tabs>
          <w:tab w:val="num" w:pos="851"/>
        </w:tabs>
        <w:ind w:left="851" w:hanging="851"/>
      </w:pPr>
      <w:rPr>
        <w:rFonts w:hint="default"/>
      </w:rPr>
    </w:lvl>
    <w:lvl w:ilvl="1">
      <w:start w:val="1"/>
      <w:numFmt w:val="none"/>
      <w:lvlText w:val=""/>
      <w:lvlJc w:val="left"/>
      <w:pPr>
        <w:tabs>
          <w:tab w:val="num" w:pos="851"/>
        </w:tabs>
        <w:ind w:left="851" w:hanging="851"/>
      </w:pPr>
      <w:rPr>
        <w:rFonts w:hint="default"/>
      </w:rPr>
    </w:lvl>
    <w:lvl w:ilvl="2">
      <w:start w:val="1"/>
      <w:numFmt w:val="decimal"/>
      <w:pStyle w:val="Heading3"/>
      <w:lvlText w:val="%3"/>
      <w:lvlJc w:val="left"/>
      <w:pPr>
        <w:tabs>
          <w:tab w:val="num" w:pos="851"/>
        </w:tabs>
        <w:ind w:left="851" w:hanging="851"/>
      </w:pPr>
      <w:rPr>
        <w:rFonts w:hint="default"/>
      </w:rPr>
    </w:lvl>
    <w:lvl w:ilvl="3">
      <w:start w:val="1"/>
      <w:numFmt w:val="decimal"/>
      <w:pStyle w:val="Heading4"/>
      <w:lvlText w:val="%3.%4"/>
      <w:lvlJc w:val="left"/>
      <w:pPr>
        <w:tabs>
          <w:tab w:val="num" w:pos="851"/>
        </w:tabs>
        <w:ind w:left="851" w:hanging="851"/>
      </w:pPr>
      <w:rPr>
        <w:rFonts w:hint="default"/>
      </w:rPr>
    </w:lvl>
    <w:lvl w:ilvl="4">
      <w:start w:val="1"/>
      <w:numFmt w:val="decimal"/>
      <w:pStyle w:val="Heading5"/>
      <w:lvlText w:val="%3.%4.%5"/>
      <w:lvlJc w:val="left"/>
      <w:pPr>
        <w:tabs>
          <w:tab w:val="num" w:pos="851"/>
        </w:tabs>
        <w:ind w:left="851" w:hanging="851"/>
      </w:pPr>
      <w:rPr>
        <w:rFonts w:hint="default"/>
      </w:rPr>
    </w:lvl>
    <w:lvl w:ilvl="5">
      <w:start w:val="1"/>
      <w:numFmt w:val="none"/>
      <w:lvlText w:val=""/>
      <w:lvlJc w:val="left"/>
      <w:pPr>
        <w:tabs>
          <w:tab w:val="num" w:pos="851"/>
        </w:tabs>
        <w:ind w:left="851" w:hanging="851"/>
      </w:pPr>
      <w:rPr>
        <w:rFonts w:hint="default"/>
      </w:rPr>
    </w:lvl>
    <w:lvl w:ilvl="6">
      <w:start w:val="1"/>
      <w:numFmt w:val="none"/>
      <w:lvlText w:val=""/>
      <w:lvlJc w:val="left"/>
      <w:pPr>
        <w:tabs>
          <w:tab w:val="num" w:pos="851"/>
        </w:tabs>
        <w:ind w:left="851" w:hanging="851"/>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19">
    <w:nsid w:val="2FE06A4E"/>
    <w:multiLevelType w:val="multilevel"/>
    <w:tmpl w:val="87565612"/>
    <w:numStyleLink w:val="Headings"/>
  </w:abstractNum>
  <w:abstractNum w:abstractNumId="20">
    <w:nsid w:val="47496E06"/>
    <w:multiLevelType w:val="singleLevel"/>
    <w:tmpl w:val="5906AFD6"/>
    <w:lvl w:ilvl="0">
      <w:start w:val="1"/>
      <w:numFmt w:val="bullet"/>
      <w:pStyle w:val="List"/>
      <w:lvlText w:val=""/>
      <w:lvlJc w:val="left"/>
      <w:pPr>
        <w:tabs>
          <w:tab w:val="num" w:pos="851"/>
        </w:tabs>
        <w:ind w:left="851" w:hanging="426"/>
      </w:pPr>
      <w:rPr>
        <w:rFonts w:ascii="Symbol" w:hAnsi="Symbol" w:hint="default"/>
        <w:sz w:val="20"/>
      </w:rPr>
    </w:lvl>
  </w:abstractNum>
  <w:abstractNum w:abstractNumId="21">
    <w:nsid w:val="4DFB64BF"/>
    <w:multiLevelType w:val="hybridMultilevel"/>
    <w:tmpl w:val="9ECCA082"/>
    <w:lvl w:ilvl="0" w:tplc="659808B6">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50B1554D"/>
    <w:multiLevelType w:val="hybridMultilevel"/>
    <w:tmpl w:val="492448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1D350A7"/>
    <w:multiLevelType w:val="multilevel"/>
    <w:tmpl w:val="87565612"/>
    <w:numStyleLink w:val="Headings"/>
  </w:abstractNum>
  <w:abstractNum w:abstractNumId="24">
    <w:nsid w:val="5ADE2D83"/>
    <w:multiLevelType w:val="hybridMultilevel"/>
    <w:tmpl w:val="5A8C2F50"/>
    <w:lvl w:ilvl="0" w:tplc="CDF861F0">
      <w:start w:val="1"/>
      <w:numFmt w:val="bullet"/>
      <w:lvlText w:val=""/>
      <w:lvlJc w:val="left"/>
      <w:pPr>
        <w:tabs>
          <w:tab w:val="num" w:pos="720"/>
        </w:tabs>
        <w:ind w:left="720" w:hanging="360"/>
      </w:pPr>
      <w:rPr>
        <w:rFonts w:ascii="Symbol" w:hAnsi="Symbol" w:hint="default"/>
        <w:color w:val="0000FF"/>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color w:val="0000FF"/>
      </w:rPr>
    </w:lvl>
    <w:lvl w:ilvl="3" w:tplc="6D165B26">
      <w:start w:val="1"/>
      <w:numFmt w:val="bullet"/>
      <w:lvlText w:val=""/>
      <w:lvlJc w:val="left"/>
      <w:pPr>
        <w:tabs>
          <w:tab w:val="num" w:pos="720"/>
        </w:tabs>
        <w:ind w:left="720" w:hanging="360"/>
      </w:pPr>
      <w:rPr>
        <w:rFonts w:ascii="Symbol" w:hAnsi="Symbol" w:hint="default"/>
        <w:color w:val="000000"/>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5C7F44DA"/>
    <w:multiLevelType w:val="multilevel"/>
    <w:tmpl w:val="95FEAC2A"/>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6">
    <w:nsid w:val="60EC0F74"/>
    <w:multiLevelType w:val="multilevel"/>
    <w:tmpl w:val="87565612"/>
    <w:numStyleLink w:val="Headings"/>
  </w:abstractNum>
  <w:abstractNum w:abstractNumId="27">
    <w:nsid w:val="625E09C2"/>
    <w:multiLevelType w:val="multilevel"/>
    <w:tmpl w:val="87565612"/>
    <w:numStyleLink w:val="Headings"/>
  </w:abstractNum>
  <w:num w:numId="1">
    <w:abstractNumId w:val="20"/>
  </w:num>
  <w:num w:numId="2">
    <w:abstractNumId w:val="10"/>
  </w:num>
  <w:num w:numId="3">
    <w:abstractNumId w:val="13"/>
  </w:num>
  <w:num w:numId="4">
    <w:abstractNumId w:val="18"/>
  </w:num>
  <w:num w:numId="5">
    <w:abstractNumId w:val="25"/>
  </w:num>
  <w:num w:numId="6">
    <w:abstractNumId w:val="17"/>
  </w:num>
  <w:num w:numId="7">
    <w:abstractNumId w:val="14"/>
  </w:num>
  <w:num w:numId="8">
    <w:abstractNumId w:val="27"/>
  </w:num>
  <w:num w:numId="9">
    <w:abstractNumId w:val="23"/>
  </w:num>
  <w:num w:numId="10">
    <w:abstractNumId w:val="16"/>
  </w:num>
  <w:num w:numId="11">
    <w:abstractNumId w:val="11"/>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3.%4"/>
        <w:lvlJc w:val="left"/>
        <w:pPr>
          <w:ind w:left="0" w:firstLine="0"/>
        </w:pPr>
        <w:rPr>
          <w:rFonts w:hint="default"/>
        </w:rPr>
      </w:lvl>
    </w:lvlOverride>
  </w:num>
  <w:num w:numId="12">
    <w:abstractNumId w:val="24"/>
  </w:num>
  <w:num w:numId="13">
    <w:abstractNumId w:val="12"/>
  </w:num>
  <w:num w:numId="14">
    <w:abstractNumId w:val="26"/>
  </w:num>
  <w:num w:numId="15">
    <w:abstractNumId w:val="19"/>
  </w:num>
  <w:num w:numId="16">
    <w:abstractNumId w:val="22"/>
  </w:num>
  <w:num w:numId="17">
    <w:abstractNumId w:val="21"/>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stylePaneFormatFilter w:val="1008"/>
  <w:stylePaneSortMethod w:val="0000"/>
  <w:trackRevisions/>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
  <w:rsids>
    <w:rsidRoot w:val="00D25EFC"/>
    <w:rsid w:val="00A27A2B"/>
    <w:rsid w:val="00D25EFC"/>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3"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EFC"/>
    <w:pPr>
      <w:spacing w:after="240"/>
    </w:pPr>
    <w:rPr>
      <w:rFonts w:ascii="Cambria" w:eastAsia="Times New Roman" w:hAnsi="Cambria" w:cs="Times New Roman"/>
      <w:sz w:val="22"/>
      <w:szCs w:val="20"/>
      <w:lang w:eastAsia="en-AU"/>
    </w:rPr>
  </w:style>
  <w:style w:type="paragraph" w:styleId="Heading1">
    <w:name w:val="heading 1"/>
    <w:next w:val="Normal"/>
    <w:link w:val="Heading1Char"/>
    <w:autoRedefine/>
    <w:uiPriority w:val="1"/>
    <w:qFormat/>
    <w:rsid w:val="00D25EFC"/>
    <w:pPr>
      <w:keepNext/>
      <w:spacing w:before="600" w:after="240"/>
      <w:jc w:val="center"/>
      <w:outlineLvl w:val="0"/>
    </w:pPr>
    <w:rPr>
      <w:rFonts w:ascii="Calibri" w:eastAsia="Calibri" w:hAnsi="Calibri" w:cs="Arial"/>
      <w:b/>
      <w:sz w:val="56"/>
      <w:szCs w:val="56"/>
    </w:rPr>
  </w:style>
  <w:style w:type="paragraph" w:styleId="Heading2">
    <w:name w:val="heading 2"/>
    <w:next w:val="Normal"/>
    <w:link w:val="Heading2Char"/>
    <w:autoRedefine/>
    <w:uiPriority w:val="3"/>
    <w:qFormat/>
    <w:rsid w:val="00D25EFC"/>
    <w:pPr>
      <w:keepNext/>
      <w:spacing w:after="120"/>
      <w:jc w:val="center"/>
      <w:outlineLvl w:val="1"/>
    </w:pPr>
    <w:rPr>
      <w:rFonts w:ascii="Calibri" w:eastAsia="Calibri" w:hAnsi="Calibri" w:cs="Arial"/>
      <w:b/>
      <w:sz w:val="40"/>
      <w:szCs w:val="22"/>
      <w:lang w:eastAsia="en-AU"/>
    </w:rPr>
  </w:style>
  <w:style w:type="paragraph" w:styleId="Heading3">
    <w:name w:val="heading 3"/>
    <w:next w:val="Normal"/>
    <w:link w:val="Heading3Char"/>
    <w:uiPriority w:val="9"/>
    <w:unhideWhenUsed/>
    <w:qFormat/>
    <w:rsid w:val="00D25EFC"/>
    <w:pPr>
      <w:keepNext/>
      <w:keepLines/>
      <w:numPr>
        <w:ilvl w:val="2"/>
        <w:numId w:val="15"/>
      </w:numPr>
      <w:pBdr>
        <w:bottom w:val="single" w:sz="8" w:space="1" w:color="auto"/>
      </w:pBdr>
      <w:spacing w:before="200"/>
      <w:outlineLvl w:val="2"/>
    </w:pPr>
    <w:rPr>
      <w:rFonts w:asciiTheme="majorHAnsi" w:eastAsiaTheme="majorEastAsia" w:hAnsiTheme="majorHAnsi" w:cstheme="majorBidi"/>
      <w:b/>
      <w:bCs/>
      <w:sz w:val="40"/>
      <w:szCs w:val="36"/>
      <w:lang w:eastAsia="en-AU"/>
    </w:rPr>
  </w:style>
  <w:style w:type="paragraph" w:styleId="Heading4">
    <w:name w:val="heading 4"/>
    <w:next w:val="Normal"/>
    <w:link w:val="Heading4Char"/>
    <w:uiPriority w:val="9"/>
    <w:unhideWhenUsed/>
    <w:qFormat/>
    <w:rsid w:val="00D25EFC"/>
    <w:pPr>
      <w:keepNext/>
      <w:keepLines/>
      <w:numPr>
        <w:ilvl w:val="3"/>
        <w:numId w:val="15"/>
      </w:numPr>
      <w:spacing w:before="200"/>
      <w:outlineLvl w:val="3"/>
    </w:pPr>
    <w:rPr>
      <w:rFonts w:asciiTheme="majorHAnsi" w:eastAsiaTheme="majorEastAsia" w:hAnsiTheme="majorHAnsi" w:cstheme="majorBidi"/>
      <w:b/>
      <w:bCs/>
      <w:sz w:val="28"/>
      <w:szCs w:val="32"/>
      <w:lang w:eastAsia="en-AU"/>
    </w:rPr>
  </w:style>
  <w:style w:type="paragraph" w:styleId="Heading5">
    <w:name w:val="heading 5"/>
    <w:next w:val="Normal"/>
    <w:link w:val="Heading5Char"/>
    <w:uiPriority w:val="9"/>
    <w:unhideWhenUsed/>
    <w:qFormat/>
    <w:rsid w:val="00D25EFC"/>
    <w:pPr>
      <w:keepNext/>
      <w:keepLines/>
      <w:numPr>
        <w:ilvl w:val="4"/>
        <w:numId w:val="15"/>
      </w:numPr>
      <w:spacing w:before="200"/>
      <w:outlineLvl w:val="4"/>
    </w:pPr>
    <w:rPr>
      <w:rFonts w:asciiTheme="majorHAnsi" w:eastAsiaTheme="majorEastAsia" w:hAnsiTheme="majorHAnsi" w:cstheme="majorBidi"/>
      <w:b/>
      <w:szCs w:val="22"/>
      <w:lang w:eastAsia="en-AU"/>
    </w:rPr>
  </w:style>
  <w:style w:type="paragraph" w:styleId="Heading6">
    <w:name w:val="heading 6"/>
    <w:next w:val="Normal"/>
    <w:link w:val="Heading6Char"/>
    <w:uiPriority w:val="9"/>
    <w:unhideWhenUsed/>
    <w:qFormat/>
    <w:rsid w:val="00D25EFC"/>
    <w:pPr>
      <w:keepNext/>
      <w:keepLines/>
      <w:spacing w:before="200"/>
      <w:ind w:left="851"/>
      <w:outlineLvl w:val="5"/>
    </w:pPr>
    <w:rPr>
      <w:rFonts w:asciiTheme="majorHAnsi" w:eastAsiaTheme="majorEastAsia" w:hAnsiTheme="majorHAnsi" w:cstheme="majorBidi"/>
      <w:b/>
      <w:bCs/>
      <w:sz w:val="22"/>
      <w:szCs w:val="22"/>
      <w:lang w:eastAsia="en-AU"/>
    </w:rPr>
  </w:style>
  <w:style w:type="paragraph" w:styleId="Heading7">
    <w:name w:val="heading 7"/>
    <w:next w:val="Normal"/>
    <w:link w:val="Heading7Char"/>
    <w:uiPriority w:val="9"/>
    <w:unhideWhenUsed/>
    <w:qFormat/>
    <w:rsid w:val="00D25EFC"/>
    <w:pPr>
      <w:keepNext/>
      <w:keepLines/>
      <w:spacing w:before="200"/>
      <w:outlineLvl w:val="6"/>
    </w:pPr>
    <w:rPr>
      <w:rFonts w:asciiTheme="majorHAnsi" w:eastAsiaTheme="majorEastAsia" w:hAnsiTheme="majorHAnsi" w:cstheme="majorBidi"/>
      <w:b/>
      <w:i/>
      <w:iCs/>
      <w:sz w:val="22"/>
      <w:szCs w:val="20"/>
      <w:lang w:eastAsia="en-AU"/>
    </w:rPr>
  </w:style>
  <w:style w:type="paragraph" w:styleId="Heading8">
    <w:name w:val="heading 8"/>
    <w:basedOn w:val="Normal"/>
    <w:next w:val="Normal"/>
    <w:link w:val="Heading8Char"/>
    <w:uiPriority w:val="9"/>
    <w:semiHidden/>
    <w:unhideWhenUsed/>
    <w:qFormat/>
    <w:rsid w:val="00D25EFC"/>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D25EFC"/>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25EFC"/>
    <w:rPr>
      <w:rFonts w:ascii="Calibri" w:eastAsia="Calibri" w:hAnsi="Calibri" w:cs="Arial"/>
      <w:b/>
      <w:sz w:val="56"/>
      <w:szCs w:val="56"/>
    </w:rPr>
  </w:style>
  <w:style w:type="character" w:customStyle="1" w:styleId="Heading2Char">
    <w:name w:val="Heading 2 Char"/>
    <w:basedOn w:val="DefaultParagraphFont"/>
    <w:link w:val="Heading2"/>
    <w:uiPriority w:val="3"/>
    <w:rsid w:val="00D25EFC"/>
    <w:rPr>
      <w:rFonts w:ascii="Calibri" w:eastAsia="Calibri" w:hAnsi="Calibri" w:cs="Arial"/>
      <w:b/>
      <w:sz w:val="40"/>
      <w:szCs w:val="22"/>
      <w:lang w:eastAsia="en-AU"/>
    </w:rPr>
  </w:style>
  <w:style w:type="character" w:styleId="Strong">
    <w:name w:val="Strong"/>
    <w:basedOn w:val="DefaultParagraphFont"/>
    <w:qFormat/>
    <w:rsid w:val="00D25EFC"/>
    <w:rPr>
      <w:b/>
      <w:bCs/>
    </w:rPr>
  </w:style>
  <w:style w:type="paragraph" w:styleId="Footer">
    <w:name w:val="footer"/>
    <w:next w:val="Normal"/>
    <w:link w:val="FooterChar"/>
    <w:uiPriority w:val="99"/>
    <w:unhideWhenUsed/>
    <w:rsid w:val="00D25EFC"/>
    <w:pPr>
      <w:pBdr>
        <w:top w:val="single" w:sz="4" w:space="10" w:color="auto"/>
      </w:pBdr>
      <w:tabs>
        <w:tab w:val="right" w:pos="8222"/>
      </w:tabs>
      <w:jc w:val="both"/>
    </w:pPr>
    <w:rPr>
      <w:rFonts w:ascii="Cambria" w:eastAsiaTheme="minorHAnsi" w:hAnsi="Cambria" w:cs="Times New Roman"/>
      <w:sz w:val="20"/>
      <w:szCs w:val="20"/>
      <w:lang w:eastAsia="en-AU"/>
    </w:rPr>
  </w:style>
  <w:style w:type="character" w:customStyle="1" w:styleId="FooterChar">
    <w:name w:val="Footer Char"/>
    <w:basedOn w:val="DefaultParagraphFont"/>
    <w:link w:val="Footer"/>
    <w:uiPriority w:val="99"/>
    <w:rsid w:val="00D25EFC"/>
    <w:rPr>
      <w:rFonts w:ascii="Cambria" w:eastAsiaTheme="minorHAnsi" w:hAnsi="Cambria" w:cs="Times New Roman"/>
      <w:sz w:val="20"/>
      <w:szCs w:val="20"/>
      <w:lang w:eastAsia="en-AU"/>
    </w:rPr>
  </w:style>
  <w:style w:type="paragraph" w:styleId="BalloonText">
    <w:name w:val="Balloon Text"/>
    <w:basedOn w:val="Normal"/>
    <w:link w:val="BalloonTextChar"/>
    <w:uiPriority w:val="99"/>
    <w:semiHidden/>
    <w:unhideWhenUsed/>
    <w:rsid w:val="00D25EF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5EFC"/>
    <w:rPr>
      <w:rFonts w:ascii="Lucida Grande" w:eastAsia="Times New Roman" w:hAnsi="Lucida Grande" w:cs="Lucida Grande"/>
      <w:sz w:val="18"/>
      <w:szCs w:val="18"/>
      <w:lang w:eastAsia="en-AU"/>
    </w:rPr>
  </w:style>
  <w:style w:type="character" w:customStyle="1" w:styleId="Heading3Char">
    <w:name w:val="Heading 3 Char"/>
    <w:basedOn w:val="DefaultParagraphFont"/>
    <w:link w:val="Heading3"/>
    <w:uiPriority w:val="9"/>
    <w:rsid w:val="00D25EFC"/>
    <w:rPr>
      <w:rFonts w:asciiTheme="majorHAnsi" w:eastAsiaTheme="majorEastAsia" w:hAnsiTheme="majorHAnsi" w:cstheme="majorBidi"/>
      <w:b/>
      <w:bCs/>
      <w:sz w:val="40"/>
      <w:szCs w:val="36"/>
      <w:lang w:eastAsia="en-AU"/>
    </w:rPr>
  </w:style>
  <w:style w:type="character" w:styleId="FootnoteReference">
    <w:name w:val="footnote reference"/>
    <w:basedOn w:val="DefaultParagraphFont"/>
    <w:semiHidden/>
    <w:rsid w:val="00D25EFC"/>
    <w:rPr>
      <w:vertAlign w:val="superscript"/>
    </w:rPr>
  </w:style>
  <w:style w:type="table" w:styleId="TableGrid">
    <w:name w:val="Table Grid"/>
    <w:basedOn w:val="TableNormal"/>
    <w:rsid w:val="00D25EFC"/>
    <w:pPr>
      <w:spacing w:after="240"/>
      <w:ind w:left="425"/>
      <w:jc w:val="both"/>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Normal"/>
    <w:rsid w:val="00D25EFC"/>
    <w:pPr>
      <w:numPr>
        <w:numId w:val="1"/>
      </w:numPr>
      <w:tabs>
        <w:tab w:val="clear" w:pos="851"/>
      </w:tabs>
      <w:spacing w:after="120"/>
      <w:ind w:left="1418" w:hanging="425"/>
    </w:pPr>
    <w:rPr>
      <w:szCs w:val="22"/>
    </w:rPr>
  </w:style>
  <w:style w:type="paragraph" w:customStyle="1" w:styleId="Tabletextcolumnheading">
    <w:name w:val="Table text column heading"/>
    <w:basedOn w:val="tabletext"/>
    <w:qFormat/>
    <w:rsid w:val="00D25EFC"/>
    <w:rPr>
      <w:b/>
    </w:rPr>
  </w:style>
  <w:style w:type="character" w:customStyle="1" w:styleId="Heading4Char">
    <w:name w:val="Heading 4 Char"/>
    <w:basedOn w:val="DefaultParagraphFont"/>
    <w:link w:val="Heading4"/>
    <w:uiPriority w:val="9"/>
    <w:rsid w:val="00D25EFC"/>
    <w:rPr>
      <w:rFonts w:asciiTheme="majorHAnsi" w:eastAsiaTheme="majorEastAsia" w:hAnsiTheme="majorHAnsi" w:cstheme="majorBidi"/>
      <w:b/>
      <w:bCs/>
      <w:sz w:val="28"/>
      <w:szCs w:val="32"/>
      <w:lang w:eastAsia="en-AU"/>
    </w:rPr>
  </w:style>
  <w:style w:type="character" w:customStyle="1" w:styleId="Heading5Char">
    <w:name w:val="Heading 5 Char"/>
    <w:basedOn w:val="DefaultParagraphFont"/>
    <w:link w:val="Heading5"/>
    <w:uiPriority w:val="9"/>
    <w:rsid w:val="00D25EFC"/>
    <w:rPr>
      <w:rFonts w:asciiTheme="majorHAnsi" w:eastAsiaTheme="majorEastAsia" w:hAnsiTheme="majorHAnsi" w:cstheme="majorBidi"/>
      <w:b/>
      <w:szCs w:val="22"/>
      <w:lang w:eastAsia="en-AU"/>
    </w:rPr>
  </w:style>
  <w:style w:type="character" w:customStyle="1" w:styleId="Heading6Char">
    <w:name w:val="Heading 6 Char"/>
    <w:basedOn w:val="DefaultParagraphFont"/>
    <w:link w:val="Heading6"/>
    <w:uiPriority w:val="9"/>
    <w:rsid w:val="00D25EFC"/>
    <w:rPr>
      <w:rFonts w:asciiTheme="majorHAnsi" w:eastAsiaTheme="majorEastAsia" w:hAnsiTheme="majorHAnsi" w:cstheme="majorBidi"/>
      <w:b/>
      <w:bCs/>
      <w:sz w:val="22"/>
      <w:szCs w:val="22"/>
      <w:lang w:eastAsia="en-AU"/>
    </w:rPr>
  </w:style>
  <w:style w:type="paragraph" w:styleId="Caption">
    <w:name w:val="caption"/>
    <w:basedOn w:val="Normal"/>
    <w:next w:val="Normal"/>
    <w:uiPriority w:val="35"/>
    <w:qFormat/>
    <w:rsid w:val="00D25EFC"/>
    <w:pPr>
      <w:keepNext/>
      <w:spacing w:before="240" w:after="0"/>
      <w:ind w:left="1843" w:hanging="993"/>
    </w:pPr>
    <w:rPr>
      <w:rFonts w:ascii="Calibri" w:hAnsi="Calibri"/>
      <w:b/>
      <w:bCs/>
      <w:sz w:val="24"/>
      <w:szCs w:val="18"/>
    </w:rPr>
  </w:style>
  <w:style w:type="character" w:styleId="CommentReference">
    <w:name w:val="annotation reference"/>
    <w:semiHidden/>
    <w:rsid w:val="00D25EFC"/>
    <w:rPr>
      <w:sz w:val="16"/>
      <w:szCs w:val="16"/>
    </w:rPr>
  </w:style>
  <w:style w:type="paragraph" w:styleId="List2">
    <w:name w:val="List 2"/>
    <w:basedOn w:val="Normal"/>
    <w:uiPriority w:val="99"/>
    <w:unhideWhenUsed/>
    <w:rsid w:val="00D25EFC"/>
    <w:pPr>
      <w:numPr>
        <w:numId w:val="28"/>
      </w:numPr>
      <w:spacing w:after="120"/>
      <w:ind w:left="1843" w:hanging="357"/>
    </w:pPr>
    <w:rPr>
      <w:rFonts w:cs="BookAntiqua-Italic"/>
      <w:i/>
      <w:iCs/>
    </w:rPr>
  </w:style>
  <w:style w:type="paragraph" w:styleId="TOCHeading">
    <w:name w:val="TOC Heading"/>
    <w:basedOn w:val="Heading1"/>
    <w:next w:val="Normal"/>
    <w:uiPriority w:val="39"/>
    <w:unhideWhenUsed/>
    <w:qFormat/>
    <w:rsid w:val="00D25EFC"/>
    <w:pPr>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rPr>
  </w:style>
  <w:style w:type="paragraph" w:styleId="Index1">
    <w:name w:val="index 1"/>
    <w:basedOn w:val="Normal"/>
    <w:next w:val="Normal"/>
    <w:autoRedefine/>
    <w:uiPriority w:val="99"/>
    <w:semiHidden/>
    <w:unhideWhenUsed/>
    <w:rsid w:val="00D25EFC"/>
    <w:pPr>
      <w:spacing w:after="0"/>
      <w:ind w:left="220" w:hanging="220"/>
    </w:pPr>
  </w:style>
  <w:style w:type="paragraph" w:styleId="IndexHeading">
    <w:name w:val="index heading"/>
    <w:basedOn w:val="Normal"/>
    <w:next w:val="Index1"/>
    <w:semiHidden/>
    <w:rsid w:val="00D25EFC"/>
  </w:style>
  <w:style w:type="character" w:customStyle="1" w:styleId="Heading7Char">
    <w:name w:val="Heading 7 Char"/>
    <w:basedOn w:val="DefaultParagraphFont"/>
    <w:link w:val="Heading7"/>
    <w:uiPriority w:val="9"/>
    <w:rsid w:val="00D25EFC"/>
    <w:rPr>
      <w:rFonts w:asciiTheme="majorHAnsi" w:eastAsiaTheme="majorEastAsia" w:hAnsiTheme="majorHAnsi" w:cstheme="majorBidi"/>
      <w:b/>
      <w:i/>
      <w:iCs/>
      <w:sz w:val="22"/>
      <w:szCs w:val="20"/>
      <w:lang w:eastAsia="en-AU"/>
    </w:rPr>
  </w:style>
  <w:style w:type="character" w:customStyle="1" w:styleId="Heading8Char">
    <w:name w:val="Heading 8 Char"/>
    <w:basedOn w:val="DefaultParagraphFont"/>
    <w:link w:val="Heading8"/>
    <w:uiPriority w:val="9"/>
    <w:semiHidden/>
    <w:rsid w:val="00D25EFC"/>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D25EFC"/>
    <w:rPr>
      <w:rFonts w:asciiTheme="majorHAnsi" w:eastAsiaTheme="majorEastAsia" w:hAnsiTheme="majorHAnsi" w:cstheme="majorBidi"/>
      <w:i/>
      <w:iCs/>
      <w:color w:val="404040" w:themeColor="text1" w:themeTint="BF"/>
      <w:sz w:val="20"/>
      <w:szCs w:val="20"/>
      <w:lang w:eastAsia="en-AU"/>
    </w:rPr>
  </w:style>
  <w:style w:type="numbering" w:customStyle="1" w:styleId="Headings">
    <w:name w:val="Headings"/>
    <w:uiPriority w:val="99"/>
    <w:rsid w:val="00D25EFC"/>
    <w:pPr>
      <w:numPr>
        <w:numId w:val="4"/>
      </w:numPr>
    </w:pPr>
  </w:style>
  <w:style w:type="paragraph" w:customStyle="1" w:styleId="Heading3unnumbered">
    <w:name w:val="Heading 3 unnumbered"/>
    <w:basedOn w:val="Heading3"/>
    <w:qFormat/>
    <w:rsid w:val="00D25EFC"/>
    <w:pPr>
      <w:numPr>
        <w:ilvl w:val="0"/>
        <w:numId w:val="0"/>
      </w:numPr>
      <w:spacing w:before="240" w:after="240"/>
    </w:pPr>
  </w:style>
  <w:style w:type="paragraph" w:customStyle="1" w:styleId="Heading4unnumbered">
    <w:name w:val="Heading 4 unnumbered"/>
    <w:basedOn w:val="Heading4"/>
    <w:qFormat/>
    <w:rsid w:val="00D25EFC"/>
    <w:pPr>
      <w:numPr>
        <w:ilvl w:val="0"/>
        <w:numId w:val="0"/>
      </w:numPr>
    </w:pPr>
  </w:style>
  <w:style w:type="paragraph" w:styleId="Header">
    <w:name w:val="header"/>
    <w:basedOn w:val="Normal"/>
    <w:link w:val="HeaderChar"/>
    <w:uiPriority w:val="99"/>
    <w:unhideWhenUsed/>
    <w:rsid w:val="00D25EFC"/>
    <w:pPr>
      <w:pBdr>
        <w:bottom w:val="single" w:sz="4" w:space="10" w:color="auto"/>
      </w:pBdr>
      <w:tabs>
        <w:tab w:val="center" w:pos="4513"/>
        <w:tab w:val="right" w:pos="9026"/>
      </w:tabs>
      <w:spacing w:after="0"/>
    </w:pPr>
    <w:rPr>
      <w:sz w:val="20"/>
    </w:rPr>
  </w:style>
  <w:style w:type="character" w:customStyle="1" w:styleId="HeaderChar">
    <w:name w:val="Header Char"/>
    <w:basedOn w:val="DefaultParagraphFont"/>
    <w:link w:val="Header"/>
    <w:uiPriority w:val="99"/>
    <w:rsid w:val="00D25EFC"/>
    <w:rPr>
      <w:rFonts w:ascii="Cambria" w:eastAsia="Times New Roman" w:hAnsi="Cambria" w:cs="Times New Roman"/>
      <w:sz w:val="20"/>
      <w:szCs w:val="20"/>
      <w:lang w:eastAsia="en-AU"/>
    </w:rPr>
  </w:style>
  <w:style w:type="paragraph" w:styleId="TOC2">
    <w:name w:val="toc 2"/>
    <w:basedOn w:val="Normal"/>
    <w:next w:val="Normal"/>
    <w:autoRedefine/>
    <w:uiPriority w:val="39"/>
    <w:unhideWhenUsed/>
    <w:rsid w:val="00D25EFC"/>
    <w:pPr>
      <w:tabs>
        <w:tab w:val="left" w:pos="993"/>
        <w:tab w:val="right" w:leader="dot" w:pos="8290"/>
      </w:tabs>
      <w:spacing w:after="100"/>
      <w:ind w:left="426"/>
    </w:pPr>
    <w:rPr>
      <w:noProof/>
    </w:rPr>
  </w:style>
  <w:style w:type="paragraph" w:styleId="TOC1">
    <w:name w:val="toc 1"/>
    <w:basedOn w:val="Normal"/>
    <w:next w:val="Normal"/>
    <w:autoRedefine/>
    <w:uiPriority w:val="39"/>
    <w:unhideWhenUsed/>
    <w:rsid w:val="00D25EFC"/>
    <w:pPr>
      <w:tabs>
        <w:tab w:val="right" w:leader="dot" w:pos="8290"/>
      </w:tabs>
      <w:spacing w:after="100"/>
    </w:pPr>
    <w:rPr>
      <w:b/>
      <w:noProof/>
    </w:rPr>
  </w:style>
  <w:style w:type="paragraph" w:customStyle="1" w:styleId="Normalindent">
    <w:name w:val="Normal indent"/>
    <w:basedOn w:val="Normal"/>
    <w:qFormat/>
    <w:rsid w:val="00D25EFC"/>
    <w:pPr>
      <w:spacing w:after="160"/>
      <w:ind w:left="851"/>
    </w:pPr>
  </w:style>
  <w:style w:type="character" w:styleId="Hyperlink">
    <w:name w:val="Hyperlink"/>
    <w:basedOn w:val="DefaultParagraphFont"/>
    <w:uiPriority w:val="99"/>
    <w:unhideWhenUsed/>
    <w:rsid w:val="00D25EFC"/>
    <w:rPr>
      <w:color w:val="0000FF" w:themeColor="hyperlink"/>
      <w:u w:val="single"/>
    </w:rPr>
  </w:style>
  <w:style w:type="paragraph" w:styleId="TOC3">
    <w:name w:val="toc 3"/>
    <w:basedOn w:val="Normal"/>
    <w:next w:val="Normal"/>
    <w:autoRedefine/>
    <w:uiPriority w:val="39"/>
    <w:unhideWhenUsed/>
    <w:rsid w:val="00D25EFC"/>
    <w:pPr>
      <w:tabs>
        <w:tab w:val="right" w:leader="dot" w:pos="8290"/>
      </w:tabs>
      <w:spacing w:after="100"/>
      <w:ind w:left="1701" w:hanging="708"/>
    </w:pPr>
  </w:style>
  <w:style w:type="character" w:styleId="PageNumber">
    <w:name w:val="page number"/>
    <w:basedOn w:val="DefaultParagraphFont"/>
    <w:rsid w:val="00D25EFC"/>
  </w:style>
  <w:style w:type="paragraph" w:customStyle="1" w:styleId="tabletext">
    <w:name w:val="table text"/>
    <w:basedOn w:val="BalloonText"/>
    <w:qFormat/>
    <w:rsid w:val="00D25EFC"/>
    <w:pPr>
      <w:autoSpaceDE w:val="0"/>
      <w:autoSpaceDN w:val="0"/>
      <w:adjustRightInd w:val="0"/>
    </w:pPr>
    <w:rPr>
      <w:rFonts w:ascii="Cambria" w:eastAsia="PMingLiU" w:hAnsi="Cambria" w:cs="Times New Roman"/>
      <w:sz w:val="22"/>
      <w:szCs w:val="20"/>
      <w:lang w:eastAsia="en-US"/>
    </w:rPr>
  </w:style>
  <w:style w:type="paragraph" w:styleId="FootnoteText">
    <w:name w:val="footnote text"/>
    <w:basedOn w:val="Normal"/>
    <w:link w:val="FootnoteTextChar"/>
    <w:uiPriority w:val="99"/>
    <w:semiHidden/>
    <w:unhideWhenUsed/>
    <w:rsid w:val="00D25EFC"/>
    <w:pPr>
      <w:spacing w:after="0"/>
    </w:pPr>
    <w:rPr>
      <w:sz w:val="20"/>
    </w:rPr>
  </w:style>
  <w:style w:type="character" w:customStyle="1" w:styleId="FootnoteTextChar">
    <w:name w:val="Footnote Text Char"/>
    <w:basedOn w:val="DefaultParagraphFont"/>
    <w:link w:val="FootnoteText"/>
    <w:uiPriority w:val="99"/>
    <w:semiHidden/>
    <w:rsid w:val="00D25EFC"/>
    <w:rPr>
      <w:rFonts w:ascii="Cambria" w:eastAsia="Times New Roman" w:hAnsi="Cambria" w:cs="Times New Roman"/>
      <w:sz w:val="20"/>
      <w:szCs w:val="20"/>
      <w:lang w:eastAsia="en-AU"/>
    </w:rPr>
  </w:style>
  <w:style w:type="paragraph" w:styleId="TableofFigures">
    <w:name w:val="table of figures"/>
    <w:basedOn w:val="TOC1"/>
    <w:next w:val="Normal"/>
    <w:uiPriority w:val="99"/>
    <w:unhideWhenUsed/>
    <w:rsid w:val="00D25EFC"/>
    <w:pPr>
      <w:spacing w:after="0"/>
      <w:ind w:left="1134" w:hanging="1134"/>
    </w:pPr>
    <w:rPr>
      <w:rFonts w:eastAsia="Calibri"/>
      <w:b w:val="0"/>
    </w:rPr>
  </w:style>
  <w:style w:type="paragraph" w:styleId="ListParagraph">
    <w:name w:val="List Paragraph"/>
    <w:basedOn w:val="Normal"/>
    <w:uiPriority w:val="34"/>
    <w:qFormat/>
    <w:rsid w:val="00D25EFC"/>
    <w:pPr>
      <w:numPr>
        <w:numId w:val="17"/>
      </w:numPr>
      <w:autoSpaceDE w:val="0"/>
      <w:autoSpaceDN w:val="0"/>
      <w:adjustRightInd w:val="0"/>
      <w:spacing w:after="120" w:line="320" w:lineRule="atLeast"/>
      <w:ind w:left="584" w:hanging="357"/>
      <w:jc w:val="both"/>
    </w:pPr>
    <w:rPr>
      <w:color w:val="000000"/>
      <w:szCs w:val="22"/>
    </w:rPr>
  </w:style>
  <w:style w:type="paragraph" w:customStyle="1" w:styleId="note">
    <w:name w:val="note"/>
    <w:basedOn w:val="Normal"/>
    <w:qFormat/>
    <w:rsid w:val="00D25EFC"/>
    <w:rPr>
      <w:sz w:val="20"/>
    </w:rPr>
  </w:style>
  <w:style w:type="character" w:styleId="Emphasis">
    <w:name w:val="Emphasis"/>
    <w:uiPriority w:val="20"/>
    <w:qFormat/>
    <w:rsid w:val="00D25EFC"/>
    <w:rPr>
      <w:i/>
      <w:iCs/>
    </w:rPr>
  </w:style>
  <w:style w:type="paragraph" w:customStyle="1" w:styleId="Heading6noindent">
    <w:name w:val="Heading 6 no indent"/>
    <w:basedOn w:val="Heading6"/>
    <w:qFormat/>
    <w:rsid w:val="00D25EFC"/>
    <w:pPr>
      <w:ind w:left="0"/>
    </w:pPr>
  </w:style>
  <w:style w:type="paragraph" w:customStyle="1" w:styleId="Heading5unnumbered">
    <w:name w:val="Heading 5 unnumbered"/>
    <w:basedOn w:val="Heading5"/>
    <w:qFormat/>
    <w:rsid w:val="00D25EFC"/>
    <w:pPr>
      <w:numPr>
        <w:ilvl w:val="0"/>
        <w:numId w:val="0"/>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3"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index heading" w:uiPriority="0"/>
    <w:lsdException w:name="caption" w:uiPriority="0" w:qFormat="1"/>
    <w:lsdException w:name="footnote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0B1"/>
    <w:pPr>
      <w:spacing w:after="240"/>
      <w:ind w:left="851"/>
    </w:pPr>
    <w:rPr>
      <w:rFonts w:ascii="Cambria" w:eastAsia="Times New Roman" w:hAnsi="Cambria" w:cs="Times New Roman"/>
      <w:sz w:val="22"/>
      <w:szCs w:val="20"/>
      <w:lang w:eastAsia="en-AU"/>
    </w:rPr>
  </w:style>
  <w:style w:type="paragraph" w:styleId="Heading1">
    <w:name w:val="heading 1"/>
    <w:next w:val="Normal"/>
    <w:link w:val="Heading1Char"/>
    <w:autoRedefine/>
    <w:uiPriority w:val="1"/>
    <w:qFormat/>
    <w:rsid w:val="00E91B66"/>
    <w:pPr>
      <w:keepNext/>
      <w:numPr>
        <w:numId w:val="3"/>
      </w:numPr>
      <w:spacing w:before="200" w:after="200"/>
      <w:outlineLvl w:val="0"/>
    </w:pPr>
    <w:rPr>
      <w:rFonts w:ascii="Calibri" w:eastAsia="Calibri" w:hAnsi="Calibri" w:cs="Arial"/>
      <w:b/>
      <w:caps/>
      <w:szCs w:val="22"/>
    </w:rPr>
  </w:style>
  <w:style w:type="paragraph" w:styleId="Heading2">
    <w:name w:val="heading 2"/>
    <w:basedOn w:val="Normal"/>
    <w:next w:val="Normal"/>
    <w:link w:val="Heading2Char"/>
    <w:autoRedefine/>
    <w:uiPriority w:val="3"/>
    <w:qFormat/>
    <w:rsid w:val="00E91B66"/>
    <w:pPr>
      <w:keepNext/>
      <w:numPr>
        <w:ilvl w:val="1"/>
        <w:numId w:val="3"/>
      </w:numPr>
      <w:spacing w:before="200" w:after="200"/>
      <w:outlineLvl w:val="1"/>
    </w:pPr>
    <w:rPr>
      <w:rFonts w:ascii="Calibri" w:eastAsia="Calibri" w:hAnsi="Calibri" w:cs="Arial"/>
      <w:b/>
      <w:szCs w:val="22"/>
    </w:rPr>
  </w:style>
  <w:style w:type="paragraph" w:styleId="Heading3">
    <w:name w:val="heading 3"/>
    <w:next w:val="Normal"/>
    <w:link w:val="Heading3Char"/>
    <w:uiPriority w:val="9"/>
    <w:unhideWhenUsed/>
    <w:qFormat/>
    <w:rsid w:val="00014C5C"/>
    <w:pPr>
      <w:keepNext/>
      <w:keepLines/>
      <w:numPr>
        <w:ilvl w:val="2"/>
        <w:numId w:val="4"/>
      </w:numPr>
      <w:spacing w:before="200"/>
      <w:ind w:left="851" w:hanging="851"/>
      <w:outlineLvl w:val="2"/>
    </w:pPr>
    <w:rPr>
      <w:rFonts w:asciiTheme="majorHAnsi" w:eastAsiaTheme="majorEastAsia" w:hAnsiTheme="majorHAnsi" w:cstheme="majorBidi"/>
      <w:b/>
      <w:bCs/>
      <w:sz w:val="36"/>
      <w:szCs w:val="36"/>
      <w:lang w:eastAsia="en-AU"/>
    </w:rPr>
  </w:style>
  <w:style w:type="paragraph" w:styleId="Heading4">
    <w:name w:val="heading 4"/>
    <w:basedOn w:val="Normal"/>
    <w:next w:val="Normal"/>
    <w:link w:val="Heading4Char"/>
    <w:uiPriority w:val="9"/>
    <w:unhideWhenUsed/>
    <w:qFormat/>
    <w:rsid w:val="00014C5C"/>
    <w:pPr>
      <w:keepNext/>
      <w:keepLines/>
      <w:numPr>
        <w:ilvl w:val="3"/>
        <w:numId w:val="4"/>
      </w:numPr>
      <w:spacing w:before="200" w:after="0"/>
      <w:ind w:left="851" w:hanging="851"/>
      <w:outlineLvl w:val="3"/>
    </w:pPr>
    <w:rPr>
      <w:rFonts w:asciiTheme="majorHAnsi" w:eastAsiaTheme="majorEastAsia" w:hAnsiTheme="majorHAnsi" w:cstheme="majorBidi"/>
      <w:b/>
      <w:bCs/>
      <w:sz w:val="32"/>
      <w:szCs w:val="32"/>
    </w:rPr>
  </w:style>
  <w:style w:type="paragraph" w:styleId="Heading5">
    <w:name w:val="heading 5"/>
    <w:basedOn w:val="Normal"/>
    <w:next w:val="Normal"/>
    <w:link w:val="Heading5Char"/>
    <w:uiPriority w:val="9"/>
    <w:unhideWhenUsed/>
    <w:qFormat/>
    <w:rsid w:val="00014C5C"/>
    <w:pPr>
      <w:keepNext/>
      <w:keepLines/>
      <w:numPr>
        <w:ilvl w:val="4"/>
        <w:numId w:val="4"/>
      </w:numPr>
      <w:spacing w:before="200" w:after="0"/>
      <w:ind w:left="851" w:hanging="851"/>
      <w:outlineLvl w:val="4"/>
    </w:pPr>
    <w:rPr>
      <w:rFonts w:asciiTheme="majorHAnsi" w:eastAsiaTheme="majorEastAsia" w:hAnsiTheme="majorHAnsi" w:cstheme="majorBidi"/>
      <w:szCs w:val="22"/>
    </w:rPr>
  </w:style>
  <w:style w:type="paragraph" w:styleId="Heading6">
    <w:name w:val="heading 6"/>
    <w:basedOn w:val="Normal"/>
    <w:next w:val="Normal"/>
    <w:link w:val="Heading6Char"/>
    <w:uiPriority w:val="9"/>
    <w:unhideWhenUsed/>
    <w:qFormat/>
    <w:rsid w:val="00014C5C"/>
    <w:pPr>
      <w:keepNext/>
      <w:keepLines/>
      <w:spacing w:before="200" w:after="0"/>
      <w:outlineLvl w:val="5"/>
    </w:pPr>
    <w:rPr>
      <w:rFonts w:asciiTheme="majorHAnsi" w:eastAsiaTheme="majorEastAsia" w:hAnsiTheme="majorHAnsi" w:cstheme="majorBidi"/>
      <w:b/>
      <w:bCs/>
      <w:szCs w:val="22"/>
    </w:rPr>
  </w:style>
  <w:style w:type="paragraph" w:styleId="Heading7">
    <w:name w:val="heading 7"/>
    <w:basedOn w:val="Normal"/>
    <w:next w:val="Normal"/>
    <w:link w:val="Heading7Char"/>
    <w:uiPriority w:val="9"/>
    <w:semiHidden/>
    <w:unhideWhenUsed/>
    <w:qFormat/>
    <w:rsid w:val="00EB60B1"/>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B60B1"/>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EB60B1"/>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91B66"/>
    <w:rPr>
      <w:rFonts w:ascii="Calibri" w:eastAsia="Calibri" w:hAnsi="Calibri" w:cs="Arial"/>
      <w:b/>
      <w:caps/>
      <w:szCs w:val="22"/>
    </w:rPr>
  </w:style>
  <w:style w:type="character" w:customStyle="1" w:styleId="Heading2Char">
    <w:name w:val="Heading 2 Char"/>
    <w:basedOn w:val="DefaultParagraphFont"/>
    <w:link w:val="Heading2"/>
    <w:uiPriority w:val="3"/>
    <w:rsid w:val="00E91B66"/>
    <w:rPr>
      <w:rFonts w:ascii="Calibri" w:eastAsia="Calibri" w:hAnsi="Calibri" w:cs="Arial"/>
      <w:b/>
      <w:sz w:val="22"/>
      <w:szCs w:val="22"/>
      <w:lang w:eastAsia="en-AU"/>
    </w:rPr>
  </w:style>
  <w:style w:type="character" w:styleId="Hyperlink">
    <w:name w:val="Hyperlink"/>
    <w:basedOn w:val="DefaultParagraphFont"/>
    <w:uiPriority w:val="99"/>
    <w:qFormat/>
    <w:rsid w:val="00EB60B1"/>
    <w:rPr>
      <w:color w:val="165788"/>
      <w:u w:val="single"/>
    </w:rPr>
  </w:style>
  <w:style w:type="character" w:styleId="Strong">
    <w:name w:val="Strong"/>
    <w:basedOn w:val="DefaultParagraphFont"/>
    <w:qFormat/>
    <w:rsid w:val="00EB60B1"/>
    <w:rPr>
      <w:b/>
      <w:bCs/>
    </w:rPr>
  </w:style>
  <w:style w:type="paragraph" w:styleId="Footer">
    <w:name w:val="footer"/>
    <w:next w:val="Normal"/>
    <w:link w:val="FooterChar"/>
    <w:unhideWhenUsed/>
    <w:rsid w:val="00EB60B1"/>
    <w:pPr>
      <w:tabs>
        <w:tab w:val="center" w:pos="4513"/>
        <w:tab w:val="right" w:pos="9026"/>
      </w:tabs>
    </w:pPr>
    <w:rPr>
      <w:rFonts w:ascii="Cambria" w:eastAsiaTheme="minorHAnsi" w:hAnsi="Cambria" w:cs="Times New Roman"/>
      <w:sz w:val="20"/>
      <w:szCs w:val="20"/>
      <w:lang w:eastAsia="en-AU"/>
    </w:rPr>
  </w:style>
  <w:style w:type="character" w:customStyle="1" w:styleId="FooterChar">
    <w:name w:val="Footer Char"/>
    <w:basedOn w:val="DefaultParagraphFont"/>
    <w:link w:val="Footer"/>
    <w:rsid w:val="00EB60B1"/>
    <w:rPr>
      <w:rFonts w:ascii="Cambria" w:eastAsiaTheme="minorHAnsi" w:hAnsi="Cambria" w:cs="Times New Roman"/>
      <w:sz w:val="20"/>
      <w:szCs w:val="20"/>
      <w:lang w:eastAsia="en-AU"/>
    </w:rPr>
  </w:style>
  <w:style w:type="paragraph" w:styleId="BalloonText">
    <w:name w:val="Balloon Text"/>
    <w:basedOn w:val="Normal"/>
    <w:link w:val="BalloonTextChar"/>
    <w:uiPriority w:val="99"/>
    <w:semiHidden/>
    <w:unhideWhenUsed/>
    <w:rsid w:val="00EB60B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60B1"/>
    <w:rPr>
      <w:rFonts w:ascii="Lucida Grande" w:eastAsia="Times New Roman" w:hAnsi="Lucida Grande" w:cs="Lucida Grande"/>
      <w:sz w:val="18"/>
      <w:szCs w:val="18"/>
      <w:lang w:eastAsia="en-AU"/>
    </w:rPr>
  </w:style>
  <w:style w:type="character" w:customStyle="1" w:styleId="Heading3Char">
    <w:name w:val="Heading 3 Char"/>
    <w:basedOn w:val="DefaultParagraphFont"/>
    <w:link w:val="Heading3"/>
    <w:uiPriority w:val="9"/>
    <w:rsid w:val="00014C5C"/>
    <w:rPr>
      <w:rFonts w:asciiTheme="majorHAnsi" w:eastAsiaTheme="majorEastAsia" w:hAnsiTheme="majorHAnsi" w:cstheme="majorBidi"/>
      <w:b/>
      <w:bCs/>
      <w:sz w:val="36"/>
      <w:szCs w:val="36"/>
      <w:lang w:eastAsia="en-AU"/>
    </w:rPr>
  </w:style>
  <w:style w:type="character" w:styleId="FootnoteReference">
    <w:name w:val="footnote reference"/>
    <w:basedOn w:val="DefaultParagraphFont"/>
    <w:semiHidden/>
    <w:rsid w:val="00EB60B1"/>
    <w:rPr>
      <w:vertAlign w:val="superscript"/>
    </w:rPr>
  </w:style>
  <w:style w:type="table" w:styleId="TableGrid">
    <w:name w:val="Table Grid"/>
    <w:basedOn w:val="TableNormal"/>
    <w:rsid w:val="00EB60B1"/>
    <w:pPr>
      <w:spacing w:after="240"/>
      <w:ind w:left="425"/>
      <w:jc w:val="both"/>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Normal"/>
    <w:rsid w:val="00EB60B1"/>
    <w:pPr>
      <w:numPr>
        <w:numId w:val="1"/>
      </w:numPr>
      <w:tabs>
        <w:tab w:val="clear" w:pos="851"/>
      </w:tabs>
      <w:spacing w:after="120"/>
      <w:ind w:left="1418" w:hanging="425"/>
    </w:pPr>
    <w:rPr>
      <w:szCs w:val="22"/>
    </w:rPr>
  </w:style>
  <w:style w:type="paragraph" w:customStyle="1" w:styleId="tabletext">
    <w:name w:val="table text"/>
    <w:basedOn w:val="Normal"/>
    <w:qFormat/>
    <w:rsid w:val="00EB60B1"/>
    <w:pPr>
      <w:spacing w:after="20"/>
      <w:ind w:left="0"/>
    </w:pPr>
    <w:rPr>
      <w:sz w:val="20"/>
    </w:rPr>
  </w:style>
  <w:style w:type="character" w:customStyle="1" w:styleId="Heading4Char">
    <w:name w:val="Heading 4 Char"/>
    <w:basedOn w:val="DefaultParagraphFont"/>
    <w:link w:val="Heading4"/>
    <w:uiPriority w:val="9"/>
    <w:rsid w:val="00014C5C"/>
    <w:rPr>
      <w:rFonts w:asciiTheme="majorHAnsi" w:eastAsiaTheme="majorEastAsia" w:hAnsiTheme="majorHAnsi" w:cstheme="majorBidi"/>
      <w:b/>
      <w:bCs/>
      <w:sz w:val="32"/>
      <w:szCs w:val="32"/>
      <w:lang w:eastAsia="en-AU"/>
    </w:rPr>
  </w:style>
  <w:style w:type="character" w:customStyle="1" w:styleId="Heading5Char">
    <w:name w:val="Heading 5 Char"/>
    <w:basedOn w:val="DefaultParagraphFont"/>
    <w:link w:val="Heading5"/>
    <w:uiPriority w:val="9"/>
    <w:rsid w:val="00014C5C"/>
    <w:rPr>
      <w:rFonts w:asciiTheme="majorHAnsi" w:eastAsiaTheme="majorEastAsia" w:hAnsiTheme="majorHAnsi" w:cstheme="majorBidi"/>
      <w:sz w:val="22"/>
      <w:szCs w:val="22"/>
      <w:lang w:eastAsia="en-AU"/>
    </w:rPr>
  </w:style>
  <w:style w:type="character" w:customStyle="1" w:styleId="Heading6Char">
    <w:name w:val="Heading 6 Char"/>
    <w:basedOn w:val="DefaultParagraphFont"/>
    <w:link w:val="Heading6"/>
    <w:uiPriority w:val="9"/>
    <w:rsid w:val="00014C5C"/>
    <w:rPr>
      <w:rFonts w:asciiTheme="majorHAnsi" w:eastAsiaTheme="majorEastAsia" w:hAnsiTheme="majorHAnsi" w:cstheme="majorBidi"/>
      <w:b/>
      <w:bCs/>
      <w:sz w:val="22"/>
      <w:szCs w:val="22"/>
      <w:lang w:eastAsia="en-AU"/>
    </w:rPr>
  </w:style>
  <w:style w:type="paragraph" w:styleId="Caption">
    <w:name w:val="caption"/>
    <w:basedOn w:val="Normal"/>
    <w:next w:val="Normal"/>
    <w:qFormat/>
    <w:rsid w:val="00EB60B1"/>
    <w:pPr>
      <w:keepNext/>
      <w:spacing w:after="120"/>
    </w:pPr>
    <w:rPr>
      <w:rFonts w:ascii="Calibri" w:hAnsi="Calibri"/>
      <w:b/>
      <w:bCs/>
      <w:sz w:val="24"/>
      <w:szCs w:val="18"/>
    </w:rPr>
  </w:style>
  <w:style w:type="paragraph" w:customStyle="1" w:styleId="ExplanatoryBlue">
    <w:name w:val="Explanatory Blue"/>
    <w:basedOn w:val="Normal"/>
    <w:qFormat/>
    <w:rsid w:val="00EB60B1"/>
    <w:rPr>
      <w:color w:val="0000FF"/>
      <w:szCs w:val="22"/>
    </w:rPr>
  </w:style>
  <w:style w:type="paragraph" w:customStyle="1" w:styleId="Exampletext">
    <w:name w:val="Example text"/>
    <w:basedOn w:val="Normal"/>
    <w:qFormat/>
    <w:rsid w:val="00EB60B1"/>
    <w:rPr>
      <w:i/>
      <w:iCs/>
      <w:color w:val="800080"/>
      <w:szCs w:val="22"/>
    </w:rPr>
  </w:style>
  <w:style w:type="paragraph" w:customStyle="1" w:styleId="ListExplanatoryBlue">
    <w:name w:val="List Explanatory Blue"/>
    <w:basedOn w:val="ExplanatoryBlue"/>
    <w:qFormat/>
    <w:rsid w:val="00EB60B1"/>
    <w:pPr>
      <w:numPr>
        <w:numId w:val="2"/>
      </w:numPr>
      <w:ind w:left="1418" w:hanging="425"/>
    </w:pPr>
  </w:style>
  <w:style w:type="paragraph" w:styleId="Index1">
    <w:name w:val="index 1"/>
    <w:basedOn w:val="Normal"/>
    <w:next w:val="Normal"/>
    <w:autoRedefine/>
    <w:uiPriority w:val="99"/>
    <w:semiHidden/>
    <w:unhideWhenUsed/>
    <w:rsid w:val="00EB60B1"/>
    <w:pPr>
      <w:spacing w:after="0"/>
      <w:ind w:left="220" w:hanging="220"/>
    </w:pPr>
  </w:style>
  <w:style w:type="paragraph" w:styleId="IndexHeading">
    <w:name w:val="index heading"/>
    <w:basedOn w:val="Normal"/>
    <w:next w:val="Index1"/>
    <w:semiHidden/>
    <w:rsid w:val="00EB60B1"/>
  </w:style>
  <w:style w:type="character" w:customStyle="1" w:styleId="Heading7Char">
    <w:name w:val="Heading 7 Char"/>
    <w:basedOn w:val="DefaultParagraphFont"/>
    <w:link w:val="Heading7"/>
    <w:uiPriority w:val="9"/>
    <w:semiHidden/>
    <w:rsid w:val="00EB60B1"/>
    <w:rPr>
      <w:rFonts w:asciiTheme="majorHAnsi" w:eastAsiaTheme="majorEastAsia" w:hAnsiTheme="majorHAnsi" w:cstheme="majorBidi"/>
      <w:i/>
      <w:iCs/>
      <w:color w:val="404040" w:themeColor="text1" w:themeTint="BF"/>
      <w:sz w:val="22"/>
      <w:szCs w:val="20"/>
      <w:lang w:eastAsia="en-AU"/>
    </w:rPr>
  </w:style>
  <w:style w:type="character" w:customStyle="1" w:styleId="Heading8Char">
    <w:name w:val="Heading 8 Char"/>
    <w:basedOn w:val="DefaultParagraphFont"/>
    <w:link w:val="Heading8"/>
    <w:uiPriority w:val="9"/>
    <w:semiHidden/>
    <w:rsid w:val="00EB60B1"/>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EB60B1"/>
    <w:rPr>
      <w:rFonts w:asciiTheme="majorHAnsi" w:eastAsiaTheme="majorEastAsia" w:hAnsiTheme="majorHAnsi" w:cstheme="majorBidi"/>
      <w:i/>
      <w:iCs/>
      <w:color w:val="404040" w:themeColor="text1" w:themeTint="BF"/>
      <w:sz w:val="20"/>
      <w:szCs w:val="20"/>
      <w:lang w:eastAsia="en-AU"/>
    </w:rPr>
  </w:style>
  <w:style w:type="numbering" w:customStyle="1" w:styleId="Headings">
    <w:name w:val="Headings"/>
    <w:uiPriority w:val="99"/>
    <w:rsid w:val="00014C5C"/>
    <w:pPr>
      <w:numPr>
        <w:numId w:val="4"/>
      </w:numPr>
    </w:p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w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image" Target="media/image6.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emf"/><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A4FBA7-D49C-487C-9746-7B69AC9D35AE}"/>
</file>

<file path=customXml/itemProps2.xml><?xml version="1.0" encoding="utf-8"?>
<ds:datastoreItem xmlns:ds="http://schemas.openxmlformats.org/officeDocument/2006/customXml" ds:itemID="{FCAD91E0-4992-481A-BEAE-EC95D5AB6555}"/>
</file>

<file path=customXml/itemProps3.xml><?xml version="1.0" encoding="utf-8"?>
<ds:datastoreItem xmlns:ds="http://schemas.openxmlformats.org/officeDocument/2006/customXml" ds:itemID="{D808E993-DB28-4F47-9B41-E266B05E912F}"/>
</file>

<file path=customXml/itemProps4.xml><?xml version="1.0" encoding="utf-8"?>
<ds:datastoreItem xmlns:ds="http://schemas.openxmlformats.org/officeDocument/2006/customXml" ds:itemID="{5472924F-10A2-4ED6-A7C5-E97378379E7C}"/>
</file>

<file path=docProps/app.xml><?xml version="1.0" encoding="utf-8"?>
<Properties xmlns="http://schemas.openxmlformats.org/officeDocument/2006/extended-properties" xmlns:vt="http://schemas.openxmlformats.org/officeDocument/2006/docPropsVTypes">
  <Template>Normal.dotm</Template>
  <TotalTime>0</TotalTime>
  <Pages>77</Pages>
  <Words>28839</Words>
  <Characters>164387</Characters>
  <Application>Microsoft Office Word</Application>
  <DocSecurity>4</DocSecurity>
  <Lines>1369</Lines>
  <Paragraphs>385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192841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2015-02-04T00:16:00Z</dcterms:created>
  <dcterms:modified xsi:type="dcterms:W3CDTF">2015-02-04T00:16:00Z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