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762DC6" w:rsidP="00491AEC">
      <w:pPr>
        <w:rPr>
          <w:rFonts w:ascii="Trebuchet MS" w:hAnsi="Trebuchet MS"/>
        </w:rPr>
      </w:pPr>
      <w:r>
        <w:rPr>
          <w:rFonts w:ascii="Trebuchet MS" w:hAnsi="Trebuchet MS"/>
          <w:highlight w:val="lightGray"/>
        </w:rPr>
        <w:t>21/11/18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762DC6" w:rsidRDefault="00762DC6" w:rsidP="00491AEC">
      <w:pPr>
        <w:rPr>
          <w:rFonts w:ascii="Trebuchet MS" w:hAnsi="Trebuchet MS"/>
          <w:sz w:val="24"/>
        </w:rPr>
      </w:pPr>
      <w:r>
        <w:rPr>
          <w:rFonts w:ascii="Trebuchet MS" w:hAnsi="Trebuchet MS"/>
          <w:sz w:val="24"/>
        </w:rPr>
        <w:t>All beings want to be happy and free of suffering. As an intelligent being, we have an obligation to ensure other beings are not harmed or abused by our actions.</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w:t>
      </w:r>
      <w:proofErr w:type="gramStart"/>
      <w:r>
        <w:rPr>
          <w:rFonts w:ascii="Trebuchet MS" w:hAnsi="Trebuchet MS"/>
        </w:rPr>
        <w:t>before</w:t>
      </w:r>
      <w:proofErr w:type="gramEnd"/>
      <w:r>
        <w:rPr>
          <w:rFonts w:ascii="Trebuchet MS" w:hAnsi="Trebuchet MS"/>
        </w:rPr>
        <w:t xml:space="preserv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762DC6" w:rsidP="00491AEC">
      <w:pPr>
        <w:rPr>
          <w:rFonts w:ascii="Trebuchet MS" w:hAnsi="Trebuchet MS"/>
        </w:rPr>
      </w:pPr>
      <w:r>
        <w:rPr>
          <w:rFonts w:ascii="Trebuchet MS" w:hAnsi="Trebuchet MS"/>
        </w:rPr>
        <w:t>This is important we as humans who have the capacity to influence the wellbeing of other creatures must take this responsibility seriously.</w:t>
      </w:r>
    </w:p>
    <w:p w:rsidR="00491AEC" w:rsidRDefault="00491AEC" w:rsidP="00491AEC">
      <w:pPr>
        <w:rPr>
          <w:rFonts w:ascii="Trebuchet MS" w:hAnsi="Trebuchet MS"/>
        </w:rPr>
      </w:pPr>
      <w:r>
        <w:rPr>
          <w:rFonts w:ascii="Trebuchet MS" w:hAnsi="Trebuchet MS"/>
        </w:rPr>
        <w:t>I will await the results of the review.</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4C4DA2"/>
    <w:rsid w:val="00762DC6"/>
    <w:rsid w:val="008251B4"/>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ECCA0-FF70-43EC-AD05-7FB40E09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E76834D-80A7-49EB-95F8-E8A148AD5EDD}"/>
</file>

<file path=customXml/itemProps2.xml><?xml version="1.0" encoding="utf-8"?>
<ds:datastoreItem xmlns:ds="http://schemas.openxmlformats.org/officeDocument/2006/customXml" ds:itemID="{ECD47875-59C6-449F-B859-76D699871296}"/>
</file>

<file path=customXml/itemProps3.xml><?xml version="1.0" encoding="utf-8"?>
<ds:datastoreItem xmlns:ds="http://schemas.openxmlformats.org/officeDocument/2006/customXml" ds:itemID="{A184A3C8-0761-48DF-9819-BC6328860BC2}"/>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2018-11-20T23:46:00Z</dcterms:created>
  <dcterms:modified xsi:type="dcterms:W3CDTF">2018-12-06T00:28:00Z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