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86DA" w14:textId="7FA67FB9" w:rsidR="00AB15B1" w:rsidRPr="00570C02" w:rsidRDefault="00AB15B1" w:rsidP="00AB15B1">
      <w:pPr>
        <w:pStyle w:val="Heading1"/>
        <w:rPr>
          <w:rFonts w:ascii="Cambria" w:hAnsi="Cambria"/>
          <w:sz w:val="36"/>
          <w:szCs w:val="36"/>
        </w:rPr>
      </w:pPr>
      <w:r w:rsidRPr="00AB15B1">
        <w:t xml:space="preserve">Responding </w:t>
      </w:r>
      <w:r w:rsidR="00F7576D">
        <w:t>t</w:t>
      </w:r>
      <w:r w:rsidRPr="00AB15B1">
        <w:t xml:space="preserve">o </w:t>
      </w:r>
      <w:r w:rsidR="00D90CD7">
        <w:t>A</w:t>
      </w:r>
      <w:r w:rsidRPr="00AB15B1">
        <w:t xml:space="preserve">ntimicrobial </w:t>
      </w:r>
      <w:r w:rsidR="00D90CD7">
        <w:t>R</w:t>
      </w:r>
      <w:r w:rsidRPr="00AB15B1">
        <w:t>esistance</w:t>
      </w:r>
    </w:p>
    <w:p w14:paraId="036A6466" w14:textId="78FA0B39" w:rsidR="00AB15B1" w:rsidRPr="00AB15B1" w:rsidRDefault="00AB15B1" w:rsidP="00AB15B1">
      <w:pPr>
        <w:pStyle w:val="Subtitle"/>
      </w:pPr>
      <w:r w:rsidRPr="00AB15B1">
        <w:t>Australian Animal Sector</w:t>
      </w:r>
    </w:p>
    <w:p w14:paraId="208658EA" w14:textId="16866B84" w:rsidR="00AB15B1" w:rsidRPr="00AB15B1" w:rsidRDefault="00AB15B1" w:rsidP="00BF0082">
      <w:pPr>
        <w:pStyle w:val="Subtitle"/>
      </w:pPr>
      <w:r w:rsidRPr="00AB15B1">
        <w:t>National Antimicrobial Resistance Plan 2018</w:t>
      </w:r>
    </w:p>
    <w:p w14:paraId="4A72574A" w14:textId="77777777" w:rsidR="00AF61C3" w:rsidRDefault="006C4993">
      <w:pPr>
        <w:pStyle w:val="Picture"/>
      </w:pPr>
      <w:r>
        <w:drawing>
          <wp:inline distT="0" distB="0" distL="0" distR="0" wp14:anchorId="4A725A39" wp14:editId="74DF9BD3">
            <wp:extent cx="5196254" cy="4971898"/>
            <wp:effectExtent l="0" t="0" r="444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96254" cy="4971898"/>
                    </a:xfrm>
                    <a:prstGeom prst="rect">
                      <a:avLst/>
                    </a:prstGeom>
                    <a:noFill/>
                    <a:ln w="9525">
                      <a:noFill/>
                      <a:miter lim="800000"/>
                      <a:headEnd/>
                      <a:tailEnd/>
                    </a:ln>
                  </pic:spPr>
                </pic:pic>
              </a:graphicData>
            </a:graphic>
          </wp:inline>
        </w:drawing>
      </w:r>
    </w:p>
    <w:p w14:paraId="4A72574B" w14:textId="77777777" w:rsidR="00AF61C3" w:rsidRDefault="006C4993">
      <w:pPr>
        <w:pStyle w:val="Normalsmall"/>
      </w:pPr>
      <w:r>
        <w:br w:type="page"/>
      </w:r>
      <w:r>
        <w:lastRenderedPageBreak/>
        <w:t>© Commonwealth of Australia 2019</w:t>
      </w:r>
    </w:p>
    <w:p w14:paraId="4A72574C" w14:textId="77777777" w:rsidR="00AF61C3" w:rsidRDefault="006C4993">
      <w:pPr>
        <w:pStyle w:val="Normalsmall"/>
        <w:rPr>
          <w:rStyle w:val="Strong"/>
        </w:rPr>
      </w:pPr>
      <w:r>
        <w:rPr>
          <w:rStyle w:val="Strong"/>
        </w:rPr>
        <w:t>Ownership of intellectual property rights</w:t>
      </w:r>
    </w:p>
    <w:p w14:paraId="4A72574D" w14:textId="77777777" w:rsidR="00AF61C3" w:rsidRDefault="006C4993">
      <w:pPr>
        <w:pStyle w:val="Normalsmall"/>
      </w:pPr>
      <w:r>
        <w:t>Unless otherwise noted, copyright (and any other intellectual property rights, if any) in this publication is owned by the Commonwealth of Australia (referred to as the Commonwealth).</w:t>
      </w:r>
    </w:p>
    <w:p w14:paraId="4A72574E" w14:textId="77777777" w:rsidR="00AF61C3" w:rsidRDefault="006C4993">
      <w:pPr>
        <w:pStyle w:val="Normalsmall"/>
        <w:rPr>
          <w:rStyle w:val="Strong"/>
        </w:rPr>
      </w:pPr>
      <w:proofErr w:type="gramStart"/>
      <w:r>
        <w:rPr>
          <w:rStyle w:val="Strong"/>
        </w:rPr>
        <w:t>Creative Commons</w:t>
      </w:r>
      <w:proofErr w:type="gramEnd"/>
      <w:r>
        <w:rPr>
          <w:rStyle w:val="Strong"/>
        </w:rPr>
        <w:t xml:space="preserve"> licence</w:t>
      </w:r>
    </w:p>
    <w:p w14:paraId="4A72574F" w14:textId="77777777" w:rsidR="00AF61C3" w:rsidRDefault="006C4993">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4A725750" w14:textId="77777777" w:rsidR="00AF61C3" w:rsidRDefault="006C4993">
      <w:pPr>
        <w:pStyle w:val="Normalsmall"/>
      </w:pPr>
      <w:r>
        <w:t xml:space="preserve">Inquiries about the licence and any use of this document should be emailed to </w:t>
      </w:r>
      <w:hyperlink r:id="rId13" w:history="1">
        <w:r>
          <w:rPr>
            <w:rStyle w:val="Hyperlink"/>
          </w:rPr>
          <w:t>copyright@agriculture.gov.au</w:t>
        </w:r>
      </w:hyperlink>
      <w:r>
        <w:t>.</w:t>
      </w:r>
    </w:p>
    <w:p w14:paraId="4A725751" w14:textId="77777777" w:rsidR="00AF61C3" w:rsidRDefault="006C4993">
      <w:pPr>
        <w:pStyle w:val="Normalsmall"/>
      </w:pPr>
      <w:r>
        <w:rPr>
          <w:noProof/>
          <w:lang w:eastAsia="en-AU"/>
        </w:rPr>
        <w:drawing>
          <wp:inline distT="0" distB="0" distL="0" distR="0" wp14:anchorId="4A725A3B" wp14:editId="4A725A3C">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A725752" w14:textId="77777777" w:rsidR="00AF61C3" w:rsidRDefault="006C4993">
      <w:pPr>
        <w:pStyle w:val="Normalsmall"/>
        <w:rPr>
          <w:rStyle w:val="Strong"/>
        </w:rPr>
      </w:pPr>
      <w:r>
        <w:rPr>
          <w:rStyle w:val="Strong"/>
        </w:rPr>
        <w:t>Cataloguing data</w:t>
      </w:r>
    </w:p>
    <w:p w14:paraId="4A725753" w14:textId="14D4CCB1" w:rsidR="00AF61C3" w:rsidRDefault="006C4993">
      <w:pPr>
        <w:pStyle w:val="Normalsmall"/>
      </w:pPr>
      <w:r>
        <w:t xml:space="preserve">This publication (and any material sourced from it) should be attributed as: </w:t>
      </w:r>
      <w:r w:rsidR="00B87D6B" w:rsidRPr="00AE179C">
        <w:t>Australian Animal Sector Antimicrobial Resistance Plan 2018</w:t>
      </w:r>
      <w:r w:rsidR="00B87D6B">
        <w:t>, Department of Agriculture and Water Resources, Canberra, February 2019.</w:t>
      </w:r>
      <w:r>
        <w:t xml:space="preserve"> CC BY 4.0.</w:t>
      </w:r>
    </w:p>
    <w:p w14:paraId="4A725754" w14:textId="6288C1E8" w:rsidR="00AF61C3" w:rsidRDefault="006C4993">
      <w:pPr>
        <w:pStyle w:val="Normalsmall"/>
        <w:rPr>
          <w:highlight w:val="yellow"/>
        </w:rPr>
      </w:pPr>
      <w:r w:rsidRPr="00B87D6B">
        <w:t xml:space="preserve">ISBN </w:t>
      </w:r>
      <w:r w:rsidR="00B87D6B" w:rsidRPr="00AE179C">
        <w:t>9781760032012</w:t>
      </w:r>
    </w:p>
    <w:p w14:paraId="5AF079DA" w14:textId="42FBE2A2" w:rsidR="002C6784" w:rsidRDefault="006C4993">
      <w:pPr>
        <w:pStyle w:val="Normalsmall"/>
      </w:pPr>
      <w:r>
        <w:t>This publication is available at</w:t>
      </w:r>
      <w:r w:rsidR="002C6784">
        <w:t xml:space="preserve"> </w:t>
      </w:r>
      <w:hyperlink r:id="rId15" w:history="1">
        <w:r w:rsidR="002C6784" w:rsidRPr="006A45D5">
          <w:rPr>
            <w:rStyle w:val="Hyperlink"/>
          </w:rPr>
          <w:t>http://www.agriculture.gov.au/animal/health/amr</w:t>
        </w:r>
      </w:hyperlink>
      <w:r w:rsidR="002C6784">
        <w:t>.</w:t>
      </w:r>
    </w:p>
    <w:p w14:paraId="4A725756" w14:textId="77777777" w:rsidR="00AF61C3" w:rsidRDefault="006C4993">
      <w:pPr>
        <w:pStyle w:val="Normalsmall"/>
        <w:spacing w:after="0"/>
      </w:pPr>
      <w:r>
        <w:t>Department of Agriculture and Water Resources</w:t>
      </w:r>
    </w:p>
    <w:p w14:paraId="4A725757" w14:textId="77777777" w:rsidR="00AF61C3" w:rsidRDefault="006C4993">
      <w:pPr>
        <w:pStyle w:val="Normalsmall"/>
        <w:spacing w:after="0"/>
      </w:pPr>
      <w:r>
        <w:t>GPO Box 858 Canberra ACT 2601</w:t>
      </w:r>
    </w:p>
    <w:p w14:paraId="4A725758" w14:textId="77777777" w:rsidR="00AF61C3" w:rsidRDefault="006C4993">
      <w:pPr>
        <w:pStyle w:val="Normalsmall"/>
        <w:spacing w:after="0"/>
      </w:pPr>
      <w:r>
        <w:t>Telephone 1800 900 090</w:t>
      </w:r>
    </w:p>
    <w:p w14:paraId="4A725759" w14:textId="77777777" w:rsidR="00AF61C3" w:rsidRDefault="006C4993">
      <w:pPr>
        <w:pStyle w:val="Normalsmall"/>
      </w:pPr>
      <w:r>
        <w:t xml:space="preserve">Web </w:t>
      </w:r>
      <w:hyperlink r:id="rId16" w:history="1">
        <w:r>
          <w:rPr>
            <w:rStyle w:val="Hyperlink"/>
          </w:rPr>
          <w:t>agriculture.gov.au</w:t>
        </w:r>
      </w:hyperlink>
    </w:p>
    <w:p w14:paraId="4A72575A" w14:textId="77777777" w:rsidR="00AF61C3" w:rsidRDefault="006C4993">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A72575B" w14:textId="77777777" w:rsidR="00AF61C3" w:rsidRPr="006C4993" w:rsidRDefault="006C4993">
      <w:pPr>
        <w:pStyle w:val="Normalsmall"/>
        <w:rPr>
          <w:rStyle w:val="Strong"/>
        </w:rPr>
      </w:pPr>
      <w:r w:rsidRPr="006C4993">
        <w:rPr>
          <w:rStyle w:val="Strong"/>
        </w:rPr>
        <w:t>Acknowledgements</w:t>
      </w:r>
    </w:p>
    <w:p w14:paraId="4A72575C" w14:textId="29BB36CE" w:rsidR="00AF61C3" w:rsidRDefault="006C4993">
      <w:pPr>
        <w:pStyle w:val="Normalsmall"/>
      </w:pPr>
      <w:r w:rsidRPr="006C4993">
        <w:t>The Department of Agriculture and Water Resources thanks the members of the Animal Sector Focus Group and other animal sector stakeholders for their input.</w:t>
      </w:r>
    </w:p>
    <w:p w14:paraId="4A72575D" w14:textId="74942637" w:rsidR="00AF61C3" w:rsidRDefault="006C4993">
      <w:pPr>
        <w:pStyle w:val="Heading2"/>
        <w:ind w:left="709" w:hanging="709"/>
      </w:pPr>
      <w:bookmarkStart w:id="0" w:name="_Toc430782148"/>
      <w:bookmarkStart w:id="1" w:name="_Toc1636175"/>
      <w:r>
        <w:lastRenderedPageBreak/>
        <w:t>Forew</w:t>
      </w:r>
      <w:bookmarkStart w:id="2" w:name="_GoBack"/>
      <w:bookmarkEnd w:id="2"/>
      <w:r>
        <w:t>ord</w:t>
      </w:r>
      <w:bookmarkEnd w:id="0"/>
      <w:bookmarkEnd w:id="1"/>
    </w:p>
    <w:p w14:paraId="6E325228" w14:textId="50EEC444" w:rsidR="006C4993" w:rsidRPr="00570C02" w:rsidRDefault="006C4993" w:rsidP="0013518A">
      <w:r w:rsidRPr="00570C02">
        <w:t xml:space="preserve">Antimicrobial resistance (AMR) is no longer an emerging issue, but a current threat to human and animal health. Antimicrobials are a precious resource used to protect human health and animal health and welfare, and every effort must be made to preserve their effectiveness. </w:t>
      </w:r>
    </w:p>
    <w:p w14:paraId="1B86BE52" w14:textId="5B61BCE3" w:rsidR="006C4993" w:rsidRPr="00570C02" w:rsidRDefault="006C4993" w:rsidP="0013518A">
      <w:r w:rsidRPr="00570C02">
        <w:t>Substantial work has already been undertaken in Australia since the launch of our First National Antimicrobial Resistance Strategy 2015</w:t>
      </w:r>
      <w:r w:rsidRPr="00570C02">
        <w:noBreakHyphen/>
        <w:t>2019 (</w:t>
      </w:r>
      <w:hyperlink r:id="rId17" w:history="1">
        <w:r w:rsidRPr="00D90CD7">
          <w:rPr>
            <w:rStyle w:val="Hyperlink"/>
          </w:rPr>
          <w:t>National AMR Strategy</w:t>
        </w:r>
      </w:hyperlink>
      <w:r w:rsidRPr="00570C02">
        <w:t>)</w:t>
      </w:r>
      <w:r w:rsidRPr="0013518A">
        <w:t>,</w:t>
      </w:r>
      <w:r w:rsidRPr="00570C02">
        <w:t xml:space="preserve"> through collaborative efforts between human and animal health, and the food and agriculture sectors. An impressive number of Focus Areas for activities </w:t>
      </w:r>
      <w:r>
        <w:t xml:space="preserve">for the animal sector </w:t>
      </w:r>
      <w:r w:rsidRPr="00570C02">
        <w:t xml:space="preserve">outlined in the Strategy’s </w:t>
      </w:r>
      <w:hyperlink r:id="rId18" w:history="1">
        <w:r w:rsidRPr="00D90CD7">
          <w:rPr>
            <w:rStyle w:val="Hyperlink"/>
          </w:rPr>
          <w:t>Implementation Plan</w:t>
        </w:r>
      </w:hyperlink>
      <w:r w:rsidRPr="006C4993">
        <w:t xml:space="preserve"> </w:t>
      </w:r>
      <w:r w:rsidRPr="00570C02">
        <w:t>are well under way. These activities are important in building an evidence base on AMR in our sector, and to further inform o</w:t>
      </w:r>
      <w:r>
        <w:t>ur national efforts to address AMR.</w:t>
      </w:r>
      <w:r w:rsidRPr="00570C02">
        <w:t xml:space="preserve"> Many activities could not have been undertaken successfully by sectors acting independently of each other. I have been impressed with the levels of cooperation, </w:t>
      </w:r>
      <w:r>
        <w:t xml:space="preserve">collaboration and collegiality </w:t>
      </w:r>
      <w:r w:rsidRPr="00570C02">
        <w:t xml:space="preserve">across the animal sector. This is illustrated in the </w:t>
      </w:r>
      <w:hyperlink r:id="rId19" w:history="1">
        <w:r w:rsidRPr="00D90CD7">
          <w:rPr>
            <w:rStyle w:val="Hyperlink"/>
          </w:rPr>
          <w:t>Progress Report on the Strategy</w:t>
        </w:r>
      </w:hyperlink>
      <w:r w:rsidRPr="00570C02">
        <w:t>. However, challenges and gaps remain, with a number of significant activities contained in the Implementation Plan yet to be addressed.</w:t>
      </w:r>
    </w:p>
    <w:p w14:paraId="1B4017F3" w14:textId="3040A43E" w:rsidR="006C4993" w:rsidRPr="0039313D" w:rsidRDefault="006C4993" w:rsidP="0013518A">
      <w:r w:rsidRPr="0039313D">
        <w:t xml:space="preserve">Early in 2018, an </w:t>
      </w:r>
      <w:r w:rsidRPr="0013518A">
        <w:t>Animal Sector National AMR Plan</w:t>
      </w:r>
      <w:r w:rsidRPr="006C4993">
        <w:t>,</w:t>
      </w:r>
      <w:r w:rsidRPr="0039313D">
        <w:t xml:space="preserve"> drafted by the </w:t>
      </w:r>
      <w:r w:rsidR="00D90CD7" w:rsidRPr="00570C02">
        <w:t>Australian Government Department of Agriculture and Water Resources</w:t>
      </w:r>
      <w:r w:rsidRPr="0039313D">
        <w:t xml:space="preserve">, </w:t>
      </w:r>
      <w:r>
        <w:t xml:space="preserve">was </w:t>
      </w:r>
      <w:r w:rsidRPr="0039313D">
        <w:t xml:space="preserve">circulated to stakeholders for comment. The aim of the AMR </w:t>
      </w:r>
      <w:r>
        <w:t>P</w:t>
      </w:r>
      <w:r w:rsidRPr="0039313D">
        <w:t xml:space="preserve">lan was to align with, and support, the National </w:t>
      </w:r>
      <w:r>
        <w:t xml:space="preserve">AMR </w:t>
      </w:r>
      <w:r w:rsidRPr="0039313D">
        <w:t>Strategy and provide a strategic and coordinated animal sector approach to national One Health efforts to</w:t>
      </w:r>
      <w:r w:rsidR="008F0296">
        <w:t xml:space="preserve"> address </w:t>
      </w:r>
      <w:r w:rsidRPr="0039313D">
        <w:t xml:space="preserve">AMR. To address stakeholder comments on the draft AMR </w:t>
      </w:r>
      <w:r>
        <w:t>P</w:t>
      </w:r>
      <w:r w:rsidRPr="0039313D">
        <w:t xml:space="preserve">lan, the department established a </w:t>
      </w:r>
      <w:r>
        <w:t>F</w:t>
      </w:r>
      <w:r w:rsidRPr="0039313D">
        <w:t xml:space="preserve">ocus </w:t>
      </w:r>
      <w:r>
        <w:t>G</w:t>
      </w:r>
      <w:r w:rsidRPr="0039313D">
        <w:t>roup</w:t>
      </w:r>
      <w:r w:rsidRPr="0013518A">
        <w:t xml:space="preserve"> </w:t>
      </w:r>
      <w:r w:rsidR="006C3845">
        <w:t xml:space="preserve">(Appendix A) </w:t>
      </w:r>
      <w:r w:rsidRPr="0039313D">
        <w:t xml:space="preserve">to revise </w:t>
      </w:r>
      <w:r>
        <w:t xml:space="preserve">the </w:t>
      </w:r>
      <w:r w:rsidRPr="0039313D">
        <w:t>plan. Th</w:t>
      </w:r>
      <w:r>
        <w:t xml:space="preserve">e revised AMR Plan was circulated to major animal sector stakeholders </w:t>
      </w:r>
      <w:r w:rsidR="008F0296">
        <w:t xml:space="preserve">prior to </w:t>
      </w:r>
      <w:r>
        <w:t>a workshop to obtain in</w:t>
      </w:r>
      <w:r>
        <w:noBreakHyphen/>
      </w:r>
      <w:r w:rsidRPr="0039313D">
        <w:t xml:space="preserve">principle agreement for the AMR </w:t>
      </w:r>
      <w:r>
        <w:t>P</w:t>
      </w:r>
      <w:r w:rsidRPr="0039313D">
        <w:t>lan</w:t>
      </w:r>
      <w:r>
        <w:t>.</w:t>
      </w:r>
    </w:p>
    <w:p w14:paraId="25267B17" w14:textId="3336C5B3" w:rsidR="006C4993" w:rsidRPr="00570C02" w:rsidRDefault="006C4993" w:rsidP="0013518A">
      <w:r>
        <w:t>P</w:t>
      </w:r>
      <w:r w:rsidRPr="00570C02">
        <w:t xml:space="preserve">lanning has commenced on drafting Australia’s </w:t>
      </w:r>
      <w:r>
        <w:t>s</w:t>
      </w:r>
      <w:r w:rsidRPr="00570C02">
        <w:t>econd National Antimicrobial Resistance Strategy. It is therefore timely that our sector comes together to coordinate and priori</w:t>
      </w:r>
      <w:r>
        <w:t xml:space="preserve">tise our activities through this </w:t>
      </w:r>
      <w:r w:rsidRPr="00570C02">
        <w:t xml:space="preserve">AMR Plan. This AMR </w:t>
      </w:r>
      <w:r>
        <w:t>P</w:t>
      </w:r>
      <w:r w:rsidRPr="00570C02">
        <w:t xml:space="preserve">lan aims to support the </w:t>
      </w:r>
      <w:r>
        <w:t xml:space="preserve">second </w:t>
      </w:r>
      <w:r w:rsidRPr="00570C02">
        <w:t xml:space="preserve">National </w:t>
      </w:r>
      <w:r>
        <w:t xml:space="preserve">AMR </w:t>
      </w:r>
      <w:r w:rsidRPr="00570C02">
        <w:t xml:space="preserve">Strategy—and the One Health approach—and safeguard our sector’s distinct needs and objectives. I thank you for your active engagement and valued contributions to limit the spread of AMR and to preserve antimicrobials for future generations through judicious stewardship. </w:t>
      </w:r>
    </w:p>
    <w:p w14:paraId="3AE9BC42" w14:textId="77777777" w:rsidR="008F0296" w:rsidRDefault="008F0296" w:rsidP="006C4993">
      <w:pPr>
        <w:spacing w:after="0"/>
      </w:pPr>
    </w:p>
    <w:p w14:paraId="504CE3E4" w14:textId="77777777" w:rsidR="006C4993" w:rsidRPr="00570C02" w:rsidRDefault="006C4993" w:rsidP="006C4993">
      <w:pPr>
        <w:spacing w:after="0"/>
      </w:pPr>
      <w:r w:rsidRPr="00570C02">
        <w:t>Dr Mark Schipp</w:t>
      </w:r>
    </w:p>
    <w:p w14:paraId="30CF870F" w14:textId="77777777" w:rsidR="006C4993" w:rsidRPr="006C4993" w:rsidRDefault="006C4993" w:rsidP="006C4993">
      <w:pPr>
        <w:spacing w:after="0"/>
      </w:pPr>
      <w:r w:rsidRPr="006C4993">
        <w:t>Australian Chief Veterinary Officer</w:t>
      </w:r>
    </w:p>
    <w:p w14:paraId="799211FA" w14:textId="77777777" w:rsidR="006C4993" w:rsidRPr="006C4993" w:rsidRDefault="006C4993" w:rsidP="006C4993">
      <w:pPr>
        <w:spacing w:after="0"/>
      </w:pPr>
      <w:r w:rsidRPr="006C4993">
        <w:t xml:space="preserve">OIE Delegate (Australia) </w:t>
      </w:r>
    </w:p>
    <w:p w14:paraId="75BB5BF8" w14:textId="77777777" w:rsidR="00C93385" w:rsidRDefault="006C4993" w:rsidP="00C93385">
      <w:pPr>
        <w:spacing w:after="0"/>
      </w:pPr>
      <w:r w:rsidRPr="006C4993">
        <w:t>President OIE Assembly</w:t>
      </w:r>
      <w:r>
        <w:t xml:space="preserve"> </w:t>
      </w:r>
    </w:p>
    <w:p w14:paraId="4A725768" w14:textId="116A3468" w:rsidR="00D90CD7" w:rsidRDefault="00C93385" w:rsidP="00C93385">
      <w:pPr>
        <w:spacing w:after="0"/>
      </w:pPr>
      <w:r>
        <w:t>Department of Agriculture and Water Resources</w:t>
      </w:r>
    </w:p>
    <w:p w14:paraId="32692BFC" w14:textId="77777777" w:rsidR="00D90CD7" w:rsidRDefault="00D90CD7">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A725769" w14:textId="5FFACAF1" w:rsidR="00AF61C3" w:rsidRDefault="00BD36BD">
          <w:pPr>
            <w:pStyle w:val="TOCHeading"/>
          </w:pPr>
          <w:r>
            <w:t xml:space="preserve">Contents </w:t>
          </w:r>
        </w:p>
        <w:p w14:paraId="65C64D70" w14:textId="77777777" w:rsidR="00637B54" w:rsidRDefault="006C4993">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636175" w:history="1">
            <w:r w:rsidR="00637B54" w:rsidRPr="0013614B">
              <w:rPr>
                <w:rStyle w:val="Hyperlink"/>
              </w:rPr>
              <w:t>Foreword</w:t>
            </w:r>
            <w:r w:rsidR="00637B54">
              <w:rPr>
                <w:webHidden/>
              </w:rPr>
              <w:tab/>
            </w:r>
            <w:r w:rsidR="00637B54">
              <w:rPr>
                <w:webHidden/>
              </w:rPr>
              <w:fldChar w:fldCharType="begin"/>
            </w:r>
            <w:r w:rsidR="00637B54">
              <w:rPr>
                <w:webHidden/>
              </w:rPr>
              <w:instrText xml:space="preserve"> PAGEREF _Toc1636175 \h </w:instrText>
            </w:r>
            <w:r w:rsidR="00637B54">
              <w:rPr>
                <w:webHidden/>
              </w:rPr>
            </w:r>
            <w:r w:rsidR="00637B54">
              <w:rPr>
                <w:webHidden/>
              </w:rPr>
              <w:fldChar w:fldCharType="separate"/>
            </w:r>
            <w:r w:rsidR="00946189">
              <w:rPr>
                <w:webHidden/>
              </w:rPr>
              <w:t>3</w:t>
            </w:r>
            <w:r w:rsidR="00637B54">
              <w:rPr>
                <w:webHidden/>
              </w:rPr>
              <w:fldChar w:fldCharType="end"/>
            </w:r>
          </w:hyperlink>
        </w:p>
        <w:p w14:paraId="0395BFB9" w14:textId="77777777" w:rsidR="00637B54" w:rsidRDefault="00946189">
          <w:pPr>
            <w:pStyle w:val="TOC1"/>
            <w:rPr>
              <w:rFonts w:asciiTheme="minorHAnsi" w:eastAsiaTheme="minorEastAsia" w:hAnsiTheme="minorHAnsi"/>
              <w:b w:val="0"/>
              <w:lang w:eastAsia="en-AU"/>
            </w:rPr>
          </w:pPr>
          <w:hyperlink w:anchor="_Toc1636176" w:history="1">
            <w:r w:rsidR="00637B54" w:rsidRPr="0013614B">
              <w:rPr>
                <w:rStyle w:val="Hyperlink"/>
              </w:rPr>
              <w:t>Introduction</w:t>
            </w:r>
            <w:r w:rsidR="00637B54">
              <w:rPr>
                <w:webHidden/>
              </w:rPr>
              <w:tab/>
            </w:r>
            <w:r w:rsidR="00637B54">
              <w:rPr>
                <w:webHidden/>
              </w:rPr>
              <w:fldChar w:fldCharType="begin"/>
            </w:r>
            <w:r w:rsidR="00637B54">
              <w:rPr>
                <w:webHidden/>
              </w:rPr>
              <w:instrText xml:space="preserve"> PAGEREF _Toc1636176 \h </w:instrText>
            </w:r>
            <w:r w:rsidR="00637B54">
              <w:rPr>
                <w:webHidden/>
              </w:rPr>
            </w:r>
            <w:r w:rsidR="00637B54">
              <w:rPr>
                <w:webHidden/>
              </w:rPr>
              <w:fldChar w:fldCharType="separate"/>
            </w:r>
            <w:r>
              <w:rPr>
                <w:webHidden/>
              </w:rPr>
              <w:t>5</w:t>
            </w:r>
            <w:r w:rsidR="00637B54">
              <w:rPr>
                <w:webHidden/>
              </w:rPr>
              <w:fldChar w:fldCharType="end"/>
            </w:r>
          </w:hyperlink>
        </w:p>
        <w:p w14:paraId="22E8BD41" w14:textId="77777777" w:rsidR="00637B54" w:rsidRDefault="00946189">
          <w:pPr>
            <w:pStyle w:val="TOC1"/>
            <w:rPr>
              <w:rFonts w:asciiTheme="minorHAnsi" w:eastAsiaTheme="minorEastAsia" w:hAnsiTheme="minorHAnsi"/>
              <w:b w:val="0"/>
              <w:lang w:eastAsia="en-AU"/>
            </w:rPr>
          </w:pPr>
          <w:hyperlink w:anchor="_Toc1636177" w:history="1">
            <w:r w:rsidR="00637B54" w:rsidRPr="0013614B">
              <w:rPr>
                <w:rStyle w:val="Hyperlink"/>
              </w:rPr>
              <w:t>Vision</w:t>
            </w:r>
            <w:r w:rsidR="00637B54">
              <w:rPr>
                <w:webHidden/>
              </w:rPr>
              <w:tab/>
            </w:r>
            <w:r w:rsidR="00637B54">
              <w:rPr>
                <w:webHidden/>
              </w:rPr>
              <w:fldChar w:fldCharType="begin"/>
            </w:r>
            <w:r w:rsidR="00637B54">
              <w:rPr>
                <w:webHidden/>
              </w:rPr>
              <w:instrText xml:space="preserve"> PAGEREF _Toc1636177 \h </w:instrText>
            </w:r>
            <w:r w:rsidR="00637B54">
              <w:rPr>
                <w:webHidden/>
              </w:rPr>
            </w:r>
            <w:r w:rsidR="00637B54">
              <w:rPr>
                <w:webHidden/>
              </w:rPr>
              <w:fldChar w:fldCharType="separate"/>
            </w:r>
            <w:r>
              <w:rPr>
                <w:webHidden/>
              </w:rPr>
              <w:t>6</w:t>
            </w:r>
            <w:r w:rsidR="00637B54">
              <w:rPr>
                <w:webHidden/>
              </w:rPr>
              <w:fldChar w:fldCharType="end"/>
            </w:r>
          </w:hyperlink>
        </w:p>
        <w:p w14:paraId="55B11E0F" w14:textId="77777777" w:rsidR="00637B54" w:rsidRDefault="00946189">
          <w:pPr>
            <w:pStyle w:val="TOC1"/>
            <w:rPr>
              <w:rFonts w:asciiTheme="minorHAnsi" w:eastAsiaTheme="minorEastAsia" w:hAnsiTheme="minorHAnsi"/>
              <w:b w:val="0"/>
              <w:lang w:eastAsia="en-AU"/>
            </w:rPr>
          </w:pPr>
          <w:hyperlink w:anchor="_Toc1636178" w:history="1">
            <w:r w:rsidR="00637B54" w:rsidRPr="0013614B">
              <w:rPr>
                <w:rStyle w:val="Hyperlink"/>
              </w:rPr>
              <w:t>Scope</w:t>
            </w:r>
            <w:r w:rsidR="00637B54">
              <w:rPr>
                <w:webHidden/>
              </w:rPr>
              <w:tab/>
            </w:r>
            <w:r w:rsidR="00637B54">
              <w:rPr>
                <w:webHidden/>
              </w:rPr>
              <w:fldChar w:fldCharType="begin"/>
            </w:r>
            <w:r w:rsidR="00637B54">
              <w:rPr>
                <w:webHidden/>
              </w:rPr>
              <w:instrText xml:space="preserve"> PAGEREF _Toc1636178 \h </w:instrText>
            </w:r>
            <w:r w:rsidR="00637B54">
              <w:rPr>
                <w:webHidden/>
              </w:rPr>
            </w:r>
            <w:r w:rsidR="00637B54">
              <w:rPr>
                <w:webHidden/>
              </w:rPr>
              <w:fldChar w:fldCharType="separate"/>
            </w:r>
            <w:r>
              <w:rPr>
                <w:webHidden/>
              </w:rPr>
              <w:t>6</w:t>
            </w:r>
            <w:r w:rsidR="00637B54">
              <w:rPr>
                <w:webHidden/>
              </w:rPr>
              <w:fldChar w:fldCharType="end"/>
            </w:r>
          </w:hyperlink>
        </w:p>
        <w:p w14:paraId="06DB0F2D" w14:textId="77777777" w:rsidR="00637B54" w:rsidRDefault="00946189">
          <w:pPr>
            <w:pStyle w:val="TOC1"/>
            <w:rPr>
              <w:rFonts w:asciiTheme="minorHAnsi" w:eastAsiaTheme="minorEastAsia" w:hAnsiTheme="minorHAnsi"/>
              <w:b w:val="0"/>
              <w:lang w:eastAsia="en-AU"/>
            </w:rPr>
          </w:pPr>
          <w:hyperlink w:anchor="_Toc1636179" w:history="1">
            <w:r w:rsidR="00637B54" w:rsidRPr="0013614B">
              <w:rPr>
                <w:rStyle w:val="Hyperlink"/>
              </w:rPr>
              <w:t>Purpose</w:t>
            </w:r>
            <w:r w:rsidR="00637B54">
              <w:rPr>
                <w:webHidden/>
              </w:rPr>
              <w:tab/>
            </w:r>
            <w:r w:rsidR="00637B54">
              <w:rPr>
                <w:webHidden/>
              </w:rPr>
              <w:fldChar w:fldCharType="begin"/>
            </w:r>
            <w:r w:rsidR="00637B54">
              <w:rPr>
                <w:webHidden/>
              </w:rPr>
              <w:instrText xml:space="preserve"> PAGEREF _Toc1636179 \h </w:instrText>
            </w:r>
            <w:r w:rsidR="00637B54">
              <w:rPr>
                <w:webHidden/>
              </w:rPr>
            </w:r>
            <w:r w:rsidR="00637B54">
              <w:rPr>
                <w:webHidden/>
              </w:rPr>
              <w:fldChar w:fldCharType="separate"/>
            </w:r>
            <w:r>
              <w:rPr>
                <w:webHidden/>
              </w:rPr>
              <w:t>7</w:t>
            </w:r>
            <w:r w:rsidR="00637B54">
              <w:rPr>
                <w:webHidden/>
              </w:rPr>
              <w:fldChar w:fldCharType="end"/>
            </w:r>
          </w:hyperlink>
        </w:p>
        <w:p w14:paraId="1CE1F024" w14:textId="77777777" w:rsidR="00637B54" w:rsidRDefault="00946189">
          <w:pPr>
            <w:pStyle w:val="TOC1"/>
            <w:rPr>
              <w:rFonts w:asciiTheme="minorHAnsi" w:eastAsiaTheme="minorEastAsia" w:hAnsiTheme="minorHAnsi"/>
              <w:b w:val="0"/>
              <w:lang w:eastAsia="en-AU"/>
            </w:rPr>
          </w:pPr>
          <w:hyperlink w:anchor="_Toc1636180" w:history="1">
            <w:r w:rsidR="00637B54" w:rsidRPr="0013614B">
              <w:rPr>
                <w:rStyle w:val="Hyperlink"/>
              </w:rPr>
              <w:t>Objectives</w:t>
            </w:r>
            <w:r w:rsidR="00637B54">
              <w:rPr>
                <w:webHidden/>
              </w:rPr>
              <w:tab/>
            </w:r>
            <w:r w:rsidR="00637B54">
              <w:rPr>
                <w:webHidden/>
              </w:rPr>
              <w:fldChar w:fldCharType="begin"/>
            </w:r>
            <w:r w:rsidR="00637B54">
              <w:rPr>
                <w:webHidden/>
              </w:rPr>
              <w:instrText xml:space="preserve"> PAGEREF _Toc1636180 \h </w:instrText>
            </w:r>
            <w:r w:rsidR="00637B54">
              <w:rPr>
                <w:webHidden/>
              </w:rPr>
            </w:r>
            <w:r w:rsidR="00637B54">
              <w:rPr>
                <w:webHidden/>
              </w:rPr>
              <w:fldChar w:fldCharType="separate"/>
            </w:r>
            <w:r>
              <w:rPr>
                <w:webHidden/>
              </w:rPr>
              <w:t>8</w:t>
            </w:r>
            <w:r w:rsidR="00637B54">
              <w:rPr>
                <w:webHidden/>
              </w:rPr>
              <w:fldChar w:fldCharType="end"/>
            </w:r>
          </w:hyperlink>
        </w:p>
        <w:p w14:paraId="22C650CC" w14:textId="77777777" w:rsidR="00637B54" w:rsidRDefault="00946189">
          <w:pPr>
            <w:pStyle w:val="TOC2"/>
            <w:rPr>
              <w:rFonts w:asciiTheme="minorHAnsi" w:eastAsiaTheme="minorEastAsia" w:hAnsiTheme="minorHAnsi"/>
              <w:lang w:eastAsia="en-AU"/>
            </w:rPr>
          </w:pPr>
          <w:hyperlink w:anchor="_Toc1636181" w:history="1">
            <w:r w:rsidR="00637B54" w:rsidRPr="0013614B">
              <w:rPr>
                <w:rStyle w:val="Hyperlink"/>
              </w:rPr>
              <w:t>Objective 1: Increase awareness and understanding of antimicrobial resistance, its implications, and actions to combat it through effective communication, education and training</w:t>
            </w:r>
            <w:r w:rsidR="00637B54">
              <w:rPr>
                <w:webHidden/>
              </w:rPr>
              <w:tab/>
            </w:r>
            <w:r w:rsidR="00637B54">
              <w:rPr>
                <w:webHidden/>
              </w:rPr>
              <w:fldChar w:fldCharType="begin"/>
            </w:r>
            <w:r w:rsidR="00637B54">
              <w:rPr>
                <w:webHidden/>
              </w:rPr>
              <w:instrText xml:space="preserve"> PAGEREF _Toc1636181 \h </w:instrText>
            </w:r>
            <w:r w:rsidR="00637B54">
              <w:rPr>
                <w:webHidden/>
              </w:rPr>
            </w:r>
            <w:r w:rsidR="00637B54">
              <w:rPr>
                <w:webHidden/>
              </w:rPr>
              <w:fldChar w:fldCharType="separate"/>
            </w:r>
            <w:r>
              <w:rPr>
                <w:webHidden/>
              </w:rPr>
              <w:t>8</w:t>
            </w:r>
            <w:r w:rsidR="00637B54">
              <w:rPr>
                <w:webHidden/>
              </w:rPr>
              <w:fldChar w:fldCharType="end"/>
            </w:r>
          </w:hyperlink>
        </w:p>
        <w:p w14:paraId="2D167309" w14:textId="77777777" w:rsidR="00637B54" w:rsidRDefault="00946189">
          <w:pPr>
            <w:pStyle w:val="TOC2"/>
            <w:rPr>
              <w:rFonts w:asciiTheme="minorHAnsi" w:eastAsiaTheme="minorEastAsia" w:hAnsiTheme="minorHAnsi"/>
              <w:lang w:eastAsia="en-AU"/>
            </w:rPr>
          </w:pPr>
          <w:hyperlink w:anchor="_Toc1636182" w:history="1">
            <w:r w:rsidR="00637B54" w:rsidRPr="0013614B">
              <w:rPr>
                <w:rStyle w:val="Hyperlink"/>
              </w:rPr>
              <w:t>Objective 2: Implement effective antimicrobial stewardship practices across animal care settings to ensure appropriate and judicious prescribing, dispensing and administering of antimicrobials</w:t>
            </w:r>
            <w:r w:rsidR="00637B54">
              <w:rPr>
                <w:webHidden/>
              </w:rPr>
              <w:tab/>
            </w:r>
            <w:r w:rsidR="00637B54">
              <w:rPr>
                <w:webHidden/>
              </w:rPr>
              <w:fldChar w:fldCharType="begin"/>
            </w:r>
            <w:r w:rsidR="00637B54">
              <w:rPr>
                <w:webHidden/>
              </w:rPr>
              <w:instrText xml:space="preserve"> PAGEREF _Toc1636182 \h </w:instrText>
            </w:r>
            <w:r w:rsidR="00637B54">
              <w:rPr>
                <w:webHidden/>
              </w:rPr>
            </w:r>
            <w:r w:rsidR="00637B54">
              <w:rPr>
                <w:webHidden/>
              </w:rPr>
              <w:fldChar w:fldCharType="separate"/>
            </w:r>
            <w:r>
              <w:rPr>
                <w:webHidden/>
              </w:rPr>
              <w:t>9</w:t>
            </w:r>
            <w:r w:rsidR="00637B54">
              <w:rPr>
                <w:webHidden/>
              </w:rPr>
              <w:fldChar w:fldCharType="end"/>
            </w:r>
          </w:hyperlink>
        </w:p>
        <w:p w14:paraId="5147DA57" w14:textId="77777777" w:rsidR="00637B54" w:rsidRDefault="00946189">
          <w:pPr>
            <w:pStyle w:val="TOC2"/>
            <w:rPr>
              <w:rFonts w:asciiTheme="minorHAnsi" w:eastAsiaTheme="minorEastAsia" w:hAnsiTheme="minorHAnsi"/>
              <w:lang w:eastAsia="en-AU"/>
            </w:rPr>
          </w:pPr>
          <w:hyperlink w:anchor="_Toc1636183" w:history="1">
            <w:r w:rsidR="00637B54" w:rsidRPr="0013614B">
              <w:rPr>
                <w:rStyle w:val="Hyperlink"/>
              </w:rPr>
              <w:t>Objective 3: Develop nationally coordinated One Health surveillance of antimicrobial resistance and antimicrobial usage</w:t>
            </w:r>
            <w:r w:rsidR="00637B54">
              <w:rPr>
                <w:webHidden/>
              </w:rPr>
              <w:tab/>
            </w:r>
            <w:r w:rsidR="00637B54">
              <w:rPr>
                <w:webHidden/>
              </w:rPr>
              <w:fldChar w:fldCharType="begin"/>
            </w:r>
            <w:r w:rsidR="00637B54">
              <w:rPr>
                <w:webHidden/>
              </w:rPr>
              <w:instrText xml:space="preserve"> PAGEREF _Toc1636183 \h </w:instrText>
            </w:r>
            <w:r w:rsidR="00637B54">
              <w:rPr>
                <w:webHidden/>
              </w:rPr>
            </w:r>
            <w:r w:rsidR="00637B54">
              <w:rPr>
                <w:webHidden/>
              </w:rPr>
              <w:fldChar w:fldCharType="separate"/>
            </w:r>
            <w:r>
              <w:rPr>
                <w:webHidden/>
              </w:rPr>
              <w:t>9</w:t>
            </w:r>
            <w:r w:rsidR="00637B54">
              <w:rPr>
                <w:webHidden/>
              </w:rPr>
              <w:fldChar w:fldCharType="end"/>
            </w:r>
          </w:hyperlink>
        </w:p>
        <w:p w14:paraId="4C900CAD" w14:textId="77777777" w:rsidR="00637B54" w:rsidRDefault="00946189">
          <w:pPr>
            <w:pStyle w:val="TOC2"/>
            <w:rPr>
              <w:rFonts w:asciiTheme="minorHAnsi" w:eastAsiaTheme="minorEastAsia" w:hAnsiTheme="minorHAnsi"/>
              <w:lang w:eastAsia="en-AU"/>
            </w:rPr>
          </w:pPr>
          <w:hyperlink w:anchor="_Toc1636184" w:history="1">
            <w:r w:rsidR="00637B54" w:rsidRPr="0013614B">
              <w:rPr>
                <w:rStyle w:val="Hyperlink"/>
              </w:rPr>
              <w:t>Objective 4: Improve infection prevention and control and biosecurity measures across components of the animal sector to help prevent infections and the spread of antimicrobial resistance</w:t>
            </w:r>
            <w:r w:rsidR="00637B54">
              <w:rPr>
                <w:webHidden/>
              </w:rPr>
              <w:tab/>
            </w:r>
            <w:r w:rsidR="00637B54">
              <w:rPr>
                <w:webHidden/>
              </w:rPr>
              <w:fldChar w:fldCharType="begin"/>
            </w:r>
            <w:r w:rsidR="00637B54">
              <w:rPr>
                <w:webHidden/>
              </w:rPr>
              <w:instrText xml:space="preserve"> PAGEREF _Toc1636184 \h </w:instrText>
            </w:r>
            <w:r w:rsidR="00637B54">
              <w:rPr>
                <w:webHidden/>
              </w:rPr>
            </w:r>
            <w:r w:rsidR="00637B54">
              <w:rPr>
                <w:webHidden/>
              </w:rPr>
              <w:fldChar w:fldCharType="separate"/>
            </w:r>
            <w:r>
              <w:rPr>
                <w:webHidden/>
              </w:rPr>
              <w:t>10</w:t>
            </w:r>
            <w:r w:rsidR="00637B54">
              <w:rPr>
                <w:webHidden/>
              </w:rPr>
              <w:fldChar w:fldCharType="end"/>
            </w:r>
          </w:hyperlink>
        </w:p>
        <w:p w14:paraId="4D433737" w14:textId="77777777" w:rsidR="00637B54" w:rsidRDefault="00946189">
          <w:pPr>
            <w:pStyle w:val="TOC2"/>
            <w:rPr>
              <w:rFonts w:asciiTheme="minorHAnsi" w:eastAsiaTheme="minorEastAsia" w:hAnsiTheme="minorHAnsi"/>
              <w:lang w:eastAsia="en-AU"/>
            </w:rPr>
          </w:pPr>
          <w:hyperlink w:anchor="_Toc1636185" w:history="1">
            <w:r w:rsidR="00637B54" w:rsidRPr="0013614B">
              <w:rPr>
                <w:rStyle w:val="Hyperlink"/>
              </w:rPr>
              <w:t>Objective 5: Agree on a national research agenda and promote investment in the discovery and development of new products and approaches to prevent, detect and contain antimicrobial resistance</w:t>
            </w:r>
            <w:r w:rsidR="00637B54">
              <w:rPr>
                <w:webHidden/>
              </w:rPr>
              <w:tab/>
            </w:r>
            <w:r w:rsidR="00637B54">
              <w:rPr>
                <w:webHidden/>
              </w:rPr>
              <w:fldChar w:fldCharType="begin"/>
            </w:r>
            <w:r w:rsidR="00637B54">
              <w:rPr>
                <w:webHidden/>
              </w:rPr>
              <w:instrText xml:space="preserve"> PAGEREF _Toc1636185 \h </w:instrText>
            </w:r>
            <w:r w:rsidR="00637B54">
              <w:rPr>
                <w:webHidden/>
              </w:rPr>
            </w:r>
            <w:r w:rsidR="00637B54">
              <w:rPr>
                <w:webHidden/>
              </w:rPr>
              <w:fldChar w:fldCharType="separate"/>
            </w:r>
            <w:r>
              <w:rPr>
                <w:webHidden/>
              </w:rPr>
              <w:t>11</w:t>
            </w:r>
            <w:r w:rsidR="00637B54">
              <w:rPr>
                <w:webHidden/>
              </w:rPr>
              <w:fldChar w:fldCharType="end"/>
            </w:r>
          </w:hyperlink>
        </w:p>
        <w:p w14:paraId="26AA282D" w14:textId="77777777" w:rsidR="00637B54" w:rsidRDefault="00946189">
          <w:pPr>
            <w:pStyle w:val="TOC2"/>
            <w:rPr>
              <w:rFonts w:asciiTheme="minorHAnsi" w:eastAsiaTheme="minorEastAsia" w:hAnsiTheme="minorHAnsi"/>
              <w:lang w:eastAsia="en-AU"/>
            </w:rPr>
          </w:pPr>
          <w:hyperlink w:anchor="_Toc1636186" w:history="1">
            <w:r w:rsidR="00637B54" w:rsidRPr="0013614B">
              <w:rPr>
                <w:rStyle w:val="Hyperlink"/>
              </w:rPr>
              <w:t>Objective 6: Strengthen international partnerships and collaboration on regional and global efforts to respond to antimicrobial resistance</w:t>
            </w:r>
            <w:r w:rsidR="00637B54">
              <w:rPr>
                <w:webHidden/>
              </w:rPr>
              <w:tab/>
            </w:r>
            <w:r w:rsidR="00637B54">
              <w:rPr>
                <w:webHidden/>
              </w:rPr>
              <w:fldChar w:fldCharType="begin"/>
            </w:r>
            <w:r w:rsidR="00637B54">
              <w:rPr>
                <w:webHidden/>
              </w:rPr>
              <w:instrText xml:space="preserve"> PAGEREF _Toc1636186 \h </w:instrText>
            </w:r>
            <w:r w:rsidR="00637B54">
              <w:rPr>
                <w:webHidden/>
              </w:rPr>
            </w:r>
            <w:r w:rsidR="00637B54">
              <w:rPr>
                <w:webHidden/>
              </w:rPr>
              <w:fldChar w:fldCharType="separate"/>
            </w:r>
            <w:r>
              <w:rPr>
                <w:webHidden/>
              </w:rPr>
              <w:t>12</w:t>
            </w:r>
            <w:r w:rsidR="00637B54">
              <w:rPr>
                <w:webHidden/>
              </w:rPr>
              <w:fldChar w:fldCharType="end"/>
            </w:r>
          </w:hyperlink>
        </w:p>
        <w:p w14:paraId="68D40F1A" w14:textId="77777777" w:rsidR="00637B54" w:rsidRDefault="00946189">
          <w:pPr>
            <w:pStyle w:val="TOC2"/>
            <w:rPr>
              <w:rFonts w:asciiTheme="minorHAnsi" w:eastAsiaTheme="minorEastAsia" w:hAnsiTheme="minorHAnsi"/>
              <w:lang w:eastAsia="en-AU"/>
            </w:rPr>
          </w:pPr>
          <w:hyperlink w:anchor="_Toc1636187" w:history="1">
            <w:r w:rsidR="00637B54" w:rsidRPr="0013614B">
              <w:rPr>
                <w:rStyle w:val="Hyperlink"/>
              </w:rPr>
              <w:t>Objective 7: Establish and support clear governance arrangements at the local, jurisdictional, national and international levels to ensure leadership, engagement and accountability for actions to combat antimicrobial resistance</w:t>
            </w:r>
            <w:r w:rsidR="00637B54">
              <w:rPr>
                <w:webHidden/>
              </w:rPr>
              <w:tab/>
            </w:r>
            <w:r w:rsidR="00637B54">
              <w:rPr>
                <w:webHidden/>
              </w:rPr>
              <w:fldChar w:fldCharType="begin"/>
            </w:r>
            <w:r w:rsidR="00637B54">
              <w:rPr>
                <w:webHidden/>
              </w:rPr>
              <w:instrText xml:space="preserve"> PAGEREF _Toc1636187 \h </w:instrText>
            </w:r>
            <w:r w:rsidR="00637B54">
              <w:rPr>
                <w:webHidden/>
              </w:rPr>
            </w:r>
            <w:r w:rsidR="00637B54">
              <w:rPr>
                <w:webHidden/>
              </w:rPr>
              <w:fldChar w:fldCharType="separate"/>
            </w:r>
            <w:r>
              <w:rPr>
                <w:webHidden/>
              </w:rPr>
              <w:t>13</w:t>
            </w:r>
            <w:r w:rsidR="00637B54">
              <w:rPr>
                <w:webHidden/>
              </w:rPr>
              <w:fldChar w:fldCharType="end"/>
            </w:r>
          </w:hyperlink>
        </w:p>
        <w:p w14:paraId="2A544099" w14:textId="77777777" w:rsidR="00637B54" w:rsidRDefault="00946189">
          <w:pPr>
            <w:pStyle w:val="TOC1"/>
            <w:rPr>
              <w:rFonts w:asciiTheme="minorHAnsi" w:eastAsiaTheme="minorEastAsia" w:hAnsiTheme="minorHAnsi"/>
              <w:b w:val="0"/>
              <w:lang w:eastAsia="en-AU"/>
            </w:rPr>
          </w:pPr>
          <w:hyperlink w:anchor="_Toc1636188" w:history="1">
            <w:r w:rsidR="00637B54" w:rsidRPr="0013614B">
              <w:rPr>
                <w:rStyle w:val="Hyperlink"/>
              </w:rPr>
              <w:t>Appendix A: Focus Group Members</w:t>
            </w:r>
            <w:r w:rsidR="00637B54">
              <w:rPr>
                <w:webHidden/>
              </w:rPr>
              <w:tab/>
            </w:r>
            <w:r w:rsidR="00637B54">
              <w:rPr>
                <w:webHidden/>
              </w:rPr>
              <w:fldChar w:fldCharType="begin"/>
            </w:r>
            <w:r w:rsidR="00637B54">
              <w:rPr>
                <w:webHidden/>
              </w:rPr>
              <w:instrText xml:space="preserve"> PAGEREF _Toc1636188 \h </w:instrText>
            </w:r>
            <w:r w:rsidR="00637B54">
              <w:rPr>
                <w:webHidden/>
              </w:rPr>
            </w:r>
            <w:r w:rsidR="00637B54">
              <w:rPr>
                <w:webHidden/>
              </w:rPr>
              <w:fldChar w:fldCharType="separate"/>
            </w:r>
            <w:r>
              <w:rPr>
                <w:webHidden/>
              </w:rPr>
              <w:t>15</w:t>
            </w:r>
            <w:r w:rsidR="00637B54">
              <w:rPr>
                <w:webHidden/>
              </w:rPr>
              <w:fldChar w:fldCharType="end"/>
            </w:r>
          </w:hyperlink>
        </w:p>
        <w:p w14:paraId="7D3EF37D" w14:textId="77777777" w:rsidR="00637B54" w:rsidRDefault="00946189">
          <w:pPr>
            <w:pStyle w:val="TOC1"/>
            <w:rPr>
              <w:rFonts w:asciiTheme="minorHAnsi" w:eastAsiaTheme="minorEastAsia" w:hAnsiTheme="minorHAnsi"/>
              <w:b w:val="0"/>
              <w:lang w:eastAsia="en-AU"/>
            </w:rPr>
          </w:pPr>
          <w:hyperlink w:anchor="_Toc1636189" w:history="1">
            <w:r w:rsidR="00637B54" w:rsidRPr="0013614B">
              <w:rPr>
                <w:rStyle w:val="Hyperlink"/>
              </w:rPr>
              <w:t>Appendix B: Animal Sector Stakeholders</w:t>
            </w:r>
            <w:r w:rsidR="00637B54">
              <w:rPr>
                <w:webHidden/>
              </w:rPr>
              <w:tab/>
            </w:r>
            <w:r w:rsidR="00637B54">
              <w:rPr>
                <w:webHidden/>
              </w:rPr>
              <w:fldChar w:fldCharType="begin"/>
            </w:r>
            <w:r w:rsidR="00637B54">
              <w:rPr>
                <w:webHidden/>
              </w:rPr>
              <w:instrText xml:space="preserve"> PAGEREF _Toc1636189 \h </w:instrText>
            </w:r>
            <w:r w:rsidR="00637B54">
              <w:rPr>
                <w:webHidden/>
              </w:rPr>
            </w:r>
            <w:r w:rsidR="00637B54">
              <w:rPr>
                <w:webHidden/>
              </w:rPr>
              <w:fldChar w:fldCharType="separate"/>
            </w:r>
            <w:r>
              <w:rPr>
                <w:webHidden/>
              </w:rPr>
              <w:t>16</w:t>
            </w:r>
            <w:r w:rsidR="00637B54">
              <w:rPr>
                <w:webHidden/>
              </w:rPr>
              <w:fldChar w:fldCharType="end"/>
            </w:r>
          </w:hyperlink>
        </w:p>
        <w:p w14:paraId="730FEE4E" w14:textId="77777777" w:rsidR="00637B54" w:rsidRDefault="00946189">
          <w:pPr>
            <w:pStyle w:val="TOC1"/>
            <w:rPr>
              <w:rFonts w:asciiTheme="minorHAnsi" w:eastAsiaTheme="minorEastAsia" w:hAnsiTheme="minorHAnsi"/>
              <w:b w:val="0"/>
              <w:lang w:eastAsia="en-AU"/>
            </w:rPr>
          </w:pPr>
          <w:hyperlink w:anchor="_Toc1636190" w:history="1">
            <w:r w:rsidR="00637B54" w:rsidRPr="0013614B">
              <w:rPr>
                <w:rStyle w:val="Hyperlink"/>
              </w:rPr>
              <w:t>Acronyms and Abbreviations</w:t>
            </w:r>
            <w:r w:rsidR="00637B54">
              <w:rPr>
                <w:webHidden/>
              </w:rPr>
              <w:tab/>
            </w:r>
            <w:r w:rsidR="00637B54">
              <w:rPr>
                <w:webHidden/>
              </w:rPr>
              <w:fldChar w:fldCharType="begin"/>
            </w:r>
            <w:r w:rsidR="00637B54">
              <w:rPr>
                <w:webHidden/>
              </w:rPr>
              <w:instrText xml:space="preserve"> PAGEREF _Toc1636190 \h </w:instrText>
            </w:r>
            <w:r w:rsidR="00637B54">
              <w:rPr>
                <w:webHidden/>
              </w:rPr>
            </w:r>
            <w:r w:rsidR="00637B54">
              <w:rPr>
                <w:webHidden/>
              </w:rPr>
              <w:fldChar w:fldCharType="separate"/>
            </w:r>
            <w:r>
              <w:rPr>
                <w:webHidden/>
              </w:rPr>
              <w:t>17</w:t>
            </w:r>
            <w:r w:rsidR="00637B54">
              <w:rPr>
                <w:webHidden/>
              </w:rPr>
              <w:fldChar w:fldCharType="end"/>
            </w:r>
          </w:hyperlink>
        </w:p>
        <w:p w14:paraId="453615C1" w14:textId="77777777" w:rsidR="00637B54" w:rsidRDefault="00946189">
          <w:pPr>
            <w:pStyle w:val="TOC1"/>
            <w:rPr>
              <w:rFonts w:asciiTheme="minorHAnsi" w:eastAsiaTheme="minorEastAsia" w:hAnsiTheme="minorHAnsi"/>
              <w:b w:val="0"/>
              <w:lang w:eastAsia="en-AU"/>
            </w:rPr>
          </w:pPr>
          <w:hyperlink w:anchor="_Toc1636191" w:history="1">
            <w:r w:rsidR="00637B54" w:rsidRPr="0013614B">
              <w:rPr>
                <w:rStyle w:val="Hyperlink"/>
              </w:rPr>
              <w:t>Glossary</w:t>
            </w:r>
            <w:r w:rsidR="00637B54">
              <w:rPr>
                <w:webHidden/>
              </w:rPr>
              <w:tab/>
            </w:r>
            <w:r w:rsidR="00637B54">
              <w:rPr>
                <w:webHidden/>
              </w:rPr>
              <w:fldChar w:fldCharType="begin"/>
            </w:r>
            <w:r w:rsidR="00637B54">
              <w:rPr>
                <w:webHidden/>
              </w:rPr>
              <w:instrText xml:space="preserve"> PAGEREF _Toc1636191 \h </w:instrText>
            </w:r>
            <w:r w:rsidR="00637B54">
              <w:rPr>
                <w:webHidden/>
              </w:rPr>
            </w:r>
            <w:r w:rsidR="00637B54">
              <w:rPr>
                <w:webHidden/>
              </w:rPr>
              <w:fldChar w:fldCharType="separate"/>
            </w:r>
            <w:r>
              <w:rPr>
                <w:webHidden/>
              </w:rPr>
              <w:t>18</w:t>
            </w:r>
            <w:r w:rsidR="00637B54">
              <w:rPr>
                <w:webHidden/>
              </w:rPr>
              <w:fldChar w:fldCharType="end"/>
            </w:r>
          </w:hyperlink>
        </w:p>
        <w:p w14:paraId="4A72577A" w14:textId="77777777" w:rsidR="00AF61C3" w:rsidRDefault="006C4993">
          <w:r>
            <w:rPr>
              <w:b/>
              <w:noProof/>
            </w:rPr>
            <w:fldChar w:fldCharType="end"/>
          </w:r>
        </w:p>
      </w:sdtContent>
    </w:sdt>
    <w:p w14:paraId="4A72578E" w14:textId="77777777" w:rsidR="00AF61C3" w:rsidRDefault="006C4993">
      <w:pPr>
        <w:pStyle w:val="Heading2"/>
        <w:ind w:left="720" w:hanging="720"/>
      </w:pPr>
      <w:bookmarkStart w:id="3" w:name="_Toc430782150"/>
      <w:bookmarkStart w:id="4" w:name="_Toc1636176"/>
      <w:r>
        <w:lastRenderedPageBreak/>
        <w:t>Introduction</w:t>
      </w:r>
      <w:bookmarkEnd w:id="3"/>
      <w:bookmarkEnd w:id="4"/>
    </w:p>
    <w:p w14:paraId="1D565BC1" w14:textId="59CA94AC" w:rsidR="006C4993" w:rsidRPr="00570C02" w:rsidRDefault="006C4993" w:rsidP="006C4993">
      <w:bookmarkStart w:id="5" w:name="_Ref445985033"/>
      <w:bookmarkStart w:id="6" w:name="_Toc409769171"/>
      <w:bookmarkStart w:id="7" w:name="_Toc508272837"/>
      <w:r w:rsidRPr="00570C02">
        <w:t xml:space="preserve">Antimicrobials are a precious resource. It is essential that their effectiveness is maintained for both human and animal health. Through a collaborative approach, the Australian </w:t>
      </w:r>
      <w:r>
        <w:t>a</w:t>
      </w:r>
      <w:r w:rsidRPr="00570C02">
        <w:t xml:space="preserve">nimal </w:t>
      </w:r>
      <w:r>
        <w:t>s</w:t>
      </w:r>
      <w:r w:rsidRPr="00570C02">
        <w:t>ector</w:t>
      </w:r>
      <w:r w:rsidR="00853D7F">
        <w:t xml:space="preserve"> (Appendix B) </w:t>
      </w:r>
      <w:r w:rsidRPr="00570C02">
        <w:t>has recognised</w:t>
      </w:r>
      <w:r>
        <w:t xml:space="preserve"> that</w:t>
      </w:r>
      <w:r w:rsidRPr="00570C02">
        <w:t xml:space="preserve"> it</w:t>
      </w:r>
      <w:r>
        <w:t xml:space="preserve"> has a shared responsibility </w:t>
      </w:r>
      <w:r w:rsidRPr="00570C02">
        <w:t xml:space="preserve">in the </w:t>
      </w:r>
      <w:r>
        <w:t xml:space="preserve">appropriate </w:t>
      </w:r>
      <w:r w:rsidRPr="00570C02">
        <w:t>use of antimicrobials to address resistance. The Australian food animal sector has a str</w:t>
      </w:r>
      <w:r>
        <w:t xml:space="preserve">ong international reputation for </w:t>
      </w:r>
      <w:r w:rsidRPr="00570C02">
        <w:t>food safety. Positioning the Australian animal sector to enhance visibility of their leadership, innovation and contributions to address antim</w:t>
      </w:r>
      <w:r w:rsidR="00BA4776">
        <w:t xml:space="preserve">icrobial resistance (AMR), and </w:t>
      </w:r>
      <w:r w:rsidRPr="00570C02">
        <w:t>influenc</w:t>
      </w:r>
      <w:r w:rsidR="00BA4776">
        <w:t>ing</w:t>
      </w:r>
      <w:r w:rsidRPr="00570C02">
        <w:t xml:space="preserve"> the national and international direction of AMR efforts, </w:t>
      </w:r>
      <w:r w:rsidR="00BA4776">
        <w:t xml:space="preserve">are </w:t>
      </w:r>
      <w:r w:rsidRPr="00570C02">
        <w:t>priorit</w:t>
      </w:r>
      <w:r w:rsidR="00BA4776">
        <w:t>ies</w:t>
      </w:r>
      <w:r w:rsidRPr="00570C02">
        <w:t xml:space="preserve"> for the Australian Government Department of Agriculture and Water Resources (the department). </w:t>
      </w:r>
    </w:p>
    <w:p w14:paraId="150ACAB1" w14:textId="41EA66DF" w:rsidR="006C4993" w:rsidRDefault="006C4993" w:rsidP="006C4993">
      <w:r w:rsidRPr="00570C02">
        <w:t xml:space="preserve">AMR remains a significant threat to Australian animal industries through its </w:t>
      </w:r>
      <w:r>
        <w:t xml:space="preserve">potential </w:t>
      </w:r>
      <w:r w:rsidR="00465C58">
        <w:t>effects</w:t>
      </w:r>
      <w:r w:rsidRPr="00570C02">
        <w:t xml:space="preserve"> on public health, animal health and welfare, and trade. Many contagious and infectious diseases cause morbidity, suffering and mortality in animals, resulting in poor animal health and welfare, decreased production and economic losses. </w:t>
      </w:r>
    </w:p>
    <w:p w14:paraId="5A0E9807" w14:textId="6A87FE8B" w:rsidR="006C4993" w:rsidRPr="00570C02" w:rsidRDefault="006C4993" w:rsidP="006C4993">
      <w:r>
        <w:t>T</w:t>
      </w:r>
      <w:r w:rsidRPr="00570C02">
        <w:t xml:space="preserve">herapeutic failure due to AMR adversely </w:t>
      </w:r>
      <w:r w:rsidR="00465C58">
        <w:t>affects</w:t>
      </w:r>
      <w:r w:rsidRPr="00570C02">
        <w:t xml:space="preserve"> animal health, welfare, productivity and in turn, food safety. Similarly, withholding antimicrobial therapy without sound basis or alternatives can also have adverse effects. AMR results in financial losses directly through higher mortality</w:t>
      </w:r>
      <w:r>
        <w:t xml:space="preserve"> </w:t>
      </w:r>
      <w:r w:rsidRPr="00570C02">
        <w:t xml:space="preserve">or </w:t>
      </w:r>
      <w:r>
        <w:t>morbidity</w:t>
      </w:r>
      <w:r w:rsidRPr="00570C02">
        <w:t xml:space="preserve"> and premature culling of animals. </w:t>
      </w:r>
      <w:r>
        <w:t xml:space="preserve">This can potentially compromise food safety, and </w:t>
      </w:r>
      <w:r w:rsidRPr="00570C02">
        <w:t xml:space="preserve">ultimately lead to higher costs for </w:t>
      </w:r>
      <w:r>
        <w:t xml:space="preserve">farmers and </w:t>
      </w:r>
      <w:r w:rsidRPr="00570C02">
        <w:t>consumers of animal products.</w:t>
      </w:r>
      <w:r>
        <w:t xml:space="preserve"> </w:t>
      </w:r>
      <w:r w:rsidRPr="00570C02">
        <w:t>AMR in zoonotic bacteria also endangers public health.</w:t>
      </w:r>
    </w:p>
    <w:bookmarkEnd w:id="5"/>
    <w:bookmarkEnd w:id="6"/>
    <w:bookmarkEnd w:id="7"/>
    <w:p w14:paraId="29750F0B" w14:textId="0893A441" w:rsidR="0061134F" w:rsidRDefault="0061134F" w:rsidP="00A567B8">
      <w:r>
        <w:t xml:space="preserve">The Australian animal sector has </w:t>
      </w:r>
      <w:r w:rsidRPr="00570C02">
        <w:t xml:space="preserve">a </w:t>
      </w:r>
      <w:r>
        <w:t xml:space="preserve">shared </w:t>
      </w:r>
      <w:r w:rsidRPr="00570C02">
        <w:t xml:space="preserve">responsibility to ensure that antimicrobials are used </w:t>
      </w:r>
      <w:r>
        <w:t>appropriately.</w:t>
      </w:r>
      <w:r w:rsidRPr="00570C02">
        <w:t xml:space="preserve"> The alternative is to risk compromising animal health and welfare, food safety and consequently, </w:t>
      </w:r>
      <w:r>
        <w:t>Australia’s</w:t>
      </w:r>
      <w:r w:rsidRPr="00570C02">
        <w:t xml:space="preserve"> domestic and global reputation. Since the </w:t>
      </w:r>
      <w:r>
        <w:t>animal</w:t>
      </w:r>
      <w:r w:rsidRPr="00570C02">
        <w:t xml:space="preserve"> sector</w:t>
      </w:r>
      <w:r>
        <w:t xml:space="preserve"> is </w:t>
      </w:r>
      <w:r w:rsidRPr="00570C02">
        <w:t xml:space="preserve">often cited </w:t>
      </w:r>
      <w:r>
        <w:t xml:space="preserve">internationally </w:t>
      </w:r>
      <w:r w:rsidRPr="00570C02">
        <w:t xml:space="preserve">as </w:t>
      </w:r>
      <w:r w:rsidR="00BA4776">
        <w:t>a major contributor</w:t>
      </w:r>
      <w:r w:rsidRPr="00570C02">
        <w:t xml:space="preserve"> to the cause of, and increase in, AMR, </w:t>
      </w:r>
      <w:r>
        <w:t>the Australia</w:t>
      </w:r>
      <w:r w:rsidR="00BA4776">
        <w:t>n</w:t>
      </w:r>
      <w:r>
        <w:t xml:space="preserve"> animal sector </w:t>
      </w:r>
      <w:r w:rsidRPr="00570C02">
        <w:t>need</w:t>
      </w:r>
      <w:r>
        <w:t>s</w:t>
      </w:r>
      <w:r w:rsidRPr="00570C02">
        <w:t xml:space="preserve"> to be well positioned to address this perception by demonstrating and promoting </w:t>
      </w:r>
      <w:r>
        <w:t>appropriate use of antimicrobials</w:t>
      </w:r>
      <w:r w:rsidRPr="00570C02" w:rsidDel="000F345A">
        <w:t xml:space="preserve"> </w:t>
      </w:r>
      <w:r>
        <w:t xml:space="preserve">and </w:t>
      </w:r>
      <w:r w:rsidRPr="00570C02">
        <w:t>antimicrobial stewardship (AMS) activities</w:t>
      </w:r>
      <w:r>
        <w:t xml:space="preserve">. </w:t>
      </w:r>
    </w:p>
    <w:p w14:paraId="7FFEF093" w14:textId="77777777" w:rsidR="00A52D49" w:rsidRDefault="00A52D49" w:rsidP="00A567B8"/>
    <w:p w14:paraId="728ADDA3" w14:textId="30E2C057" w:rsidR="00A52D49" w:rsidRDefault="00A52D49" w:rsidP="00A52D49">
      <w:pPr>
        <w:pStyle w:val="Heading2"/>
        <w:ind w:left="720" w:hanging="720"/>
      </w:pPr>
      <w:bookmarkStart w:id="8" w:name="_Toc1636177"/>
      <w:r>
        <w:lastRenderedPageBreak/>
        <w:t>Vision</w:t>
      </w:r>
      <w:bookmarkEnd w:id="8"/>
    </w:p>
    <w:p w14:paraId="515FA7DC" w14:textId="77777777" w:rsidR="00A52D49" w:rsidRDefault="00A52D49" w:rsidP="00637B54">
      <w:r w:rsidRPr="00570C02">
        <w:t xml:space="preserve">The Australian animal sector is a respected contributor to national and global efforts to address AMR, and a recognised leader in the </w:t>
      </w:r>
      <w:r>
        <w:t xml:space="preserve">appropriate </w:t>
      </w:r>
      <w:r w:rsidRPr="00570C02">
        <w:t>use of antimicrobials to preserve their effectiveness to protect human and animal health.</w:t>
      </w:r>
    </w:p>
    <w:p w14:paraId="69F592C3" w14:textId="2A144F93" w:rsidR="00A52D49" w:rsidRPr="00A52D49" w:rsidRDefault="00A52D49" w:rsidP="009727F6">
      <w:pPr>
        <w:pStyle w:val="Heading2"/>
        <w:pageBreakBefore w:val="0"/>
        <w:ind w:left="720" w:hanging="720"/>
      </w:pPr>
      <w:bookmarkStart w:id="9" w:name="_Toc531367681"/>
      <w:bookmarkStart w:id="10" w:name="_Toc1636178"/>
      <w:r w:rsidRPr="00A52D49">
        <w:t>S</w:t>
      </w:r>
      <w:bookmarkEnd w:id="9"/>
      <w:r>
        <w:t>cope</w:t>
      </w:r>
      <w:bookmarkEnd w:id="10"/>
    </w:p>
    <w:p w14:paraId="105F831A" w14:textId="77777777" w:rsidR="00A52D49" w:rsidRPr="00570C02" w:rsidRDefault="00A52D49" w:rsidP="00637B54">
      <w:r w:rsidRPr="00570C02">
        <w:t xml:space="preserve">The </w:t>
      </w:r>
      <w:r w:rsidRPr="00637B54">
        <w:t>Animal Sector National Antimicrobial Resistance Plan 2018</w:t>
      </w:r>
      <w:r>
        <w:t xml:space="preserve"> </w:t>
      </w:r>
      <w:r w:rsidRPr="00570C02">
        <w:t xml:space="preserve">(the AMR </w:t>
      </w:r>
      <w:r>
        <w:t>P</w:t>
      </w:r>
      <w:r w:rsidRPr="00570C02">
        <w:t>lan) includes the following terrestrial and aquatic animal species:</w:t>
      </w:r>
    </w:p>
    <w:p w14:paraId="3B353970" w14:textId="77777777" w:rsidR="00A52D49" w:rsidRPr="00570C02" w:rsidRDefault="00A52D49" w:rsidP="00A52D49">
      <w:pPr>
        <w:pStyle w:val="ListBullet"/>
      </w:pPr>
      <w:r w:rsidRPr="00570C02">
        <w:t>aquatic animals</w:t>
      </w:r>
    </w:p>
    <w:p w14:paraId="03E951FC" w14:textId="77777777" w:rsidR="00A52D49" w:rsidRPr="00570C02" w:rsidRDefault="00A52D49" w:rsidP="00A52D49">
      <w:pPr>
        <w:pStyle w:val="ListBullet"/>
      </w:pPr>
      <w:r w:rsidRPr="00570C02">
        <w:t xml:space="preserve">companion animals </w:t>
      </w:r>
    </w:p>
    <w:p w14:paraId="28FAF149" w14:textId="77777777" w:rsidR="00A52D49" w:rsidRPr="00570C02" w:rsidRDefault="00A52D49" w:rsidP="00A52D49">
      <w:pPr>
        <w:pStyle w:val="ListBullet"/>
      </w:pPr>
      <w:r w:rsidRPr="00570C02">
        <w:t>food and fibre-producing animals</w:t>
      </w:r>
    </w:p>
    <w:p w14:paraId="3E0754F6" w14:textId="77777777" w:rsidR="00A52D49" w:rsidRPr="00570C02" w:rsidRDefault="00A52D49" w:rsidP="00A52D49">
      <w:pPr>
        <w:pStyle w:val="ListBullet"/>
      </w:pPr>
      <w:r w:rsidRPr="00570C02">
        <w:t>performance animals and</w:t>
      </w:r>
    </w:p>
    <w:p w14:paraId="3A533A3C" w14:textId="77777777" w:rsidR="00A52D49" w:rsidRPr="00570C02" w:rsidRDefault="00A52D49" w:rsidP="00A52D49">
      <w:pPr>
        <w:pStyle w:val="ListBullet"/>
      </w:pPr>
      <w:proofErr w:type="gramStart"/>
      <w:r w:rsidRPr="00570C02">
        <w:t>wildlife</w:t>
      </w:r>
      <w:proofErr w:type="gramEnd"/>
      <w:r w:rsidRPr="00570C02">
        <w:t>.</w:t>
      </w:r>
    </w:p>
    <w:p w14:paraId="01B94B4B" w14:textId="443D2401" w:rsidR="00A52D49" w:rsidRPr="00A52D49" w:rsidRDefault="0044620C" w:rsidP="00A52D49">
      <w:pPr>
        <w:pStyle w:val="Heading2"/>
        <w:ind w:left="720" w:hanging="720"/>
      </w:pPr>
      <w:bookmarkStart w:id="11" w:name="_Toc531367682"/>
      <w:bookmarkStart w:id="12" w:name="_Toc1636179"/>
      <w:r w:rsidRPr="00A52D49">
        <w:lastRenderedPageBreak/>
        <w:t>Purpose</w:t>
      </w:r>
      <w:bookmarkEnd w:id="11"/>
      <w:bookmarkEnd w:id="12"/>
    </w:p>
    <w:p w14:paraId="14403E20" w14:textId="77777777" w:rsidR="00A52D49" w:rsidRDefault="00A52D49" w:rsidP="00637B54">
      <w:r>
        <w:t xml:space="preserve">The aim of the AMR Plan is to support implementation of the National AMR Strategy. </w:t>
      </w:r>
      <w:r w:rsidRPr="00570C02">
        <w:t>Planning for the second National AMR Strategy is in progress. Th</w:t>
      </w:r>
      <w:r>
        <w:t>is</w:t>
      </w:r>
      <w:r w:rsidRPr="00570C02">
        <w:t xml:space="preserve"> </w:t>
      </w:r>
      <w:r>
        <w:t>AMR p</w:t>
      </w:r>
      <w:r w:rsidRPr="00570C02">
        <w:t>lan</w:t>
      </w:r>
      <w:r>
        <w:t>, developed in consultation with major animal sector stakeholders in 2018,</w:t>
      </w:r>
      <w:r w:rsidRPr="00570C02">
        <w:t xml:space="preserve"> provide</w:t>
      </w:r>
      <w:r>
        <w:t>s</w:t>
      </w:r>
      <w:r w:rsidRPr="00570C02">
        <w:t xml:space="preserve"> an avenue for the animal sector to </w:t>
      </w:r>
      <w:r>
        <w:t>articulate its priorities for</w:t>
      </w:r>
      <w:r w:rsidRPr="00570C02">
        <w:t xml:space="preserve"> the second </w:t>
      </w:r>
      <w:r>
        <w:t>National AMR S</w:t>
      </w:r>
      <w:r w:rsidRPr="00570C02">
        <w:t>trategy.</w:t>
      </w:r>
    </w:p>
    <w:p w14:paraId="7F9C1D13" w14:textId="77777777" w:rsidR="00A52D49" w:rsidRDefault="00A52D49" w:rsidP="00A52D49">
      <w:pPr>
        <w:spacing w:line="240" w:lineRule="auto"/>
      </w:pPr>
      <w:r>
        <w:rPr>
          <w:noProof/>
          <w:lang w:eastAsia="en-AU"/>
        </w:rPr>
        <w:drawing>
          <wp:inline distT="0" distB="0" distL="0" distR="0" wp14:anchorId="2CA4088B" wp14:editId="4D1067F5">
            <wp:extent cx="5741377" cy="1704975"/>
            <wp:effectExtent l="0" t="0" r="311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3145EBC" w14:textId="25D9DAF6" w:rsidR="00A52D49" w:rsidRPr="00936198" w:rsidRDefault="00A52D49" w:rsidP="00637B54">
      <w:r>
        <w:t>The AMR P</w:t>
      </w:r>
      <w:r w:rsidRPr="00570C02">
        <w:t xml:space="preserve">lan will </w:t>
      </w:r>
      <w:r w:rsidRPr="00936198">
        <w:t xml:space="preserve">allow the animal sector to achieve its strategic objectives in a coordinated manner. </w:t>
      </w:r>
      <w:r>
        <w:t>T</w:t>
      </w:r>
      <w:r w:rsidRPr="00936198">
        <w:t>here is broad acknowledg</w:t>
      </w:r>
      <w:r w:rsidR="00BA4776">
        <w:t>e</w:t>
      </w:r>
      <w:r w:rsidRPr="00936198">
        <w:t>ment of the need to communicate the direction of the animal sector in addressing AMR</w:t>
      </w:r>
      <w:r>
        <w:t xml:space="preserve">, share information and </w:t>
      </w:r>
      <w:r w:rsidRPr="00936198">
        <w:t xml:space="preserve">provide consistent messaging.  </w:t>
      </w:r>
    </w:p>
    <w:p w14:paraId="5F831D73" w14:textId="3428C83D" w:rsidR="00A52D49" w:rsidRPr="00936198" w:rsidRDefault="00A52D49" w:rsidP="00637B54">
      <w:r w:rsidRPr="00936198">
        <w:t>There is increasing recognition that AMR will affect exports of food</w:t>
      </w:r>
      <w:r w:rsidR="00015A16">
        <w:t xml:space="preserve"> animals and food </w:t>
      </w:r>
      <w:r w:rsidRPr="00936198">
        <w:t xml:space="preserve">animal products to international markets. In December 2017, the livestock, veterinary pharmaceutical and animal feed industries voluntarily agreed to the removal of label claims for growth promotion from antimicrobials of importance to human health. The AMR </w:t>
      </w:r>
      <w:r>
        <w:t>P</w:t>
      </w:r>
      <w:r w:rsidRPr="00936198">
        <w:t>lan will facilitate the promotion of such positive initiatives (and counter misinformation), and facilitate the planning and conduct of further actions to reduce the spread of AMR.</w:t>
      </w:r>
    </w:p>
    <w:p w14:paraId="440DA5BC" w14:textId="77777777" w:rsidR="00A52D49" w:rsidRDefault="00A52D49" w:rsidP="00637B54">
      <w:r w:rsidRPr="00570C02">
        <w:t xml:space="preserve">The AMR </w:t>
      </w:r>
      <w:r>
        <w:t>P</w:t>
      </w:r>
      <w:r w:rsidRPr="00570C02">
        <w:t>lan will also support Australian influence in the international arena by providing tangible evidence of the sector’s activities.</w:t>
      </w:r>
      <w:r>
        <w:t xml:space="preserve"> </w:t>
      </w:r>
      <w:r w:rsidRPr="00570C02">
        <w:t xml:space="preserve">Australia needs to collect additional data to provide evidence of activities the animal sector is undertaking to address AMR. While there is limited data on prescribing practices in companion animals, the sector has shown leadership by developing therapeutic guidelines and stewardship programs to </w:t>
      </w:r>
      <w:r>
        <w:t xml:space="preserve">address </w:t>
      </w:r>
      <w:r w:rsidRPr="00570C02">
        <w:t xml:space="preserve">AMR. </w:t>
      </w:r>
    </w:p>
    <w:p w14:paraId="5A9BF8C8" w14:textId="7F07C360" w:rsidR="00A52D49" w:rsidRDefault="00A52D49" w:rsidP="00637B54">
      <w:r w:rsidRPr="00570C02">
        <w:t xml:space="preserve">The </w:t>
      </w:r>
      <w:r>
        <w:t>second</w:t>
      </w:r>
      <w:r w:rsidRPr="00570C02">
        <w:t xml:space="preserve"> National AMR Strategy will focus on an integrated One Health surveillance system, </w:t>
      </w:r>
      <w:r>
        <w:t>through</w:t>
      </w:r>
      <w:r w:rsidRPr="00570C02">
        <w:t xml:space="preserve"> comprehensive human surveillance</w:t>
      </w:r>
      <w:r>
        <w:t xml:space="preserve"> and</w:t>
      </w:r>
      <w:r w:rsidRPr="00570C02">
        <w:t xml:space="preserve"> regular and strategic sampling of the animal </w:t>
      </w:r>
      <w:r>
        <w:t>sector</w:t>
      </w:r>
      <w:r w:rsidRPr="00570C02">
        <w:t>. Th</w:t>
      </w:r>
      <w:r>
        <w:t>e</w:t>
      </w:r>
      <w:r w:rsidRPr="00570C02">
        <w:t xml:space="preserve"> AMR </w:t>
      </w:r>
      <w:r>
        <w:t>P</w:t>
      </w:r>
      <w:r w:rsidRPr="00570C02">
        <w:t>lan will help inform the animal sector’s in</w:t>
      </w:r>
      <w:r>
        <w:t>put into this surveillance system through the second</w:t>
      </w:r>
      <w:r w:rsidRPr="00570C02">
        <w:t xml:space="preserve"> National AMR Strategy.</w:t>
      </w:r>
    </w:p>
    <w:p w14:paraId="778ABC9E" w14:textId="626F20B9" w:rsidR="00A52D49" w:rsidRPr="00A52D49" w:rsidRDefault="007C6BF2" w:rsidP="00A52D49">
      <w:pPr>
        <w:pStyle w:val="Heading2"/>
        <w:ind w:left="720" w:hanging="720"/>
      </w:pPr>
      <w:bookmarkStart w:id="13" w:name="_Toc531367683"/>
      <w:bookmarkStart w:id="14" w:name="_Toc1636180"/>
      <w:r w:rsidRPr="00A52D49">
        <w:lastRenderedPageBreak/>
        <w:t>Objectives</w:t>
      </w:r>
      <w:bookmarkEnd w:id="13"/>
      <w:bookmarkEnd w:id="14"/>
    </w:p>
    <w:p w14:paraId="62935843" w14:textId="02578C7D" w:rsidR="00A52D49" w:rsidRPr="00637B54" w:rsidRDefault="00A52D49" w:rsidP="00637B54">
      <w:r>
        <w:t>T</w:t>
      </w:r>
      <w:r w:rsidRPr="00570C02">
        <w:t>he objectives</w:t>
      </w:r>
      <w:r w:rsidR="00C93385">
        <w:t>,</w:t>
      </w:r>
      <w:r w:rsidRPr="00570C02">
        <w:t xml:space="preserve"> priority areas for action, gaps and challenges, next steps </w:t>
      </w:r>
      <w:r w:rsidR="00C93385">
        <w:t xml:space="preserve">and glossary </w:t>
      </w:r>
      <w:r w:rsidRPr="00570C02">
        <w:t>of this</w:t>
      </w:r>
      <w:r>
        <w:t xml:space="preserve"> </w:t>
      </w:r>
      <w:r w:rsidRPr="00570C02">
        <w:t xml:space="preserve">AMR Plan mirror those of </w:t>
      </w:r>
      <w:r>
        <w:t xml:space="preserve">the </w:t>
      </w:r>
      <w:r w:rsidRPr="00570C02">
        <w:t xml:space="preserve">National </w:t>
      </w:r>
      <w:r>
        <w:t xml:space="preserve">AMR </w:t>
      </w:r>
      <w:r w:rsidRPr="00570C02">
        <w:t>Strategy</w:t>
      </w:r>
      <w:r w:rsidR="00C93385">
        <w:t>.</w:t>
      </w:r>
    </w:p>
    <w:p w14:paraId="3F3A7B82" w14:textId="386CDE9D" w:rsidR="00A52D49" w:rsidRPr="00BD36BD" w:rsidRDefault="0068338A" w:rsidP="00F7576D">
      <w:pPr>
        <w:pStyle w:val="Heading3"/>
      </w:pPr>
      <w:bookmarkStart w:id="15" w:name="_Toc1636181"/>
      <w:r>
        <w:t>Objective</w:t>
      </w:r>
      <w:r w:rsidR="00F7576D" w:rsidRPr="00F7576D">
        <w:t xml:space="preserve"> </w:t>
      </w:r>
      <w:r w:rsidR="00F7576D">
        <w:t xml:space="preserve">1: </w:t>
      </w:r>
      <w:r w:rsidR="00A52D49" w:rsidRPr="00BD36BD">
        <w:t>Increase awareness and understanding of antimicrobial resistance, its implications, and actions to combat it through effective communication, education and trainin</w:t>
      </w:r>
      <w:r>
        <w:t>g</w:t>
      </w:r>
      <w:bookmarkEnd w:id="15"/>
    </w:p>
    <w:p w14:paraId="20EA306A" w14:textId="3E5A49A3" w:rsidR="00A52D49" w:rsidRPr="007C6BF2" w:rsidRDefault="00F7576D" w:rsidP="00F7576D">
      <w:pPr>
        <w:pStyle w:val="Heading4"/>
      </w:pPr>
      <w:bookmarkStart w:id="16" w:name="_Toc519235143"/>
      <w:r>
        <w:t>Priority Areas for Action</w:t>
      </w:r>
    </w:p>
    <w:p w14:paraId="53501844" w14:textId="77777777" w:rsidR="00A52D49" w:rsidRPr="00570C02" w:rsidRDefault="00A52D49" w:rsidP="00F7576D">
      <w:pPr>
        <w:pStyle w:val="ListBullet"/>
      </w:pPr>
      <w:r w:rsidRPr="00570C02">
        <w:t>Initiatives to strengthen public awareness to improve understanding of AMR and the importance of using anti</w:t>
      </w:r>
      <w:r>
        <w:t>microbials</w:t>
      </w:r>
      <w:r w:rsidRPr="00570C02">
        <w:t xml:space="preserve"> appropriately</w:t>
      </w:r>
      <w:bookmarkEnd w:id="16"/>
      <w:r w:rsidRPr="00570C02">
        <w:t xml:space="preserve">, to ensure public health and animal health and welfare. </w:t>
      </w:r>
    </w:p>
    <w:p w14:paraId="42BFC6AA" w14:textId="77777777" w:rsidR="00A52D49" w:rsidRPr="00570C02" w:rsidRDefault="00A52D49" w:rsidP="00F7576D">
      <w:pPr>
        <w:pStyle w:val="ListBullet"/>
      </w:pPr>
      <w:bookmarkStart w:id="17" w:name="_Toc519235146"/>
      <w:r w:rsidRPr="00570C02">
        <w:t>Develop a stakeholder engagement and communication plan to support whole</w:t>
      </w:r>
      <w:r>
        <w:noBreakHyphen/>
      </w:r>
      <w:r w:rsidRPr="00570C02">
        <w:t>of</w:t>
      </w:r>
      <w:r>
        <w:noBreakHyphen/>
      </w:r>
      <w:r w:rsidRPr="00570C02">
        <w:t>society awareness of, and participation in</w:t>
      </w:r>
      <w:r>
        <w:t>,</w:t>
      </w:r>
      <w:r w:rsidRPr="00570C02">
        <w:t xml:space="preserve"> implementing the </w:t>
      </w:r>
      <w:bookmarkEnd w:id="17"/>
      <w:r>
        <w:t xml:space="preserve">AMR </w:t>
      </w:r>
      <w:r w:rsidRPr="00570C02">
        <w:t xml:space="preserve">Plan. </w:t>
      </w:r>
    </w:p>
    <w:p w14:paraId="5235390E" w14:textId="6F4ECBFB" w:rsidR="00A52D49" w:rsidRPr="00570C02" w:rsidRDefault="00406516" w:rsidP="00F7576D">
      <w:pPr>
        <w:pStyle w:val="ListBullet"/>
      </w:pPr>
      <w:r>
        <w:t>Strengthen communication and on</w:t>
      </w:r>
      <w:r w:rsidR="00A52D49" w:rsidRPr="00570C02">
        <w:t>going education initiatives for veterinary surgeo</w:t>
      </w:r>
      <w:r>
        <w:t>ns boards, veterinarians (under</w:t>
      </w:r>
      <w:r w:rsidR="00A52D49" w:rsidRPr="00570C02">
        <w:t xml:space="preserve">graduate and post-graduate, </w:t>
      </w:r>
      <w:r w:rsidR="00A52D49">
        <w:t xml:space="preserve">potentially </w:t>
      </w:r>
      <w:r w:rsidR="00A52D49" w:rsidRPr="00570C02">
        <w:t>as part of mandatory continuing professional development) and allied health professionals (including the veterinary pharmaceutical industry).</w:t>
      </w:r>
    </w:p>
    <w:p w14:paraId="5EDAAAFF" w14:textId="77777777" w:rsidR="00A52D49" w:rsidRPr="00570C02" w:rsidRDefault="00A52D49" w:rsidP="00F7576D">
      <w:pPr>
        <w:pStyle w:val="ListBullet"/>
      </w:pPr>
      <w:r w:rsidRPr="00570C02">
        <w:t>Development of coordinated messaging for the animal sector on current low rates of AMR, proactive approaches to combat AMR and appropriate AMU.</w:t>
      </w:r>
    </w:p>
    <w:p w14:paraId="05DEDB79" w14:textId="77777777" w:rsidR="00A52D49" w:rsidRPr="007C6BF2" w:rsidRDefault="00A52D49" w:rsidP="00F7576D">
      <w:pPr>
        <w:pStyle w:val="Heading4"/>
      </w:pPr>
      <w:r w:rsidRPr="007C6BF2">
        <w:t>Gaps and Challenges</w:t>
      </w:r>
    </w:p>
    <w:p w14:paraId="51965479" w14:textId="183C7534" w:rsidR="00A52D49" w:rsidRPr="00570C02" w:rsidRDefault="00A52D49" w:rsidP="00F7576D">
      <w:pPr>
        <w:pStyle w:val="ListBullet"/>
      </w:pPr>
      <w:r>
        <w:t>O</w:t>
      </w:r>
      <w:r w:rsidRPr="00570C02">
        <w:t>ptions for improving AMR-related education of animal health professionals throughout their career</w:t>
      </w:r>
      <w:r w:rsidR="00ED0D1C">
        <w:t xml:space="preserve"> (</w:t>
      </w:r>
      <w:r w:rsidRPr="00570C02">
        <w:t>analysis of course content offered by universities, colleges and professional bodies to identify gaps and the need for new and/or revised content on AMR</w:t>
      </w:r>
      <w:r>
        <w:t>)</w:t>
      </w:r>
      <w:r w:rsidRPr="00570C02">
        <w:t>.</w:t>
      </w:r>
    </w:p>
    <w:p w14:paraId="0F33838C" w14:textId="77777777" w:rsidR="00A52D49" w:rsidRPr="00570C02" w:rsidRDefault="00A52D49" w:rsidP="00F7576D">
      <w:pPr>
        <w:pStyle w:val="ListBullet"/>
      </w:pPr>
      <w:r w:rsidRPr="00570C02">
        <w:t>Identify further opportunities to improve education and training provided to prescribers in relation to appropriate anti</w:t>
      </w:r>
      <w:r>
        <w:t>microbial</w:t>
      </w:r>
      <w:r w:rsidRPr="00570C02">
        <w:t xml:space="preserve"> prescr</w:t>
      </w:r>
      <w:r>
        <w:t>ibing, such as the delivery of c</w:t>
      </w:r>
      <w:r w:rsidRPr="00570C02">
        <w:t xml:space="preserve">ontinuing </w:t>
      </w:r>
      <w:r>
        <w:t>professional d</w:t>
      </w:r>
      <w:r w:rsidRPr="00570C02">
        <w:t xml:space="preserve">evelopment programs. </w:t>
      </w:r>
    </w:p>
    <w:p w14:paraId="464A4051" w14:textId="77777777" w:rsidR="00A52D49" w:rsidRPr="00570C02" w:rsidRDefault="00A52D49" w:rsidP="00F7576D">
      <w:pPr>
        <w:pStyle w:val="ListBullet"/>
      </w:pPr>
      <w:r w:rsidRPr="00570C02">
        <w:t>Develop options to ensure pet owners</w:t>
      </w:r>
      <w:r>
        <w:t>, farmers</w:t>
      </w:r>
      <w:r w:rsidRPr="00570C02">
        <w:t xml:space="preserve"> and</w:t>
      </w:r>
      <w:r>
        <w:t xml:space="preserve"> general community</w:t>
      </w:r>
      <w:r w:rsidRPr="00570C02">
        <w:t xml:space="preserve"> have access to relevant, reliable and targeted information about AMR, including risks and their roles and responsibilities.</w:t>
      </w:r>
    </w:p>
    <w:p w14:paraId="29922E95" w14:textId="77777777" w:rsidR="00A52D49" w:rsidRPr="007C6BF2" w:rsidRDefault="00A52D49" w:rsidP="00F7576D">
      <w:pPr>
        <w:pStyle w:val="Heading4"/>
      </w:pPr>
      <w:r w:rsidRPr="007C6BF2">
        <w:t>Next Steps</w:t>
      </w:r>
    </w:p>
    <w:p w14:paraId="6811C4B9" w14:textId="44E3CA4B" w:rsidR="00A52D49" w:rsidRPr="00570C02" w:rsidRDefault="00A52D49" w:rsidP="00F7576D">
      <w:pPr>
        <w:pStyle w:val="ListBullet"/>
      </w:pPr>
      <w:r w:rsidRPr="00570C02">
        <w:t xml:space="preserve">Develop a </w:t>
      </w:r>
      <w:r w:rsidR="00406516">
        <w:t>communication</w:t>
      </w:r>
      <w:r w:rsidRPr="00570C02">
        <w:t xml:space="preserve"> plan with identification of target audiences (companion animal sector, performance animal sector, livestock sector, aquatic and marine animal sectors, retailers and general public); key and sector-specific messages. </w:t>
      </w:r>
    </w:p>
    <w:p w14:paraId="0CB4C8B3" w14:textId="77777777" w:rsidR="00A52D49" w:rsidRPr="00570C02" w:rsidRDefault="00A52D49" w:rsidP="00F7576D">
      <w:pPr>
        <w:pStyle w:val="ListBullet"/>
      </w:pPr>
      <w:r w:rsidRPr="00570C02">
        <w:t>Develop a stakeholder engagement plan and develop a narrative</w:t>
      </w:r>
      <w:r>
        <w:t xml:space="preserve"> for s</w:t>
      </w:r>
      <w:r w:rsidRPr="00570C02">
        <w:t xml:space="preserve">ocial </w:t>
      </w:r>
      <w:r>
        <w:t>l</w:t>
      </w:r>
      <w:r w:rsidRPr="00570C02">
        <w:t xml:space="preserve">icence </w:t>
      </w:r>
      <w:r>
        <w:t xml:space="preserve">on the </w:t>
      </w:r>
      <w:r w:rsidRPr="00570C02">
        <w:t>appropriate use of antimicrobials.</w:t>
      </w:r>
    </w:p>
    <w:p w14:paraId="0E842630" w14:textId="77777777" w:rsidR="00A52D49" w:rsidRPr="00570C02" w:rsidRDefault="00A52D49" w:rsidP="00F7576D">
      <w:pPr>
        <w:pStyle w:val="ListBullet"/>
      </w:pPr>
      <w:r w:rsidRPr="00570C02">
        <w:t xml:space="preserve">Develop a register of activities underway or completed (including in wildlife) to raise awareness of these activities and to avoid duplication. </w:t>
      </w:r>
    </w:p>
    <w:p w14:paraId="7EB9CAE3" w14:textId="77777777" w:rsidR="00A52D49" w:rsidRPr="00570C02" w:rsidRDefault="00A52D49" w:rsidP="00F7576D">
      <w:pPr>
        <w:pStyle w:val="ListBullet"/>
      </w:pPr>
      <w:r w:rsidRPr="00570C02">
        <w:t>Develop</w:t>
      </w:r>
      <w:r>
        <w:t xml:space="preserve"> and </w:t>
      </w:r>
      <w:r w:rsidRPr="00570C02">
        <w:t xml:space="preserve">implement programs to encourage ongoing </w:t>
      </w:r>
      <w:r>
        <w:t xml:space="preserve">stakeholder </w:t>
      </w:r>
      <w:r w:rsidRPr="00570C02">
        <w:t>engagement.</w:t>
      </w:r>
    </w:p>
    <w:p w14:paraId="38A9634C" w14:textId="6C53A44B" w:rsidR="00A52D49" w:rsidRPr="00570C02" w:rsidRDefault="00A52D49" w:rsidP="00F7576D">
      <w:pPr>
        <w:pStyle w:val="ListBullet"/>
      </w:pPr>
      <w:r w:rsidRPr="00570C02">
        <w:t xml:space="preserve">Ensure ongoing engagement and feedback to ensure that there is undergraduate training </w:t>
      </w:r>
      <w:r w:rsidR="00322259">
        <w:t xml:space="preserve">and </w:t>
      </w:r>
      <w:r w:rsidRPr="00570C02">
        <w:t>on-the-job training.</w:t>
      </w:r>
    </w:p>
    <w:p w14:paraId="71DC8ACB" w14:textId="2B566473" w:rsidR="00A52D49" w:rsidRPr="00BF0082" w:rsidRDefault="0068338A" w:rsidP="00BF0082">
      <w:pPr>
        <w:pStyle w:val="Heading3"/>
      </w:pPr>
      <w:bookmarkStart w:id="18" w:name="_Toc1636182"/>
      <w:r>
        <w:lastRenderedPageBreak/>
        <w:t>Objective</w:t>
      </w:r>
      <w:r w:rsidR="00BF0082" w:rsidRPr="00F7576D">
        <w:t xml:space="preserve"> </w:t>
      </w:r>
      <w:r w:rsidR="00BF0082">
        <w:t xml:space="preserve">2: </w:t>
      </w:r>
      <w:r w:rsidR="00A52D49" w:rsidRPr="00BD36BD">
        <w:t>Implement effective antimicrobial stewardship practices across animal care settings to ensure appropriate and judicious prescribing, dispensing and administering of antimicrobials</w:t>
      </w:r>
      <w:bookmarkEnd w:id="18"/>
    </w:p>
    <w:p w14:paraId="34C58F99" w14:textId="77777777" w:rsidR="00A52D49" w:rsidRPr="007C6BF2" w:rsidRDefault="00A52D49" w:rsidP="007C6BF2">
      <w:pPr>
        <w:spacing w:line="240" w:lineRule="auto"/>
      </w:pPr>
      <w:bookmarkStart w:id="19" w:name="_Toc293832530"/>
      <w:bookmarkStart w:id="20" w:name="_Toc293832637"/>
      <w:r w:rsidRPr="007C6BF2">
        <w:t>Priority Areas for Action</w:t>
      </w:r>
      <w:bookmarkEnd w:id="19"/>
      <w:bookmarkEnd w:id="20"/>
      <w:r w:rsidRPr="007C6BF2">
        <w:t xml:space="preserve"> </w:t>
      </w:r>
    </w:p>
    <w:p w14:paraId="1A22B22E" w14:textId="77777777" w:rsidR="00A52D49" w:rsidRPr="00570C02" w:rsidRDefault="00A52D49" w:rsidP="00B87D6B">
      <w:pPr>
        <w:pStyle w:val="ListBullet"/>
      </w:pPr>
      <w:bookmarkStart w:id="21" w:name="_Toc519235147"/>
      <w:r w:rsidRPr="00570C02">
        <w:t>Ensure that tailored, evidence-based, nationally-consistent anti</w:t>
      </w:r>
      <w:r>
        <w:t>microbial</w:t>
      </w:r>
      <w:r w:rsidRPr="00570C02">
        <w:t xml:space="preserve"> prescribing guidelines—underpinned by harmonised legislation and regulations—are developed</w:t>
      </w:r>
      <w:bookmarkEnd w:id="21"/>
      <w:r>
        <w:t>.</w:t>
      </w:r>
      <w:r w:rsidRPr="00570C02">
        <w:t xml:space="preserve"> </w:t>
      </w:r>
      <w:bookmarkStart w:id="22" w:name="_Toc519235148"/>
    </w:p>
    <w:p w14:paraId="401A6122" w14:textId="77777777" w:rsidR="00A52D49" w:rsidRPr="00570C02" w:rsidRDefault="00A52D49" w:rsidP="00B87D6B">
      <w:pPr>
        <w:pStyle w:val="ListBullet"/>
      </w:pPr>
      <w:r>
        <w:t>Nationally consistent,</w:t>
      </w:r>
      <w:r w:rsidRPr="00570C02">
        <w:t xml:space="preserve"> evidence-based</w:t>
      </w:r>
      <w:r>
        <w:t>,</w:t>
      </w:r>
      <w:r w:rsidRPr="00570C02">
        <w:t xml:space="preserve"> best-practice approaches to AMS across</w:t>
      </w:r>
      <w:r>
        <w:t xml:space="preserve"> components of the </w:t>
      </w:r>
      <w:r w:rsidRPr="00570C02">
        <w:t xml:space="preserve">animal </w:t>
      </w:r>
      <w:r>
        <w:t>sector</w:t>
      </w:r>
      <w:bookmarkEnd w:id="22"/>
      <w:r w:rsidRPr="00570C02">
        <w:t xml:space="preserve">. </w:t>
      </w:r>
    </w:p>
    <w:p w14:paraId="4F0D27B2" w14:textId="77777777" w:rsidR="00A52D49" w:rsidRPr="00570C02" w:rsidRDefault="00A52D49" w:rsidP="00B87D6B">
      <w:pPr>
        <w:pStyle w:val="ListBullet"/>
      </w:pPr>
      <w:bookmarkStart w:id="23" w:name="_Toc519235150"/>
      <w:r w:rsidRPr="00570C02">
        <w:t>Review existing accreditation and quality assurance programs across sectors to ensure they appropriately support and encourage compliance with best practice AMS approaches</w:t>
      </w:r>
      <w:bookmarkEnd w:id="23"/>
      <w:r>
        <w:t>,</w:t>
      </w:r>
      <w:r w:rsidRPr="00570C02">
        <w:t xml:space="preserve"> and identify gaps where programs do not exist.  </w:t>
      </w:r>
    </w:p>
    <w:p w14:paraId="46B8C968" w14:textId="77777777" w:rsidR="00A52D49" w:rsidRPr="007C6BF2" w:rsidRDefault="00A52D49" w:rsidP="007C6BF2">
      <w:pPr>
        <w:spacing w:line="240" w:lineRule="auto"/>
      </w:pPr>
      <w:r w:rsidRPr="007C6BF2">
        <w:t>Gaps and Challenges</w:t>
      </w:r>
    </w:p>
    <w:p w14:paraId="3A136A48" w14:textId="77777777" w:rsidR="00A52D49" w:rsidRPr="00570C02" w:rsidRDefault="00A52D49" w:rsidP="00B87D6B">
      <w:pPr>
        <w:pStyle w:val="ListBullet"/>
      </w:pPr>
      <w:r>
        <w:t>The a</w:t>
      </w:r>
      <w:r w:rsidRPr="00570C02">
        <w:t>vailability of evidence-based and standardised best practice prescribing guidelines for the use of anti</w:t>
      </w:r>
      <w:r>
        <w:t>microbials</w:t>
      </w:r>
      <w:r w:rsidRPr="00570C02">
        <w:t xml:space="preserve"> in animal health in Australia to complement other AMS initiatives.</w:t>
      </w:r>
    </w:p>
    <w:p w14:paraId="15E11B49" w14:textId="77777777" w:rsidR="00A52D49" w:rsidRPr="00570C02" w:rsidRDefault="00A52D49" w:rsidP="00B87D6B">
      <w:pPr>
        <w:pStyle w:val="ListBullet"/>
      </w:pPr>
      <w:r w:rsidRPr="00570C02">
        <w:t>Clear guidelines to ensure responsible use and provide a framework for auditable record keeping</w:t>
      </w:r>
      <w:r>
        <w:t>,</w:t>
      </w:r>
      <w:r w:rsidRPr="00570C02">
        <w:t xml:space="preserve"> aligned with OIE data reporting requirements to demonstrate responsible use.</w:t>
      </w:r>
    </w:p>
    <w:p w14:paraId="77E06BCD" w14:textId="77777777" w:rsidR="00A52D49" w:rsidRPr="00570C02" w:rsidRDefault="00A52D49" w:rsidP="00B87D6B">
      <w:pPr>
        <w:pStyle w:val="ListBullet"/>
      </w:pPr>
      <w:r w:rsidRPr="00570C02">
        <w:t>Establishing AMS programs for those sectors that do not have one.</w:t>
      </w:r>
    </w:p>
    <w:p w14:paraId="77947EB9" w14:textId="77777777" w:rsidR="00A52D49" w:rsidRPr="00570C02" w:rsidRDefault="00A52D49" w:rsidP="00B87D6B">
      <w:pPr>
        <w:pStyle w:val="ListBullet"/>
      </w:pPr>
      <w:r w:rsidRPr="00570C02">
        <w:t xml:space="preserve">Incentivising the implementation of AMS programs </w:t>
      </w:r>
      <w:r>
        <w:t>by</w:t>
      </w:r>
      <w:r w:rsidRPr="00570C02">
        <w:t xml:space="preserve"> veterinary practices </w:t>
      </w:r>
      <w:r>
        <w:t>t</w:t>
      </w:r>
      <w:r w:rsidRPr="00570C02">
        <w:t>o ensure widespread uptake.</w:t>
      </w:r>
    </w:p>
    <w:p w14:paraId="16CE64BD" w14:textId="739DEE90" w:rsidR="00A52D49" w:rsidRPr="00570C02" w:rsidRDefault="00A52D49" w:rsidP="00B87D6B">
      <w:pPr>
        <w:pStyle w:val="ListBullet"/>
      </w:pPr>
      <w:r w:rsidRPr="00570C02">
        <w:t>Accreditation</w:t>
      </w:r>
      <w:r>
        <w:t xml:space="preserve"> of veterinary </w:t>
      </w:r>
      <w:r w:rsidRPr="00570C02">
        <w:t>p</w:t>
      </w:r>
      <w:r>
        <w:t>ractices</w:t>
      </w:r>
      <w:r w:rsidRPr="00570C02">
        <w:t xml:space="preserve"> to demonstrate how they are implementing the Code</w:t>
      </w:r>
      <w:r>
        <w:t>s</w:t>
      </w:r>
      <w:r w:rsidRPr="00570C02">
        <w:t xml:space="preserve"> of Practice and</w:t>
      </w:r>
      <w:r>
        <w:t xml:space="preserve"> appropriate use of antimicrobials. Challenges include: determining how </w:t>
      </w:r>
      <w:r w:rsidRPr="00570C02">
        <w:t>compliance</w:t>
      </w:r>
      <w:r>
        <w:t xml:space="preserve"> would be enforced; </w:t>
      </w:r>
      <w:r w:rsidRPr="00570C02">
        <w:t xml:space="preserve">how stewardship </w:t>
      </w:r>
      <w:r>
        <w:t xml:space="preserve">would be </w:t>
      </w:r>
      <w:r w:rsidRPr="00570C02">
        <w:t>measured</w:t>
      </w:r>
      <w:r>
        <w:t xml:space="preserve">; identifying the </w:t>
      </w:r>
      <w:r w:rsidRPr="00570C02">
        <w:t>accredit</w:t>
      </w:r>
      <w:r>
        <w:t>ing</w:t>
      </w:r>
      <w:r w:rsidRPr="00570C02">
        <w:t xml:space="preserve"> </w:t>
      </w:r>
      <w:r>
        <w:t>authority; identifying</w:t>
      </w:r>
      <w:r w:rsidRPr="00570C02">
        <w:t xml:space="preserve"> triggers for investigating individuals or practices</w:t>
      </w:r>
      <w:r>
        <w:t xml:space="preserve">; determining </w:t>
      </w:r>
      <w:r w:rsidRPr="00570C02">
        <w:t>how non-compliance</w:t>
      </w:r>
      <w:r>
        <w:t xml:space="preserve"> </w:t>
      </w:r>
      <w:r w:rsidR="00406516">
        <w:t xml:space="preserve">would </w:t>
      </w:r>
      <w:r>
        <w:t>be measured</w:t>
      </w:r>
      <w:r w:rsidRPr="00570C02">
        <w:t xml:space="preserve">. </w:t>
      </w:r>
    </w:p>
    <w:p w14:paraId="06FB5EEF" w14:textId="77777777" w:rsidR="00A52D49" w:rsidRPr="007C6BF2" w:rsidRDefault="00A52D49" w:rsidP="007C6BF2">
      <w:pPr>
        <w:spacing w:line="240" w:lineRule="auto"/>
      </w:pPr>
      <w:r w:rsidRPr="007C6BF2">
        <w:t>Next Steps</w:t>
      </w:r>
    </w:p>
    <w:p w14:paraId="7475BA1B" w14:textId="03B4648E" w:rsidR="00A52D49" w:rsidRPr="00570C02" w:rsidRDefault="00A52D49" w:rsidP="00B87D6B">
      <w:pPr>
        <w:pStyle w:val="ListBullet"/>
      </w:pPr>
      <w:r w:rsidRPr="00570C02">
        <w:t xml:space="preserve">Explore options to support the implementation of AMS programs </w:t>
      </w:r>
      <w:r w:rsidRPr="00015A16">
        <w:t>and best</w:t>
      </w:r>
      <w:r w:rsidR="00015A16" w:rsidRPr="00015A16">
        <w:t xml:space="preserve"> </w:t>
      </w:r>
      <w:r w:rsidRPr="00015A16">
        <w:t>practice AMU</w:t>
      </w:r>
      <w:r w:rsidRPr="00570C02">
        <w:t xml:space="preserve"> policies through accreditation </w:t>
      </w:r>
      <w:r>
        <w:t xml:space="preserve">of </w:t>
      </w:r>
      <w:r w:rsidRPr="00570C02">
        <w:t xml:space="preserve">and </w:t>
      </w:r>
      <w:r>
        <w:t>developing</w:t>
      </w:r>
      <w:r w:rsidRPr="00570C02">
        <w:t xml:space="preserve"> standards for veterinar</w:t>
      </w:r>
      <w:r>
        <w:t xml:space="preserve">y practices </w:t>
      </w:r>
      <w:r w:rsidRPr="00570C02">
        <w:t>and supporting</w:t>
      </w:r>
      <w:r>
        <w:t xml:space="preserve"> animal</w:t>
      </w:r>
      <w:r w:rsidRPr="00570C02">
        <w:t xml:space="preserve"> industries.</w:t>
      </w:r>
    </w:p>
    <w:p w14:paraId="6371A25B" w14:textId="77777777" w:rsidR="00A52D49" w:rsidRPr="00570C02" w:rsidRDefault="00A52D49" w:rsidP="00B87D6B">
      <w:pPr>
        <w:pStyle w:val="ListBullet"/>
      </w:pPr>
      <w:r w:rsidRPr="00570C02">
        <w:t>Encourage the adoption of electronic reporting systems that will enable the collection and analysis of anti</w:t>
      </w:r>
      <w:r>
        <w:t xml:space="preserve">microbial </w:t>
      </w:r>
      <w:r w:rsidRPr="00570C02">
        <w:t xml:space="preserve">prescribing data, to identify variation from recommended guidelines and inform areas for improvement. Explore options to incentivise adoption of a reporting system. Explore data mining from existing software. </w:t>
      </w:r>
    </w:p>
    <w:p w14:paraId="196E6357" w14:textId="77777777" w:rsidR="00A52D49" w:rsidRPr="00570C02" w:rsidRDefault="00A52D49" w:rsidP="00B87D6B">
      <w:pPr>
        <w:pStyle w:val="ListBullet"/>
      </w:pPr>
      <w:r w:rsidRPr="00570C02">
        <w:t xml:space="preserve">Apply data from research relating to the sale of antimicrobials, their consumption and usage patterns and interventions to change prescribing behaviour to inform the development and implementation of AMS initiatives. </w:t>
      </w:r>
    </w:p>
    <w:p w14:paraId="3AE5B1C2" w14:textId="001184C9" w:rsidR="00A52D49" w:rsidRPr="00570C02" w:rsidRDefault="00A52D49" w:rsidP="00B87D6B">
      <w:pPr>
        <w:pStyle w:val="ListBullet"/>
      </w:pPr>
      <w:r w:rsidRPr="00570C02">
        <w:t xml:space="preserve">Support efforts to harmonise </w:t>
      </w:r>
      <w:r>
        <w:t xml:space="preserve">national </w:t>
      </w:r>
      <w:r w:rsidRPr="00570C02">
        <w:t xml:space="preserve">veterinary compounding and prescribing rights to enable </w:t>
      </w:r>
      <w:r>
        <w:t xml:space="preserve">more effective </w:t>
      </w:r>
      <w:r w:rsidRPr="00570C02">
        <w:t>regulat</w:t>
      </w:r>
      <w:r>
        <w:t>ion of AMU.</w:t>
      </w:r>
    </w:p>
    <w:p w14:paraId="14469FC1" w14:textId="51AE5F8F" w:rsidR="00A52D49" w:rsidRPr="00BF0082" w:rsidRDefault="0068338A" w:rsidP="00BF0082">
      <w:pPr>
        <w:pStyle w:val="Heading3"/>
      </w:pPr>
      <w:bookmarkStart w:id="24" w:name="_Toc1636183"/>
      <w:r>
        <w:t>Objective</w:t>
      </w:r>
      <w:r w:rsidR="00BF0082" w:rsidRPr="00F7576D">
        <w:t xml:space="preserve"> </w:t>
      </w:r>
      <w:r w:rsidR="00BF0082">
        <w:t xml:space="preserve">3: </w:t>
      </w:r>
      <w:r w:rsidR="00A52D49" w:rsidRPr="00BD36BD">
        <w:t>Develop nationally coordinated One Health surveillance of antimicrobial resistance and antimicrobial usage</w:t>
      </w:r>
      <w:bookmarkEnd w:id="24"/>
    </w:p>
    <w:p w14:paraId="746B71B9" w14:textId="77777777" w:rsidR="00A52D49" w:rsidRPr="007C6BF2" w:rsidRDefault="00A52D49" w:rsidP="007C6BF2">
      <w:pPr>
        <w:spacing w:line="240" w:lineRule="auto"/>
      </w:pPr>
      <w:bookmarkStart w:id="25" w:name="_Toc293832533"/>
      <w:bookmarkStart w:id="26" w:name="_Toc293832640"/>
      <w:r w:rsidRPr="007C6BF2">
        <w:t>Priority Areas for Action</w:t>
      </w:r>
      <w:bookmarkEnd w:id="25"/>
      <w:bookmarkEnd w:id="26"/>
      <w:r w:rsidRPr="007C6BF2">
        <w:t xml:space="preserve"> </w:t>
      </w:r>
    </w:p>
    <w:p w14:paraId="58F6B267" w14:textId="77777777" w:rsidR="00A52D49" w:rsidRPr="00570C02" w:rsidRDefault="00A52D49" w:rsidP="00B87D6B">
      <w:pPr>
        <w:pStyle w:val="ListBullet"/>
      </w:pPr>
      <w:bookmarkStart w:id="27" w:name="_Toc519235152"/>
      <w:r w:rsidRPr="00570C02">
        <w:lastRenderedPageBreak/>
        <w:t>Establish the foundations for national animal sector surveillance</w:t>
      </w:r>
      <w:bookmarkEnd w:id="27"/>
      <w:r w:rsidRPr="00570C02">
        <w:t xml:space="preserve"> for AMR and AMU to facilitate a nationwide program for transparent surveillance, reporting and data analysis.</w:t>
      </w:r>
    </w:p>
    <w:p w14:paraId="0B26FE5A" w14:textId="77777777" w:rsidR="00A52D49" w:rsidRPr="00570C02" w:rsidRDefault="00A52D49" w:rsidP="00B87D6B">
      <w:pPr>
        <w:pStyle w:val="ListBullet"/>
      </w:pPr>
      <w:r w:rsidRPr="00570C02">
        <w:t>Agree on the objectives of surveillance for each component of the animal sector</w:t>
      </w:r>
      <w:r>
        <w:t>,</w:t>
      </w:r>
      <w:r w:rsidRPr="00570C02">
        <w:t xml:space="preserve"> to align with the overarching objectives for the national One Health surveillance system. </w:t>
      </w:r>
    </w:p>
    <w:p w14:paraId="71F86981" w14:textId="77777777" w:rsidR="00A52D49" w:rsidRPr="00570C02" w:rsidRDefault="00A52D49" w:rsidP="00B87D6B">
      <w:pPr>
        <w:pStyle w:val="ListBullet"/>
      </w:pPr>
      <w:r w:rsidRPr="00570C02">
        <w:t xml:space="preserve">Develop animal sector list of priority organisms and associated antimicrobials for national reporting. </w:t>
      </w:r>
    </w:p>
    <w:p w14:paraId="61F47D83" w14:textId="6934CC47" w:rsidR="00A52D49" w:rsidRPr="00570C02" w:rsidRDefault="00A52D49" w:rsidP="00B87D6B">
      <w:pPr>
        <w:pStyle w:val="ListBullet"/>
      </w:pPr>
      <w:r w:rsidRPr="00570C02">
        <w:t xml:space="preserve">Agree </w:t>
      </w:r>
      <w:r w:rsidR="00322259">
        <w:t>to</w:t>
      </w:r>
      <w:r w:rsidRPr="00570C02">
        <w:t xml:space="preserve"> a uniform standard for laboratory testing of antibacterial susceptibility. </w:t>
      </w:r>
    </w:p>
    <w:p w14:paraId="7B7FE9F8" w14:textId="77777777" w:rsidR="00A52D49" w:rsidRPr="00570C02" w:rsidRDefault="00A52D49" w:rsidP="00B87D6B">
      <w:pPr>
        <w:pStyle w:val="ListBullet"/>
      </w:pPr>
      <w:r w:rsidRPr="00570C02">
        <w:t xml:space="preserve">Improve surveillance of AMR and AMU in animals. </w:t>
      </w:r>
    </w:p>
    <w:p w14:paraId="753FD80F" w14:textId="77777777" w:rsidR="00A52D49" w:rsidRPr="00570C02" w:rsidRDefault="00A52D49" w:rsidP="007C6BF2">
      <w:pPr>
        <w:spacing w:line="240" w:lineRule="auto"/>
        <w:rPr>
          <w:b/>
        </w:rPr>
      </w:pPr>
      <w:r w:rsidRPr="007C6BF2">
        <w:t>Gaps and Challenges</w:t>
      </w:r>
    </w:p>
    <w:p w14:paraId="2D50B927" w14:textId="77777777" w:rsidR="00A52D49" w:rsidRPr="00570C02" w:rsidRDefault="00A52D49" w:rsidP="00B87D6B">
      <w:pPr>
        <w:pStyle w:val="ListBullet"/>
      </w:pPr>
      <w:r w:rsidRPr="00570C02">
        <w:t>Establishing a national, integrated, funded, sustainable and ongoing One Health AMR and AMU surveillance system that also caters for the notification of AMR isolates from all components of the animal sector.</w:t>
      </w:r>
    </w:p>
    <w:p w14:paraId="0CDBD0D5" w14:textId="372146A7" w:rsidR="00A52D49" w:rsidRPr="00570C02" w:rsidRDefault="00A52D49" w:rsidP="00B87D6B">
      <w:pPr>
        <w:pStyle w:val="ListBullet"/>
      </w:pPr>
      <w:r w:rsidRPr="00570C02">
        <w:t>Lack of quantitative data on AMU for each animal species, including objectives of data collection, agreement on what data to colle</w:t>
      </w:r>
      <w:r w:rsidR="00322259">
        <w:t>ct and means to collect the data</w:t>
      </w:r>
      <w:r w:rsidRPr="00570C02">
        <w:t>.</w:t>
      </w:r>
    </w:p>
    <w:p w14:paraId="67E72FAD" w14:textId="77777777" w:rsidR="00A52D49" w:rsidRPr="00570C02" w:rsidRDefault="00A52D49" w:rsidP="00B87D6B">
      <w:pPr>
        <w:pStyle w:val="ListBullet"/>
      </w:pPr>
      <w:r w:rsidRPr="00570C02">
        <w:t>Ongoing and strategic (rather than ad hoc) surveillance of AMR and AMU in animals, including companion and performance animals.</w:t>
      </w:r>
    </w:p>
    <w:p w14:paraId="2B1CF7CF" w14:textId="77777777" w:rsidR="00A52D49" w:rsidRPr="00570C02" w:rsidRDefault="00A52D49" w:rsidP="00B87D6B">
      <w:pPr>
        <w:pStyle w:val="ListBullet"/>
      </w:pPr>
      <w:r>
        <w:t>Options for</w:t>
      </w:r>
      <w:r w:rsidRPr="00570C02">
        <w:t xml:space="preserve"> </w:t>
      </w:r>
      <w:r>
        <w:t xml:space="preserve">all </w:t>
      </w:r>
      <w:r w:rsidRPr="00570C02">
        <w:t>diagnostic laboratories to apply uniform antibacterial susceptibility testing methods and reporting standards</w:t>
      </w:r>
      <w:r w:rsidRPr="008F5526">
        <w:t xml:space="preserve"> </w:t>
      </w:r>
      <w:r>
        <w:t>t</w:t>
      </w:r>
      <w:r w:rsidRPr="00570C02">
        <w:t>o facilitate data comparison.</w:t>
      </w:r>
    </w:p>
    <w:p w14:paraId="115B92A0" w14:textId="77777777" w:rsidR="00A52D49" w:rsidRPr="00570C02" w:rsidRDefault="00A52D49" w:rsidP="00B87D6B">
      <w:pPr>
        <w:pStyle w:val="ListBullet"/>
      </w:pPr>
      <w:r>
        <w:t>Options for f</w:t>
      </w:r>
      <w:r w:rsidRPr="00570C02">
        <w:t>it-for-purpose IT infrastructure to deliver real-time data integration and sharing across sectors (human health, food and animal health) to enable appropriate interventions and responses.</w:t>
      </w:r>
    </w:p>
    <w:p w14:paraId="0114B01D" w14:textId="77777777" w:rsidR="00A52D49" w:rsidRPr="00570C02" w:rsidRDefault="00A52D49" w:rsidP="00B87D6B">
      <w:pPr>
        <w:pStyle w:val="ListBullet"/>
      </w:pPr>
      <w:r>
        <w:t>Potential p</w:t>
      </w:r>
      <w:r w:rsidRPr="00570C02">
        <w:t xml:space="preserve">rivacy </w:t>
      </w:r>
      <w:r>
        <w:t>issues</w:t>
      </w:r>
      <w:r w:rsidRPr="00570C02">
        <w:t xml:space="preserve"> and commercial sensitivities which </w:t>
      </w:r>
      <w:r>
        <w:t xml:space="preserve">could </w:t>
      </w:r>
      <w:r w:rsidRPr="00570C02">
        <w:t xml:space="preserve">affect some data. </w:t>
      </w:r>
    </w:p>
    <w:p w14:paraId="11B4ED8E" w14:textId="77777777" w:rsidR="00A52D49" w:rsidRPr="007C6BF2" w:rsidRDefault="00A52D49" w:rsidP="007C6BF2">
      <w:pPr>
        <w:spacing w:line="240" w:lineRule="auto"/>
      </w:pPr>
      <w:r w:rsidRPr="007C6BF2">
        <w:t>Next Steps</w:t>
      </w:r>
    </w:p>
    <w:p w14:paraId="650A09B9" w14:textId="77777777" w:rsidR="00A52D49" w:rsidRPr="00570C02" w:rsidRDefault="00A52D49" w:rsidP="00B87D6B">
      <w:pPr>
        <w:pStyle w:val="ListBullet"/>
      </w:pPr>
      <w:r w:rsidRPr="00570C02">
        <w:t xml:space="preserve">Use recommendations from recent reviews and reports to inform AMR and AMU surveillance. </w:t>
      </w:r>
    </w:p>
    <w:p w14:paraId="4D23D8D5" w14:textId="77777777" w:rsidR="00A52D49" w:rsidRPr="00570C02" w:rsidRDefault="00A52D49" w:rsidP="00B87D6B">
      <w:pPr>
        <w:pStyle w:val="ListBullet"/>
      </w:pPr>
      <w:r w:rsidRPr="00570C02">
        <w:t xml:space="preserve">Progress the establishment of nationally consistent antimicrobial susceptibility testing methods and </w:t>
      </w:r>
      <w:r>
        <w:t xml:space="preserve">data </w:t>
      </w:r>
      <w:r w:rsidRPr="00570C02">
        <w:t xml:space="preserve">reporting standards. </w:t>
      </w:r>
    </w:p>
    <w:p w14:paraId="734244A2" w14:textId="77777777" w:rsidR="00A52D49" w:rsidRPr="00570C02" w:rsidRDefault="00A52D49" w:rsidP="00B87D6B">
      <w:pPr>
        <w:pStyle w:val="ListBullet"/>
      </w:pPr>
      <w:r w:rsidRPr="00570C02">
        <w:t>Conduct stakeholder consultations on a surveillance system for the animal sector.</w:t>
      </w:r>
    </w:p>
    <w:p w14:paraId="504FF236" w14:textId="0CD5FCE2" w:rsidR="00A52D49" w:rsidRPr="00570C02" w:rsidRDefault="00A52D49" w:rsidP="00B87D6B">
      <w:pPr>
        <w:pStyle w:val="ListBullet"/>
      </w:pPr>
      <w:r w:rsidRPr="00570C02">
        <w:t xml:space="preserve">Define the use of the term ‘appropriate’ in </w:t>
      </w:r>
      <w:r w:rsidR="00406516">
        <w:t xml:space="preserve">the </w:t>
      </w:r>
      <w:r w:rsidRPr="00570C02">
        <w:t>context of AMU.</w:t>
      </w:r>
    </w:p>
    <w:p w14:paraId="260BE918" w14:textId="77777777" w:rsidR="00A52D49" w:rsidRPr="00570C02" w:rsidRDefault="00A52D49" w:rsidP="00B87D6B">
      <w:pPr>
        <w:pStyle w:val="ListBullet"/>
      </w:pPr>
      <w:r w:rsidRPr="00570C02">
        <w:t>Explore funding options and governance arrangements for a surveillance system.</w:t>
      </w:r>
    </w:p>
    <w:p w14:paraId="31FA11A4" w14:textId="77777777" w:rsidR="00A52D49" w:rsidRPr="00570C02" w:rsidRDefault="00A52D49" w:rsidP="00B87D6B">
      <w:pPr>
        <w:pStyle w:val="ListBullet"/>
      </w:pPr>
      <w:r w:rsidRPr="00570C02">
        <w:t>Explore the veterinary antimicrobial supply chain as a source of surveillance data.</w:t>
      </w:r>
    </w:p>
    <w:p w14:paraId="0D8BF1CB" w14:textId="221FA747" w:rsidR="00A52D49" w:rsidRPr="00BF0082" w:rsidRDefault="00BF0082" w:rsidP="00BF0082">
      <w:pPr>
        <w:pStyle w:val="Heading3"/>
      </w:pPr>
      <w:bookmarkStart w:id="28" w:name="_Toc1636184"/>
      <w:r>
        <w:t xml:space="preserve">Objective 4: </w:t>
      </w:r>
      <w:r w:rsidR="00A52D49" w:rsidRPr="00BD36BD">
        <w:t>Improve infection prevention and control and biosecurity measures across components of the animal sector to help prevent infections and the spread of antimicrobial resistanc</w:t>
      </w:r>
      <w:r w:rsidR="0068338A">
        <w:t>e</w:t>
      </w:r>
      <w:bookmarkEnd w:id="28"/>
    </w:p>
    <w:p w14:paraId="4CC7A960" w14:textId="77777777" w:rsidR="00A52D49" w:rsidRPr="007C6BF2" w:rsidRDefault="00A52D49" w:rsidP="007C6BF2">
      <w:pPr>
        <w:spacing w:line="240" w:lineRule="auto"/>
      </w:pPr>
      <w:r w:rsidRPr="007C6BF2">
        <w:t>Priority Areas for Action</w:t>
      </w:r>
    </w:p>
    <w:p w14:paraId="22B99D4C" w14:textId="77777777" w:rsidR="00A52D49" w:rsidRPr="00570C02" w:rsidRDefault="00A52D49" w:rsidP="00B87D6B">
      <w:pPr>
        <w:pStyle w:val="ListBullet"/>
      </w:pPr>
      <w:r w:rsidRPr="00570C02">
        <w:t xml:space="preserve">Ensure the availability of evidence-based, best-practice and nationally consistent standards for infection prevention and control (IPC)—hygiene and biosecurity—across animal care settings. </w:t>
      </w:r>
    </w:p>
    <w:p w14:paraId="45D422C8" w14:textId="77777777" w:rsidR="00A52D49" w:rsidRPr="00570C02" w:rsidRDefault="00A52D49" w:rsidP="00B87D6B">
      <w:pPr>
        <w:pStyle w:val="ListBullet"/>
      </w:pPr>
      <w:r w:rsidRPr="00570C02">
        <w:t>Review existing accreditation and quality assurance programs to ensure they appropriately support and encourage compliance with best practice IPC/biosecurity measures</w:t>
      </w:r>
      <w:r>
        <w:t xml:space="preserve"> (including</w:t>
      </w:r>
      <w:r w:rsidRPr="00570C02">
        <w:t xml:space="preserve"> companion, performance and food-producing animals</w:t>
      </w:r>
      <w:r>
        <w:t>)</w:t>
      </w:r>
      <w:r w:rsidRPr="00570C02">
        <w:t>.</w:t>
      </w:r>
    </w:p>
    <w:p w14:paraId="76473901" w14:textId="3CA406BA" w:rsidR="00A52D49" w:rsidRPr="00637B54" w:rsidRDefault="00A52D49" w:rsidP="00B87D6B">
      <w:pPr>
        <w:pStyle w:val="ListBullet"/>
      </w:pPr>
      <w:bookmarkStart w:id="29" w:name="_Toc519235156"/>
      <w:r w:rsidRPr="00570C02">
        <w:lastRenderedPageBreak/>
        <w:t>E</w:t>
      </w:r>
      <w:r>
        <w:t xml:space="preserve">xplore </w:t>
      </w:r>
      <w:r w:rsidRPr="00570C02">
        <w:t>alternatives to antimicrobials (</w:t>
      </w:r>
      <w:r w:rsidRPr="00B87D6B">
        <w:t>vaccination and vaccine development to reduce</w:t>
      </w:r>
      <w:r w:rsidRPr="00637B54">
        <w:t xml:space="preserve"> and prevent infection</w:t>
      </w:r>
      <w:bookmarkEnd w:id="29"/>
      <w:r w:rsidRPr="00637B54">
        <w:t xml:space="preserve">s). </w:t>
      </w:r>
    </w:p>
    <w:p w14:paraId="2562E037" w14:textId="77777777" w:rsidR="00A52D49" w:rsidRPr="007C6BF2" w:rsidRDefault="00A52D49" w:rsidP="007C6BF2">
      <w:pPr>
        <w:spacing w:line="240" w:lineRule="auto"/>
      </w:pPr>
      <w:r w:rsidRPr="007C6BF2">
        <w:t>Gaps and Challenges</w:t>
      </w:r>
    </w:p>
    <w:p w14:paraId="5D405367" w14:textId="77777777" w:rsidR="00A52D49" w:rsidRPr="00570C02" w:rsidRDefault="00A52D49" w:rsidP="00B87D6B">
      <w:pPr>
        <w:pStyle w:val="ListBullet"/>
      </w:pPr>
      <w:r w:rsidRPr="00570C02">
        <w:t>Lack of substantial progress in applying existing initiatives used in human healthcare settings to animal care, and vice versa, to enhance current IPC/biosecurity approaches.</w:t>
      </w:r>
    </w:p>
    <w:p w14:paraId="07CC83D1" w14:textId="77777777" w:rsidR="00A52D49" w:rsidRPr="00570C02" w:rsidRDefault="00A52D49" w:rsidP="00B87D6B">
      <w:pPr>
        <w:pStyle w:val="ListBullet"/>
      </w:pPr>
      <w:r w:rsidRPr="00570C02">
        <w:t xml:space="preserve">Australia’s </w:t>
      </w:r>
      <w:r>
        <w:t xml:space="preserve">small </w:t>
      </w:r>
      <w:r w:rsidRPr="00570C02">
        <w:t xml:space="preserve">animal population limits potential revenue generated from vaccine sales, impacting the </w:t>
      </w:r>
      <w:r>
        <w:t>development and availability of vaccines.</w:t>
      </w:r>
    </w:p>
    <w:p w14:paraId="4BE9A3E5" w14:textId="77777777" w:rsidR="00A52D49" w:rsidRPr="007C6BF2" w:rsidRDefault="00A52D49" w:rsidP="007C6BF2">
      <w:pPr>
        <w:spacing w:line="240" w:lineRule="auto"/>
      </w:pPr>
      <w:r w:rsidRPr="007C6BF2">
        <w:t>Next Steps</w:t>
      </w:r>
    </w:p>
    <w:p w14:paraId="5D416028" w14:textId="282855BC" w:rsidR="00A52D49" w:rsidRPr="00570C02" w:rsidRDefault="00A52D49" w:rsidP="00B87D6B">
      <w:pPr>
        <w:pStyle w:val="ListBullet"/>
      </w:pPr>
      <w:r w:rsidRPr="00570C02">
        <w:t xml:space="preserve">Conduct a stocktake of current initiatives/programs supporting the implementation of </w:t>
      </w:r>
      <w:r>
        <w:t>animal sector specific IPC/</w:t>
      </w:r>
      <w:r w:rsidRPr="00570C02">
        <w:t>biosecurity measures to prevent disease</w:t>
      </w:r>
      <w:r>
        <w:t xml:space="preserve"> (</w:t>
      </w:r>
      <w:r w:rsidRPr="00570C02">
        <w:t>national feedlot accreditation scheme; quality assurance programs for feedlot cattle and pigs</w:t>
      </w:r>
      <w:r>
        <w:t>)</w:t>
      </w:r>
      <w:r w:rsidRPr="00570C02">
        <w:t>.</w:t>
      </w:r>
    </w:p>
    <w:p w14:paraId="3012C1D0" w14:textId="77777777" w:rsidR="00A52D49" w:rsidRPr="00570C02" w:rsidRDefault="00A52D49" w:rsidP="00B87D6B">
      <w:pPr>
        <w:pStyle w:val="ListBullet"/>
      </w:pPr>
      <w:r w:rsidRPr="00570C02">
        <w:t>Explore incentives for greater access to, and manufacture of, vaccines.</w:t>
      </w:r>
    </w:p>
    <w:p w14:paraId="5AA215E3" w14:textId="085321A1" w:rsidR="00A52D49" w:rsidRPr="00570C02" w:rsidRDefault="00A52D49" w:rsidP="00B87D6B">
      <w:pPr>
        <w:pStyle w:val="ListBullet"/>
      </w:pPr>
      <w:r w:rsidRPr="00570C02">
        <w:t>Develop/strengthen communication messages on genetic selection of animals that have higher resistance to diseases/infections.</w:t>
      </w:r>
    </w:p>
    <w:p w14:paraId="172E90B1" w14:textId="77777777" w:rsidR="00A52D49" w:rsidRPr="00570C02" w:rsidRDefault="00A52D49" w:rsidP="00B87D6B">
      <w:pPr>
        <w:pStyle w:val="ListBullet"/>
      </w:pPr>
      <w:r w:rsidRPr="00570C02">
        <w:t>Explore incentives for the development and uptake of early diagnostics by i</w:t>
      </w:r>
      <w:r>
        <w:t xml:space="preserve">dentifying and addressing </w:t>
      </w:r>
      <w:r w:rsidRPr="00570C02">
        <w:t>diagnostic challenges</w:t>
      </w:r>
      <w:r>
        <w:t>.</w:t>
      </w:r>
    </w:p>
    <w:p w14:paraId="70718700" w14:textId="783DC173" w:rsidR="00A52D49" w:rsidRPr="00570C02" w:rsidRDefault="00A52D49" w:rsidP="00B87D6B">
      <w:pPr>
        <w:pStyle w:val="ListBullet"/>
      </w:pPr>
      <w:r w:rsidRPr="00570C02">
        <w:t xml:space="preserve">Develop </w:t>
      </w:r>
      <w:r w:rsidR="00406516">
        <w:t xml:space="preserve">a </w:t>
      </w:r>
      <w:r w:rsidRPr="00570C02">
        <w:t>communications strategy for IPC standards for the animal sector.</w:t>
      </w:r>
    </w:p>
    <w:p w14:paraId="4E550DC0" w14:textId="77777777" w:rsidR="00A52D49" w:rsidRPr="00570C02" w:rsidRDefault="00A52D49" w:rsidP="00B87D6B">
      <w:pPr>
        <w:pStyle w:val="ListBullet"/>
      </w:pPr>
      <w:r w:rsidRPr="00570C02">
        <w:t>Explore accreditation of veterinary practices, animal shelters, wildlife hospitals.</w:t>
      </w:r>
    </w:p>
    <w:p w14:paraId="2508ACDB" w14:textId="33610E2F" w:rsidR="00A52D49" w:rsidRPr="00BF0082" w:rsidRDefault="00BF0082" w:rsidP="00BF0082">
      <w:pPr>
        <w:pStyle w:val="Heading3"/>
      </w:pPr>
      <w:bookmarkStart w:id="30" w:name="_Toc1636185"/>
      <w:r>
        <w:t xml:space="preserve">Objective 5: </w:t>
      </w:r>
      <w:r w:rsidR="00A52D49" w:rsidRPr="00BD36BD">
        <w:t>Agree on a national research agenda and promote investment in the discovery and development of new products and approaches to prevent, detect and contain antimicrobial resistance</w:t>
      </w:r>
      <w:bookmarkEnd w:id="30"/>
    </w:p>
    <w:p w14:paraId="58DC2466" w14:textId="77777777" w:rsidR="00A52D49" w:rsidRPr="007C6BF2" w:rsidRDefault="00A52D49" w:rsidP="007C6BF2">
      <w:pPr>
        <w:spacing w:line="240" w:lineRule="auto"/>
      </w:pPr>
      <w:r w:rsidRPr="007C6BF2">
        <w:t>Priority Areas for Action</w:t>
      </w:r>
    </w:p>
    <w:p w14:paraId="106D4AE7" w14:textId="77777777" w:rsidR="00A52D49" w:rsidRPr="00570C02" w:rsidRDefault="00A52D49" w:rsidP="00B87D6B">
      <w:pPr>
        <w:pStyle w:val="ListBullet"/>
      </w:pPr>
      <w:bookmarkStart w:id="31" w:name="_Toc519235157"/>
      <w:r w:rsidRPr="00570C02">
        <w:t>Identify national research</w:t>
      </w:r>
      <w:r>
        <w:t xml:space="preserve"> priorities</w:t>
      </w:r>
      <w:r w:rsidRPr="00570C02">
        <w:t>.</w:t>
      </w:r>
    </w:p>
    <w:p w14:paraId="4BDF3E55" w14:textId="77777777" w:rsidR="00A52D49" w:rsidRPr="00570C02" w:rsidRDefault="00A52D49" w:rsidP="00B87D6B">
      <w:pPr>
        <w:pStyle w:val="ListBullet"/>
      </w:pPr>
      <w:r>
        <w:t>C</w:t>
      </w:r>
      <w:r w:rsidRPr="00570C02">
        <w:t>ollate current activities to identify gaps and to agree on national research and development priorities</w:t>
      </w:r>
      <w:bookmarkEnd w:id="31"/>
      <w:r w:rsidRPr="00570C02">
        <w:t xml:space="preserve"> </w:t>
      </w:r>
      <w:r>
        <w:t>of animal sector stakeholders</w:t>
      </w:r>
      <w:r w:rsidRPr="00570C02">
        <w:t>.</w:t>
      </w:r>
    </w:p>
    <w:p w14:paraId="4E67287B" w14:textId="77777777" w:rsidR="00A52D49" w:rsidRPr="00570C02" w:rsidRDefault="00A52D49" w:rsidP="00B87D6B">
      <w:pPr>
        <w:pStyle w:val="ListBullet"/>
      </w:pPr>
      <w:bookmarkStart w:id="32" w:name="_Toc519235158"/>
      <w:r w:rsidRPr="00570C02">
        <w:t>Identify mechanisms for improved coordination of national research activities and sharing of research information</w:t>
      </w:r>
      <w:bookmarkEnd w:id="32"/>
      <w:r>
        <w:t xml:space="preserve">, such as </w:t>
      </w:r>
      <w:r w:rsidRPr="00570C02">
        <w:t>a broad-based research forum</w:t>
      </w:r>
      <w:r>
        <w:t>.</w:t>
      </w:r>
      <w:r w:rsidRPr="00570C02">
        <w:t xml:space="preserve"> </w:t>
      </w:r>
    </w:p>
    <w:p w14:paraId="6688DC36" w14:textId="77777777" w:rsidR="00A52D49" w:rsidRPr="00570C02" w:rsidRDefault="00A52D49" w:rsidP="00B87D6B">
      <w:pPr>
        <w:pStyle w:val="ListBullet"/>
      </w:pPr>
      <w:bookmarkStart w:id="33" w:name="_Toc519235159"/>
      <w:r w:rsidRPr="00570C02">
        <w:t>Explore opportunities to increase support for research and development, including incentives for greater private sector investment</w:t>
      </w:r>
      <w:bookmarkEnd w:id="33"/>
    </w:p>
    <w:p w14:paraId="2B74E22E" w14:textId="77777777" w:rsidR="00A52D49" w:rsidRPr="00570C02" w:rsidRDefault="00A52D49" w:rsidP="00B87D6B">
      <w:pPr>
        <w:pStyle w:val="ListBullet"/>
      </w:pPr>
      <w:r w:rsidRPr="00570C02">
        <w:t xml:space="preserve">Explore avenues to translate promising research findings into new products, policies and approaches. </w:t>
      </w:r>
    </w:p>
    <w:p w14:paraId="3E15BB07" w14:textId="77777777" w:rsidR="00A52D49" w:rsidRPr="007C6BF2" w:rsidRDefault="00A52D49" w:rsidP="007C6BF2">
      <w:pPr>
        <w:spacing w:line="240" w:lineRule="auto"/>
      </w:pPr>
      <w:r w:rsidRPr="007C6BF2">
        <w:t>Gaps and Challenges</w:t>
      </w:r>
    </w:p>
    <w:p w14:paraId="62B4DDD9" w14:textId="77777777" w:rsidR="00A52D49" w:rsidRPr="00B87D6B" w:rsidRDefault="00A52D49" w:rsidP="00B87D6B">
      <w:pPr>
        <w:pStyle w:val="ListBullet"/>
      </w:pPr>
      <w:r w:rsidRPr="00637B54">
        <w:t xml:space="preserve">Australia </w:t>
      </w:r>
      <w:r w:rsidRPr="00B87D6B">
        <w:t>lacks a national AMR research agenda that identifies agreed research and development priorities to which institutes lend their expertise and work collaboratively to fill knowledge gaps.</w:t>
      </w:r>
    </w:p>
    <w:p w14:paraId="4FAFB3A9" w14:textId="08B79C65" w:rsidR="00A52D49" w:rsidRPr="00B87D6B" w:rsidRDefault="00A52D49" w:rsidP="00B87D6B">
      <w:pPr>
        <w:pStyle w:val="ListBullet"/>
      </w:pPr>
      <w:r w:rsidRPr="00B87D6B">
        <w:t xml:space="preserve">Mapping research and development needs against current activities to provide guidance on gaps and identify where the greatest </w:t>
      </w:r>
      <w:r w:rsidR="00465C58" w:rsidRPr="00B87D6B">
        <w:t>effects</w:t>
      </w:r>
      <w:r w:rsidRPr="00B87D6B">
        <w:t xml:space="preserve"> of new research and development investment could be achieved.</w:t>
      </w:r>
    </w:p>
    <w:p w14:paraId="228C2E77" w14:textId="77777777" w:rsidR="00A52D49" w:rsidRPr="00570C02" w:rsidRDefault="00A52D49" w:rsidP="00B87D6B">
      <w:pPr>
        <w:pStyle w:val="ListBullet"/>
        <w:rPr>
          <w:iCs/>
        </w:rPr>
      </w:pPr>
      <w:r w:rsidRPr="00B87D6B">
        <w:t>A national framework for improved collaboration and information and data sharing to promote efficient</w:t>
      </w:r>
      <w:r w:rsidRPr="00570C02">
        <w:rPr>
          <w:iCs/>
        </w:rPr>
        <w:t xml:space="preserve"> use of resources and minimise duplication within and across sectors. </w:t>
      </w:r>
    </w:p>
    <w:p w14:paraId="76DF5D6C" w14:textId="77777777" w:rsidR="00A52D49" w:rsidRPr="007C6BF2" w:rsidRDefault="00A52D49" w:rsidP="007C6BF2">
      <w:pPr>
        <w:spacing w:line="240" w:lineRule="auto"/>
      </w:pPr>
      <w:r w:rsidRPr="007C6BF2">
        <w:t>Next Steps</w:t>
      </w:r>
    </w:p>
    <w:p w14:paraId="72100266" w14:textId="77777777" w:rsidR="00A52D49" w:rsidRPr="00B87D6B" w:rsidRDefault="00A52D49" w:rsidP="00B87D6B">
      <w:pPr>
        <w:pStyle w:val="ListBullet"/>
      </w:pPr>
      <w:r w:rsidRPr="00B87D6B">
        <w:lastRenderedPageBreak/>
        <w:t>Explore funding models to secure dedicated funding.</w:t>
      </w:r>
    </w:p>
    <w:p w14:paraId="6B390128" w14:textId="468E8650" w:rsidR="00A52D49" w:rsidRPr="00B87D6B" w:rsidRDefault="00A52D49" w:rsidP="00B87D6B">
      <w:pPr>
        <w:pStyle w:val="ListBullet"/>
      </w:pPr>
      <w:r w:rsidRPr="00570C02">
        <w:t xml:space="preserve">Use this </w:t>
      </w:r>
      <w:r w:rsidRPr="00B87D6B">
        <w:t>AMR Plan as a mandate for research institutes, centres of research excellence and nationa</w:t>
      </w:r>
      <w:r w:rsidR="00ED0D1C">
        <w:t>l research funding bodies (</w:t>
      </w:r>
      <w:r w:rsidRPr="00B87D6B">
        <w:t>Australian Research Councils, National Health and Medical Research Council and Medical Research Future Fund) to work collaboratively with the Australian animal sector to establish agreed national AMR research priorities.</w:t>
      </w:r>
    </w:p>
    <w:p w14:paraId="04EE5059" w14:textId="3E877431" w:rsidR="00A52D49" w:rsidRPr="00B87D6B" w:rsidRDefault="00A52D49" w:rsidP="00B87D6B">
      <w:pPr>
        <w:pStyle w:val="ListBullet"/>
      </w:pPr>
      <w:r w:rsidRPr="00B87D6B">
        <w:t>Explore a national framework for improve</w:t>
      </w:r>
      <w:r w:rsidR="00ED0D1C">
        <w:t>d communication (</w:t>
      </w:r>
      <w:r w:rsidRPr="00B87D6B">
        <w:t>One Health AMR website) to provide information about projects and initiatives undertaken by the animal sector to support Australia’s response to AMR.</w:t>
      </w:r>
    </w:p>
    <w:p w14:paraId="458D20B3" w14:textId="77777777" w:rsidR="00A52D49" w:rsidRPr="00B87D6B" w:rsidRDefault="00A52D49" w:rsidP="00B87D6B">
      <w:pPr>
        <w:pStyle w:val="ListBullet"/>
      </w:pPr>
      <w:r w:rsidRPr="00B87D6B">
        <w:t>Establish a forum to present results and report on progress against the AMR Plan and agree on future activities.</w:t>
      </w:r>
    </w:p>
    <w:p w14:paraId="522C5FF9" w14:textId="77777777" w:rsidR="00A52D49" w:rsidRPr="007B4E73" w:rsidRDefault="00A52D49" w:rsidP="00B87D6B">
      <w:pPr>
        <w:pStyle w:val="ListBullet"/>
      </w:pPr>
      <w:r w:rsidRPr="00B87D6B">
        <w:t>Continue international collaboration and coordination of research and development</w:t>
      </w:r>
      <w:r w:rsidRPr="00570C02">
        <w:t xml:space="preserve"> </w:t>
      </w:r>
      <w:r w:rsidRPr="00B87D6B">
        <w:t>initiatives to ma</w:t>
      </w:r>
      <w:r w:rsidRPr="00637B54">
        <w:t xml:space="preserve">ximise efficiency and minimise duplication of global AMR research. </w:t>
      </w:r>
    </w:p>
    <w:p w14:paraId="1722474D" w14:textId="2D69EE2D" w:rsidR="00A52D49" w:rsidRPr="00BF0082" w:rsidRDefault="00BF0082" w:rsidP="00BF0082">
      <w:pPr>
        <w:pStyle w:val="Heading3"/>
      </w:pPr>
      <w:bookmarkStart w:id="34" w:name="_Toc1636186"/>
      <w:r>
        <w:t xml:space="preserve">Objective 6: </w:t>
      </w:r>
      <w:r w:rsidR="00A52D49" w:rsidRPr="00BD36BD">
        <w:t>Strengthen international partnerships and collaboration on regional and global efforts to respond to antimicrobial resistance</w:t>
      </w:r>
      <w:bookmarkEnd w:id="34"/>
    </w:p>
    <w:p w14:paraId="19160FA5" w14:textId="77777777" w:rsidR="00A52D49" w:rsidRPr="007C6BF2" w:rsidRDefault="00A52D49" w:rsidP="007C6BF2">
      <w:pPr>
        <w:spacing w:line="240" w:lineRule="auto"/>
      </w:pPr>
      <w:r w:rsidRPr="007C6BF2">
        <w:t>Priority Areas for Action</w:t>
      </w:r>
    </w:p>
    <w:p w14:paraId="7E62E908" w14:textId="77777777" w:rsidR="00A52D49" w:rsidRPr="00570C02" w:rsidRDefault="00A52D49" w:rsidP="00B87D6B">
      <w:pPr>
        <w:pStyle w:val="ListBullet"/>
      </w:pPr>
      <w:r w:rsidRPr="00570C02">
        <w:t xml:space="preserve">Active engagement with multilateral organisations and relevant forums to contribute to regional and global action on AMR. </w:t>
      </w:r>
    </w:p>
    <w:p w14:paraId="3392CBAC" w14:textId="7A7A018D" w:rsidR="00A52D49" w:rsidRPr="00570C02" w:rsidRDefault="00A52D49" w:rsidP="00B87D6B">
      <w:pPr>
        <w:pStyle w:val="ListBullet"/>
      </w:pPr>
      <w:r w:rsidRPr="00570C02">
        <w:t xml:space="preserve">Engagement with regional and international commercial industries to strengthen </w:t>
      </w:r>
      <w:r w:rsidR="00015A16">
        <w:t xml:space="preserve">food </w:t>
      </w:r>
      <w:r w:rsidRPr="00570C02">
        <w:t>animal and allied industr</w:t>
      </w:r>
      <w:r>
        <w:t>ies’</w:t>
      </w:r>
      <w:r w:rsidRPr="00570C02">
        <w:t xml:space="preserve"> international engagement</w:t>
      </w:r>
      <w:r>
        <w:t>.</w:t>
      </w:r>
    </w:p>
    <w:p w14:paraId="219C5164" w14:textId="77777777" w:rsidR="00A52D49" w:rsidRDefault="00A52D49" w:rsidP="00B87D6B">
      <w:pPr>
        <w:pStyle w:val="ListBullet"/>
      </w:pPr>
      <w:r w:rsidRPr="00570C02">
        <w:t xml:space="preserve">Lead regional initiatives to increase capacity to prevent and respond to AMR. </w:t>
      </w:r>
    </w:p>
    <w:p w14:paraId="04EB1CE2" w14:textId="77777777" w:rsidR="00A52D49" w:rsidRPr="00570C02" w:rsidRDefault="00A52D49" w:rsidP="00B87D6B">
      <w:pPr>
        <w:pStyle w:val="ListBullet"/>
      </w:pPr>
      <w:r w:rsidRPr="00570C02">
        <w:t>Lead and learn from international best practice</w:t>
      </w:r>
      <w:r>
        <w:t xml:space="preserve"> while recognising regional differences in animal health, welfare, food safety and trade requirements.</w:t>
      </w:r>
    </w:p>
    <w:p w14:paraId="4ABFBC61" w14:textId="77777777" w:rsidR="00A52D49" w:rsidRPr="00570C02" w:rsidRDefault="00A52D49" w:rsidP="00B87D6B">
      <w:pPr>
        <w:pStyle w:val="ListBullet"/>
      </w:pPr>
      <w:r w:rsidRPr="00570C02">
        <w:t>Participate in international surveillance initiatives.</w:t>
      </w:r>
    </w:p>
    <w:p w14:paraId="38AAAA82" w14:textId="77777777" w:rsidR="00A52D49" w:rsidRPr="00570C02" w:rsidRDefault="00A52D49" w:rsidP="00B87D6B">
      <w:pPr>
        <w:pStyle w:val="ListBullet"/>
      </w:pPr>
      <w:r w:rsidRPr="00570C02">
        <w:t>Establish closer ties with international collaborat</w:t>
      </w:r>
      <w:r>
        <w:t>ors</w:t>
      </w:r>
      <w:r w:rsidRPr="00570C02">
        <w:t xml:space="preserve"> to link Australia’s national research agenda</w:t>
      </w:r>
      <w:r w:rsidRPr="00B87D6B">
        <w:t xml:space="preserve"> with</w:t>
      </w:r>
      <w:r w:rsidRPr="00637B54">
        <w:t xml:space="preserve"> what is happening internationally. </w:t>
      </w:r>
    </w:p>
    <w:p w14:paraId="065C0BD5" w14:textId="77777777" w:rsidR="00A52D49" w:rsidRPr="007C6BF2" w:rsidRDefault="00A52D49" w:rsidP="007C6BF2">
      <w:pPr>
        <w:spacing w:line="240" w:lineRule="auto"/>
      </w:pPr>
      <w:r w:rsidRPr="007C6BF2">
        <w:t>Gaps and Challenges</w:t>
      </w:r>
    </w:p>
    <w:p w14:paraId="143E8C40" w14:textId="77777777" w:rsidR="00A52D49" w:rsidRPr="00B87D6B" w:rsidRDefault="00A52D49" w:rsidP="00B87D6B">
      <w:pPr>
        <w:pStyle w:val="ListBullet"/>
      </w:pPr>
      <w:r w:rsidRPr="00B87D6B">
        <w:t xml:space="preserve">Australia has limited resources to directly invest in the development and implementation of AMR National Action Plans in countries in our region. However, our in-kind contributions of best-practice resources and expertise are highly valued. </w:t>
      </w:r>
    </w:p>
    <w:p w14:paraId="3E972A9F" w14:textId="77777777" w:rsidR="00A52D49" w:rsidRPr="00B87D6B" w:rsidRDefault="00A52D49" w:rsidP="00B87D6B">
      <w:pPr>
        <w:pStyle w:val="ListBullet"/>
      </w:pPr>
      <w:r w:rsidRPr="00B87D6B">
        <w:t>There are many international groups showing significant interest in AMR, with many initiatives progressing in parallel. The challenge is to ensure duplication of effort is minimised and make appropriate links to maximise effort.</w:t>
      </w:r>
    </w:p>
    <w:p w14:paraId="484AF884" w14:textId="77777777" w:rsidR="00A52D49" w:rsidRPr="00570C02" w:rsidRDefault="00A52D49" w:rsidP="00B87D6B">
      <w:pPr>
        <w:pStyle w:val="ListBullet"/>
      </w:pPr>
      <w:r w:rsidRPr="00B87D6B">
        <w:t>The OIE’s requirement for AMU data in animals will be ongoing. Australia needs to meet these international reporting obligations to support global AMR mitigation. A national animal health approach is needed to collate and analyse AMU and AMR surveillance data to contribute</w:t>
      </w:r>
      <w:r w:rsidRPr="00570C02">
        <w:t xml:space="preserve"> to the OIE global surveillance system.</w:t>
      </w:r>
    </w:p>
    <w:p w14:paraId="7F2CC939" w14:textId="77777777" w:rsidR="00A52D49" w:rsidRPr="0044620C" w:rsidRDefault="00A52D49" w:rsidP="0044620C">
      <w:pPr>
        <w:spacing w:line="240" w:lineRule="auto"/>
      </w:pPr>
      <w:r w:rsidRPr="0044620C">
        <w:t>Next Steps</w:t>
      </w:r>
    </w:p>
    <w:p w14:paraId="743097C6" w14:textId="6B854966" w:rsidR="00A52D49" w:rsidRPr="00570C02" w:rsidRDefault="00A52D49" w:rsidP="00B87D6B">
      <w:pPr>
        <w:pStyle w:val="ListBullet"/>
      </w:pPr>
      <w:r w:rsidRPr="00570C02">
        <w:t xml:space="preserve">In </w:t>
      </w:r>
      <w:r w:rsidR="00406516">
        <w:t>2017 Australia undertook a self</w:t>
      </w:r>
      <w:r w:rsidR="00B87D6B">
        <w:t>-</w:t>
      </w:r>
      <w:r w:rsidRPr="00570C02">
        <w:t xml:space="preserve">assessment and external evaluation of its implementation of the core capacities established under the International Health Regulations 2005 and the </w:t>
      </w:r>
      <w:hyperlink r:id="rId25" w:history="1">
        <w:r w:rsidRPr="004961DA">
          <w:rPr>
            <w:rStyle w:val="Hyperlink"/>
          </w:rPr>
          <w:t>Joint External Evaluation</w:t>
        </w:r>
      </w:hyperlink>
      <w:r w:rsidRPr="00570C02">
        <w:t xml:space="preserve"> process</w:t>
      </w:r>
      <w:r w:rsidRPr="00B87D6B">
        <w:rPr>
          <w:vertAlign w:val="superscript"/>
        </w:rPr>
        <w:t>.</w:t>
      </w:r>
      <w:r w:rsidRPr="00570C02">
        <w:t xml:space="preserve"> AMR </w:t>
      </w:r>
      <w:r w:rsidR="00406516">
        <w:t>was</w:t>
      </w:r>
      <w:r w:rsidRPr="00570C02">
        <w:t xml:space="preserve"> one of 19 capacities assessed.  The findings on AMR are </w:t>
      </w:r>
      <w:r>
        <w:t xml:space="preserve">currently </w:t>
      </w:r>
      <w:r w:rsidRPr="00570C02">
        <w:t>being addressed.</w:t>
      </w:r>
    </w:p>
    <w:p w14:paraId="073B81BE" w14:textId="4CD85C56" w:rsidR="00A52D49" w:rsidRPr="00570C02" w:rsidRDefault="00A52D49" w:rsidP="00B87D6B">
      <w:pPr>
        <w:pStyle w:val="ListBullet"/>
      </w:pPr>
      <w:r w:rsidRPr="00570C02">
        <w:t xml:space="preserve">Australia will continue active engagement with the WHO, OIE and the Food and Agriculture Organization of the United Nations, including in the development of a Monitoring and </w:t>
      </w:r>
      <w:r w:rsidRPr="00570C02">
        <w:lastRenderedPageBreak/>
        <w:t xml:space="preserve">Evaluation Framework for the </w:t>
      </w:r>
      <w:hyperlink r:id="rId26" w:history="1">
        <w:r w:rsidRPr="004961DA">
          <w:rPr>
            <w:rStyle w:val="Hyperlink"/>
          </w:rPr>
          <w:t>WHO Global Action Plan</w:t>
        </w:r>
      </w:hyperlink>
      <w:r w:rsidR="004961DA">
        <w:t>,</w:t>
      </w:r>
      <w:r w:rsidRPr="00570C02">
        <w:t xml:space="preserve"> and other multi-lateral forums to progress global and regional action.</w:t>
      </w:r>
    </w:p>
    <w:p w14:paraId="10ECFE6A" w14:textId="7A645201" w:rsidR="00A52D49" w:rsidRPr="00570C02" w:rsidRDefault="00A52D49" w:rsidP="00B87D6B">
      <w:pPr>
        <w:pStyle w:val="ListBullet"/>
      </w:pPr>
      <w:r w:rsidRPr="00570C02">
        <w:t>Continue contributions, support to</w:t>
      </w:r>
      <w:r w:rsidR="00406516">
        <w:t>,</w:t>
      </w:r>
      <w:r w:rsidRPr="00570C02">
        <w:t xml:space="preserve"> and collaboration with</w:t>
      </w:r>
      <w:r>
        <w:t>,</w:t>
      </w:r>
      <w:r w:rsidRPr="00570C02">
        <w:t xml:space="preserve"> regional governments on capacity building and development of policies, AMS and surveillance programs to address AMR in animal sectors. This will help with addressing international trade and market access issues</w:t>
      </w:r>
      <w:r>
        <w:t>,</w:t>
      </w:r>
      <w:r w:rsidRPr="00570C02">
        <w:t xml:space="preserve"> and create </w:t>
      </w:r>
      <w:r>
        <w:t>opportunities</w:t>
      </w:r>
      <w:r w:rsidRPr="00570C02">
        <w:t xml:space="preserve"> for education and training.</w:t>
      </w:r>
    </w:p>
    <w:p w14:paraId="6EE8D84F" w14:textId="77777777" w:rsidR="00A52D49" w:rsidRPr="00570C02" w:rsidRDefault="00A52D49" w:rsidP="00B87D6B">
      <w:pPr>
        <w:pStyle w:val="ListBullet"/>
      </w:pPr>
      <w:r w:rsidRPr="00570C02">
        <w:t xml:space="preserve">Identify </w:t>
      </w:r>
      <w:r>
        <w:t xml:space="preserve">additional </w:t>
      </w:r>
      <w:r w:rsidRPr="00570C02">
        <w:t>for</w:t>
      </w:r>
      <w:r>
        <w:t>ums</w:t>
      </w:r>
      <w:r w:rsidRPr="00570C02">
        <w:t xml:space="preserve"> to share activities and initiatives at the international level.</w:t>
      </w:r>
    </w:p>
    <w:p w14:paraId="469C0D2A" w14:textId="53E30AAA" w:rsidR="00A52D49" w:rsidRPr="00BF0082" w:rsidRDefault="00BF0082" w:rsidP="00BF0082">
      <w:pPr>
        <w:pStyle w:val="Heading3"/>
      </w:pPr>
      <w:bookmarkStart w:id="35" w:name="_Toc1636187"/>
      <w:r>
        <w:t xml:space="preserve">Objective 7: </w:t>
      </w:r>
      <w:r w:rsidR="00A52D49" w:rsidRPr="00BD36BD">
        <w:t>Establish and support clear governance arrangements at the local, jurisdictional, national and international levels to ensure leadership, engagement and accountability for actions to combat antimicrobial resistance</w:t>
      </w:r>
      <w:bookmarkEnd w:id="35"/>
    </w:p>
    <w:p w14:paraId="6BB1ED88" w14:textId="77777777" w:rsidR="00A52D49" w:rsidRPr="007C6BF2" w:rsidRDefault="00A52D49" w:rsidP="007C6BF2">
      <w:pPr>
        <w:spacing w:line="240" w:lineRule="auto"/>
      </w:pPr>
      <w:r w:rsidRPr="007C6BF2">
        <w:t>Priority Areas for Action</w:t>
      </w:r>
    </w:p>
    <w:p w14:paraId="23F25C1D" w14:textId="77777777" w:rsidR="00A52D49" w:rsidRPr="00570C02" w:rsidRDefault="00A52D49" w:rsidP="00B87D6B">
      <w:pPr>
        <w:pStyle w:val="ListBullet"/>
      </w:pPr>
      <w:r w:rsidRPr="00570C02">
        <w:t>Provide effective leadership, coordination and resource use, including prioritisation of activities.</w:t>
      </w:r>
    </w:p>
    <w:p w14:paraId="23C498FB" w14:textId="77777777" w:rsidR="00A52D49" w:rsidRPr="00570C02" w:rsidRDefault="00A52D49" w:rsidP="00B87D6B">
      <w:pPr>
        <w:pStyle w:val="ListBullet"/>
      </w:pPr>
      <w:r w:rsidRPr="00570C02">
        <w:t>Identify, establish and maintain linkages across all sectors.</w:t>
      </w:r>
    </w:p>
    <w:p w14:paraId="482DA3DC" w14:textId="77777777" w:rsidR="00A52D49" w:rsidRPr="00570C02" w:rsidRDefault="00A52D49" w:rsidP="00B87D6B">
      <w:pPr>
        <w:pStyle w:val="ListBullet"/>
      </w:pPr>
      <w:r w:rsidRPr="00570C02">
        <w:t xml:space="preserve">Establish baseline measures to inform monitoring and evaluation of the Strategy. </w:t>
      </w:r>
    </w:p>
    <w:p w14:paraId="19F3FE20" w14:textId="77777777" w:rsidR="00A52D49" w:rsidRPr="00570C02" w:rsidRDefault="00A52D49" w:rsidP="00B87D6B">
      <w:pPr>
        <w:pStyle w:val="ListBullet"/>
      </w:pPr>
      <w:r w:rsidRPr="00570C02">
        <w:t>Review regulation (legislated and other) relevant to AMR and AMU</w:t>
      </w:r>
      <w:r>
        <w:t>.</w:t>
      </w:r>
    </w:p>
    <w:p w14:paraId="4068C4E0" w14:textId="77777777" w:rsidR="00A52D49" w:rsidRPr="007C6BF2" w:rsidRDefault="00A52D49" w:rsidP="007C6BF2">
      <w:pPr>
        <w:spacing w:line="240" w:lineRule="auto"/>
      </w:pPr>
      <w:r w:rsidRPr="007C6BF2">
        <w:t>Gaps and Challenges</w:t>
      </w:r>
    </w:p>
    <w:p w14:paraId="0E55A882" w14:textId="0E4BD302" w:rsidR="00A52D49" w:rsidRPr="00570C02" w:rsidRDefault="00A52D49" w:rsidP="00B87D6B">
      <w:pPr>
        <w:pStyle w:val="ListBullet"/>
      </w:pPr>
      <w:r w:rsidRPr="00570C02">
        <w:t xml:space="preserve">Implementing </w:t>
      </w:r>
      <w:r>
        <w:t>appropriate governance arrangements</w:t>
      </w:r>
      <w:r w:rsidR="008F0296">
        <w:t xml:space="preserve"> to </w:t>
      </w:r>
      <w:r w:rsidRPr="00570C02">
        <w:t xml:space="preserve">manage commercial sensitivities and harness expertise across sectors to create linkages with key groups and organisations. </w:t>
      </w:r>
    </w:p>
    <w:p w14:paraId="072E429F" w14:textId="77777777" w:rsidR="00A52D49" w:rsidRPr="00570C02" w:rsidRDefault="00A52D49" w:rsidP="00B87D6B">
      <w:pPr>
        <w:pStyle w:val="ListBullet"/>
      </w:pPr>
      <w:r w:rsidRPr="00570C02">
        <w:t>Changes in government priorities require revisions of governance arrangements to ensure effectiveness in driving change and supporting the implementation of priority AMR activities.</w:t>
      </w:r>
    </w:p>
    <w:p w14:paraId="14BE7481" w14:textId="77777777" w:rsidR="00A52D49" w:rsidRPr="00570C02" w:rsidRDefault="00A52D49" w:rsidP="00B87D6B">
      <w:pPr>
        <w:pStyle w:val="ListBullet"/>
      </w:pPr>
      <w:r w:rsidRPr="00570C02">
        <w:t xml:space="preserve">Develop a better understanding of how regulatory arrangements might be improved. The effectiveness and appropriateness of AMR regulatory arrangements have not been systematically evaluated across the Australian animal sector supply chain. </w:t>
      </w:r>
    </w:p>
    <w:p w14:paraId="698828D1" w14:textId="0DEABEBC" w:rsidR="00A52D49" w:rsidRPr="00570C02" w:rsidRDefault="00A52D49" w:rsidP="00B87D6B">
      <w:pPr>
        <w:pStyle w:val="ListBullet"/>
      </w:pPr>
      <w:r w:rsidRPr="00570C02">
        <w:t>There is a need to map the current regulatory framework against the anti</w:t>
      </w:r>
      <w:r>
        <w:t>microbial</w:t>
      </w:r>
      <w:r w:rsidRPr="00570C02">
        <w:t xml:space="preserve"> supply chain and AMU/AMR trends in human and animal health to identify areas where regulation could be applied or streamlined to reduce AMR and promote </w:t>
      </w:r>
      <w:r>
        <w:t xml:space="preserve">appropriate </w:t>
      </w:r>
      <w:r w:rsidRPr="00570C02">
        <w:t>use of antimicrobials.</w:t>
      </w:r>
    </w:p>
    <w:p w14:paraId="2792BD5C" w14:textId="77777777" w:rsidR="00A52D49" w:rsidRPr="00570C02" w:rsidRDefault="00A52D49" w:rsidP="00B87D6B">
      <w:pPr>
        <w:pStyle w:val="ListBullet"/>
      </w:pPr>
      <w:r w:rsidRPr="00570C02">
        <w:t xml:space="preserve">Inconsistent </w:t>
      </w:r>
      <w:r>
        <w:t>jurisdictional</w:t>
      </w:r>
      <w:r w:rsidRPr="00570C02">
        <w:t xml:space="preserve"> legislation.</w:t>
      </w:r>
    </w:p>
    <w:p w14:paraId="43772752" w14:textId="77777777" w:rsidR="00A52D49" w:rsidRPr="007C6BF2" w:rsidRDefault="00A52D49" w:rsidP="007C6BF2">
      <w:pPr>
        <w:spacing w:line="240" w:lineRule="auto"/>
      </w:pPr>
      <w:r w:rsidRPr="007C6BF2">
        <w:t xml:space="preserve">Next Steps </w:t>
      </w:r>
    </w:p>
    <w:p w14:paraId="4D2C57C5" w14:textId="244B5C7B" w:rsidR="00A52D49" w:rsidRPr="00570C02" w:rsidRDefault="00A52D49" w:rsidP="00B87D6B">
      <w:pPr>
        <w:pStyle w:val="ListBullet"/>
      </w:pPr>
      <w:r w:rsidRPr="00570C02">
        <w:t xml:space="preserve">Consult </w:t>
      </w:r>
      <w:r>
        <w:t xml:space="preserve">and inform </w:t>
      </w:r>
      <w:r w:rsidRPr="00570C02">
        <w:t xml:space="preserve">stakeholders when the </w:t>
      </w:r>
      <w:hyperlink r:id="rId27" w:history="1">
        <w:r w:rsidRPr="004961DA">
          <w:rPr>
            <w:rStyle w:val="Hyperlink"/>
          </w:rPr>
          <w:t>Australian Strategic and Technical Advisory Group (ASTAG)</w:t>
        </w:r>
      </w:hyperlink>
      <w:r w:rsidR="004961DA">
        <w:t xml:space="preserve"> </w:t>
      </w:r>
      <w:r w:rsidRPr="00570C02">
        <w:t xml:space="preserve">progresses drafting the second National AMR Strategy. </w:t>
      </w:r>
    </w:p>
    <w:p w14:paraId="392FF862" w14:textId="77777777" w:rsidR="00A52D49" w:rsidRPr="00570C02" w:rsidRDefault="00A52D49" w:rsidP="00B87D6B">
      <w:pPr>
        <w:pStyle w:val="ListBullet"/>
      </w:pPr>
      <w:r w:rsidRPr="00570C02">
        <w:t xml:space="preserve">Explore establishment of targets, monitoring and evaluation requirements. </w:t>
      </w:r>
    </w:p>
    <w:p w14:paraId="00589CF3" w14:textId="77777777" w:rsidR="00A52D49" w:rsidRPr="00570C02" w:rsidRDefault="00A52D49" w:rsidP="00B87D6B">
      <w:pPr>
        <w:pStyle w:val="ListBullet"/>
      </w:pPr>
      <w:r w:rsidRPr="00570C02">
        <w:t>ASTAG working groups may be established to drive specific actions in areas of highest priority, with ad hoc working groups established as required.</w:t>
      </w:r>
    </w:p>
    <w:p w14:paraId="21D43957" w14:textId="45557AC2" w:rsidR="00322259" w:rsidRPr="00322259" w:rsidRDefault="00A52D49" w:rsidP="005A52D1">
      <w:pPr>
        <w:pStyle w:val="ListBullet"/>
        <w:rPr>
          <w:b/>
        </w:rPr>
      </w:pPr>
      <w:r w:rsidRPr="00570C02">
        <w:t>Communicate the outcomes of a review</w:t>
      </w:r>
      <w:r w:rsidR="00322259">
        <w:t xml:space="preserve"> </w:t>
      </w:r>
      <w:r w:rsidRPr="00570C02">
        <w:t>commissioned by the Department of Health</w:t>
      </w:r>
      <w:r w:rsidR="00322259">
        <w:t xml:space="preserve"> </w:t>
      </w:r>
      <w:r w:rsidRPr="00570C02">
        <w:t>on Australian regulation</w:t>
      </w:r>
      <w:r w:rsidR="00406516">
        <w:t>s</w:t>
      </w:r>
      <w:r w:rsidRPr="00570C02">
        <w:t xml:space="preserve"> relevant to AMR and the anti</w:t>
      </w:r>
      <w:r>
        <w:t>microbial</w:t>
      </w:r>
      <w:r w:rsidRPr="00570C02">
        <w:t xml:space="preserve"> supply chain across human and animal health, agriculture and food sectors</w:t>
      </w:r>
      <w:r w:rsidR="00322259">
        <w:t>.</w:t>
      </w:r>
      <w:r w:rsidRPr="00570C02">
        <w:t xml:space="preserve"> </w:t>
      </w:r>
    </w:p>
    <w:p w14:paraId="5A69EA28" w14:textId="65A87A19" w:rsidR="00A52D49" w:rsidRPr="002D2E99" w:rsidRDefault="00A52D49" w:rsidP="005A52D1">
      <w:pPr>
        <w:pStyle w:val="ListBullet"/>
        <w:rPr>
          <w:b/>
        </w:rPr>
      </w:pPr>
      <w:r w:rsidRPr="007B4E73">
        <w:t xml:space="preserve">Reconvene the Focus Group to develop an </w:t>
      </w:r>
      <w:r>
        <w:t>Action</w:t>
      </w:r>
      <w:r w:rsidRPr="007B4E73">
        <w:t xml:space="preserve"> Plan to support this AMR Plan.</w:t>
      </w:r>
      <w:bookmarkStart w:id="36" w:name="_Toc498070422"/>
    </w:p>
    <w:p w14:paraId="1F4CF620" w14:textId="223ABAF7" w:rsidR="002D2E99" w:rsidRDefault="002D2E99" w:rsidP="002D2E99">
      <w:pPr>
        <w:pStyle w:val="Heading2"/>
        <w:ind w:left="709" w:hanging="709"/>
        <w:rPr>
          <w:b/>
        </w:rPr>
      </w:pPr>
      <w:r>
        <w:rPr>
          <w:b/>
        </w:rPr>
        <w:lastRenderedPageBreak/>
        <w:t>Summary</w:t>
      </w:r>
    </w:p>
    <w:p w14:paraId="25B7EEE2" w14:textId="18C80862" w:rsidR="006C5BD4" w:rsidRDefault="005E33BD" w:rsidP="002D2E99">
      <w:r>
        <w:t xml:space="preserve">Much work </w:t>
      </w:r>
      <w:r w:rsidR="002D2E99" w:rsidRPr="002D2E99">
        <w:t xml:space="preserve">has been undertaken by the </w:t>
      </w:r>
      <w:r>
        <w:t xml:space="preserve">Australian </w:t>
      </w:r>
      <w:r w:rsidR="002D2E99" w:rsidRPr="002D2E99">
        <w:t>animal sector to address AMR</w:t>
      </w:r>
      <w:r w:rsidR="002D2E99">
        <w:t>.</w:t>
      </w:r>
      <w:r w:rsidR="002D2E99" w:rsidRPr="002D2E99">
        <w:t xml:space="preserve"> </w:t>
      </w:r>
      <w:r w:rsidR="006C5BD4">
        <w:t>Implementing t</w:t>
      </w:r>
      <w:r w:rsidR="006C5BD4" w:rsidRPr="002D2E99">
        <w:t>his AMR Plan provides an avenue for the sector to document and</w:t>
      </w:r>
      <w:r>
        <w:t xml:space="preserve"> promote</w:t>
      </w:r>
      <w:r w:rsidR="006C5BD4" w:rsidRPr="00570C02">
        <w:t xml:space="preserve"> achievements and results of stewardship activities</w:t>
      </w:r>
      <w:r>
        <w:t>.</w:t>
      </w:r>
      <w:r w:rsidR="00945879">
        <w:t xml:space="preserve"> </w:t>
      </w:r>
      <w:r w:rsidR="002D2E99" w:rsidRPr="00570C02">
        <w:t>Planning for the second National AMR Strategy is in progress</w:t>
      </w:r>
      <w:r w:rsidR="002D2E99">
        <w:t>—t</w:t>
      </w:r>
      <w:r w:rsidR="002D2E99" w:rsidRPr="00570C02">
        <w:t>h</w:t>
      </w:r>
      <w:r w:rsidR="002D2E99">
        <w:t>is</w:t>
      </w:r>
      <w:r w:rsidR="002D2E99" w:rsidRPr="00570C02">
        <w:t xml:space="preserve"> AMR Plan will </w:t>
      </w:r>
      <w:r w:rsidR="002D2E99">
        <w:t xml:space="preserve">enable </w:t>
      </w:r>
      <w:r w:rsidR="002D2E99" w:rsidRPr="00570C02">
        <w:t xml:space="preserve">the animal sector to coordinate its </w:t>
      </w:r>
      <w:r w:rsidR="002D2E99">
        <w:t xml:space="preserve">contributions </w:t>
      </w:r>
      <w:r w:rsidR="002D2E99" w:rsidRPr="00570C02">
        <w:t>to the second strategy</w:t>
      </w:r>
      <w:r w:rsidR="002D2E99">
        <w:t xml:space="preserve">, to </w:t>
      </w:r>
      <w:r w:rsidR="002D2E99" w:rsidRPr="00570C02">
        <w:t>ensure the animal sector’s interests are well</w:t>
      </w:r>
      <w:r w:rsidR="002D2E99" w:rsidRPr="00570C02">
        <w:noBreakHyphen/>
        <w:t>represented</w:t>
      </w:r>
      <w:r w:rsidR="002D2E99">
        <w:t xml:space="preserve">. </w:t>
      </w:r>
      <w:r w:rsidR="002D2E99" w:rsidRPr="00570C02">
        <w:t xml:space="preserve"> </w:t>
      </w:r>
      <w:r w:rsidR="006C5BD4" w:rsidRPr="00570C02">
        <w:t xml:space="preserve">Importantly, </w:t>
      </w:r>
      <w:r w:rsidR="00945879">
        <w:t>it will enable closer</w:t>
      </w:r>
      <w:r w:rsidR="006C5BD4" w:rsidRPr="00570C02">
        <w:t xml:space="preserve"> </w:t>
      </w:r>
      <w:r w:rsidR="00945879">
        <w:t>collaboration with</w:t>
      </w:r>
      <w:r w:rsidR="006C5BD4" w:rsidRPr="00570C02">
        <w:t xml:space="preserve"> the aquatic, companion and performance animal sectors</w:t>
      </w:r>
      <w:r w:rsidR="006C5BD4">
        <w:t>.</w:t>
      </w:r>
      <w:r w:rsidR="00945879">
        <w:t xml:space="preserve"> </w:t>
      </w:r>
      <w:r w:rsidR="002D2E99">
        <w:t xml:space="preserve">An animal sector AMR action plan will be drafted by the Focus Group </w:t>
      </w:r>
      <w:r>
        <w:t xml:space="preserve">for </w:t>
      </w:r>
      <w:r w:rsidR="002D2E99">
        <w:t xml:space="preserve">consultation with animal sector stakeholders to provide an avenue to implement this AMR Plan. An action plan </w:t>
      </w:r>
      <w:r>
        <w:t xml:space="preserve">will </w:t>
      </w:r>
      <w:r w:rsidR="002D2E99">
        <w:t>identify</w:t>
      </w:r>
      <w:r w:rsidR="002D2E99" w:rsidRPr="00570C02">
        <w:t xml:space="preserve"> </w:t>
      </w:r>
      <w:r w:rsidR="00945879">
        <w:t xml:space="preserve">will </w:t>
      </w:r>
      <w:r w:rsidR="002D2E99" w:rsidRPr="00570C02">
        <w:t>what is working well, what changes need to be made, what further actions are required and to prioritise these</w:t>
      </w:r>
      <w:r>
        <w:t xml:space="preserve">, and provide the sector’s input into the second National </w:t>
      </w:r>
      <w:r w:rsidR="00401255">
        <w:t xml:space="preserve">AMR </w:t>
      </w:r>
      <w:r>
        <w:t>Strategy.</w:t>
      </w:r>
    </w:p>
    <w:p w14:paraId="11830D96" w14:textId="77777777" w:rsidR="002D2E99" w:rsidRDefault="002D2E99" w:rsidP="002D2E99"/>
    <w:p w14:paraId="7802E5E7" w14:textId="77777777" w:rsidR="002D2E99" w:rsidRPr="002D2E99" w:rsidRDefault="002D2E99" w:rsidP="002D2E99">
      <w:pPr>
        <w:rPr>
          <w:lang w:eastAsia="ja-JP"/>
        </w:rPr>
      </w:pPr>
    </w:p>
    <w:p w14:paraId="4A72581D" w14:textId="2BB3C6BB" w:rsidR="00AF61C3" w:rsidRDefault="006C4993">
      <w:pPr>
        <w:pStyle w:val="Heading2"/>
        <w:ind w:left="709" w:hanging="709"/>
      </w:pPr>
      <w:bookmarkStart w:id="37" w:name="_Toc1636188"/>
      <w:bookmarkStart w:id="38" w:name="_Toc430782160"/>
      <w:bookmarkEnd w:id="36"/>
      <w:r>
        <w:lastRenderedPageBreak/>
        <w:t xml:space="preserve">Appendix A: </w:t>
      </w:r>
      <w:r w:rsidR="0061134F" w:rsidRPr="0061134F">
        <w:t>Focus Group Members</w:t>
      </w:r>
      <w:bookmarkEnd w:id="37"/>
      <w:r w:rsidR="0061134F">
        <w:t xml:space="preserve"> </w:t>
      </w:r>
      <w:bookmarkEnd w:id="38"/>
    </w:p>
    <w:tbl>
      <w:tblPr>
        <w:tblW w:w="5022" w:type="pct"/>
        <w:tblBorders>
          <w:top w:val="single" w:sz="6" w:space="0" w:color="auto"/>
          <w:bottom w:val="single" w:sz="4" w:space="0" w:color="auto"/>
        </w:tblBorders>
        <w:tblCellMar>
          <w:left w:w="40" w:type="dxa"/>
          <w:right w:w="40" w:type="dxa"/>
        </w:tblCellMar>
        <w:tblLook w:val="0000" w:firstRow="0" w:lastRow="0" w:firstColumn="0" w:lastColumn="0" w:noHBand="0" w:noVBand="0"/>
      </w:tblPr>
      <w:tblGrid>
        <w:gridCol w:w="2218"/>
        <w:gridCol w:w="151"/>
        <w:gridCol w:w="151"/>
        <w:gridCol w:w="40"/>
        <w:gridCol w:w="6510"/>
        <w:gridCol w:w="40"/>
      </w:tblGrid>
      <w:tr w:rsidR="006A76C3" w14:paraId="4A725826" w14:textId="77777777" w:rsidTr="006A76C3">
        <w:trPr>
          <w:cantSplit/>
          <w:trHeight w:val="494"/>
          <w:tblHeader/>
        </w:trPr>
        <w:tc>
          <w:tcPr>
            <w:tcW w:w="1217" w:type="pct"/>
            <w:tcMar>
              <w:left w:w="108" w:type="dxa"/>
              <w:right w:w="108" w:type="dxa"/>
            </w:tcMar>
          </w:tcPr>
          <w:p w14:paraId="4A72581F" w14:textId="4BDBEB3B" w:rsidR="006A76C3" w:rsidRPr="00A52D49" w:rsidRDefault="006A76C3" w:rsidP="0061134F">
            <w:pPr>
              <w:pStyle w:val="TableHeading"/>
              <w:rPr>
                <w:sz w:val="22"/>
              </w:rPr>
            </w:pPr>
            <w:r w:rsidRPr="00A52D49">
              <w:rPr>
                <w:sz w:val="22"/>
              </w:rPr>
              <w:t xml:space="preserve">Member </w:t>
            </w:r>
          </w:p>
        </w:tc>
        <w:tc>
          <w:tcPr>
            <w:tcW w:w="83" w:type="pct"/>
          </w:tcPr>
          <w:p w14:paraId="7A319072" w14:textId="77777777" w:rsidR="006A76C3" w:rsidRPr="00A52D49" w:rsidRDefault="006A76C3">
            <w:pPr>
              <w:pStyle w:val="TableHeading"/>
              <w:jc w:val="right"/>
              <w:rPr>
                <w:sz w:val="22"/>
              </w:rPr>
            </w:pPr>
          </w:p>
        </w:tc>
        <w:tc>
          <w:tcPr>
            <w:tcW w:w="105" w:type="pct"/>
            <w:gridSpan w:val="2"/>
          </w:tcPr>
          <w:p w14:paraId="12BBECC1" w14:textId="51425E89" w:rsidR="006A76C3" w:rsidRPr="00A52D49" w:rsidRDefault="006A76C3">
            <w:pPr>
              <w:pStyle w:val="TableHeading"/>
              <w:jc w:val="right"/>
              <w:rPr>
                <w:sz w:val="22"/>
              </w:rPr>
            </w:pPr>
          </w:p>
        </w:tc>
        <w:tc>
          <w:tcPr>
            <w:tcW w:w="3595" w:type="pct"/>
            <w:gridSpan w:val="2"/>
            <w:tcMar>
              <w:left w:w="108" w:type="dxa"/>
              <w:right w:w="108" w:type="dxa"/>
            </w:tcMar>
          </w:tcPr>
          <w:p w14:paraId="4A725820" w14:textId="113E0113" w:rsidR="006A76C3" w:rsidRPr="00A52D49" w:rsidRDefault="006A76C3" w:rsidP="0061134F">
            <w:pPr>
              <w:pStyle w:val="TableHeading"/>
              <w:rPr>
                <w:sz w:val="22"/>
              </w:rPr>
            </w:pPr>
            <w:r w:rsidRPr="00A52D49">
              <w:rPr>
                <w:sz w:val="22"/>
              </w:rPr>
              <w:t>Expertise and Affiliation</w:t>
            </w:r>
          </w:p>
        </w:tc>
      </w:tr>
      <w:tr w:rsidR="006A76C3" w14:paraId="4A725830" w14:textId="77777777" w:rsidTr="006A76C3">
        <w:trPr>
          <w:gridAfter w:val="1"/>
          <w:wAfter w:w="22" w:type="pct"/>
          <w:cantSplit/>
          <w:tblHeader/>
        </w:trPr>
        <w:tc>
          <w:tcPr>
            <w:tcW w:w="1217" w:type="pct"/>
            <w:tcMar>
              <w:left w:w="108" w:type="dxa"/>
              <w:right w:w="108" w:type="dxa"/>
            </w:tcMar>
          </w:tcPr>
          <w:p w14:paraId="4A725829" w14:textId="4AF372A8" w:rsidR="006A76C3" w:rsidRPr="00A52D49" w:rsidRDefault="006A76C3" w:rsidP="00153CEF">
            <w:pPr>
              <w:spacing w:after="0" w:line="240" w:lineRule="auto"/>
            </w:pPr>
            <w:r w:rsidRPr="00A52D49">
              <w:rPr>
                <w:lang w:eastAsia="ja-JP"/>
              </w:rPr>
              <w:t>Raana Asgar</w:t>
            </w:r>
          </w:p>
        </w:tc>
        <w:tc>
          <w:tcPr>
            <w:tcW w:w="83" w:type="pct"/>
          </w:tcPr>
          <w:p w14:paraId="65AF0174" w14:textId="77777777" w:rsidR="006A76C3" w:rsidRPr="00A52D49" w:rsidRDefault="006A76C3" w:rsidP="00153CEF">
            <w:pPr>
              <w:spacing w:after="0"/>
              <w:rPr>
                <w:lang w:eastAsia="ja-JP"/>
              </w:rPr>
            </w:pPr>
          </w:p>
        </w:tc>
        <w:tc>
          <w:tcPr>
            <w:tcW w:w="83" w:type="pct"/>
          </w:tcPr>
          <w:p w14:paraId="2D6B041E" w14:textId="5A7F6E15" w:rsidR="006A76C3" w:rsidRPr="00A52D49" w:rsidRDefault="006A76C3" w:rsidP="00153CEF">
            <w:pPr>
              <w:spacing w:after="0"/>
              <w:rPr>
                <w:lang w:eastAsia="ja-JP"/>
              </w:rPr>
            </w:pPr>
          </w:p>
        </w:tc>
        <w:tc>
          <w:tcPr>
            <w:tcW w:w="3595" w:type="pct"/>
            <w:gridSpan w:val="2"/>
            <w:tcMar>
              <w:left w:w="108" w:type="dxa"/>
              <w:right w:w="108" w:type="dxa"/>
            </w:tcMar>
          </w:tcPr>
          <w:p w14:paraId="4A72582A" w14:textId="4E765A17" w:rsidR="006A76C3" w:rsidRPr="00A52D49" w:rsidRDefault="006A76C3" w:rsidP="00153CEF">
            <w:pPr>
              <w:spacing w:after="0" w:line="240" w:lineRule="auto"/>
            </w:pPr>
            <w:r w:rsidRPr="00A52D49">
              <w:t>Veterinary Public Health Veterinarian &amp; Australian Government Department of Agriculture and Water Resources</w:t>
            </w:r>
          </w:p>
        </w:tc>
      </w:tr>
      <w:tr w:rsidR="006A76C3" w14:paraId="4A725838" w14:textId="77777777" w:rsidTr="006A76C3">
        <w:trPr>
          <w:gridAfter w:val="1"/>
          <w:wAfter w:w="22" w:type="pct"/>
          <w:cantSplit/>
          <w:tblHeader/>
        </w:trPr>
        <w:tc>
          <w:tcPr>
            <w:tcW w:w="1217" w:type="pct"/>
            <w:tcMar>
              <w:left w:w="108" w:type="dxa"/>
              <w:right w:w="108" w:type="dxa"/>
            </w:tcMar>
          </w:tcPr>
          <w:p w14:paraId="4A725831" w14:textId="3FEBC447" w:rsidR="006A76C3" w:rsidRPr="00A52D49" w:rsidRDefault="006A76C3" w:rsidP="00153CEF">
            <w:pPr>
              <w:spacing w:after="0" w:line="240" w:lineRule="auto"/>
            </w:pPr>
            <w:r w:rsidRPr="00A52D49">
              <w:rPr>
                <w:lang w:eastAsia="ja-JP"/>
              </w:rPr>
              <w:t xml:space="preserve">Tony </w:t>
            </w:r>
            <w:proofErr w:type="spellStart"/>
            <w:r w:rsidRPr="00A52D49">
              <w:rPr>
                <w:lang w:eastAsia="ja-JP"/>
              </w:rPr>
              <w:t>Batterham</w:t>
            </w:r>
            <w:proofErr w:type="spellEnd"/>
          </w:p>
        </w:tc>
        <w:tc>
          <w:tcPr>
            <w:tcW w:w="83" w:type="pct"/>
          </w:tcPr>
          <w:p w14:paraId="3FF70E99" w14:textId="77777777" w:rsidR="006A76C3" w:rsidRPr="00A52D49" w:rsidRDefault="006A76C3" w:rsidP="00153CEF">
            <w:pPr>
              <w:spacing w:after="0"/>
              <w:rPr>
                <w:lang w:eastAsia="ja-JP"/>
              </w:rPr>
            </w:pPr>
          </w:p>
        </w:tc>
        <w:tc>
          <w:tcPr>
            <w:tcW w:w="83" w:type="pct"/>
          </w:tcPr>
          <w:p w14:paraId="2589B97F" w14:textId="05D7B994" w:rsidR="006A76C3" w:rsidRPr="00A52D49" w:rsidRDefault="006A76C3" w:rsidP="00153CEF">
            <w:pPr>
              <w:spacing w:after="0"/>
              <w:rPr>
                <w:lang w:eastAsia="ja-JP"/>
              </w:rPr>
            </w:pPr>
          </w:p>
        </w:tc>
        <w:tc>
          <w:tcPr>
            <w:tcW w:w="3595" w:type="pct"/>
            <w:gridSpan w:val="2"/>
            <w:tcMar>
              <w:left w:w="108" w:type="dxa"/>
              <w:right w:w="108" w:type="dxa"/>
            </w:tcMar>
          </w:tcPr>
          <w:p w14:paraId="4A725832" w14:textId="7D89AB9E" w:rsidR="006A76C3" w:rsidRPr="00A52D49" w:rsidRDefault="006A76C3" w:rsidP="00153CEF">
            <w:pPr>
              <w:spacing w:after="0" w:line="240" w:lineRule="auto"/>
            </w:pPr>
            <w:r w:rsidRPr="00A52D49">
              <w:t>Feedlot Veterinarian &amp; Australian Lot Feeders Association</w:t>
            </w:r>
          </w:p>
        </w:tc>
      </w:tr>
      <w:tr w:rsidR="006A76C3" w14:paraId="4A725840" w14:textId="77777777" w:rsidTr="006A76C3">
        <w:trPr>
          <w:gridAfter w:val="1"/>
          <w:wAfter w:w="22" w:type="pct"/>
          <w:cantSplit/>
          <w:tblHeader/>
        </w:trPr>
        <w:tc>
          <w:tcPr>
            <w:tcW w:w="1217" w:type="pct"/>
            <w:tcMar>
              <w:left w:w="108" w:type="dxa"/>
              <w:right w:w="108" w:type="dxa"/>
            </w:tcMar>
          </w:tcPr>
          <w:p w14:paraId="4A725839" w14:textId="6B17E501" w:rsidR="006A76C3" w:rsidRPr="00A52D49" w:rsidRDefault="006A76C3" w:rsidP="00153CEF">
            <w:pPr>
              <w:spacing w:after="0" w:line="240" w:lineRule="auto"/>
            </w:pPr>
            <w:r w:rsidRPr="00A52D49">
              <w:rPr>
                <w:lang w:eastAsia="ja-JP"/>
              </w:rPr>
              <w:t>Charmian Bennett</w:t>
            </w:r>
          </w:p>
        </w:tc>
        <w:tc>
          <w:tcPr>
            <w:tcW w:w="83" w:type="pct"/>
          </w:tcPr>
          <w:p w14:paraId="587498B4" w14:textId="77777777" w:rsidR="006A76C3" w:rsidRPr="00A52D49" w:rsidRDefault="006A76C3" w:rsidP="00153CEF">
            <w:pPr>
              <w:spacing w:after="0"/>
              <w:rPr>
                <w:lang w:eastAsia="ja-JP"/>
              </w:rPr>
            </w:pPr>
          </w:p>
        </w:tc>
        <w:tc>
          <w:tcPr>
            <w:tcW w:w="83" w:type="pct"/>
          </w:tcPr>
          <w:p w14:paraId="5BD669AB" w14:textId="03F7E764" w:rsidR="006A76C3" w:rsidRPr="00A52D49" w:rsidRDefault="006A76C3" w:rsidP="00153CEF">
            <w:pPr>
              <w:spacing w:after="0"/>
              <w:rPr>
                <w:lang w:eastAsia="ja-JP"/>
              </w:rPr>
            </w:pPr>
          </w:p>
        </w:tc>
        <w:tc>
          <w:tcPr>
            <w:tcW w:w="3595" w:type="pct"/>
            <w:gridSpan w:val="2"/>
            <w:tcMar>
              <w:left w:w="108" w:type="dxa"/>
              <w:right w:w="108" w:type="dxa"/>
            </w:tcMar>
          </w:tcPr>
          <w:p w14:paraId="4A72583A" w14:textId="2F9E0299" w:rsidR="006A76C3" w:rsidRPr="00A52D49" w:rsidRDefault="006A76C3" w:rsidP="00153CEF">
            <w:pPr>
              <w:spacing w:after="0" w:line="240" w:lineRule="auto"/>
            </w:pPr>
            <w:r w:rsidRPr="00A52D49">
              <w:t>Animal Medicines Australia</w:t>
            </w:r>
          </w:p>
        </w:tc>
      </w:tr>
      <w:tr w:rsidR="006A76C3" w14:paraId="4A725848" w14:textId="77777777" w:rsidTr="006A76C3">
        <w:trPr>
          <w:gridAfter w:val="1"/>
          <w:wAfter w:w="22" w:type="pct"/>
          <w:cantSplit/>
          <w:tblHeader/>
        </w:trPr>
        <w:tc>
          <w:tcPr>
            <w:tcW w:w="1217" w:type="pct"/>
            <w:tcMar>
              <w:left w:w="108" w:type="dxa"/>
              <w:right w:w="108" w:type="dxa"/>
            </w:tcMar>
          </w:tcPr>
          <w:p w14:paraId="4A725841" w14:textId="74D784A6" w:rsidR="006A76C3" w:rsidRPr="00A52D49" w:rsidRDefault="006A76C3" w:rsidP="00153CEF">
            <w:pPr>
              <w:spacing w:after="0" w:line="240" w:lineRule="auto"/>
            </w:pPr>
            <w:r w:rsidRPr="00A52D49">
              <w:rPr>
                <w:lang w:eastAsia="ja-JP"/>
              </w:rPr>
              <w:t xml:space="preserve">Jo </w:t>
            </w:r>
            <w:proofErr w:type="spellStart"/>
            <w:r w:rsidRPr="00A52D49">
              <w:rPr>
                <w:lang w:eastAsia="ja-JP"/>
              </w:rPr>
              <w:t>Coombe</w:t>
            </w:r>
            <w:proofErr w:type="spellEnd"/>
          </w:p>
        </w:tc>
        <w:tc>
          <w:tcPr>
            <w:tcW w:w="83" w:type="pct"/>
          </w:tcPr>
          <w:p w14:paraId="55AA99AD" w14:textId="77777777" w:rsidR="006A76C3" w:rsidRPr="00A52D49" w:rsidRDefault="006A76C3" w:rsidP="00153CEF">
            <w:pPr>
              <w:spacing w:after="0"/>
              <w:rPr>
                <w:lang w:eastAsia="ja-JP"/>
              </w:rPr>
            </w:pPr>
          </w:p>
        </w:tc>
        <w:tc>
          <w:tcPr>
            <w:tcW w:w="83" w:type="pct"/>
          </w:tcPr>
          <w:p w14:paraId="6D2FC754" w14:textId="0C132622" w:rsidR="006A76C3" w:rsidRPr="00A52D49" w:rsidRDefault="006A76C3" w:rsidP="00153CEF">
            <w:pPr>
              <w:spacing w:after="0"/>
              <w:rPr>
                <w:lang w:eastAsia="ja-JP"/>
              </w:rPr>
            </w:pPr>
          </w:p>
        </w:tc>
        <w:tc>
          <w:tcPr>
            <w:tcW w:w="3595" w:type="pct"/>
            <w:gridSpan w:val="2"/>
            <w:tcMar>
              <w:left w:w="108" w:type="dxa"/>
              <w:right w:w="108" w:type="dxa"/>
            </w:tcMar>
          </w:tcPr>
          <w:p w14:paraId="4A725842" w14:textId="4BA0A6E7" w:rsidR="006A76C3" w:rsidRPr="00A52D49" w:rsidRDefault="006A76C3" w:rsidP="00153CEF">
            <w:pPr>
              <w:spacing w:after="0" w:line="240" w:lineRule="auto"/>
            </w:pPr>
            <w:r w:rsidRPr="00A52D49">
              <w:t>Dairy Veterinarian &amp; Dairy Australia</w:t>
            </w:r>
          </w:p>
        </w:tc>
      </w:tr>
      <w:tr w:rsidR="006A76C3" w14:paraId="4A725850" w14:textId="77777777" w:rsidTr="006A76C3">
        <w:trPr>
          <w:gridAfter w:val="1"/>
          <w:wAfter w:w="22" w:type="pct"/>
          <w:cantSplit/>
          <w:tblHeader/>
        </w:trPr>
        <w:tc>
          <w:tcPr>
            <w:tcW w:w="1217" w:type="pct"/>
            <w:tcMar>
              <w:left w:w="108" w:type="dxa"/>
              <w:right w:w="108" w:type="dxa"/>
            </w:tcMar>
          </w:tcPr>
          <w:p w14:paraId="4A725849" w14:textId="699FD57F" w:rsidR="006A76C3" w:rsidRPr="00A52D49" w:rsidRDefault="006A76C3" w:rsidP="00153CEF">
            <w:pPr>
              <w:spacing w:after="0" w:line="240" w:lineRule="auto"/>
            </w:pPr>
            <w:r w:rsidRPr="00A52D49">
              <w:rPr>
                <w:lang w:eastAsia="ja-JP"/>
              </w:rPr>
              <w:t>Louise Edwards</w:t>
            </w:r>
          </w:p>
        </w:tc>
        <w:tc>
          <w:tcPr>
            <w:tcW w:w="83" w:type="pct"/>
          </w:tcPr>
          <w:p w14:paraId="18F8048C" w14:textId="77777777" w:rsidR="006A76C3" w:rsidRPr="00A52D49" w:rsidRDefault="006A76C3" w:rsidP="00153CEF">
            <w:pPr>
              <w:spacing w:after="0"/>
              <w:rPr>
                <w:lang w:eastAsia="ja-JP"/>
              </w:rPr>
            </w:pPr>
          </w:p>
        </w:tc>
        <w:tc>
          <w:tcPr>
            <w:tcW w:w="83" w:type="pct"/>
          </w:tcPr>
          <w:p w14:paraId="36DBBBF9" w14:textId="0CD66BF3" w:rsidR="006A76C3" w:rsidRPr="00A52D49" w:rsidRDefault="006A76C3" w:rsidP="00153CEF">
            <w:pPr>
              <w:spacing w:after="0"/>
              <w:rPr>
                <w:lang w:eastAsia="ja-JP"/>
              </w:rPr>
            </w:pPr>
          </w:p>
        </w:tc>
        <w:tc>
          <w:tcPr>
            <w:tcW w:w="3595" w:type="pct"/>
            <w:gridSpan w:val="2"/>
            <w:tcMar>
              <w:left w:w="108" w:type="dxa"/>
              <w:right w:w="108" w:type="dxa"/>
            </w:tcMar>
          </w:tcPr>
          <w:p w14:paraId="4A72584A" w14:textId="5CFED26E" w:rsidR="006A76C3" w:rsidRPr="00A52D49" w:rsidRDefault="006A76C3" w:rsidP="00153CEF">
            <w:pPr>
              <w:spacing w:after="0" w:line="240" w:lineRule="auto"/>
            </w:pPr>
            <w:r w:rsidRPr="00A52D49">
              <w:t xml:space="preserve">Animal Feed Industry </w:t>
            </w:r>
          </w:p>
        </w:tc>
      </w:tr>
      <w:tr w:rsidR="006A76C3" w14:paraId="4A725858" w14:textId="77777777" w:rsidTr="006A76C3">
        <w:trPr>
          <w:gridAfter w:val="1"/>
          <w:wAfter w:w="22" w:type="pct"/>
          <w:cantSplit/>
          <w:tblHeader/>
        </w:trPr>
        <w:tc>
          <w:tcPr>
            <w:tcW w:w="1217" w:type="pct"/>
            <w:tcMar>
              <w:left w:w="108" w:type="dxa"/>
              <w:right w:w="108" w:type="dxa"/>
            </w:tcMar>
          </w:tcPr>
          <w:p w14:paraId="4A725851" w14:textId="0D2848C2" w:rsidR="006A76C3" w:rsidRPr="00A52D49" w:rsidRDefault="006A76C3" w:rsidP="00153CEF">
            <w:pPr>
              <w:spacing w:after="0" w:line="240" w:lineRule="auto"/>
            </w:pPr>
            <w:r w:rsidRPr="00A52D49">
              <w:rPr>
                <w:lang w:eastAsia="ja-JP"/>
              </w:rPr>
              <w:t>Bernie Gleeson</w:t>
            </w:r>
          </w:p>
        </w:tc>
        <w:tc>
          <w:tcPr>
            <w:tcW w:w="83" w:type="pct"/>
          </w:tcPr>
          <w:p w14:paraId="2BBE820A" w14:textId="77777777" w:rsidR="006A76C3" w:rsidRPr="00A52D49" w:rsidRDefault="006A76C3" w:rsidP="00153CEF">
            <w:pPr>
              <w:spacing w:after="0"/>
              <w:rPr>
                <w:lang w:eastAsia="ja-JP"/>
              </w:rPr>
            </w:pPr>
          </w:p>
        </w:tc>
        <w:tc>
          <w:tcPr>
            <w:tcW w:w="83" w:type="pct"/>
          </w:tcPr>
          <w:p w14:paraId="3F9DE4B8" w14:textId="7DD33C55" w:rsidR="006A76C3" w:rsidRPr="00A52D49" w:rsidRDefault="006A76C3" w:rsidP="00153CEF">
            <w:pPr>
              <w:spacing w:after="0"/>
              <w:rPr>
                <w:lang w:eastAsia="ja-JP"/>
              </w:rPr>
            </w:pPr>
          </w:p>
        </w:tc>
        <w:tc>
          <w:tcPr>
            <w:tcW w:w="3595" w:type="pct"/>
            <w:gridSpan w:val="2"/>
            <w:tcMar>
              <w:left w:w="108" w:type="dxa"/>
              <w:right w:w="108" w:type="dxa"/>
            </w:tcMar>
          </w:tcPr>
          <w:p w14:paraId="4A725852" w14:textId="26C71C85" w:rsidR="006A76C3" w:rsidRPr="00A52D49" w:rsidRDefault="006A76C3" w:rsidP="00153CEF">
            <w:pPr>
              <w:spacing w:after="0" w:line="240" w:lineRule="auto"/>
            </w:pPr>
            <w:r w:rsidRPr="00A52D49">
              <w:t>Pig Veterinarian</w:t>
            </w:r>
          </w:p>
        </w:tc>
      </w:tr>
      <w:tr w:rsidR="006A76C3" w14:paraId="4A725860" w14:textId="77777777" w:rsidTr="006A76C3">
        <w:trPr>
          <w:gridAfter w:val="1"/>
          <w:wAfter w:w="22" w:type="pct"/>
          <w:cantSplit/>
          <w:tblHeader/>
        </w:trPr>
        <w:tc>
          <w:tcPr>
            <w:tcW w:w="1217" w:type="pct"/>
            <w:tcMar>
              <w:left w:w="108" w:type="dxa"/>
              <w:right w:w="108" w:type="dxa"/>
            </w:tcMar>
          </w:tcPr>
          <w:p w14:paraId="4A725859" w14:textId="79E832D5" w:rsidR="006A76C3" w:rsidRPr="00A52D49" w:rsidRDefault="006A76C3" w:rsidP="00153CEF">
            <w:pPr>
              <w:spacing w:after="0" w:line="240" w:lineRule="auto"/>
            </w:pPr>
            <w:r w:rsidRPr="00A52D49">
              <w:rPr>
                <w:lang w:eastAsia="ja-JP"/>
              </w:rPr>
              <w:t xml:space="preserve">James </w:t>
            </w:r>
            <w:proofErr w:type="spellStart"/>
            <w:r w:rsidRPr="00A52D49">
              <w:rPr>
                <w:lang w:eastAsia="ja-JP"/>
              </w:rPr>
              <w:t>Gilkerson</w:t>
            </w:r>
            <w:proofErr w:type="spellEnd"/>
          </w:p>
        </w:tc>
        <w:tc>
          <w:tcPr>
            <w:tcW w:w="83" w:type="pct"/>
          </w:tcPr>
          <w:p w14:paraId="0B75AD84" w14:textId="77777777" w:rsidR="006A76C3" w:rsidRPr="00A52D49" w:rsidRDefault="006A76C3" w:rsidP="00153CEF">
            <w:pPr>
              <w:spacing w:after="0"/>
              <w:rPr>
                <w:lang w:eastAsia="ja-JP"/>
              </w:rPr>
            </w:pPr>
          </w:p>
        </w:tc>
        <w:tc>
          <w:tcPr>
            <w:tcW w:w="83" w:type="pct"/>
          </w:tcPr>
          <w:p w14:paraId="1B4992CE" w14:textId="468F8888" w:rsidR="006A76C3" w:rsidRPr="00A52D49" w:rsidRDefault="006A76C3" w:rsidP="00153CEF">
            <w:pPr>
              <w:spacing w:after="0"/>
              <w:rPr>
                <w:lang w:eastAsia="ja-JP"/>
              </w:rPr>
            </w:pPr>
          </w:p>
        </w:tc>
        <w:tc>
          <w:tcPr>
            <w:tcW w:w="3595" w:type="pct"/>
            <w:gridSpan w:val="2"/>
            <w:tcMar>
              <w:left w:w="108" w:type="dxa"/>
              <w:right w:w="108" w:type="dxa"/>
            </w:tcMar>
          </w:tcPr>
          <w:p w14:paraId="4A72585A" w14:textId="275C4ED9" w:rsidR="006A76C3" w:rsidRPr="00A52D49" w:rsidRDefault="006A76C3" w:rsidP="00153CEF">
            <w:pPr>
              <w:spacing w:after="0" w:line="240" w:lineRule="auto"/>
            </w:pPr>
            <w:r w:rsidRPr="00A52D49">
              <w:t>Equine Veterinarian &amp; University of Melbourne</w:t>
            </w:r>
          </w:p>
        </w:tc>
      </w:tr>
      <w:tr w:rsidR="006A76C3" w14:paraId="4A725868" w14:textId="77777777" w:rsidTr="006A76C3">
        <w:trPr>
          <w:gridAfter w:val="1"/>
          <w:wAfter w:w="22" w:type="pct"/>
          <w:cantSplit/>
          <w:tblHeader/>
        </w:trPr>
        <w:tc>
          <w:tcPr>
            <w:tcW w:w="1217" w:type="pct"/>
            <w:tcMar>
              <w:left w:w="108" w:type="dxa"/>
              <w:right w:w="108" w:type="dxa"/>
            </w:tcMar>
          </w:tcPr>
          <w:p w14:paraId="4A725861" w14:textId="13E990FC" w:rsidR="006A76C3" w:rsidRPr="00A52D49" w:rsidRDefault="006A76C3" w:rsidP="00153CEF">
            <w:pPr>
              <w:spacing w:after="0" w:line="240" w:lineRule="auto"/>
            </w:pPr>
            <w:r w:rsidRPr="00A52D49">
              <w:rPr>
                <w:lang w:eastAsia="ja-JP"/>
              </w:rPr>
              <w:t>Kylie Hewson</w:t>
            </w:r>
          </w:p>
        </w:tc>
        <w:tc>
          <w:tcPr>
            <w:tcW w:w="83" w:type="pct"/>
          </w:tcPr>
          <w:p w14:paraId="3966E75C" w14:textId="77777777" w:rsidR="006A76C3" w:rsidRPr="00A52D49" w:rsidRDefault="006A76C3" w:rsidP="00153CEF">
            <w:pPr>
              <w:spacing w:after="0"/>
              <w:rPr>
                <w:lang w:eastAsia="ja-JP"/>
              </w:rPr>
            </w:pPr>
          </w:p>
        </w:tc>
        <w:tc>
          <w:tcPr>
            <w:tcW w:w="83" w:type="pct"/>
          </w:tcPr>
          <w:p w14:paraId="21176D58" w14:textId="3C8E47D7" w:rsidR="006A76C3" w:rsidRPr="00A52D49" w:rsidRDefault="006A76C3" w:rsidP="00153CEF">
            <w:pPr>
              <w:spacing w:after="0"/>
              <w:rPr>
                <w:lang w:eastAsia="ja-JP"/>
              </w:rPr>
            </w:pPr>
          </w:p>
        </w:tc>
        <w:tc>
          <w:tcPr>
            <w:tcW w:w="3595" w:type="pct"/>
            <w:gridSpan w:val="2"/>
            <w:tcMar>
              <w:left w:w="108" w:type="dxa"/>
              <w:right w:w="108" w:type="dxa"/>
            </w:tcMar>
          </w:tcPr>
          <w:p w14:paraId="4A725862" w14:textId="7091B69C" w:rsidR="006A76C3" w:rsidRPr="00A52D49" w:rsidRDefault="006A76C3" w:rsidP="00153CEF">
            <w:pPr>
              <w:spacing w:after="0" w:line="240" w:lineRule="auto"/>
            </w:pPr>
            <w:r w:rsidRPr="00A52D49">
              <w:t>Australian Chicken Meat Federation</w:t>
            </w:r>
          </w:p>
        </w:tc>
      </w:tr>
      <w:tr w:rsidR="006A76C3" w14:paraId="4A725870" w14:textId="77777777" w:rsidTr="006A76C3">
        <w:trPr>
          <w:gridAfter w:val="1"/>
          <w:wAfter w:w="22" w:type="pct"/>
          <w:cantSplit/>
          <w:tblHeader/>
        </w:trPr>
        <w:tc>
          <w:tcPr>
            <w:tcW w:w="1217" w:type="pct"/>
            <w:tcMar>
              <w:left w:w="108" w:type="dxa"/>
              <w:right w:w="108" w:type="dxa"/>
            </w:tcMar>
          </w:tcPr>
          <w:p w14:paraId="4A725869" w14:textId="7D431164" w:rsidR="006A76C3" w:rsidRPr="00A52D49" w:rsidRDefault="006A76C3" w:rsidP="00153CEF">
            <w:pPr>
              <w:spacing w:after="0" w:line="240" w:lineRule="auto"/>
            </w:pPr>
            <w:r w:rsidRPr="00A52D49">
              <w:rPr>
                <w:lang w:eastAsia="ja-JP"/>
              </w:rPr>
              <w:t>Rod Jenner</w:t>
            </w:r>
          </w:p>
        </w:tc>
        <w:tc>
          <w:tcPr>
            <w:tcW w:w="83" w:type="pct"/>
          </w:tcPr>
          <w:p w14:paraId="4B802FAF" w14:textId="77777777" w:rsidR="006A76C3" w:rsidRPr="00A52D49" w:rsidRDefault="006A76C3" w:rsidP="00153CEF">
            <w:pPr>
              <w:spacing w:after="0"/>
              <w:rPr>
                <w:lang w:eastAsia="ja-JP"/>
              </w:rPr>
            </w:pPr>
          </w:p>
        </w:tc>
        <w:tc>
          <w:tcPr>
            <w:tcW w:w="83" w:type="pct"/>
          </w:tcPr>
          <w:p w14:paraId="66B8A034" w14:textId="3BC68F9C" w:rsidR="006A76C3" w:rsidRPr="00A52D49" w:rsidRDefault="006A76C3" w:rsidP="00153CEF">
            <w:pPr>
              <w:spacing w:after="0"/>
              <w:rPr>
                <w:lang w:eastAsia="ja-JP"/>
              </w:rPr>
            </w:pPr>
          </w:p>
        </w:tc>
        <w:tc>
          <w:tcPr>
            <w:tcW w:w="3595" w:type="pct"/>
            <w:gridSpan w:val="2"/>
            <w:tcMar>
              <w:left w:w="108" w:type="dxa"/>
              <w:right w:w="108" w:type="dxa"/>
            </w:tcMar>
          </w:tcPr>
          <w:p w14:paraId="4A72586A" w14:textId="1ACA8763" w:rsidR="006A76C3" w:rsidRPr="00A52D49" w:rsidRDefault="006A76C3" w:rsidP="00153CEF">
            <w:pPr>
              <w:spacing w:after="0" w:line="240" w:lineRule="auto"/>
            </w:pPr>
            <w:r w:rsidRPr="00A52D49">
              <w:t>Poultry Veterinarian</w:t>
            </w:r>
          </w:p>
        </w:tc>
      </w:tr>
      <w:tr w:rsidR="006A76C3" w14:paraId="4A725878" w14:textId="77777777" w:rsidTr="006A76C3">
        <w:trPr>
          <w:gridAfter w:val="1"/>
          <w:wAfter w:w="22" w:type="pct"/>
          <w:cantSplit/>
          <w:tblHeader/>
        </w:trPr>
        <w:tc>
          <w:tcPr>
            <w:tcW w:w="1217" w:type="pct"/>
            <w:tcMar>
              <w:left w:w="108" w:type="dxa"/>
              <w:right w:w="108" w:type="dxa"/>
            </w:tcMar>
          </w:tcPr>
          <w:p w14:paraId="4A725871" w14:textId="24F5312C" w:rsidR="006A76C3" w:rsidRPr="00A52D49" w:rsidRDefault="006A76C3" w:rsidP="00153CEF">
            <w:pPr>
              <w:spacing w:after="0" w:line="240" w:lineRule="auto"/>
            </w:pPr>
            <w:r w:rsidRPr="00A52D49">
              <w:rPr>
                <w:lang w:eastAsia="ja-JP"/>
              </w:rPr>
              <w:t>Ian Jenson</w:t>
            </w:r>
          </w:p>
        </w:tc>
        <w:tc>
          <w:tcPr>
            <w:tcW w:w="83" w:type="pct"/>
          </w:tcPr>
          <w:p w14:paraId="40C8FE8F" w14:textId="77777777" w:rsidR="006A76C3" w:rsidRPr="00A52D49" w:rsidRDefault="006A76C3" w:rsidP="00153CEF">
            <w:pPr>
              <w:spacing w:after="0"/>
              <w:rPr>
                <w:lang w:eastAsia="ja-JP"/>
              </w:rPr>
            </w:pPr>
          </w:p>
        </w:tc>
        <w:tc>
          <w:tcPr>
            <w:tcW w:w="83" w:type="pct"/>
          </w:tcPr>
          <w:p w14:paraId="58D6776E" w14:textId="0FB22884" w:rsidR="006A76C3" w:rsidRPr="00A52D49" w:rsidRDefault="006A76C3" w:rsidP="00153CEF">
            <w:pPr>
              <w:spacing w:after="0"/>
              <w:rPr>
                <w:lang w:eastAsia="ja-JP"/>
              </w:rPr>
            </w:pPr>
          </w:p>
        </w:tc>
        <w:tc>
          <w:tcPr>
            <w:tcW w:w="3595" w:type="pct"/>
            <w:gridSpan w:val="2"/>
            <w:tcMar>
              <w:left w:w="108" w:type="dxa"/>
              <w:right w:w="108" w:type="dxa"/>
            </w:tcMar>
          </w:tcPr>
          <w:p w14:paraId="4A725872" w14:textId="53E6D06B" w:rsidR="006A76C3" w:rsidRPr="00A52D49" w:rsidRDefault="006A76C3" w:rsidP="00153CEF">
            <w:pPr>
              <w:spacing w:after="0" w:line="240" w:lineRule="auto"/>
            </w:pPr>
            <w:r w:rsidRPr="00A52D49">
              <w:t>Meat and Livestock Australia</w:t>
            </w:r>
          </w:p>
        </w:tc>
      </w:tr>
      <w:tr w:rsidR="006A76C3" w14:paraId="4A725880" w14:textId="77777777" w:rsidTr="006A76C3">
        <w:trPr>
          <w:gridAfter w:val="1"/>
          <w:wAfter w:w="22" w:type="pct"/>
          <w:cantSplit/>
          <w:tblHeader/>
        </w:trPr>
        <w:tc>
          <w:tcPr>
            <w:tcW w:w="1217" w:type="pct"/>
            <w:tcMar>
              <w:left w:w="108" w:type="dxa"/>
              <w:right w:w="108" w:type="dxa"/>
            </w:tcMar>
          </w:tcPr>
          <w:p w14:paraId="4A725879" w14:textId="68044C40" w:rsidR="006A76C3" w:rsidRPr="00A52D49" w:rsidRDefault="006A76C3" w:rsidP="00153CEF">
            <w:pPr>
              <w:spacing w:after="0" w:line="240" w:lineRule="auto"/>
            </w:pPr>
            <w:r w:rsidRPr="00A52D49">
              <w:rPr>
                <w:lang w:eastAsia="ja-JP"/>
              </w:rPr>
              <w:t>David Jordan</w:t>
            </w:r>
          </w:p>
        </w:tc>
        <w:tc>
          <w:tcPr>
            <w:tcW w:w="83" w:type="pct"/>
          </w:tcPr>
          <w:p w14:paraId="50619159" w14:textId="77777777" w:rsidR="006A76C3" w:rsidRPr="00A52D49" w:rsidRDefault="006A76C3" w:rsidP="00153CEF">
            <w:pPr>
              <w:spacing w:after="0"/>
              <w:rPr>
                <w:lang w:eastAsia="ja-JP"/>
              </w:rPr>
            </w:pPr>
          </w:p>
        </w:tc>
        <w:tc>
          <w:tcPr>
            <w:tcW w:w="83" w:type="pct"/>
          </w:tcPr>
          <w:p w14:paraId="30030AE3" w14:textId="79DA8D09" w:rsidR="006A76C3" w:rsidRPr="00A52D49" w:rsidRDefault="006A76C3" w:rsidP="00153CEF">
            <w:pPr>
              <w:spacing w:after="0"/>
              <w:rPr>
                <w:lang w:eastAsia="ja-JP"/>
              </w:rPr>
            </w:pPr>
          </w:p>
        </w:tc>
        <w:tc>
          <w:tcPr>
            <w:tcW w:w="3595" w:type="pct"/>
            <w:gridSpan w:val="2"/>
            <w:tcMar>
              <w:left w:w="108" w:type="dxa"/>
              <w:right w:w="108" w:type="dxa"/>
            </w:tcMar>
          </w:tcPr>
          <w:p w14:paraId="4A72587A" w14:textId="36B099A4" w:rsidR="006A76C3" w:rsidRPr="00A52D49" w:rsidRDefault="006A76C3" w:rsidP="00153CEF">
            <w:pPr>
              <w:spacing w:after="0" w:line="240" w:lineRule="auto"/>
            </w:pPr>
            <w:r w:rsidRPr="00A52D49">
              <w:t>Veterinary Microbiologist &amp; NSW Department of Primary Industries</w:t>
            </w:r>
          </w:p>
        </w:tc>
      </w:tr>
      <w:tr w:rsidR="006A76C3" w14:paraId="4A72588A" w14:textId="77777777" w:rsidTr="006A76C3">
        <w:trPr>
          <w:gridAfter w:val="1"/>
          <w:wAfter w:w="22" w:type="pct"/>
          <w:cantSplit/>
          <w:tblHeader/>
        </w:trPr>
        <w:tc>
          <w:tcPr>
            <w:tcW w:w="1217" w:type="pct"/>
            <w:tcMar>
              <w:left w:w="108" w:type="dxa"/>
              <w:right w:w="108" w:type="dxa"/>
            </w:tcMar>
          </w:tcPr>
          <w:p w14:paraId="4A725883" w14:textId="56FC890A" w:rsidR="006A76C3" w:rsidRPr="00A52D49" w:rsidRDefault="006A76C3" w:rsidP="00153CEF">
            <w:pPr>
              <w:spacing w:after="0" w:line="240" w:lineRule="auto"/>
            </w:pPr>
            <w:r w:rsidRPr="00A52D49">
              <w:rPr>
                <w:lang w:eastAsia="ja-JP"/>
              </w:rPr>
              <w:t>Melanie Latter</w:t>
            </w:r>
          </w:p>
        </w:tc>
        <w:tc>
          <w:tcPr>
            <w:tcW w:w="83" w:type="pct"/>
          </w:tcPr>
          <w:p w14:paraId="2ABAAE85" w14:textId="77777777" w:rsidR="006A76C3" w:rsidRPr="00A52D49" w:rsidRDefault="006A76C3" w:rsidP="00153CEF">
            <w:pPr>
              <w:spacing w:after="0"/>
              <w:rPr>
                <w:lang w:eastAsia="ja-JP"/>
              </w:rPr>
            </w:pPr>
          </w:p>
        </w:tc>
        <w:tc>
          <w:tcPr>
            <w:tcW w:w="83" w:type="pct"/>
          </w:tcPr>
          <w:p w14:paraId="52E42F88" w14:textId="4A11DF92" w:rsidR="006A76C3" w:rsidRPr="00A52D49" w:rsidRDefault="006A76C3" w:rsidP="00153CEF">
            <w:pPr>
              <w:spacing w:after="0"/>
              <w:rPr>
                <w:lang w:eastAsia="ja-JP"/>
              </w:rPr>
            </w:pPr>
          </w:p>
        </w:tc>
        <w:tc>
          <w:tcPr>
            <w:tcW w:w="3595" w:type="pct"/>
            <w:gridSpan w:val="2"/>
            <w:tcMar>
              <w:left w:w="108" w:type="dxa"/>
              <w:right w:w="108" w:type="dxa"/>
            </w:tcMar>
          </w:tcPr>
          <w:p w14:paraId="4A725884" w14:textId="7FC565ED" w:rsidR="006A76C3" w:rsidRPr="00A52D49" w:rsidRDefault="006A76C3" w:rsidP="00153CEF">
            <w:pPr>
              <w:spacing w:after="0" w:line="240" w:lineRule="auto"/>
            </w:pPr>
            <w:r w:rsidRPr="00A52D49">
              <w:t>Animal Welfare Veterinarian &amp; Australian Veterinary Association</w:t>
            </w:r>
          </w:p>
        </w:tc>
      </w:tr>
      <w:tr w:rsidR="006A76C3" w14:paraId="4A725892" w14:textId="77777777" w:rsidTr="006A76C3">
        <w:trPr>
          <w:gridAfter w:val="1"/>
          <w:wAfter w:w="22" w:type="pct"/>
          <w:cantSplit/>
          <w:tblHeader/>
        </w:trPr>
        <w:tc>
          <w:tcPr>
            <w:tcW w:w="1217" w:type="pct"/>
            <w:tcMar>
              <w:left w:w="108" w:type="dxa"/>
              <w:right w:w="108" w:type="dxa"/>
            </w:tcMar>
          </w:tcPr>
          <w:p w14:paraId="4A72588B" w14:textId="03D86691" w:rsidR="006A76C3" w:rsidRPr="00A52D49" w:rsidRDefault="006A76C3" w:rsidP="00153CEF">
            <w:pPr>
              <w:spacing w:after="0" w:line="240" w:lineRule="auto"/>
            </w:pPr>
            <w:r w:rsidRPr="00A52D49">
              <w:rPr>
                <w:lang w:eastAsia="ja-JP"/>
              </w:rPr>
              <w:t>John Messer</w:t>
            </w:r>
          </w:p>
        </w:tc>
        <w:tc>
          <w:tcPr>
            <w:tcW w:w="83" w:type="pct"/>
          </w:tcPr>
          <w:p w14:paraId="021EF3F4" w14:textId="77777777" w:rsidR="006A76C3" w:rsidRPr="00A52D49" w:rsidRDefault="006A76C3" w:rsidP="00153CEF">
            <w:pPr>
              <w:spacing w:after="0"/>
              <w:rPr>
                <w:lang w:eastAsia="ja-JP"/>
              </w:rPr>
            </w:pPr>
          </w:p>
        </w:tc>
        <w:tc>
          <w:tcPr>
            <w:tcW w:w="83" w:type="pct"/>
          </w:tcPr>
          <w:p w14:paraId="00A7257F" w14:textId="56C5ECEC" w:rsidR="006A76C3" w:rsidRPr="00A52D49" w:rsidRDefault="006A76C3" w:rsidP="00153CEF">
            <w:pPr>
              <w:spacing w:after="0"/>
              <w:rPr>
                <w:lang w:eastAsia="ja-JP"/>
              </w:rPr>
            </w:pPr>
          </w:p>
        </w:tc>
        <w:tc>
          <w:tcPr>
            <w:tcW w:w="3595" w:type="pct"/>
            <w:gridSpan w:val="2"/>
            <w:tcMar>
              <w:left w:w="108" w:type="dxa"/>
              <w:right w:w="108" w:type="dxa"/>
            </w:tcMar>
          </w:tcPr>
          <w:p w14:paraId="4A72588C" w14:textId="170046C1" w:rsidR="006A76C3" w:rsidRPr="00A52D49" w:rsidRDefault="006A76C3" w:rsidP="00153CEF">
            <w:pPr>
              <w:spacing w:after="0" w:line="240" w:lineRule="auto"/>
            </w:pPr>
            <w:r w:rsidRPr="00A52D49">
              <w:t>Veterinary Pharmaceutical Industry Veterinarian</w:t>
            </w:r>
          </w:p>
        </w:tc>
      </w:tr>
      <w:tr w:rsidR="006A76C3" w14:paraId="4A72589A" w14:textId="77777777" w:rsidTr="006A76C3">
        <w:trPr>
          <w:gridAfter w:val="1"/>
          <w:wAfter w:w="22" w:type="pct"/>
          <w:cantSplit/>
          <w:tblHeader/>
        </w:trPr>
        <w:tc>
          <w:tcPr>
            <w:tcW w:w="1217" w:type="pct"/>
            <w:tcMar>
              <w:left w:w="108" w:type="dxa"/>
              <w:right w:w="108" w:type="dxa"/>
            </w:tcMar>
          </w:tcPr>
          <w:p w14:paraId="4A725893" w14:textId="739207AF" w:rsidR="006A76C3" w:rsidRPr="00A52D49" w:rsidRDefault="006A76C3" w:rsidP="00153CEF">
            <w:pPr>
              <w:spacing w:after="0" w:line="240" w:lineRule="auto"/>
            </w:pPr>
            <w:r w:rsidRPr="00A52D49">
              <w:rPr>
                <w:lang w:eastAsia="ja-JP"/>
              </w:rPr>
              <w:t>Charles Milne</w:t>
            </w:r>
          </w:p>
        </w:tc>
        <w:tc>
          <w:tcPr>
            <w:tcW w:w="83" w:type="pct"/>
          </w:tcPr>
          <w:p w14:paraId="1B0263C0" w14:textId="77777777" w:rsidR="006A76C3" w:rsidRPr="00A52D49" w:rsidRDefault="006A76C3" w:rsidP="00153CEF">
            <w:pPr>
              <w:spacing w:after="0"/>
              <w:rPr>
                <w:lang w:eastAsia="ja-JP"/>
              </w:rPr>
            </w:pPr>
          </w:p>
        </w:tc>
        <w:tc>
          <w:tcPr>
            <w:tcW w:w="83" w:type="pct"/>
          </w:tcPr>
          <w:p w14:paraId="2E6DA68E" w14:textId="78817F6D" w:rsidR="006A76C3" w:rsidRPr="00A52D49" w:rsidRDefault="006A76C3" w:rsidP="00153CEF">
            <w:pPr>
              <w:spacing w:after="0"/>
              <w:rPr>
                <w:lang w:eastAsia="ja-JP"/>
              </w:rPr>
            </w:pPr>
          </w:p>
        </w:tc>
        <w:tc>
          <w:tcPr>
            <w:tcW w:w="3595" w:type="pct"/>
            <w:gridSpan w:val="2"/>
            <w:tcMar>
              <w:left w:w="108" w:type="dxa"/>
              <w:right w:w="108" w:type="dxa"/>
            </w:tcMar>
          </w:tcPr>
          <w:p w14:paraId="4A725894" w14:textId="27562246" w:rsidR="006A76C3" w:rsidRPr="00A52D49" w:rsidRDefault="006A76C3" w:rsidP="00153CEF">
            <w:pPr>
              <w:spacing w:after="0" w:line="240" w:lineRule="auto"/>
            </w:pPr>
            <w:r w:rsidRPr="00A52D49">
              <w:t>Victorian Chief Veterinary Officer</w:t>
            </w:r>
          </w:p>
        </w:tc>
      </w:tr>
      <w:tr w:rsidR="006A76C3" w14:paraId="4A7258A2" w14:textId="77777777" w:rsidTr="006A76C3">
        <w:trPr>
          <w:gridAfter w:val="1"/>
          <w:wAfter w:w="22" w:type="pct"/>
          <w:cantSplit/>
          <w:tblHeader/>
        </w:trPr>
        <w:tc>
          <w:tcPr>
            <w:tcW w:w="1217" w:type="pct"/>
            <w:tcMar>
              <w:left w:w="108" w:type="dxa"/>
              <w:right w:w="108" w:type="dxa"/>
            </w:tcMar>
          </w:tcPr>
          <w:p w14:paraId="4A72589B" w14:textId="0F9EE475" w:rsidR="006A76C3" w:rsidRPr="00A52D49" w:rsidRDefault="006A76C3" w:rsidP="00153CEF">
            <w:pPr>
              <w:spacing w:after="0" w:line="240" w:lineRule="auto"/>
            </w:pPr>
            <w:r w:rsidRPr="00A52D49">
              <w:rPr>
                <w:lang w:eastAsia="ja-JP"/>
              </w:rPr>
              <w:t xml:space="preserve">Debbie </w:t>
            </w:r>
            <w:proofErr w:type="spellStart"/>
            <w:r w:rsidRPr="00A52D49">
              <w:rPr>
                <w:lang w:eastAsia="ja-JP"/>
              </w:rPr>
              <w:t>Neutze</w:t>
            </w:r>
            <w:proofErr w:type="spellEnd"/>
          </w:p>
        </w:tc>
        <w:tc>
          <w:tcPr>
            <w:tcW w:w="83" w:type="pct"/>
          </w:tcPr>
          <w:p w14:paraId="7812DBB8" w14:textId="77777777" w:rsidR="006A76C3" w:rsidRPr="00A52D49" w:rsidRDefault="006A76C3" w:rsidP="00153CEF">
            <w:pPr>
              <w:spacing w:after="0"/>
              <w:rPr>
                <w:lang w:eastAsia="ja-JP"/>
              </w:rPr>
            </w:pPr>
          </w:p>
        </w:tc>
        <w:tc>
          <w:tcPr>
            <w:tcW w:w="83" w:type="pct"/>
          </w:tcPr>
          <w:p w14:paraId="49B3C2D5" w14:textId="45B97D90" w:rsidR="006A76C3" w:rsidRPr="00A52D49" w:rsidRDefault="006A76C3" w:rsidP="00153CEF">
            <w:pPr>
              <w:spacing w:after="0"/>
              <w:rPr>
                <w:lang w:eastAsia="ja-JP"/>
              </w:rPr>
            </w:pPr>
          </w:p>
        </w:tc>
        <w:tc>
          <w:tcPr>
            <w:tcW w:w="3595" w:type="pct"/>
            <w:gridSpan w:val="2"/>
            <w:tcMar>
              <w:left w:w="108" w:type="dxa"/>
              <w:right w:w="108" w:type="dxa"/>
            </w:tcMar>
          </w:tcPr>
          <w:p w14:paraId="4A72589C" w14:textId="3F9B73BC" w:rsidR="006A76C3" w:rsidRPr="00A52D49" w:rsidRDefault="006A76C3" w:rsidP="00153CEF">
            <w:pPr>
              <w:spacing w:after="0" w:line="240" w:lineRule="auto"/>
            </w:pPr>
            <w:r w:rsidRPr="00A52D49">
              <w:t>National Animal Health Policy Veterinarian</w:t>
            </w:r>
          </w:p>
        </w:tc>
      </w:tr>
      <w:tr w:rsidR="006A76C3" w14:paraId="4A7258AA" w14:textId="77777777" w:rsidTr="006A76C3">
        <w:trPr>
          <w:gridAfter w:val="1"/>
          <w:wAfter w:w="22" w:type="pct"/>
          <w:cantSplit/>
          <w:tblHeader/>
        </w:trPr>
        <w:tc>
          <w:tcPr>
            <w:tcW w:w="1217" w:type="pct"/>
            <w:tcMar>
              <w:left w:w="108" w:type="dxa"/>
              <w:right w:w="108" w:type="dxa"/>
            </w:tcMar>
          </w:tcPr>
          <w:p w14:paraId="4A7258A3" w14:textId="22CAE1EA" w:rsidR="006A76C3" w:rsidRPr="00A52D49" w:rsidRDefault="006A76C3" w:rsidP="00153CEF">
            <w:pPr>
              <w:spacing w:after="0" w:line="240" w:lineRule="auto"/>
            </w:pPr>
            <w:r w:rsidRPr="00A52D49">
              <w:rPr>
                <w:lang w:eastAsia="ja-JP"/>
              </w:rPr>
              <w:t>Jacquie Norris</w:t>
            </w:r>
          </w:p>
        </w:tc>
        <w:tc>
          <w:tcPr>
            <w:tcW w:w="83" w:type="pct"/>
          </w:tcPr>
          <w:p w14:paraId="155780E7" w14:textId="77777777" w:rsidR="006A76C3" w:rsidRPr="00A52D49" w:rsidRDefault="006A76C3" w:rsidP="00153CEF">
            <w:pPr>
              <w:spacing w:after="0"/>
              <w:rPr>
                <w:lang w:eastAsia="ja-JP"/>
              </w:rPr>
            </w:pPr>
          </w:p>
        </w:tc>
        <w:tc>
          <w:tcPr>
            <w:tcW w:w="83" w:type="pct"/>
          </w:tcPr>
          <w:p w14:paraId="73BD2473" w14:textId="06841CF4" w:rsidR="006A76C3" w:rsidRPr="00A52D49" w:rsidRDefault="006A76C3" w:rsidP="00153CEF">
            <w:pPr>
              <w:spacing w:after="0"/>
              <w:rPr>
                <w:lang w:eastAsia="ja-JP"/>
              </w:rPr>
            </w:pPr>
          </w:p>
        </w:tc>
        <w:tc>
          <w:tcPr>
            <w:tcW w:w="3595" w:type="pct"/>
            <w:gridSpan w:val="2"/>
            <w:tcMar>
              <w:left w:w="108" w:type="dxa"/>
              <w:right w:w="108" w:type="dxa"/>
            </w:tcMar>
          </w:tcPr>
          <w:p w14:paraId="4A7258A4" w14:textId="10464B22" w:rsidR="006A76C3" w:rsidRPr="00A52D49" w:rsidRDefault="006A76C3" w:rsidP="00153CEF">
            <w:pPr>
              <w:spacing w:after="0" w:line="240" w:lineRule="auto"/>
            </w:pPr>
            <w:r w:rsidRPr="00A52D49">
              <w:t>Small Animal Veterinarian &amp; University of Sydney</w:t>
            </w:r>
          </w:p>
        </w:tc>
      </w:tr>
      <w:tr w:rsidR="006A76C3" w14:paraId="4A7258B4" w14:textId="77777777" w:rsidTr="006A76C3">
        <w:trPr>
          <w:gridAfter w:val="1"/>
          <w:wAfter w:w="22" w:type="pct"/>
          <w:cantSplit/>
          <w:tblHeader/>
        </w:trPr>
        <w:tc>
          <w:tcPr>
            <w:tcW w:w="1217" w:type="pct"/>
            <w:tcMar>
              <w:left w:w="108" w:type="dxa"/>
              <w:right w:w="108" w:type="dxa"/>
            </w:tcMar>
          </w:tcPr>
          <w:p w14:paraId="4A7258AD" w14:textId="0D970597" w:rsidR="006A76C3" w:rsidRPr="00A52D49" w:rsidRDefault="006A76C3" w:rsidP="00153CEF">
            <w:pPr>
              <w:spacing w:after="0" w:line="240" w:lineRule="auto"/>
            </w:pPr>
            <w:r w:rsidRPr="00A52D49">
              <w:rPr>
                <w:lang w:eastAsia="ja-JP"/>
              </w:rPr>
              <w:t>Stephen Page</w:t>
            </w:r>
          </w:p>
        </w:tc>
        <w:tc>
          <w:tcPr>
            <w:tcW w:w="83" w:type="pct"/>
          </w:tcPr>
          <w:p w14:paraId="5F4061EF" w14:textId="77777777" w:rsidR="006A76C3" w:rsidRPr="00A52D49" w:rsidRDefault="006A76C3" w:rsidP="00153CEF">
            <w:pPr>
              <w:spacing w:after="0"/>
              <w:rPr>
                <w:lang w:eastAsia="ja-JP"/>
              </w:rPr>
            </w:pPr>
          </w:p>
        </w:tc>
        <w:tc>
          <w:tcPr>
            <w:tcW w:w="83" w:type="pct"/>
          </w:tcPr>
          <w:p w14:paraId="507E07EF" w14:textId="58F8E39A" w:rsidR="006A76C3" w:rsidRPr="00A52D49" w:rsidRDefault="006A76C3" w:rsidP="00153CEF">
            <w:pPr>
              <w:spacing w:after="0"/>
              <w:rPr>
                <w:lang w:eastAsia="ja-JP"/>
              </w:rPr>
            </w:pPr>
          </w:p>
        </w:tc>
        <w:tc>
          <w:tcPr>
            <w:tcW w:w="3595" w:type="pct"/>
            <w:gridSpan w:val="2"/>
            <w:tcMar>
              <w:left w:w="108" w:type="dxa"/>
              <w:right w:w="108" w:type="dxa"/>
            </w:tcMar>
          </w:tcPr>
          <w:p w14:paraId="4A7258AE" w14:textId="3A2C4C75" w:rsidR="006A76C3" w:rsidRPr="00A52D49" w:rsidRDefault="006A76C3" w:rsidP="00153CEF">
            <w:pPr>
              <w:spacing w:after="0" w:line="240" w:lineRule="auto"/>
            </w:pPr>
            <w:r w:rsidRPr="00A52D49">
              <w:t>Veterinary Pharmacologist &amp; AMR Expert</w:t>
            </w:r>
          </w:p>
        </w:tc>
      </w:tr>
    </w:tbl>
    <w:p w14:paraId="4A725998" w14:textId="55E44D5C" w:rsidR="00AF61C3" w:rsidRDefault="006C4993" w:rsidP="0074715B">
      <w:pPr>
        <w:pStyle w:val="Caption"/>
        <w:sectPr w:rsidR="00AF61C3" w:rsidSect="00F7576D">
          <w:headerReference w:type="default" r:id="rId28"/>
          <w:footerReference w:type="default" r:id="rId29"/>
          <w:headerReference w:type="first" r:id="rId30"/>
          <w:pgSz w:w="11906" w:h="16838"/>
          <w:pgMar w:top="1418" w:right="1418" w:bottom="1418" w:left="1418" w:header="567" w:footer="283" w:gutter="0"/>
          <w:pgNumType w:start="1"/>
          <w:cols w:space="708"/>
          <w:titlePg/>
          <w:docGrid w:linePitch="360"/>
        </w:sectPr>
      </w:pPr>
      <w:r>
        <w:br w:type="page"/>
      </w:r>
    </w:p>
    <w:p w14:paraId="4A725999" w14:textId="52710139" w:rsidR="00AF61C3" w:rsidRDefault="006C4993" w:rsidP="003C3FAB">
      <w:pPr>
        <w:pStyle w:val="Heading2"/>
      </w:pPr>
      <w:bookmarkStart w:id="39" w:name="_Toc1636189"/>
      <w:r>
        <w:lastRenderedPageBreak/>
        <w:t xml:space="preserve">Appendix B: </w:t>
      </w:r>
      <w:bookmarkStart w:id="40" w:name="_Toc471375614"/>
      <w:r w:rsidR="0074715B" w:rsidRPr="0074715B">
        <w:t>Animal Sector Stakeholders</w:t>
      </w:r>
      <w:bookmarkEnd w:id="39"/>
      <w:r w:rsidR="0074715B">
        <w:t xml:space="preserve"> </w:t>
      </w:r>
      <w:bookmarkEnd w:id="40"/>
    </w:p>
    <w:p w14:paraId="2F1FF0CA" w14:textId="77777777" w:rsidR="00853D7F" w:rsidRPr="00A52D49" w:rsidRDefault="00853D7F" w:rsidP="00853D7F">
      <w:pPr>
        <w:contextualSpacing/>
      </w:pPr>
      <w:bookmarkStart w:id="41" w:name="_Toc508272868"/>
      <w:r w:rsidRPr="006A76C3">
        <w:t>Aquatic Animal Organisations</w:t>
      </w:r>
    </w:p>
    <w:p w14:paraId="30FD2CF3" w14:textId="77777777" w:rsidR="00853D7F" w:rsidRDefault="00853D7F" w:rsidP="00A52D49">
      <w:pPr>
        <w:contextualSpacing/>
      </w:pPr>
      <w:r w:rsidRPr="006A76C3">
        <w:t xml:space="preserve">Animal Feed Industry Organisations </w:t>
      </w:r>
    </w:p>
    <w:p w14:paraId="7B56E478" w14:textId="7BB245CF" w:rsidR="00853D7F" w:rsidRDefault="00853D7F" w:rsidP="00A52D49">
      <w:pPr>
        <w:contextualSpacing/>
      </w:pPr>
      <w:r w:rsidRPr="006A76C3">
        <w:t xml:space="preserve">Australian Government Chief Medical Officer </w:t>
      </w:r>
    </w:p>
    <w:p w14:paraId="70BFAE39" w14:textId="4F87D4D1" w:rsidR="0074715B" w:rsidRPr="00A52D49" w:rsidRDefault="0074715B" w:rsidP="00A52D49">
      <w:pPr>
        <w:contextualSpacing/>
      </w:pPr>
      <w:r w:rsidRPr="006A76C3">
        <w:t>Australian Government Department of Agriculture and Water Resources</w:t>
      </w:r>
    </w:p>
    <w:p w14:paraId="290AB86C" w14:textId="77777777" w:rsidR="0074715B" w:rsidRPr="00A52D49" w:rsidRDefault="0074715B" w:rsidP="00A52D49">
      <w:pPr>
        <w:contextualSpacing/>
      </w:pPr>
      <w:r w:rsidRPr="006A76C3">
        <w:t xml:space="preserve">Australian Government Department of Health </w:t>
      </w:r>
    </w:p>
    <w:p w14:paraId="10EBA7CC" w14:textId="77777777" w:rsidR="0074715B" w:rsidRPr="00A52D49" w:rsidRDefault="0074715B" w:rsidP="00A52D49">
      <w:pPr>
        <w:contextualSpacing/>
      </w:pPr>
      <w:r w:rsidRPr="006A76C3">
        <w:t>Chief Veterinary Officers (Australian, state and territory governments)</w:t>
      </w:r>
    </w:p>
    <w:p w14:paraId="3B9109E9" w14:textId="77777777" w:rsidR="0074715B" w:rsidRPr="00A52D49" w:rsidRDefault="0074715B" w:rsidP="00A52D49">
      <w:pPr>
        <w:contextualSpacing/>
      </w:pPr>
      <w:r w:rsidRPr="006A76C3">
        <w:t>Companion Animal Organisations</w:t>
      </w:r>
    </w:p>
    <w:p w14:paraId="46361074" w14:textId="77777777" w:rsidR="0074715B" w:rsidRPr="00A52D49" w:rsidRDefault="0074715B" w:rsidP="00A52D49">
      <w:pPr>
        <w:contextualSpacing/>
      </w:pPr>
      <w:r w:rsidRPr="006A76C3">
        <w:t>Food Animal Producers</w:t>
      </w:r>
    </w:p>
    <w:p w14:paraId="2321FFB2" w14:textId="77777777" w:rsidR="0074715B" w:rsidRPr="00A52D49" w:rsidRDefault="0074715B" w:rsidP="00A52D49">
      <w:pPr>
        <w:contextualSpacing/>
      </w:pPr>
      <w:r w:rsidRPr="006A76C3">
        <w:t>Laboratories</w:t>
      </w:r>
    </w:p>
    <w:p w14:paraId="6A5B0310" w14:textId="77777777" w:rsidR="0074715B" w:rsidRPr="00A52D49" w:rsidRDefault="0074715B" w:rsidP="00A52D49">
      <w:pPr>
        <w:contextualSpacing/>
      </w:pPr>
      <w:r w:rsidRPr="006A76C3">
        <w:t>Livestock Industry Organisations</w:t>
      </w:r>
    </w:p>
    <w:p w14:paraId="40916DE1" w14:textId="77777777" w:rsidR="0074715B" w:rsidRPr="00A52D49" w:rsidRDefault="0074715B" w:rsidP="00A52D49">
      <w:pPr>
        <w:contextualSpacing/>
      </w:pPr>
      <w:r w:rsidRPr="006A76C3">
        <w:t>Performance Animal Organisations</w:t>
      </w:r>
    </w:p>
    <w:p w14:paraId="26312E40" w14:textId="77777777" w:rsidR="0074715B" w:rsidRPr="00A52D49" w:rsidRDefault="0074715B" w:rsidP="00A52D49">
      <w:pPr>
        <w:contextualSpacing/>
      </w:pPr>
      <w:r w:rsidRPr="006A76C3">
        <w:t>Regulators</w:t>
      </w:r>
    </w:p>
    <w:p w14:paraId="47C81B1A" w14:textId="77777777" w:rsidR="0074715B" w:rsidRPr="00A52D49" w:rsidRDefault="0074715B" w:rsidP="00A52D49">
      <w:pPr>
        <w:contextualSpacing/>
      </w:pPr>
      <w:r w:rsidRPr="006A76C3">
        <w:t>Research Institutes</w:t>
      </w:r>
    </w:p>
    <w:p w14:paraId="62C483B8" w14:textId="77777777" w:rsidR="0074715B" w:rsidRPr="00A52D49" w:rsidRDefault="0074715B" w:rsidP="00A52D49">
      <w:pPr>
        <w:contextualSpacing/>
      </w:pPr>
      <w:r w:rsidRPr="006A76C3">
        <w:t xml:space="preserve">Veterinarians </w:t>
      </w:r>
    </w:p>
    <w:p w14:paraId="27FE0A6E" w14:textId="77777777" w:rsidR="0074715B" w:rsidRPr="00A52D49" w:rsidRDefault="0074715B" w:rsidP="00A52D49">
      <w:pPr>
        <w:contextualSpacing/>
      </w:pPr>
      <w:r w:rsidRPr="006A76C3">
        <w:t>Veterinary Faculties/Schools</w:t>
      </w:r>
    </w:p>
    <w:p w14:paraId="57E2D69B" w14:textId="77777777" w:rsidR="0074715B" w:rsidRPr="00A52D49" w:rsidRDefault="0074715B" w:rsidP="00A52D49">
      <w:pPr>
        <w:contextualSpacing/>
      </w:pPr>
      <w:r w:rsidRPr="006A76C3">
        <w:t>Veterinary Pharmaceutical Industry</w:t>
      </w:r>
    </w:p>
    <w:p w14:paraId="344FDE70" w14:textId="77777777" w:rsidR="0074715B" w:rsidRPr="00A52D49" w:rsidRDefault="0074715B" w:rsidP="00A52D49">
      <w:pPr>
        <w:contextualSpacing/>
      </w:pPr>
      <w:r w:rsidRPr="006A76C3">
        <w:t>Veterinary Pharmaceutical Manufacturers and Distributors</w:t>
      </w:r>
    </w:p>
    <w:p w14:paraId="77153844" w14:textId="77777777" w:rsidR="0074715B" w:rsidRPr="00A52D49" w:rsidRDefault="0074715B" w:rsidP="00A52D49">
      <w:pPr>
        <w:contextualSpacing/>
      </w:pPr>
      <w:r w:rsidRPr="006A76C3">
        <w:t>Veterinary Professional Organisations</w:t>
      </w:r>
    </w:p>
    <w:p w14:paraId="041C70C8" w14:textId="77777777" w:rsidR="0074715B" w:rsidRPr="00A52D49" w:rsidRDefault="0074715B" w:rsidP="00A52D49">
      <w:pPr>
        <w:contextualSpacing/>
      </w:pPr>
      <w:r w:rsidRPr="006A76C3">
        <w:t>Veterinary Students</w:t>
      </w:r>
    </w:p>
    <w:p w14:paraId="521F67AC" w14:textId="77777777" w:rsidR="0074715B" w:rsidRPr="00A52D49" w:rsidRDefault="0074715B" w:rsidP="00A52D49">
      <w:pPr>
        <w:contextualSpacing/>
      </w:pPr>
      <w:r w:rsidRPr="006A76C3">
        <w:t>Veterinary Surgeons Boards</w:t>
      </w:r>
    </w:p>
    <w:p w14:paraId="4A725A0A" w14:textId="45208758" w:rsidR="00AF61C3" w:rsidRDefault="0074715B">
      <w:pPr>
        <w:contextualSpacing/>
      </w:pPr>
      <w:r w:rsidRPr="006A76C3">
        <w:t>Wildlife</w:t>
      </w:r>
      <w:bookmarkEnd w:id="41"/>
      <w:r w:rsidR="00853D7F">
        <w:t xml:space="preserve"> Health </w:t>
      </w:r>
      <w:r w:rsidR="00853D7F" w:rsidRPr="006A76C3">
        <w:t>Organisations</w:t>
      </w:r>
    </w:p>
    <w:p w14:paraId="7BABF21A" w14:textId="3502F642" w:rsidR="00FD1180" w:rsidRDefault="00A52D49" w:rsidP="009727F6">
      <w:pPr>
        <w:pStyle w:val="Heading2"/>
        <w:ind w:left="720" w:hanging="720"/>
      </w:pPr>
      <w:bookmarkStart w:id="42" w:name="_Toc1636190"/>
      <w:bookmarkStart w:id="43" w:name="_Toc430782161"/>
      <w:r w:rsidRPr="00FD1180">
        <w:lastRenderedPageBreak/>
        <w:t xml:space="preserve">Acronyms </w:t>
      </w:r>
      <w:r w:rsidR="003C3FAB">
        <w:t>a</w:t>
      </w:r>
      <w:r w:rsidRPr="00FD1180">
        <w:t>nd Abbreviations</w:t>
      </w:r>
      <w:bookmarkEnd w:id="42"/>
    </w:p>
    <w:p w14:paraId="29E54350" w14:textId="0C84C4EA" w:rsidR="00FD1180" w:rsidRPr="00FD1180" w:rsidRDefault="00FD1180" w:rsidP="00FD1180">
      <w:pPr>
        <w:contextualSpacing/>
      </w:pPr>
      <w:r w:rsidRPr="00FD1180">
        <w:t xml:space="preserve">ACVO </w:t>
      </w:r>
      <w:r>
        <w:t xml:space="preserve">- </w:t>
      </w:r>
      <w:r w:rsidRPr="00FD1180">
        <w:t>Australian Chief Veterinary Officer</w:t>
      </w:r>
    </w:p>
    <w:p w14:paraId="42198626" w14:textId="5C83037D" w:rsidR="00FD1180" w:rsidRPr="0044620C" w:rsidRDefault="00FD1180" w:rsidP="00FD1180">
      <w:pPr>
        <w:contextualSpacing/>
      </w:pPr>
      <w:r w:rsidRPr="00FD1180">
        <w:t>AMS</w:t>
      </w:r>
      <w:r>
        <w:t xml:space="preserve"> -</w:t>
      </w:r>
      <w:r w:rsidRPr="00FD1180">
        <w:t xml:space="preserve"> Antimicrobial stewardship</w:t>
      </w:r>
    </w:p>
    <w:p w14:paraId="683C3E4A" w14:textId="2929AFBA" w:rsidR="00FD1180" w:rsidRPr="00FD1180" w:rsidRDefault="00FD1180" w:rsidP="00FD1180">
      <w:pPr>
        <w:contextualSpacing/>
      </w:pPr>
      <w:r w:rsidRPr="00FD1180">
        <w:t xml:space="preserve">AMR </w:t>
      </w:r>
      <w:r>
        <w:t xml:space="preserve">- </w:t>
      </w:r>
      <w:r w:rsidRPr="00FD1180">
        <w:t>Antimicrobial resistance</w:t>
      </w:r>
    </w:p>
    <w:p w14:paraId="6A2E7898" w14:textId="3F4732EF" w:rsidR="00FD1180" w:rsidRPr="00FD1180" w:rsidRDefault="00FD1180" w:rsidP="00FD1180">
      <w:pPr>
        <w:contextualSpacing/>
      </w:pPr>
      <w:r w:rsidRPr="00FD1180">
        <w:t xml:space="preserve">AMU </w:t>
      </w:r>
      <w:r>
        <w:t xml:space="preserve">- </w:t>
      </w:r>
      <w:r w:rsidRPr="00FD1180">
        <w:t>Antimicrobial usage</w:t>
      </w:r>
    </w:p>
    <w:p w14:paraId="13D545A6" w14:textId="2979D5CA" w:rsidR="00FD1180" w:rsidRPr="00FD1180" w:rsidRDefault="00FD1180" w:rsidP="00FD1180">
      <w:pPr>
        <w:contextualSpacing/>
      </w:pPr>
      <w:r w:rsidRPr="00FD1180">
        <w:t xml:space="preserve">ASTAG </w:t>
      </w:r>
      <w:r>
        <w:t xml:space="preserve">- </w:t>
      </w:r>
      <w:r w:rsidRPr="00FD1180">
        <w:t>Australian Strategic and Technical Advisory Group on AMR</w:t>
      </w:r>
    </w:p>
    <w:p w14:paraId="0EC4EA49" w14:textId="4B743CB6" w:rsidR="00FD1180" w:rsidRPr="00FD1180" w:rsidRDefault="00FD1180" w:rsidP="00FD1180">
      <w:pPr>
        <w:contextualSpacing/>
      </w:pPr>
      <w:r w:rsidRPr="00FD1180">
        <w:t xml:space="preserve">FAO </w:t>
      </w:r>
      <w:r>
        <w:t xml:space="preserve">- </w:t>
      </w:r>
      <w:r w:rsidRPr="00FD1180">
        <w:t>Food and Agriculture Organization of the United Nations</w:t>
      </w:r>
    </w:p>
    <w:p w14:paraId="335CB309" w14:textId="4549E5F6" w:rsidR="00FD1180" w:rsidRPr="00FD1180" w:rsidRDefault="00FD1180" w:rsidP="00FD1180">
      <w:pPr>
        <w:contextualSpacing/>
      </w:pPr>
      <w:r w:rsidRPr="00FD1180">
        <w:t>IPC</w:t>
      </w:r>
      <w:r>
        <w:t xml:space="preserve"> -</w:t>
      </w:r>
      <w:r w:rsidRPr="00FD1180">
        <w:t xml:space="preserve"> Infection prevention and control</w:t>
      </w:r>
    </w:p>
    <w:p w14:paraId="064D22CF" w14:textId="3F07F206" w:rsidR="00FD1180" w:rsidRPr="00FD1180" w:rsidRDefault="00FD1180" w:rsidP="00FD1180">
      <w:pPr>
        <w:contextualSpacing/>
      </w:pPr>
      <w:r w:rsidRPr="00FD1180">
        <w:t xml:space="preserve">OECD </w:t>
      </w:r>
      <w:r>
        <w:t xml:space="preserve">- </w:t>
      </w:r>
      <w:r w:rsidRPr="00FD1180">
        <w:t>Organisation for Economic Cooperation and Development</w:t>
      </w:r>
    </w:p>
    <w:p w14:paraId="583D1E10" w14:textId="2EDC99FC" w:rsidR="00FD1180" w:rsidRPr="00FD1180" w:rsidRDefault="00FD1180" w:rsidP="00FD1180">
      <w:pPr>
        <w:contextualSpacing/>
      </w:pPr>
      <w:r w:rsidRPr="00FD1180">
        <w:t xml:space="preserve">OIE </w:t>
      </w:r>
      <w:r>
        <w:t xml:space="preserve">- </w:t>
      </w:r>
      <w:r w:rsidRPr="00FD1180">
        <w:t>World Organisation for Animal Health</w:t>
      </w:r>
    </w:p>
    <w:p w14:paraId="3BB734DD" w14:textId="600C2F2A" w:rsidR="00FD1180" w:rsidRPr="00FD1180" w:rsidRDefault="00FD1180" w:rsidP="00FD1180">
      <w:pPr>
        <w:contextualSpacing/>
      </w:pPr>
      <w:r w:rsidRPr="00FD1180">
        <w:t xml:space="preserve">RDCs </w:t>
      </w:r>
      <w:r>
        <w:t xml:space="preserve">- </w:t>
      </w:r>
      <w:r w:rsidRPr="00FD1180">
        <w:t xml:space="preserve">Research and Development Corporations </w:t>
      </w:r>
    </w:p>
    <w:p w14:paraId="0D62FF35" w14:textId="4E7A3732" w:rsidR="00FD1180" w:rsidRPr="00FD1180" w:rsidRDefault="00FD1180" w:rsidP="00FD1180">
      <w:pPr>
        <w:contextualSpacing/>
      </w:pPr>
      <w:r w:rsidRPr="00FD1180">
        <w:t xml:space="preserve">WHO </w:t>
      </w:r>
      <w:r>
        <w:t xml:space="preserve">- </w:t>
      </w:r>
      <w:r w:rsidRPr="00FD1180">
        <w:t>World Health Organization</w:t>
      </w:r>
    </w:p>
    <w:p w14:paraId="4A725A0C" w14:textId="77777777" w:rsidR="00AF61C3" w:rsidRDefault="006C4993">
      <w:pPr>
        <w:pStyle w:val="Heading2"/>
        <w:ind w:left="709" w:hanging="709"/>
      </w:pPr>
      <w:bookmarkStart w:id="44" w:name="_Toc1636191"/>
      <w:r>
        <w:lastRenderedPageBreak/>
        <w:t>Glossary</w:t>
      </w:r>
      <w:bookmarkEnd w:id="43"/>
      <w:bookmarkEnd w:id="4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AF61C3" w14:paraId="4A725A0F" w14:textId="77777777">
        <w:trPr>
          <w:cantSplit/>
          <w:tblHeader/>
        </w:trPr>
        <w:tc>
          <w:tcPr>
            <w:tcW w:w="1249" w:type="pct"/>
          </w:tcPr>
          <w:p w14:paraId="4A725A0D" w14:textId="77777777" w:rsidR="00AF61C3" w:rsidRDefault="006C4993">
            <w:pPr>
              <w:pStyle w:val="TableHeading"/>
            </w:pPr>
            <w:r>
              <w:t>Term</w:t>
            </w:r>
          </w:p>
        </w:tc>
        <w:tc>
          <w:tcPr>
            <w:tcW w:w="3751" w:type="pct"/>
          </w:tcPr>
          <w:p w14:paraId="4A725A0E" w14:textId="77777777" w:rsidR="00AF61C3" w:rsidRDefault="006C4993">
            <w:pPr>
              <w:pStyle w:val="TableHeading"/>
            </w:pPr>
            <w:r>
              <w:t>Definition</w:t>
            </w:r>
          </w:p>
        </w:tc>
      </w:tr>
      <w:tr w:rsidR="00AF61C3" w14:paraId="4A725A12" w14:textId="77777777">
        <w:tc>
          <w:tcPr>
            <w:tcW w:w="1249" w:type="pct"/>
          </w:tcPr>
          <w:p w14:paraId="4A725A10" w14:textId="7DC4356B" w:rsidR="00AF61C3" w:rsidRPr="0044620C" w:rsidRDefault="00F72AE2" w:rsidP="00153CEF">
            <w:pPr>
              <w:pStyle w:val="TableText"/>
              <w:spacing w:before="0" w:after="0"/>
              <w:rPr>
                <w:sz w:val="22"/>
              </w:rPr>
            </w:pPr>
            <w:r w:rsidRPr="0044620C">
              <w:rPr>
                <w:bCs/>
                <w:sz w:val="22"/>
              </w:rPr>
              <w:t>Antibiotic resistance</w:t>
            </w:r>
          </w:p>
        </w:tc>
        <w:tc>
          <w:tcPr>
            <w:tcW w:w="3751" w:type="pct"/>
          </w:tcPr>
          <w:p w14:paraId="4A725A11" w14:textId="555E2B5E" w:rsidR="00AF61C3" w:rsidRPr="0044620C" w:rsidRDefault="00F72AE2" w:rsidP="00153CEF">
            <w:pPr>
              <w:pStyle w:val="TableText"/>
              <w:spacing w:before="0" w:after="0"/>
              <w:rPr>
                <w:sz w:val="22"/>
              </w:rPr>
            </w:pPr>
            <w:r w:rsidRPr="0044620C">
              <w:rPr>
                <w:sz w:val="22"/>
              </w:rPr>
              <w:t xml:space="preserve">A property of bacteria that confers the capacity to grow in the presence of antibiotic levels that would normally suppress growth or kill susceptible bacteria. </w:t>
            </w:r>
          </w:p>
        </w:tc>
      </w:tr>
      <w:tr w:rsidR="00AF61C3" w14:paraId="4A725A15" w14:textId="77777777">
        <w:tc>
          <w:tcPr>
            <w:tcW w:w="1249" w:type="pct"/>
          </w:tcPr>
          <w:p w14:paraId="4A725A13" w14:textId="3A581CEA" w:rsidR="00AF61C3" w:rsidRPr="0044620C" w:rsidRDefault="00F72AE2" w:rsidP="00153CEF">
            <w:pPr>
              <w:pStyle w:val="TableText"/>
              <w:spacing w:before="0" w:after="0"/>
              <w:rPr>
                <w:bCs/>
                <w:sz w:val="22"/>
              </w:rPr>
            </w:pPr>
            <w:r w:rsidRPr="0044620C">
              <w:rPr>
                <w:sz w:val="22"/>
              </w:rPr>
              <w:t xml:space="preserve">Antimicrobial </w:t>
            </w:r>
          </w:p>
        </w:tc>
        <w:tc>
          <w:tcPr>
            <w:tcW w:w="3751" w:type="pct"/>
          </w:tcPr>
          <w:p w14:paraId="4A725A14" w14:textId="6E0BCA56" w:rsidR="00AF61C3" w:rsidRPr="0044620C" w:rsidRDefault="00F72AE2" w:rsidP="00153CEF">
            <w:pPr>
              <w:pStyle w:val="TableText"/>
              <w:spacing w:before="0" w:after="0"/>
              <w:rPr>
                <w:sz w:val="22"/>
              </w:rPr>
            </w:pPr>
            <w:r w:rsidRPr="0044620C">
              <w:rPr>
                <w:sz w:val="22"/>
              </w:rPr>
              <w:t xml:space="preserve">A medicine that, on application to living tissue or by systemic administration, will selectively kill or prevent or inhibit growth of susceptible organisms. </w:t>
            </w:r>
          </w:p>
        </w:tc>
      </w:tr>
      <w:tr w:rsidR="00AF61C3" w14:paraId="4A725A18" w14:textId="77777777">
        <w:tc>
          <w:tcPr>
            <w:tcW w:w="1249" w:type="pct"/>
          </w:tcPr>
          <w:p w14:paraId="4A725A16" w14:textId="085B8709" w:rsidR="00F72AE2" w:rsidRPr="0044620C" w:rsidRDefault="00F72AE2" w:rsidP="00153CEF">
            <w:pPr>
              <w:pStyle w:val="TableText"/>
              <w:spacing w:before="0" w:after="0"/>
              <w:rPr>
                <w:bCs/>
                <w:sz w:val="22"/>
              </w:rPr>
            </w:pPr>
            <w:r w:rsidRPr="0044620C">
              <w:rPr>
                <w:sz w:val="22"/>
              </w:rPr>
              <w:t xml:space="preserve">Antimicrobial resistance </w:t>
            </w:r>
          </w:p>
        </w:tc>
        <w:tc>
          <w:tcPr>
            <w:tcW w:w="3751" w:type="pct"/>
          </w:tcPr>
          <w:p w14:paraId="4A725A17" w14:textId="18B2A52B" w:rsidR="00AF61C3" w:rsidRPr="0044620C" w:rsidRDefault="00F72AE2" w:rsidP="00153CEF">
            <w:pPr>
              <w:pStyle w:val="TableText"/>
              <w:spacing w:before="0" w:after="0"/>
              <w:rPr>
                <w:sz w:val="22"/>
              </w:rPr>
            </w:pPr>
            <w:r w:rsidRPr="0044620C">
              <w:rPr>
                <w:sz w:val="22"/>
              </w:rPr>
              <w:t xml:space="preserve">A property of organisms, including bacteria, viruses, fungi and parasites that confers the capacity to grow or survive in the presence of antimicrobial levels that would normally suppress growth or kill susceptible organisms. </w:t>
            </w:r>
          </w:p>
        </w:tc>
      </w:tr>
      <w:tr w:rsidR="00F72AE2" w14:paraId="4A725A1E" w14:textId="77777777">
        <w:tc>
          <w:tcPr>
            <w:tcW w:w="1249" w:type="pct"/>
          </w:tcPr>
          <w:p w14:paraId="4A725A1C" w14:textId="7EDF7D88" w:rsidR="00F72AE2" w:rsidRPr="0044620C" w:rsidRDefault="00F72AE2" w:rsidP="00153CEF">
            <w:pPr>
              <w:pStyle w:val="TableText"/>
              <w:spacing w:before="0" w:after="0"/>
              <w:rPr>
                <w:sz w:val="22"/>
              </w:rPr>
            </w:pPr>
            <w:r w:rsidRPr="0044620C">
              <w:rPr>
                <w:bCs/>
                <w:sz w:val="22"/>
              </w:rPr>
              <w:t xml:space="preserve">Food-producing animals </w:t>
            </w:r>
          </w:p>
        </w:tc>
        <w:tc>
          <w:tcPr>
            <w:tcW w:w="3751" w:type="pct"/>
          </w:tcPr>
          <w:p w14:paraId="4A725A1D" w14:textId="71DE96CE" w:rsidR="00F72AE2" w:rsidRPr="0044620C" w:rsidRDefault="00F72AE2" w:rsidP="00ED0D1C">
            <w:pPr>
              <w:pStyle w:val="TableText"/>
              <w:spacing w:before="0" w:after="0"/>
              <w:rPr>
                <w:sz w:val="22"/>
              </w:rPr>
            </w:pPr>
            <w:r w:rsidRPr="0044620C">
              <w:rPr>
                <w:sz w:val="22"/>
              </w:rPr>
              <w:t>Animals reared for the production of meat or other f</w:t>
            </w:r>
            <w:r w:rsidR="0044620C">
              <w:rPr>
                <w:sz w:val="22"/>
              </w:rPr>
              <w:t>ood products (milk, eggs).</w:t>
            </w:r>
          </w:p>
        </w:tc>
      </w:tr>
      <w:tr w:rsidR="00F72AE2" w14:paraId="4A725A21" w14:textId="77777777">
        <w:tc>
          <w:tcPr>
            <w:tcW w:w="1249" w:type="pct"/>
          </w:tcPr>
          <w:p w14:paraId="4A725A1F" w14:textId="4D71F724" w:rsidR="00F72AE2" w:rsidRPr="0044620C" w:rsidRDefault="00F72AE2" w:rsidP="00153CEF">
            <w:pPr>
              <w:pStyle w:val="TableText"/>
              <w:spacing w:before="0" w:after="0"/>
              <w:rPr>
                <w:sz w:val="22"/>
              </w:rPr>
            </w:pPr>
            <w:r w:rsidRPr="0044620C">
              <w:rPr>
                <w:bCs/>
                <w:sz w:val="22"/>
              </w:rPr>
              <w:t>Growth promotion</w:t>
            </w:r>
          </w:p>
        </w:tc>
        <w:tc>
          <w:tcPr>
            <w:tcW w:w="3751" w:type="pct"/>
          </w:tcPr>
          <w:p w14:paraId="4A725A20" w14:textId="5EDFBCAC" w:rsidR="00F72AE2" w:rsidRPr="0044620C" w:rsidRDefault="00F72AE2" w:rsidP="00153CEF">
            <w:pPr>
              <w:pStyle w:val="TableText"/>
              <w:spacing w:before="0" w:after="0"/>
              <w:rPr>
                <w:sz w:val="22"/>
              </w:rPr>
            </w:pPr>
            <w:r w:rsidRPr="0044620C">
              <w:rPr>
                <w:sz w:val="22"/>
              </w:rPr>
              <w:t xml:space="preserve">The use of substances (growth </w:t>
            </w:r>
            <w:proofErr w:type="spellStart"/>
            <w:r w:rsidRPr="0044620C">
              <w:rPr>
                <w:sz w:val="22"/>
              </w:rPr>
              <w:t>promotants</w:t>
            </w:r>
            <w:proofErr w:type="spellEnd"/>
            <w:r w:rsidRPr="0044620C">
              <w:rPr>
                <w:sz w:val="22"/>
              </w:rPr>
              <w:t xml:space="preserve">) that increase the rate of weight gain and/or the efficiency of feed utilisation in animals by other than purely nutritional means. The term does not apply to the use of antibiotics for the purpose of inhibiting specific pathogens even when an incidental growth response may be thus obtained. </w:t>
            </w:r>
          </w:p>
        </w:tc>
      </w:tr>
      <w:tr w:rsidR="00F72AE2" w14:paraId="4A725A24" w14:textId="77777777">
        <w:tc>
          <w:tcPr>
            <w:tcW w:w="1249" w:type="pct"/>
          </w:tcPr>
          <w:p w14:paraId="4A725A22" w14:textId="4855EC79" w:rsidR="00F72AE2" w:rsidRPr="0044620C" w:rsidRDefault="00F72AE2" w:rsidP="00153CEF">
            <w:pPr>
              <w:pStyle w:val="TableText"/>
              <w:spacing w:before="0" w:after="0"/>
              <w:rPr>
                <w:sz w:val="22"/>
              </w:rPr>
            </w:pPr>
            <w:r w:rsidRPr="0044620C">
              <w:rPr>
                <w:bCs/>
                <w:sz w:val="22"/>
              </w:rPr>
              <w:t xml:space="preserve">One Health </w:t>
            </w:r>
          </w:p>
        </w:tc>
        <w:tc>
          <w:tcPr>
            <w:tcW w:w="3751" w:type="pct"/>
          </w:tcPr>
          <w:p w14:paraId="4A725A23" w14:textId="235DBD91" w:rsidR="00F72AE2" w:rsidRPr="0044620C" w:rsidRDefault="00F72AE2" w:rsidP="00153CEF">
            <w:pPr>
              <w:pStyle w:val="TableText"/>
              <w:spacing w:before="0" w:after="0"/>
              <w:rPr>
                <w:sz w:val="22"/>
              </w:rPr>
            </w:pPr>
            <w:r w:rsidRPr="0044620C">
              <w:rPr>
                <w:sz w:val="22"/>
              </w:rPr>
              <w:t xml:space="preserve">Describes a coordinated, collaborative, multidisciplinary and cross-sectoral approach to the development of health strategies for people, animals and the environment. </w:t>
            </w:r>
          </w:p>
        </w:tc>
      </w:tr>
      <w:tr w:rsidR="00F72AE2" w14:paraId="4A725A2A" w14:textId="77777777">
        <w:tc>
          <w:tcPr>
            <w:tcW w:w="1249" w:type="pct"/>
          </w:tcPr>
          <w:p w14:paraId="4A725A28" w14:textId="4AA15BDF" w:rsidR="00F72AE2" w:rsidRPr="0044620C" w:rsidRDefault="00F72AE2" w:rsidP="00153CEF">
            <w:pPr>
              <w:pStyle w:val="TableText"/>
              <w:spacing w:before="0" w:after="0"/>
              <w:rPr>
                <w:sz w:val="22"/>
              </w:rPr>
            </w:pPr>
            <w:r w:rsidRPr="0044620C">
              <w:rPr>
                <w:bCs/>
                <w:sz w:val="22"/>
              </w:rPr>
              <w:t xml:space="preserve">Surveillance  </w:t>
            </w:r>
          </w:p>
        </w:tc>
        <w:tc>
          <w:tcPr>
            <w:tcW w:w="3751" w:type="pct"/>
          </w:tcPr>
          <w:p w14:paraId="4A725A29" w14:textId="49B15232" w:rsidR="00F72AE2" w:rsidRPr="0044620C" w:rsidRDefault="00F72AE2" w:rsidP="00153CEF">
            <w:pPr>
              <w:pStyle w:val="TableText"/>
              <w:spacing w:before="0" w:after="0"/>
              <w:rPr>
                <w:sz w:val="22"/>
              </w:rPr>
            </w:pPr>
            <w:r w:rsidRPr="0044620C">
              <w:rPr>
                <w:sz w:val="22"/>
              </w:rPr>
              <w:t>Targeted surveillance involves a prospective study of resistance directed at specific pathogens.</w:t>
            </w:r>
          </w:p>
        </w:tc>
      </w:tr>
      <w:tr w:rsidR="00F72AE2" w14:paraId="4A725A2D" w14:textId="77777777">
        <w:tc>
          <w:tcPr>
            <w:tcW w:w="1249" w:type="pct"/>
          </w:tcPr>
          <w:p w14:paraId="4A725A2B" w14:textId="2B4E53DA" w:rsidR="00F72AE2" w:rsidRPr="0044620C" w:rsidRDefault="00F72AE2" w:rsidP="00153CEF">
            <w:pPr>
              <w:pStyle w:val="TableText"/>
              <w:spacing w:before="0" w:after="0"/>
              <w:rPr>
                <w:sz w:val="22"/>
              </w:rPr>
            </w:pPr>
          </w:p>
        </w:tc>
        <w:tc>
          <w:tcPr>
            <w:tcW w:w="3751" w:type="pct"/>
          </w:tcPr>
          <w:p w14:paraId="4A725A2C" w14:textId="6E02BBA6" w:rsidR="00F72AE2" w:rsidRPr="0044620C" w:rsidRDefault="00F72AE2" w:rsidP="00153CEF">
            <w:pPr>
              <w:pStyle w:val="TableText"/>
              <w:spacing w:before="0" w:after="0"/>
              <w:rPr>
                <w:sz w:val="22"/>
              </w:rPr>
            </w:pPr>
            <w:r w:rsidRPr="0044620C">
              <w:rPr>
                <w:sz w:val="22"/>
              </w:rPr>
              <w:t>Passive surveillance is the collection of routine analytical da</w:t>
            </w:r>
            <w:r w:rsidR="00BF1070">
              <w:rPr>
                <w:sz w:val="22"/>
              </w:rPr>
              <w:t>ta from diagnostic laboratories.</w:t>
            </w:r>
          </w:p>
        </w:tc>
      </w:tr>
      <w:tr w:rsidR="00F72AE2" w14:paraId="4A725A30" w14:textId="77777777">
        <w:tc>
          <w:tcPr>
            <w:tcW w:w="1249" w:type="pct"/>
          </w:tcPr>
          <w:p w14:paraId="4A725A2E" w14:textId="62C7F122" w:rsidR="00F72AE2" w:rsidRDefault="00F72AE2" w:rsidP="00F72AE2">
            <w:pPr>
              <w:pStyle w:val="TableText"/>
            </w:pPr>
          </w:p>
        </w:tc>
        <w:tc>
          <w:tcPr>
            <w:tcW w:w="3751" w:type="pct"/>
          </w:tcPr>
          <w:p w14:paraId="4A725A2F" w14:textId="7F8D1768" w:rsidR="00F72AE2" w:rsidRDefault="00F72AE2" w:rsidP="00F72AE2">
            <w:pPr>
              <w:pStyle w:val="TableText"/>
            </w:pPr>
          </w:p>
        </w:tc>
      </w:tr>
    </w:tbl>
    <w:p w14:paraId="4A725A38" w14:textId="4F18C05E" w:rsidR="00AF61C3" w:rsidRPr="009727F6" w:rsidRDefault="00AF61C3" w:rsidP="009727F6"/>
    <w:sectPr w:rsidR="00AF61C3" w:rsidRPr="009727F6" w:rsidSect="006A76C3">
      <w:type w:val="continuous"/>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25A5A" w14:textId="77777777" w:rsidR="00853D7F" w:rsidRDefault="00853D7F">
      <w:r>
        <w:separator/>
      </w:r>
    </w:p>
    <w:p w14:paraId="4A725A5B" w14:textId="77777777" w:rsidR="00853D7F" w:rsidRDefault="00853D7F"/>
    <w:p w14:paraId="4A725A5C" w14:textId="77777777" w:rsidR="00853D7F" w:rsidRDefault="00853D7F"/>
    <w:p w14:paraId="1B08B3F5" w14:textId="77777777" w:rsidR="00853D7F" w:rsidRDefault="00853D7F"/>
  </w:endnote>
  <w:endnote w:type="continuationSeparator" w:id="0">
    <w:p w14:paraId="4A725A5D" w14:textId="77777777" w:rsidR="00853D7F" w:rsidRDefault="00853D7F">
      <w:r>
        <w:continuationSeparator/>
      </w:r>
    </w:p>
    <w:p w14:paraId="4A725A5E" w14:textId="77777777" w:rsidR="00853D7F" w:rsidRDefault="00853D7F"/>
    <w:p w14:paraId="4A725A5F" w14:textId="77777777" w:rsidR="00853D7F" w:rsidRDefault="00853D7F"/>
    <w:p w14:paraId="466E0FBC" w14:textId="77777777" w:rsidR="00853D7F" w:rsidRDefault="00853D7F"/>
  </w:endnote>
  <w:endnote w:type="continuationNotice" w:id="1">
    <w:p w14:paraId="4A725A60" w14:textId="77777777" w:rsidR="00853D7F" w:rsidRDefault="00853D7F">
      <w:pPr>
        <w:pStyle w:val="Footer"/>
      </w:pPr>
    </w:p>
    <w:p w14:paraId="4A725A61" w14:textId="77777777" w:rsidR="00853D7F" w:rsidRDefault="00853D7F"/>
    <w:p w14:paraId="4A725A62" w14:textId="77777777" w:rsidR="00853D7F" w:rsidRDefault="00853D7F"/>
    <w:p w14:paraId="33E604B8" w14:textId="77777777" w:rsidR="00853D7F" w:rsidRDefault="00853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5A65" w14:textId="77777777" w:rsidR="00853D7F" w:rsidRDefault="00853D7F">
    <w:pPr>
      <w:pStyle w:val="Footer"/>
    </w:pPr>
    <w:r>
      <w:t>Department of Agriculture and Water Resources</w:t>
    </w:r>
  </w:p>
  <w:p w14:paraId="4A725A66" w14:textId="77777777" w:rsidR="00853D7F" w:rsidRDefault="00853D7F">
    <w:pPr>
      <w:pStyle w:val="Footer"/>
    </w:pPr>
    <w:r>
      <w:fldChar w:fldCharType="begin"/>
    </w:r>
    <w:r>
      <w:instrText xml:space="preserve"> PAGE   \* MERGEFORMAT </w:instrText>
    </w:r>
    <w:r>
      <w:fldChar w:fldCharType="separate"/>
    </w:r>
    <w:r w:rsidR="00946189">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25A51" w14:textId="77777777" w:rsidR="00853D7F" w:rsidRDefault="00853D7F">
      <w:r>
        <w:separator/>
      </w:r>
    </w:p>
    <w:p w14:paraId="4A725A52" w14:textId="77777777" w:rsidR="00853D7F" w:rsidRDefault="00853D7F"/>
    <w:p w14:paraId="4A725A53" w14:textId="77777777" w:rsidR="00853D7F" w:rsidRDefault="00853D7F"/>
    <w:p w14:paraId="131EA7CC" w14:textId="77777777" w:rsidR="00853D7F" w:rsidRDefault="00853D7F"/>
  </w:footnote>
  <w:footnote w:type="continuationSeparator" w:id="0">
    <w:p w14:paraId="4A725A54" w14:textId="77777777" w:rsidR="00853D7F" w:rsidRDefault="00853D7F">
      <w:r>
        <w:continuationSeparator/>
      </w:r>
    </w:p>
    <w:p w14:paraId="4A725A55" w14:textId="77777777" w:rsidR="00853D7F" w:rsidRDefault="00853D7F"/>
    <w:p w14:paraId="4A725A56" w14:textId="77777777" w:rsidR="00853D7F" w:rsidRDefault="00853D7F"/>
    <w:p w14:paraId="6AAF5A42" w14:textId="77777777" w:rsidR="00853D7F" w:rsidRDefault="00853D7F"/>
  </w:footnote>
  <w:footnote w:type="continuationNotice" w:id="1">
    <w:p w14:paraId="4A725A57" w14:textId="77777777" w:rsidR="00853D7F" w:rsidRDefault="00853D7F">
      <w:pPr>
        <w:pStyle w:val="Footer"/>
      </w:pPr>
    </w:p>
    <w:p w14:paraId="4A725A58" w14:textId="77777777" w:rsidR="00853D7F" w:rsidRDefault="00853D7F"/>
    <w:p w14:paraId="4A725A59" w14:textId="77777777" w:rsidR="00853D7F" w:rsidRDefault="00853D7F"/>
    <w:p w14:paraId="18C2C5B1" w14:textId="77777777" w:rsidR="00853D7F" w:rsidRDefault="00853D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5A64" w14:textId="75706C6C" w:rsidR="00853D7F" w:rsidRDefault="00853D7F">
    <w:pPr>
      <w:pStyle w:val="Header"/>
    </w:pPr>
    <w:r>
      <w:t>Australian Animal Sector National Antimicrobial Resistance Plan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5A67" w14:textId="389C4890" w:rsidR="00853D7F" w:rsidRDefault="00853D7F">
    <w:pPr>
      <w:pStyle w:val="Header"/>
      <w:jc w:val="left"/>
    </w:pPr>
    <w:r>
      <w:rPr>
        <w:noProof/>
        <w:lang w:eastAsia="en-AU"/>
      </w:rPr>
      <w:drawing>
        <wp:inline distT="0" distB="0" distL="0" distR="0" wp14:anchorId="4A725A6A" wp14:editId="4A725A6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C0810D1"/>
    <w:multiLevelType w:val="hybridMultilevel"/>
    <w:tmpl w:val="880469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1E20078"/>
    <w:multiLevelType w:val="multilevel"/>
    <w:tmpl w:val="4E046FC8"/>
    <w:styleLink w:val="Headinglist"/>
    <w:lvl w:ilvl="0">
      <w:start w:val="1"/>
      <w:numFmt w:val="none"/>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0" w:firstLine="0"/>
      </w:pPr>
      <w:rPr>
        <w:rFonts w:hint="default"/>
      </w:rPr>
    </w:lvl>
    <w:lvl w:ilvl="2">
      <w:start w:val="1"/>
      <w:numFmt w:val="decimal"/>
      <w:lvlText w:val="%3%1"/>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9B44F75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7B529BFC"/>
    <w:styleLink w:val="Numberlist"/>
    <w:lvl w:ilvl="0">
      <w:start w:val="1"/>
      <w:numFmt w:val="lowerLetter"/>
      <w:pStyle w:val="ListNumber"/>
      <w:lvlText w:val="%1."/>
      <w:lvlJc w:val="left"/>
      <w:pPr>
        <w:ind w:left="425" w:hanging="425"/>
      </w:pPr>
      <w:rPr>
        <w:rFonts w:hint="default"/>
        <w:color w:val="auto"/>
      </w:rPr>
    </w:lvl>
    <w:lvl w:ilvl="1">
      <w:start w:val="1"/>
      <w:numFmt w:val="none"/>
      <w:lvlText w:val=""/>
      <w:lvlJc w:val="left"/>
      <w:pPr>
        <w:ind w:left="851" w:hanging="426"/>
      </w:pPr>
      <w:rPr>
        <w:rFonts w:hint="default"/>
      </w:rPr>
    </w:lvl>
    <w:lvl w:ilvl="2">
      <w:start w:val="1"/>
      <w:numFmt w:val="none"/>
      <w:lvlText w:val=""/>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1"/>
  </w:num>
  <w:num w:numId="3">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4">
    <w:abstractNumId w:val="10"/>
  </w:num>
  <w:num w:numId="5">
    <w:abstractNumId w:val="4"/>
  </w:num>
  <w:num w:numId="6">
    <w:abstractNumId w:val="8"/>
  </w:num>
  <w:num w:numId="7">
    <w:abstractNumId w:val="7"/>
  </w:num>
  <w:num w:numId="8">
    <w:abstractNumId w:val="0"/>
  </w:num>
  <w:num w:numId="9">
    <w:abstractNumId w:val="5"/>
  </w:num>
  <w:num w:numId="10">
    <w:abstractNumId w:val="3"/>
  </w:num>
  <w:num w:numId="11">
    <w:abstractNumId w:val="2"/>
  </w:num>
  <w:num w:numId="12">
    <w:abstractNumId w:val="9"/>
  </w:num>
  <w:num w:numId="13">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4">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5">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6">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7">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8">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19">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0">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1">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2">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3">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4">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5">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6">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7">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8">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29">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30">
    <w:abstractNumId w:val="9"/>
    <w:lvlOverride w:ilvl="0">
      <w:lvl w:ilvl="0">
        <w:start w:val="1"/>
        <w:numFmt w:val="bullet"/>
        <w:pStyle w:val="ListBullet"/>
        <w:lvlText w:val=""/>
        <w:lvlJc w:val="left"/>
        <w:pPr>
          <w:ind w:left="425" w:hanging="425"/>
        </w:pPr>
        <w:rPr>
          <w:rFonts w:ascii="Symbol" w:hAnsi="Symbol" w:hint="default"/>
          <w:color w:val="auto"/>
        </w:rPr>
      </w:lvl>
    </w:lvlOverride>
  </w:num>
  <w:num w:numId="31">
    <w:abstractNumId w:val="9"/>
    <w:lvlOverride w:ilvl="0">
      <w:lvl w:ilvl="0">
        <w:start w:val="1"/>
        <w:numFmt w:val="bullet"/>
        <w:pStyle w:val="ListBullet"/>
        <w:lvlText w:val=""/>
        <w:lvlJc w:val="left"/>
        <w:pPr>
          <w:ind w:left="425" w:hanging="425"/>
        </w:pPr>
        <w:rPr>
          <w:rFonts w:ascii="Symbol" w:hAnsi="Symbol" w:hint="default"/>
          <w:color w:val="auto"/>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C3"/>
    <w:rsid w:val="00015A16"/>
    <w:rsid w:val="00106A26"/>
    <w:rsid w:val="00134518"/>
    <w:rsid w:val="0013518A"/>
    <w:rsid w:val="00153CEF"/>
    <w:rsid w:val="00192C04"/>
    <w:rsid w:val="00291CDE"/>
    <w:rsid w:val="002C6784"/>
    <w:rsid w:val="002D2E99"/>
    <w:rsid w:val="002D56C8"/>
    <w:rsid w:val="002F4664"/>
    <w:rsid w:val="00317EA1"/>
    <w:rsid w:val="00322259"/>
    <w:rsid w:val="003C3FAB"/>
    <w:rsid w:val="00401255"/>
    <w:rsid w:val="00406516"/>
    <w:rsid w:val="0044620C"/>
    <w:rsid w:val="00465C58"/>
    <w:rsid w:val="004961DA"/>
    <w:rsid w:val="004D2A6E"/>
    <w:rsid w:val="00574A5C"/>
    <w:rsid w:val="005E33BD"/>
    <w:rsid w:val="0061134F"/>
    <w:rsid w:val="00637B54"/>
    <w:rsid w:val="0068338A"/>
    <w:rsid w:val="006A1511"/>
    <w:rsid w:val="006A76C3"/>
    <w:rsid w:val="006C3845"/>
    <w:rsid w:val="006C4993"/>
    <w:rsid w:val="006C5BD4"/>
    <w:rsid w:val="0074715B"/>
    <w:rsid w:val="00780014"/>
    <w:rsid w:val="0079501D"/>
    <w:rsid w:val="0079692A"/>
    <w:rsid w:val="007A164E"/>
    <w:rsid w:val="007C6BF2"/>
    <w:rsid w:val="007F5EF2"/>
    <w:rsid w:val="0082248C"/>
    <w:rsid w:val="00853D7F"/>
    <w:rsid w:val="0086163A"/>
    <w:rsid w:val="008F0296"/>
    <w:rsid w:val="00917884"/>
    <w:rsid w:val="00945879"/>
    <w:rsid w:val="00946189"/>
    <w:rsid w:val="009727F6"/>
    <w:rsid w:val="00A15D23"/>
    <w:rsid w:val="00A52D49"/>
    <w:rsid w:val="00A567B8"/>
    <w:rsid w:val="00AB15B1"/>
    <w:rsid w:val="00AF527C"/>
    <w:rsid w:val="00AF61C3"/>
    <w:rsid w:val="00B1693A"/>
    <w:rsid w:val="00B87D6B"/>
    <w:rsid w:val="00B958B2"/>
    <w:rsid w:val="00BA4776"/>
    <w:rsid w:val="00BC4937"/>
    <w:rsid w:val="00BD36BD"/>
    <w:rsid w:val="00BF0082"/>
    <w:rsid w:val="00BF1070"/>
    <w:rsid w:val="00C93385"/>
    <w:rsid w:val="00D90CD7"/>
    <w:rsid w:val="00E8446E"/>
    <w:rsid w:val="00ED0D1C"/>
    <w:rsid w:val="00F72AE2"/>
    <w:rsid w:val="00F7576D"/>
    <w:rsid w:val="00F76403"/>
    <w:rsid w:val="00FC5995"/>
    <w:rsid w:val="00FD1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25746"/>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3C3FAB"/>
    <w:pPr>
      <w:pageBreakBefore/>
      <w:spacing w:after="240" w:line="240" w:lineRule="auto"/>
      <w:outlineLvl w:val="1"/>
    </w:pPr>
    <w:rPr>
      <w:rFonts w:ascii="Calibri" w:eastAsiaTheme="minorEastAsia" w:hAnsi="Calibri"/>
      <w:bCs/>
      <w:color w:val="000000"/>
      <w:sz w:val="52"/>
      <w:szCs w:val="28"/>
      <w:lang w:eastAsia="ja-JP"/>
    </w:rPr>
  </w:style>
  <w:style w:type="paragraph" w:styleId="Heading3">
    <w:name w:val="heading 3"/>
    <w:next w:val="Normal"/>
    <w:link w:val="Heading3Char"/>
    <w:uiPriority w:val="4"/>
    <w:qFormat/>
    <w:rsid w:val="00F7576D"/>
    <w:pPr>
      <w:keepNext/>
      <w:keepLines/>
      <w:spacing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F7576D"/>
    <w:pPr>
      <w:keepNext/>
      <w:spacing w:before="24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3C3FAB"/>
    <w:rPr>
      <w:rFonts w:ascii="Calibri" w:eastAsiaTheme="minorEastAsia" w:hAnsi="Calibri" w:cstheme="minorBidi"/>
      <w:bCs/>
      <w:color w:val="000000"/>
      <w:sz w:val="52"/>
      <w:szCs w:val="28"/>
      <w:lang w:eastAsia="ja-JP"/>
    </w:rPr>
  </w:style>
  <w:style w:type="character" w:customStyle="1" w:styleId="Heading3Char">
    <w:name w:val="Heading 3 Char"/>
    <w:basedOn w:val="DefaultParagraphFont"/>
    <w:link w:val="Heading3"/>
    <w:uiPriority w:val="4"/>
    <w:rsid w:val="00F7576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F7576D"/>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rsid w:val="00F7576D"/>
    <w:pPr>
      <w:numPr>
        <w:numId w:val="3"/>
      </w:numPr>
      <w:spacing w:before="120" w:after="120"/>
      <w:contextualSpacing/>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rsid w:val="00F7576D"/>
    <w:pPr>
      <w:numPr>
        <w:numId w:val="4"/>
      </w:numPr>
      <w:tabs>
        <w:tab w:val="left" w:pos="142"/>
      </w:tabs>
      <w:spacing w:before="120" w:after="120"/>
    </w:pPr>
  </w:style>
  <w:style w:type="paragraph" w:styleId="ListNumber2">
    <w:name w:val="List Number 2"/>
    <w:uiPriority w:val="10"/>
    <w:qFormat/>
    <w:rsid w:val="00F7576D"/>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F7576D"/>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rsid w:val="00F7576D"/>
    <w:pPr>
      <w:numPr>
        <w:numId w:val="4"/>
      </w:numPr>
    </w:pPr>
  </w:style>
  <w:style w:type="numbering" w:customStyle="1" w:styleId="Headinglist">
    <w:name w:val="Heading list"/>
    <w:uiPriority w:val="99"/>
    <w:rsid w:val="003C3FAB"/>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8"/>
      </w:numPr>
      <w:tabs>
        <w:tab w:val="num" w:pos="284"/>
      </w:tabs>
      <w:ind w:left="568" w:hanging="284"/>
    </w:pPr>
  </w:style>
  <w:style w:type="numbering" w:customStyle="1" w:styleId="TableBulletlist">
    <w:name w:val="Table Bullet list"/>
    <w:uiPriority w:val="99"/>
    <w:pPr>
      <w:numPr>
        <w:numId w:val="7"/>
      </w:numPr>
    </w:pPr>
  </w:style>
  <w:style w:type="paragraph" w:styleId="ListBullet4">
    <w:name w:val="List Bullet 4"/>
    <w:basedOn w:val="Normal"/>
    <w:uiPriority w:val="99"/>
    <w:unhideWhenUsed/>
    <w:rsid w:val="006C4993"/>
    <w:pPr>
      <w:tabs>
        <w:tab w:val="num" w:pos="1209"/>
      </w:tabs>
      <w:spacing w:after="0" w:line="360" w:lineRule="auto"/>
      <w:ind w:left="1209" w:hanging="360"/>
      <w:contextualSpacing/>
    </w:pPr>
    <w:rPr>
      <w:rFonts w:eastAsia="Calibri" w:cs="Times New Roman"/>
      <w:lang w:val="en-GB"/>
    </w:rPr>
  </w:style>
  <w:style w:type="numbering" w:customStyle="1" w:styleId="Appendix">
    <w:name w:val="Appendix"/>
    <w:uiPriority w:val="99"/>
    <w:rsid w:val="00A52D49"/>
    <w:pPr>
      <w:numPr>
        <w:numId w:val="9"/>
      </w:numPr>
    </w:pPr>
  </w:style>
  <w:style w:type="paragraph" w:styleId="ListParagraph">
    <w:name w:val="List Paragraph"/>
    <w:basedOn w:val="Normal"/>
    <w:link w:val="ListParagraphChar"/>
    <w:uiPriority w:val="99"/>
    <w:qFormat/>
    <w:rsid w:val="00A52D49"/>
    <w:pPr>
      <w:spacing w:after="0" w:line="360" w:lineRule="auto"/>
      <w:ind w:left="720"/>
      <w:contextualSpacing/>
    </w:pPr>
    <w:rPr>
      <w:rFonts w:eastAsia="Calibri" w:cs="Times New Roman"/>
      <w:lang w:val="en-GB"/>
    </w:rPr>
  </w:style>
  <w:style w:type="character" w:customStyle="1" w:styleId="ListParagraphChar">
    <w:name w:val="List Paragraph Char"/>
    <w:link w:val="ListParagraph"/>
    <w:uiPriority w:val="99"/>
    <w:qFormat/>
    <w:locked/>
    <w:rsid w:val="00A52D49"/>
    <w:rPr>
      <w:rFonts w:eastAsia="Calibri"/>
      <w:sz w:val="22"/>
      <w:szCs w:val="22"/>
      <w:lang w:val="en-GB" w:eastAsia="en-US"/>
    </w:rPr>
  </w:style>
  <w:style w:type="numbering" w:customStyle="1" w:styleId="ListBullets">
    <w:name w:val="ListBullets"/>
    <w:uiPriority w:val="99"/>
    <w:rsid w:val="00A52D4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s://www.amr.gov.au/resources/national-amr-implementation-plan" TargetMode="External"/><Relationship Id="rId26" Type="http://schemas.openxmlformats.org/officeDocument/2006/relationships/hyperlink" Target="https://www.who.int/antimicrobial-resistance/global-action-plan/en/"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mr.gov.au/australias-response/national-amr-strategy" TargetMode="External"/><Relationship Id="rId25" Type="http://schemas.openxmlformats.org/officeDocument/2006/relationships/hyperlink" Target="https://www.who.int/ihr/publications/WHO-WHE-CPI-REP-2018.8/en/"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diagramData" Target="diagrams/data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animal/health/amr" TargetMode="External"/><Relationship Id="rId23" Type="http://schemas.openxmlformats.org/officeDocument/2006/relationships/diagramColors" Target="diagrams/colors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mr.gov.au/resources/australias-first-national-antimicrobial-resistance-strategy-2015-2019-progress-repor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diagramQuickStyle" Target="diagrams/quickStyle1.xml"/><Relationship Id="rId27" Type="http://schemas.openxmlformats.org/officeDocument/2006/relationships/hyperlink" Target="https://www.amr.gov.au/australias-response/objective-7-governance/amr-advisory-group"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09217-DD49-4E73-B6DF-1864750BCE21}" type="doc">
      <dgm:prSet loTypeId="urn:microsoft.com/office/officeart/2005/8/layout/hierarchy5" loCatId="hierarchy" qsTypeId="urn:microsoft.com/office/officeart/2005/8/quickstyle/simple1" qsCatId="simple" csTypeId="urn:microsoft.com/office/officeart/2005/8/colors/colorful1" csCatId="colorful" phldr="1"/>
      <dgm:spPr/>
      <dgm:t>
        <a:bodyPr/>
        <a:lstStyle/>
        <a:p>
          <a:endParaRPr lang="en-AU"/>
        </a:p>
      </dgm:t>
    </dgm:pt>
    <dgm:pt modelId="{F7ED434A-B192-497B-BEB5-092A25FEF49A}">
      <dgm:prSet phldrT="[Text]" custT="1"/>
      <dgm:spPr/>
      <dgm:t>
        <a:bodyPr/>
        <a:lstStyle/>
        <a:p>
          <a:r>
            <a:rPr lang="en-AU" sz="1200" b="1">
              <a:solidFill>
                <a:schemeClr val="bg1"/>
              </a:solidFill>
              <a:latin typeface="+mj-lt"/>
            </a:rPr>
            <a:t>OIE</a:t>
          </a:r>
        </a:p>
        <a:p>
          <a:r>
            <a:rPr lang="en-AU" sz="1200">
              <a:solidFill>
                <a:schemeClr val="bg1"/>
              </a:solidFill>
              <a:latin typeface="+mj-lt"/>
            </a:rPr>
            <a:t>Strategy on AMR &amp; Prudent Use of Antimicrobials</a:t>
          </a:r>
        </a:p>
      </dgm:t>
    </dgm:pt>
    <dgm:pt modelId="{3FB00946-0F15-4C1D-8ABC-9A1419AEBCEA}" type="parTrans" cxnId="{464A8EEA-4538-4143-B359-64D67989B122}">
      <dgm:prSet custT="1"/>
      <dgm:spPr/>
      <dgm:t>
        <a:bodyPr/>
        <a:lstStyle/>
        <a:p>
          <a:endParaRPr lang="en-AU" sz="1100"/>
        </a:p>
      </dgm:t>
    </dgm:pt>
    <dgm:pt modelId="{D26B0F5F-69AD-4FE8-AD92-955137121FDC}" type="sibTrans" cxnId="{464A8EEA-4538-4143-B359-64D67989B122}">
      <dgm:prSet/>
      <dgm:spPr/>
      <dgm:t>
        <a:bodyPr/>
        <a:lstStyle/>
        <a:p>
          <a:endParaRPr lang="en-AU" sz="1100"/>
        </a:p>
      </dgm:t>
    </dgm:pt>
    <dgm:pt modelId="{446055A4-E558-4E5B-ABC4-CDBF4958AF18}">
      <dgm:prSet custT="1"/>
      <dgm:spPr/>
      <dgm:t>
        <a:bodyPr/>
        <a:lstStyle/>
        <a:p>
          <a:r>
            <a:rPr lang="en-AU" sz="1200" b="1">
              <a:solidFill>
                <a:schemeClr val="bg1"/>
              </a:solidFill>
              <a:latin typeface="+mj-lt"/>
            </a:rPr>
            <a:t>Australia's</a:t>
          </a:r>
        </a:p>
        <a:p>
          <a:r>
            <a:rPr lang="en-AU" sz="1200">
              <a:solidFill>
                <a:schemeClr val="bg1"/>
              </a:solidFill>
              <a:latin typeface="+mj-lt"/>
            </a:rPr>
            <a:t> 1st National AMR Strategy </a:t>
          </a:r>
          <a:br>
            <a:rPr lang="en-AU" sz="1200">
              <a:solidFill>
                <a:schemeClr val="bg1"/>
              </a:solidFill>
              <a:latin typeface="+mj-lt"/>
            </a:rPr>
          </a:br>
          <a:r>
            <a:rPr lang="en-AU" sz="1200">
              <a:solidFill>
                <a:schemeClr val="bg1"/>
              </a:solidFill>
              <a:latin typeface="+mj-lt"/>
            </a:rPr>
            <a:t>2015-2019</a:t>
          </a:r>
        </a:p>
      </dgm:t>
    </dgm:pt>
    <dgm:pt modelId="{2600E1C2-384E-4653-A9B2-6D538D94A0A9}" type="parTrans" cxnId="{2AAFE592-A4D6-4A6F-96A1-759DA885D6A3}">
      <dgm:prSet custT="1"/>
      <dgm:spPr/>
      <dgm:t>
        <a:bodyPr/>
        <a:lstStyle/>
        <a:p>
          <a:endParaRPr lang="en-AU" sz="1100"/>
        </a:p>
      </dgm:t>
    </dgm:pt>
    <dgm:pt modelId="{7ABD34FD-7BEF-4DE7-A7F9-3B1DE8362F5A}" type="sibTrans" cxnId="{2AAFE592-A4D6-4A6F-96A1-759DA885D6A3}">
      <dgm:prSet/>
      <dgm:spPr/>
      <dgm:t>
        <a:bodyPr/>
        <a:lstStyle/>
        <a:p>
          <a:endParaRPr lang="en-AU" sz="1100"/>
        </a:p>
      </dgm:t>
    </dgm:pt>
    <dgm:pt modelId="{EC6E2881-FAFC-4CB5-B53F-503C3F977028}">
      <dgm:prSet custT="1"/>
      <dgm:spPr/>
      <dgm:t>
        <a:bodyPr/>
        <a:lstStyle/>
        <a:p>
          <a:r>
            <a:rPr lang="en-AU" sz="1200" b="1">
              <a:solidFill>
                <a:schemeClr val="bg1"/>
              </a:solidFill>
              <a:latin typeface="+mj-lt"/>
            </a:rPr>
            <a:t>Australian Animal Sector</a:t>
          </a:r>
        </a:p>
        <a:p>
          <a:r>
            <a:rPr lang="en-AU" sz="1200" b="1">
              <a:solidFill>
                <a:schemeClr val="bg1"/>
              </a:solidFill>
              <a:latin typeface="+mj-lt"/>
            </a:rPr>
            <a:t> </a:t>
          </a:r>
          <a:r>
            <a:rPr lang="en-AU" sz="1200">
              <a:solidFill>
                <a:schemeClr val="bg1"/>
              </a:solidFill>
              <a:latin typeface="+mj-lt"/>
            </a:rPr>
            <a:t>National AMR Plan 2018</a:t>
          </a:r>
        </a:p>
      </dgm:t>
    </dgm:pt>
    <dgm:pt modelId="{315E720E-A640-40CC-B507-CA405CEE0D66}" type="parTrans" cxnId="{13AD6DB8-D600-44D7-9C46-9EEE39923545}">
      <dgm:prSet custT="1"/>
      <dgm:spPr/>
      <dgm:t>
        <a:bodyPr/>
        <a:lstStyle/>
        <a:p>
          <a:endParaRPr lang="en-AU" sz="1100"/>
        </a:p>
      </dgm:t>
    </dgm:pt>
    <dgm:pt modelId="{49CD55DE-0996-48E9-8F4B-18092038F4C7}" type="sibTrans" cxnId="{13AD6DB8-D600-44D7-9C46-9EEE39923545}">
      <dgm:prSet/>
      <dgm:spPr/>
      <dgm:t>
        <a:bodyPr/>
        <a:lstStyle/>
        <a:p>
          <a:endParaRPr lang="en-AU" sz="1100"/>
        </a:p>
      </dgm:t>
    </dgm:pt>
    <dgm:pt modelId="{DB88C44A-F3A1-4B25-A912-24070B594AA4}">
      <dgm:prSet custT="1"/>
      <dgm:spPr>
        <a:solidFill>
          <a:schemeClr val="accent5">
            <a:lumMod val="50000"/>
          </a:schemeClr>
        </a:solidFill>
      </dgm:spPr>
      <dgm:t>
        <a:bodyPr/>
        <a:lstStyle/>
        <a:p>
          <a:r>
            <a:rPr lang="en-AU" sz="1200" b="1">
              <a:solidFill>
                <a:schemeClr val="bg1"/>
              </a:solidFill>
              <a:latin typeface="+mj-lt"/>
            </a:rPr>
            <a:t>Australian Animal Sector  </a:t>
          </a:r>
        </a:p>
        <a:p>
          <a:r>
            <a:rPr lang="en-AU" sz="1200" b="0">
              <a:solidFill>
                <a:schemeClr val="bg1"/>
              </a:solidFill>
              <a:latin typeface="+mj-lt"/>
            </a:rPr>
            <a:t>National</a:t>
          </a:r>
          <a:br>
            <a:rPr lang="en-AU" sz="1200" b="0">
              <a:solidFill>
                <a:schemeClr val="bg1"/>
              </a:solidFill>
              <a:latin typeface="+mj-lt"/>
            </a:rPr>
          </a:br>
          <a:r>
            <a:rPr lang="en-AU" sz="1200">
              <a:solidFill>
                <a:schemeClr val="bg1"/>
              </a:solidFill>
              <a:latin typeface="+mj-lt"/>
            </a:rPr>
            <a:t>AMR Action Plan </a:t>
          </a:r>
        </a:p>
      </dgm:t>
    </dgm:pt>
    <dgm:pt modelId="{7CEF735B-E4A1-4193-A667-850B143CA86E}" type="parTrans" cxnId="{F0D27A7C-4FE0-40D5-933C-8486AAC8EE53}">
      <dgm:prSet custT="1"/>
      <dgm:spPr/>
      <dgm:t>
        <a:bodyPr/>
        <a:lstStyle/>
        <a:p>
          <a:endParaRPr lang="en-AU" sz="1100"/>
        </a:p>
      </dgm:t>
    </dgm:pt>
    <dgm:pt modelId="{8616E9F5-CCE2-402A-B6FC-282BD5FF1627}" type="sibTrans" cxnId="{F0D27A7C-4FE0-40D5-933C-8486AAC8EE53}">
      <dgm:prSet/>
      <dgm:spPr/>
      <dgm:t>
        <a:bodyPr/>
        <a:lstStyle/>
        <a:p>
          <a:endParaRPr lang="en-AU" sz="1100"/>
        </a:p>
      </dgm:t>
    </dgm:pt>
    <dgm:pt modelId="{0DA4E0DB-3730-43E7-8BB7-2D955A483546}">
      <dgm:prSet phldrT="[Text]" custT="1"/>
      <dgm:spPr/>
      <dgm:t>
        <a:bodyPr/>
        <a:lstStyle/>
        <a:p>
          <a:r>
            <a:rPr lang="en-AU" sz="1200" b="1">
              <a:solidFill>
                <a:schemeClr val="bg1"/>
              </a:solidFill>
              <a:latin typeface="+mj-lt"/>
            </a:rPr>
            <a:t>WHO</a:t>
          </a:r>
        </a:p>
        <a:p>
          <a:r>
            <a:rPr lang="en-AU" sz="1200">
              <a:solidFill>
                <a:schemeClr val="bg1"/>
              </a:solidFill>
              <a:latin typeface="+mj-lt"/>
            </a:rPr>
            <a:t> Global Action Plan On AMR</a:t>
          </a:r>
        </a:p>
      </dgm:t>
    </dgm:pt>
    <dgm:pt modelId="{08720F01-4069-44AC-B78D-A0D8750FA97B}" type="sibTrans" cxnId="{52F8DF7E-136C-4152-9F1C-A2EBAAF4D892}">
      <dgm:prSet/>
      <dgm:spPr/>
      <dgm:t>
        <a:bodyPr/>
        <a:lstStyle/>
        <a:p>
          <a:endParaRPr lang="en-AU" sz="1100"/>
        </a:p>
      </dgm:t>
    </dgm:pt>
    <dgm:pt modelId="{6F106137-10CD-4356-BC11-EC0EAED51BF2}" type="parTrans" cxnId="{52F8DF7E-136C-4152-9F1C-A2EBAAF4D892}">
      <dgm:prSet/>
      <dgm:spPr/>
      <dgm:t>
        <a:bodyPr/>
        <a:lstStyle/>
        <a:p>
          <a:endParaRPr lang="en-AU" sz="1100"/>
        </a:p>
      </dgm:t>
    </dgm:pt>
    <dgm:pt modelId="{9C8E74A8-33A6-4ADC-BB68-A0CED7FC2590}" type="pres">
      <dgm:prSet presAssocID="{A7509217-DD49-4E73-B6DF-1864750BCE21}" presName="mainComposite" presStyleCnt="0">
        <dgm:presLayoutVars>
          <dgm:chPref val="1"/>
          <dgm:dir/>
          <dgm:animOne val="branch"/>
          <dgm:animLvl val="lvl"/>
          <dgm:resizeHandles val="exact"/>
        </dgm:presLayoutVars>
      </dgm:prSet>
      <dgm:spPr/>
      <dgm:t>
        <a:bodyPr/>
        <a:lstStyle/>
        <a:p>
          <a:endParaRPr lang="en-AU"/>
        </a:p>
      </dgm:t>
    </dgm:pt>
    <dgm:pt modelId="{2CB21B4C-DD56-43EC-93B9-4BF6D61D64CC}" type="pres">
      <dgm:prSet presAssocID="{A7509217-DD49-4E73-B6DF-1864750BCE21}" presName="hierFlow" presStyleCnt="0"/>
      <dgm:spPr/>
      <dgm:t>
        <a:bodyPr/>
        <a:lstStyle/>
        <a:p>
          <a:endParaRPr lang="en-AU"/>
        </a:p>
      </dgm:t>
    </dgm:pt>
    <dgm:pt modelId="{0B2D2259-F0D4-468F-8EDC-17724AE85974}" type="pres">
      <dgm:prSet presAssocID="{A7509217-DD49-4E73-B6DF-1864750BCE21}" presName="hierChild1" presStyleCnt="0">
        <dgm:presLayoutVars>
          <dgm:chPref val="1"/>
          <dgm:animOne val="branch"/>
          <dgm:animLvl val="lvl"/>
        </dgm:presLayoutVars>
      </dgm:prSet>
      <dgm:spPr/>
      <dgm:t>
        <a:bodyPr/>
        <a:lstStyle/>
        <a:p>
          <a:endParaRPr lang="en-AU"/>
        </a:p>
      </dgm:t>
    </dgm:pt>
    <dgm:pt modelId="{90B723ED-B547-4954-915E-A388DFCC0B2B}" type="pres">
      <dgm:prSet presAssocID="{0DA4E0DB-3730-43E7-8BB7-2D955A483546}" presName="Name17" presStyleCnt="0"/>
      <dgm:spPr/>
      <dgm:t>
        <a:bodyPr/>
        <a:lstStyle/>
        <a:p>
          <a:endParaRPr lang="en-AU"/>
        </a:p>
      </dgm:t>
    </dgm:pt>
    <dgm:pt modelId="{CED4E2C3-2D0C-405B-867F-BDC32F719E54}" type="pres">
      <dgm:prSet presAssocID="{0DA4E0DB-3730-43E7-8BB7-2D955A483546}" presName="level1Shape" presStyleLbl="node0" presStyleIdx="0" presStyleCnt="1" custScaleY="343972">
        <dgm:presLayoutVars>
          <dgm:chPref val="3"/>
        </dgm:presLayoutVars>
      </dgm:prSet>
      <dgm:spPr/>
      <dgm:t>
        <a:bodyPr/>
        <a:lstStyle/>
        <a:p>
          <a:endParaRPr lang="en-AU"/>
        </a:p>
      </dgm:t>
    </dgm:pt>
    <dgm:pt modelId="{FECF3192-8962-47B8-92B8-4FBEB4FA5CD5}" type="pres">
      <dgm:prSet presAssocID="{0DA4E0DB-3730-43E7-8BB7-2D955A483546}" presName="hierChild2" presStyleCnt="0"/>
      <dgm:spPr/>
      <dgm:t>
        <a:bodyPr/>
        <a:lstStyle/>
        <a:p>
          <a:endParaRPr lang="en-AU"/>
        </a:p>
      </dgm:t>
    </dgm:pt>
    <dgm:pt modelId="{C8626DBC-22CB-4491-B9DF-33514A211B02}" type="pres">
      <dgm:prSet presAssocID="{3FB00946-0F15-4C1D-8ABC-9A1419AEBCEA}" presName="Name25" presStyleLbl="parChTrans1D2" presStyleIdx="0" presStyleCnt="1"/>
      <dgm:spPr/>
      <dgm:t>
        <a:bodyPr/>
        <a:lstStyle/>
        <a:p>
          <a:endParaRPr lang="en-AU"/>
        </a:p>
      </dgm:t>
    </dgm:pt>
    <dgm:pt modelId="{229012A2-AE72-4F8F-B4A5-289878A593A7}" type="pres">
      <dgm:prSet presAssocID="{3FB00946-0F15-4C1D-8ABC-9A1419AEBCEA}" presName="connTx" presStyleLbl="parChTrans1D2" presStyleIdx="0" presStyleCnt="1"/>
      <dgm:spPr/>
      <dgm:t>
        <a:bodyPr/>
        <a:lstStyle/>
        <a:p>
          <a:endParaRPr lang="en-AU"/>
        </a:p>
      </dgm:t>
    </dgm:pt>
    <dgm:pt modelId="{343A21BF-ED15-4AFC-B589-C52198356A3C}" type="pres">
      <dgm:prSet presAssocID="{F7ED434A-B192-497B-BEB5-092A25FEF49A}" presName="Name30" presStyleCnt="0"/>
      <dgm:spPr/>
      <dgm:t>
        <a:bodyPr/>
        <a:lstStyle/>
        <a:p>
          <a:endParaRPr lang="en-AU"/>
        </a:p>
      </dgm:t>
    </dgm:pt>
    <dgm:pt modelId="{2897BE2B-E5B4-4DD8-BB71-4DBEC689AF23}" type="pres">
      <dgm:prSet presAssocID="{F7ED434A-B192-497B-BEB5-092A25FEF49A}" presName="level2Shape" presStyleLbl="node2" presStyleIdx="0" presStyleCnt="1" custScaleX="166967" custScaleY="343972"/>
      <dgm:spPr/>
      <dgm:t>
        <a:bodyPr/>
        <a:lstStyle/>
        <a:p>
          <a:endParaRPr lang="en-AU"/>
        </a:p>
      </dgm:t>
    </dgm:pt>
    <dgm:pt modelId="{F7954BF6-963F-4CB1-B1C0-9C8051A0E237}" type="pres">
      <dgm:prSet presAssocID="{F7ED434A-B192-497B-BEB5-092A25FEF49A}" presName="hierChild3" presStyleCnt="0"/>
      <dgm:spPr/>
      <dgm:t>
        <a:bodyPr/>
        <a:lstStyle/>
        <a:p>
          <a:endParaRPr lang="en-AU"/>
        </a:p>
      </dgm:t>
    </dgm:pt>
    <dgm:pt modelId="{DCE8D1EB-9627-4968-BE47-FEEC2E0AB081}" type="pres">
      <dgm:prSet presAssocID="{2600E1C2-384E-4653-A9B2-6D538D94A0A9}" presName="Name25" presStyleLbl="parChTrans1D3" presStyleIdx="0" presStyleCnt="1"/>
      <dgm:spPr/>
      <dgm:t>
        <a:bodyPr/>
        <a:lstStyle/>
        <a:p>
          <a:endParaRPr lang="en-AU"/>
        </a:p>
      </dgm:t>
    </dgm:pt>
    <dgm:pt modelId="{86DF4694-B2A9-459A-ADE1-C5EF7C03B311}" type="pres">
      <dgm:prSet presAssocID="{2600E1C2-384E-4653-A9B2-6D538D94A0A9}" presName="connTx" presStyleLbl="parChTrans1D3" presStyleIdx="0" presStyleCnt="1"/>
      <dgm:spPr/>
      <dgm:t>
        <a:bodyPr/>
        <a:lstStyle/>
        <a:p>
          <a:endParaRPr lang="en-AU"/>
        </a:p>
      </dgm:t>
    </dgm:pt>
    <dgm:pt modelId="{8420FDD1-A4DD-4EC9-8F3E-AF8D25E08745}" type="pres">
      <dgm:prSet presAssocID="{446055A4-E558-4E5B-ABC4-CDBF4958AF18}" presName="Name30" presStyleCnt="0"/>
      <dgm:spPr/>
      <dgm:t>
        <a:bodyPr/>
        <a:lstStyle/>
        <a:p>
          <a:endParaRPr lang="en-AU"/>
        </a:p>
      </dgm:t>
    </dgm:pt>
    <dgm:pt modelId="{C5E529F9-9DCF-4D67-AACB-5973627AFEC9}" type="pres">
      <dgm:prSet presAssocID="{446055A4-E558-4E5B-ABC4-CDBF4958AF18}" presName="level2Shape" presStyleLbl="node3" presStyleIdx="0" presStyleCnt="1" custScaleX="132859" custScaleY="343972"/>
      <dgm:spPr/>
      <dgm:t>
        <a:bodyPr/>
        <a:lstStyle/>
        <a:p>
          <a:endParaRPr lang="en-AU"/>
        </a:p>
      </dgm:t>
    </dgm:pt>
    <dgm:pt modelId="{BB2E1C17-196D-4BD3-881D-B3A6BBB05FA1}" type="pres">
      <dgm:prSet presAssocID="{446055A4-E558-4E5B-ABC4-CDBF4958AF18}" presName="hierChild3" presStyleCnt="0"/>
      <dgm:spPr/>
      <dgm:t>
        <a:bodyPr/>
        <a:lstStyle/>
        <a:p>
          <a:endParaRPr lang="en-AU"/>
        </a:p>
      </dgm:t>
    </dgm:pt>
    <dgm:pt modelId="{393C88E2-F7D4-423B-B477-B28FF70C0D7D}" type="pres">
      <dgm:prSet presAssocID="{315E720E-A640-40CC-B507-CA405CEE0D66}" presName="Name25" presStyleLbl="parChTrans1D4" presStyleIdx="0" presStyleCnt="2"/>
      <dgm:spPr/>
      <dgm:t>
        <a:bodyPr/>
        <a:lstStyle/>
        <a:p>
          <a:endParaRPr lang="en-AU"/>
        </a:p>
      </dgm:t>
    </dgm:pt>
    <dgm:pt modelId="{49B5F747-1E3A-4322-80C6-BF0BB127E68B}" type="pres">
      <dgm:prSet presAssocID="{315E720E-A640-40CC-B507-CA405CEE0D66}" presName="connTx" presStyleLbl="parChTrans1D4" presStyleIdx="0" presStyleCnt="2"/>
      <dgm:spPr/>
      <dgm:t>
        <a:bodyPr/>
        <a:lstStyle/>
        <a:p>
          <a:endParaRPr lang="en-AU"/>
        </a:p>
      </dgm:t>
    </dgm:pt>
    <dgm:pt modelId="{44662690-A334-496D-BF9A-F6E952973D3B}" type="pres">
      <dgm:prSet presAssocID="{EC6E2881-FAFC-4CB5-B53F-503C3F977028}" presName="Name30" presStyleCnt="0"/>
      <dgm:spPr/>
      <dgm:t>
        <a:bodyPr/>
        <a:lstStyle/>
        <a:p>
          <a:endParaRPr lang="en-AU"/>
        </a:p>
      </dgm:t>
    </dgm:pt>
    <dgm:pt modelId="{02C313F7-05C6-434B-8A25-D5574F63C531}" type="pres">
      <dgm:prSet presAssocID="{EC6E2881-FAFC-4CB5-B53F-503C3F977028}" presName="level2Shape" presStyleLbl="node4" presStyleIdx="0" presStyleCnt="2" custScaleX="126833" custScaleY="343972"/>
      <dgm:spPr/>
      <dgm:t>
        <a:bodyPr/>
        <a:lstStyle/>
        <a:p>
          <a:endParaRPr lang="en-AU"/>
        </a:p>
      </dgm:t>
    </dgm:pt>
    <dgm:pt modelId="{D569C57E-8F2D-40B2-BA4C-59FB75952183}" type="pres">
      <dgm:prSet presAssocID="{EC6E2881-FAFC-4CB5-B53F-503C3F977028}" presName="hierChild3" presStyleCnt="0"/>
      <dgm:spPr/>
      <dgm:t>
        <a:bodyPr/>
        <a:lstStyle/>
        <a:p>
          <a:endParaRPr lang="en-AU"/>
        </a:p>
      </dgm:t>
    </dgm:pt>
    <dgm:pt modelId="{B7A67924-978B-4F20-8553-C7773584FAC0}" type="pres">
      <dgm:prSet presAssocID="{7CEF735B-E4A1-4193-A667-850B143CA86E}" presName="Name25" presStyleLbl="parChTrans1D4" presStyleIdx="1" presStyleCnt="2"/>
      <dgm:spPr/>
      <dgm:t>
        <a:bodyPr/>
        <a:lstStyle/>
        <a:p>
          <a:endParaRPr lang="en-AU"/>
        </a:p>
      </dgm:t>
    </dgm:pt>
    <dgm:pt modelId="{0F180F33-FC2B-419A-B189-C6FE0FFA417A}" type="pres">
      <dgm:prSet presAssocID="{7CEF735B-E4A1-4193-A667-850B143CA86E}" presName="connTx" presStyleLbl="parChTrans1D4" presStyleIdx="1" presStyleCnt="2"/>
      <dgm:spPr/>
      <dgm:t>
        <a:bodyPr/>
        <a:lstStyle/>
        <a:p>
          <a:endParaRPr lang="en-AU"/>
        </a:p>
      </dgm:t>
    </dgm:pt>
    <dgm:pt modelId="{DCB2FCDC-C08D-46E7-B4D8-9C2D34F170D2}" type="pres">
      <dgm:prSet presAssocID="{DB88C44A-F3A1-4B25-A912-24070B594AA4}" presName="Name30" presStyleCnt="0"/>
      <dgm:spPr/>
      <dgm:t>
        <a:bodyPr/>
        <a:lstStyle/>
        <a:p>
          <a:endParaRPr lang="en-AU"/>
        </a:p>
      </dgm:t>
    </dgm:pt>
    <dgm:pt modelId="{D1181589-FC02-436B-824C-5A5EF81F0448}" type="pres">
      <dgm:prSet presAssocID="{DB88C44A-F3A1-4B25-A912-24070B594AA4}" presName="level2Shape" presStyleLbl="node4" presStyleIdx="1" presStyleCnt="2" custScaleX="131173" custScaleY="343972"/>
      <dgm:spPr/>
      <dgm:t>
        <a:bodyPr/>
        <a:lstStyle/>
        <a:p>
          <a:endParaRPr lang="en-AU"/>
        </a:p>
      </dgm:t>
    </dgm:pt>
    <dgm:pt modelId="{1351C826-387B-4460-964A-98B072942529}" type="pres">
      <dgm:prSet presAssocID="{DB88C44A-F3A1-4B25-A912-24070B594AA4}" presName="hierChild3" presStyleCnt="0"/>
      <dgm:spPr/>
      <dgm:t>
        <a:bodyPr/>
        <a:lstStyle/>
        <a:p>
          <a:endParaRPr lang="en-AU"/>
        </a:p>
      </dgm:t>
    </dgm:pt>
    <dgm:pt modelId="{7524F0D5-9A38-46DD-A7D9-2FF41EB3361F}" type="pres">
      <dgm:prSet presAssocID="{A7509217-DD49-4E73-B6DF-1864750BCE21}" presName="bgShapesFlow" presStyleCnt="0"/>
      <dgm:spPr/>
      <dgm:t>
        <a:bodyPr/>
        <a:lstStyle/>
        <a:p>
          <a:endParaRPr lang="en-AU"/>
        </a:p>
      </dgm:t>
    </dgm:pt>
  </dgm:ptLst>
  <dgm:cxnLst>
    <dgm:cxn modelId="{B70C91E2-B5EF-4C56-A331-C154163FAF4B}" type="presOf" srcId="{DB88C44A-F3A1-4B25-A912-24070B594AA4}" destId="{D1181589-FC02-436B-824C-5A5EF81F0448}" srcOrd="0" destOrd="0" presId="urn:microsoft.com/office/officeart/2005/8/layout/hierarchy5"/>
    <dgm:cxn modelId="{99DCA0CB-3F49-4868-9970-4D152C6A71FF}" type="presOf" srcId="{2600E1C2-384E-4653-A9B2-6D538D94A0A9}" destId="{DCE8D1EB-9627-4968-BE47-FEEC2E0AB081}" srcOrd="0" destOrd="0" presId="urn:microsoft.com/office/officeart/2005/8/layout/hierarchy5"/>
    <dgm:cxn modelId="{784452B0-F6FA-4463-9C61-5A2652EA9B2C}" type="presOf" srcId="{315E720E-A640-40CC-B507-CA405CEE0D66}" destId="{393C88E2-F7D4-423B-B477-B28FF70C0D7D}" srcOrd="0" destOrd="0" presId="urn:microsoft.com/office/officeart/2005/8/layout/hierarchy5"/>
    <dgm:cxn modelId="{E26A5691-7061-4B52-8B03-7E18B716AC16}" type="presOf" srcId="{0DA4E0DB-3730-43E7-8BB7-2D955A483546}" destId="{CED4E2C3-2D0C-405B-867F-BDC32F719E54}" srcOrd="0" destOrd="0" presId="urn:microsoft.com/office/officeart/2005/8/layout/hierarchy5"/>
    <dgm:cxn modelId="{76C9C169-8E21-4482-A412-8B80D067A4C3}" type="presOf" srcId="{2600E1C2-384E-4653-A9B2-6D538D94A0A9}" destId="{86DF4694-B2A9-459A-ADE1-C5EF7C03B311}" srcOrd="1" destOrd="0" presId="urn:microsoft.com/office/officeart/2005/8/layout/hierarchy5"/>
    <dgm:cxn modelId="{767F783A-DB2F-4E75-ADCF-BB7D0789DA2A}" type="presOf" srcId="{F7ED434A-B192-497B-BEB5-092A25FEF49A}" destId="{2897BE2B-E5B4-4DD8-BB71-4DBEC689AF23}" srcOrd="0" destOrd="0" presId="urn:microsoft.com/office/officeart/2005/8/layout/hierarchy5"/>
    <dgm:cxn modelId="{52F8DF7E-136C-4152-9F1C-A2EBAAF4D892}" srcId="{A7509217-DD49-4E73-B6DF-1864750BCE21}" destId="{0DA4E0DB-3730-43E7-8BB7-2D955A483546}" srcOrd="0" destOrd="0" parTransId="{6F106137-10CD-4356-BC11-EC0EAED51BF2}" sibTransId="{08720F01-4069-44AC-B78D-A0D8750FA97B}"/>
    <dgm:cxn modelId="{DD2B290E-BA0F-4988-8AE2-73326D99133E}" type="presOf" srcId="{315E720E-A640-40CC-B507-CA405CEE0D66}" destId="{49B5F747-1E3A-4322-80C6-BF0BB127E68B}" srcOrd="1" destOrd="0" presId="urn:microsoft.com/office/officeart/2005/8/layout/hierarchy5"/>
    <dgm:cxn modelId="{13AD6DB8-D600-44D7-9C46-9EEE39923545}" srcId="{446055A4-E558-4E5B-ABC4-CDBF4958AF18}" destId="{EC6E2881-FAFC-4CB5-B53F-503C3F977028}" srcOrd="0" destOrd="0" parTransId="{315E720E-A640-40CC-B507-CA405CEE0D66}" sibTransId="{49CD55DE-0996-48E9-8F4B-18092038F4C7}"/>
    <dgm:cxn modelId="{2AAFE592-A4D6-4A6F-96A1-759DA885D6A3}" srcId="{F7ED434A-B192-497B-BEB5-092A25FEF49A}" destId="{446055A4-E558-4E5B-ABC4-CDBF4958AF18}" srcOrd="0" destOrd="0" parTransId="{2600E1C2-384E-4653-A9B2-6D538D94A0A9}" sibTransId="{7ABD34FD-7BEF-4DE7-A7F9-3B1DE8362F5A}"/>
    <dgm:cxn modelId="{15677EC0-BA07-4803-8D9C-935FBF4665D6}" type="presOf" srcId="{7CEF735B-E4A1-4193-A667-850B143CA86E}" destId="{B7A67924-978B-4F20-8553-C7773584FAC0}" srcOrd="0" destOrd="0" presId="urn:microsoft.com/office/officeart/2005/8/layout/hierarchy5"/>
    <dgm:cxn modelId="{9CAB8B79-FAB4-4610-9B9E-D0ACFC9443C4}" type="presOf" srcId="{446055A4-E558-4E5B-ABC4-CDBF4958AF18}" destId="{C5E529F9-9DCF-4D67-AACB-5973627AFEC9}" srcOrd="0" destOrd="0" presId="urn:microsoft.com/office/officeart/2005/8/layout/hierarchy5"/>
    <dgm:cxn modelId="{F0D27A7C-4FE0-40D5-933C-8486AAC8EE53}" srcId="{EC6E2881-FAFC-4CB5-B53F-503C3F977028}" destId="{DB88C44A-F3A1-4B25-A912-24070B594AA4}" srcOrd="0" destOrd="0" parTransId="{7CEF735B-E4A1-4193-A667-850B143CA86E}" sibTransId="{8616E9F5-CCE2-402A-B6FC-282BD5FF1627}"/>
    <dgm:cxn modelId="{16374494-B128-49DC-8ABE-52BE75E96D07}" type="presOf" srcId="{3FB00946-0F15-4C1D-8ABC-9A1419AEBCEA}" destId="{C8626DBC-22CB-4491-B9DF-33514A211B02}" srcOrd="0" destOrd="0" presId="urn:microsoft.com/office/officeart/2005/8/layout/hierarchy5"/>
    <dgm:cxn modelId="{464A8EEA-4538-4143-B359-64D67989B122}" srcId="{0DA4E0DB-3730-43E7-8BB7-2D955A483546}" destId="{F7ED434A-B192-497B-BEB5-092A25FEF49A}" srcOrd="0" destOrd="0" parTransId="{3FB00946-0F15-4C1D-8ABC-9A1419AEBCEA}" sibTransId="{D26B0F5F-69AD-4FE8-AD92-955137121FDC}"/>
    <dgm:cxn modelId="{2BE61A02-2447-4848-9DF2-7D669CE817A6}" type="presOf" srcId="{7CEF735B-E4A1-4193-A667-850B143CA86E}" destId="{0F180F33-FC2B-419A-B189-C6FE0FFA417A}" srcOrd="1" destOrd="0" presId="urn:microsoft.com/office/officeart/2005/8/layout/hierarchy5"/>
    <dgm:cxn modelId="{E9809E16-625B-4587-AB54-20B7841BD3DC}" type="presOf" srcId="{EC6E2881-FAFC-4CB5-B53F-503C3F977028}" destId="{02C313F7-05C6-434B-8A25-D5574F63C531}" srcOrd="0" destOrd="0" presId="urn:microsoft.com/office/officeart/2005/8/layout/hierarchy5"/>
    <dgm:cxn modelId="{6C0D16C4-CE97-4831-8B03-87DE5E686031}" type="presOf" srcId="{A7509217-DD49-4E73-B6DF-1864750BCE21}" destId="{9C8E74A8-33A6-4ADC-BB68-A0CED7FC2590}" srcOrd="0" destOrd="0" presId="urn:microsoft.com/office/officeart/2005/8/layout/hierarchy5"/>
    <dgm:cxn modelId="{B2074E4A-DE06-4B24-94BF-B33F01F2B775}" type="presOf" srcId="{3FB00946-0F15-4C1D-8ABC-9A1419AEBCEA}" destId="{229012A2-AE72-4F8F-B4A5-289878A593A7}" srcOrd="1" destOrd="0" presId="urn:microsoft.com/office/officeart/2005/8/layout/hierarchy5"/>
    <dgm:cxn modelId="{CB44EE9B-3BFF-4CE2-9A7F-B46AEB1F2B1C}" type="presParOf" srcId="{9C8E74A8-33A6-4ADC-BB68-A0CED7FC2590}" destId="{2CB21B4C-DD56-43EC-93B9-4BF6D61D64CC}" srcOrd="0" destOrd="0" presId="urn:microsoft.com/office/officeart/2005/8/layout/hierarchy5"/>
    <dgm:cxn modelId="{9AAB2D6A-6B54-43CD-94FD-D8D09674E69C}" type="presParOf" srcId="{2CB21B4C-DD56-43EC-93B9-4BF6D61D64CC}" destId="{0B2D2259-F0D4-468F-8EDC-17724AE85974}" srcOrd="0" destOrd="0" presId="urn:microsoft.com/office/officeart/2005/8/layout/hierarchy5"/>
    <dgm:cxn modelId="{3B8CAF59-95DD-4A66-8BF7-47DDBFA68D28}" type="presParOf" srcId="{0B2D2259-F0D4-468F-8EDC-17724AE85974}" destId="{90B723ED-B547-4954-915E-A388DFCC0B2B}" srcOrd="0" destOrd="0" presId="urn:microsoft.com/office/officeart/2005/8/layout/hierarchy5"/>
    <dgm:cxn modelId="{D6070A61-35B7-4ABE-B916-BD379523247C}" type="presParOf" srcId="{90B723ED-B547-4954-915E-A388DFCC0B2B}" destId="{CED4E2C3-2D0C-405B-867F-BDC32F719E54}" srcOrd="0" destOrd="0" presId="urn:microsoft.com/office/officeart/2005/8/layout/hierarchy5"/>
    <dgm:cxn modelId="{81A99B7F-8075-47B0-8749-25DC67A8D650}" type="presParOf" srcId="{90B723ED-B547-4954-915E-A388DFCC0B2B}" destId="{FECF3192-8962-47B8-92B8-4FBEB4FA5CD5}" srcOrd="1" destOrd="0" presId="urn:microsoft.com/office/officeart/2005/8/layout/hierarchy5"/>
    <dgm:cxn modelId="{82F634A9-6815-4D13-B03B-FF398E20AD02}" type="presParOf" srcId="{FECF3192-8962-47B8-92B8-4FBEB4FA5CD5}" destId="{C8626DBC-22CB-4491-B9DF-33514A211B02}" srcOrd="0" destOrd="0" presId="urn:microsoft.com/office/officeart/2005/8/layout/hierarchy5"/>
    <dgm:cxn modelId="{7F6F8DF6-9B6B-4B10-BD68-95A3124660A8}" type="presParOf" srcId="{C8626DBC-22CB-4491-B9DF-33514A211B02}" destId="{229012A2-AE72-4F8F-B4A5-289878A593A7}" srcOrd="0" destOrd="0" presId="urn:microsoft.com/office/officeart/2005/8/layout/hierarchy5"/>
    <dgm:cxn modelId="{297C3A6F-A901-4761-9D1D-2F262F89B4E1}" type="presParOf" srcId="{FECF3192-8962-47B8-92B8-4FBEB4FA5CD5}" destId="{343A21BF-ED15-4AFC-B589-C52198356A3C}" srcOrd="1" destOrd="0" presId="urn:microsoft.com/office/officeart/2005/8/layout/hierarchy5"/>
    <dgm:cxn modelId="{A09BAA7E-A4D6-48B8-808C-409383FAA6A1}" type="presParOf" srcId="{343A21BF-ED15-4AFC-B589-C52198356A3C}" destId="{2897BE2B-E5B4-4DD8-BB71-4DBEC689AF23}" srcOrd="0" destOrd="0" presId="urn:microsoft.com/office/officeart/2005/8/layout/hierarchy5"/>
    <dgm:cxn modelId="{13DAE686-9871-4857-972B-9D7D5C5CB29B}" type="presParOf" srcId="{343A21BF-ED15-4AFC-B589-C52198356A3C}" destId="{F7954BF6-963F-4CB1-B1C0-9C8051A0E237}" srcOrd="1" destOrd="0" presId="urn:microsoft.com/office/officeart/2005/8/layout/hierarchy5"/>
    <dgm:cxn modelId="{14923151-E65C-48DD-B8F2-22218B32330B}" type="presParOf" srcId="{F7954BF6-963F-4CB1-B1C0-9C8051A0E237}" destId="{DCE8D1EB-9627-4968-BE47-FEEC2E0AB081}" srcOrd="0" destOrd="0" presId="urn:microsoft.com/office/officeart/2005/8/layout/hierarchy5"/>
    <dgm:cxn modelId="{88E3BF12-42A6-457D-84F1-9AF7071042B1}" type="presParOf" srcId="{DCE8D1EB-9627-4968-BE47-FEEC2E0AB081}" destId="{86DF4694-B2A9-459A-ADE1-C5EF7C03B311}" srcOrd="0" destOrd="0" presId="urn:microsoft.com/office/officeart/2005/8/layout/hierarchy5"/>
    <dgm:cxn modelId="{057F200C-BA27-4DDB-89F3-52976064F6C4}" type="presParOf" srcId="{F7954BF6-963F-4CB1-B1C0-9C8051A0E237}" destId="{8420FDD1-A4DD-4EC9-8F3E-AF8D25E08745}" srcOrd="1" destOrd="0" presId="urn:microsoft.com/office/officeart/2005/8/layout/hierarchy5"/>
    <dgm:cxn modelId="{CAAA4511-9DE7-4722-9806-189FDE4265F9}" type="presParOf" srcId="{8420FDD1-A4DD-4EC9-8F3E-AF8D25E08745}" destId="{C5E529F9-9DCF-4D67-AACB-5973627AFEC9}" srcOrd="0" destOrd="0" presId="urn:microsoft.com/office/officeart/2005/8/layout/hierarchy5"/>
    <dgm:cxn modelId="{BA66CA2C-196E-427A-B984-EC1DAB6BFF4C}" type="presParOf" srcId="{8420FDD1-A4DD-4EC9-8F3E-AF8D25E08745}" destId="{BB2E1C17-196D-4BD3-881D-B3A6BBB05FA1}" srcOrd="1" destOrd="0" presId="urn:microsoft.com/office/officeart/2005/8/layout/hierarchy5"/>
    <dgm:cxn modelId="{8DFF896F-15BB-4298-91E1-37F7D7A27837}" type="presParOf" srcId="{BB2E1C17-196D-4BD3-881D-B3A6BBB05FA1}" destId="{393C88E2-F7D4-423B-B477-B28FF70C0D7D}" srcOrd="0" destOrd="0" presId="urn:microsoft.com/office/officeart/2005/8/layout/hierarchy5"/>
    <dgm:cxn modelId="{7A4EA214-BD6A-44B2-92D5-9E04790CC4FF}" type="presParOf" srcId="{393C88E2-F7D4-423B-B477-B28FF70C0D7D}" destId="{49B5F747-1E3A-4322-80C6-BF0BB127E68B}" srcOrd="0" destOrd="0" presId="urn:microsoft.com/office/officeart/2005/8/layout/hierarchy5"/>
    <dgm:cxn modelId="{71712E07-64C1-4316-8615-F8931A236CC9}" type="presParOf" srcId="{BB2E1C17-196D-4BD3-881D-B3A6BBB05FA1}" destId="{44662690-A334-496D-BF9A-F6E952973D3B}" srcOrd="1" destOrd="0" presId="urn:microsoft.com/office/officeart/2005/8/layout/hierarchy5"/>
    <dgm:cxn modelId="{917549D2-4476-4D12-BBBF-6C7536637C9C}" type="presParOf" srcId="{44662690-A334-496D-BF9A-F6E952973D3B}" destId="{02C313F7-05C6-434B-8A25-D5574F63C531}" srcOrd="0" destOrd="0" presId="urn:microsoft.com/office/officeart/2005/8/layout/hierarchy5"/>
    <dgm:cxn modelId="{AABD6E43-5FA0-497C-AD9E-47D47E5540E1}" type="presParOf" srcId="{44662690-A334-496D-BF9A-F6E952973D3B}" destId="{D569C57E-8F2D-40B2-BA4C-59FB75952183}" srcOrd="1" destOrd="0" presId="urn:microsoft.com/office/officeart/2005/8/layout/hierarchy5"/>
    <dgm:cxn modelId="{6CF08E00-A41D-4AD4-AAFD-E0CAA2272B21}" type="presParOf" srcId="{D569C57E-8F2D-40B2-BA4C-59FB75952183}" destId="{B7A67924-978B-4F20-8553-C7773584FAC0}" srcOrd="0" destOrd="0" presId="urn:microsoft.com/office/officeart/2005/8/layout/hierarchy5"/>
    <dgm:cxn modelId="{BCDFD216-8378-4F81-82CB-62875B9124AB}" type="presParOf" srcId="{B7A67924-978B-4F20-8553-C7773584FAC0}" destId="{0F180F33-FC2B-419A-B189-C6FE0FFA417A}" srcOrd="0" destOrd="0" presId="urn:microsoft.com/office/officeart/2005/8/layout/hierarchy5"/>
    <dgm:cxn modelId="{47614407-4471-4E45-821C-3118F0A8DF89}" type="presParOf" srcId="{D569C57E-8F2D-40B2-BA4C-59FB75952183}" destId="{DCB2FCDC-C08D-46E7-B4D8-9C2D34F170D2}" srcOrd="1" destOrd="0" presId="urn:microsoft.com/office/officeart/2005/8/layout/hierarchy5"/>
    <dgm:cxn modelId="{969DD389-7901-40B3-BD78-82A6E8174A49}" type="presParOf" srcId="{DCB2FCDC-C08D-46E7-B4D8-9C2D34F170D2}" destId="{D1181589-FC02-436B-824C-5A5EF81F0448}" srcOrd="0" destOrd="0" presId="urn:microsoft.com/office/officeart/2005/8/layout/hierarchy5"/>
    <dgm:cxn modelId="{F8875361-149A-4D40-A809-899924A278A2}" type="presParOf" srcId="{DCB2FCDC-C08D-46E7-B4D8-9C2D34F170D2}" destId="{1351C826-387B-4460-964A-98B072942529}" srcOrd="1" destOrd="0" presId="urn:microsoft.com/office/officeart/2005/8/layout/hierarchy5"/>
    <dgm:cxn modelId="{8267DCDA-4126-44EC-BAE6-7638B29693D8}" type="presParOf" srcId="{9C8E74A8-33A6-4ADC-BB68-A0CED7FC2590}" destId="{7524F0D5-9A38-46DD-A7D9-2FF41EB3361F}" srcOrd="1" destOrd="0" presId="urn:microsoft.com/office/officeart/2005/8/layout/hierarchy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4E2C3-2D0C-405B-867F-BDC32F719E54}">
      <dsp:nvSpPr>
        <dsp:cNvPr id="0" name=""/>
        <dsp:cNvSpPr/>
      </dsp:nvSpPr>
      <dsp:spPr>
        <a:xfrm>
          <a:off x="900" y="248985"/>
          <a:ext cx="701803" cy="12070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a:solidFill>
                <a:schemeClr val="bg1"/>
              </a:solidFill>
              <a:latin typeface="+mj-lt"/>
            </a:rPr>
            <a:t>WHO</a:t>
          </a:r>
        </a:p>
        <a:p>
          <a:pPr lvl="0" algn="ctr" defTabSz="533400">
            <a:lnSpc>
              <a:spcPct val="90000"/>
            </a:lnSpc>
            <a:spcBef>
              <a:spcPct val="0"/>
            </a:spcBef>
            <a:spcAft>
              <a:spcPct val="35000"/>
            </a:spcAft>
          </a:pPr>
          <a:r>
            <a:rPr lang="en-AU" sz="1200" kern="1200">
              <a:solidFill>
                <a:schemeClr val="bg1"/>
              </a:solidFill>
              <a:latin typeface="+mj-lt"/>
            </a:rPr>
            <a:t> Global Action Plan On AMR</a:t>
          </a:r>
        </a:p>
      </dsp:txBody>
      <dsp:txXfrm>
        <a:off x="21455" y="269540"/>
        <a:ext cx="660693" cy="1165894"/>
      </dsp:txXfrm>
    </dsp:sp>
    <dsp:sp modelId="{C8626DBC-22CB-4491-B9DF-33514A211B02}">
      <dsp:nvSpPr>
        <dsp:cNvPr id="0" name=""/>
        <dsp:cNvSpPr/>
      </dsp:nvSpPr>
      <dsp:spPr>
        <a:xfrm>
          <a:off x="702704" y="833964"/>
          <a:ext cx="280721" cy="37045"/>
        </a:xfrm>
        <a:custGeom>
          <a:avLst/>
          <a:gdLst/>
          <a:ahLst/>
          <a:cxnLst/>
          <a:rect l="0" t="0" r="0" b="0"/>
          <a:pathLst>
            <a:path>
              <a:moveTo>
                <a:pt x="0" y="18522"/>
              </a:moveTo>
              <a:lnTo>
                <a:pt x="280721" y="185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AU" sz="1100" kern="1200"/>
        </a:p>
      </dsp:txBody>
      <dsp:txXfrm>
        <a:off x="836047" y="845469"/>
        <a:ext cx="14036" cy="14036"/>
      </dsp:txXfrm>
    </dsp:sp>
    <dsp:sp modelId="{2897BE2B-E5B4-4DD8-BB71-4DBEC689AF23}">
      <dsp:nvSpPr>
        <dsp:cNvPr id="0" name=""/>
        <dsp:cNvSpPr/>
      </dsp:nvSpPr>
      <dsp:spPr>
        <a:xfrm>
          <a:off x="983426" y="248985"/>
          <a:ext cx="1171780" cy="12070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a:solidFill>
                <a:schemeClr val="bg1"/>
              </a:solidFill>
              <a:latin typeface="+mj-lt"/>
            </a:rPr>
            <a:t>OIE</a:t>
          </a:r>
        </a:p>
        <a:p>
          <a:pPr lvl="0" algn="ctr" defTabSz="533400">
            <a:lnSpc>
              <a:spcPct val="90000"/>
            </a:lnSpc>
            <a:spcBef>
              <a:spcPct val="0"/>
            </a:spcBef>
            <a:spcAft>
              <a:spcPct val="35000"/>
            </a:spcAft>
          </a:pPr>
          <a:r>
            <a:rPr lang="en-AU" sz="1200" kern="1200">
              <a:solidFill>
                <a:schemeClr val="bg1"/>
              </a:solidFill>
              <a:latin typeface="+mj-lt"/>
            </a:rPr>
            <a:t>Strategy on AMR &amp; Prudent Use of Antimicrobials</a:t>
          </a:r>
        </a:p>
      </dsp:txBody>
      <dsp:txXfrm>
        <a:off x="1017746" y="283305"/>
        <a:ext cx="1103140" cy="1138364"/>
      </dsp:txXfrm>
    </dsp:sp>
    <dsp:sp modelId="{DCE8D1EB-9627-4968-BE47-FEEC2E0AB081}">
      <dsp:nvSpPr>
        <dsp:cNvPr id="0" name=""/>
        <dsp:cNvSpPr/>
      </dsp:nvSpPr>
      <dsp:spPr>
        <a:xfrm>
          <a:off x="2155206" y="833964"/>
          <a:ext cx="280721" cy="37045"/>
        </a:xfrm>
        <a:custGeom>
          <a:avLst/>
          <a:gdLst/>
          <a:ahLst/>
          <a:cxnLst/>
          <a:rect l="0" t="0" r="0" b="0"/>
          <a:pathLst>
            <a:path>
              <a:moveTo>
                <a:pt x="0" y="18522"/>
              </a:moveTo>
              <a:lnTo>
                <a:pt x="280721" y="185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AU" sz="1100" kern="1200"/>
        </a:p>
      </dsp:txBody>
      <dsp:txXfrm>
        <a:off x="2288549" y="845469"/>
        <a:ext cx="14036" cy="14036"/>
      </dsp:txXfrm>
    </dsp:sp>
    <dsp:sp modelId="{C5E529F9-9DCF-4D67-AACB-5973627AFEC9}">
      <dsp:nvSpPr>
        <dsp:cNvPr id="0" name=""/>
        <dsp:cNvSpPr/>
      </dsp:nvSpPr>
      <dsp:spPr>
        <a:xfrm>
          <a:off x="2435928" y="248985"/>
          <a:ext cx="932409" cy="12070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a:solidFill>
                <a:schemeClr val="bg1"/>
              </a:solidFill>
              <a:latin typeface="+mj-lt"/>
            </a:rPr>
            <a:t>Australia's</a:t>
          </a:r>
        </a:p>
        <a:p>
          <a:pPr lvl="0" algn="ctr" defTabSz="533400">
            <a:lnSpc>
              <a:spcPct val="90000"/>
            </a:lnSpc>
            <a:spcBef>
              <a:spcPct val="0"/>
            </a:spcBef>
            <a:spcAft>
              <a:spcPct val="35000"/>
            </a:spcAft>
          </a:pPr>
          <a:r>
            <a:rPr lang="en-AU" sz="1200" kern="1200">
              <a:solidFill>
                <a:schemeClr val="bg1"/>
              </a:solidFill>
              <a:latin typeface="+mj-lt"/>
            </a:rPr>
            <a:t> 1st National AMR Strategy </a:t>
          </a:r>
          <a:br>
            <a:rPr lang="en-AU" sz="1200" kern="1200">
              <a:solidFill>
                <a:schemeClr val="bg1"/>
              </a:solidFill>
              <a:latin typeface="+mj-lt"/>
            </a:rPr>
          </a:br>
          <a:r>
            <a:rPr lang="en-AU" sz="1200" kern="1200">
              <a:solidFill>
                <a:schemeClr val="bg1"/>
              </a:solidFill>
              <a:latin typeface="+mj-lt"/>
            </a:rPr>
            <a:t>2015-2019</a:t>
          </a:r>
        </a:p>
      </dsp:txBody>
      <dsp:txXfrm>
        <a:off x="2463237" y="276294"/>
        <a:ext cx="877791" cy="1152386"/>
      </dsp:txXfrm>
    </dsp:sp>
    <dsp:sp modelId="{393C88E2-F7D4-423B-B477-B28FF70C0D7D}">
      <dsp:nvSpPr>
        <dsp:cNvPr id="0" name=""/>
        <dsp:cNvSpPr/>
      </dsp:nvSpPr>
      <dsp:spPr>
        <a:xfrm>
          <a:off x="3368337" y="833964"/>
          <a:ext cx="280721" cy="37045"/>
        </a:xfrm>
        <a:custGeom>
          <a:avLst/>
          <a:gdLst/>
          <a:ahLst/>
          <a:cxnLst/>
          <a:rect l="0" t="0" r="0" b="0"/>
          <a:pathLst>
            <a:path>
              <a:moveTo>
                <a:pt x="0" y="18522"/>
              </a:moveTo>
              <a:lnTo>
                <a:pt x="280721" y="185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AU" sz="1100" kern="1200"/>
        </a:p>
      </dsp:txBody>
      <dsp:txXfrm>
        <a:off x="3501680" y="845469"/>
        <a:ext cx="14036" cy="14036"/>
      </dsp:txXfrm>
    </dsp:sp>
    <dsp:sp modelId="{02C313F7-05C6-434B-8A25-D5574F63C531}">
      <dsp:nvSpPr>
        <dsp:cNvPr id="0" name=""/>
        <dsp:cNvSpPr/>
      </dsp:nvSpPr>
      <dsp:spPr>
        <a:xfrm>
          <a:off x="3649058" y="248985"/>
          <a:ext cx="890118" cy="12070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a:solidFill>
                <a:schemeClr val="bg1"/>
              </a:solidFill>
              <a:latin typeface="+mj-lt"/>
            </a:rPr>
            <a:t>Australian Animal Sector</a:t>
          </a:r>
        </a:p>
        <a:p>
          <a:pPr lvl="0" algn="ctr" defTabSz="533400">
            <a:lnSpc>
              <a:spcPct val="90000"/>
            </a:lnSpc>
            <a:spcBef>
              <a:spcPct val="0"/>
            </a:spcBef>
            <a:spcAft>
              <a:spcPct val="35000"/>
            </a:spcAft>
          </a:pPr>
          <a:r>
            <a:rPr lang="en-AU" sz="1200" b="1" kern="1200">
              <a:solidFill>
                <a:schemeClr val="bg1"/>
              </a:solidFill>
              <a:latin typeface="+mj-lt"/>
            </a:rPr>
            <a:t> </a:t>
          </a:r>
          <a:r>
            <a:rPr lang="en-AU" sz="1200" kern="1200">
              <a:solidFill>
                <a:schemeClr val="bg1"/>
              </a:solidFill>
              <a:latin typeface="+mj-lt"/>
            </a:rPr>
            <a:t>National AMR Plan 2018</a:t>
          </a:r>
        </a:p>
      </dsp:txBody>
      <dsp:txXfrm>
        <a:off x="3675129" y="275056"/>
        <a:ext cx="837976" cy="1154862"/>
      </dsp:txXfrm>
    </dsp:sp>
    <dsp:sp modelId="{B7A67924-978B-4F20-8553-C7773584FAC0}">
      <dsp:nvSpPr>
        <dsp:cNvPr id="0" name=""/>
        <dsp:cNvSpPr/>
      </dsp:nvSpPr>
      <dsp:spPr>
        <a:xfrm>
          <a:off x="4539177" y="833964"/>
          <a:ext cx="280721" cy="37045"/>
        </a:xfrm>
        <a:custGeom>
          <a:avLst/>
          <a:gdLst/>
          <a:ahLst/>
          <a:cxnLst/>
          <a:rect l="0" t="0" r="0" b="0"/>
          <a:pathLst>
            <a:path>
              <a:moveTo>
                <a:pt x="0" y="18522"/>
              </a:moveTo>
              <a:lnTo>
                <a:pt x="280721" y="185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AU" sz="1100" kern="1200"/>
        </a:p>
      </dsp:txBody>
      <dsp:txXfrm>
        <a:off x="4672520" y="845469"/>
        <a:ext cx="14036" cy="14036"/>
      </dsp:txXfrm>
    </dsp:sp>
    <dsp:sp modelId="{D1181589-FC02-436B-824C-5A5EF81F0448}">
      <dsp:nvSpPr>
        <dsp:cNvPr id="0" name=""/>
        <dsp:cNvSpPr/>
      </dsp:nvSpPr>
      <dsp:spPr>
        <a:xfrm>
          <a:off x="4819899" y="248985"/>
          <a:ext cx="920576" cy="1207004"/>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1" kern="1200">
              <a:solidFill>
                <a:schemeClr val="bg1"/>
              </a:solidFill>
              <a:latin typeface="+mj-lt"/>
            </a:rPr>
            <a:t>Australian Animal Sector  </a:t>
          </a:r>
        </a:p>
        <a:p>
          <a:pPr lvl="0" algn="ctr" defTabSz="533400">
            <a:lnSpc>
              <a:spcPct val="90000"/>
            </a:lnSpc>
            <a:spcBef>
              <a:spcPct val="0"/>
            </a:spcBef>
            <a:spcAft>
              <a:spcPct val="35000"/>
            </a:spcAft>
          </a:pPr>
          <a:r>
            <a:rPr lang="en-AU" sz="1200" b="0" kern="1200">
              <a:solidFill>
                <a:schemeClr val="bg1"/>
              </a:solidFill>
              <a:latin typeface="+mj-lt"/>
            </a:rPr>
            <a:t>National</a:t>
          </a:r>
          <a:br>
            <a:rPr lang="en-AU" sz="1200" b="0" kern="1200">
              <a:solidFill>
                <a:schemeClr val="bg1"/>
              </a:solidFill>
              <a:latin typeface="+mj-lt"/>
            </a:rPr>
          </a:br>
          <a:r>
            <a:rPr lang="en-AU" sz="1200" kern="1200">
              <a:solidFill>
                <a:schemeClr val="bg1"/>
              </a:solidFill>
              <a:latin typeface="+mj-lt"/>
            </a:rPr>
            <a:t>AMR Action Plan </a:t>
          </a:r>
        </a:p>
      </dsp:txBody>
      <dsp:txXfrm>
        <a:off x="4846862" y="275948"/>
        <a:ext cx="866650" cy="1153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C27B4-5B5C-406E-B110-B1BE34A1669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256BC608-6811-4A23-A734-0BE1CE53BDA5}"/>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18</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Responding to Antimicrobial Resistance: Australian Animal Sector National Antimicrobial Resistance Plan 2018</vt:lpstr>
    </vt:vector>
  </TitlesOfParts>
  <Company>Department of Agriculture Fisheries &amp; Forestry</Company>
  <LinksUpToDate>false</LinksUpToDate>
  <CharactersWithSpaces>33361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Antimicrobial Resistance: Australian Animal Sector National Antimicrobial Resistance Plan 2018</dc:title>
  <dc:creator>Department of Agriculture and Water Resources</dc:creator>
  <cp:lastModifiedBy>Dang, Van</cp:lastModifiedBy>
  <cp:revision>4</cp:revision>
  <cp:lastPrinted>2019-04-03T21:33:00Z</cp:lastPrinted>
  <dcterms:created xsi:type="dcterms:W3CDTF">2019-04-03T21:32:00Z</dcterms:created>
  <dcterms:modified xsi:type="dcterms:W3CDTF">2019-04-03T21:33:00Z</dcterms:modified>
  <cp:contentStatus>Updated January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