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D4" w:rsidRDefault="003B0F18">
      <w:pPr>
        <w:pStyle w:val="Body"/>
        <w:shd w:val="clear" w:color="auto" w:fill="FFFFFF"/>
        <w:rPr>
          <w:color w:val="1D2129"/>
          <w:sz w:val="20"/>
          <w:szCs w:val="20"/>
          <w:u w:color="1D2129"/>
        </w:rPr>
      </w:pPr>
      <w:r>
        <w:rPr>
          <w:rFonts w:ascii="Arial Unicode MS" w:eastAsia="Arial Unicode MS" w:hAnsi="Arial Unicode MS" w:cs="Arial Unicode MS"/>
          <w:color w:val="1D2129"/>
          <w:sz w:val="20"/>
          <w:szCs w:val="20"/>
          <w:u w:color="1D2129"/>
        </w:rPr>
        <w:br/>
      </w:r>
      <w:r>
        <w:rPr>
          <w:color w:val="1D2129"/>
          <w:sz w:val="20"/>
          <w:szCs w:val="20"/>
          <w:u w:color="1D2129"/>
          <w:lang w:val="en-US"/>
        </w:rPr>
        <w:t>Dear Member,</w:t>
      </w:r>
    </w:p>
    <w:p w:rsidR="00D06ED4" w:rsidRDefault="00D06ED4">
      <w:pPr>
        <w:pStyle w:val="Body"/>
        <w:shd w:val="clear" w:color="auto" w:fill="FFFFFF"/>
        <w:rPr>
          <w:rFonts w:ascii="Times New Roman" w:eastAsia="Times New Roman" w:hAnsi="Times New Roman" w:cs="Times New Roman"/>
          <w:color w:val="1D2129"/>
          <w:sz w:val="20"/>
          <w:szCs w:val="20"/>
          <w:u w:color="1D2129"/>
        </w:rPr>
      </w:pPr>
    </w:p>
    <w:p w:rsidR="00D06ED4" w:rsidRDefault="003B0F18">
      <w:pPr>
        <w:pStyle w:val="Body"/>
        <w:shd w:val="clear" w:color="auto" w:fill="FFFFFF"/>
        <w:rPr>
          <w:color w:val="1D2129"/>
          <w:sz w:val="20"/>
          <w:szCs w:val="20"/>
          <w:u w:color="1D2129"/>
        </w:rPr>
      </w:pPr>
      <w:r>
        <w:rPr>
          <w:color w:val="1D2129"/>
          <w:sz w:val="20"/>
          <w:szCs w:val="20"/>
          <w:u w:color="1D2129"/>
          <w:lang w:val="en-US"/>
        </w:rPr>
        <w:t xml:space="preserve">I thank the committee for the opportunity to comment on the Australian Standards for the Export of Livestock. The amendments will dramatically improve the lives of animals and introduce desperately needed transparency and accountability. </w:t>
      </w:r>
    </w:p>
    <w:p w:rsidR="00D06ED4" w:rsidRDefault="00D06ED4">
      <w:pPr>
        <w:pStyle w:val="NormalWeb"/>
        <w:spacing w:before="0" w:after="0"/>
      </w:pPr>
    </w:p>
    <w:p w:rsidR="00D06ED4" w:rsidRDefault="003B0F18">
      <w:pPr>
        <w:pStyle w:val="NormalWeb"/>
        <w:spacing w:before="0" w:after="0"/>
      </w:pPr>
      <w:r>
        <w:t xml:space="preserve">I first of all ask you to please consider a ban on the export of live animals. </w:t>
      </w:r>
      <w:r>
        <w:rPr>
          <w:rFonts w:ascii="Arial Unicode MS" w:eastAsia="Arial Unicode MS" w:hAnsi="Arial Unicode MS" w:cs="Arial Unicode MS"/>
        </w:rPr>
        <w:br/>
      </w:r>
    </w:p>
    <w:p w:rsidR="00D06ED4" w:rsidRDefault="003B0F18">
      <w:pPr>
        <w:pStyle w:val="NormalWeb"/>
        <w:spacing w:before="0" w:after="0"/>
        <w:rPr>
          <w:color w:val="222222"/>
          <w:u w:color="222222"/>
        </w:rPr>
      </w:pPr>
      <w:r>
        <w:t>The recent incident of deaths at sea is not isolate or anomalous. There have been numerous reported incidents of livestock deaths and of cruelty in the slaughter process where</w:t>
      </w:r>
      <w:r>
        <w:t xml:space="preserve"> brutal killings of Australian animals happens outside of accredited facilities. </w:t>
      </w:r>
    </w:p>
    <w:p w:rsidR="00D06ED4" w:rsidRDefault="003B0F18">
      <w:pPr>
        <w:pStyle w:val="NormalWeb"/>
        <w:spacing w:before="0" w:after="0"/>
        <w:rPr>
          <w:color w:val="222222"/>
          <w:u w:color="222222"/>
        </w:rPr>
      </w:pPr>
      <w:r>
        <w:t> </w:t>
      </w:r>
    </w:p>
    <w:p w:rsidR="00D06ED4" w:rsidRDefault="003B0F18">
      <w:pPr>
        <w:pStyle w:val="NormalWeb"/>
        <w:spacing w:before="0" w:after="0"/>
      </w:pPr>
      <w:r>
        <w:t>I encourage you to work with internation</w:t>
      </w:r>
      <w:bookmarkStart w:id="0" w:name="_GoBack"/>
      <w:bookmarkEnd w:id="0"/>
      <w:r>
        <w:t>al governments and farmers to transition to a chilled meat trade.</w:t>
      </w:r>
    </w:p>
    <w:p w:rsidR="00D06ED4" w:rsidRDefault="00D06ED4">
      <w:pPr>
        <w:pStyle w:val="NormalWeb"/>
        <w:spacing w:before="0" w:after="0"/>
      </w:pPr>
    </w:p>
    <w:p w:rsidR="00D06ED4" w:rsidRDefault="003B0F18">
      <w:pPr>
        <w:pStyle w:val="NormalWeb"/>
        <w:spacing w:before="0" w:after="0"/>
        <w:rPr>
          <w:color w:val="222222"/>
          <w:u w:color="222222"/>
        </w:rPr>
      </w:pPr>
      <w:r>
        <w:t xml:space="preserve">While this industry has repeatedly shown an inability to live up </w:t>
      </w:r>
      <w:r>
        <w:t xml:space="preserve">to community expectations, I do at a minimum, call for the below changes </w:t>
      </w:r>
      <w:r>
        <w:rPr>
          <w:color w:val="222222"/>
          <w:u w:color="222222"/>
        </w:rPr>
        <w:t>to be made to the recommended Standards.</w:t>
      </w:r>
    </w:p>
    <w:p w:rsidR="00D06ED4" w:rsidRDefault="00D06ED4">
      <w:pPr>
        <w:pStyle w:val="Body"/>
        <w:rPr>
          <w:rFonts w:ascii="Times New Roman" w:eastAsia="Times New Roman" w:hAnsi="Times New Roman" w:cs="Times New Roman"/>
          <w:color w:val="222222"/>
          <w:sz w:val="20"/>
          <w:szCs w:val="20"/>
          <w:u w:color="222222"/>
        </w:rPr>
      </w:pPr>
    </w:p>
    <w:p w:rsidR="00D06ED4" w:rsidRDefault="003B0F18">
      <w:pPr>
        <w:pStyle w:val="Body"/>
        <w:rPr>
          <w:b/>
          <w:bCs/>
          <w:color w:val="222222"/>
          <w:sz w:val="20"/>
          <w:szCs w:val="20"/>
          <w:u w:color="222222"/>
        </w:rPr>
      </w:pPr>
      <w:r>
        <w:rPr>
          <w:b/>
          <w:bCs/>
          <w:color w:val="222222"/>
          <w:sz w:val="20"/>
          <w:szCs w:val="20"/>
          <w:u w:color="222222"/>
          <w:lang w:val="en-US"/>
        </w:rPr>
        <w:t>Sourcing and preparation</w:t>
      </w:r>
    </w:p>
    <w:p w:rsidR="00D06ED4" w:rsidRDefault="003B0F18">
      <w:pPr>
        <w:pStyle w:val="ListParagraph"/>
        <w:numPr>
          <w:ilvl w:val="0"/>
          <w:numId w:val="2"/>
        </w:numPr>
        <w:rPr>
          <w:rFonts w:ascii="Times New Roman" w:eastAsia="Times New Roman" w:hAnsi="Times New Roman" w:cs="Times New Roman"/>
          <w:color w:val="222222"/>
          <w:sz w:val="20"/>
          <w:szCs w:val="20"/>
          <w:u w:color="222222"/>
        </w:rPr>
      </w:pPr>
      <w:r>
        <w:rPr>
          <w:rFonts w:ascii="Times New Roman" w:hAnsi="Times New Roman"/>
          <w:color w:val="222222"/>
          <w:sz w:val="20"/>
          <w:szCs w:val="20"/>
          <w:u w:color="222222"/>
        </w:rPr>
        <w:t>No cattle should be exported from southern ports across the equator during the high risk May to October period.</w:t>
      </w:r>
    </w:p>
    <w:p w:rsidR="00D06ED4" w:rsidRDefault="003B0F18">
      <w:pPr>
        <w:pStyle w:val="Body"/>
        <w:widowControl w:val="0"/>
        <w:rPr>
          <w:sz w:val="20"/>
          <w:szCs w:val="20"/>
        </w:rPr>
      </w:pPr>
      <w:r>
        <w:rPr>
          <w:sz w:val="20"/>
          <w:szCs w:val="20"/>
          <w:lang w:val="en-US"/>
        </w:rPr>
        <w:t xml:space="preserve">Conditions that are ideal for maintenance of normal body temperature; typically ~20–25°C and low humidity (Stockman 2006). </w:t>
      </w:r>
      <w:r>
        <w:rPr>
          <w:i/>
          <w:iCs/>
          <w:sz w:val="20"/>
          <w:szCs w:val="20"/>
          <w:lang w:val="en-US"/>
        </w:rPr>
        <w:t xml:space="preserve">B. indicus </w:t>
      </w:r>
      <w:r>
        <w:rPr>
          <w:sz w:val="20"/>
          <w:szCs w:val="20"/>
          <w:lang w:val="en-US"/>
        </w:rPr>
        <w:t xml:space="preserve">cattle generally sweat more than </w:t>
      </w:r>
      <w:r>
        <w:rPr>
          <w:i/>
          <w:iCs/>
          <w:sz w:val="20"/>
          <w:szCs w:val="20"/>
          <w:lang w:val="en-US"/>
        </w:rPr>
        <w:t xml:space="preserve">B. taurus </w:t>
      </w:r>
      <w:r>
        <w:rPr>
          <w:sz w:val="20"/>
          <w:szCs w:val="20"/>
          <w:lang w:val="en-US"/>
        </w:rPr>
        <w:t xml:space="preserve">cattle (Gaughan </w:t>
      </w:r>
      <w:r>
        <w:rPr>
          <w:i/>
          <w:iCs/>
          <w:sz w:val="20"/>
          <w:szCs w:val="20"/>
          <w:lang w:val="en-US"/>
        </w:rPr>
        <w:t xml:space="preserve">et al. </w:t>
      </w:r>
      <w:r>
        <w:rPr>
          <w:sz w:val="20"/>
          <w:szCs w:val="20"/>
          <w:lang w:val="en-US"/>
        </w:rPr>
        <w:t>1999; Johnson 1970), and therefore have an increased cap</w:t>
      </w:r>
      <w:r>
        <w:rPr>
          <w:sz w:val="20"/>
          <w:szCs w:val="20"/>
          <w:lang w:val="en-US"/>
        </w:rPr>
        <w:t xml:space="preserve">acity for evaporative heat loss from the body surface. Sheep also sweat, but because of the wool covering of their skin, even if the wool is short, evaporation of the sweat can be less effective at cooling the animal (Stockman </w:t>
      </w:r>
      <w:r>
        <w:rPr>
          <w:i/>
          <w:iCs/>
          <w:sz w:val="20"/>
          <w:szCs w:val="20"/>
          <w:lang w:val="en-US"/>
        </w:rPr>
        <w:t xml:space="preserve">et al. </w:t>
      </w:r>
      <w:r>
        <w:rPr>
          <w:sz w:val="20"/>
          <w:szCs w:val="20"/>
          <w:lang w:val="en-US"/>
        </w:rPr>
        <w:t>2011a). When ambient t</w:t>
      </w:r>
      <w:r>
        <w:rPr>
          <w:sz w:val="20"/>
          <w:szCs w:val="20"/>
          <w:lang w:val="en-US"/>
        </w:rPr>
        <w:t>emperature exceeds animal surface temperature, conduction and convection become routes of heat gain. Evaporation from the skin is much more efficient the shorter the hair coat, and if the surroundings are cooler and drier than the body. In situations of hi</w:t>
      </w:r>
      <w:r>
        <w:rPr>
          <w:sz w:val="20"/>
          <w:szCs w:val="20"/>
          <w:lang w:val="en-US"/>
        </w:rPr>
        <w:t xml:space="preserve">gh ambient humidity, less water evaporates, and this method of heat loss also loses effectiveness (Beatty </w:t>
      </w:r>
      <w:r>
        <w:rPr>
          <w:i/>
          <w:iCs/>
          <w:sz w:val="20"/>
          <w:szCs w:val="20"/>
          <w:lang w:val="en-US"/>
        </w:rPr>
        <w:t xml:space="preserve">et al. </w:t>
      </w:r>
      <w:r>
        <w:rPr>
          <w:sz w:val="20"/>
          <w:szCs w:val="20"/>
          <w:lang w:val="en-US"/>
        </w:rPr>
        <w:t xml:space="preserve">2006). </w:t>
      </w:r>
    </w:p>
    <w:p w:rsidR="00D06ED4" w:rsidRDefault="003B0F18">
      <w:pPr>
        <w:pStyle w:val="Body"/>
        <w:widowControl w:val="0"/>
        <w:rPr>
          <w:sz w:val="20"/>
          <w:szCs w:val="20"/>
        </w:rPr>
      </w:pPr>
      <w:r>
        <w:rPr>
          <w:sz w:val="20"/>
          <w:szCs w:val="20"/>
          <w:lang w:val="en-US"/>
        </w:rPr>
        <w:t>Panting is of particular importance when the humidity increases along with the temperature. Evaporation of water requires a diffusion g</w:t>
      </w:r>
      <w:r>
        <w:rPr>
          <w:sz w:val="20"/>
          <w:szCs w:val="20"/>
          <w:lang w:val="en-US"/>
        </w:rPr>
        <w:t xml:space="preserve">radient for loss of heat energy in the water vapour to the surrounding air, but in very humid conditions this gradient is reduced, and therefore evaporative heat loss from the skin is reduced. </w:t>
      </w:r>
    </w:p>
    <w:p w:rsidR="00D06ED4" w:rsidRDefault="003B0F18">
      <w:pPr>
        <w:pStyle w:val="Body"/>
        <w:widowControl w:val="0"/>
        <w:rPr>
          <w:sz w:val="20"/>
          <w:szCs w:val="20"/>
        </w:rPr>
      </w:pPr>
      <w:r>
        <w:rPr>
          <w:sz w:val="20"/>
          <w:szCs w:val="20"/>
          <w:lang w:val="en-US"/>
        </w:rPr>
        <w:t>Sweating in woolled sheep is much less effective due to the pr</w:t>
      </w:r>
      <w:r>
        <w:rPr>
          <w:sz w:val="20"/>
          <w:szCs w:val="20"/>
          <w:lang w:val="en-US"/>
        </w:rPr>
        <w:t>esence of the wool cover. With an elevation in environmental temperature to 36 ̊C, a high proportion of heat is dissipated via the ears and legs. When the physiological mechanisms of the animal fail to remove the excessive heat load, the internal body temp</w:t>
      </w:r>
      <w:r>
        <w:rPr>
          <w:sz w:val="20"/>
          <w:szCs w:val="20"/>
          <w:lang w:val="en-US"/>
        </w:rPr>
        <w:t>erature increases. At the same time, such exposure of sheep to increased heat load evokes a series of drastic changes in the biological functions, which include a decrease in feed intake efficiency and utilisation, disturbances in water, protein, energy an</w:t>
      </w:r>
      <w:r>
        <w:rPr>
          <w:sz w:val="20"/>
          <w:szCs w:val="20"/>
          <w:lang w:val="en-US"/>
        </w:rPr>
        <w:t xml:space="preserve">d mineral balances, enzymatic reactions, hormonal secretions and blood metabolites (Stockman 2006). </w:t>
      </w:r>
    </w:p>
    <w:p w:rsidR="00D06ED4" w:rsidRDefault="003B0F18">
      <w:pPr>
        <w:pStyle w:val="Body"/>
        <w:widowControl w:val="0"/>
        <w:rPr>
          <w:sz w:val="20"/>
          <w:szCs w:val="20"/>
        </w:rPr>
      </w:pPr>
      <w:r>
        <w:rPr>
          <w:sz w:val="20"/>
          <w:szCs w:val="20"/>
          <w:lang w:val="en-US"/>
        </w:rPr>
        <w:t>CCR experiment demonstrated considerable physiological changes in Merino sheep in response to hot and humid conditions typical of live export. Changes obse</w:t>
      </w:r>
      <w:r>
        <w:rPr>
          <w:sz w:val="20"/>
          <w:szCs w:val="20"/>
          <w:lang w:val="en-US"/>
        </w:rPr>
        <w:t xml:space="preserve">rved included increased core temperature, respiratory rate, panting score and associated changes in blood gas variables. Awassi sheep subjected to the same conditions demonstrated an ability to maintain homeostasis under the same environmental conditions, </w:t>
      </w:r>
      <w:r>
        <w:rPr>
          <w:sz w:val="20"/>
          <w:szCs w:val="20"/>
          <w:lang w:val="en-US"/>
        </w:rPr>
        <w:t xml:space="preserve">with few changes in core temperature or alteration in blood gas variables (Stockman 2006). Srikandakumar </w:t>
      </w:r>
      <w:r>
        <w:rPr>
          <w:i/>
          <w:iCs/>
          <w:sz w:val="20"/>
          <w:szCs w:val="20"/>
          <w:lang w:val="en-US"/>
        </w:rPr>
        <w:t xml:space="preserve">et al. </w:t>
      </w:r>
      <w:r>
        <w:rPr>
          <w:sz w:val="20"/>
          <w:szCs w:val="20"/>
          <w:lang w:val="en-US"/>
        </w:rPr>
        <w:t xml:space="preserve">(2003)showed similar results to those from the Awassi sheep for Omani sheep. </w:t>
      </w:r>
    </w:p>
    <w:p w:rsidR="00D06ED4" w:rsidRDefault="003B0F18">
      <w:pPr>
        <w:pStyle w:val="Body"/>
        <w:widowControl w:val="0"/>
        <w:rPr>
          <w:sz w:val="20"/>
          <w:szCs w:val="20"/>
        </w:rPr>
      </w:pPr>
      <w:r>
        <w:rPr>
          <w:sz w:val="20"/>
          <w:szCs w:val="20"/>
          <w:lang w:val="en-US"/>
        </w:rPr>
        <w:t xml:space="preserve">Cattle; There are pronounced differences in capacity to withstand </w:t>
      </w:r>
      <w:r>
        <w:rPr>
          <w:sz w:val="20"/>
          <w:szCs w:val="20"/>
          <w:lang w:val="en-US"/>
        </w:rPr>
        <w:t xml:space="preserve">heat load between cattle breeds (Gaughan </w:t>
      </w:r>
      <w:r>
        <w:rPr>
          <w:i/>
          <w:iCs/>
          <w:sz w:val="20"/>
          <w:szCs w:val="20"/>
          <w:lang w:val="en-US"/>
        </w:rPr>
        <w:t xml:space="preserve">et al. </w:t>
      </w:r>
      <w:r>
        <w:rPr>
          <w:sz w:val="20"/>
          <w:szCs w:val="20"/>
          <w:lang w:val="en-US"/>
        </w:rPr>
        <w:t xml:space="preserve">2010). This difference is most dramatic between </w:t>
      </w:r>
      <w:r>
        <w:rPr>
          <w:i/>
          <w:iCs/>
          <w:sz w:val="20"/>
          <w:szCs w:val="20"/>
          <w:lang w:val="en-US"/>
        </w:rPr>
        <w:t xml:space="preserve">B. taurus </w:t>
      </w:r>
      <w:r>
        <w:rPr>
          <w:sz w:val="20"/>
          <w:szCs w:val="20"/>
          <w:lang w:val="en-US"/>
        </w:rPr>
        <w:t xml:space="preserve">and </w:t>
      </w:r>
      <w:r>
        <w:rPr>
          <w:i/>
          <w:iCs/>
          <w:sz w:val="20"/>
          <w:szCs w:val="20"/>
          <w:lang w:val="en-US"/>
        </w:rPr>
        <w:t xml:space="preserve">B. indicus </w:t>
      </w:r>
      <w:r>
        <w:rPr>
          <w:sz w:val="20"/>
          <w:szCs w:val="20"/>
          <w:lang w:val="en-US"/>
        </w:rPr>
        <w:t xml:space="preserve">cattle, with </w:t>
      </w:r>
      <w:r>
        <w:rPr>
          <w:i/>
          <w:iCs/>
          <w:sz w:val="20"/>
          <w:szCs w:val="20"/>
          <w:lang w:val="en-US"/>
        </w:rPr>
        <w:t xml:space="preserve">B. indicus </w:t>
      </w:r>
      <w:r>
        <w:rPr>
          <w:sz w:val="20"/>
          <w:szCs w:val="20"/>
          <w:lang w:val="en-US"/>
        </w:rPr>
        <w:t xml:space="preserve">animals showing higher heat tolerance (Adams and Thornber 2008; Bortolussi </w:t>
      </w:r>
      <w:r>
        <w:rPr>
          <w:i/>
          <w:iCs/>
          <w:sz w:val="20"/>
          <w:szCs w:val="20"/>
          <w:lang w:val="en-US"/>
        </w:rPr>
        <w:t xml:space="preserve">et al. </w:t>
      </w:r>
      <w:r>
        <w:rPr>
          <w:sz w:val="20"/>
          <w:szCs w:val="20"/>
          <w:lang w:val="en-US"/>
        </w:rPr>
        <w:t xml:space="preserve">2005; Gaughan </w:t>
      </w:r>
      <w:r>
        <w:rPr>
          <w:i/>
          <w:iCs/>
          <w:sz w:val="20"/>
          <w:szCs w:val="20"/>
          <w:lang w:val="en-US"/>
        </w:rPr>
        <w:t xml:space="preserve">et al. </w:t>
      </w:r>
      <w:r>
        <w:rPr>
          <w:sz w:val="20"/>
          <w:szCs w:val="20"/>
          <w:lang w:val="en-US"/>
        </w:rPr>
        <w:t xml:space="preserve">2010). </w:t>
      </w:r>
      <w:r>
        <w:rPr>
          <w:i/>
          <w:iCs/>
          <w:sz w:val="20"/>
          <w:szCs w:val="20"/>
          <w:lang w:val="en-US"/>
        </w:rPr>
        <w:t>B</w:t>
      </w:r>
      <w:r>
        <w:rPr>
          <w:i/>
          <w:iCs/>
          <w:sz w:val="20"/>
          <w:szCs w:val="20"/>
          <w:lang w:val="en-US"/>
        </w:rPr>
        <w:t xml:space="preserve">. indicus </w:t>
      </w:r>
      <w:r>
        <w:rPr>
          <w:sz w:val="20"/>
          <w:szCs w:val="20"/>
          <w:lang w:val="en-US"/>
        </w:rPr>
        <w:t xml:space="preserve">cattle generally sweat more than </w:t>
      </w:r>
      <w:r>
        <w:rPr>
          <w:i/>
          <w:iCs/>
          <w:sz w:val="20"/>
          <w:szCs w:val="20"/>
          <w:lang w:val="en-US"/>
        </w:rPr>
        <w:t xml:space="preserve">B. taurus </w:t>
      </w:r>
      <w:r>
        <w:rPr>
          <w:sz w:val="20"/>
          <w:szCs w:val="20"/>
          <w:lang w:val="en-US"/>
        </w:rPr>
        <w:t xml:space="preserve">cattle (Gaughan </w:t>
      </w:r>
      <w:r>
        <w:rPr>
          <w:i/>
          <w:iCs/>
          <w:sz w:val="20"/>
          <w:szCs w:val="20"/>
          <w:lang w:val="en-US"/>
        </w:rPr>
        <w:t xml:space="preserve">et al. </w:t>
      </w:r>
      <w:r>
        <w:rPr>
          <w:sz w:val="20"/>
          <w:szCs w:val="20"/>
          <w:lang w:val="en-US"/>
        </w:rPr>
        <w:t xml:space="preserve">1999; Johnson 1970), and therefore have an increased capacity for evaporative heat loss from the body surface (Beatty </w:t>
      </w:r>
      <w:r>
        <w:rPr>
          <w:i/>
          <w:iCs/>
          <w:sz w:val="20"/>
          <w:szCs w:val="20"/>
          <w:lang w:val="en-US"/>
        </w:rPr>
        <w:t xml:space="preserve">et al. </w:t>
      </w:r>
      <w:r>
        <w:rPr>
          <w:sz w:val="20"/>
          <w:szCs w:val="20"/>
          <w:lang w:val="en-US"/>
        </w:rPr>
        <w:t>2006). This disparity has manifested dramatically in ex</w:t>
      </w:r>
      <w:r>
        <w:rPr>
          <w:sz w:val="20"/>
          <w:szCs w:val="20"/>
          <w:lang w:val="en-US"/>
        </w:rPr>
        <w:t xml:space="preserve">treme heat load events in live export, whereby mortality rates due to heat load in </w:t>
      </w:r>
      <w:r>
        <w:rPr>
          <w:i/>
          <w:iCs/>
          <w:sz w:val="20"/>
          <w:szCs w:val="20"/>
          <w:lang w:val="en-US"/>
        </w:rPr>
        <w:t xml:space="preserve">B. taurus </w:t>
      </w:r>
      <w:r>
        <w:rPr>
          <w:sz w:val="20"/>
          <w:szCs w:val="20"/>
          <w:lang w:val="en-US"/>
        </w:rPr>
        <w:t xml:space="preserve">and </w:t>
      </w:r>
      <w:r>
        <w:rPr>
          <w:i/>
          <w:iCs/>
          <w:sz w:val="20"/>
          <w:szCs w:val="20"/>
          <w:lang w:val="en-US"/>
        </w:rPr>
        <w:t xml:space="preserve">B. indicus </w:t>
      </w:r>
      <w:r>
        <w:rPr>
          <w:sz w:val="20"/>
          <w:szCs w:val="20"/>
          <w:lang w:val="en-US"/>
        </w:rPr>
        <w:t xml:space="preserve">animals under identical conditions have been 38.4% and 0%, </w:t>
      </w:r>
      <w:r>
        <w:rPr>
          <w:sz w:val="20"/>
          <w:szCs w:val="20"/>
          <w:lang w:val="en-US"/>
        </w:rPr>
        <w:lastRenderedPageBreak/>
        <w:t xml:space="preserve">respectively (More </w:t>
      </w:r>
      <w:r>
        <w:rPr>
          <w:i/>
          <w:iCs/>
          <w:sz w:val="20"/>
          <w:szCs w:val="20"/>
          <w:lang w:val="en-US"/>
        </w:rPr>
        <w:t xml:space="preserve">et al. </w:t>
      </w:r>
      <w:r>
        <w:rPr>
          <w:sz w:val="20"/>
          <w:szCs w:val="20"/>
          <w:lang w:val="en-US"/>
        </w:rPr>
        <w:t xml:space="preserve">2003). </w:t>
      </w:r>
    </w:p>
    <w:p w:rsidR="00D06ED4" w:rsidRDefault="003B0F18">
      <w:pPr>
        <w:pStyle w:val="Body"/>
        <w:widowControl w:val="0"/>
        <w:rPr>
          <w:sz w:val="20"/>
          <w:szCs w:val="20"/>
        </w:rPr>
      </w:pPr>
      <w:r>
        <w:rPr>
          <w:sz w:val="20"/>
          <w:szCs w:val="20"/>
          <w:lang w:val="en-US"/>
        </w:rPr>
        <w:t xml:space="preserve">When the DBT is at or above body temperature, the only </w:t>
      </w:r>
      <w:r>
        <w:rPr>
          <w:sz w:val="20"/>
          <w:szCs w:val="20"/>
          <w:lang w:val="en-US"/>
        </w:rPr>
        <w:t>method for heat loss will be via evaporation, and if the air already contains much moisture, further saturation of the air will be limited, meaning heat loss is diminished. If there is good ventilation, the hot and saturated air is blown away from the anim</w:t>
      </w:r>
      <w:r>
        <w:rPr>
          <w:sz w:val="20"/>
          <w:szCs w:val="20"/>
          <w:lang w:val="en-US"/>
        </w:rPr>
        <w:t xml:space="preserve">als, and therefore there is capacity for both convective and further evaporative cooling. Thus, even if the air is as hot as or hotter than the animal, if the humidity is low, evaporative cooling can still occur (Maunsell Australia 2004). </w:t>
      </w:r>
    </w:p>
    <w:p w:rsidR="00D06ED4" w:rsidRDefault="003B0F18">
      <w:pPr>
        <w:pStyle w:val="Body"/>
        <w:widowControl w:val="0"/>
        <w:rPr>
          <w:sz w:val="20"/>
          <w:szCs w:val="20"/>
        </w:rPr>
      </w:pPr>
      <w:r>
        <w:rPr>
          <w:sz w:val="20"/>
          <w:szCs w:val="20"/>
          <w:lang w:val="en-US"/>
        </w:rPr>
        <w:t>First phase pant</w:t>
      </w:r>
      <w:r>
        <w:rPr>
          <w:sz w:val="20"/>
          <w:szCs w:val="20"/>
          <w:lang w:val="en-US"/>
        </w:rPr>
        <w:t xml:space="preserve">ing consists of rapid, shallow respiration, and occurs when core temperature is, on average, 0.5°C above normal, progressing to second phase or open-mouth panting when core temperature is, on average, 1°C above normal. Stockman (2006) reported that summer </w:t>
      </w:r>
      <w:r>
        <w:rPr>
          <w:sz w:val="20"/>
          <w:szCs w:val="20"/>
          <w:lang w:val="en-US"/>
        </w:rPr>
        <w:t xml:space="preserve">acclimatised sheep started showing clinical signs including open-mouth panting when core body temperature increased over 0.5°C above normal, while winter acclimatised sheep did not start open-mouth panted until they were 1°C above normal. </w:t>
      </w:r>
    </w:p>
    <w:p w:rsidR="00D06ED4" w:rsidRDefault="003B0F18">
      <w:pPr>
        <w:pStyle w:val="Body"/>
        <w:widowControl w:val="0"/>
        <w:rPr>
          <w:sz w:val="20"/>
          <w:szCs w:val="20"/>
        </w:rPr>
      </w:pPr>
      <w:r>
        <w:rPr>
          <w:sz w:val="20"/>
          <w:szCs w:val="20"/>
          <w:lang w:val="en-US"/>
        </w:rPr>
        <w:t>Progression to o</w:t>
      </w:r>
      <w:r>
        <w:rPr>
          <w:sz w:val="20"/>
          <w:szCs w:val="20"/>
          <w:lang w:val="en-US"/>
        </w:rPr>
        <w:t>pen-mouth panting with the tongue out, in both sheep and cattle, will be accompanied by significant changes in fluid, electrolyte, and acid-base balance, and indicates an animal which is severely clinically compromised.</w:t>
      </w:r>
    </w:p>
    <w:p w:rsidR="00D06ED4" w:rsidRDefault="003B0F18">
      <w:pPr>
        <w:pStyle w:val="Body"/>
        <w:widowControl w:val="0"/>
        <w:rPr>
          <w:sz w:val="20"/>
          <w:szCs w:val="20"/>
        </w:rPr>
      </w:pPr>
      <w:r>
        <w:rPr>
          <w:sz w:val="20"/>
          <w:szCs w:val="20"/>
          <w:lang w:val="en-US"/>
        </w:rPr>
        <w:t>Excessive exposure to heat can be fa</w:t>
      </w:r>
      <w:r>
        <w:rPr>
          <w:sz w:val="20"/>
          <w:szCs w:val="20"/>
          <w:lang w:val="en-US"/>
        </w:rPr>
        <w:t xml:space="preserve">tal. Livestock mortality due to heat load can occur under many conditions including in feedlots and during transport. </w:t>
      </w:r>
    </w:p>
    <w:p w:rsidR="00D06ED4" w:rsidRDefault="003B0F18">
      <w:pPr>
        <w:pStyle w:val="Body"/>
        <w:widowControl w:val="0"/>
        <w:rPr>
          <w:sz w:val="20"/>
          <w:szCs w:val="20"/>
        </w:rPr>
      </w:pPr>
      <w:r>
        <w:rPr>
          <w:sz w:val="20"/>
          <w:szCs w:val="20"/>
          <w:lang w:val="en-US"/>
        </w:rPr>
        <w:t>Dangerous heat load may occur for transported livestock in any area experienced high sustained environmental temperatures. This may occur in many areas of Australia, particularly northern Australia during the southern hemisphere summer (Blackshaw and Black</w:t>
      </w:r>
      <w:r>
        <w:rPr>
          <w:sz w:val="20"/>
          <w:szCs w:val="20"/>
          <w:lang w:val="en-US"/>
        </w:rPr>
        <w:t xml:space="preserve">shaw 1994) and has been documented for exported sheep and cattle during the northern hemisphere summer, at ports in the Persian Gulf (More </w:t>
      </w:r>
      <w:r>
        <w:rPr>
          <w:i/>
          <w:iCs/>
          <w:sz w:val="20"/>
          <w:szCs w:val="20"/>
          <w:lang w:val="en-US"/>
        </w:rPr>
        <w:t xml:space="preserve">et al. </w:t>
      </w:r>
      <w:r>
        <w:rPr>
          <w:sz w:val="20"/>
          <w:szCs w:val="20"/>
          <w:lang w:val="en-US"/>
        </w:rPr>
        <w:t xml:space="preserve">2003; Stinson 2008). </w:t>
      </w:r>
    </w:p>
    <w:p w:rsidR="00D06ED4" w:rsidRDefault="00D06ED4">
      <w:pPr>
        <w:pStyle w:val="Body"/>
        <w:widowControl w:val="0"/>
        <w:rPr>
          <w:rFonts w:ascii="Times New Roman" w:eastAsia="Times New Roman" w:hAnsi="Times New Roman" w:cs="Times New Roman"/>
          <w:sz w:val="20"/>
          <w:szCs w:val="20"/>
          <w:lang w:val="en-US"/>
        </w:rPr>
      </w:pPr>
    </w:p>
    <w:p w:rsidR="00D06ED4" w:rsidRDefault="003B0F18">
      <w:pPr>
        <w:pStyle w:val="ListParagraph"/>
        <w:widowControl w:val="0"/>
        <w:numPr>
          <w:ilvl w:val="0"/>
          <w:numId w:val="2"/>
        </w:numPr>
        <w:rPr>
          <w:rFonts w:ascii="Times New Roman" w:eastAsia="Times New Roman" w:hAnsi="Times New Roman" w:cs="Times New Roman"/>
          <w:sz w:val="20"/>
          <w:szCs w:val="20"/>
        </w:rPr>
      </w:pPr>
      <w:r>
        <w:rPr>
          <w:rFonts w:ascii="Times New Roman" w:hAnsi="Times New Roman"/>
          <w:sz w:val="20"/>
          <w:szCs w:val="20"/>
        </w:rPr>
        <w:t xml:space="preserve"> I agree that sheep need time to rest prior to boarding the ship. This period should be</w:t>
      </w:r>
      <w:r>
        <w:rPr>
          <w:rFonts w:ascii="Times New Roman" w:hAnsi="Times New Roman"/>
          <w:sz w:val="20"/>
          <w:szCs w:val="20"/>
        </w:rPr>
        <w:t xml:space="preserve"> increased to two days to ensure sheep have time to recover from the stress of shearing and transport. </w:t>
      </w:r>
    </w:p>
    <w:p w:rsidR="00D06ED4" w:rsidRDefault="00D06ED4">
      <w:pPr>
        <w:pStyle w:val="Body"/>
        <w:rPr>
          <w:rFonts w:ascii="Times New Roman" w:eastAsia="Times New Roman" w:hAnsi="Times New Roman" w:cs="Times New Roman"/>
          <w:b/>
          <w:bCs/>
          <w:sz w:val="20"/>
          <w:szCs w:val="20"/>
        </w:rPr>
      </w:pPr>
    </w:p>
    <w:p w:rsidR="00D06ED4" w:rsidRDefault="003B0F18">
      <w:pPr>
        <w:pStyle w:val="Body"/>
        <w:rPr>
          <w:b/>
          <w:bCs/>
          <w:color w:val="222222"/>
          <w:sz w:val="20"/>
          <w:szCs w:val="20"/>
          <w:u w:color="222222"/>
        </w:rPr>
      </w:pPr>
      <w:r>
        <w:rPr>
          <w:b/>
          <w:bCs/>
          <w:color w:val="222222"/>
          <w:sz w:val="20"/>
          <w:szCs w:val="20"/>
          <w:u w:color="222222"/>
          <w:lang w:val="en-US"/>
        </w:rPr>
        <w:t xml:space="preserve">Space allowance </w:t>
      </w:r>
    </w:p>
    <w:p w:rsidR="00D06ED4" w:rsidRDefault="003B0F18">
      <w:pPr>
        <w:pStyle w:val="ListParagraph"/>
        <w:numPr>
          <w:ilvl w:val="0"/>
          <w:numId w:val="2"/>
        </w:numPr>
        <w:rPr>
          <w:rFonts w:ascii="Times New Roman" w:eastAsia="Times New Roman" w:hAnsi="Times New Roman" w:cs="Times New Roman"/>
          <w:b/>
          <w:bCs/>
          <w:sz w:val="20"/>
          <w:szCs w:val="20"/>
        </w:rPr>
      </w:pPr>
      <w:r>
        <w:rPr>
          <w:rFonts w:ascii="Times New Roman" w:hAnsi="Times New Roman"/>
          <w:sz w:val="20"/>
          <w:szCs w:val="20"/>
        </w:rPr>
        <w:t>I support the recommendation that the ASEL adopt a science-based approach for calculating on-board stocking densities. Space must be sufficient to allow animals to lie down simultaneously, access food and water, and decrease the chance of heat stress. Thes</w:t>
      </w:r>
      <w:r>
        <w:rPr>
          <w:rFonts w:ascii="Times New Roman" w:hAnsi="Times New Roman"/>
          <w:sz w:val="20"/>
          <w:szCs w:val="20"/>
        </w:rPr>
        <w:t xml:space="preserve">e are basic requirements that must be met to ensure we do not see yet another failure of the live export industry resulting in mass deaths on voyage. </w:t>
      </w:r>
    </w:p>
    <w:p w:rsidR="00D06ED4" w:rsidRDefault="00D06ED4">
      <w:pPr>
        <w:pStyle w:val="Body"/>
        <w:rPr>
          <w:rFonts w:ascii="Times New Roman" w:eastAsia="Times New Roman" w:hAnsi="Times New Roman" w:cs="Times New Roman"/>
          <w:b/>
          <w:bCs/>
          <w:sz w:val="20"/>
          <w:szCs w:val="20"/>
        </w:rPr>
      </w:pPr>
    </w:p>
    <w:p w:rsidR="00D06ED4" w:rsidRDefault="003B0F18">
      <w:pPr>
        <w:pStyle w:val="Body"/>
        <w:rPr>
          <w:b/>
          <w:bCs/>
          <w:sz w:val="20"/>
          <w:szCs w:val="20"/>
        </w:rPr>
      </w:pPr>
      <w:r>
        <w:rPr>
          <w:b/>
          <w:bCs/>
          <w:sz w:val="20"/>
          <w:szCs w:val="20"/>
          <w:lang w:val="en-US"/>
        </w:rPr>
        <w:t>Heat stress risk assessment (HSRA)</w:t>
      </w:r>
    </w:p>
    <w:p w:rsidR="00D06ED4" w:rsidRDefault="003B0F18">
      <w:pPr>
        <w:pStyle w:val="ListParagraph"/>
        <w:numPr>
          <w:ilvl w:val="0"/>
          <w:numId w:val="4"/>
        </w:numPr>
        <w:spacing w:after="160" w:line="259" w:lineRule="auto"/>
        <w:rPr>
          <w:rFonts w:ascii="Times New Roman" w:eastAsia="Times New Roman" w:hAnsi="Times New Roman" w:cs="Times New Roman"/>
          <w:sz w:val="20"/>
          <w:szCs w:val="20"/>
        </w:rPr>
      </w:pPr>
      <w:r>
        <w:rPr>
          <w:rFonts w:ascii="Times New Roman" w:hAnsi="Times New Roman"/>
          <w:sz w:val="20"/>
          <w:szCs w:val="20"/>
        </w:rPr>
        <w:t xml:space="preserve">I support the recommendation that the HSRA model be applied to </w:t>
      </w:r>
      <w:r>
        <w:rPr>
          <w:rFonts w:ascii="Times New Roman" w:hAnsi="Times New Roman"/>
          <w:b/>
          <w:bCs/>
          <w:sz w:val="20"/>
          <w:szCs w:val="20"/>
        </w:rPr>
        <w:t>all</w:t>
      </w:r>
      <w:r>
        <w:rPr>
          <w:rFonts w:ascii="Times New Roman" w:hAnsi="Times New Roman"/>
          <w:sz w:val="20"/>
          <w:szCs w:val="20"/>
        </w:rPr>
        <w:t xml:space="preserve"> voyages crossing the equator, with risk setting relating to heat stress not mortality. </w:t>
      </w:r>
    </w:p>
    <w:p w:rsidR="00D06ED4" w:rsidRDefault="003B0F18">
      <w:pPr>
        <w:pStyle w:val="Body"/>
        <w:widowControl w:val="0"/>
        <w:spacing w:after="240"/>
        <w:ind w:left="360"/>
        <w:rPr>
          <w:sz w:val="20"/>
          <w:szCs w:val="20"/>
        </w:rPr>
      </w:pPr>
      <w:r>
        <w:rPr>
          <w:sz w:val="20"/>
          <w:szCs w:val="20"/>
          <w:lang w:val="en-US"/>
        </w:rPr>
        <w:t>The current setting used is a 2% probability of a 5% mortality due to heat stress. This setting was chosen by industry. It has recently been suggested that the risk se</w:t>
      </w:r>
      <w:r>
        <w:rPr>
          <w:sz w:val="20"/>
          <w:szCs w:val="20"/>
          <w:lang w:val="en-US"/>
        </w:rPr>
        <w:t xml:space="preserve">tting should be replaced by the likelihood of an animal experiencing heat stress, not mortality, in order to achieve improved welfare outcomes (McCarthy 2018). </w:t>
      </w:r>
    </w:p>
    <w:p w:rsidR="00D06ED4" w:rsidRDefault="003B0F18">
      <w:pPr>
        <w:pStyle w:val="Body"/>
        <w:rPr>
          <w:b/>
          <w:bCs/>
          <w:sz w:val="20"/>
          <w:szCs w:val="20"/>
        </w:rPr>
      </w:pPr>
      <w:r>
        <w:rPr>
          <w:b/>
          <w:bCs/>
          <w:sz w:val="20"/>
          <w:szCs w:val="20"/>
          <w:lang w:val="fr-FR"/>
        </w:rPr>
        <w:t>Voyage reporting</w:t>
      </w:r>
    </w:p>
    <w:p w:rsidR="00D06ED4" w:rsidRDefault="003B0F18">
      <w:pPr>
        <w:pStyle w:val="ListParagraph"/>
        <w:numPr>
          <w:ilvl w:val="0"/>
          <w:numId w:val="4"/>
        </w:numPr>
        <w:spacing w:after="160" w:line="259" w:lineRule="auto"/>
        <w:rPr>
          <w:rFonts w:ascii="Times New Roman" w:eastAsia="Times New Roman" w:hAnsi="Times New Roman" w:cs="Times New Roman"/>
          <w:sz w:val="20"/>
          <w:szCs w:val="20"/>
        </w:rPr>
      </w:pPr>
      <w:r>
        <w:rPr>
          <w:rFonts w:ascii="Times New Roman" w:hAnsi="Times New Roman"/>
          <w:sz w:val="20"/>
          <w:szCs w:val="20"/>
        </w:rPr>
        <w:t>Voyage reporting requirements must be updated to include overall welfare rathe</w:t>
      </w:r>
      <w:r>
        <w:rPr>
          <w:rFonts w:ascii="Times New Roman" w:hAnsi="Times New Roman"/>
          <w:sz w:val="20"/>
          <w:szCs w:val="20"/>
        </w:rPr>
        <w:t xml:space="preserve">r than just mortality. Reporting must accurate and transparent with no opportunity for exporters to avoid reporting negative outcomes. </w:t>
      </w:r>
    </w:p>
    <w:p w:rsidR="00D06ED4" w:rsidRDefault="003B0F18">
      <w:pPr>
        <w:pStyle w:val="Body"/>
        <w:widowControl w:val="0"/>
        <w:spacing w:after="240"/>
        <w:ind w:left="360"/>
        <w:rPr>
          <w:sz w:val="20"/>
          <w:szCs w:val="20"/>
        </w:rPr>
      </w:pPr>
      <w:r>
        <w:rPr>
          <w:sz w:val="20"/>
          <w:szCs w:val="20"/>
          <w:lang w:val="en-US"/>
        </w:rPr>
        <w:t>It has been argued by authors of several reviews that animal welfare monitoring should not be solely restricted to addre</w:t>
      </w:r>
      <w:r>
        <w:rPr>
          <w:sz w:val="20"/>
          <w:szCs w:val="20"/>
          <w:lang w:val="en-US"/>
        </w:rPr>
        <w:t xml:space="preserve">ssing mortalities. Rather, it has been proposed that animal welfare management should be based on ensuring the physical and mental welfare needs of exported animals are addressed throughout the entire journey (Foster and Overall 2014; Wickham </w:t>
      </w:r>
      <w:r>
        <w:rPr>
          <w:i/>
          <w:iCs/>
          <w:sz w:val="20"/>
          <w:szCs w:val="20"/>
          <w:lang w:val="en-US"/>
        </w:rPr>
        <w:t xml:space="preserve">et al. </w:t>
      </w:r>
      <w:r>
        <w:rPr>
          <w:sz w:val="20"/>
          <w:szCs w:val="20"/>
          <w:lang w:val="en-US"/>
        </w:rPr>
        <w:t xml:space="preserve">2017; </w:t>
      </w:r>
      <w:r>
        <w:rPr>
          <w:sz w:val="20"/>
          <w:szCs w:val="20"/>
          <w:lang w:val="en-US"/>
        </w:rPr>
        <w:t>Australian Veterinary Association 2018). Indeed, McCarthy (2018) recently recommended that the industry moves away from using mortality as a measure to a focus on measures that reflect the welfare of the animal. Recording on-board mortality and non-complia</w:t>
      </w:r>
      <w:r>
        <w:rPr>
          <w:sz w:val="20"/>
          <w:szCs w:val="20"/>
          <w:lang w:val="en-US"/>
        </w:rPr>
        <w:t>nce with ASEL (Commonwealth of Australia 2011) only indicates problems retrospectively (after any events) and does not identify areas where conditions or management decisions could be modified, or welfare improved prospectively. Thus, identifying potential</w:t>
      </w:r>
      <w:r>
        <w:rPr>
          <w:sz w:val="20"/>
          <w:szCs w:val="20"/>
          <w:lang w:val="en-US"/>
        </w:rPr>
        <w:t xml:space="preserve"> issues earlier may potentially avoid negative incidents and provide </w:t>
      </w:r>
      <w:r>
        <w:rPr>
          <w:sz w:val="20"/>
          <w:szCs w:val="20"/>
          <w:lang w:val="en-US"/>
        </w:rPr>
        <w:lastRenderedPageBreak/>
        <w:t xml:space="preserve">solutions through pre-emptive modifications and adaptive management. </w:t>
      </w:r>
    </w:p>
    <w:p w:rsidR="00D06ED4" w:rsidRDefault="003B0F18">
      <w:pPr>
        <w:pStyle w:val="Body"/>
        <w:rPr>
          <w:b/>
          <w:bCs/>
          <w:color w:val="222222"/>
          <w:sz w:val="20"/>
          <w:szCs w:val="20"/>
          <w:u w:color="222222"/>
        </w:rPr>
      </w:pPr>
      <w:r>
        <w:rPr>
          <w:b/>
          <w:bCs/>
          <w:color w:val="222222"/>
          <w:sz w:val="20"/>
          <w:szCs w:val="20"/>
          <w:u w:color="222222"/>
          <w:lang w:val="en-US"/>
        </w:rPr>
        <w:t>Onboard management</w:t>
      </w:r>
    </w:p>
    <w:p w:rsidR="00D06ED4" w:rsidRDefault="003B0F18">
      <w:pPr>
        <w:pStyle w:val="ListParagraph"/>
        <w:numPr>
          <w:ilvl w:val="0"/>
          <w:numId w:val="4"/>
        </w:numPr>
        <w:rPr>
          <w:rFonts w:ascii="Times New Roman" w:eastAsia="Times New Roman" w:hAnsi="Times New Roman" w:cs="Times New Roman"/>
          <w:color w:val="222222"/>
          <w:sz w:val="20"/>
          <w:szCs w:val="20"/>
          <w:u w:color="222222"/>
        </w:rPr>
      </w:pPr>
      <w:r>
        <w:rPr>
          <w:rFonts w:ascii="Times New Roman" w:hAnsi="Times New Roman"/>
          <w:color w:val="222222"/>
          <w:sz w:val="20"/>
          <w:szCs w:val="20"/>
          <w:u w:color="222222"/>
        </w:rPr>
        <w:t xml:space="preserve">Ammonia levels must be tracked with steps implemented to limit harmful levels. </w:t>
      </w:r>
    </w:p>
    <w:p w:rsidR="00D06ED4" w:rsidRDefault="003B0F18">
      <w:pPr>
        <w:pStyle w:val="Body"/>
        <w:widowControl w:val="0"/>
        <w:spacing w:after="240"/>
        <w:ind w:left="360"/>
        <w:rPr>
          <w:sz w:val="20"/>
          <w:szCs w:val="20"/>
        </w:rPr>
      </w:pPr>
      <w:r>
        <w:rPr>
          <w:sz w:val="20"/>
          <w:szCs w:val="20"/>
          <w:lang w:val="en-US"/>
        </w:rPr>
        <w:t>Ammonia is a highl</w:t>
      </w:r>
      <w:r>
        <w:rPr>
          <w:sz w:val="20"/>
          <w:szCs w:val="20"/>
          <w:lang w:val="en-US"/>
        </w:rPr>
        <w:t xml:space="preserve">y irritating alkaline gas that has been associated with adverse effects on sheep on transport vessels (Costa </w:t>
      </w:r>
      <w:r>
        <w:rPr>
          <w:i/>
          <w:iCs/>
          <w:sz w:val="20"/>
          <w:szCs w:val="20"/>
          <w:lang w:val="en-US"/>
        </w:rPr>
        <w:t xml:space="preserve">et al. </w:t>
      </w:r>
      <w:r>
        <w:rPr>
          <w:sz w:val="20"/>
          <w:szCs w:val="20"/>
          <w:lang w:val="en-US"/>
        </w:rPr>
        <w:t xml:space="preserve">2003; Tudor </w:t>
      </w:r>
      <w:r>
        <w:rPr>
          <w:i/>
          <w:iCs/>
          <w:sz w:val="20"/>
          <w:szCs w:val="20"/>
          <w:lang w:val="en-US"/>
        </w:rPr>
        <w:t xml:space="preserve">et al. </w:t>
      </w:r>
      <w:r>
        <w:rPr>
          <w:sz w:val="20"/>
          <w:szCs w:val="20"/>
          <w:lang w:val="en-US"/>
        </w:rPr>
        <w:t xml:space="preserve">2003; Phillips </w:t>
      </w:r>
      <w:r>
        <w:rPr>
          <w:i/>
          <w:iCs/>
          <w:sz w:val="20"/>
          <w:szCs w:val="20"/>
          <w:lang w:val="en-US"/>
        </w:rPr>
        <w:t xml:space="preserve">et al. </w:t>
      </w:r>
      <w:r>
        <w:rPr>
          <w:sz w:val="20"/>
          <w:szCs w:val="20"/>
          <w:lang w:val="en-US"/>
        </w:rPr>
        <w:t xml:space="preserve">2010; Phillips </w:t>
      </w:r>
      <w:r>
        <w:rPr>
          <w:i/>
          <w:iCs/>
          <w:sz w:val="20"/>
          <w:szCs w:val="20"/>
          <w:lang w:val="en-US"/>
        </w:rPr>
        <w:t xml:space="preserve">et al. </w:t>
      </w:r>
      <w:r>
        <w:rPr>
          <w:sz w:val="20"/>
          <w:szCs w:val="20"/>
          <w:lang w:val="en-US"/>
        </w:rPr>
        <w:t xml:space="preserve">2012a, 2012b; Pines and Phillips 2011, 2013; Zhang </w:t>
      </w:r>
      <w:r>
        <w:rPr>
          <w:i/>
          <w:iCs/>
          <w:sz w:val="20"/>
          <w:szCs w:val="20"/>
          <w:lang w:val="en-US"/>
        </w:rPr>
        <w:t xml:space="preserve">et al. </w:t>
      </w:r>
      <w:r>
        <w:rPr>
          <w:sz w:val="20"/>
          <w:szCs w:val="20"/>
          <w:lang w:val="en-US"/>
        </w:rPr>
        <w:t xml:space="preserve">2017; Zhang </w:t>
      </w:r>
      <w:r>
        <w:rPr>
          <w:i/>
          <w:iCs/>
          <w:sz w:val="20"/>
          <w:szCs w:val="20"/>
          <w:lang w:val="en-US"/>
        </w:rPr>
        <w:t xml:space="preserve">et al. </w:t>
      </w:r>
      <w:r>
        <w:rPr>
          <w:sz w:val="20"/>
          <w:szCs w:val="20"/>
          <w:lang w:val="en-US"/>
        </w:rPr>
        <w:t xml:space="preserve">2018; Zhang and Phillips 2018b). Ammonia accumulates in livestock accommodation, which adversely affects feed intake, inflames mucosal tissue and causes coughing, sneezing and lacrimation (tears to flow from the eyes; Zhang </w:t>
      </w:r>
      <w:r>
        <w:rPr>
          <w:i/>
          <w:iCs/>
          <w:sz w:val="20"/>
          <w:szCs w:val="20"/>
          <w:lang w:val="en-US"/>
        </w:rPr>
        <w:t xml:space="preserve">et al. </w:t>
      </w:r>
      <w:r>
        <w:rPr>
          <w:sz w:val="20"/>
          <w:szCs w:val="20"/>
          <w:lang w:val="en-US"/>
        </w:rPr>
        <w:t>2018). Ammonia can be pro</w:t>
      </w:r>
      <w:r>
        <w:rPr>
          <w:sz w:val="20"/>
          <w:szCs w:val="20"/>
          <w:lang w:val="en-US"/>
        </w:rPr>
        <w:t xml:space="preserve">duced in livestock bedding when organic matter ferments. An early study recommended the monitoring of ammonia levels on-board live export ships, and that ammonia levels below 20 ppm (parts per million) should be the target during live cattle export (Tudor </w:t>
      </w:r>
      <w:r>
        <w:rPr>
          <w:i/>
          <w:iCs/>
          <w:sz w:val="20"/>
          <w:szCs w:val="20"/>
          <w:lang w:val="en-US"/>
        </w:rPr>
        <w:t xml:space="preserve">et al. </w:t>
      </w:r>
      <w:r>
        <w:rPr>
          <w:sz w:val="20"/>
          <w:szCs w:val="20"/>
          <w:lang w:val="en-US"/>
        </w:rPr>
        <w:t xml:space="preserve">2003). A subsequent study used on-board monitoring and animal experimentation to recommend that the maximum exposure limit for sheep and cattle should be 30 ppm (Phillips 2007). </w:t>
      </w:r>
    </w:p>
    <w:p w:rsidR="00D06ED4" w:rsidRDefault="003B0F18">
      <w:pPr>
        <w:pStyle w:val="Body"/>
        <w:rPr>
          <w:b/>
          <w:bCs/>
          <w:sz w:val="20"/>
          <w:szCs w:val="20"/>
        </w:rPr>
      </w:pPr>
      <w:r>
        <w:rPr>
          <w:b/>
          <w:bCs/>
          <w:sz w:val="20"/>
          <w:szCs w:val="20"/>
          <w:lang w:val="en-US"/>
        </w:rPr>
        <w:t>Onboard personnel</w:t>
      </w:r>
    </w:p>
    <w:p w:rsidR="00D06ED4" w:rsidRDefault="003B0F18">
      <w:pPr>
        <w:pStyle w:val="ListParagraph"/>
        <w:numPr>
          <w:ilvl w:val="0"/>
          <w:numId w:val="4"/>
        </w:numPr>
        <w:spacing w:after="160" w:line="259" w:lineRule="auto"/>
        <w:rPr>
          <w:rFonts w:ascii="Times New Roman" w:eastAsia="Times New Roman" w:hAnsi="Times New Roman" w:cs="Times New Roman"/>
          <w:sz w:val="20"/>
          <w:szCs w:val="20"/>
        </w:rPr>
      </w:pPr>
      <w:r>
        <w:rPr>
          <w:rFonts w:ascii="Times New Roman" w:hAnsi="Times New Roman"/>
          <w:sz w:val="20"/>
          <w:szCs w:val="20"/>
        </w:rPr>
        <w:t>I support the recommendation that the number of stoc</w:t>
      </w:r>
      <w:r>
        <w:rPr>
          <w:rFonts w:ascii="Times New Roman" w:hAnsi="Times New Roman"/>
          <w:sz w:val="20"/>
          <w:szCs w:val="20"/>
        </w:rPr>
        <w:t>k handlers should be in proportion to the number of animals loaded, but the requirement should be for least one accredited stockperson per 2,500 head of cattle and 10,000 head of sheep (not 3,000 cattle and 30,000 sheep), to allow effective monitoring of s</w:t>
      </w:r>
      <w:r>
        <w:rPr>
          <w:rFonts w:ascii="Times New Roman" w:hAnsi="Times New Roman"/>
          <w:sz w:val="20"/>
          <w:szCs w:val="20"/>
        </w:rPr>
        <w:t>tock.</w:t>
      </w:r>
    </w:p>
    <w:p w:rsidR="00D06ED4" w:rsidRDefault="003B0F18">
      <w:pPr>
        <w:pStyle w:val="ListParagraph"/>
        <w:numPr>
          <w:ilvl w:val="0"/>
          <w:numId w:val="4"/>
        </w:numPr>
        <w:spacing w:after="160" w:line="259" w:lineRule="auto"/>
        <w:rPr>
          <w:rFonts w:ascii="Times New Roman" w:eastAsia="Times New Roman" w:hAnsi="Times New Roman" w:cs="Times New Roman"/>
          <w:sz w:val="20"/>
          <w:szCs w:val="20"/>
        </w:rPr>
      </w:pPr>
      <w:r>
        <w:rPr>
          <w:rFonts w:ascii="Times New Roman" w:hAnsi="Times New Roman"/>
          <w:sz w:val="20"/>
          <w:szCs w:val="20"/>
        </w:rPr>
        <w:t xml:space="preserve">Veterinary supervision is necessary on every live export voyage, no matter its duration. Only AAVs are trained to diagnose disease and other health problems and implement appropriate treatment. The standards should require an independently appointed </w:t>
      </w:r>
      <w:r>
        <w:rPr>
          <w:rFonts w:ascii="Times New Roman" w:hAnsi="Times New Roman"/>
          <w:sz w:val="20"/>
          <w:szCs w:val="20"/>
        </w:rPr>
        <w:t xml:space="preserve">AAV to accompany </w:t>
      </w:r>
      <w:r>
        <w:rPr>
          <w:rFonts w:ascii="Times New Roman" w:hAnsi="Times New Roman"/>
          <w:b/>
          <w:bCs/>
          <w:sz w:val="20"/>
          <w:szCs w:val="20"/>
        </w:rPr>
        <w:t xml:space="preserve">all </w:t>
      </w:r>
      <w:r>
        <w:rPr>
          <w:rFonts w:ascii="Times New Roman" w:hAnsi="Times New Roman"/>
          <w:sz w:val="20"/>
          <w:szCs w:val="20"/>
        </w:rPr>
        <w:t>live export consignments. All journeys should also include an independent auditor with ultimate responsibility for reporting requirements.</w:t>
      </w:r>
    </w:p>
    <w:p w:rsidR="00D06ED4" w:rsidRDefault="003B0F18">
      <w:pPr>
        <w:pStyle w:val="Body"/>
        <w:rPr>
          <w:b/>
          <w:bCs/>
          <w:sz w:val="20"/>
          <w:szCs w:val="20"/>
        </w:rPr>
      </w:pPr>
      <w:r>
        <w:rPr>
          <w:b/>
          <w:bCs/>
          <w:sz w:val="20"/>
          <w:szCs w:val="20"/>
          <w:lang w:val="en-US"/>
        </w:rPr>
        <w:t>Species permitted to be exported</w:t>
      </w:r>
    </w:p>
    <w:p w:rsidR="00D06ED4" w:rsidRDefault="003B0F18">
      <w:pPr>
        <w:pStyle w:val="ListParagraph"/>
        <w:numPr>
          <w:ilvl w:val="0"/>
          <w:numId w:val="6"/>
        </w:numPr>
        <w:spacing w:after="160" w:line="259" w:lineRule="auto"/>
        <w:rPr>
          <w:rFonts w:ascii="Times New Roman" w:eastAsia="Times New Roman" w:hAnsi="Times New Roman" w:cs="Times New Roman"/>
          <w:b/>
          <w:bCs/>
          <w:sz w:val="20"/>
          <w:szCs w:val="20"/>
        </w:rPr>
      </w:pPr>
      <w:r>
        <w:rPr>
          <w:rFonts w:ascii="Times New Roman" w:hAnsi="Times New Roman"/>
          <w:b/>
          <w:bCs/>
          <w:sz w:val="20"/>
          <w:szCs w:val="20"/>
        </w:rPr>
        <w:t>Sheep</w:t>
      </w:r>
      <w:r>
        <w:rPr>
          <w:rFonts w:ascii="Times New Roman" w:hAnsi="Times New Roman"/>
          <w:sz w:val="20"/>
          <w:szCs w:val="20"/>
        </w:rPr>
        <w:t xml:space="preserve"> - the evidence is clear that, regardless of any proposed </w:t>
      </w:r>
      <w:r>
        <w:rPr>
          <w:rFonts w:ascii="Times New Roman" w:hAnsi="Times New Roman"/>
          <w:sz w:val="20"/>
          <w:szCs w:val="20"/>
        </w:rPr>
        <w:t xml:space="preserve">changes the standards, sheep will suffer heat stress during voyages to the Middle East in the May-October period. I urge you to ensure that the standards explicitly exclude the long-haul export of sheep during this period. </w:t>
      </w:r>
    </w:p>
    <w:p w:rsidR="00D06ED4" w:rsidRDefault="003B0F18">
      <w:pPr>
        <w:pStyle w:val="ListParagraph"/>
        <w:numPr>
          <w:ilvl w:val="0"/>
          <w:numId w:val="6"/>
        </w:numPr>
        <w:spacing w:after="160" w:line="259" w:lineRule="auto"/>
        <w:rPr>
          <w:rFonts w:ascii="Times New Roman" w:eastAsia="Times New Roman" w:hAnsi="Times New Roman" w:cs="Times New Roman"/>
          <w:b/>
          <w:bCs/>
          <w:sz w:val="20"/>
          <w:szCs w:val="20"/>
        </w:rPr>
      </w:pPr>
      <w:r>
        <w:rPr>
          <w:rFonts w:ascii="Times New Roman" w:hAnsi="Times New Roman"/>
          <w:b/>
          <w:bCs/>
          <w:sz w:val="20"/>
          <w:szCs w:val="20"/>
        </w:rPr>
        <w:t xml:space="preserve">Feral buffalo </w:t>
      </w:r>
      <w:r>
        <w:rPr>
          <w:rFonts w:ascii="Times New Roman" w:hAnsi="Times New Roman"/>
          <w:sz w:val="20"/>
          <w:szCs w:val="20"/>
        </w:rPr>
        <w:t>- the Draft Report</w:t>
      </w:r>
      <w:r>
        <w:rPr>
          <w:rFonts w:ascii="Times New Roman" w:hAnsi="Times New Roman"/>
          <w:sz w:val="20"/>
          <w:szCs w:val="20"/>
        </w:rPr>
        <w:t xml:space="preserve"> indicates there are significant and serious animal welfare and mortality issues with the export of feral buffalo. It appears that these problems have gone unidentified and unaddressed because of the absence of any independent or veterinary oversight. Fera</w:t>
      </w:r>
      <w:r>
        <w:rPr>
          <w:rFonts w:ascii="Times New Roman" w:hAnsi="Times New Roman"/>
          <w:sz w:val="20"/>
          <w:szCs w:val="20"/>
        </w:rPr>
        <w:t>l buffalo are completely unused to human contact and clearly do not tolerate handling and transport without serious welfare compromise. These problems carry over into importing countries to the point of slaughter. I urge you to amend the standards to prohi</w:t>
      </w:r>
      <w:r>
        <w:rPr>
          <w:rFonts w:ascii="Times New Roman" w:hAnsi="Times New Roman"/>
          <w:sz w:val="20"/>
          <w:szCs w:val="20"/>
        </w:rPr>
        <w:t xml:space="preserve">bit the live export of feral buffalo.  </w:t>
      </w:r>
    </w:p>
    <w:p w:rsidR="00D06ED4" w:rsidRDefault="003B0F18">
      <w:pPr>
        <w:pStyle w:val="ListParagraph"/>
        <w:numPr>
          <w:ilvl w:val="0"/>
          <w:numId w:val="6"/>
        </w:numPr>
        <w:spacing w:after="160" w:line="259" w:lineRule="auto"/>
        <w:rPr>
          <w:rFonts w:ascii="Times New Roman" w:eastAsia="Times New Roman" w:hAnsi="Times New Roman" w:cs="Times New Roman"/>
          <w:sz w:val="20"/>
          <w:szCs w:val="20"/>
        </w:rPr>
      </w:pPr>
      <w:r>
        <w:rPr>
          <w:rFonts w:ascii="Times New Roman" w:hAnsi="Times New Roman"/>
          <w:b/>
          <w:bCs/>
          <w:sz w:val="20"/>
          <w:szCs w:val="20"/>
        </w:rPr>
        <w:t>Feral goats, camels and deer</w:t>
      </w:r>
      <w:r>
        <w:rPr>
          <w:rFonts w:ascii="Times New Roman" w:hAnsi="Times New Roman"/>
          <w:sz w:val="20"/>
          <w:szCs w:val="20"/>
        </w:rPr>
        <w:t xml:space="preserve"> – </w:t>
      </w:r>
      <w:r>
        <w:rPr>
          <w:rFonts w:ascii="Times New Roman" w:hAnsi="Times New Roman"/>
          <w:sz w:val="20"/>
          <w:szCs w:val="20"/>
        </w:rPr>
        <w:t>none of these species have been exported by sea in the past three years or more. Previous extreme mortality events have indicated that goats cope poorly at sea and similar concerns exis</w:t>
      </w:r>
      <w:r>
        <w:rPr>
          <w:rFonts w:ascii="Times New Roman" w:hAnsi="Times New Roman"/>
          <w:sz w:val="20"/>
          <w:szCs w:val="20"/>
        </w:rPr>
        <w:t>t for deer and feral camels. There is insufficient expertise and infrastructure in the live export supply chain to manage these species at sea and such export is unnecessary when air transport is available as a safer cost-effective option. I urge you to am</w:t>
      </w:r>
      <w:r>
        <w:rPr>
          <w:rFonts w:ascii="Times New Roman" w:hAnsi="Times New Roman"/>
          <w:sz w:val="20"/>
          <w:szCs w:val="20"/>
        </w:rPr>
        <w:t xml:space="preserve">end the standards to prohibit the live export of feral goats, camels and deer.  </w:t>
      </w:r>
    </w:p>
    <w:p w:rsidR="00D06ED4" w:rsidRDefault="00D06ED4">
      <w:pPr>
        <w:pStyle w:val="Body"/>
        <w:spacing w:after="160" w:line="259" w:lineRule="auto"/>
        <w:rPr>
          <w:rFonts w:ascii="Times New Roman" w:eastAsia="Times New Roman" w:hAnsi="Times New Roman" w:cs="Times New Roman"/>
          <w:sz w:val="20"/>
          <w:szCs w:val="20"/>
        </w:rPr>
      </w:pPr>
    </w:p>
    <w:p w:rsidR="00D06ED4" w:rsidRDefault="00D06ED4">
      <w:pPr>
        <w:pStyle w:val="Body"/>
        <w:rPr>
          <w:rFonts w:ascii="Times New Roman" w:eastAsia="Times New Roman" w:hAnsi="Times New Roman" w:cs="Times New Roman"/>
          <w:b/>
          <w:bCs/>
          <w:sz w:val="20"/>
          <w:szCs w:val="20"/>
        </w:rPr>
      </w:pPr>
    </w:p>
    <w:p w:rsidR="00D06ED4" w:rsidRDefault="00D06ED4">
      <w:pPr>
        <w:pStyle w:val="Body"/>
        <w:spacing w:after="160" w:line="259" w:lineRule="auto"/>
        <w:rPr>
          <w:rFonts w:ascii="Trebuchet MS" w:eastAsia="Trebuchet MS" w:hAnsi="Trebuchet MS" w:cs="Trebuchet MS"/>
        </w:rPr>
      </w:pPr>
    </w:p>
    <w:p w:rsidR="00D06ED4" w:rsidRDefault="00D06ED4">
      <w:pPr>
        <w:pStyle w:val="Body"/>
        <w:spacing w:after="160" w:line="259" w:lineRule="auto"/>
        <w:rPr>
          <w:rFonts w:ascii="Trebuchet MS" w:eastAsia="Trebuchet MS" w:hAnsi="Trebuchet MS" w:cs="Trebuchet MS"/>
        </w:rPr>
      </w:pPr>
    </w:p>
    <w:p w:rsidR="00D06ED4" w:rsidRDefault="00D06ED4">
      <w:pPr>
        <w:pStyle w:val="Body"/>
        <w:spacing w:after="160" w:line="259" w:lineRule="auto"/>
        <w:rPr>
          <w:rFonts w:ascii="Trebuchet MS" w:eastAsia="Trebuchet MS" w:hAnsi="Trebuchet MS" w:cs="Trebuchet MS"/>
        </w:rPr>
      </w:pPr>
    </w:p>
    <w:p w:rsidR="00D06ED4" w:rsidRDefault="00D06ED4">
      <w:pPr>
        <w:pStyle w:val="Body"/>
        <w:widowControl w:val="0"/>
        <w:spacing w:after="240" w:line="340" w:lineRule="atLeast"/>
        <w:rPr>
          <w:rFonts w:ascii="Times New Roman" w:eastAsia="Times New Roman" w:hAnsi="Times New Roman" w:cs="Times New Roman"/>
          <w:lang w:val="en-US"/>
        </w:rPr>
      </w:pPr>
    </w:p>
    <w:p w:rsidR="00D06ED4" w:rsidRDefault="00D06ED4">
      <w:pPr>
        <w:pStyle w:val="Body"/>
        <w:widowControl w:val="0"/>
        <w:rPr>
          <w:rFonts w:ascii="Times New Roman" w:eastAsia="Times New Roman" w:hAnsi="Times New Roman" w:cs="Times New Roman"/>
          <w:lang w:val="en-US"/>
        </w:rPr>
      </w:pPr>
    </w:p>
    <w:p w:rsidR="00D06ED4" w:rsidRDefault="00D06ED4">
      <w:pPr>
        <w:pStyle w:val="Body"/>
        <w:widowControl w:val="0"/>
        <w:spacing w:after="240" w:line="380" w:lineRule="atLeast"/>
        <w:rPr>
          <w:rFonts w:ascii="Times New Roman" w:eastAsia="Times New Roman" w:hAnsi="Times New Roman" w:cs="Times New Roman"/>
          <w:lang w:val="en-US"/>
        </w:rPr>
      </w:pPr>
    </w:p>
    <w:p w:rsidR="00D06ED4" w:rsidRDefault="00D06ED4">
      <w:pPr>
        <w:pStyle w:val="Body"/>
        <w:widowControl w:val="0"/>
        <w:spacing w:after="240" w:line="380" w:lineRule="atLeast"/>
      </w:pPr>
    </w:p>
    <w:sectPr w:rsidR="00D06ED4">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B0F18">
      <w:r>
        <w:separator/>
      </w:r>
    </w:p>
  </w:endnote>
  <w:endnote w:type="continuationSeparator" w:id="0">
    <w:p w:rsidR="00000000" w:rsidRDefault="003B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D4" w:rsidRDefault="00D06ED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B0F18">
      <w:r>
        <w:separator/>
      </w:r>
    </w:p>
  </w:footnote>
  <w:footnote w:type="continuationSeparator" w:id="0">
    <w:p w:rsidR="00000000" w:rsidRDefault="003B0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D4" w:rsidRDefault="00D06ED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77394"/>
    <w:multiLevelType w:val="hybridMultilevel"/>
    <w:tmpl w:val="92681A42"/>
    <w:styleLink w:val="ImportedStyle1"/>
    <w:lvl w:ilvl="0" w:tplc="C3E82D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CB2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F8F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8E76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E89E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FEC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80A6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C4DE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1461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7076C3"/>
    <w:multiLevelType w:val="hybridMultilevel"/>
    <w:tmpl w:val="9F8435D0"/>
    <w:numStyleLink w:val="ImportedStyle2"/>
  </w:abstractNum>
  <w:abstractNum w:abstractNumId="2" w15:restartNumberingAfterBreak="0">
    <w:nsid w:val="3B9347EC"/>
    <w:multiLevelType w:val="hybridMultilevel"/>
    <w:tmpl w:val="BBF091BE"/>
    <w:styleLink w:val="ImportedStyle3"/>
    <w:lvl w:ilvl="0" w:tplc="B25AB7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3867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0E52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CE59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F00F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D86D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F695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3E2E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20BA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DE1915"/>
    <w:multiLevelType w:val="hybridMultilevel"/>
    <w:tmpl w:val="BBF091BE"/>
    <w:numStyleLink w:val="ImportedStyle3"/>
  </w:abstractNum>
  <w:abstractNum w:abstractNumId="4" w15:restartNumberingAfterBreak="0">
    <w:nsid w:val="6C7F091D"/>
    <w:multiLevelType w:val="hybridMultilevel"/>
    <w:tmpl w:val="92681A42"/>
    <w:numStyleLink w:val="ImportedStyle1"/>
  </w:abstractNum>
  <w:abstractNum w:abstractNumId="5" w15:restartNumberingAfterBreak="0">
    <w:nsid w:val="75F343E1"/>
    <w:multiLevelType w:val="hybridMultilevel"/>
    <w:tmpl w:val="9F8435D0"/>
    <w:styleLink w:val="ImportedStyle2"/>
    <w:lvl w:ilvl="0" w:tplc="BA9478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A0EA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48C1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5E87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DCEE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02C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2AC9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AC8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50F6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D4"/>
    <w:rsid w:val="003B0F18"/>
    <w:rsid w:val="00D0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6733E2BD-DC49-4049-BFAC-EA9A3B66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NormalWeb">
    <w:name w:val="Normal (Web)"/>
    <w:pPr>
      <w:spacing w:before="100" w:after="100"/>
    </w:pPr>
    <w:rPr>
      <w:rFonts w:ascii="Times" w:eastAsia="Times" w:hAnsi="Times" w:cs="Times"/>
      <w:color w:val="000000"/>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3B0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F1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EE815FA-E531-4B3F-A432-F43BA2463F79}"/>
</file>

<file path=customXml/itemProps2.xml><?xml version="1.0" encoding="utf-8"?>
<ds:datastoreItem xmlns:ds="http://schemas.openxmlformats.org/officeDocument/2006/customXml" ds:itemID="{BBFE351E-33FA-4087-B5D4-6DFEBD4EA071}"/>
</file>

<file path=customXml/itemProps3.xml><?xml version="1.0" encoding="utf-8"?>
<ds:datastoreItem xmlns:ds="http://schemas.openxmlformats.org/officeDocument/2006/customXml" ds:itemID="{026FC851-BF86-451B-AAAF-6EF437565367}"/>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Tracie</dc:creator>
  <cp:lastModifiedBy>Brady, Tracie</cp:lastModifiedBy>
  <cp:revision>2</cp:revision>
  <cp:lastPrinted>2018-11-26T21:29:00Z</cp:lastPrinted>
  <dcterms:created xsi:type="dcterms:W3CDTF">2018-11-26T21:32:00Z</dcterms:created>
  <dcterms:modified xsi:type="dcterms:W3CDTF">2018-11-26T21:32:00Z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