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07AFB" w14:textId="77777777" w:rsidR="00D52FC4" w:rsidRDefault="00D52FC4">
      <w:pPr>
        <w:pStyle w:val="Heading1"/>
      </w:pPr>
    </w:p>
    <w:p w14:paraId="71EAB012" w14:textId="77777777" w:rsidR="00D52FC4" w:rsidRDefault="00D52FC4">
      <w:pPr>
        <w:pStyle w:val="Heading1"/>
      </w:pPr>
    </w:p>
    <w:p w14:paraId="537187EB" w14:textId="77777777" w:rsidR="00D52FC4" w:rsidRDefault="00D52FC4">
      <w:pPr>
        <w:pStyle w:val="Heading1"/>
      </w:pPr>
    </w:p>
    <w:p w14:paraId="45781312" w14:textId="77777777" w:rsidR="00D52FC4" w:rsidRDefault="00D52FC4">
      <w:pPr>
        <w:pStyle w:val="Heading1"/>
      </w:pPr>
    </w:p>
    <w:p w14:paraId="2A806512" w14:textId="77777777" w:rsidR="00D52FC4" w:rsidRDefault="00D52FC4">
      <w:pPr>
        <w:pStyle w:val="Heading1"/>
      </w:pPr>
    </w:p>
    <w:p w14:paraId="1AB21A9D" w14:textId="77777777" w:rsidR="00D52FC4" w:rsidRDefault="00D52FC4">
      <w:pPr>
        <w:pStyle w:val="Heading1"/>
        <w:rPr>
          <w:highlight w:val="yellow"/>
        </w:rPr>
      </w:pPr>
    </w:p>
    <w:p w14:paraId="3DB3BFEB" w14:textId="42AA24FE" w:rsidR="00D52FC4" w:rsidRPr="00787AFA" w:rsidRDefault="00787AFA">
      <w:pPr>
        <w:pStyle w:val="Heading2"/>
        <w:rPr>
          <w:sz w:val="48"/>
          <w:szCs w:val="48"/>
          <w:lang w:val="en-AU"/>
        </w:rPr>
      </w:pPr>
      <w:r w:rsidRPr="00787AFA">
        <w:rPr>
          <w:sz w:val="48"/>
          <w:szCs w:val="48"/>
          <w:lang w:val="en-AU"/>
        </w:rPr>
        <w:t>Review of the Australian Standards for the Export of Livestock (ASEL)</w:t>
      </w:r>
      <w:r w:rsidR="00DF3279">
        <w:rPr>
          <w:sz w:val="48"/>
          <w:szCs w:val="48"/>
        </w:rPr>
        <w:t xml:space="preserve"> </w:t>
      </w:r>
    </w:p>
    <w:p w14:paraId="33D66DC4" w14:textId="77777777" w:rsidR="00D52FC4" w:rsidRDefault="00D52FC4">
      <w:pPr>
        <w:pStyle w:val="Normal1"/>
        <w:rPr>
          <w:highlight w:val="yellow"/>
        </w:rPr>
      </w:pPr>
    </w:p>
    <w:p w14:paraId="443DD869" w14:textId="48862366" w:rsidR="00D52FC4" w:rsidRDefault="12D62301">
      <w:pPr>
        <w:pStyle w:val="Heading3"/>
      </w:pPr>
      <w:r>
        <w:t>2</w:t>
      </w:r>
      <w:r w:rsidR="00D87264">
        <w:t>7</w:t>
      </w:r>
      <w:r>
        <w:t xml:space="preserve"> November 2018</w:t>
      </w:r>
    </w:p>
    <w:p w14:paraId="13A416AE" w14:textId="77777777" w:rsidR="00D52FC4" w:rsidRDefault="00D52FC4">
      <w:pPr>
        <w:pStyle w:val="Normal1"/>
        <w:rPr>
          <w:highlight w:val="yellow"/>
        </w:rPr>
      </w:pPr>
    </w:p>
    <w:p w14:paraId="1906BF38" w14:textId="77777777" w:rsidR="00D52FC4" w:rsidRDefault="00D52FC4">
      <w:pPr>
        <w:pStyle w:val="Heading3"/>
        <w:rPr>
          <w:highlight w:val="yellow"/>
        </w:rPr>
      </w:pPr>
    </w:p>
    <w:p w14:paraId="32E28F0D" w14:textId="77777777" w:rsidR="00D52FC4" w:rsidRDefault="00D52FC4">
      <w:pPr>
        <w:pStyle w:val="Normal1"/>
        <w:rPr>
          <w:highlight w:val="yellow"/>
        </w:rPr>
      </w:pPr>
    </w:p>
    <w:p w14:paraId="52204873" w14:textId="77777777" w:rsidR="00D52FC4" w:rsidRDefault="00D52FC4">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24BC0646"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5C496247"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064C1623"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2FF9F61C"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23636F42"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38AFFDB6"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52A4F493"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1D4793DB"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5DFFF3FA"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3F3F993C" w14:textId="77777777" w:rsidR="00787AFA" w:rsidRDefault="00787AF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05E65D5B" w14:textId="77777777" w:rsidR="00787AFA" w:rsidRDefault="00787AFA">
      <w:pPr>
        <w:pStyle w:val="Normal1"/>
        <w:pBdr>
          <w:top w:val="nil"/>
          <w:left w:val="nil"/>
          <w:bottom w:val="nil"/>
          <w:right w:val="nil"/>
          <w:between w:val="nil"/>
        </w:pBdr>
        <w:spacing w:before="120" w:line="240" w:lineRule="auto"/>
        <w:rPr>
          <w:rFonts w:ascii="Arial" w:eastAsia="Arial" w:hAnsi="Arial" w:cs="Arial"/>
          <w:b/>
          <w:color w:val="0D0D0D"/>
          <w:sz w:val="20"/>
          <w:szCs w:val="20"/>
        </w:rPr>
      </w:pPr>
    </w:p>
    <w:p w14:paraId="3B8837C6" w14:textId="33BF2433" w:rsidR="00D52FC4" w:rsidRDefault="004237BD" w:rsidP="3257FF47">
      <w:pPr>
        <w:pStyle w:val="Normal1"/>
        <w:pBdr>
          <w:top w:val="nil"/>
          <w:left w:val="nil"/>
          <w:bottom w:val="nil"/>
          <w:right w:val="nil"/>
          <w:between w:val="nil"/>
        </w:pBdr>
        <w:spacing w:before="120" w:line="240" w:lineRule="auto"/>
        <w:ind w:left="1440" w:hanging="1440"/>
        <w:rPr>
          <w:rFonts w:ascii="Arial" w:eastAsia="Arial" w:hAnsi="Arial" w:cs="Arial"/>
          <w:b/>
          <w:bCs/>
          <w:color w:val="0D0D0D" w:themeColor="text1" w:themeTint="F2"/>
          <w:sz w:val="20"/>
          <w:szCs w:val="20"/>
        </w:rPr>
      </w:pPr>
      <w:r w:rsidRPr="3257FF47">
        <w:rPr>
          <w:rFonts w:ascii="Arial" w:eastAsia="Arial" w:hAnsi="Arial" w:cs="Arial"/>
          <w:b/>
          <w:bCs/>
          <w:color w:val="0D0D0D"/>
          <w:sz w:val="20"/>
          <w:szCs w:val="20"/>
        </w:rPr>
        <w:t xml:space="preserve">Contact:           </w:t>
      </w:r>
      <w:r>
        <w:rPr>
          <w:rFonts w:ascii="Arial" w:eastAsia="Arial" w:hAnsi="Arial" w:cs="Arial"/>
          <w:b/>
          <w:color w:val="0D0D0D"/>
          <w:sz w:val="20"/>
          <w:szCs w:val="20"/>
        </w:rPr>
        <w:tab/>
      </w:r>
      <w:r w:rsidRPr="3257FF47">
        <w:rPr>
          <w:rFonts w:ascii="Arial" w:eastAsia="Arial" w:hAnsi="Arial" w:cs="Arial"/>
          <w:b/>
          <w:bCs/>
          <w:color w:val="0D0D0D"/>
          <w:sz w:val="20"/>
          <w:szCs w:val="20"/>
        </w:rPr>
        <w:t>Jennifer Windsor</w:t>
      </w:r>
      <w:r>
        <w:rPr>
          <w:rFonts w:ascii="Arial" w:eastAsia="Arial" w:hAnsi="Arial" w:cs="Arial"/>
          <w:b/>
          <w:color w:val="0D0D0D"/>
          <w:sz w:val="20"/>
          <w:szCs w:val="20"/>
        </w:rPr>
        <w:br/>
      </w:r>
      <w:r>
        <w:rPr>
          <w:rFonts w:ascii="Arial" w:eastAsia="Arial" w:hAnsi="Arial" w:cs="Arial"/>
          <w:color w:val="0D0D0D"/>
          <w:sz w:val="20"/>
          <w:szCs w:val="20"/>
        </w:rPr>
        <w:t>President, NSW Young Lawyers</w:t>
      </w:r>
    </w:p>
    <w:p w14:paraId="73D07228" w14:textId="77777777" w:rsidR="00D52FC4" w:rsidRDefault="004237BD">
      <w:pPr>
        <w:pStyle w:val="Normal1"/>
        <w:pBdr>
          <w:top w:val="nil"/>
          <w:left w:val="nil"/>
          <w:bottom w:val="nil"/>
          <w:right w:val="nil"/>
          <w:between w:val="nil"/>
        </w:pBdr>
        <w:spacing w:before="120" w:line="240" w:lineRule="auto"/>
        <w:ind w:left="1440"/>
        <w:rPr>
          <w:rFonts w:ascii="Arial" w:eastAsia="Arial" w:hAnsi="Arial" w:cs="Arial"/>
          <w:color w:val="0D0D0D"/>
          <w:sz w:val="20"/>
          <w:szCs w:val="20"/>
        </w:rPr>
      </w:pPr>
      <w:r>
        <w:rPr>
          <w:rFonts w:ascii="Arial" w:eastAsia="Arial" w:hAnsi="Arial" w:cs="Arial"/>
          <w:b/>
          <w:color w:val="0D0D0D"/>
          <w:sz w:val="20"/>
          <w:szCs w:val="20"/>
        </w:rPr>
        <w:t xml:space="preserve">Daniel </w:t>
      </w:r>
      <w:proofErr w:type="spellStart"/>
      <w:r>
        <w:rPr>
          <w:rFonts w:ascii="Arial" w:eastAsia="Arial" w:hAnsi="Arial" w:cs="Arial"/>
          <w:b/>
          <w:color w:val="0D0D0D"/>
          <w:sz w:val="20"/>
          <w:szCs w:val="20"/>
        </w:rPr>
        <w:t>Cung</w:t>
      </w:r>
      <w:proofErr w:type="spellEnd"/>
      <w:r>
        <w:rPr>
          <w:rFonts w:ascii="Arial" w:eastAsia="Arial" w:hAnsi="Arial" w:cs="Arial"/>
          <w:color w:val="0D0D0D"/>
          <w:sz w:val="20"/>
          <w:szCs w:val="20"/>
        </w:rPr>
        <w:br/>
        <w:t>Chair, NSW Young Lawyers Animal Law Committee</w:t>
      </w:r>
    </w:p>
    <w:p w14:paraId="1EB85076" w14:textId="389BBC44" w:rsidR="00D52FC4" w:rsidRDefault="004237BD">
      <w:pPr>
        <w:pStyle w:val="Normal1"/>
        <w:pBdr>
          <w:top w:val="nil"/>
          <w:left w:val="nil"/>
          <w:bottom w:val="nil"/>
          <w:right w:val="nil"/>
          <w:between w:val="nil"/>
        </w:pBdr>
        <w:spacing w:before="120" w:line="240" w:lineRule="auto"/>
        <w:rPr>
          <w:rFonts w:ascii="Arial" w:eastAsia="Arial" w:hAnsi="Arial" w:cs="Arial"/>
          <w:color w:val="0D0D0D"/>
          <w:sz w:val="20"/>
          <w:szCs w:val="20"/>
        </w:rPr>
      </w:pPr>
      <w:bookmarkStart w:id="0" w:name="_gjdgxs" w:colFirst="0" w:colLast="0"/>
      <w:bookmarkEnd w:id="0"/>
      <w:r>
        <w:rPr>
          <w:rFonts w:ascii="Arial" w:eastAsia="Arial" w:hAnsi="Arial" w:cs="Arial"/>
          <w:b/>
          <w:color w:val="0D0D0D"/>
          <w:sz w:val="20"/>
          <w:szCs w:val="20"/>
        </w:rPr>
        <w:t>Contributors:</w:t>
      </w:r>
      <w:r>
        <w:rPr>
          <w:rFonts w:ascii="Arial" w:eastAsia="Arial" w:hAnsi="Arial" w:cs="Arial"/>
          <w:color w:val="0D0D0D"/>
          <w:sz w:val="20"/>
          <w:szCs w:val="20"/>
        </w:rPr>
        <w:t xml:space="preserve"> </w:t>
      </w:r>
      <w:r>
        <w:rPr>
          <w:rFonts w:ascii="Arial" w:eastAsia="Arial" w:hAnsi="Arial" w:cs="Arial"/>
          <w:color w:val="0D0D0D"/>
          <w:sz w:val="20"/>
          <w:szCs w:val="20"/>
        </w:rPr>
        <w:tab/>
      </w:r>
      <w:r w:rsidR="00787AFA">
        <w:rPr>
          <w:rFonts w:ascii="Arial" w:eastAsia="Arial" w:hAnsi="Arial" w:cs="Arial"/>
          <w:color w:val="0D0D0D"/>
          <w:sz w:val="20"/>
          <w:szCs w:val="20"/>
        </w:rPr>
        <w:t>Ashleigh Best</w:t>
      </w:r>
      <w:r w:rsidR="0080497B">
        <w:rPr>
          <w:rFonts w:ascii="Arial" w:eastAsia="Arial" w:hAnsi="Arial" w:cs="Arial"/>
          <w:color w:val="0D0D0D"/>
          <w:sz w:val="20"/>
          <w:szCs w:val="20"/>
        </w:rPr>
        <w:t xml:space="preserve">, </w:t>
      </w:r>
      <w:proofErr w:type="spellStart"/>
      <w:r w:rsidR="0080497B">
        <w:rPr>
          <w:rFonts w:ascii="Arial" w:eastAsia="Arial" w:hAnsi="Arial" w:cs="Arial"/>
          <w:color w:val="0D0D0D"/>
          <w:sz w:val="20"/>
          <w:szCs w:val="20"/>
        </w:rPr>
        <w:t>Devina</w:t>
      </w:r>
      <w:proofErr w:type="spellEnd"/>
      <w:r w:rsidR="0080497B">
        <w:rPr>
          <w:rFonts w:ascii="Arial" w:eastAsia="Arial" w:hAnsi="Arial" w:cs="Arial"/>
          <w:color w:val="0D0D0D"/>
          <w:sz w:val="20"/>
          <w:szCs w:val="20"/>
        </w:rPr>
        <w:t xml:space="preserve"> </w:t>
      </w:r>
      <w:proofErr w:type="spellStart"/>
      <w:r w:rsidR="0080497B">
        <w:rPr>
          <w:rFonts w:ascii="Arial" w:eastAsia="Arial" w:hAnsi="Arial" w:cs="Arial"/>
          <w:color w:val="0D0D0D"/>
          <w:sz w:val="20"/>
          <w:szCs w:val="20"/>
        </w:rPr>
        <w:t>Verma</w:t>
      </w:r>
      <w:proofErr w:type="spellEnd"/>
    </w:p>
    <w:p w14:paraId="1FF36FF3" w14:textId="7FF51D17" w:rsidR="00D52FC4" w:rsidRPr="00787AFA" w:rsidRDefault="004237BD" w:rsidP="00787AFA">
      <w:pPr>
        <w:pStyle w:val="Heading2"/>
        <w:spacing w:before="400"/>
        <w:jc w:val="both"/>
        <w:rPr>
          <w:b w:val="0"/>
          <w:sz w:val="36"/>
          <w:szCs w:val="36"/>
        </w:rPr>
      </w:pPr>
      <w:r>
        <w:rPr>
          <w:b w:val="0"/>
          <w:sz w:val="36"/>
          <w:szCs w:val="36"/>
        </w:rPr>
        <w:lastRenderedPageBreak/>
        <w:t>The NSW Young Lawyers Animal Law Committee (</w:t>
      </w:r>
      <w:r>
        <w:rPr>
          <w:sz w:val="36"/>
          <w:szCs w:val="36"/>
        </w:rPr>
        <w:t>Committee</w:t>
      </w:r>
      <w:r>
        <w:rPr>
          <w:b w:val="0"/>
          <w:sz w:val="36"/>
          <w:szCs w:val="36"/>
        </w:rPr>
        <w:t xml:space="preserve">) makes the following submission in response to the </w:t>
      </w:r>
      <w:r w:rsidR="00787AFA" w:rsidRPr="00787AFA">
        <w:rPr>
          <w:b w:val="0"/>
          <w:sz w:val="36"/>
          <w:szCs w:val="36"/>
        </w:rPr>
        <w:t xml:space="preserve">Review of the </w:t>
      </w:r>
      <w:r w:rsidR="00787AFA">
        <w:rPr>
          <w:b w:val="0"/>
          <w:sz w:val="36"/>
          <w:szCs w:val="36"/>
        </w:rPr>
        <w:t xml:space="preserve">ASEL </w:t>
      </w:r>
      <w:r>
        <w:rPr>
          <w:b w:val="0"/>
          <w:sz w:val="36"/>
          <w:szCs w:val="36"/>
        </w:rPr>
        <w:t>(</w:t>
      </w:r>
      <w:r w:rsidR="00787AFA">
        <w:rPr>
          <w:sz w:val="36"/>
          <w:szCs w:val="36"/>
        </w:rPr>
        <w:t>Review</w:t>
      </w:r>
      <w:r>
        <w:rPr>
          <w:b w:val="0"/>
          <w:sz w:val="36"/>
          <w:szCs w:val="36"/>
        </w:rPr>
        <w:t>).</w:t>
      </w:r>
    </w:p>
    <w:p w14:paraId="591A6FC7" w14:textId="77777777" w:rsidR="00D52FC4" w:rsidRDefault="00D52FC4">
      <w:pPr>
        <w:pStyle w:val="Heading3"/>
      </w:pPr>
    </w:p>
    <w:p w14:paraId="663F0F77" w14:textId="77777777" w:rsidR="00D52FC4" w:rsidRDefault="004237BD">
      <w:pPr>
        <w:pStyle w:val="Heading3"/>
        <w:spacing w:line="360" w:lineRule="auto"/>
      </w:pPr>
      <w:r>
        <w:t xml:space="preserve">NSW Young Lawyers </w:t>
      </w:r>
    </w:p>
    <w:p w14:paraId="1C4130D5" w14:textId="77777777" w:rsidR="00D52FC4" w:rsidRDefault="004237BD">
      <w:pPr>
        <w:pStyle w:val="Normal1"/>
        <w:pBdr>
          <w:top w:val="nil"/>
          <w:left w:val="nil"/>
          <w:bottom w:val="nil"/>
          <w:right w:val="nil"/>
          <w:between w:val="nil"/>
        </w:pBdr>
        <w:spacing w:before="120" w:line="360" w:lineRule="auto"/>
        <w:jc w:val="both"/>
        <w:rPr>
          <w:rFonts w:ascii="Arial" w:eastAsia="Arial" w:hAnsi="Arial" w:cs="Arial"/>
          <w:color w:val="0D0D0D"/>
          <w:sz w:val="20"/>
          <w:szCs w:val="20"/>
        </w:rPr>
      </w:pPr>
      <w:r>
        <w:rPr>
          <w:rFonts w:ascii="Arial" w:eastAsia="Arial" w:hAnsi="Arial" w:cs="Arial"/>
          <w:color w:val="0D0D0D"/>
          <w:sz w:val="20"/>
          <w:szCs w:val="20"/>
        </w:rPr>
        <w:t>NSW Young Lawyers is a division of The Law Society of New South Wales. NSW Young Lawyers supports practitioners in their professional and career development in numerous ways, including by encouraging active participation in its 1</w:t>
      </w:r>
      <w:r w:rsidR="00D52FC4">
        <w:rPr>
          <w:rFonts w:ascii="Arial" w:eastAsia="Arial" w:hAnsi="Arial" w:cs="Arial"/>
          <w:color w:val="0D0D0D"/>
          <w:sz w:val="20"/>
          <w:szCs w:val="20"/>
        </w:rPr>
        <w:t>5</w:t>
      </w:r>
      <w:r>
        <w:rPr>
          <w:rFonts w:ascii="Arial" w:eastAsia="Arial" w:hAnsi="Arial" w:cs="Arial"/>
          <w:color w:val="0D0D0D"/>
          <w:sz w:val="20"/>
          <w:szCs w:val="20"/>
        </w:rPr>
        <w:t xml:space="preserve"> separate committees, each dedicated to particular areas of practice. Membership is automatic for all NSW lawyers (solicitors and barristers) under 36 years and/or in their first five years of practice, as well as law students. NSW Young Lawyers currently has over 15,000 members. </w:t>
      </w:r>
    </w:p>
    <w:p w14:paraId="0BFB24BD" w14:textId="77777777" w:rsidR="00D52FC4" w:rsidRDefault="00D52FC4">
      <w:pPr>
        <w:pStyle w:val="Normal1"/>
        <w:pBdr>
          <w:top w:val="nil"/>
          <w:left w:val="nil"/>
          <w:bottom w:val="nil"/>
          <w:right w:val="nil"/>
          <w:between w:val="nil"/>
        </w:pBdr>
        <w:spacing w:before="120" w:line="360" w:lineRule="auto"/>
        <w:jc w:val="both"/>
        <w:rPr>
          <w:rFonts w:ascii="Arial" w:eastAsia="Arial" w:hAnsi="Arial" w:cs="Arial"/>
          <w:color w:val="0D0D0D"/>
          <w:sz w:val="20"/>
          <w:szCs w:val="20"/>
        </w:rPr>
      </w:pPr>
    </w:p>
    <w:p w14:paraId="3CBD1378" w14:textId="77777777" w:rsidR="00D52FC4" w:rsidRDefault="004237BD">
      <w:pPr>
        <w:pStyle w:val="Heading3"/>
        <w:spacing w:line="360" w:lineRule="auto"/>
        <w:rPr>
          <w:b w:val="0"/>
          <w:color w:val="0D0D0D"/>
          <w:sz w:val="20"/>
          <w:szCs w:val="20"/>
        </w:rPr>
      </w:pPr>
      <w:r>
        <w:rPr>
          <w:b w:val="0"/>
          <w:color w:val="0D0D0D"/>
          <w:sz w:val="20"/>
          <w:szCs w:val="20"/>
        </w:rPr>
        <w:t>The Committee comprises a group of over 400 members interested in animal welfare and laws regulating the treatment of animals.  The Committee aims to raise awareness and provide education to the legal profession and wider community, while increasing understanding about the importance of protecting animals from abuse and neglect.  A common theme amongst Committee members is a passion and desire to use their legal skills and the law to help improve the lives of animals.</w:t>
      </w:r>
    </w:p>
    <w:p w14:paraId="3CA0ADE6" w14:textId="77777777" w:rsidR="00D52FC4" w:rsidRDefault="00D52FC4">
      <w:pPr>
        <w:pStyle w:val="Heading3"/>
        <w:spacing w:line="360" w:lineRule="auto"/>
      </w:pPr>
    </w:p>
    <w:p w14:paraId="7B3C1915" w14:textId="77777777" w:rsidR="00D52FC4" w:rsidRDefault="004237BD">
      <w:pPr>
        <w:pStyle w:val="Heading3"/>
        <w:spacing w:line="360" w:lineRule="auto"/>
        <w:rPr>
          <w:sz w:val="32"/>
          <w:szCs w:val="32"/>
        </w:rPr>
      </w:pPr>
      <w:r>
        <w:rPr>
          <w:sz w:val="32"/>
          <w:szCs w:val="32"/>
        </w:rPr>
        <w:t>Summary of Recommendations</w:t>
      </w:r>
    </w:p>
    <w:p w14:paraId="4B9B343D" w14:textId="77777777" w:rsidR="00D52FC4" w:rsidRDefault="3257FF47" w:rsidP="3257FF47">
      <w:pPr>
        <w:pStyle w:val="Normal1"/>
        <w:pBdr>
          <w:top w:val="nil"/>
          <w:left w:val="nil"/>
          <w:bottom w:val="nil"/>
          <w:right w:val="nil"/>
          <w:between w:val="nil"/>
        </w:pBdr>
        <w:spacing w:before="120" w:line="360" w:lineRule="auto"/>
        <w:rPr>
          <w:rFonts w:ascii="Arial" w:eastAsia="Arial" w:hAnsi="Arial" w:cs="Arial"/>
          <w:color w:val="0D0D0D" w:themeColor="text1" w:themeTint="F2"/>
          <w:sz w:val="20"/>
          <w:szCs w:val="20"/>
        </w:rPr>
      </w:pPr>
      <w:r w:rsidRPr="3257FF47">
        <w:rPr>
          <w:rFonts w:ascii="Arial" w:eastAsia="Arial" w:hAnsi="Arial" w:cs="Arial"/>
          <w:color w:val="0D0D0D" w:themeColor="text1" w:themeTint="F2"/>
          <w:sz w:val="20"/>
          <w:szCs w:val="20"/>
        </w:rPr>
        <w:t>The Committee submits that:</w:t>
      </w:r>
    </w:p>
    <w:p w14:paraId="228F5A9E" w14:textId="0D9B7718" w:rsidR="00170A13" w:rsidRDefault="3257FF47" w:rsidP="3257FF47">
      <w:pPr>
        <w:pStyle w:val="Normal1"/>
        <w:numPr>
          <w:ilvl w:val="0"/>
          <w:numId w:val="11"/>
        </w:numPr>
        <w:pBdr>
          <w:top w:val="nil"/>
          <w:left w:val="nil"/>
          <w:bottom w:val="nil"/>
          <w:right w:val="nil"/>
          <w:between w:val="nil"/>
        </w:pBdr>
        <w:spacing w:before="120" w:line="360" w:lineRule="auto"/>
        <w:rPr>
          <w:rFonts w:ascii="Arial" w:eastAsia="Arial" w:hAnsi="Arial" w:cs="Arial"/>
          <w:color w:val="0D0D0D" w:themeColor="text1" w:themeTint="F2"/>
          <w:sz w:val="20"/>
          <w:szCs w:val="20"/>
        </w:rPr>
      </w:pPr>
      <w:r w:rsidRPr="3257FF47">
        <w:rPr>
          <w:rFonts w:ascii="Arial" w:eastAsia="Arial" w:hAnsi="Arial" w:cs="Arial"/>
          <w:color w:val="0D0D0D" w:themeColor="text1" w:themeTint="F2"/>
          <w:sz w:val="20"/>
          <w:szCs w:val="20"/>
        </w:rPr>
        <w:t>The definition of ‘notifiable incident’ contained in the Draft Standards prepared in connection with the review should be clarified</w:t>
      </w:r>
      <w:r w:rsidR="00566EFF">
        <w:rPr>
          <w:rFonts w:ascii="Arial" w:eastAsia="Arial" w:hAnsi="Arial" w:cs="Arial"/>
          <w:color w:val="0D0D0D" w:themeColor="text1" w:themeTint="F2"/>
          <w:sz w:val="20"/>
          <w:szCs w:val="20"/>
        </w:rPr>
        <w:t xml:space="preserve"> </w:t>
      </w:r>
      <w:r w:rsidR="00CF0E86">
        <w:rPr>
          <w:rFonts w:ascii="Arial" w:eastAsia="Arial" w:hAnsi="Arial" w:cs="Arial"/>
          <w:color w:val="0D0D0D" w:themeColor="text1" w:themeTint="F2"/>
          <w:sz w:val="20"/>
          <w:szCs w:val="20"/>
        </w:rPr>
        <w:t xml:space="preserve">expressly </w:t>
      </w:r>
      <w:r w:rsidR="000575CA">
        <w:rPr>
          <w:rFonts w:ascii="Arial" w:eastAsia="Arial" w:hAnsi="Arial" w:cs="Arial"/>
          <w:color w:val="0D0D0D" w:themeColor="text1" w:themeTint="F2"/>
          <w:sz w:val="20"/>
          <w:szCs w:val="20"/>
        </w:rPr>
        <w:t>to embrace incidents which are common or expected;</w:t>
      </w:r>
      <w:r w:rsidRPr="3257FF47">
        <w:rPr>
          <w:rFonts w:ascii="Arial" w:eastAsia="Arial" w:hAnsi="Arial" w:cs="Arial"/>
          <w:color w:val="0D0D0D" w:themeColor="text1" w:themeTint="F2"/>
          <w:sz w:val="20"/>
          <w:szCs w:val="20"/>
        </w:rPr>
        <w:t xml:space="preserve"> </w:t>
      </w:r>
    </w:p>
    <w:p w14:paraId="328C7DE0" w14:textId="6435C49D" w:rsidR="00170A13" w:rsidRDefault="00170A13" w:rsidP="00170A13">
      <w:pPr>
        <w:pStyle w:val="Normal1"/>
        <w:numPr>
          <w:ilvl w:val="0"/>
          <w:numId w:val="11"/>
        </w:numPr>
        <w:pBdr>
          <w:top w:val="nil"/>
          <w:left w:val="nil"/>
          <w:bottom w:val="nil"/>
          <w:right w:val="nil"/>
          <w:between w:val="nil"/>
        </w:pBdr>
        <w:spacing w:before="120" w:line="360" w:lineRule="auto"/>
        <w:rPr>
          <w:rFonts w:ascii="Arial" w:eastAsia="Arial" w:hAnsi="Arial" w:cs="Arial"/>
          <w:color w:val="0D0D0D"/>
          <w:sz w:val="20"/>
          <w:szCs w:val="20"/>
        </w:rPr>
      </w:pPr>
      <w:r>
        <w:rPr>
          <w:rFonts w:ascii="Arial" w:eastAsia="Arial" w:hAnsi="Arial" w:cs="Arial"/>
          <w:color w:val="0D0D0D"/>
          <w:sz w:val="20"/>
          <w:szCs w:val="20"/>
        </w:rPr>
        <w:t>Reports of notifiable incidents should include information about action taken to address the incident to which the report relates;</w:t>
      </w:r>
    </w:p>
    <w:p w14:paraId="6D3D5012" w14:textId="1D721577" w:rsidR="00170A13" w:rsidRDefault="3257FF47" w:rsidP="3257FF47">
      <w:pPr>
        <w:pStyle w:val="Normal1"/>
        <w:numPr>
          <w:ilvl w:val="0"/>
          <w:numId w:val="11"/>
        </w:numPr>
        <w:pBdr>
          <w:top w:val="nil"/>
          <w:left w:val="nil"/>
          <w:bottom w:val="nil"/>
          <w:right w:val="nil"/>
          <w:between w:val="nil"/>
        </w:pBdr>
        <w:spacing w:before="120" w:line="360" w:lineRule="auto"/>
        <w:rPr>
          <w:rFonts w:ascii="Arial" w:eastAsia="Arial" w:hAnsi="Arial" w:cs="Arial"/>
          <w:color w:val="0D0D0D" w:themeColor="text1" w:themeTint="F2"/>
          <w:sz w:val="20"/>
          <w:szCs w:val="20"/>
        </w:rPr>
      </w:pPr>
      <w:r w:rsidRPr="3257FF47">
        <w:rPr>
          <w:rFonts w:ascii="Arial" w:eastAsia="Arial" w:hAnsi="Arial" w:cs="Arial"/>
          <w:color w:val="0D0D0D" w:themeColor="text1" w:themeTint="F2"/>
          <w:sz w:val="20"/>
          <w:szCs w:val="20"/>
        </w:rPr>
        <w:t>The process of accrediting stockpersons and veterinarians should be amended</w:t>
      </w:r>
      <w:r w:rsidR="002E5D8F">
        <w:rPr>
          <w:rFonts w:ascii="Arial" w:eastAsia="Arial" w:hAnsi="Arial" w:cs="Arial"/>
          <w:color w:val="0D0D0D" w:themeColor="text1" w:themeTint="F2"/>
          <w:sz w:val="20"/>
          <w:szCs w:val="20"/>
        </w:rPr>
        <w:t xml:space="preserve"> </w:t>
      </w:r>
      <w:r w:rsidR="000575CA">
        <w:rPr>
          <w:rFonts w:ascii="Arial" w:eastAsia="Arial" w:hAnsi="Arial" w:cs="Arial"/>
          <w:color w:val="0D0D0D" w:themeColor="text1" w:themeTint="F2"/>
          <w:sz w:val="20"/>
          <w:szCs w:val="20"/>
        </w:rPr>
        <w:t>to involve the Australian Veterinary Association and the RSPCA, in order</w:t>
      </w:r>
      <w:r w:rsidR="000575CA" w:rsidRPr="3257FF47">
        <w:rPr>
          <w:rFonts w:ascii="Arial" w:eastAsia="Arial" w:hAnsi="Arial" w:cs="Arial"/>
          <w:color w:val="0D0D0D" w:themeColor="text1" w:themeTint="F2"/>
          <w:sz w:val="20"/>
          <w:szCs w:val="20"/>
        </w:rPr>
        <w:t xml:space="preserve"> </w:t>
      </w:r>
      <w:r w:rsidRPr="3257FF47">
        <w:rPr>
          <w:rFonts w:ascii="Arial" w:eastAsia="Arial" w:hAnsi="Arial" w:cs="Arial"/>
          <w:color w:val="0D0D0D" w:themeColor="text1" w:themeTint="F2"/>
          <w:sz w:val="20"/>
          <w:szCs w:val="20"/>
        </w:rPr>
        <w:t>to enhance independence and accountability;</w:t>
      </w:r>
    </w:p>
    <w:p w14:paraId="0D6FEBA1" w14:textId="74341D84" w:rsidR="00C02240" w:rsidRDefault="3257FF47" w:rsidP="00C02240">
      <w:pPr>
        <w:pStyle w:val="Normal1"/>
        <w:numPr>
          <w:ilvl w:val="0"/>
          <w:numId w:val="11"/>
        </w:numPr>
        <w:pBdr>
          <w:top w:val="nil"/>
          <w:left w:val="nil"/>
          <w:bottom w:val="nil"/>
          <w:right w:val="nil"/>
          <w:between w:val="nil"/>
        </w:pBdr>
        <w:spacing w:before="120" w:line="360" w:lineRule="auto"/>
        <w:rPr>
          <w:rFonts w:ascii="Arial" w:eastAsia="Arial" w:hAnsi="Arial" w:cs="Arial"/>
          <w:color w:val="0D0D0D" w:themeColor="text1" w:themeTint="F2"/>
          <w:sz w:val="20"/>
          <w:szCs w:val="20"/>
        </w:rPr>
      </w:pPr>
      <w:r w:rsidRPr="00C02240">
        <w:rPr>
          <w:rFonts w:ascii="Arial" w:eastAsia="Arial" w:hAnsi="Arial" w:cs="Arial"/>
          <w:color w:val="0D0D0D" w:themeColor="text1" w:themeTint="F2"/>
          <w:sz w:val="20"/>
          <w:szCs w:val="20"/>
        </w:rPr>
        <w:t>The regulatory approach should be amended to ensure that</w:t>
      </w:r>
      <w:r w:rsidR="00C02240">
        <w:rPr>
          <w:rFonts w:ascii="Arial" w:eastAsia="Arial" w:hAnsi="Arial" w:cs="Arial"/>
          <w:color w:val="0D0D0D" w:themeColor="text1" w:themeTint="F2"/>
          <w:sz w:val="20"/>
          <w:szCs w:val="20"/>
        </w:rPr>
        <w:t xml:space="preserve"> compliance is a strictly required and that failure to comply with standards is met with adequate penalties; and</w:t>
      </w:r>
    </w:p>
    <w:p w14:paraId="251D0277" w14:textId="6A14A4A5" w:rsidR="00D52FC4" w:rsidRPr="00C02240" w:rsidRDefault="00C02240" w:rsidP="00C02240">
      <w:pPr>
        <w:pStyle w:val="Normal1"/>
        <w:numPr>
          <w:ilvl w:val="0"/>
          <w:numId w:val="11"/>
        </w:numPr>
        <w:pBdr>
          <w:top w:val="nil"/>
          <w:left w:val="nil"/>
          <w:bottom w:val="nil"/>
          <w:right w:val="nil"/>
          <w:between w:val="nil"/>
        </w:pBdr>
        <w:spacing w:before="120" w:line="360" w:lineRule="auto"/>
        <w:rPr>
          <w:rFonts w:ascii="Arial" w:eastAsia="Arial" w:hAnsi="Arial" w:cs="Arial"/>
          <w:color w:val="0D0D0D" w:themeColor="text1" w:themeTint="F2"/>
          <w:sz w:val="20"/>
          <w:szCs w:val="20"/>
        </w:rPr>
      </w:pPr>
      <w:r>
        <w:rPr>
          <w:rFonts w:ascii="Arial" w:eastAsia="Arial" w:hAnsi="Arial" w:cs="Arial"/>
          <w:color w:val="0D0D0D" w:themeColor="text1" w:themeTint="F2"/>
          <w:sz w:val="20"/>
          <w:szCs w:val="20"/>
        </w:rPr>
        <w:t xml:space="preserve">Although innovation by industry participants to enable them to meet and exceed standards should be encouraged, strategies developed through such innovation should not be considered </w:t>
      </w:r>
      <w:r w:rsidR="00E1786E">
        <w:rPr>
          <w:rFonts w:ascii="Arial" w:eastAsia="Arial" w:hAnsi="Arial" w:cs="Arial"/>
          <w:color w:val="0D0D0D" w:themeColor="text1" w:themeTint="F2"/>
          <w:sz w:val="20"/>
          <w:szCs w:val="20"/>
        </w:rPr>
        <w:t xml:space="preserve">to be </w:t>
      </w:r>
      <w:r>
        <w:rPr>
          <w:rFonts w:ascii="Arial" w:eastAsia="Arial" w:hAnsi="Arial" w:cs="Arial"/>
          <w:color w:val="0D0D0D" w:themeColor="text1" w:themeTint="F2"/>
          <w:sz w:val="20"/>
          <w:szCs w:val="20"/>
        </w:rPr>
        <w:t xml:space="preserve">valid alternatives to the satisfaction of baseline standards.  </w:t>
      </w:r>
    </w:p>
    <w:p w14:paraId="729B8BCB" w14:textId="7969F6AF" w:rsidR="003F744B" w:rsidRPr="00787AFA" w:rsidRDefault="004237BD">
      <w:pPr>
        <w:pStyle w:val="Normal1"/>
        <w:pBdr>
          <w:top w:val="nil"/>
          <w:left w:val="nil"/>
          <w:bottom w:val="nil"/>
          <w:right w:val="nil"/>
          <w:between w:val="nil"/>
        </w:pBdr>
        <w:spacing w:before="120" w:line="360" w:lineRule="auto"/>
        <w:rPr>
          <w:rFonts w:ascii="Arial" w:eastAsia="Arial" w:hAnsi="Arial" w:cs="Arial"/>
          <w:b/>
          <w:color w:val="000000"/>
          <w:sz w:val="32"/>
          <w:szCs w:val="32"/>
        </w:rPr>
      </w:pPr>
      <w:r>
        <w:rPr>
          <w:rFonts w:ascii="Arial" w:eastAsia="Arial" w:hAnsi="Arial" w:cs="Arial"/>
          <w:b/>
          <w:color w:val="000000"/>
          <w:sz w:val="32"/>
          <w:szCs w:val="32"/>
        </w:rPr>
        <w:t>Discussion</w:t>
      </w:r>
    </w:p>
    <w:p w14:paraId="705F17A1" w14:textId="51060E4D" w:rsidR="003F744B" w:rsidRDefault="003F744B">
      <w:pPr>
        <w:pStyle w:val="Normal1"/>
        <w:pBdr>
          <w:top w:val="nil"/>
          <w:left w:val="nil"/>
          <w:bottom w:val="nil"/>
          <w:right w:val="nil"/>
          <w:between w:val="nil"/>
        </w:pBdr>
        <w:spacing w:before="120" w:line="360" w:lineRule="auto"/>
        <w:rPr>
          <w:rFonts w:ascii="Arial" w:eastAsia="Arial" w:hAnsi="Arial" w:cs="Arial"/>
          <w:b/>
          <w:color w:val="000000"/>
          <w:sz w:val="28"/>
          <w:szCs w:val="28"/>
        </w:rPr>
      </w:pPr>
      <w:r>
        <w:rPr>
          <w:rFonts w:ascii="Arial" w:eastAsia="Arial" w:hAnsi="Arial" w:cs="Arial"/>
          <w:b/>
          <w:color w:val="000000"/>
          <w:sz w:val="28"/>
          <w:szCs w:val="28"/>
        </w:rPr>
        <w:t>Voyage reporting</w:t>
      </w:r>
    </w:p>
    <w:p w14:paraId="4AA903DD" w14:textId="598F4FEB" w:rsidR="003F744B" w:rsidRDefault="003349D0" w:rsidP="00D34B7B">
      <w:pPr>
        <w:pStyle w:val="Heading3"/>
        <w:spacing w:line="360" w:lineRule="auto"/>
        <w:rPr>
          <w:b w:val="0"/>
          <w:sz w:val="20"/>
          <w:szCs w:val="20"/>
        </w:rPr>
      </w:pPr>
      <w:r>
        <w:rPr>
          <w:b w:val="0"/>
          <w:sz w:val="20"/>
          <w:szCs w:val="20"/>
        </w:rPr>
        <w:t>In summary, Draft Standard</w:t>
      </w:r>
      <w:r w:rsidR="00D34B7B" w:rsidRPr="00D34B7B">
        <w:rPr>
          <w:b w:val="0"/>
          <w:sz w:val="20"/>
          <w:szCs w:val="20"/>
        </w:rPr>
        <w:t xml:space="preserve"> </w:t>
      </w:r>
      <w:r w:rsidR="00D34B7B">
        <w:rPr>
          <w:b w:val="0"/>
          <w:sz w:val="20"/>
          <w:szCs w:val="20"/>
        </w:rPr>
        <w:t>4F.1 establishes the following requirements in relation to export by sea:</w:t>
      </w:r>
    </w:p>
    <w:p w14:paraId="6F241611" w14:textId="487E1E9A" w:rsidR="003349D0" w:rsidRPr="003349D0" w:rsidRDefault="003349D0" w:rsidP="003349D0">
      <w:pPr>
        <w:pStyle w:val="Normal1"/>
        <w:numPr>
          <w:ilvl w:val="0"/>
          <w:numId w:val="9"/>
        </w:numPr>
        <w:rPr>
          <w:rFonts w:ascii="Arial" w:hAnsi="Arial" w:cs="Arial"/>
          <w:sz w:val="20"/>
          <w:szCs w:val="20"/>
        </w:rPr>
      </w:pPr>
      <w:r w:rsidRPr="003349D0">
        <w:rPr>
          <w:rFonts w:ascii="Arial" w:hAnsi="Arial" w:cs="Arial"/>
          <w:sz w:val="20"/>
          <w:szCs w:val="20"/>
        </w:rPr>
        <w:t>If a notifiable incident occurs at any time, a report must be provided to the relevant Australian Government agency by the Master of the vessel or on-board accredited veterinarian</w:t>
      </w:r>
      <w:r w:rsidR="006E74EC">
        <w:rPr>
          <w:rFonts w:ascii="Arial" w:hAnsi="Arial" w:cs="Arial"/>
          <w:sz w:val="20"/>
          <w:szCs w:val="20"/>
        </w:rPr>
        <w:t>: Draft Standard 4F.1(a)</w:t>
      </w:r>
      <w:r w:rsidRPr="003349D0">
        <w:rPr>
          <w:rFonts w:ascii="Arial" w:hAnsi="Arial" w:cs="Arial"/>
          <w:sz w:val="20"/>
          <w:szCs w:val="20"/>
        </w:rPr>
        <w:t>;</w:t>
      </w:r>
    </w:p>
    <w:p w14:paraId="7B71337D" w14:textId="2968DEE0" w:rsidR="003349D0" w:rsidRPr="003349D0" w:rsidRDefault="003349D0" w:rsidP="003349D0">
      <w:pPr>
        <w:pStyle w:val="Normal1"/>
        <w:numPr>
          <w:ilvl w:val="0"/>
          <w:numId w:val="9"/>
        </w:numPr>
        <w:rPr>
          <w:rFonts w:ascii="Arial" w:hAnsi="Arial" w:cs="Arial"/>
          <w:sz w:val="20"/>
          <w:szCs w:val="20"/>
        </w:rPr>
      </w:pPr>
      <w:r w:rsidRPr="003349D0">
        <w:rPr>
          <w:rFonts w:ascii="Arial" w:hAnsi="Arial" w:cs="Arial"/>
          <w:sz w:val="20"/>
          <w:szCs w:val="20"/>
        </w:rPr>
        <w:t>The report must be made within twelve hours of the notifiable incident occurring</w:t>
      </w:r>
      <w:r w:rsidR="006E74EC">
        <w:rPr>
          <w:rFonts w:ascii="Arial" w:hAnsi="Arial" w:cs="Arial"/>
          <w:sz w:val="20"/>
          <w:szCs w:val="20"/>
        </w:rPr>
        <w:t>: Draft Standard 4F.1(b)</w:t>
      </w:r>
      <w:r w:rsidRPr="003349D0">
        <w:rPr>
          <w:rFonts w:ascii="Arial" w:hAnsi="Arial" w:cs="Arial"/>
          <w:sz w:val="20"/>
          <w:szCs w:val="20"/>
        </w:rPr>
        <w:t>; and</w:t>
      </w:r>
    </w:p>
    <w:p w14:paraId="14770722" w14:textId="555FE60F" w:rsidR="003349D0" w:rsidRPr="003349D0" w:rsidRDefault="003349D0" w:rsidP="003349D0">
      <w:pPr>
        <w:pStyle w:val="Normal1"/>
        <w:numPr>
          <w:ilvl w:val="0"/>
          <w:numId w:val="9"/>
        </w:numPr>
        <w:rPr>
          <w:rFonts w:ascii="Arial" w:hAnsi="Arial" w:cs="Arial"/>
          <w:sz w:val="20"/>
          <w:szCs w:val="20"/>
        </w:rPr>
      </w:pPr>
      <w:r w:rsidRPr="003349D0">
        <w:rPr>
          <w:rFonts w:ascii="Arial" w:hAnsi="Arial" w:cs="Arial"/>
          <w:sz w:val="20"/>
          <w:szCs w:val="20"/>
        </w:rPr>
        <w:t>If the notifiable incident involves a mortality rate or average daily mortality rate equal to or greater than the reportable level, a report must be provided that includes:</w:t>
      </w:r>
    </w:p>
    <w:p w14:paraId="3F1CF7EC" w14:textId="5587D5B8" w:rsidR="003349D0" w:rsidRPr="003349D0" w:rsidRDefault="003349D0" w:rsidP="003349D0">
      <w:pPr>
        <w:pStyle w:val="Normal1"/>
        <w:numPr>
          <w:ilvl w:val="1"/>
          <w:numId w:val="9"/>
        </w:numPr>
        <w:rPr>
          <w:rFonts w:ascii="Arial" w:hAnsi="Arial" w:cs="Arial"/>
          <w:sz w:val="20"/>
          <w:szCs w:val="20"/>
        </w:rPr>
      </w:pPr>
      <w:r w:rsidRPr="003349D0">
        <w:rPr>
          <w:rFonts w:ascii="Arial" w:hAnsi="Arial" w:cs="Arial"/>
          <w:sz w:val="20"/>
          <w:szCs w:val="20"/>
        </w:rPr>
        <w:t xml:space="preserve">Details of the mortalities; </w:t>
      </w:r>
    </w:p>
    <w:p w14:paraId="7F35FF15" w14:textId="04A9197A" w:rsidR="003349D0" w:rsidRPr="003349D0" w:rsidRDefault="003349D0" w:rsidP="003349D0">
      <w:pPr>
        <w:pStyle w:val="Normal1"/>
        <w:numPr>
          <w:ilvl w:val="1"/>
          <w:numId w:val="9"/>
        </w:numPr>
        <w:rPr>
          <w:rFonts w:ascii="Arial" w:hAnsi="Arial" w:cs="Arial"/>
          <w:sz w:val="20"/>
          <w:szCs w:val="20"/>
        </w:rPr>
      </w:pPr>
      <w:r w:rsidRPr="003349D0">
        <w:rPr>
          <w:rFonts w:ascii="Arial" w:hAnsi="Arial" w:cs="Arial"/>
          <w:sz w:val="20"/>
          <w:szCs w:val="20"/>
        </w:rPr>
        <w:t>Potential causes;</w:t>
      </w:r>
    </w:p>
    <w:p w14:paraId="1CC6819E" w14:textId="373B048D" w:rsidR="00D34B7B" w:rsidRDefault="003349D0" w:rsidP="003349D0">
      <w:pPr>
        <w:pStyle w:val="Normal1"/>
        <w:numPr>
          <w:ilvl w:val="1"/>
          <w:numId w:val="9"/>
        </w:numPr>
        <w:rPr>
          <w:rFonts w:ascii="Arial" w:hAnsi="Arial" w:cs="Arial"/>
          <w:sz w:val="20"/>
          <w:szCs w:val="20"/>
        </w:rPr>
      </w:pPr>
      <w:r w:rsidRPr="003349D0">
        <w:rPr>
          <w:rFonts w:ascii="Arial" w:hAnsi="Arial" w:cs="Arial"/>
          <w:sz w:val="20"/>
          <w:szCs w:val="20"/>
        </w:rPr>
        <w:t>The location and estimated time of arrival of the subject vessel</w:t>
      </w:r>
      <w:r w:rsidR="006E74EC">
        <w:rPr>
          <w:rFonts w:ascii="Arial" w:hAnsi="Arial" w:cs="Arial"/>
          <w:sz w:val="20"/>
          <w:szCs w:val="20"/>
        </w:rPr>
        <w:t xml:space="preserve">: Draft Standard </w:t>
      </w:r>
      <w:proofErr w:type="gramStart"/>
      <w:r w:rsidR="006E74EC">
        <w:rPr>
          <w:rFonts w:ascii="Arial" w:hAnsi="Arial" w:cs="Arial"/>
          <w:sz w:val="20"/>
          <w:szCs w:val="20"/>
        </w:rPr>
        <w:t>4F.1(</w:t>
      </w:r>
      <w:proofErr w:type="gramEnd"/>
      <w:r w:rsidR="006E74EC">
        <w:rPr>
          <w:rFonts w:ascii="Arial" w:hAnsi="Arial" w:cs="Arial"/>
          <w:sz w:val="20"/>
          <w:szCs w:val="20"/>
        </w:rPr>
        <w:t>3)</w:t>
      </w:r>
      <w:r w:rsidRPr="003349D0">
        <w:rPr>
          <w:rFonts w:ascii="Arial" w:hAnsi="Arial" w:cs="Arial"/>
          <w:sz w:val="20"/>
          <w:szCs w:val="20"/>
        </w:rPr>
        <w:t>.</w:t>
      </w:r>
      <w:r>
        <w:rPr>
          <w:rStyle w:val="FootnoteReference"/>
          <w:rFonts w:ascii="Arial" w:hAnsi="Arial" w:cs="Arial"/>
          <w:sz w:val="20"/>
          <w:szCs w:val="20"/>
        </w:rPr>
        <w:footnoteReference w:id="1"/>
      </w:r>
    </w:p>
    <w:p w14:paraId="537CC2F2" w14:textId="77777777" w:rsidR="003349D0" w:rsidRDefault="003349D0" w:rsidP="003349D0">
      <w:pPr>
        <w:pStyle w:val="Normal1"/>
        <w:rPr>
          <w:rFonts w:ascii="Arial" w:hAnsi="Arial" w:cs="Arial"/>
          <w:sz w:val="20"/>
          <w:szCs w:val="20"/>
        </w:rPr>
      </w:pPr>
    </w:p>
    <w:p w14:paraId="744F9354" w14:textId="133FF3A4" w:rsidR="003349D0" w:rsidRDefault="007F7294" w:rsidP="3257FF47">
      <w:pPr>
        <w:pStyle w:val="Normal1"/>
        <w:rPr>
          <w:rFonts w:ascii="Arial" w:hAnsi="Arial" w:cs="Arial"/>
          <w:sz w:val="20"/>
          <w:szCs w:val="20"/>
        </w:rPr>
      </w:pPr>
      <w:r>
        <w:rPr>
          <w:rFonts w:ascii="Arial" w:hAnsi="Arial" w:cs="Arial"/>
          <w:sz w:val="20"/>
          <w:szCs w:val="20"/>
        </w:rPr>
        <w:t>A ‘notifiable incident’ is defined as one</w:t>
      </w:r>
      <w:r w:rsidR="003349D0">
        <w:rPr>
          <w:rFonts w:ascii="Arial" w:hAnsi="Arial" w:cs="Arial"/>
          <w:sz w:val="20"/>
          <w:szCs w:val="20"/>
        </w:rPr>
        <w:t xml:space="preserve"> which ‘has </w:t>
      </w:r>
      <w:r w:rsidR="003349D0" w:rsidRPr="003349D0">
        <w:rPr>
          <w:rFonts w:ascii="Arial" w:hAnsi="Arial" w:cs="Arial"/>
          <w:sz w:val="20"/>
          <w:szCs w:val="20"/>
        </w:rPr>
        <w:t>the potential to cause serious harm to the health and welfare of animals.</w:t>
      </w:r>
      <w:r w:rsidR="003349D0">
        <w:rPr>
          <w:rFonts w:ascii="Arial" w:hAnsi="Arial" w:cs="Arial"/>
          <w:sz w:val="20"/>
          <w:szCs w:val="20"/>
        </w:rPr>
        <w:t>’</w:t>
      </w:r>
      <w:r w:rsidR="003349D0">
        <w:rPr>
          <w:rStyle w:val="FootnoteReference"/>
          <w:rFonts w:ascii="Arial" w:hAnsi="Arial" w:cs="Arial"/>
          <w:sz w:val="20"/>
          <w:szCs w:val="20"/>
        </w:rPr>
        <w:footnoteReference w:id="2"/>
      </w:r>
      <w:r w:rsidR="003349D0">
        <w:rPr>
          <w:rFonts w:ascii="Arial" w:hAnsi="Arial" w:cs="Arial"/>
          <w:sz w:val="20"/>
          <w:szCs w:val="20"/>
        </w:rPr>
        <w:t xml:space="preserve"> The mere fact of exporting animals live has the potential to cause serious harm to their health and welfare</w:t>
      </w:r>
      <w:r w:rsidR="006759D6">
        <w:rPr>
          <w:rFonts w:ascii="Arial" w:hAnsi="Arial" w:cs="Arial"/>
          <w:sz w:val="20"/>
          <w:szCs w:val="20"/>
        </w:rPr>
        <w:t xml:space="preserve">; </w:t>
      </w:r>
      <w:r w:rsidR="00E1786E">
        <w:rPr>
          <w:rFonts w:ascii="Arial" w:hAnsi="Arial" w:cs="Arial"/>
          <w:sz w:val="20"/>
          <w:szCs w:val="20"/>
        </w:rPr>
        <w:t>in 1985, the Senate Select Committee on Animal Welfare described the practice as</w:t>
      </w:r>
      <w:r w:rsidR="006759D6">
        <w:rPr>
          <w:rFonts w:ascii="Arial" w:hAnsi="Arial" w:cs="Arial"/>
          <w:sz w:val="20"/>
          <w:szCs w:val="20"/>
        </w:rPr>
        <w:t xml:space="preserve"> ‘inimical to good animal welfare’</w:t>
      </w:r>
      <w:r w:rsidR="003349D0">
        <w:rPr>
          <w:rFonts w:ascii="Arial" w:hAnsi="Arial" w:cs="Arial"/>
          <w:sz w:val="20"/>
          <w:szCs w:val="20"/>
        </w:rPr>
        <w:t>.</w:t>
      </w:r>
      <w:r w:rsidR="00DE057B">
        <w:rPr>
          <w:rStyle w:val="FootnoteReference"/>
          <w:rFonts w:ascii="Arial" w:hAnsi="Arial" w:cs="Arial"/>
          <w:sz w:val="20"/>
          <w:szCs w:val="20"/>
        </w:rPr>
        <w:footnoteReference w:id="3"/>
      </w:r>
      <w:r w:rsidR="003349D0">
        <w:rPr>
          <w:rFonts w:ascii="Arial" w:hAnsi="Arial" w:cs="Arial"/>
          <w:sz w:val="20"/>
          <w:szCs w:val="20"/>
        </w:rPr>
        <w:t xml:space="preserve"> Accordingly, the definition of ‘notifiable incident’ should be clarified to ensure that distress and injury occurring as inexorable consequences of export by sea cannot be dismissed. For example, </w:t>
      </w:r>
      <w:r w:rsidR="00566EFF">
        <w:rPr>
          <w:rFonts w:ascii="Arial" w:hAnsi="Arial" w:cs="Arial"/>
          <w:sz w:val="20"/>
          <w:szCs w:val="20"/>
        </w:rPr>
        <w:t>any</w:t>
      </w:r>
      <w:r w:rsidR="003349D0">
        <w:rPr>
          <w:rFonts w:ascii="Arial" w:hAnsi="Arial" w:cs="Arial"/>
          <w:sz w:val="20"/>
          <w:szCs w:val="20"/>
        </w:rPr>
        <w:t xml:space="preserve"> psychological stress experienced by livestock </w:t>
      </w:r>
      <w:r w:rsidR="00F74040">
        <w:rPr>
          <w:rFonts w:ascii="Arial" w:hAnsi="Arial" w:cs="Arial"/>
          <w:sz w:val="20"/>
          <w:szCs w:val="20"/>
        </w:rPr>
        <w:t xml:space="preserve">being exported by sea </w:t>
      </w:r>
      <w:r w:rsidR="003349D0">
        <w:rPr>
          <w:rFonts w:ascii="Arial" w:hAnsi="Arial" w:cs="Arial"/>
          <w:sz w:val="20"/>
          <w:szCs w:val="20"/>
        </w:rPr>
        <w:t xml:space="preserve">as a result of their confinement should be a ‘notifiable incident’, notwithstanding that it </w:t>
      </w:r>
      <w:r w:rsidR="00566EFF">
        <w:rPr>
          <w:rFonts w:ascii="Arial" w:hAnsi="Arial" w:cs="Arial"/>
          <w:sz w:val="20"/>
          <w:szCs w:val="20"/>
        </w:rPr>
        <w:t>might be a common</w:t>
      </w:r>
      <w:r w:rsidR="003349D0">
        <w:rPr>
          <w:rFonts w:ascii="Arial" w:hAnsi="Arial" w:cs="Arial"/>
          <w:sz w:val="20"/>
          <w:szCs w:val="20"/>
        </w:rPr>
        <w:t xml:space="preserve"> </w:t>
      </w:r>
      <w:r w:rsidR="00F74040">
        <w:rPr>
          <w:rFonts w:ascii="Arial" w:hAnsi="Arial" w:cs="Arial"/>
          <w:sz w:val="20"/>
          <w:szCs w:val="20"/>
        </w:rPr>
        <w:t xml:space="preserve">outcome of live export. The Committee recommends that the Draft Standards should instead define a ‘notifiable incident’ as one which ‘has the potential to cause serious harm to the health and welfare of animals, </w:t>
      </w:r>
      <w:r w:rsidR="00F74040" w:rsidRPr="3257FF47">
        <w:rPr>
          <w:rFonts w:ascii="Arial" w:hAnsi="Arial" w:cs="Arial"/>
          <w:i/>
          <w:iCs/>
          <w:sz w:val="20"/>
          <w:szCs w:val="20"/>
        </w:rPr>
        <w:t>including incidents which are common</w:t>
      </w:r>
      <w:r w:rsidR="00566EFF">
        <w:rPr>
          <w:rFonts w:ascii="Arial" w:hAnsi="Arial" w:cs="Arial"/>
          <w:i/>
          <w:iCs/>
          <w:sz w:val="20"/>
          <w:szCs w:val="20"/>
        </w:rPr>
        <w:t xml:space="preserve"> </w:t>
      </w:r>
      <w:r w:rsidR="00F74040" w:rsidRPr="3257FF47">
        <w:rPr>
          <w:rFonts w:ascii="Arial" w:hAnsi="Arial" w:cs="Arial"/>
          <w:i/>
          <w:iCs/>
          <w:sz w:val="20"/>
          <w:szCs w:val="20"/>
        </w:rPr>
        <w:t>or expected to occur</w:t>
      </w:r>
      <w:r w:rsidR="00F74040">
        <w:rPr>
          <w:rFonts w:ascii="Arial" w:hAnsi="Arial" w:cs="Arial"/>
          <w:sz w:val="20"/>
          <w:szCs w:val="20"/>
        </w:rPr>
        <w:t xml:space="preserve">.’   </w:t>
      </w:r>
    </w:p>
    <w:p w14:paraId="6DD7A146" w14:textId="77777777" w:rsidR="00716CA9" w:rsidRDefault="00716CA9" w:rsidP="003349D0">
      <w:pPr>
        <w:pStyle w:val="Normal1"/>
        <w:rPr>
          <w:rFonts w:ascii="Arial" w:hAnsi="Arial" w:cs="Arial"/>
          <w:sz w:val="20"/>
          <w:szCs w:val="20"/>
        </w:rPr>
      </w:pPr>
    </w:p>
    <w:p w14:paraId="286B7BCC" w14:textId="27F5345B" w:rsidR="006E74EC" w:rsidRDefault="00F74040" w:rsidP="003349D0">
      <w:pPr>
        <w:pStyle w:val="Normal1"/>
        <w:rPr>
          <w:rFonts w:ascii="Arial" w:hAnsi="Arial" w:cs="Arial"/>
          <w:sz w:val="20"/>
          <w:szCs w:val="20"/>
        </w:rPr>
      </w:pPr>
      <w:r>
        <w:rPr>
          <w:rFonts w:ascii="Arial" w:hAnsi="Arial" w:cs="Arial"/>
          <w:sz w:val="20"/>
          <w:szCs w:val="20"/>
        </w:rPr>
        <w:t>Additionally, it is unclear why reports of notifiable incidents involving</w:t>
      </w:r>
      <w:r w:rsidRPr="00F74040">
        <w:rPr>
          <w:rFonts w:ascii="Arial" w:hAnsi="Arial" w:cs="Arial"/>
          <w:sz w:val="20"/>
          <w:szCs w:val="20"/>
        </w:rPr>
        <w:t xml:space="preserve"> a mortality rate or average daily mortality rate equal to or greater than the reportable level</w:t>
      </w:r>
      <w:r>
        <w:rPr>
          <w:rFonts w:ascii="Arial" w:hAnsi="Arial" w:cs="Arial"/>
          <w:sz w:val="20"/>
          <w:szCs w:val="20"/>
        </w:rPr>
        <w:t xml:space="preserve"> </w:t>
      </w:r>
      <w:r w:rsidR="006E74EC">
        <w:rPr>
          <w:rFonts w:ascii="Arial" w:hAnsi="Arial" w:cs="Arial"/>
          <w:sz w:val="20"/>
          <w:szCs w:val="20"/>
        </w:rPr>
        <w:t xml:space="preserve">are not </w:t>
      </w:r>
      <w:r w:rsidR="00372B32">
        <w:rPr>
          <w:rFonts w:ascii="Arial" w:hAnsi="Arial" w:cs="Arial"/>
          <w:sz w:val="20"/>
          <w:szCs w:val="20"/>
        </w:rPr>
        <w:t xml:space="preserve">currently </w:t>
      </w:r>
      <w:r w:rsidR="006E74EC">
        <w:rPr>
          <w:rFonts w:ascii="Arial" w:hAnsi="Arial" w:cs="Arial"/>
          <w:sz w:val="20"/>
          <w:szCs w:val="20"/>
        </w:rPr>
        <w:t>required to</w:t>
      </w:r>
      <w:r>
        <w:rPr>
          <w:rFonts w:ascii="Arial" w:hAnsi="Arial" w:cs="Arial"/>
          <w:sz w:val="20"/>
          <w:szCs w:val="20"/>
        </w:rPr>
        <w:t xml:space="preserve"> contain details of remedial action taken to abate the notifiable incident or further similar incidents. Draft </w:t>
      </w:r>
      <w:r w:rsidR="007F7294">
        <w:rPr>
          <w:rFonts w:ascii="Arial" w:hAnsi="Arial" w:cs="Arial"/>
          <w:sz w:val="20"/>
          <w:szCs w:val="20"/>
        </w:rPr>
        <w:t>Standard</w:t>
      </w:r>
      <w:r>
        <w:rPr>
          <w:rFonts w:ascii="Arial" w:hAnsi="Arial" w:cs="Arial"/>
          <w:sz w:val="20"/>
          <w:szCs w:val="20"/>
        </w:rPr>
        <w:t xml:space="preserve"> </w:t>
      </w:r>
      <w:proofErr w:type="gramStart"/>
      <w:r w:rsidR="006E74EC">
        <w:rPr>
          <w:rFonts w:ascii="Arial" w:hAnsi="Arial" w:cs="Arial"/>
          <w:sz w:val="20"/>
          <w:szCs w:val="20"/>
        </w:rPr>
        <w:t>4F.1(</w:t>
      </w:r>
      <w:proofErr w:type="gramEnd"/>
      <w:r w:rsidR="006E74EC">
        <w:rPr>
          <w:rFonts w:ascii="Arial" w:hAnsi="Arial" w:cs="Arial"/>
          <w:sz w:val="20"/>
          <w:szCs w:val="20"/>
        </w:rPr>
        <w:t xml:space="preserve">3) should be amended to include a requirement for the report to identify – with precision – the response of onboard personnel to the notifiable incident. </w:t>
      </w:r>
    </w:p>
    <w:p w14:paraId="1874E9BE" w14:textId="77CAA373" w:rsidR="00A5758E" w:rsidRPr="00A5758E" w:rsidRDefault="00A5758E" w:rsidP="003349D0">
      <w:pPr>
        <w:pStyle w:val="Normal1"/>
        <w:rPr>
          <w:rFonts w:ascii="Arial" w:hAnsi="Arial" w:cs="Arial"/>
          <w:color w:val="2DB262"/>
          <w:sz w:val="20"/>
          <w:szCs w:val="20"/>
        </w:rPr>
      </w:pPr>
    </w:p>
    <w:p w14:paraId="705F71B8" w14:textId="7A351524" w:rsidR="003F744B" w:rsidRDefault="003F744B">
      <w:pPr>
        <w:pStyle w:val="Normal1"/>
        <w:pBdr>
          <w:top w:val="nil"/>
          <w:left w:val="nil"/>
          <w:bottom w:val="nil"/>
          <w:right w:val="nil"/>
          <w:between w:val="nil"/>
        </w:pBdr>
        <w:spacing w:before="120" w:line="360" w:lineRule="auto"/>
        <w:rPr>
          <w:rFonts w:ascii="Arial" w:eastAsia="Arial" w:hAnsi="Arial" w:cs="Arial"/>
          <w:b/>
          <w:color w:val="000000"/>
          <w:sz w:val="28"/>
          <w:szCs w:val="28"/>
        </w:rPr>
      </w:pPr>
      <w:r>
        <w:rPr>
          <w:rFonts w:ascii="Arial" w:eastAsia="Arial" w:hAnsi="Arial" w:cs="Arial"/>
          <w:b/>
          <w:color w:val="000000"/>
          <w:sz w:val="28"/>
          <w:szCs w:val="28"/>
        </w:rPr>
        <w:t>Onboard personnel</w:t>
      </w:r>
    </w:p>
    <w:p w14:paraId="6817BA86" w14:textId="5856E144" w:rsidR="007F7294" w:rsidRDefault="007F7294" w:rsidP="00DE057B">
      <w:pPr>
        <w:pStyle w:val="Normal1"/>
        <w:rPr>
          <w:rFonts w:ascii="Arial" w:eastAsia="Arial" w:hAnsi="Arial" w:cs="Arial"/>
          <w:color w:val="000000"/>
          <w:sz w:val="20"/>
          <w:szCs w:val="20"/>
        </w:rPr>
      </w:pPr>
      <w:r>
        <w:rPr>
          <w:rFonts w:ascii="Arial" w:eastAsia="Arial" w:hAnsi="Arial" w:cs="Arial"/>
          <w:color w:val="000000"/>
          <w:sz w:val="20"/>
          <w:szCs w:val="20"/>
        </w:rPr>
        <w:t>Draft Standard 3B.5 establishes the requirement that the ‘on-board management of livestock of sea must ensure the health and welfare of animals throughout the voyage’, and continues by setting out the rol</w:t>
      </w:r>
      <w:r w:rsidR="00A76E9E">
        <w:rPr>
          <w:rFonts w:ascii="Arial" w:eastAsia="Arial" w:hAnsi="Arial" w:cs="Arial"/>
          <w:color w:val="000000"/>
          <w:sz w:val="20"/>
          <w:szCs w:val="20"/>
        </w:rPr>
        <w:t xml:space="preserve">es </w:t>
      </w:r>
      <w:r w:rsidR="008D4055">
        <w:rPr>
          <w:rFonts w:ascii="Arial" w:eastAsia="Arial" w:hAnsi="Arial" w:cs="Arial"/>
          <w:color w:val="000000"/>
          <w:sz w:val="20"/>
          <w:szCs w:val="20"/>
        </w:rPr>
        <w:t xml:space="preserve">of accredited veterinarians, </w:t>
      </w:r>
      <w:r>
        <w:rPr>
          <w:rFonts w:ascii="Arial" w:eastAsia="Arial" w:hAnsi="Arial" w:cs="Arial"/>
          <w:color w:val="000000"/>
          <w:sz w:val="20"/>
          <w:szCs w:val="20"/>
        </w:rPr>
        <w:t xml:space="preserve">accredited stockpersons and competent stock handlers.  </w:t>
      </w:r>
    </w:p>
    <w:p w14:paraId="60834749" w14:textId="77777777" w:rsidR="007F7294" w:rsidRDefault="007F7294" w:rsidP="00DE057B">
      <w:pPr>
        <w:pStyle w:val="Normal1"/>
        <w:rPr>
          <w:rFonts w:ascii="Arial" w:eastAsia="Arial" w:hAnsi="Arial" w:cs="Arial"/>
          <w:color w:val="000000"/>
          <w:sz w:val="20"/>
          <w:szCs w:val="20"/>
        </w:rPr>
      </w:pPr>
    </w:p>
    <w:p w14:paraId="0B557289" w14:textId="553D92A3" w:rsidR="007F7294" w:rsidRDefault="007F7294" w:rsidP="00DE057B">
      <w:pPr>
        <w:pStyle w:val="Normal1"/>
        <w:rPr>
          <w:rFonts w:ascii="Arial" w:eastAsia="Arial" w:hAnsi="Arial" w:cs="Arial"/>
          <w:color w:val="000000"/>
          <w:sz w:val="20"/>
          <w:szCs w:val="20"/>
        </w:rPr>
      </w:pPr>
      <w:r>
        <w:rPr>
          <w:rFonts w:ascii="Arial" w:eastAsia="Arial" w:hAnsi="Arial" w:cs="Arial"/>
          <w:color w:val="000000"/>
          <w:sz w:val="20"/>
          <w:szCs w:val="20"/>
        </w:rPr>
        <w:t>The Definitions to the Dra</w:t>
      </w:r>
      <w:r w:rsidR="00A76E9E">
        <w:rPr>
          <w:rFonts w:ascii="Arial" w:eastAsia="Arial" w:hAnsi="Arial" w:cs="Arial"/>
          <w:color w:val="000000"/>
          <w:sz w:val="20"/>
          <w:szCs w:val="20"/>
        </w:rPr>
        <w:t>ft Standards define:</w:t>
      </w:r>
    </w:p>
    <w:p w14:paraId="1F1836B8" w14:textId="4C1E89FB" w:rsidR="00DE057B" w:rsidRDefault="00DE057B" w:rsidP="00A76E9E">
      <w:pPr>
        <w:pStyle w:val="Normal1"/>
        <w:numPr>
          <w:ilvl w:val="0"/>
          <w:numId w:val="10"/>
        </w:numPr>
        <w:rPr>
          <w:rFonts w:ascii="Arial" w:eastAsia="Arial" w:hAnsi="Arial" w:cs="Arial"/>
          <w:color w:val="000000"/>
          <w:sz w:val="20"/>
          <w:szCs w:val="20"/>
        </w:rPr>
      </w:pPr>
      <w:r>
        <w:rPr>
          <w:rFonts w:ascii="Arial" w:eastAsia="Arial" w:hAnsi="Arial" w:cs="Arial"/>
          <w:color w:val="000000"/>
          <w:sz w:val="20"/>
          <w:szCs w:val="20"/>
        </w:rPr>
        <w:t>Accredited stockperson</w:t>
      </w:r>
      <w:r w:rsidR="00A76E9E">
        <w:rPr>
          <w:rFonts w:ascii="Arial" w:eastAsia="Arial" w:hAnsi="Arial" w:cs="Arial"/>
          <w:color w:val="000000"/>
          <w:sz w:val="20"/>
          <w:szCs w:val="20"/>
        </w:rPr>
        <w:t>[s]</w:t>
      </w:r>
      <w:r>
        <w:rPr>
          <w:rFonts w:ascii="Arial" w:eastAsia="Arial" w:hAnsi="Arial" w:cs="Arial"/>
          <w:color w:val="000000"/>
          <w:sz w:val="20"/>
          <w:szCs w:val="20"/>
        </w:rPr>
        <w:t xml:space="preserve"> </w:t>
      </w:r>
      <w:r w:rsidR="00A76E9E">
        <w:rPr>
          <w:rFonts w:ascii="Arial" w:eastAsia="Arial" w:hAnsi="Arial" w:cs="Arial"/>
          <w:color w:val="000000"/>
          <w:sz w:val="20"/>
          <w:szCs w:val="20"/>
        </w:rPr>
        <w:t>as s</w:t>
      </w:r>
      <w:r w:rsidRPr="00DE057B">
        <w:rPr>
          <w:rFonts w:ascii="Arial" w:eastAsia="Arial" w:hAnsi="Arial" w:cs="Arial"/>
          <w:color w:val="000000"/>
          <w:sz w:val="20"/>
          <w:szCs w:val="20"/>
        </w:rPr>
        <w:t xml:space="preserve">tockpersons who are </w:t>
      </w:r>
      <w:r w:rsidRPr="004F538E">
        <w:rPr>
          <w:rFonts w:ascii="Arial" w:eastAsia="Arial" w:hAnsi="Arial" w:cs="Arial"/>
          <w:color w:val="000000"/>
          <w:sz w:val="20"/>
          <w:szCs w:val="20"/>
        </w:rPr>
        <w:t>accredited by</w:t>
      </w:r>
      <w:r w:rsidRPr="00A76E9E">
        <w:rPr>
          <w:rFonts w:ascii="Arial" w:eastAsia="Arial" w:hAnsi="Arial" w:cs="Arial"/>
          <w:i/>
          <w:color w:val="000000"/>
          <w:sz w:val="20"/>
          <w:szCs w:val="20"/>
        </w:rPr>
        <w:t xml:space="preserve"> </w:t>
      </w:r>
      <w:proofErr w:type="spellStart"/>
      <w:r w:rsidRPr="00797CAF">
        <w:rPr>
          <w:rFonts w:ascii="Arial" w:eastAsia="Arial" w:hAnsi="Arial" w:cs="Arial"/>
          <w:color w:val="000000"/>
          <w:sz w:val="20"/>
          <w:szCs w:val="20"/>
        </w:rPr>
        <w:t>LiveCorp</w:t>
      </w:r>
      <w:proofErr w:type="spellEnd"/>
      <w:r w:rsidRPr="00DE057B">
        <w:rPr>
          <w:rFonts w:ascii="Arial" w:eastAsia="Arial" w:hAnsi="Arial" w:cs="Arial"/>
          <w:color w:val="000000"/>
          <w:sz w:val="20"/>
          <w:szCs w:val="20"/>
        </w:rPr>
        <w:t xml:space="preserve"> for the s</w:t>
      </w:r>
      <w:r w:rsidR="00A76E9E">
        <w:rPr>
          <w:rFonts w:ascii="Arial" w:eastAsia="Arial" w:hAnsi="Arial" w:cs="Arial"/>
          <w:color w:val="000000"/>
          <w:sz w:val="20"/>
          <w:szCs w:val="20"/>
        </w:rPr>
        <w:t>hipboard husbandry of livestock; and</w:t>
      </w:r>
    </w:p>
    <w:p w14:paraId="7AE0A36D" w14:textId="5929C7F9" w:rsidR="00372B32" w:rsidRDefault="00717D9F" w:rsidP="00DE057B">
      <w:pPr>
        <w:pStyle w:val="Normal1"/>
        <w:numPr>
          <w:ilvl w:val="0"/>
          <w:numId w:val="10"/>
        </w:numPr>
        <w:rPr>
          <w:rFonts w:ascii="Arial" w:eastAsia="Arial" w:hAnsi="Arial" w:cs="Arial"/>
          <w:color w:val="000000"/>
          <w:sz w:val="20"/>
          <w:szCs w:val="20"/>
        </w:rPr>
      </w:pPr>
      <w:r>
        <w:rPr>
          <w:rFonts w:ascii="Arial" w:eastAsia="Arial" w:hAnsi="Arial" w:cs="Arial"/>
          <w:color w:val="000000"/>
          <w:sz w:val="20"/>
          <w:szCs w:val="20"/>
        </w:rPr>
        <w:t>An a</w:t>
      </w:r>
      <w:r w:rsidR="00DE057B" w:rsidRPr="00A76E9E">
        <w:rPr>
          <w:rFonts w:ascii="Arial" w:eastAsia="Arial" w:hAnsi="Arial" w:cs="Arial"/>
          <w:color w:val="000000"/>
          <w:sz w:val="20"/>
          <w:szCs w:val="20"/>
        </w:rPr>
        <w:t>ccredited veterinarian</w:t>
      </w:r>
      <w:r w:rsidR="00A76E9E">
        <w:rPr>
          <w:rFonts w:ascii="Arial" w:eastAsia="Arial" w:hAnsi="Arial" w:cs="Arial"/>
          <w:color w:val="000000"/>
          <w:sz w:val="20"/>
          <w:szCs w:val="20"/>
        </w:rPr>
        <w:t xml:space="preserve"> as a</w:t>
      </w:r>
      <w:r w:rsidR="00DE057B" w:rsidRPr="00A76E9E">
        <w:rPr>
          <w:rFonts w:ascii="Arial" w:eastAsia="Arial" w:hAnsi="Arial" w:cs="Arial"/>
          <w:color w:val="000000"/>
          <w:sz w:val="20"/>
          <w:szCs w:val="20"/>
        </w:rPr>
        <w:t xml:space="preserve"> veterinarian who is accredited under section 4A.07 of the </w:t>
      </w:r>
      <w:r w:rsidR="00DE057B" w:rsidRPr="00A76E9E">
        <w:rPr>
          <w:rFonts w:ascii="Arial" w:eastAsia="Arial" w:hAnsi="Arial" w:cs="Arial"/>
          <w:i/>
          <w:color w:val="000000"/>
          <w:sz w:val="20"/>
          <w:szCs w:val="20"/>
        </w:rPr>
        <w:t xml:space="preserve">Export Control (Animals) Order 2004 </w:t>
      </w:r>
      <w:r w:rsidR="00DE057B" w:rsidRPr="00A76E9E">
        <w:rPr>
          <w:rFonts w:ascii="Arial" w:eastAsia="Arial" w:hAnsi="Arial" w:cs="Arial"/>
          <w:color w:val="000000"/>
          <w:sz w:val="20"/>
          <w:szCs w:val="20"/>
        </w:rPr>
        <w:t>to carry out duties in relation to the export of livestock. Otherwise known as an Australian Gove</w:t>
      </w:r>
      <w:r w:rsidR="00A76E9E">
        <w:rPr>
          <w:rFonts w:ascii="Arial" w:eastAsia="Arial" w:hAnsi="Arial" w:cs="Arial"/>
          <w:color w:val="000000"/>
          <w:sz w:val="20"/>
          <w:szCs w:val="20"/>
        </w:rPr>
        <w:t xml:space="preserve">rnment Accredited Veterinarian. </w:t>
      </w:r>
    </w:p>
    <w:p w14:paraId="4AA03906" w14:textId="77777777" w:rsidR="00A76E9E" w:rsidRDefault="00A76E9E" w:rsidP="00A76E9E">
      <w:pPr>
        <w:pStyle w:val="Normal1"/>
        <w:rPr>
          <w:rFonts w:ascii="Arial" w:eastAsia="Arial" w:hAnsi="Arial" w:cs="Arial"/>
          <w:color w:val="000000"/>
          <w:sz w:val="20"/>
          <w:szCs w:val="20"/>
        </w:rPr>
      </w:pPr>
    </w:p>
    <w:p w14:paraId="7FB88905" w14:textId="73DA4C00" w:rsidR="00A76E9E" w:rsidRDefault="3257FF47" w:rsidP="3257FF47">
      <w:pPr>
        <w:pStyle w:val="Normal1"/>
        <w:rPr>
          <w:rFonts w:ascii="Arial" w:eastAsia="Arial" w:hAnsi="Arial" w:cs="Arial"/>
          <w:color w:val="000000" w:themeColor="text1"/>
          <w:sz w:val="20"/>
          <w:szCs w:val="20"/>
        </w:rPr>
      </w:pPr>
      <w:r w:rsidRPr="3257FF47">
        <w:rPr>
          <w:rFonts w:ascii="Arial" w:eastAsia="Arial" w:hAnsi="Arial" w:cs="Arial"/>
          <w:color w:val="000000" w:themeColor="text1"/>
          <w:sz w:val="20"/>
          <w:szCs w:val="20"/>
        </w:rPr>
        <w:t xml:space="preserve">These are the only roles carrying accreditation which the Draft Standards define. It is notable that the accrediting bodies, </w:t>
      </w:r>
      <w:proofErr w:type="spellStart"/>
      <w:r w:rsidRPr="3257FF47">
        <w:rPr>
          <w:rFonts w:ascii="Arial" w:eastAsia="Arial" w:hAnsi="Arial" w:cs="Arial"/>
          <w:color w:val="000000" w:themeColor="text1"/>
          <w:sz w:val="20"/>
          <w:szCs w:val="20"/>
        </w:rPr>
        <w:t>LiveCorp</w:t>
      </w:r>
      <w:proofErr w:type="spellEnd"/>
      <w:r w:rsidRPr="3257FF47">
        <w:rPr>
          <w:rFonts w:ascii="Arial" w:eastAsia="Arial" w:hAnsi="Arial" w:cs="Arial"/>
          <w:color w:val="000000" w:themeColor="text1"/>
          <w:sz w:val="20"/>
          <w:szCs w:val="20"/>
        </w:rPr>
        <w:t xml:space="preserve"> in the case of stockpersons and the Australian Government in the case of veterinarians, each have an economic interest in the live export industry. Further, the Committee notes that these entities do not have specific and exclusive expertise in the disciplines they accredit.</w:t>
      </w:r>
    </w:p>
    <w:p w14:paraId="31E93AF6" w14:textId="10B02DF0" w:rsidR="00170A13" w:rsidRDefault="001B65B1" w:rsidP="3257FF47">
      <w:pPr>
        <w:pStyle w:val="Normal1"/>
        <w:rPr>
          <w:rFonts w:ascii="Arial" w:eastAsia="Arial" w:hAnsi="Arial" w:cs="Arial"/>
          <w:color w:val="000000" w:themeColor="text1"/>
          <w:sz w:val="20"/>
          <w:szCs w:val="20"/>
        </w:rPr>
      </w:pPr>
      <w:r>
        <w:br/>
      </w:r>
      <w:r w:rsidR="3257FF47" w:rsidRPr="3257FF47">
        <w:rPr>
          <w:rFonts w:ascii="Arial" w:eastAsia="Arial" w:hAnsi="Arial" w:cs="Arial"/>
          <w:color w:val="000000" w:themeColor="text1"/>
          <w:sz w:val="20"/>
          <w:szCs w:val="20"/>
        </w:rPr>
        <w:t xml:space="preserve">The Committee does not suggest that </w:t>
      </w:r>
      <w:proofErr w:type="spellStart"/>
      <w:r w:rsidR="3257FF47" w:rsidRPr="3257FF47">
        <w:rPr>
          <w:rFonts w:ascii="Arial" w:eastAsia="Arial" w:hAnsi="Arial" w:cs="Arial"/>
          <w:color w:val="000000" w:themeColor="text1"/>
          <w:sz w:val="20"/>
          <w:szCs w:val="20"/>
        </w:rPr>
        <w:t>LiveCorp</w:t>
      </w:r>
      <w:proofErr w:type="spellEnd"/>
      <w:r w:rsidR="3257FF47" w:rsidRPr="3257FF47">
        <w:rPr>
          <w:rFonts w:ascii="Arial" w:eastAsia="Arial" w:hAnsi="Arial" w:cs="Arial"/>
          <w:color w:val="000000" w:themeColor="text1"/>
          <w:sz w:val="20"/>
          <w:szCs w:val="20"/>
        </w:rPr>
        <w:t xml:space="preserve"> or the Australian Government should be excluded from the accreditation process entirely</w:t>
      </w:r>
      <w:r w:rsidR="000F7FA3">
        <w:rPr>
          <w:rFonts w:ascii="Arial" w:eastAsia="Arial" w:hAnsi="Arial" w:cs="Arial"/>
          <w:color w:val="000000" w:themeColor="text1"/>
          <w:sz w:val="20"/>
          <w:szCs w:val="20"/>
        </w:rPr>
        <w:t>.</w:t>
      </w:r>
      <w:r w:rsidR="3257FF47" w:rsidRPr="3257FF47">
        <w:rPr>
          <w:rFonts w:ascii="Arial" w:eastAsia="Arial" w:hAnsi="Arial" w:cs="Arial"/>
          <w:color w:val="000000" w:themeColor="text1"/>
          <w:sz w:val="20"/>
          <w:szCs w:val="20"/>
        </w:rPr>
        <w:t xml:space="preserve"> </w:t>
      </w:r>
      <w:r w:rsidR="000F7FA3">
        <w:rPr>
          <w:rFonts w:ascii="Arial" w:eastAsia="Arial" w:hAnsi="Arial" w:cs="Arial"/>
          <w:color w:val="000000" w:themeColor="text1"/>
          <w:sz w:val="20"/>
          <w:szCs w:val="20"/>
        </w:rPr>
        <w:t>H</w:t>
      </w:r>
      <w:r w:rsidR="3257FF47" w:rsidRPr="3257FF47">
        <w:rPr>
          <w:rFonts w:ascii="Arial" w:eastAsia="Arial" w:hAnsi="Arial" w:cs="Arial"/>
          <w:color w:val="000000" w:themeColor="text1"/>
          <w:sz w:val="20"/>
          <w:szCs w:val="20"/>
        </w:rPr>
        <w:t xml:space="preserve">owever, in the interests of independence and transparency, entities with relevant expertise in animal management and veterinary science, such as the Australian Veterinary Association or the Royal Society for the Prevention of Cruelty to Animals should be involved in accrediting individuals for the purposes of employment on live export vessels. </w:t>
      </w:r>
    </w:p>
    <w:p w14:paraId="7EB85C0A" w14:textId="77777777" w:rsidR="00170A13" w:rsidRDefault="00170A13" w:rsidP="00A76E9E">
      <w:pPr>
        <w:pStyle w:val="Normal1"/>
        <w:rPr>
          <w:rFonts w:ascii="Arial" w:eastAsia="Arial" w:hAnsi="Arial" w:cs="Arial"/>
          <w:color w:val="000000"/>
          <w:sz w:val="20"/>
          <w:szCs w:val="20"/>
        </w:rPr>
      </w:pPr>
    </w:p>
    <w:p w14:paraId="6A43EBB8" w14:textId="44AFE713" w:rsidR="001B65B1" w:rsidRDefault="3257FF47" w:rsidP="3257FF47">
      <w:pPr>
        <w:pStyle w:val="Normal1"/>
        <w:rPr>
          <w:rFonts w:ascii="Arial" w:eastAsia="Arial" w:hAnsi="Arial" w:cs="Arial"/>
          <w:color w:val="000000" w:themeColor="text1"/>
          <w:sz w:val="20"/>
          <w:szCs w:val="20"/>
        </w:rPr>
      </w:pPr>
      <w:r w:rsidRPr="3257FF47">
        <w:rPr>
          <w:rFonts w:ascii="Arial" w:eastAsia="Arial" w:hAnsi="Arial" w:cs="Arial"/>
          <w:color w:val="000000" w:themeColor="text1"/>
          <w:sz w:val="20"/>
          <w:szCs w:val="20"/>
        </w:rPr>
        <w:t xml:space="preserve">Insofar as this would require an amendment to the </w:t>
      </w:r>
      <w:r w:rsidRPr="3257FF47">
        <w:rPr>
          <w:rFonts w:ascii="Arial" w:eastAsia="Arial" w:hAnsi="Arial" w:cs="Arial"/>
          <w:i/>
          <w:iCs/>
          <w:color w:val="000000" w:themeColor="text1"/>
          <w:sz w:val="20"/>
          <w:szCs w:val="20"/>
        </w:rPr>
        <w:t xml:space="preserve">Export Control (Animals) Order 2004, </w:t>
      </w:r>
      <w:r w:rsidRPr="3257FF47">
        <w:rPr>
          <w:rFonts w:ascii="Arial" w:eastAsia="Arial" w:hAnsi="Arial" w:cs="Arial"/>
          <w:color w:val="000000" w:themeColor="text1"/>
          <w:sz w:val="20"/>
          <w:szCs w:val="20"/>
        </w:rPr>
        <w:t xml:space="preserve">the Committee notes that the </w:t>
      </w:r>
      <w:r w:rsidRPr="3257FF47">
        <w:rPr>
          <w:rFonts w:ascii="Arial" w:eastAsia="Arial" w:hAnsi="Arial" w:cs="Arial"/>
          <w:i/>
          <w:iCs/>
          <w:color w:val="000000" w:themeColor="text1"/>
          <w:sz w:val="20"/>
          <w:szCs w:val="20"/>
        </w:rPr>
        <w:t xml:space="preserve">Order </w:t>
      </w:r>
      <w:r w:rsidRPr="3257FF47">
        <w:rPr>
          <w:rFonts w:ascii="Arial" w:eastAsia="Arial" w:hAnsi="Arial" w:cs="Arial"/>
          <w:color w:val="000000" w:themeColor="text1"/>
          <w:sz w:val="20"/>
          <w:szCs w:val="20"/>
        </w:rPr>
        <w:t xml:space="preserve">is delegated legislation and does not require the passage of an Act of Parliament to be amended.  </w:t>
      </w:r>
    </w:p>
    <w:p w14:paraId="0FB4E875" w14:textId="1CA42887" w:rsidR="004B6853" w:rsidRDefault="004B6853" w:rsidP="004B6853">
      <w:pPr>
        <w:pStyle w:val="Normal1"/>
        <w:pBdr>
          <w:top w:val="nil"/>
          <w:left w:val="nil"/>
          <w:bottom w:val="nil"/>
          <w:right w:val="nil"/>
          <w:between w:val="nil"/>
        </w:pBdr>
        <w:spacing w:before="120" w:line="360" w:lineRule="auto"/>
        <w:rPr>
          <w:rFonts w:ascii="Arial" w:eastAsia="Arial" w:hAnsi="Arial" w:cs="Arial"/>
          <w:b/>
          <w:color w:val="000000"/>
          <w:sz w:val="28"/>
          <w:szCs w:val="28"/>
        </w:rPr>
      </w:pPr>
      <w:r>
        <w:rPr>
          <w:rFonts w:ascii="Arial" w:eastAsia="Arial" w:hAnsi="Arial" w:cs="Arial"/>
          <w:b/>
          <w:color w:val="000000"/>
          <w:sz w:val="28"/>
          <w:szCs w:val="28"/>
        </w:rPr>
        <w:t>Regulatory approach</w:t>
      </w:r>
    </w:p>
    <w:p w14:paraId="00683D97" w14:textId="3663DEDD" w:rsidR="004B6853" w:rsidRDefault="004B6853" w:rsidP="004B6853">
      <w:pPr>
        <w:pStyle w:val="Normal1"/>
        <w:rPr>
          <w:rFonts w:ascii="Arial" w:eastAsia="Arial" w:hAnsi="Arial" w:cs="Arial"/>
          <w:color w:val="000000"/>
          <w:sz w:val="20"/>
          <w:szCs w:val="20"/>
        </w:rPr>
      </w:pPr>
      <w:r>
        <w:rPr>
          <w:rFonts w:ascii="Arial" w:eastAsia="Arial" w:hAnsi="Arial" w:cs="Arial"/>
          <w:color w:val="000000"/>
          <w:sz w:val="20"/>
          <w:szCs w:val="20"/>
        </w:rPr>
        <w:t>The Stage 2: Draft Report states as follows:</w:t>
      </w:r>
    </w:p>
    <w:p w14:paraId="312FF365" w14:textId="77777777" w:rsidR="004B6853" w:rsidRDefault="004B6853" w:rsidP="004B6853">
      <w:pPr>
        <w:pStyle w:val="Normal1"/>
        <w:rPr>
          <w:rFonts w:ascii="Arial" w:eastAsia="Arial" w:hAnsi="Arial" w:cs="Arial"/>
          <w:color w:val="000000"/>
          <w:sz w:val="20"/>
          <w:szCs w:val="20"/>
        </w:rPr>
      </w:pPr>
    </w:p>
    <w:p w14:paraId="4EFC34C3" w14:textId="0EC6F271" w:rsidR="004B6853" w:rsidRPr="00986A13" w:rsidRDefault="004B6853" w:rsidP="00986A13">
      <w:pPr>
        <w:pStyle w:val="Normal1"/>
        <w:ind w:left="720"/>
        <w:rPr>
          <w:rFonts w:ascii="Arial" w:eastAsia="Arial" w:hAnsi="Arial" w:cs="Arial"/>
          <w:color w:val="000000"/>
          <w:sz w:val="18"/>
          <w:szCs w:val="18"/>
        </w:rPr>
      </w:pPr>
      <w:r w:rsidRPr="00986A13">
        <w:rPr>
          <w:rFonts w:ascii="Arial" w:eastAsia="Arial" w:hAnsi="Arial" w:cs="Arial"/>
          <w:color w:val="000000"/>
          <w:sz w:val="18"/>
          <w:szCs w:val="18"/>
        </w:rPr>
        <w:t>The committee is mindful that the current ASEL is predominately an input based regulation model. It assumes that if the inputs are controlled then a satisfactory animal welfare outcome will follow.</w:t>
      </w:r>
    </w:p>
    <w:p w14:paraId="328CB869" w14:textId="77777777" w:rsidR="00986A13" w:rsidRPr="00986A13" w:rsidRDefault="00986A13" w:rsidP="00986A13">
      <w:pPr>
        <w:pStyle w:val="Normal1"/>
        <w:ind w:left="720"/>
        <w:rPr>
          <w:rFonts w:ascii="Arial" w:eastAsia="Arial" w:hAnsi="Arial" w:cs="Arial"/>
          <w:color w:val="000000"/>
          <w:sz w:val="18"/>
          <w:szCs w:val="18"/>
        </w:rPr>
      </w:pPr>
    </w:p>
    <w:p w14:paraId="3C80ECDD" w14:textId="77777777" w:rsidR="004B6853" w:rsidRPr="00986A13" w:rsidRDefault="004B6853" w:rsidP="00986A13">
      <w:pPr>
        <w:pStyle w:val="Normal1"/>
        <w:ind w:left="720"/>
        <w:rPr>
          <w:rFonts w:ascii="Arial" w:eastAsia="Arial" w:hAnsi="Arial" w:cs="Arial"/>
          <w:color w:val="000000"/>
          <w:sz w:val="18"/>
          <w:szCs w:val="18"/>
        </w:rPr>
      </w:pPr>
      <w:r w:rsidRPr="00986A13">
        <w:rPr>
          <w:rFonts w:ascii="Arial" w:eastAsia="Arial" w:hAnsi="Arial" w:cs="Arial"/>
          <w:color w:val="000000"/>
          <w:sz w:val="18"/>
          <w:szCs w:val="18"/>
        </w:rPr>
        <w:t>However, best practice regulation is to focus on the outcomes desired and to promote compliance via incentive based mechanisms as well as input based processes. This encourages innovation in achieving the desired outcomes rather than simply ‘ticking the boxes’ to demonstrate compliance with the regulation.</w:t>
      </w:r>
    </w:p>
    <w:p w14:paraId="5B8B5AF3" w14:textId="77777777" w:rsidR="00986A13" w:rsidRPr="00986A13" w:rsidRDefault="00986A13" w:rsidP="00986A13">
      <w:pPr>
        <w:pStyle w:val="Normal1"/>
        <w:ind w:left="720"/>
        <w:rPr>
          <w:rFonts w:ascii="Arial" w:eastAsia="Arial" w:hAnsi="Arial" w:cs="Arial"/>
          <w:color w:val="000000"/>
          <w:sz w:val="18"/>
          <w:szCs w:val="18"/>
        </w:rPr>
      </w:pPr>
    </w:p>
    <w:p w14:paraId="3069A744" w14:textId="3ECFAE05" w:rsidR="004B6853" w:rsidRPr="00986A13" w:rsidRDefault="3257FF47" w:rsidP="3257FF47">
      <w:pPr>
        <w:pStyle w:val="Normal1"/>
        <w:ind w:left="720"/>
        <w:rPr>
          <w:rFonts w:ascii="Arial" w:eastAsia="Arial" w:hAnsi="Arial" w:cs="Arial"/>
          <w:color w:val="000000" w:themeColor="text1"/>
          <w:sz w:val="18"/>
          <w:szCs w:val="18"/>
        </w:rPr>
      </w:pPr>
      <w:r w:rsidRPr="3257FF47">
        <w:rPr>
          <w:rFonts w:ascii="Arial" w:eastAsia="Arial" w:hAnsi="Arial" w:cs="Arial"/>
          <w:color w:val="000000" w:themeColor="text1"/>
          <w:sz w:val="18"/>
          <w:szCs w:val="18"/>
        </w:rPr>
        <w:t>An input based regulation model assumes that there is only one way – the regulated way – to achieve the desired outcomes. Achieving good animal welfare outcomes can be achieved by different combinations of factors and the proportion of each…</w:t>
      </w:r>
    </w:p>
    <w:p w14:paraId="4053CDB5" w14:textId="77777777" w:rsidR="00986A13" w:rsidRPr="00986A13" w:rsidRDefault="00986A13" w:rsidP="00986A13">
      <w:pPr>
        <w:pStyle w:val="Normal1"/>
        <w:ind w:left="720"/>
        <w:rPr>
          <w:rFonts w:ascii="Arial" w:eastAsia="Arial" w:hAnsi="Arial" w:cs="Arial"/>
          <w:color w:val="000000"/>
          <w:sz w:val="18"/>
          <w:szCs w:val="18"/>
        </w:rPr>
      </w:pPr>
    </w:p>
    <w:p w14:paraId="2602AF9E" w14:textId="55CE72B6" w:rsidR="00D52FC4" w:rsidRDefault="00986A13" w:rsidP="005B0C35">
      <w:pPr>
        <w:pStyle w:val="Normal1"/>
        <w:ind w:left="720"/>
        <w:rPr>
          <w:rFonts w:ascii="Arial" w:eastAsia="Arial" w:hAnsi="Arial" w:cs="Arial"/>
          <w:color w:val="000000"/>
          <w:sz w:val="20"/>
          <w:szCs w:val="20"/>
        </w:rPr>
      </w:pPr>
      <w:r w:rsidRPr="00986A13">
        <w:rPr>
          <w:rFonts w:ascii="Arial" w:eastAsia="Arial" w:hAnsi="Arial" w:cs="Arial"/>
          <w:color w:val="000000"/>
          <w:sz w:val="18"/>
          <w:szCs w:val="18"/>
        </w:rPr>
        <w:t>The committee accepts that there needs to be a minimum set of requirements and has outlined these in earlier chapters. Minimum standards and enforcement are essential if the public is to regain trust in the system. But it also believes that there should be scope for the Regulator to reward superior performance based on demonstrated outcomes. It has the data to identify those operators who consistently achieve better welfare outcomes including low mortality and other reportable incidents and those that do not. The AAVs—and now independent observers—are able to report on the results of innovative practices being used and their results, and how different combinations of inputs can achieve the same or better outcomes. This should be encouraged, not discouraged by limiting operators to just the requirements of the standard and not considering alternative, innovative ways in which to achieve the desired welfare outcomes.</w:t>
      </w:r>
      <w:r w:rsidR="002C2FCC">
        <w:rPr>
          <w:rStyle w:val="FootnoteReference"/>
          <w:rFonts w:ascii="Arial" w:eastAsia="Arial" w:hAnsi="Arial" w:cs="Arial"/>
          <w:color w:val="000000"/>
          <w:sz w:val="18"/>
          <w:szCs w:val="18"/>
        </w:rPr>
        <w:footnoteReference w:id="4"/>
      </w:r>
    </w:p>
    <w:p w14:paraId="3BD841F3" w14:textId="77777777" w:rsidR="005B0C35" w:rsidRPr="005B0C35" w:rsidRDefault="005B0C35" w:rsidP="005B0C35">
      <w:pPr>
        <w:pStyle w:val="Normal1"/>
        <w:ind w:left="720"/>
        <w:rPr>
          <w:rFonts w:ascii="Arial" w:eastAsia="Arial" w:hAnsi="Arial" w:cs="Arial"/>
          <w:color w:val="000000"/>
          <w:sz w:val="20"/>
          <w:szCs w:val="20"/>
        </w:rPr>
      </w:pPr>
    </w:p>
    <w:p w14:paraId="0310B4EF" w14:textId="77777777" w:rsidR="00C26A9A" w:rsidRDefault="3257FF47">
      <w:pPr>
        <w:pStyle w:val="Normal1"/>
        <w:spacing w:line="360" w:lineRule="auto"/>
        <w:rPr>
          <w:rFonts w:ascii="Arial" w:eastAsia="Arial" w:hAnsi="Arial" w:cs="Arial"/>
          <w:sz w:val="20"/>
          <w:szCs w:val="20"/>
        </w:rPr>
      </w:pPr>
      <w:r w:rsidRPr="3257FF47">
        <w:rPr>
          <w:rFonts w:ascii="Arial" w:eastAsia="Arial" w:hAnsi="Arial" w:cs="Arial"/>
          <w:sz w:val="20"/>
          <w:szCs w:val="20"/>
        </w:rPr>
        <w:t>The Committee is particularly concerned with this aspect of the Draft Report.</w:t>
      </w:r>
    </w:p>
    <w:p w14:paraId="539D6415" w14:textId="5EEB94DA" w:rsidR="3257FF47" w:rsidRDefault="3257FF47" w:rsidP="3257FF47">
      <w:pPr>
        <w:pStyle w:val="Normal1"/>
        <w:spacing w:line="360" w:lineRule="auto"/>
        <w:rPr>
          <w:rFonts w:ascii="Arial" w:eastAsia="Arial" w:hAnsi="Arial" w:cs="Arial"/>
          <w:sz w:val="20"/>
          <w:szCs w:val="20"/>
        </w:rPr>
      </w:pPr>
    </w:p>
    <w:p w14:paraId="3968771A" w14:textId="749F8B48" w:rsidR="00C26A9A" w:rsidRDefault="00C26A9A" w:rsidP="3257FF47">
      <w:pPr>
        <w:pStyle w:val="Normal1"/>
        <w:spacing w:line="360" w:lineRule="auto"/>
        <w:rPr>
          <w:rFonts w:ascii="Arial" w:eastAsia="Arial" w:hAnsi="Arial" w:cs="Arial"/>
          <w:sz w:val="20"/>
          <w:szCs w:val="20"/>
        </w:rPr>
      </w:pPr>
      <w:r>
        <w:rPr>
          <w:rFonts w:ascii="Arial" w:eastAsia="Arial" w:hAnsi="Arial" w:cs="Arial"/>
          <w:sz w:val="20"/>
          <w:szCs w:val="20"/>
        </w:rPr>
        <w:t>First, the suggestion of the second paragraph extracted above, being that best practice regulation involves a combination of input and incentive based regulation, overlooks the fact that participation in an industry such as the live animal export trade, given the impact upon those animals</w:t>
      </w:r>
      <w:r w:rsidR="002E5D8F">
        <w:rPr>
          <w:rFonts w:ascii="Arial" w:eastAsia="Arial" w:hAnsi="Arial" w:cs="Arial"/>
          <w:strike/>
          <w:sz w:val="20"/>
          <w:szCs w:val="20"/>
        </w:rPr>
        <w:t xml:space="preserve">, </w:t>
      </w:r>
      <w:r>
        <w:rPr>
          <w:rFonts w:ascii="Arial" w:eastAsia="Arial" w:hAnsi="Arial" w:cs="Arial"/>
          <w:sz w:val="20"/>
          <w:szCs w:val="20"/>
        </w:rPr>
        <w:t>is a privilege, not an entitlement. Strict compliance should be a baseline expectation, and violations should be met with substantial penalties</w:t>
      </w:r>
      <w:r w:rsidR="005B0C35">
        <w:rPr>
          <w:rFonts w:ascii="Arial" w:eastAsia="Arial" w:hAnsi="Arial" w:cs="Arial"/>
          <w:sz w:val="20"/>
          <w:szCs w:val="20"/>
        </w:rPr>
        <w:t xml:space="preserve"> to ensure a deterrence effect</w:t>
      </w:r>
      <w:r>
        <w:rPr>
          <w:rFonts w:ascii="Arial" w:eastAsia="Arial" w:hAnsi="Arial" w:cs="Arial"/>
          <w:sz w:val="20"/>
          <w:szCs w:val="20"/>
        </w:rPr>
        <w:t>. If participants</w:t>
      </w:r>
      <w:r w:rsidR="005B0C35">
        <w:rPr>
          <w:rFonts w:ascii="Arial" w:eastAsia="Arial" w:hAnsi="Arial" w:cs="Arial"/>
          <w:sz w:val="20"/>
          <w:szCs w:val="20"/>
        </w:rPr>
        <w:t xml:space="preserve"> are not unconditionally prepared to comply with the standards, and instead</w:t>
      </w:r>
      <w:r>
        <w:rPr>
          <w:rFonts w:ascii="Arial" w:eastAsia="Arial" w:hAnsi="Arial" w:cs="Arial"/>
          <w:sz w:val="20"/>
          <w:szCs w:val="20"/>
        </w:rPr>
        <w:t xml:space="preserve"> require incentives </w:t>
      </w:r>
      <w:r w:rsidR="005B0C35">
        <w:rPr>
          <w:rFonts w:ascii="Arial" w:eastAsia="Arial" w:hAnsi="Arial" w:cs="Arial"/>
          <w:sz w:val="20"/>
          <w:szCs w:val="20"/>
        </w:rPr>
        <w:t>to do so,</w:t>
      </w:r>
      <w:r>
        <w:rPr>
          <w:rFonts w:ascii="Arial" w:eastAsia="Arial" w:hAnsi="Arial" w:cs="Arial"/>
          <w:sz w:val="20"/>
          <w:szCs w:val="20"/>
        </w:rPr>
        <w:t xml:space="preserve"> they should </w:t>
      </w:r>
      <w:r w:rsidR="005B0C35">
        <w:rPr>
          <w:rFonts w:ascii="Arial" w:eastAsia="Arial" w:hAnsi="Arial" w:cs="Arial"/>
          <w:sz w:val="20"/>
          <w:szCs w:val="20"/>
        </w:rPr>
        <w:t>no longer be</w:t>
      </w:r>
      <w:r>
        <w:rPr>
          <w:rFonts w:ascii="Arial" w:eastAsia="Arial" w:hAnsi="Arial" w:cs="Arial"/>
          <w:sz w:val="20"/>
          <w:szCs w:val="20"/>
        </w:rPr>
        <w:t xml:space="preserve"> permitted to </w:t>
      </w:r>
      <w:r w:rsidR="005B0C35">
        <w:rPr>
          <w:rFonts w:ascii="Arial" w:eastAsia="Arial" w:hAnsi="Arial" w:cs="Arial"/>
          <w:sz w:val="20"/>
          <w:szCs w:val="20"/>
        </w:rPr>
        <w:t xml:space="preserve">participate in the industry. </w:t>
      </w:r>
      <w:r>
        <w:rPr>
          <w:rFonts w:ascii="Arial" w:eastAsia="Arial" w:hAnsi="Arial" w:cs="Arial"/>
          <w:sz w:val="20"/>
          <w:szCs w:val="20"/>
        </w:rPr>
        <w:t xml:space="preserve"> </w:t>
      </w:r>
    </w:p>
    <w:p w14:paraId="77AE00BA" w14:textId="77777777" w:rsidR="00C26A9A" w:rsidRDefault="00C26A9A">
      <w:pPr>
        <w:pStyle w:val="Normal1"/>
        <w:spacing w:line="360" w:lineRule="auto"/>
        <w:rPr>
          <w:rFonts w:ascii="Arial" w:eastAsia="Arial" w:hAnsi="Arial" w:cs="Arial"/>
          <w:sz w:val="20"/>
          <w:szCs w:val="20"/>
        </w:rPr>
      </w:pPr>
    </w:p>
    <w:p w14:paraId="349BFE3E" w14:textId="6E843ED4" w:rsidR="00C26A9A" w:rsidRDefault="3257FF47" w:rsidP="3257FF47">
      <w:pPr>
        <w:pStyle w:val="Normal1"/>
        <w:spacing w:line="360" w:lineRule="auto"/>
        <w:rPr>
          <w:rFonts w:ascii="Arial" w:eastAsia="Arial" w:hAnsi="Arial" w:cs="Arial"/>
          <w:sz w:val="20"/>
          <w:szCs w:val="20"/>
        </w:rPr>
      </w:pPr>
      <w:r w:rsidRPr="3257FF47">
        <w:rPr>
          <w:rFonts w:ascii="Arial" w:eastAsia="Arial" w:hAnsi="Arial" w:cs="Arial"/>
          <w:sz w:val="20"/>
          <w:szCs w:val="20"/>
        </w:rPr>
        <w:t xml:space="preserve">Secondly, the Committee strongly opposes the inclusion of any scope within the regulatory framework for derogation from the </w:t>
      </w:r>
      <w:r w:rsidR="002E5D8F">
        <w:rPr>
          <w:rFonts w:ascii="Arial" w:eastAsia="Arial" w:hAnsi="Arial" w:cs="Arial"/>
          <w:sz w:val="20"/>
          <w:szCs w:val="20"/>
        </w:rPr>
        <w:t>baseline</w:t>
      </w:r>
      <w:r w:rsidR="002E5D8F" w:rsidRPr="3257FF47">
        <w:rPr>
          <w:rFonts w:ascii="Arial" w:eastAsia="Arial" w:hAnsi="Arial" w:cs="Arial"/>
          <w:sz w:val="20"/>
          <w:szCs w:val="20"/>
        </w:rPr>
        <w:t xml:space="preserve"> </w:t>
      </w:r>
      <w:r w:rsidRPr="3257FF47">
        <w:rPr>
          <w:rFonts w:ascii="Arial" w:eastAsia="Arial" w:hAnsi="Arial" w:cs="Arial"/>
          <w:sz w:val="20"/>
          <w:szCs w:val="20"/>
        </w:rPr>
        <w:t xml:space="preserve">standards. Not only would such an approach complicate the administration of the legislative instruments regulating the industry, it </w:t>
      </w:r>
      <w:r w:rsidR="000F7FA3">
        <w:rPr>
          <w:rFonts w:ascii="Arial" w:eastAsia="Arial" w:hAnsi="Arial" w:cs="Arial"/>
          <w:sz w:val="20"/>
          <w:szCs w:val="20"/>
        </w:rPr>
        <w:t xml:space="preserve">would </w:t>
      </w:r>
      <w:r w:rsidRPr="3257FF47">
        <w:rPr>
          <w:rFonts w:ascii="Arial" w:eastAsia="Arial" w:hAnsi="Arial" w:cs="Arial"/>
          <w:sz w:val="20"/>
          <w:szCs w:val="20"/>
        </w:rPr>
        <w:t>also represent a clear attempt to construct a mechanism by which participants can circumvent obligations to which they would otherwise be subject. The Committee encourages the development of innovative strategies for the improvement of animal welfare in the live export industry that ensure participants can meet or exceed baseline standards</w:t>
      </w:r>
      <w:r w:rsidR="00C02240">
        <w:rPr>
          <w:rFonts w:ascii="Arial" w:eastAsia="Arial" w:hAnsi="Arial" w:cs="Arial"/>
          <w:sz w:val="20"/>
          <w:szCs w:val="20"/>
        </w:rPr>
        <w:t xml:space="preserve">; however, </w:t>
      </w:r>
      <w:r w:rsidR="004775C3">
        <w:rPr>
          <w:rFonts w:ascii="Arial" w:eastAsia="Arial" w:hAnsi="Arial" w:cs="Arial"/>
          <w:sz w:val="20"/>
          <w:szCs w:val="20"/>
        </w:rPr>
        <w:t xml:space="preserve">the implementation of </w:t>
      </w:r>
      <w:r w:rsidR="00C02240">
        <w:rPr>
          <w:rFonts w:ascii="Arial" w:eastAsia="Arial" w:hAnsi="Arial" w:cs="Arial"/>
          <w:sz w:val="20"/>
          <w:szCs w:val="20"/>
        </w:rPr>
        <w:t xml:space="preserve">such strategies should not be </w:t>
      </w:r>
      <w:r w:rsidR="004775C3">
        <w:rPr>
          <w:rFonts w:ascii="Arial" w:eastAsia="Arial" w:hAnsi="Arial" w:cs="Arial"/>
          <w:sz w:val="20"/>
          <w:szCs w:val="20"/>
        </w:rPr>
        <w:t>relied on</w:t>
      </w:r>
      <w:r w:rsidR="00C02240">
        <w:rPr>
          <w:rFonts w:ascii="Arial" w:eastAsia="Arial" w:hAnsi="Arial" w:cs="Arial"/>
          <w:sz w:val="20"/>
          <w:szCs w:val="20"/>
        </w:rPr>
        <w:t xml:space="preserve"> as a justification for departing from foundational standards</w:t>
      </w:r>
      <w:r w:rsidRPr="3257FF47">
        <w:rPr>
          <w:rFonts w:ascii="Arial" w:eastAsia="Arial" w:hAnsi="Arial" w:cs="Arial"/>
          <w:sz w:val="20"/>
          <w:szCs w:val="20"/>
        </w:rPr>
        <w:t xml:space="preserve">.  </w:t>
      </w:r>
    </w:p>
    <w:p w14:paraId="0C13AF66" w14:textId="06CAFEC2" w:rsidR="00986A13" w:rsidRPr="00986A13" w:rsidRDefault="00C26A9A">
      <w:pPr>
        <w:pStyle w:val="Normal1"/>
        <w:spacing w:line="360" w:lineRule="auto"/>
        <w:rPr>
          <w:rFonts w:ascii="Arial" w:eastAsia="Arial" w:hAnsi="Arial" w:cs="Arial"/>
          <w:sz w:val="20"/>
          <w:szCs w:val="20"/>
        </w:rPr>
      </w:pPr>
      <w:r>
        <w:rPr>
          <w:rFonts w:ascii="Arial" w:eastAsia="Arial" w:hAnsi="Arial" w:cs="Arial"/>
          <w:sz w:val="20"/>
          <w:szCs w:val="20"/>
        </w:rPr>
        <w:t xml:space="preserve"> </w:t>
      </w:r>
      <w:r w:rsidR="00986A13">
        <w:rPr>
          <w:rFonts w:ascii="Arial" w:eastAsia="Arial" w:hAnsi="Arial" w:cs="Arial"/>
          <w:sz w:val="20"/>
          <w:szCs w:val="20"/>
        </w:rPr>
        <w:t xml:space="preserve"> </w:t>
      </w:r>
    </w:p>
    <w:p w14:paraId="50181298" w14:textId="77777777" w:rsidR="00D52FC4" w:rsidRDefault="004237BD">
      <w:pPr>
        <w:pStyle w:val="Heading3"/>
      </w:pPr>
      <w:r>
        <w:t>Concluding Comments</w:t>
      </w:r>
    </w:p>
    <w:p w14:paraId="468E3506" w14:textId="77777777" w:rsidR="00CC7296" w:rsidRDefault="009B6BD7">
      <w:pPr>
        <w:pStyle w:val="Normal1"/>
        <w:pBdr>
          <w:top w:val="nil"/>
          <w:left w:val="nil"/>
          <w:bottom w:val="nil"/>
          <w:right w:val="nil"/>
          <w:between w:val="nil"/>
        </w:pBdr>
        <w:spacing w:before="120" w:line="360" w:lineRule="auto"/>
        <w:rPr>
          <w:rFonts w:ascii="Arial" w:eastAsia="Arial" w:hAnsi="Arial" w:cs="Arial"/>
          <w:color w:val="0D0D0D"/>
          <w:sz w:val="20"/>
          <w:szCs w:val="20"/>
        </w:rPr>
      </w:pPr>
      <w:r w:rsidRPr="009B6BD7">
        <w:rPr>
          <w:rFonts w:ascii="Arial" w:eastAsia="Arial" w:hAnsi="Arial" w:cs="Arial"/>
          <w:sz w:val="20"/>
          <w:szCs w:val="20"/>
        </w:rPr>
        <w:t>NSW Young Lawyers and the Committee thank you for the opportunity to make this submission.  If you have any queries or require further submissions please contact the undersigned at your convenience.</w:t>
      </w:r>
    </w:p>
    <w:p w14:paraId="5894FEEB" w14:textId="536D1545" w:rsidR="00D52FC4" w:rsidRDefault="00D52FC4">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1AD5DD13" w14:textId="198ECFB0" w:rsidR="007A366A"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16C245BE" w14:textId="35FA4358" w:rsidR="007A366A"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5CF65F15" w14:textId="72AA99D8" w:rsidR="007A366A"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15DCDEEB" w14:textId="5560A321" w:rsidR="007A366A"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775F06F2" w14:textId="139A6994" w:rsidR="007A366A"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25D10964" w14:textId="5F6204C3" w:rsidR="007A366A"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4E5D98F6" w14:textId="77C1F353" w:rsidR="007A366A"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66A0AED0" w14:textId="3D5F3E8D" w:rsidR="007A366A"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05EE916F" w14:textId="77777777" w:rsidR="007A366A"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p>
    <w:tbl>
      <w:tblPr>
        <w:tblStyle w:val="a"/>
        <w:tblW w:w="9808" w:type="dxa"/>
        <w:tblInd w:w="-142" w:type="dxa"/>
        <w:tblLayout w:type="fixed"/>
        <w:tblLook w:val="0400" w:firstRow="0" w:lastRow="0" w:firstColumn="0" w:lastColumn="0" w:noHBand="0" w:noVBand="1"/>
      </w:tblPr>
      <w:tblGrid>
        <w:gridCol w:w="4917"/>
        <w:gridCol w:w="4891"/>
      </w:tblGrid>
      <w:tr w:rsidR="00D52FC4" w14:paraId="0A361EAC" w14:textId="77777777" w:rsidTr="007A366A">
        <w:trPr>
          <w:trHeight w:val="300"/>
        </w:trPr>
        <w:tc>
          <w:tcPr>
            <w:tcW w:w="4917" w:type="dxa"/>
            <w:tcBorders>
              <w:top w:val="nil"/>
              <w:left w:val="nil"/>
              <w:bottom w:val="nil"/>
              <w:right w:val="nil"/>
            </w:tcBorders>
            <w:shd w:val="clear" w:color="auto" w:fill="FFFFFF" w:themeFill="background1"/>
            <w:tcMar>
              <w:top w:w="80" w:type="dxa"/>
              <w:left w:w="0" w:type="dxa"/>
              <w:bottom w:w="80" w:type="dxa"/>
              <w:right w:w="0" w:type="dxa"/>
            </w:tcMar>
          </w:tcPr>
          <w:p w14:paraId="309A75DD" w14:textId="275E1570" w:rsidR="00D52FC4" w:rsidRPr="007A366A" w:rsidRDefault="004237BD">
            <w:pPr>
              <w:pStyle w:val="Normal1"/>
              <w:pBdr>
                <w:top w:val="nil"/>
                <w:left w:val="nil"/>
                <w:bottom w:val="nil"/>
                <w:right w:val="nil"/>
                <w:between w:val="nil"/>
              </w:pBdr>
              <w:spacing w:before="120" w:line="240" w:lineRule="auto"/>
              <w:rPr>
                <w:rFonts w:ascii="Arial" w:eastAsia="Arial" w:hAnsi="Arial" w:cs="Arial"/>
                <w:b/>
                <w:color w:val="0D0D0D"/>
                <w:sz w:val="20"/>
                <w:szCs w:val="20"/>
              </w:rPr>
            </w:pPr>
            <w:r>
              <w:rPr>
                <w:rFonts w:ascii="Arial" w:eastAsia="Arial" w:hAnsi="Arial" w:cs="Arial"/>
                <w:b/>
                <w:color w:val="0D0D0D"/>
                <w:sz w:val="20"/>
                <w:szCs w:val="20"/>
              </w:rPr>
              <w:t>Contact:</w:t>
            </w:r>
          </w:p>
          <w:p w14:paraId="30A86306" w14:textId="77777777" w:rsidR="00D52FC4" w:rsidRDefault="00D52FC4">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57444141" w14:textId="303F1932" w:rsidR="00D52FC4"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r>
              <w:rPr>
                <w:rFonts w:ascii="Arial" w:eastAsia="Arial" w:hAnsi="Arial" w:cs="Arial"/>
                <w:noProof/>
                <w:color w:val="0D0D0D"/>
                <w:sz w:val="20"/>
                <w:szCs w:val="20"/>
                <w:lang w:val="en-AU"/>
              </w:rPr>
              <w:drawing>
                <wp:inline distT="0" distB="0" distL="0" distR="0" wp14:anchorId="2B1AC937" wp14:editId="3DA6043E">
                  <wp:extent cx="1554480" cy="108521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085215"/>
                          </a:xfrm>
                          <a:prstGeom prst="rect">
                            <a:avLst/>
                          </a:prstGeom>
                          <a:noFill/>
                        </pic:spPr>
                      </pic:pic>
                    </a:graphicData>
                  </a:graphic>
                </wp:inline>
              </w:drawing>
            </w:r>
          </w:p>
          <w:p w14:paraId="2C17C7F0" w14:textId="77777777" w:rsidR="007A366A" w:rsidRDefault="007A366A" w:rsidP="3257FF47">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70882D68" w14:textId="006B3689" w:rsidR="00D52FC4" w:rsidRDefault="3257FF47" w:rsidP="3257FF47">
            <w:pPr>
              <w:pStyle w:val="Normal1"/>
              <w:pBdr>
                <w:top w:val="nil"/>
                <w:left w:val="nil"/>
                <w:bottom w:val="nil"/>
                <w:right w:val="nil"/>
                <w:between w:val="nil"/>
              </w:pBdr>
              <w:spacing w:before="120" w:line="240" w:lineRule="auto"/>
              <w:rPr>
                <w:rFonts w:ascii="Arial" w:eastAsia="Arial" w:hAnsi="Arial" w:cs="Arial"/>
                <w:b/>
                <w:bCs/>
                <w:color w:val="0D0D0D" w:themeColor="text1" w:themeTint="F2"/>
                <w:sz w:val="20"/>
                <w:szCs w:val="20"/>
              </w:rPr>
            </w:pPr>
            <w:r w:rsidRPr="3257FF47">
              <w:rPr>
                <w:rFonts w:ascii="Arial" w:eastAsia="Arial" w:hAnsi="Arial" w:cs="Arial"/>
                <w:b/>
                <w:bCs/>
                <w:color w:val="0D0D0D" w:themeColor="text1" w:themeTint="F2"/>
                <w:sz w:val="20"/>
                <w:szCs w:val="20"/>
              </w:rPr>
              <w:t>Jennifer Windsor</w:t>
            </w:r>
          </w:p>
          <w:p w14:paraId="3342E3F8" w14:textId="77777777" w:rsidR="00D52FC4" w:rsidRDefault="004237BD">
            <w:pPr>
              <w:pStyle w:val="Normal1"/>
              <w:pBdr>
                <w:top w:val="nil"/>
                <w:left w:val="nil"/>
                <w:bottom w:val="nil"/>
                <w:right w:val="nil"/>
                <w:between w:val="nil"/>
              </w:pBdr>
              <w:spacing w:before="120" w:line="240" w:lineRule="auto"/>
              <w:rPr>
                <w:rFonts w:ascii="Arial" w:eastAsia="Arial" w:hAnsi="Arial" w:cs="Arial"/>
                <w:color w:val="0D0D0D"/>
                <w:sz w:val="20"/>
                <w:szCs w:val="20"/>
              </w:rPr>
            </w:pPr>
            <w:r>
              <w:rPr>
                <w:rFonts w:ascii="Arial" w:eastAsia="Arial" w:hAnsi="Arial" w:cs="Arial"/>
                <w:color w:val="0D0D0D"/>
                <w:sz w:val="20"/>
                <w:szCs w:val="20"/>
              </w:rPr>
              <w:t xml:space="preserve">President </w:t>
            </w:r>
          </w:p>
          <w:p w14:paraId="28307E3B" w14:textId="77777777" w:rsidR="00D52FC4" w:rsidRDefault="004237BD">
            <w:pPr>
              <w:pStyle w:val="Normal1"/>
              <w:pBdr>
                <w:top w:val="nil"/>
                <w:left w:val="nil"/>
                <w:bottom w:val="nil"/>
                <w:right w:val="nil"/>
                <w:between w:val="nil"/>
              </w:pBdr>
              <w:spacing w:before="120" w:line="240" w:lineRule="auto"/>
              <w:rPr>
                <w:rFonts w:ascii="Arial" w:eastAsia="Arial" w:hAnsi="Arial" w:cs="Arial"/>
                <w:color w:val="0D0D0D"/>
                <w:sz w:val="20"/>
                <w:szCs w:val="20"/>
              </w:rPr>
            </w:pPr>
            <w:r>
              <w:rPr>
                <w:rFonts w:ascii="Arial" w:eastAsia="Arial" w:hAnsi="Arial" w:cs="Arial"/>
                <w:color w:val="0D0D0D"/>
                <w:sz w:val="20"/>
                <w:szCs w:val="20"/>
              </w:rPr>
              <w:t xml:space="preserve">NSW Young Lawyers </w:t>
            </w:r>
          </w:p>
          <w:p w14:paraId="67676ECE" w14:textId="196A3A2E" w:rsidR="00D52FC4" w:rsidRDefault="00D52FC4">
            <w:pPr>
              <w:pStyle w:val="Normal1"/>
              <w:pBdr>
                <w:top w:val="nil"/>
                <w:left w:val="nil"/>
                <w:bottom w:val="nil"/>
                <w:right w:val="nil"/>
                <w:between w:val="nil"/>
              </w:pBdr>
              <w:spacing w:before="120" w:line="240" w:lineRule="auto"/>
              <w:rPr>
                <w:rFonts w:ascii="Arial" w:eastAsia="Arial" w:hAnsi="Arial" w:cs="Arial"/>
                <w:color w:val="0D0D0D"/>
                <w:sz w:val="20"/>
                <w:szCs w:val="20"/>
              </w:rPr>
            </w:pPr>
          </w:p>
        </w:tc>
        <w:tc>
          <w:tcPr>
            <w:tcW w:w="4891" w:type="dxa"/>
            <w:tcBorders>
              <w:top w:val="nil"/>
              <w:left w:val="nil"/>
              <w:bottom w:val="nil"/>
              <w:right w:val="nil"/>
            </w:tcBorders>
            <w:shd w:val="clear" w:color="auto" w:fill="FFFFFF" w:themeFill="background1"/>
            <w:tcMar>
              <w:top w:w="80" w:type="dxa"/>
              <w:left w:w="0" w:type="dxa"/>
              <w:bottom w:w="80" w:type="dxa"/>
              <w:right w:w="0" w:type="dxa"/>
            </w:tcMar>
          </w:tcPr>
          <w:p w14:paraId="0612B8B8" w14:textId="77777777" w:rsidR="00D52FC4" w:rsidRDefault="004237BD">
            <w:pPr>
              <w:pStyle w:val="Normal1"/>
              <w:pBdr>
                <w:top w:val="nil"/>
                <w:left w:val="nil"/>
                <w:bottom w:val="nil"/>
                <w:right w:val="nil"/>
                <w:between w:val="nil"/>
              </w:pBdr>
              <w:spacing w:before="120" w:line="240" w:lineRule="auto"/>
              <w:rPr>
                <w:rFonts w:ascii="Arial" w:eastAsia="Arial" w:hAnsi="Arial" w:cs="Arial"/>
                <w:b/>
                <w:color w:val="0D0D0D"/>
                <w:sz w:val="20"/>
                <w:szCs w:val="20"/>
              </w:rPr>
            </w:pPr>
            <w:r>
              <w:rPr>
                <w:rFonts w:ascii="Arial" w:eastAsia="Arial" w:hAnsi="Arial" w:cs="Arial"/>
                <w:b/>
                <w:color w:val="0D0D0D"/>
                <w:sz w:val="20"/>
                <w:szCs w:val="20"/>
              </w:rPr>
              <w:t>Alternate Contact:</w:t>
            </w:r>
          </w:p>
          <w:p w14:paraId="17452331" w14:textId="77777777" w:rsidR="00D52FC4" w:rsidRDefault="00D52FC4">
            <w:pPr>
              <w:pStyle w:val="Normal1"/>
              <w:pBdr>
                <w:top w:val="nil"/>
                <w:left w:val="nil"/>
                <w:bottom w:val="nil"/>
                <w:right w:val="nil"/>
                <w:between w:val="nil"/>
              </w:pBdr>
              <w:spacing w:before="120" w:line="240" w:lineRule="auto"/>
              <w:rPr>
                <w:rFonts w:ascii="Arial" w:eastAsia="Arial" w:hAnsi="Arial" w:cs="Arial"/>
                <w:color w:val="0D0D0D"/>
                <w:sz w:val="20"/>
                <w:szCs w:val="20"/>
              </w:rPr>
            </w:pPr>
          </w:p>
          <w:p w14:paraId="5263D90E" w14:textId="2990F724" w:rsidR="00D52FC4" w:rsidRDefault="007A366A">
            <w:pPr>
              <w:pStyle w:val="Normal1"/>
              <w:pBdr>
                <w:top w:val="nil"/>
                <w:left w:val="nil"/>
                <w:bottom w:val="nil"/>
                <w:right w:val="nil"/>
                <w:between w:val="nil"/>
              </w:pBdr>
              <w:spacing w:before="120" w:line="240" w:lineRule="auto"/>
              <w:rPr>
                <w:rFonts w:ascii="Arial" w:eastAsia="Arial" w:hAnsi="Arial" w:cs="Arial"/>
                <w:color w:val="0D0D0D"/>
                <w:sz w:val="20"/>
                <w:szCs w:val="20"/>
              </w:rPr>
            </w:pPr>
            <w:r>
              <w:rPr>
                <w:noProof/>
                <w:lang w:val="en-AU"/>
              </w:rPr>
              <w:drawing>
                <wp:inline distT="0" distB="0" distL="0" distR="0" wp14:anchorId="3965D9B3" wp14:editId="5CB7E375">
                  <wp:extent cx="2017395" cy="1286955"/>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696" cy="1312664"/>
                          </a:xfrm>
                          <a:prstGeom prst="rect">
                            <a:avLst/>
                          </a:prstGeom>
                          <a:noFill/>
                          <a:ln>
                            <a:noFill/>
                          </a:ln>
                        </pic:spPr>
                      </pic:pic>
                    </a:graphicData>
                  </a:graphic>
                </wp:inline>
              </w:drawing>
            </w:r>
          </w:p>
          <w:p w14:paraId="410BBCA1" w14:textId="1AD7BBB0" w:rsidR="00D52FC4" w:rsidRDefault="004237BD">
            <w:pPr>
              <w:pStyle w:val="Normal1"/>
              <w:pBdr>
                <w:top w:val="nil"/>
                <w:left w:val="nil"/>
                <w:bottom w:val="nil"/>
                <w:right w:val="nil"/>
                <w:between w:val="nil"/>
              </w:pBdr>
              <w:spacing w:before="120" w:line="240" w:lineRule="auto"/>
              <w:rPr>
                <w:rFonts w:ascii="Arial" w:eastAsia="Arial" w:hAnsi="Arial" w:cs="Arial"/>
                <w:b/>
                <w:color w:val="0D0D0D"/>
                <w:sz w:val="20"/>
                <w:szCs w:val="20"/>
              </w:rPr>
            </w:pPr>
            <w:r>
              <w:rPr>
                <w:rFonts w:ascii="Arial" w:eastAsia="Arial" w:hAnsi="Arial" w:cs="Arial"/>
                <w:b/>
                <w:color w:val="0D0D0D"/>
                <w:sz w:val="20"/>
                <w:szCs w:val="20"/>
              </w:rPr>
              <w:t xml:space="preserve">Daniel </w:t>
            </w:r>
            <w:proofErr w:type="spellStart"/>
            <w:r>
              <w:rPr>
                <w:rFonts w:ascii="Arial" w:eastAsia="Arial" w:hAnsi="Arial" w:cs="Arial"/>
                <w:b/>
                <w:color w:val="0D0D0D"/>
                <w:sz w:val="20"/>
                <w:szCs w:val="20"/>
              </w:rPr>
              <w:t>Cung</w:t>
            </w:r>
            <w:proofErr w:type="spellEnd"/>
          </w:p>
          <w:p w14:paraId="7A503BD6" w14:textId="77777777" w:rsidR="00D52FC4" w:rsidRDefault="004237BD">
            <w:pPr>
              <w:pStyle w:val="Normal1"/>
              <w:pBdr>
                <w:top w:val="nil"/>
                <w:left w:val="nil"/>
                <w:bottom w:val="nil"/>
                <w:right w:val="nil"/>
                <w:between w:val="nil"/>
              </w:pBdr>
              <w:spacing w:before="120" w:line="240" w:lineRule="auto"/>
              <w:rPr>
                <w:rFonts w:ascii="Arial" w:eastAsia="Arial" w:hAnsi="Arial" w:cs="Arial"/>
                <w:color w:val="0D0D0D"/>
                <w:sz w:val="20"/>
                <w:szCs w:val="20"/>
              </w:rPr>
            </w:pPr>
            <w:r>
              <w:rPr>
                <w:rFonts w:ascii="Arial" w:eastAsia="Arial" w:hAnsi="Arial" w:cs="Arial"/>
                <w:color w:val="0D0D0D"/>
                <w:sz w:val="20"/>
                <w:szCs w:val="20"/>
              </w:rPr>
              <w:t xml:space="preserve">Chair  </w:t>
            </w:r>
          </w:p>
          <w:p w14:paraId="7314684A" w14:textId="77777777" w:rsidR="00D52FC4" w:rsidRDefault="004237BD">
            <w:pPr>
              <w:pStyle w:val="Normal1"/>
              <w:pBdr>
                <w:top w:val="nil"/>
                <w:left w:val="nil"/>
                <w:bottom w:val="nil"/>
                <w:right w:val="nil"/>
                <w:between w:val="nil"/>
              </w:pBdr>
              <w:spacing w:before="120" w:line="240" w:lineRule="auto"/>
              <w:rPr>
                <w:rFonts w:ascii="Arial" w:eastAsia="Arial" w:hAnsi="Arial" w:cs="Arial"/>
                <w:color w:val="0D0D0D"/>
                <w:sz w:val="20"/>
                <w:szCs w:val="20"/>
              </w:rPr>
            </w:pPr>
            <w:r>
              <w:rPr>
                <w:rFonts w:ascii="Arial" w:eastAsia="Arial" w:hAnsi="Arial" w:cs="Arial"/>
                <w:color w:val="0D0D0D"/>
                <w:sz w:val="20"/>
                <w:szCs w:val="20"/>
              </w:rPr>
              <w:t xml:space="preserve">NSW Young Lawyers Animal Law Committee </w:t>
            </w:r>
          </w:p>
          <w:p w14:paraId="70F1E048" w14:textId="74FE6E01" w:rsidR="00D52FC4" w:rsidRDefault="00D52FC4">
            <w:pPr>
              <w:pStyle w:val="Normal1"/>
              <w:pBdr>
                <w:top w:val="nil"/>
                <w:left w:val="nil"/>
                <w:bottom w:val="nil"/>
                <w:right w:val="nil"/>
                <w:between w:val="nil"/>
              </w:pBdr>
              <w:spacing w:before="120" w:line="240" w:lineRule="auto"/>
              <w:rPr>
                <w:rFonts w:ascii="Arial" w:eastAsia="Arial" w:hAnsi="Arial" w:cs="Arial"/>
                <w:color w:val="0D0D0D"/>
                <w:sz w:val="20"/>
                <w:szCs w:val="20"/>
              </w:rPr>
            </w:pPr>
            <w:bookmarkStart w:id="1" w:name="_GoBack"/>
            <w:bookmarkEnd w:id="1"/>
          </w:p>
        </w:tc>
      </w:tr>
    </w:tbl>
    <w:p w14:paraId="59437158" w14:textId="77777777" w:rsidR="00D52FC4" w:rsidRDefault="00D52FC4">
      <w:pPr>
        <w:pStyle w:val="Normal1"/>
        <w:pBdr>
          <w:top w:val="nil"/>
          <w:left w:val="nil"/>
          <w:bottom w:val="nil"/>
          <w:right w:val="nil"/>
          <w:between w:val="nil"/>
        </w:pBdr>
        <w:spacing w:before="120" w:line="240" w:lineRule="auto"/>
        <w:rPr>
          <w:rFonts w:ascii="Arial" w:eastAsia="Arial" w:hAnsi="Arial" w:cs="Arial"/>
          <w:b/>
          <w:color w:val="0D0D0D"/>
          <w:sz w:val="20"/>
          <w:szCs w:val="20"/>
        </w:rPr>
      </w:pPr>
    </w:p>
    <w:sectPr w:rsidR="00D52FC4" w:rsidSect="000F7FA3">
      <w:headerReference w:type="even" r:id="rId10"/>
      <w:headerReference w:type="default" r:id="rId11"/>
      <w:footerReference w:type="even" r:id="rId12"/>
      <w:footerReference w:type="default" r:id="rId13"/>
      <w:headerReference w:type="first" r:id="rId14"/>
      <w:footerReference w:type="first" r:id="rId15"/>
      <w:pgSz w:w="11900" w:h="16840"/>
      <w:pgMar w:top="2552" w:right="1134" w:bottom="1985"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195E8" w14:textId="77777777" w:rsidR="004B2327" w:rsidRDefault="004B2327" w:rsidP="00D52FC4">
      <w:pPr>
        <w:spacing w:line="240" w:lineRule="auto"/>
      </w:pPr>
      <w:r>
        <w:separator/>
      </w:r>
    </w:p>
  </w:endnote>
  <w:endnote w:type="continuationSeparator" w:id="0">
    <w:p w14:paraId="15958A37" w14:textId="77777777" w:rsidR="004B2327" w:rsidRDefault="004B2327" w:rsidP="00D52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Libre Baskerville">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E2751" w14:textId="77777777" w:rsidR="00E1786E" w:rsidRDefault="00E1786E">
    <w:pPr>
      <w:pStyle w:val="Normal1"/>
    </w:pPr>
  </w:p>
  <w:p w14:paraId="23271E14" w14:textId="77777777" w:rsidR="00E1786E" w:rsidRDefault="00E1786E">
    <w:pPr>
      <w:pStyle w:val="Normal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11D23" w14:textId="026D105B" w:rsidR="00E1786E" w:rsidRDefault="00E1786E">
    <w:pPr>
      <w:pStyle w:val="Normal1"/>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NSWYL Animal Law </w:t>
    </w:r>
    <w:proofErr w:type="gramStart"/>
    <w:r>
      <w:rPr>
        <w:rFonts w:ascii="Arial" w:eastAsia="Arial" w:hAnsi="Arial" w:cs="Arial"/>
        <w:color w:val="000000"/>
        <w:sz w:val="16"/>
        <w:szCs w:val="16"/>
      </w:rPr>
      <w:t>Committee  |</w:t>
    </w:r>
    <w:proofErr w:type="gramEnd"/>
    <w:r>
      <w:rPr>
        <w:rFonts w:ascii="Arial" w:eastAsia="Arial" w:hAnsi="Arial" w:cs="Arial"/>
        <w:color w:val="000000"/>
        <w:sz w:val="16"/>
        <w:szCs w:val="16"/>
      </w:rPr>
      <w:t xml:space="preserve"> Review of the Australian Standards for the Export of Livestock  | November 2018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211"/>
      <w:gridCol w:w="3211"/>
      <w:gridCol w:w="3211"/>
    </w:tblGrid>
    <w:tr w:rsidR="00E1786E" w14:paraId="57171A3A" w14:textId="77777777" w:rsidTr="3257FF47">
      <w:tc>
        <w:tcPr>
          <w:tcW w:w="3211" w:type="dxa"/>
        </w:tcPr>
        <w:p w14:paraId="3F406CDF" w14:textId="5CE97708" w:rsidR="00E1786E" w:rsidRDefault="00E1786E" w:rsidP="3257FF47">
          <w:pPr>
            <w:pStyle w:val="Header"/>
            <w:ind w:left="-115"/>
          </w:pPr>
        </w:p>
      </w:tc>
      <w:tc>
        <w:tcPr>
          <w:tcW w:w="3211" w:type="dxa"/>
        </w:tcPr>
        <w:p w14:paraId="7FA2EBD7" w14:textId="00888012" w:rsidR="00E1786E" w:rsidRDefault="00E1786E" w:rsidP="3257FF47">
          <w:pPr>
            <w:pStyle w:val="Header"/>
            <w:jc w:val="center"/>
          </w:pPr>
        </w:p>
      </w:tc>
      <w:tc>
        <w:tcPr>
          <w:tcW w:w="3211" w:type="dxa"/>
        </w:tcPr>
        <w:p w14:paraId="55FFFBED" w14:textId="5916FE9D" w:rsidR="00E1786E" w:rsidRDefault="00E1786E" w:rsidP="3257FF47">
          <w:pPr>
            <w:pStyle w:val="Header"/>
            <w:ind w:right="-115"/>
            <w:jc w:val="right"/>
          </w:pPr>
        </w:p>
      </w:tc>
    </w:tr>
  </w:tbl>
  <w:p w14:paraId="19662B79" w14:textId="1258BE2A" w:rsidR="00E1786E" w:rsidRDefault="00E1786E" w:rsidP="3257F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9FCFF" w14:textId="77777777" w:rsidR="004B2327" w:rsidRDefault="004B2327" w:rsidP="00D52FC4">
      <w:pPr>
        <w:spacing w:line="240" w:lineRule="auto"/>
      </w:pPr>
      <w:r>
        <w:separator/>
      </w:r>
    </w:p>
  </w:footnote>
  <w:footnote w:type="continuationSeparator" w:id="0">
    <w:p w14:paraId="119232CC" w14:textId="77777777" w:rsidR="004B2327" w:rsidRDefault="004B2327" w:rsidP="00D52FC4">
      <w:pPr>
        <w:spacing w:line="240" w:lineRule="auto"/>
      </w:pPr>
      <w:r>
        <w:continuationSeparator/>
      </w:r>
    </w:p>
  </w:footnote>
  <w:footnote w:id="1">
    <w:p w14:paraId="707D3820" w14:textId="0BEC4544" w:rsidR="00E1786E" w:rsidRDefault="00E1786E">
      <w:pPr>
        <w:pStyle w:val="FootnoteText"/>
      </w:pPr>
      <w:r>
        <w:rPr>
          <w:rStyle w:val="FootnoteReference"/>
        </w:rPr>
        <w:footnoteRef/>
      </w:r>
      <w:r>
        <w:t xml:space="preserve"> Department of Agriculture and Water Resources - Review of the Australian Standards for the Export of Livestock –Technical Advisory Committee, </w:t>
      </w:r>
      <w:r w:rsidRPr="002C2FCC">
        <w:rPr>
          <w:i/>
        </w:rPr>
        <w:t>Draft Standards</w:t>
      </w:r>
      <w:r>
        <w:t xml:space="preserve"> (30 October 2018) 12. </w:t>
      </w:r>
    </w:p>
  </w:footnote>
  <w:footnote w:id="2">
    <w:p w14:paraId="6632D811" w14:textId="1CDB2C77" w:rsidR="00E1786E" w:rsidRDefault="00E1786E">
      <w:pPr>
        <w:pStyle w:val="FootnoteText"/>
      </w:pPr>
      <w:r>
        <w:rPr>
          <w:rStyle w:val="FootnoteReference"/>
        </w:rPr>
        <w:footnoteRef/>
      </w:r>
      <w:r>
        <w:t xml:space="preserve"> Ibid 12. </w:t>
      </w:r>
    </w:p>
  </w:footnote>
  <w:footnote w:id="3">
    <w:p w14:paraId="40D99E04" w14:textId="68526697" w:rsidR="00E1786E" w:rsidRDefault="00E1786E">
      <w:pPr>
        <w:pStyle w:val="FootnoteText"/>
      </w:pPr>
      <w:r>
        <w:rPr>
          <w:rStyle w:val="FootnoteReference"/>
        </w:rPr>
        <w:footnoteRef/>
      </w:r>
      <w:r>
        <w:t xml:space="preserve"> </w:t>
      </w:r>
      <w:r w:rsidRPr="00DE057B">
        <w:t xml:space="preserve">Senate Select Committee on Animal Welfare, </w:t>
      </w:r>
      <w:r w:rsidRPr="002C2FCC">
        <w:rPr>
          <w:i/>
        </w:rPr>
        <w:t xml:space="preserve">Report – Export of Live Sheep from Australia </w:t>
      </w:r>
      <w:r>
        <w:t xml:space="preserve">(1985) </w:t>
      </w:r>
      <w:r w:rsidRPr="00DE057B">
        <w:t>185–186.</w:t>
      </w:r>
    </w:p>
  </w:footnote>
  <w:footnote w:id="4">
    <w:p w14:paraId="6C13A30F" w14:textId="77E0E07D" w:rsidR="00E1786E" w:rsidRPr="002C2FCC" w:rsidRDefault="00E1786E">
      <w:pPr>
        <w:pStyle w:val="FootnoteText"/>
      </w:pPr>
      <w:r>
        <w:rPr>
          <w:rStyle w:val="FootnoteReference"/>
        </w:rPr>
        <w:footnoteRef/>
      </w:r>
      <w:r>
        <w:t xml:space="preserve"> Department of Agriculture and Water Resources - Review of the Australian Standards for the Export of Livestock –Technical Advisory Committee, </w:t>
      </w:r>
      <w:r>
        <w:rPr>
          <w:i/>
        </w:rPr>
        <w:t xml:space="preserve">Stage 2: Draft Report </w:t>
      </w:r>
      <w:r>
        <w:t>(2018) 65-66.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18E17" w14:textId="77777777" w:rsidR="00E1786E" w:rsidRDefault="00E1786E">
    <w:pPr>
      <w:pStyle w:val="Normal1"/>
    </w:pPr>
  </w:p>
  <w:p w14:paraId="47F4D229" w14:textId="77777777" w:rsidR="00E1786E" w:rsidRDefault="00E1786E">
    <w:pPr>
      <w:pStyle w:val="Norm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A8B88" w14:textId="77777777" w:rsidR="00E1786E" w:rsidRDefault="00E1786E">
    <w:pPr>
      <w:pStyle w:val="Normal1"/>
    </w:pPr>
    <w:r w:rsidRPr="00A253BF">
      <w:rPr>
        <w:noProof/>
        <w:lang w:val="en-AU"/>
      </w:rPr>
      <w:drawing>
        <wp:anchor distT="0" distB="0" distL="114300" distR="114300" simplePos="0" relativeHeight="251661312" behindDoc="1" locked="0" layoutInCell="1" allowOverlap="1" wp14:anchorId="773F9970" wp14:editId="5DEE62AF">
          <wp:simplePos x="0" y="0"/>
          <wp:positionH relativeFrom="column">
            <wp:posOffset>-720090</wp:posOffset>
          </wp:positionH>
          <wp:positionV relativeFrom="paragraph">
            <wp:posOffset>-520504</wp:posOffset>
          </wp:positionV>
          <wp:extent cx="7547317" cy="10663310"/>
          <wp:effectExtent l="0" t="0" r="0" b="0"/>
          <wp:wrapNone/>
          <wp:docPr id="3" name="Picture 3" descr="Macintosh HD:Users:mnguyen:Desktop:1700_YL_Corporate_Stationery_2016:1700_YL_Letterhead_2016_NoFoo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nguyen:Desktop:1700_YL_Corporate_Stationery_2016:1700_YL_Letterhead_2016_NoFoot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317" cy="10663310"/>
                  </a:xfrm>
                  <a:prstGeom prst="rect">
                    <a:avLst/>
                  </a:prstGeom>
                  <a:noFill/>
                  <a:ln>
                    <a:noFill/>
                  </a:ln>
                </pic:spPr>
              </pic:pic>
            </a:graphicData>
          </a:graphic>
        </wp:anchor>
      </w:drawing>
    </w:r>
  </w:p>
  <w:p w14:paraId="1417AB30" w14:textId="77777777" w:rsidR="00E1786E" w:rsidRDefault="00E1786E">
    <w:pPr>
      <w:pStyle w:val="Normal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D2008" w14:textId="77777777" w:rsidR="00E1786E" w:rsidRDefault="00E1786E">
    <w:pPr>
      <w:pStyle w:val="Normal1"/>
      <w:rPr>
        <w:rFonts w:ascii="Arial" w:eastAsia="Arial" w:hAnsi="Arial" w:cs="Arial"/>
      </w:rPr>
    </w:pPr>
    <w:r w:rsidRPr="008C6552">
      <w:rPr>
        <w:noProof/>
        <w:lang w:val="en-AU"/>
      </w:rPr>
      <w:drawing>
        <wp:anchor distT="0" distB="0" distL="114300" distR="114300" simplePos="0" relativeHeight="251659264" behindDoc="1" locked="0" layoutInCell="1" allowOverlap="1" wp14:anchorId="1D4CBD4D" wp14:editId="2406F1C4">
          <wp:simplePos x="0" y="0"/>
          <wp:positionH relativeFrom="column">
            <wp:posOffset>-720090</wp:posOffset>
          </wp:positionH>
          <wp:positionV relativeFrom="paragraph">
            <wp:posOffset>-457200</wp:posOffset>
          </wp:positionV>
          <wp:extent cx="7549116" cy="10664456"/>
          <wp:effectExtent l="0" t="0" r="0" b="0"/>
          <wp:wrapNone/>
          <wp:docPr id="1" name="Picture 1" descr="Macintosh HD:Users:mnguyen:Desktop:1700_YL_Corporate_Stationery_2016:1700_YL_Letterhead_2016_v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nguyen:Desktop:1700_YL_Corporate_Stationery_2016:1700_YL_Letterhead_2016_v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59745"/>
                  </a:xfrm>
                  <a:prstGeom prst="rect">
                    <a:avLst/>
                  </a:prstGeom>
                  <a:noFill/>
                  <a:ln>
                    <a:noFill/>
                  </a:ln>
                </pic:spPr>
              </pic:pic>
            </a:graphicData>
          </a:graphic>
        </wp:anchor>
      </w:drawing>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52CC"/>
    <w:multiLevelType w:val="multilevel"/>
    <w:tmpl w:val="40123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FF61663"/>
    <w:multiLevelType w:val="hybridMultilevel"/>
    <w:tmpl w:val="EC2AA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3EC6"/>
    <w:multiLevelType w:val="hybridMultilevel"/>
    <w:tmpl w:val="0956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777C8"/>
    <w:multiLevelType w:val="multilevel"/>
    <w:tmpl w:val="F0AEE416"/>
    <w:lvl w:ilvl="0">
      <w:start w:val="1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E6D41F2"/>
    <w:multiLevelType w:val="multilevel"/>
    <w:tmpl w:val="D404535A"/>
    <w:lvl w:ilvl="0">
      <w:start w:val="1"/>
      <w:numFmt w:val="lowerLetter"/>
      <w:lvlText w:val="%1."/>
      <w:lvlJc w:val="left"/>
      <w:pPr>
        <w:ind w:left="720" w:hanging="360"/>
      </w:pPr>
      <w:rPr>
        <w:rFonts w:ascii="Arial" w:eastAsia="Arial" w:hAnsi="Arial" w:cs="Arial"/>
        <w:b w:val="0"/>
        <w:sz w:val="20"/>
        <w:szCs w:val="20"/>
        <w:u w:val="none"/>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41244B1D"/>
    <w:multiLevelType w:val="hybridMultilevel"/>
    <w:tmpl w:val="DEB4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4383B"/>
    <w:multiLevelType w:val="hybridMultilevel"/>
    <w:tmpl w:val="CBF04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B47EB"/>
    <w:multiLevelType w:val="multilevel"/>
    <w:tmpl w:val="7BE09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654EA2"/>
    <w:multiLevelType w:val="multilevel"/>
    <w:tmpl w:val="A7F03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6C644F"/>
    <w:multiLevelType w:val="multilevel"/>
    <w:tmpl w:val="DC6A51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0930111"/>
    <w:multiLevelType w:val="hybridMultilevel"/>
    <w:tmpl w:val="2000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779A0"/>
    <w:multiLevelType w:val="multilevel"/>
    <w:tmpl w:val="63621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9"/>
  </w:num>
  <w:num w:numId="4">
    <w:abstractNumId w:val="0"/>
  </w:num>
  <w:num w:numId="5">
    <w:abstractNumId w:val="8"/>
  </w:num>
  <w:num w:numId="6">
    <w:abstractNumId w:val="11"/>
  </w:num>
  <w:num w:numId="7">
    <w:abstractNumId w:val="7"/>
  </w:num>
  <w:num w:numId="8">
    <w:abstractNumId w:val="5"/>
  </w:num>
  <w:num w:numId="9">
    <w:abstractNumId w:val="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C4"/>
    <w:rsid w:val="000575CA"/>
    <w:rsid w:val="000E18ED"/>
    <w:rsid w:val="000F7FA3"/>
    <w:rsid w:val="00166C6A"/>
    <w:rsid w:val="00170A13"/>
    <w:rsid w:val="00187292"/>
    <w:rsid w:val="001B65B1"/>
    <w:rsid w:val="001D0E10"/>
    <w:rsid w:val="001D7FEC"/>
    <w:rsid w:val="0023472E"/>
    <w:rsid w:val="00274746"/>
    <w:rsid w:val="00276E2C"/>
    <w:rsid w:val="002C2FCC"/>
    <w:rsid w:val="002E5D8F"/>
    <w:rsid w:val="003349D0"/>
    <w:rsid w:val="00355C1B"/>
    <w:rsid w:val="00361E01"/>
    <w:rsid w:val="0036680D"/>
    <w:rsid w:val="00370715"/>
    <w:rsid w:val="00372B32"/>
    <w:rsid w:val="003B6E60"/>
    <w:rsid w:val="003F1D4C"/>
    <w:rsid w:val="003F744B"/>
    <w:rsid w:val="004237BD"/>
    <w:rsid w:val="004775C3"/>
    <w:rsid w:val="0049560C"/>
    <w:rsid w:val="004B2327"/>
    <w:rsid w:val="004B6853"/>
    <w:rsid w:val="004F538E"/>
    <w:rsid w:val="00516F06"/>
    <w:rsid w:val="00566EFF"/>
    <w:rsid w:val="00576810"/>
    <w:rsid w:val="005B0C35"/>
    <w:rsid w:val="006111D7"/>
    <w:rsid w:val="006579DD"/>
    <w:rsid w:val="006759D6"/>
    <w:rsid w:val="006850F5"/>
    <w:rsid w:val="006E74EC"/>
    <w:rsid w:val="00716CA9"/>
    <w:rsid w:val="00717D9F"/>
    <w:rsid w:val="007224D6"/>
    <w:rsid w:val="00787AFA"/>
    <w:rsid w:val="00797CAF"/>
    <w:rsid w:val="007A366A"/>
    <w:rsid w:val="007F7294"/>
    <w:rsid w:val="00802182"/>
    <w:rsid w:val="0080497B"/>
    <w:rsid w:val="00857FD4"/>
    <w:rsid w:val="008A4CFE"/>
    <w:rsid w:val="008C6552"/>
    <w:rsid w:val="008D4055"/>
    <w:rsid w:val="008D7C22"/>
    <w:rsid w:val="008F044C"/>
    <w:rsid w:val="00985F48"/>
    <w:rsid w:val="00986A13"/>
    <w:rsid w:val="009B103F"/>
    <w:rsid w:val="009B4AC7"/>
    <w:rsid w:val="009B6BD7"/>
    <w:rsid w:val="009F08D9"/>
    <w:rsid w:val="00A25031"/>
    <w:rsid w:val="00A253BF"/>
    <w:rsid w:val="00A278DC"/>
    <w:rsid w:val="00A32239"/>
    <w:rsid w:val="00A5758E"/>
    <w:rsid w:val="00A750F0"/>
    <w:rsid w:val="00A756B3"/>
    <w:rsid w:val="00A76E9E"/>
    <w:rsid w:val="00B22BE6"/>
    <w:rsid w:val="00BC584B"/>
    <w:rsid w:val="00C02240"/>
    <w:rsid w:val="00C26A9A"/>
    <w:rsid w:val="00C94DFC"/>
    <w:rsid w:val="00CC7296"/>
    <w:rsid w:val="00CF0E86"/>
    <w:rsid w:val="00D25867"/>
    <w:rsid w:val="00D3370F"/>
    <w:rsid w:val="00D34B7B"/>
    <w:rsid w:val="00D52FC4"/>
    <w:rsid w:val="00D569D3"/>
    <w:rsid w:val="00D6119A"/>
    <w:rsid w:val="00D64E60"/>
    <w:rsid w:val="00D65655"/>
    <w:rsid w:val="00D87264"/>
    <w:rsid w:val="00DE057B"/>
    <w:rsid w:val="00DF3279"/>
    <w:rsid w:val="00E02E40"/>
    <w:rsid w:val="00E13DBA"/>
    <w:rsid w:val="00E1786E"/>
    <w:rsid w:val="00E223FF"/>
    <w:rsid w:val="00E959F8"/>
    <w:rsid w:val="00EB4375"/>
    <w:rsid w:val="00F67065"/>
    <w:rsid w:val="00F74040"/>
    <w:rsid w:val="12D62301"/>
    <w:rsid w:val="3257FF47"/>
    <w:rsid w:val="48A5E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43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re Baskerville" w:eastAsia="Libre Baskerville" w:hAnsi="Libre Baskerville" w:cs="Libre Baskerville"/>
        <w:sz w:val="22"/>
        <w:szCs w:val="22"/>
        <w:lang w:val="en-US" w:eastAsia="en-AU"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BD7"/>
  </w:style>
  <w:style w:type="paragraph" w:styleId="Heading1">
    <w:name w:val="heading 1"/>
    <w:basedOn w:val="Normal1"/>
    <w:next w:val="Normal1"/>
    <w:rsid w:val="00D52FC4"/>
    <w:pPr>
      <w:spacing w:line="240" w:lineRule="auto"/>
      <w:outlineLvl w:val="0"/>
    </w:pPr>
    <w:rPr>
      <w:rFonts w:ascii="Arial" w:eastAsia="Arial" w:hAnsi="Arial" w:cs="Arial"/>
      <w:b/>
      <w:color w:val="000000"/>
      <w:sz w:val="48"/>
      <w:szCs w:val="48"/>
    </w:rPr>
  </w:style>
  <w:style w:type="paragraph" w:styleId="Heading2">
    <w:name w:val="heading 2"/>
    <w:basedOn w:val="Normal1"/>
    <w:next w:val="Normal1"/>
    <w:rsid w:val="00D52FC4"/>
    <w:pPr>
      <w:spacing w:line="240" w:lineRule="auto"/>
      <w:outlineLvl w:val="1"/>
    </w:pPr>
    <w:rPr>
      <w:rFonts w:ascii="Arial" w:eastAsia="Arial" w:hAnsi="Arial" w:cs="Arial"/>
      <w:b/>
      <w:color w:val="000000"/>
      <w:sz w:val="40"/>
      <w:szCs w:val="40"/>
    </w:rPr>
  </w:style>
  <w:style w:type="paragraph" w:styleId="Heading3">
    <w:name w:val="heading 3"/>
    <w:basedOn w:val="Normal1"/>
    <w:next w:val="Normal1"/>
    <w:rsid w:val="00D52FC4"/>
    <w:pPr>
      <w:spacing w:line="240" w:lineRule="auto"/>
      <w:outlineLvl w:val="2"/>
    </w:pPr>
    <w:rPr>
      <w:rFonts w:ascii="Arial" w:eastAsia="Arial" w:hAnsi="Arial" w:cs="Arial"/>
      <w:b/>
      <w:color w:val="000000"/>
      <w:sz w:val="28"/>
      <w:szCs w:val="28"/>
    </w:rPr>
  </w:style>
  <w:style w:type="paragraph" w:styleId="Heading4">
    <w:name w:val="heading 4"/>
    <w:basedOn w:val="Normal1"/>
    <w:next w:val="Normal1"/>
    <w:rsid w:val="00D52FC4"/>
    <w:pPr>
      <w:spacing w:line="240" w:lineRule="auto"/>
      <w:outlineLvl w:val="3"/>
    </w:pPr>
    <w:rPr>
      <w:rFonts w:ascii="Arial" w:eastAsia="Arial" w:hAnsi="Arial" w:cs="Arial"/>
      <w:b/>
      <w:color w:val="0D0D0D"/>
      <w:sz w:val="24"/>
      <w:szCs w:val="24"/>
    </w:rPr>
  </w:style>
  <w:style w:type="paragraph" w:styleId="Heading5">
    <w:name w:val="heading 5"/>
    <w:basedOn w:val="Normal1"/>
    <w:next w:val="Normal1"/>
    <w:rsid w:val="00D52FC4"/>
    <w:pPr>
      <w:keepNext/>
      <w:keepLines/>
      <w:spacing w:before="200"/>
      <w:outlineLvl w:val="4"/>
    </w:pPr>
    <w:rPr>
      <w:color w:val="1F2820"/>
    </w:rPr>
  </w:style>
  <w:style w:type="paragraph" w:styleId="Heading6">
    <w:name w:val="heading 6"/>
    <w:basedOn w:val="Normal1"/>
    <w:next w:val="Normal1"/>
    <w:rsid w:val="00D52FC4"/>
    <w:pPr>
      <w:keepNext/>
      <w:keepLines/>
      <w:spacing w:before="200"/>
      <w:outlineLvl w:val="5"/>
    </w:pPr>
    <w:rPr>
      <w:i/>
      <w:color w:val="1F28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2FC4"/>
  </w:style>
  <w:style w:type="paragraph" w:styleId="Title">
    <w:name w:val="Title"/>
    <w:basedOn w:val="Normal1"/>
    <w:next w:val="Normal1"/>
    <w:rsid w:val="00D52FC4"/>
    <w:pPr>
      <w:keepNext/>
      <w:keepLines/>
      <w:spacing w:before="480" w:after="120"/>
    </w:pPr>
    <w:rPr>
      <w:b/>
      <w:sz w:val="72"/>
      <w:szCs w:val="72"/>
    </w:rPr>
  </w:style>
  <w:style w:type="paragraph" w:styleId="Subtitle">
    <w:name w:val="Subtitle"/>
    <w:basedOn w:val="Normal1"/>
    <w:next w:val="Normal1"/>
    <w:rsid w:val="00D52FC4"/>
    <w:pPr>
      <w:keepNext/>
      <w:keepLines/>
      <w:spacing w:before="360" w:after="80"/>
    </w:pPr>
    <w:rPr>
      <w:rFonts w:ascii="Georgia" w:eastAsia="Georgia" w:hAnsi="Georgia" w:cs="Georgia"/>
      <w:i/>
      <w:color w:val="666666"/>
      <w:sz w:val="48"/>
      <w:szCs w:val="48"/>
    </w:rPr>
  </w:style>
  <w:style w:type="table" w:customStyle="1" w:styleId="a">
    <w:basedOn w:val="TableNormal"/>
    <w:rsid w:val="00D52FC4"/>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D52FC4"/>
    <w:pPr>
      <w:spacing w:line="240" w:lineRule="auto"/>
    </w:pPr>
    <w:rPr>
      <w:sz w:val="20"/>
      <w:szCs w:val="20"/>
    </w:rPr>
  </w:style>
  <w:style w:type="character" w:customStyle="1" w:styleId="CommentTextChar">
    <w:name w:val="Comment Text Char"/>
    <w:basedOn w:val="DefaultParagraphFont"/>
    <w:link w:val="CommentText"/>
    <w:uiPriority w:val="99"/>
    <w:rsid w:val="00D52FC4"/>
    <w:rPr>
      <w:sz w:val="20"/>
      <w:szCs w:val="20"/>
    </w:rPr>
  </w:style>
  <w:style w:type="character" w:styleId="CommentReference">
    <w:name w:val="annotation reference"/>
    <w:basedOn w:val="DefaultParagraphFont"/>
    <w:uiPriority w:val="99"/>
    <w:semiHidden/>
    <w:unhideWhenUsed/>
    <w:rsid w:val="00D52FC4"/>
    <w:rPr>
      <w:sz w:val="16"/>
      <w:szCs w:val="16"/>
    </w:rPr>
  </w:style>
  <w:style w:type="paragraph" w:styleId="BalloonText">
    <w:name w:val="Balloon Text"/>
    <w:basedOn w:val="Normal"/>
    <w:link w:val="BalloonTextChar"/>
    <w:uiPriority w:val="99"/>
    <w:semiHidden/>
    <w:unhideWhenUsed/>
    <w:rsid w:val="009B10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03F"/>
    <w:rPr>
      <w:rFonts w:ascii="Tahoma" w:hAnsi="Tahoma" w:cs="Tahoma"/>
      <w:sz w:val="16"/>
      <w:szCs w:val="16"/>
    </w:rPr>
  </w:style>
  <w:style w:type="paragraph" w:styleId="Footer">
    <w:name w:val="footer"/>
    <w:basedOn w:val="Normal"/>
    <w:link w:val="FooterChar"/>
    <w:uiPriority w:val="99"/>
    <w:unhideWhenUsed/>
    <w:rsid w:val="009B103F"/>
    <w:pPr>
      <w:tabs>
        <w:tab w:val="center" w:pos="4513"/>
        <w:tab w:val="right" w:pos="9026"/>
      </w:tabs>
      <w:spacing w:line="240" w:lineRule="auto"/>
    </w:pPr>
  </w:style>
  <w:style w:type="character" w:customStyle="1" w:styleId="FooterChar">
    <w:name w:val="Footer Char"/>
    <w:basedOn w:val="DefaultParagraphFont"/>
    <w:link w:val="Footer"/>
    <w:uiPriority w:val="99"/>
    <w:rsid w:val="009B103F"/>
  </w:style>
  <w:style w:type="paragraph" w:styleId="FootnoteText">
    <w:name w:val="footnote text"/>
    <w:basedOn w:val="Normal"/>
    <w:link w:val="FootnoteTextChar"/>
    <w:uiPriority w:val="99"/>
    <w:unhideWhenUsed/>
    <w:rsid w:val="008A4CFE"/>
    <w:pPr>
      <w:spacing w:line="240" w:lineRule="auto"/>
    </w:pPr>
    <w:rPr>
      <w:sz w:val="20"/>
      <w:szCs w:val="20"/>
    </w:rPr>
  </w:style>
  <w:style w:type="character" w:customStyle="1" w:styleId="FootnoteTextChar">
    <w:name w:val="Footnote Text Char"/>
    <w:basedOn w:val="DefaultParagraphFont"/>
    <w:link w:val="FootnoteText"/>
    <w:uiPriority w:val="99"/>
    <w:rsid w:val="008A4CFE"/>
    <w:rPr>
      <w:sz w:val="20"/>
      <w:szCs w:val="20"/>
    </w:rPr>
  </w:style>
  <w:style w:type="character" w:styleId="FootnoteReference">
    <w:name w:val="footnote reference"/>
    <w:basedOn w:val="DefaultParagraphFont"/>
    <w:uiPriority w:val="99"/>
    <w:unhideWhenUsed/>
    <w:rsid w:val="008A4CFE"/>
    <w:rPr>
      <w:vertAlign w:val="superscript"/>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paragraph" w:styleId="CommentSubject">
    <w:name w:val="annotation subject"/>
    <w:basedOn w:val="CommentText"/>
    <w:next w:val="CommentText"/>
    <w:link w:val="CommentSubjectChar"/>
    <w:uiPriority w:val="99"/>
    <w:semiHidden/>
    <w:unhideWhenUsed/>
    <w:rsid w:val="00A750F0"/>
    <w:rPr>
      <w:b/>
      <w:bCs/>
    </w:rPr>
  </w:style>
  <w:style w:type="character" w:customStyle="1" w:styleId="CommentSubjectChar">
    <w:name w:val="Comment Subject Char"/>
    <w:basedOn w:val="CommentTextChar"/>
    <w:link w:val="CommentSubject"/>
    <w:uiPriority w:val="99"/>
    <w:semiHidden/>
    <w:rsid w:val="00A750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79095">
      <w:bodyDiv w:val="1"/>
      <w:marLeft w:val="0"/>
      <w:marRight w:val="0"/>
      <w:marTop w:val="0"/>
      <w:marBottom w:val="0"/>
      <w:divBdr>
        <w:top w:val="none" w:sz="0" w:space="0" w:color="auto"/>
        <w:left w:val="none" w:sz="0" w:space="0" w:color="auto"/>
        <w:bottom w:val="none" w:sz="0" w:space="0" w:color="auto"/>
        <w:right w:val="none" w:sz="0" w:space="0" w:color="auto"/>
      </w:divBdr>
      <w:divsChild>
        <w:div w:id="691421189">
          <w:marLeft w:val="0"/>
          <w:marRight w:val="0"/>
          <w:marTop w:val="0"/>
          <w:marBottom w:val="0"/>
          <w:divBdr>
            <w:top w:val="none" w:sz="0" w:space="0" w:color="auto"/>
            <w:left w:val="none" w:sz="0" w:space="0" w:color="auto"/>
            <w:bottom w:val="none" w:sz="0" w:space="0" w:color="auto"/>
            <w:right w:val="none" w:sz="0" w:space="0" w:color="auto"/>
          </w:divBdr>
        </w:div>
      </w:divsChild>
    </w:div>
    <w:div w:id="796800896">
      <w:bodyDiv w:val="1"/>
      <w:marLeft w:val="0"/>
      <w:marRight w:val="0"/>
      <w:marTop w:val="0"/>
      <w:marBottom w:val="0"/>
      <w:divBdr>
        <w:top w:val="none" w:sz="0" w:space="0" w:color="auto"/>
        <w:left w:val="none" w:sz="0" w:space="0" w:color="auto"/>
        <w:bottom w:val="none" w:sz="0" w:space="0" w:color="auto"/>
        <w:right w:val="none" w:sz="0" w:space="0" w:color="auto"/>
      </w:divBdr>
      <w:divsChild>
        <w:div w:id="8353388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8940E92-AE5F-4BC5-B3DB-9745637ACDD4}"/>
</file>

<file path=customXml/itemProps2.xml><?xml version="1.0" encoding="utf-8"?>
<ds:datastoreItem xmlns:ds="http://schemas.openxmlformats.org/officeDocument/2006/customXml" ds:itemID="{38E3E77B-C1AA-431A-8771-BEC8D0FC4B94}"/>
</file>

<file path=customXml/itemProps3.xml><?xml version="1.0" encoding="utf-8"?>
<ds:datastoreItem xmlns:ds="http://schemas.openxmlformats.org/officeDocument/2006/customXml" ds:itemID="{002BF905-DA2E-4957-9149-FAE89D7F8511}"/>
</file>

<file path=customXml/itemProps4.xml><?xml version="1.0" encoding="utf-8"?>
<ds:datastoreItem xmlns:ds="http://schemas.openxmlformats.org/officeDocument/2006/customXml" ds:itemID="{86547967-994E-4269-B407-0CDA14CA68A2}"/>
</file>

<file path=docProps/app.xml><?xml version="1.0" encoding="utf-8"?>
<Properties xmlns="http://schemas.openxmlformats.org/officeDocument/2006/extended-properties" xmlns:vt="http://schemas.openxmlformats.org/officeDocument/2006/docPropsVTypes">
  <Template>Normal</Template>
  <TotalTime>0</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2018-11-27T05:18:00Z</dcterms:created>
  <dcterms:modified xsi:type="dcterms:W3CDTF">2018-12-21T03:52:00Z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