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6.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3.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7.xml" ContentType="application/vnd.openxmlformats-officedocument.wordprocessingml.header+xml"/>
  <Override PartName="/word/header16.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405" w:rsidRDefault="00A11609">
      <w:pPr>
        <w:pStyle w:val="Title"/>
        <w:pBdr>
          <w:bottom w:val="single" w:sz="4" w:space="1" w:color="auto"/>
        </w:pBdr>
        <w:rPr>
          <w:sz w:val="56"/>
          <w:szCs w:val="56"/>
        </w:rPr>
      </w:pPr>
      <w:r>
        <w:rPr>
          <w:sz w:val="56"/>
          <w:szCs w:val="56"/>
        </w:rPr>
        <w:t xml:space="preserve">Draft review of policy: importation of </w:t>
      </w:r>
      <w:r>
        <w:rPr>
          <w:i/>
          <w:iCs/>
          <w:sz w:val="56"/>
          <w:szCs w:val="56"/>
        </w:rPr>
        <w:t xml:space="preserve">Phytophthora ramorum </w:t>
      </w:r>
      <w:r>
        <w:rPr>
          <w:sz w:val="56"/>
          <w:szCs w:val="56"/>
        </w:rPr>
        <w:t>host propagative material into Australia</w:t>
      </w:r>
    </w:p>
    <w:p w:rsidR="00E94405" w:rsidRDefault="00A11609">
      <w:pPr>
        <w:jc w:val="right"/>
      </w:pPr>
      <w:r>
        <w:t>March 2015</w:t>
      </w:r>
    </w:p>
    <w:p w:rsidR="00E94405" w:rsidRDefault="00A11609">
      <w:pPr>
        <w:pStyle w:val="Picture"/>
        <w:jc w:val="center"/>
      </w:pPr>
      <w:r>
        <w:rPr>
          <w:noProof/>
        </w:rPr>
        <w:drawing>
          <wp:inline distT="0" distB="0" distL="0" distR="0">
            <wp:extent cx="5342991" cy="5289386"/>
            <wp:effectExtent l="19050" t="0" r="0" b="0"/>
            <wp:docPr id="9" name="Picture 1" descr="The Australian Government Department of Agriculture Biosecurit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8" cstate="print"/>
                    <a:srcRect/>
                    <a:stretch>
                      <a:fillRect/>
                    </a:stretch>
                  </pic:blipFill>
                  <pic:spPr bwMode="auto">
                    <a:xfrm>
                      <a:off x="0" y="0"/>
                      <a:ext cx="5345893" cy="5292259"/>
                    </a:xfrm>
                    <a:prstGeom prst="rect">
                      <a:avLst/>
                    </a:prstGeom>
                    <a:noFill/>
                    <a:ln w="9525">
                      <a:noFill/>
                      <a:miter lim="800000"/>
                      <a:headEnd/>
                      <a:tailEnd/>
                    </a:ln>
                  </pic:spPr>
                </pic:pic>
              </a:graphicData>
            </a:graphic>
          </wp:inline>
        </w:drawing>
      </w:r>
    </w:p>
    <w:p w:rsidR="00E94405" w:rsidRDefault="00E94405">
      <w:pPr>
        <w:pStyle w:val="Picture"/>
      </w:pPr>
    </w:p>
    <w:p w:rsidR="00E94405" w:rsidRDefault="00E94405">
      <w:pPr>
        <w:pStyle w:val="Picture"/>
        <w:jc w:val="center"/>
        <w:sectPr w:rsidR="00E94405">
          <w:headerReference w:type="default" r:id="rId9"/>
          <w:footerReference w:type="default" r:id="rId10"/>
          <w:headerReference w:type="first" r:id="rId11"/>
          <w:footerReference w:type="first" r:id="rId12"/>
          <w:type w:val="oddPage"/>
          <w:pgSz w:w="11906" w:h="16838"/>
          <w:pgMar w:top="1418" w:right="1418" w:bottom="1418" w:left="1418" w:header="567" w:footer="283" w:gutter="0"/>
          <w:pgNumType w:fmt="lowerRoman" w:start="1"/>
          <w:cols w:space="708"/>
          <w:docGrid w:linePitch="360"/>
        </w:sectPr>
      </w:pPr>
    </w:p>
    <w:p w:rsidR="00E94405" w:rsidRDefault="00A11609">
      <w:pPr>
        <w:pStyle w:val="Picture"/>
        <w:rPr>
          <w:sz w:val="18"/>
          <w:szCs w:val="18"/>
        </w:rPr>
      </w:pPr>
      <w:r>
        <w:rPr>
          <w:sz w:val="18"/>
          <w:szCs w:val="18"/>
        </w:rPr>
        <w:lastRenderedPageBreak/>
        <w:t>© Commonwealth of Australia</w:t>
      </w:r>
    </w:p>
    <w:p w:rsidR="00E94405" w:rsidRDefault="00A11609">
      <w:pPr>
        <w:pStyle w:val="TableText"/>
        <w:rPr>
          <w:b/>
          <w:szCs w:val="18"/>
        </w:rPr>
      </w:pPr>
      <w:r>
        <w:rPr>
          <w:b/>
          <w:szCs w:val="18"/>
        </w:rPr>
        <w:t>Ownership of intellectual property rights</w:t>
      </w:r>
    </w:p>
    <w:p w:rsidR="00E94405" w:rsidRDefault="00A11609">
      <w:pPr>
        <w:pStyle w:val="TableText"/>
        <w:spacing w:after="240"/>
        <w:rPr>
          <w:rFonts w:asciiTheme="majorHAnsi" w:hAnsiTheme="majorHAnsi"/>
          <w:szCs w:val="18"/>
        </w:rPr>
      </w:pPr>
      <w:r>
        <w:rPr>
          <w:rFonts w:asciiTheme="majorHAnsi" w:hAnsiTheme="majorHAnsi"/>
        </w:rPr>
        <w:t>Unless otherwise noted, copyright (and any other intellectual property rights, if any) in this publication is owned by the Commonwealth of Australia (referred to as the Commonwealth</w:t>
      </w:r>
      <w:r>
        <w:rPr>
          <w:rFonts w:asciiTheme="majorHAnsi" w:hAnsiTheme="majorHAnsi"/>
          <w:szCs w:val="18"/>
        </w:rPr>
        <w:t>).</w:t>
      </w:r>
    </w:p>
    <w:p w:rsidR="00E94405" w:rsidRDefault="00A11609">
      <w:pPr>
        <w:pStyle w:val="TableText"/>
        <w:rPr>
          <w:b/>
          <w:szCs w:val="18"/>
        </w:rPr>
      </w:pPr>
      <w:r>
        <w:rPr>
          <w:b/>
          <w:szCs w:val="18"/>
        </w:rPr>
        <w:t>Creative Commons licence</w:t>
      </w:r>
    </w:p>
    <w:p w:rsidR="00E94405" w:rsidRDefault="00A11609">
      <w:pPr>
        <w:pStyle w:val="TableText"/>
        <w:spacing w:after="240"/>
        <w:rPr>
          <w:rFonts w:ascii="Cambria" w:hAnsi="Cambria"/>
          <w:szCs w:val="18"/>
        </w:rPr>
      </w:pPr>
      <w:r>
        <w:rPr>
          <w:rFonts w:ascii="Cambria" w:hAnsi="Cambria"/>
          <w:szCs w:val="18"/>
        </w:rPr>
        <w:t>All material in this publication is licensed under a Creative Commons Attribution 3.0 Australia Licence, save for content supplied by third parties, photographic images, logos and the Commonwealth Coat of Arms.</w:t>
      </w:r>
    </w:p>
    <w:p w:rsidR="00E94405" w:rsidRDefault="00A11609">
      <w:pPr>
        <w:pStyle w:val="TableText"/>
        <w:spacing w:after="240"/>
        <w:rPr>
          <w:szCs w:val="18"/>
        </w:rPr>
      </w:pPr>
      <w:r>
        <w:rPr>
          <w:noProof/>
          <w:szCs w:val="18"/>
        </w:rPr>
        <w:drawing>
          <wp:inline distT="0" distB="0" distL="0" distR="0">
            <wp:extent cx="724535" cy="260985"/>
            <wp:effectExtent l="19050" t="0" r="0" b="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4535" cy="260985"/>
                    </a:xfrm>
                    <a:prstGeom prst="rect">
                      <a:avLst/>
                    </a:prstGeom>
                    <a:noFill/>
                    <a:ln w="9525">
                      <a:noFill/>
                      <a:miter lim="800000"/>
                      <a:headEnd/>
                      <a:tailEnd/>
                    </a:ln>
                  </pic:spPr>
                </pic:pic>
              </a:graphicData>
            </a:graphic>
          </wp:inline>
        </w:drawing>
      </w:r>
    </w:p>
    <w:p w:rsidR="00E94405" w:rsidRDefault="00A11609">
      <w:pPr>
        <w:pStyle w:val="TableText"/>
        <w:spacing w:after="180"/>
        <w:rPr>
          <w:rFonts w:ascii="Cambria" w:hAnsi="Cambria"/>
          <w:szCs w:val="18"/>
        </w:rPr>
      </w:pPr>
      <w:r>
        <w:rPr>
          <w:rFonts w:ascii="Cambria" w:hAnsi="Cambria"/>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Pr>
            <w:rStyle w:val="Hyperlink"/>
            <w:rFonts w:ascii="Cambria" w:hAnsi="Cambria"/>
          </w:rPr>
          <w:t>creativecommons.org/licenses/by/3.0/au/deed.en</w:t>
        </w:r>
      </w:hyperlink>
      <w:r>
        <w:rPr>
          <w:rFonts w:ascii="Cambria" w:hAnsi="Cambria"/>
          <w:szCs w:val="18"/>
        </w:rPr>
        <w:t xml:space="preserve">. The full licence terms are available from </w:t>
      </w:r>
      <w:hyperlink r:id="rId15" w:history="1">
        <w:r>
          <w:rPr>
            <w:rStyle w:val="Hyperlink"/>
            <w:rFonts w:ascii="Cambria" w:hAnsi="Cambria"/>
          </w:rPr>
          <w:t>creativecommons.org/licenses/by/3.0/au/legalcode</w:t>
        </w:r>
      </w:hyperlink>
      <w:r>
        <w:rPr>
          <w:rFonts w:ascii="Cambria" w:hAnsi="Cambria"/>
          <w:szCs w:val="18"/>
        </w:rPr>
        <w:t>.</w:t>
      </w:r>
    </w:p>
    <w:p w:rsidR="00E94405" w:rsidRDefault="00A11609">
      <w:pPr>
        <w:pStyle w:val="TableText"/>
        <w:spacing w:after="180"/>
        <w:rPr>
          <w:rFonts w:ascii="Cambria" w:hAnsi="Cambria"/>
          <w:szCs w:val="18"/>
        </w:rPr>
      </w:pPr>
      <w:r>
        <w:rPr>
          <w:rFonts w:ascii="Cambria" w:hAnsi="Cambria"/>
          <w:szCs w:val="18"/>
        </w:rPr>
        <w:t xml:space="preserve">Inquiries about the licence and any use of this document should be sent to </w:t>
      </w:r>
      <w:hyperlink r:id="rId16" w:history="1">
        <w:r>
          <w:rPr>
            <w:rStyle w:val="Hyperlink"/>
            <w:rFonts w:ascii="Cambria" w:hAnsi="Cambria"/>
          </w:rPr>
          <w:t>copyright@agriculture.gov.au</w:t>
        </w:r>
      </w:hyperlink>
      <w:r>
        <w:rPr>
          <w:rFonts w:ascii="Cambria" w:hAnsi="Cambria"/>
          <w:szCs w:val="18"/>
        </w:rPr>
        <w:t>.</w:t>
      </w:r>
    </w:p>
    <w:p w:rsidR="00E94405" w:rsidRDefault="00A11609">
      <w:pPr>
        <w:pStyle w:val="TableText"/>
        <w:spacing w:after="120"/>
        <w:rPr>
          <w:rFonts w:ascii="Cambria" w:hAnsi="Cambria" w:cs="Cambria"/>
          <w:szCs w:val="18"/>
        </w:rPr>
      </w:pPr>
      <w:r>
        <w:rPr>
          <w:rFonts w:ascii="Cambria" w:hAnsi="Cambria"/>
          <w:szCs w:val="18"/>
        </w:rPr>
        <w:t xml:space="preserve">This publication (and any material sourced from it) should be attributed as: Australian Department of Agriculture </w:t>
      </w:r>
      <w:r>
        <w:rPr>
          <w:rFonts w:ascii="Cambria" w:hAnsi="Cambria" w:cs="Cambria"/>
          <w:szCs w:val="18"/>
        </w:rPr>
        <w:t xml:space="preserve">(2015) </w:t>
      </w:r>
      <w:r>
        <w:rPr>
          <w:rFonts w:ascii="Cambria" w:hAnsi="Cambria" w:cs="Cambria"/>
          <w:i/>
          <w:szCs w:val="18"/>
        </w:rPr>
        <w:t>Draft review of policy: importation of</w:t>
      </w:r>
      <w:r>
        <w:rPr>
          <w:rFonts w:ascii="Cambria" w:hAnsi="Cambria" w:cs="Cambria"/>
          <w:szCs w:val="18"/>
        </w:rPr>
        <w:t xml:space="preserve"> Phytophthora ramorum </w:t>
      </w:r>
      <w:r>
        <w:rPr>
          <w:rFonts w:ascii="Cambria" w:hAnsi="Cambria" w:cs="Cambria"/>
          <w:i/>
          <w:szCs w:val="18"/>
        </w:rPr>
        <w:t>host propagative material into Australia</w:t>
      </w:r>
      <w:r>
        <w:rPr>
          <w:rFonts w:ascii="Cambria" w:hAnsi="Cambria"/>
          <w:i/>
          <w:szCs w:val="18"/>
        </w:rPr>
        <w:t>.</w:t>
      </w:r>
      <w:r>
        <w:rPr>
          <w:rFonts w:ascii="Cambria" w:hAnsi="Cambria"/>
          <w:szCs w:val="18"/>
        </w:rPr>
        <w:t xml:space="preserve"> CC BY 3.0. </w:t>
      </w:r>
    </w:p>
    <w:p w:rsidR="00E94405" w:rsidRDefault="00A11609">
      <w:pPr>
        <w:rPr>
          <w:rFonts w:ascii="Cambria" w:hAnsi="Cambria" w:cs="Cambria"/>
          <w:b/>
          <w:bCs/>
          <w:sz w:val="18"/>
          <w:szCs w:val="18"/>
        </w:rPr>
      </w:pPr>
      <w:r>
        <w:rPr>
          <w:rFonts w:ascii="Cambria" w:hAnsi="Cambria" w:cs="Cambria"/>
          <w:b/>
          <w:bCs/>
          <w:sz w:val="18"/>
          <w:szCs w:val="18"/>
        </w:rPr>
        <w:t>Cataloguing data</w:t>
      </w:r>
    </w:p>
    <w:p w:rsidR="00E94405" w:rsidRDefault="00A11609">
      <w:pPr>
        <w:pStyle w:val="TableText"/>
        <w:spacing w:after="180"/>
        <w:rPr>
          <w:rFonts w:ascii="Cambria" w:hAnsi="Cambria" w:cs="Cambria"/>
          <w:szCs w:val="18"/>
        </w:rPr>
      </w:pPr>
      <w:r>
        <w:rPr>
          <w:rFonts w:ascii="Cambria" w:hAnsi="Cambria" w:cs="Cambria"/>
          <w:szCs w:val="18"/>
        </w:rPr>
        <w:t xml:space="preserve">Department of Agriculture (2015) Draft review of policy: importation of </w:t>
      </w:r>
      <w:r>
        <w:rPr>
          <w:rFonts w:ascii="Cambria" w:hAnsi="Cambria" w:cs="Cambria"/>
          <w:i/>
          <w:szCs w:val="18"/>
        </w:rPr>
        <w:t>Phytophthora ramorum</w:t>
      </w:r>
      <w:r>
        <w:rPr>
          <w:rFonts w:ascii="Cambria" w:hAnsi="Cambria" w:cs="Cambria"/>
          <w:szCs w:val="18"/>
        </w:rPr>
        <w:t xml:space="preserve"> host propagative material into Australia. Department of Agriculture, Canberra.</w:t>
      </w:r>
    </w:p>
    <w:p w:rsidR="00E94405" w:rsidRDefault="00A11609">
      <w:pPr>
        <w:pStyle w:val="TableText"/>
        <w:spacing w:after="120"/>
        <w:rPr>
          <w:rFonts w:ascii="Cambria" w:hAnsi="Cambria"/>
          <w:szCs w:val="18"/>
        </w:rPr>
      </w:pPr>
      <w:r>
        <w:rPr>
          <w:rFonts w:ascii="Cambria" w:hAnsi="Cambria"/>
          <w:szCs w:val="18"/>
        </w:rPr>
        <w:t xml:space="preserve">This publication is available at </w:t>
      </w:r>
      <w:hyperlink r:id="rId17" w:history="1">
        <w:r>
          <w:rPr>
            <w:rStyle w:val="Hyperlink"/>
            <w:rFonts w:ascii="Cambria" w:hAnsi="Cambria"/>
          </w:rPr>
          <w:t>agriculture.gov.au</w:t>
        </w:r>
      </w:hyperlink>
      <w:r>
        <w:rPr>
          <w:rFonts w:ascii="Cambria" w:hAnsi="Cambria"/>
          <w:szCs w:val="18"/>
        </w:rPr>
        <w:t>.</w:t>
      </w:r>
    </w:p>
    <w:p w:rsidR="00E94405" w:rsidRDefault="00A11609">
      <w:pPr>
        <w:pStyle w:val="TableText"/>
        <w:rPr>
          <w:rFonts w:ascii="Cambria" w:hAnsi="Cambria"/>
          <w:szCs w:val="18"/>
        </w:rPr>
      </w:pPr>
      <w:r>
        <w:rPr>
          <w:rFonts w:ascii="Cambria" w:hAnsi="Cambria"/>
          <w:szCs w:val="18"/>
        </w:rPr>
        <w:t>Australian Department of Agriculture</w:t>
      </w:r>
    </w:p>
    <w:p w:rsidR="00E94405" w:rsidRDefault="00A11609">
      <w:pPr>
        <w:pStyle w:val="TableText"/>
        <w:tabs>
          <w:tab w:val="center" w:pos="4535"/>
        </w:tabs>
        <w:rPr>
          <w:rFonts w:ascii="Cambria" w:hAnsi="Cambria"/>
          <w:szCs w:val="18"/>
        </w:rPr>
      </w:pPr>
      <w:r>
        <w:rPr>
          <w:rFonts w:ascii="Cambria" w:hAnsi="Cambria"/>
          <w:szCs w:val="18"/>
        </w:rPr>
        <w:t>Postal address: GPO Box 858 Canberra ACT 2601</w:t>
      </w:r>
    </w:p>
    <w:p w:rsidR="00E94405" w:rsidRDefault="00A11609">
      <w:pPr>
        <w:pStyle w:val="TableText"/>
        <w:rPr>
          <w:rFonts w:ascii="Cambria" w:hAnsi="Cambria"/>
          <w:szCs w:val="18"/>
        </w:rPr>
      </w:pPr>
      <w:r>
        <w:rPr>
          <w:rFonts w:ascii="Cambria" w:hAnsi="Cambria"/>
          <w:szCs w:val="18"/>
        </w:rPr>
        <w:t>Switchboard:</w:t>
      </w:r>
      <w:r>
        <w:rPr>
          <w:rFonts w:ascii="Cambria" w:hAnsi="Cambria"/>
          <w:szCs w:val="18"/>
        </w:rPr>
        <w:tab/>
        <w:t xml:space="preserve"> +61 2 6272 2000</w:t>
      </w:r>
    </w:p>
    <w:p w:rsidR="00E94405" w:rsidRDefault="00A11609">
      <w:pPr>
        <w:pStyle w:val="TableText"/>
        <w:rPr>
          <w:rFonts w:ascii="Cambria" w:hAnsi="Cambria"/>
          <w:szCs w:val="18"/>
        </w:rPr>
      </w:pPr>
      <w:r>
        <w:rPr>
          <w:rFonts w:ascii="Cambria" w:hAnsi="Cambria"/>
          <w:szCs w:val="18"/>
        </w:rPr>
        <w:t>Facsimile:</w:t>
      </w:r>
      <w:r>
        <w:rPr>
          <w:rFonts w:ascii="Cambria" w:hAnsi="Cambria"/>
          <w:szCs w:val="18"/>
        </w:rPr>
        <w:tab/>
        <w:t xml:space="preserve"> +61 2 6272 2001</w:t>
      </w:r>
    </w:p>
    <w:p w:rsidR="00E94405" w:rsidRDefault="00A11609">
      <w:pPr>
        <w:pStyle w:val="TableText"/>
        <w:spacing w:after="180"/>
        <w:rPr>
          <w:rFonts w:ascii="Cambria" w:hAnsi="Cambria"/>
          <w:szCs w:val="18"/>
        </w:rPr>
      </w:pPr>
      <w:r>
        <w:rPr>
          <w:rFonts w:ascii="Cambria" w:hAnsi="Cambria"/>
        </w:rPr>
        <w:t xml:space="preserve">Internet: </w:t>
      </w:r>
      <w:hyperlink r:id="rId18" w:history="1">
        <w:r>
          <w:rPr>
            <w:rStyle w:val="Hyperlink"/>
            <w:rFonts w:ascii="Cambria" w:hAnsi="Cambria"/>
          </w:rPr>
          <w:t>agriculture.gov.au</w:t>
        </w:r>
      </w:hyperlink>
    </w:p>
    <w:p w:rsidR="00E94405" w:rsidRDefault="00A11609">
      <w:pPr>
        <w:pStyle w:val="TableText"/>
        <w:spacing w:after="120"/>
        <w:rPr>
          <w:rFonts w:ascii="Cambria" w:hAnsi="Cambria"/>
          <w:szCs w:val="18"/>
        </w:rPr>
      </w:pPr>
      <w:r>
        <w:rPr>
          <w:rFonts w:ascii="Cambria" w:hAnsi="Cambria"/>
          <w:szCs w:val="18"/>
        </w:rP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E94405" w:rsidRDefault="00A11609">
      <w:pPr>
        <w:pStyle w:val="TableText"/>
        <w:rPr>
          <w:b/>
          <w:szCs w:val="18"/>
        </w:rPr>
      </w:pPr>
      <w:r>
        <w:rPr>
          <w:b/>
          <w:szCs w:val="18"/>
        </w:rPr>
        <w:t>Submissions</w:t>
      </w:r>
    </w:p>
    <w:p w:rsidR="00E94405" w:rsidRDefault="00A11609">
      <w:pPr>
        <w:pStyle w:val="TableText"/>
        <w:spacing w:after="120"/>
        <w:rPr>
          <w:rFonts w:ascii="Cambria" w:hAnsi="Cambria"/>
          <w:szCs w:val="18"/>
        </w:rPr>
      </w:pPr>
      <w:r>
        <w:rPr>
          <w:rFonts w:ascii="Cambria" w:hAnsi="Cambria"/>
          <w:szCs w:val="18"/>
        </w:rPr>
        <w:t>This draft report has been issued to give all interested parties an opportunity to comment and draw attention to any scientific, technical, or other gaps in the data, misinterpretations and errors. Any comments should be submitted to the Australian Department of Agriculture within the comment period stated in the related Biosecurity Advice on the website. The draft report will then be revised as necessary to take account of the comments received and a final report prepared.</w:t>
      </w:r>
    </w:p>
    <w:p w:rsidR="00E94405" w:rsidRDefault="00A11609">
      <w:pPr>
        <w:pStyle w:val="TableText"/>
        <w:spacing w:after="160"/>
        <w:rPr>
          <w:rFonts w:ascii="Cambria" w:hAnsi="Cambria"/>
          <w:szCs w:val="18"/>
        </w:rPr>
      </w:pPr>
      <w:r>
        <w:rPr>
          <w:rFonts w:ascii="Cambria" w:hAnsi="Cambria"/>
          <w:szCs w:val="18"/>
        </w:rPr>
        <w:t>Comments on the draft report should be submitted to:</w:t>
      </w:r>
    </w:p>
    <w:p w:rsidR="00E94405" w:rsidRDefault="00A11609">
      <w:pPr>
        <w:pStyle w:val="TableText"/>
        <w:rPr>
          <w:rFonts w:ascii="Cambria" w:hAnsi="Cambria"/>
          <w:szCs w:val="18"/>
        </w:rPr>
      </w:pPr>
      <w:r>
        <w:rPr>
          <w:rFonts w:ascii="Cambria" w:hAnsi="Cambria"/>
          <w:szCs w:val="18"/>
        </w:rPr>
        <w:t>Biosecurity Plant</w:t>
      </w:r>
      <w:r>
        <w:rPr>
          <w:rFonts w:ascii="Cambria" w:hAnsi="Cambria"/>
          <w:szCs w:val="18"/>
        </w:rPr>
        <w:br/>
        <w:t>Australian Department of Agriculture</w:t>
      </w:r>
      <w:r>
        <w:rPr>
          <w:rFonts w:ascii="Cambria" w:hAnsi="Cambria"/>
          <w:szCs w:val="18"/>
        </w:rPr>
        <w:br/>
        <w:t>GPO Box 858 Canberra ACT 2601, Australia</w:t>
      </w:r>
    </w:p>
    <w:p w:rsidR="00E94405" w:rsidRDefault="00A11609">
      <w:pPr>
        <w:pStyle w:val="TableText"/>
        <w:rPr>
          <w:rFonts w:ascii="Cambria" w:hAnsi="Cambria"/>
          <w:szCs w:val="18"/>
        </w:rPr>
      </w:pPr>
      <w:r>
        <w:rPr>
          <w:rFonts w:ascii="Cambria" w:hAnsi="Cambria"/>
          <w:szCs w:val="18"/>
        </w:rPr>
        <w:t>Telephone:</w:t>
      </w:r>
      <w:r>
        <w:rPr>
          <w:rFonts w:ascii="Cambria" w:hAnsi="Cambria"/>
          <w:szCs w:val="18"/>
        </w:rPr>
        <w:tab/>
        <w:t xml:space="preserve"> +61 2 6272 3933</w:t>
      </w:r>
    </w:p>
    <w:p w:rsidR="00E94405" w:rsidRDefault="00A11609">
      <w:pPr>
        <w:pStyle w:val="TableText"/>
        <w:rPr>
          <w:rFonts w:ascii="Cambria" w:hAnsi="Cambria"/>
          <w:szCs w:val="18"/>
        </w:rPr>
      </w:pPr>
      <w:r>
        <w:rPr>
          <w:rFonts w:ascii="Cambria" w:hAnsi="Cambria"/>
          <w:szCs w:val="18"/>
        </w:rPr>
        <w:t>Facsimile:</w:t>
      </w:r>
      <w:r>
        <w:rPr>
          <w:rFonts w:ascii="Cambria" w:hAnsi="Cambria"/>
          <w:szCs w:val="18"/>
        </w:rPr>
        <w:tab/>
        <w:t xml:space="preserve"> +61 2 6272 3307</w:t>
      </w:r>
    </w:p>
    <w:p w:rsidR="00E94405" w:rsidRDefault="00A11609">
      <w:pPr>
        <w:pStyle w:val="TableText"/>
        <w:rPr>
          <w:rFonts w:ascii="Cambria" w:hAnsi="Cambria"/>
          <w:szCs w:val="18"/>
        </w:rPr>
      </w:pPr>
      <w:r>
        <w:rPr>
          <w:rFonts w:ascii="Cambria" w:hAnsi="Cambria"/>
          <w:szCs w:val="18"/>
        </w:rPr>
        <w:t>Email: plant@agriculture.gov.au</w:t>
      </w:r>
    </w:p>
    <w:p w:rsidR="00E94405" w:rsidRDefault="00A11609">
      <w:pPr>
        <w:pStyle w:val="TableText"/>
        <w:rPr>
          <w:rFonts w:ascii="Cambria" w:hAnsi="Cambria"/>
          <w:szCs w:val="18"/>
        </w:rPr>
      </w:pPr>
      <w:r>
        <w:rPr>
          <w:rFonts w:ascii="Cambria" w:hAnsi="Cambria"/>
          <w:szCs w:val="18"/>
        </w:rPr>
        <w:t>Internet: agriculture.gov.au/biosecurity</w:t>
      </w:r>
    </w:p>
    <w:p w:rsidR="00E94405" w:rsidRDefault="00E94405">
      <w:pPr>
        <w:pStyle w:val="TOCHeading"/>
        <w:pageBreakBefore w:val="0"/>
        <w:spacing w:after="120"/>
        <w:rPr>
          <w:rFonts w:ascii="Cambria" w:eastAsiaTheme="majorEastAsia" w:hAnsi="Cambria" w:cstheme="majorBidi"/>
          <w:b/>
          <w:color w:val="D52B1E"/>
          <w:sz w:val="34"/>
          <w:lang w:val="en-AU"/>
        </w:rPr>
        <w:sectPr w:rsidR="00E94405">
          <w:headerReference w:type="default" r:id="rId19"/>
          <w:footerReference w:type="default" r:id="rId20"/>
          <w:footerReference w:type="first" r:id="rId21"/>
          <w:pgSz w:w="11906" w:h="16838"/>
          <w:pgMar w:top="1418" w:right="1418" w:bottom="1418" w:left="1418" w:header="567" w:footer="283" w:gutter="0"/>
          <w:pgNumType w:fmt="lowerRoman"/>
          <w:cols w:space="708"/>
          <w:titlePg/>
          <w:docGrid w:linePitch="360"/>
        </w:sectPr>
      </w:pPr>
    </w:p>
    <w:p w:rsidR="00E94405" w:rsidRDefault="00A11609">
      <w:pPr>
        <w:pStyle w:val="TOCHeading"/>
        <w:pageBreakBefore w:val="0"/>
        <w:spacing w:after="120"/>
        <w:rPr>
          <w:rFonts w:eastAsiaTheme="majorEastAsia" w:cstheme="majorBidi"/>
          <w:b/>
          <w:color w:val="D52B1E"/>
          <w:sz w:val="34"/>
          <w:lang w:val="en-AU"/>
        </w:rPr>
      </w:pPr>
      <w:r>
        <w:rPr>
          <w:rFonts w:eastAsiaTheme="majorEastAsia" w:cstheme="majorBidi"/>
          <w:b/>
          <w:color w:val="D52B1E"/>
          <w:sz w:val="34"/>
          <w:lang w:val="en-AU"/>
        </w:rPr>
        <w:lastRenderedPageBreak/>
        <w:t>Contents</w:t>
      </w:r>
    </w:p>
    <w:p w:rsidR="00A11609" w:rsidRDefault="000D37BE">
      <w:pPr>
        <w:pStyle w:val="TOC1"/>
        <w:rPr>
          <w:rFonts w:eastAsiaTheme="minorEastAsia"/>
          <w:b w:val="0"/>
          <w:noProof/>
        </w:rPr>
      </w:pPr>
      <w:r w:rsidRPr="000D37BE">
        <w:rPr>
          <w:rFonts w:asciiTheme="majorHAnsi" w:hAnsiTheme="majorHAnsi"/>
          <w:b w:val="0"/>
          <w:bCs/>
          <w:sz w:val="20"/>
          <w:szCs w:val="20"/>
        </w:rPr>
        <w:fldChar w:fldCharType="begin"/>
      </w:r>
      <w:r w:rsidR="00A11609">
        <w:rPr>
          <w:rFonts w:asciiTheme="majorHAnsi" w:hAnsiTheme="majorHAnsi"/>
          <w:b w:val="0"/>
          <w:bCs/>
          <w:sz w:val="20"/>
          <w:szCs w:val="20"/>
        </w:rPr>
        <w:instrText xml:space="preserve"> TOC \o "1-2" </w:instrText>
      </w:r>
      <w:r w:rsidRPr="000D37BE">
        <w:rPr>
          <w:rFonts w:asciiTheme="majorHAnsi" w:hAnsiTheme="majorHAnsi"/>
          <w:b w:val="0"/>
          <w:bCs/>
          <w:sz w:val="20"/>
          <w:szCs w:val="20"/>
        </w:rPr>
        <w:fldChar w:fldCharType="separate"/>
      </w:r>
      <w:r w:rsidR="00A11609" w:rsidRPr="009803EF">
        <w:rPr>
          <w:noProof/>
        </w:rPr>
        <w:t>Acronyms and abbreviations</w:t>
      </w:r>
      <w:r w:rsidR="00A11609">
        <w:rPr>
          <w:noProof/>
        </w:rPr>
        <w:tab/>
      </w:r>
      <w:r>
        <w:rPr>
          <w:noProof/>
        </w:rPr>
        <w:fldChar w:fldCharType="begin"/>
      </w:r>
      <w:r w:rsidR="00A11609">
        <w:rPr>
          <w:noProof/>
        </w:rPr>
        <w:instrText xml:space="preserve"> PAGEREF _Toc414019435 \h </w:instrText>
      </w:r>
      <w:r>
        <w:rPr>
          <w:noProof/>
        </w:rPr>
      </w:r>
      <w:r>
        <w:rPr>
          <w:noProof/>
        </w:rPr>
        <w:fldChar w:fldCharType="separate"/>
      </w:r>
      <w:r w:rsidR="00A11609">
        <w:rPr>
          <w:noProof/>
        </w:rPr>
        <w:t>vi</w:t>
      </w:r>
      <w:r>
        <w:rPr>
          <w:noProof/>
        </w:rPr>
        <w:fldChar w:fldCharType="end"/>
      </w:r>
    </w:p>
    <w:p w:rsidR="00A11609" w:rsidRDefault="00A11609">
      <w:pPr>
        <w:pStyle w:val="TOC1"/>
        <w:rPr>
          <w:rFonts w:eastAsiaTheme="minorEastAsia"/>
          <w:b w:val="0"/>
          <w:noProof/>
        </w:rPr>
      </w:pPr>
      <w:r w:rsidRPr="009803EF">
        <w:rPr>
          <w:noProof/>
        </w:rPr>
        <w:t>Summary</w:t>
      </w:r>
      <w:r>
        <w:rPr>
          <w:noProof/>
        </w:rPr>
        <w:tab/>
      </w:r>
      <w:r w:rsidR="000D37BE">
        <w:rPr>
          <w:noProof/>
        </w:rPr>
        <w:fldChar w:fldCharType="begin"/>
      </w:r>
      <w:r>
        <w:rPr>
          <w:noProof/>
        </w:rPr>
        <w:instrText xml:space="preserve"> PAGEREF _Toc414019436 \h </w:instrText>
      </w:r>
      <w:r w:rsidR="000D37BE">
        <w:rPr>
          <w:noProof/>
        </w:rPr>
      </w:r>
      <w:r w:rsidR="000D37BE">
        <w:rPr>
          <w:noProof/>
        </w:rPr>
        <w:fldChar w:fldCharType="separate"/>
      </w:r>
      <w:r>
        <w:rPr>
          <w:noProof/>
        </w:rPr>
        <w:t>7</w:t>
      </w:r>
      <w:r w:rsidR="000D37BE">
        <w:rPr>
          <w:noProof/>
        </w:rPr>
        <w:fldChar w:fldCharType="end"/>
      </w:r>
    </w:p>
    <w:p w:rsidR="00A11609" w:rsidRDefault="00A11609">
      <w:pPr>
        <w:pStyle w:val="TOC1"/>
        <w:rPr>
          <w:rFonts w:eastAsiaTheme="minorEastAsia"/>
          <w:b w:val="0"/>
          <w:noProof/>
        </w:rPr>
      </w:pPr>
      <w:r w:rsidRPr="009803EF">
        <w:rPr>
          <w:rFonts w:ascii="Arial" w:eastAsiaTheme="majorEastAsia" w:hAnsi="Arial" w:cstheme="majorBidi"/>
          <w:noProof/>
          <w:color w:val="D52B1E"/>
        </w:rPr>
        <w:t>1.</w:t>
      </w:r>
      <w:r>
        <w:rPr>
          <w:rFonts w:eastAsiaTheme="minorEastAsia"/>
          <w:b w:val="0"/>
          <w:noProof/>
        </w:rPr>
        <w:tab/>
      </w:r>
      <w:r w:rsidRPr="009803EF">
        <w:rPr>
          <w:rFonts w:eastAsiaTheme="majorEastAsia" w:cstheme="majorBidi"/>
          <w:noProof/>
          <w:color w:val="D52B1E"/>
        </w:rPr>
        <w:t>Introduction</w:t>
      </w:r>
      <w:r>
        <w:rPr>
          <w:noProof/>
        </w:rPr>
        <w:tab/>
      </w:r>
      <w:r w:rsidR="000D37BE">
        <w:rPr>
          <w:noProof/>
        </w:rPr>
        <w:fldChar w:fldCharType="begin"/>
      </w:r>
      <w:r>
        <w:rPr>
          <w:noProof/>
        </w:rPr>
        <w:instrText xml:space="preserve"> PAGEREF _Toc414019437 \h </w:instrText>
      </w:r>
      <w:r w:rsidR="000D37BE">
        <w:rPr>
          <w:noProof/>
        </w:rPr>
      </w:r>
      <w:r w:rsidR="000D37BE">
        <w:rPr>
          <w:noProof/>
        </w:rPr>
        <w:fldChar w:fldCharType="separate"/>
      </w:r>
      <w:r>
        <w:rPr>
          <w:noProof/>
        </w:rPr>
        <w:t>9</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1.1</w:t>
      </w:r>
      <w:r>
        <w:rPr>
          <w:rFonts w:eastAsiaTheme="minorEastAsia"/>
          <w:noProof/>
        </w:rPr>
        <w:tab/>
      </w:r>
      <w:r w:rsidRPr="009803EF">
        <w:rPr>
          <w:rFonts w:eastAsiaTheme="majorEastAsia" w:cstheme="majorBidi"/>
          <w:noProof/>
          <w:color w:val="773141"/>
        </w:rPr>
        <w:t>Australia’s biosecurity policy framework</w:t>
      </w:r>
      <w:r>
        <w:rPr>
          <w:noProof/>
        </w:rPr>
        <w:tab/>
      </w:r>
      <w:r w:rsidR="000D37BE">
        <w:rPr>
          <w:noProof/>
        </w:rPr>
        <w:fldChar w:fldCharType="begin"/>
      </w:r>
      <w:r>
        <w:rPr>
          <w:noProof/>
        </w:rPr>
        <w:instrText xml:space="preserve"> PAGEREF _Toc414019438 \h </w:instrText>
      </w:r>
      <w:r w:rsidR="000D37BE">
        <w:rPr>
          <w:noProof/>
        </w:rPr>
      </w:r>
      <w:r w:rsidR="000D37BE">
        <w:rPr>
          <w:noProof/>
        </w:rPr>
        <w:fldChar w:fldCharType="separate"/>
      </w:r>
      <w:r>
        <w:rPr>
          <w:noProof/>
        </w:rPr>
        <w:t>9</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1.2</w:t>
      </w:r>
      <w:r>
        <w:rPr>
          <w:rFonts w:eastAsiaTheme="minorEastAsia"/>
          <w:noProof/>
        </w:rPr>
        <w:tab/>
      </w:r>
      <w:r w:rsidRPr="009803EF">
        <w:rPr>
          <w:rFonts w:eastAsiaTheme="majorEastAsia" w:cstheme="majorBidi"/>
          <w:noProof/>
          <w:color w:val="773141"/>
        </w:rPr>
        <w:t>This review of policy</w:t>
      </w:r>
      <w:r>
        <w:rPr>
          <w:noProof/>
        </w:rPr>
        <w:tab/>
      </w:r>
      <w:r w:rsidR="000D37BE">
        <w:rPr>
          <w:noProof/>
        </w:rPr>
        <w:fldChar w:fldCharType="begin"/>
      </w:r>
      <w:r>
        <w:rPr>
          <w:noProof/>
        </w:rPr>
        <w:instrText xml:space="preserve"> PAGEREF _Toc414019439 \h </w:instrText>
      </w:r>
      <w:r w:rsidR="000D37BE">
        <w:rPr>
          <w:noProof/>
        </w:rPr>
      </w:r>
      <w:r w:rsidR="000D37BE">
        <w:rPr>
          <w:noProof/>
        </w:rPr>
        <w:fldChar w:fldCharType="separate"/>
      </w:r>
      <w:r>
        <w:rPr>
          <w:noProof/>
        </w:rPr>
        <w:t>9</w:t>
      </w:r>
      <w:r w:rsidR="000D37BE">
        <w:rPr>
          <w:noProof/>
        </w:rPr>
        <w:fldChar w:fldCharType="end"/>
      </w:r>
    </w:p>
    <w:p w:rsidR="00A11609" w:rsidRDefault="00A11609">
      <w:pPr>
        <w:pStyle w:val="TOC1"/>
        <w:rPr>
          <w:rFonts w:eastAsiaTheme="minorEastAsia"/>
          <w:b w:val="0"/>
          <w:noProof/>
        </w:rPr>
      </w:pPr>
      <w:r w:rsidRPr="009803EF">
        <w:rPr>
          <w:rFonts w:eastAsiaTheme="majorEastAsia" w:cstheme="majorBidi"/>
          <w:noProof/>
          <w:color w:val="D52B1E"/>
        </w:rPr>
        <w:t>2</w:t>
      </w:r>
      <w:r>
        <w:rPr>
          <w:rFonts w:eastAsiaTheme="minorEastAsia"/>
          <w:b w:val="0"/>
          <w:noProof/>
        </w:rPr>
        <w:tab/>
      </w:r>
      <w:r w:rsidRPr="009803EF">
        <w:rPr>
          <w:rFonts w:eastAsiaTheme="majorEastAsia" w:cstheme="majorBidi"/>
          <w:noProof/>
          <w:color w:val="D52B1E"/>
        </w:rPr>
        <w:t>Method for pest risk analysis</w:t>
      </w:r>
      <w:r>
        <w:rPr>
          <w:noProof/>
        </w:rPr>
        <w:tab/>
      </w:r>
      <w:r w:rsidR="000D37BE">
        <w:rPr>
          <w:noProof/>
        </w:rPr>
        <w:fldChar w:fldCharType="begin"/>
      </w:r>
      <w:r>
        <w:rPr>
          <w:noProof/>
        </w:rPr>
        <w:instrText xml:space="preserve"> PAGEREF _Toc414019440 \h </w:instrText>
      </w:r>
      <w:r w:rsidR="000D37BE">
        <w:rPr>
          <w:noProof/>
        </w:rPr>
      </w:r>
      <w:r w:rsidR="000D37BE">
        <w:rPr>
          <w:noProof/>
        </w:rPr>
        <w:fldChar w:fldCharType="separate"/>
      </w:r>
      <w:r>
        <w:rPr>
          <w:noProof/>
        </w:rPr>
        <w:t>13</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2.1</w:t>
      </w:r>
      <w:r>
        <w:rPr>
          <w:rFonts w:eastAsiaTheme="minorEastAsia"/>
          <w:noProof/>
        </w:rPr>
        <w:tab/>
      </w:r>
      <w:r w:rsidRPr="009803EF">
        <w:rPr>
          <w:rFonts w:eastAsiaTheme="majorEastAsia" w:cstheme="majorBidi"/>
          <w:noProof/>
          <w:color w:val="773141"/>
        </w:rPr>
        <w:t>Stage 1: Initiation</w:t>
      </w:r>
      <w:r>
        <w:rPr>
          <w:noProof/>
        </w:rPr>
        <w:tab/>
      </w:r>
      <w:r w:rsidR="000D37BE">
        <w:rPr>
          <w:noProof/>
        </w:rPr>
        <w:fldChar w:fldCharType="begin"/>
      </w:r>
      <w:r>
        <w:rPr>
          <w:noProof/>
        </w:rPr>
        <w:instrText xml:space="preserve"> PAGEREF _Toc414019441 \h </w:instrText>
      </w:r>
      <w:r w:rsidR="000D37BE">
        <w:rPr>
          <w:noProof/>
        </w:rPr>
      </w:r>
      <w:r w:rsidR="000D37BE">
        <w:rPr>
          <w:noProof/>
        </w:rPr>
        <w:fldChar w:fldCharType="separate"/>
      </w:r>
      <w:r>
        <w:rPr>
          <w:noProof/>
        </w:rPr>
        <w:t>13</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2.2</w:t>
      </w:r>
      <w:r>
        <w:rPr>
          <w:rFonts w:eastAsiaTheme="minorEastAsia"/>
          <w:noProof/>
        </w:rPr>
        <w:tab/>
      </w:r>
      <w:r w:rsidRPr="009803EF">
        <w:rPr>
          <w:rFonts w:eastAsiaTheme="majorEastAsia" w:cstheme="majorBidi"/>
          <w:noProof/>
          <w:color w:val="773141"/>
        </w:rPr>
        <w:t>Stage 2: Pest risk assessment</w:t>
      </w:r>
      <w:r>
        <w:rPr>
          <w:noProof/>
        </w:rPr>
        <w:tab/>
      </w:r>
      <w:r w:rsidR="000D37BE">
        <w:rPr>
          <w:noProof/>
        </w:rPr>
        <w:fldChar w:fldCharType="begin"/>
      </w:r>
      <w:r>
        <w:rPr>
          <w:noProof/>
        </w:rPr>
        <w:instrText xml:space="preserve"> PAGEREF _Toc414019442 \h </w:instrText>
      </w:r>
      <w:r w:rsidR="000D37BE">
        <w:rPr>
          <w:noProof/>
        </w:rPr>
      </w:r>
      <w:r w:rsidR="000D37BE">
        <w:rPr>
          <w:noProof/>
        </w:rPr>
        <w:fldChar w:fldCharType="separate"/>
      </w:r>
      <w:r>
        <w:rPr>
          <w:noProof/>
        </w:rPr>
        <w:t>13</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2.3</w:t>
      </w:r>
      <w:r>
        <w:rPr>
          <w:rFonts w:eastAsiaTheme="minorEastAsia"/>
          <w:noProof/>
        </w:rPr>
        <w:tab/>
      </w:r>
      <w:r w:rsidRPr="009803EF">
        <w:rPr>
          <w:rFonts w:eastAsiaTheme="majorEastAsia" w:cstheme="majorBidi"/>
          <w:noProof/>
          <w:color w:val="773141"/>
        </w:rPr>
        <w:t>Stage 3: Pest risk management</w:t>
      </w:r>
      <w:r>
        <w:rPr>
          <w:noProof/>
        </w:rPr>
        <w:tab/>
      </w:r>
      <w:r w:rsidR="000D37BE">
        <w:rPr>
          <w:noProof/>
        </w:rPr>
        <w:fldChar w:fldCharType="begin"/>
      </w:r>
      <w:r>
        <w:rPr>
          <w:noProof/>
        </w:rPr>
        <w:instrText xml:space="preserve"> PAGEREF _Toc414019443 \h </w:instrText>
      </w:r>
      <w:r w:rsidR="000D37BE">
        <w:rPr>
          <w:noProof/>
        </w:rPr>
      </w:r>
      <w:r w:rsidR="000D37BE">
        <w:rPr>
          <w:noProof/>
        </w:rPr>
        <w:fldChar w:fldCharType="separate"/>
      </w:r>
      <w:r>
        <w:rPr>
          <w:noProof/>
        </w:rPr>
        <w:t>20</w:t>
      </w:r>
      <w:r w:rsidR="000D37BE">
        <w:rPr>
          <w:noProof/>
        </w:rPr>
        <w:fldChar w:fldCharType="end"/>
      </w:r>
    </w:p>
    <w:p w:rsidR="00A11609" w:rsidRDefault="00A11609">
      <w:pPr>
        <w:pStyle w:val="TOC1"/>
        <w:rPr>
          <w:rFonts w:eastAsiaTheme="minorEastAsia"/>
          <w:b w:val="0"/>
          <w:noProof/>
        </w:rPr>
      </w:pPr>
      <w:r w:rsidRPr="009803EF">
        <w:rPr>
          <w:rFonts w:eastAsiaTheme="majorEastAsia" w:cstheme="majorBidi"/>
          <w:noProof/>
          <w:color w:val="D52B1E"/>
        </w:rPr>
        <w:t>3</w:t>
      </w:r>
      <w:r>
        <w:rPr>
          <w:rFonts w:eastAsiaTheme="minorEastAsia"/>
          <w:b w:val="0"/>
          <w:noProof/>
        </w:rPr>
        <w:tab/>
      </w:r>
      <w:r w:rsidRPr="009803EF">
        <w:rPr>
          <w:rFonts w:eastAsiaTheme="majorEastAsia" w:cstheme="majorBidi"/>
          <w:noProof/>
          <w:color w:val="D52B1E"/>
        </w:rPr>
        <w:t>The pathogens</w:t>
      </w:r>
      <w:r>
        <w:rPr>
          <w:noProof/>
        </w:rPr>
        <w:tab/>
      </w:r>
      <w:r w:rsidR="000D37BE">
        <w:rPr>
          <w:noProof/>
        </w:rPr>
        <w:fldChar w:fldCharType="begin"/>
      </w:r>
      <w:r>
        <w:rPr>
          <w:noProof/>
        </w:rPr>
        <w:instrText xml:space="preserve"> PAGEREF _Toc414019444 \h </w:instrText>
      </w:r>
      <w:r w:rsidR="000D37BE">
        <w:rPr>
          <w:noProof/>
        </w:rPr>
      </w:r>
      <w:r w:rsidR="000D37BE">
        <w:rPr>
          <w:noProof/>
        </w:rPr>
        <w:fldChar w:fldCharType="separate"/>
      </w:r>
      <w:r>
        <w:rPr>
          <w:noProof/>
        </w:rPr>
        <w:t>22</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3.1</w:t>
      </w:r>
      <w:r>
        <w:rPr>
          <w:rFonts w:eastAsiaTheme="minorEastAsia"/>
          <w:noProof/>
        </w:rPr>
        <w:tab/>
      </w:r>
      <w:r w:rsidRPr="009803EF">
        <w:rPr>
          <w:rFonts w:eastAsiaTheme="majorEastAsia" w:cstheme="majorBidi"/>
          <w:noProof/>
          <w:color w:val="773141"/>
        </w:rPr>
        <w:t xml:space="preserve">Symptoms produced by the </w:t>
      </w:r>
      <w:r w:rsidRPr="009803EF">
        <w:rPr>
          <w:rFonts w:eastAsiaTheme="majorEastAsia" w:cstheme="majorBidi"/>
          <w:i/>
          <w:noProof/>
          <w:color w:val="773141"/>
        </w:rPr>
        <w:t>Phytophthora</w:t>
      </w:r>
      <w:r w:rsidRPr="009803EF">
        <w:rPr>
          <w:rFonts w:eastAsiaTheme="majorEastAsia" w:cstheme="majorBidi"/>
          <w:noProof/>
          <w:color w:val="773141"/>
        </w:rPr>
        <w:t xml:space="preserve"> species</w:t>
      </w:r>
      <w:r>
        <w:rPr>
          <w:noProof/>
        </w:rPr>
        <w:tab/>
      </w:r>
      <w:r w:rsidR="000D37BE">
        <w:rPr>
          <w:noProof/>
        </w:rPr>
        <w:fldChar w:fldCharType="begin"/>
      </w:r>
      <w:r>
        <w:rPr>
          <w:noProof/>
        </w:rPr>
        <w:instrText xml:space="preserve"> PAGEREF _Toc414019445 \h </w:instrText>
      </w:r>
      <w:r w:rsidR="000D37BE">
        <w:rPr>
          <w:noProof/>
        </w:rPr>
      </w:r>
      <w:r w:rsidR="000D37BE">
        <w:rPr>
          <w:noProof/>
        </w:rPr>
        <w:fldChar w:fldCharType="separate"/>
      </w:r>
      <w:r>
        <w:rPr>
          <w:noProof/>
        </w:rPr>
        <w:t>23</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3.2</w:t>
      </w:r>
      <w:r>
        <w:rPr>
          <w:rFonts w:eastAsiaTheme="minorEastAsia"/>
          <w:noProof/>
        </w:rPr>
        <w:tab/>
      </w:r>
      <w:r w:rsidRPr="009803EF">
        <w:rPr>
          <w:rFonts w:eastAsiaTheme="majorEastAsia" w:cstheme="majorBidi"/>
          <w:noProof/>
          <w:color w:val="773141"/>
        </w:rPr>
        <w:t xml:space="preserve">Biology of the </w:t>
      </w:r>
      <w:r w:rsidRPr="009803EF">
        <w:rPr>
          <w:rFonts w:eastAsiaTheme="majorEastAsia" w:cstheme="majorBidi"/>
          <w:i/>
          <w:noProof/>
          <w:color w:val="773141"/>
        </w:rPr>
        <w:t>Phytophthora</w:t>
      </w:r>
      <w:r w:rsidRPr="009803EF">
        <w:rPr>
          <w:rFonts w:eastAsiaTheme="majorEastAsia" w:cstheme="majorBidi"/>
          <w:noProof/>
          <w:color w:val="773141"/>
        </w:rPr>
        <w:t xml:space="preserve"> species</w:t>
      </w:r>
      <w:r>
        <w:rPr>
          <w:noProof/>
        </w:rPr>
        <w:tab/>
      </w:r>
      <w:r w:rsidR="000D37BE">
        <w:rPr>
          <w:noProof/>
        </w:rPr>
        <w:fldChar w:fldCharType="begin"/>
      </w:r>
      <w:r>
        <w:rPr>
          <w:noProof/>
        </w:rPr>
        <w:instrText xml:space="preserve"> PAGEREF _Toc414019446 \h </w:instrText>
      </w:r>
      <w:r w:rsidR="000D37BE">
        <w:rPr>
          <w:noProof/>
        </w:rPr>
      </w:r>
      <w:r w:rsidR="000D37BE">
        <w:rPr>
          <w:noProof/>
        </w:rPr>
        <w:fldChar w:fldCharType="separate"/>
      </w:r>
      <w:r>
        <w:rPr>
          <w:noProof/>
        </w:rPr>
        <w:t>23</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3.3</w:t>
      </w:r>
      <w:r>
        <w:rPr>
          <w:rFonts w:eastAsiaTheme="minorEastAsia"/>
          <w:noProof/>
        </w:rPr>
        <w:tab/>
      </w:r>
      <w:r w:rsidRPr="009803EF">
        <w:rPr>
          <w:rFonts w:eastAsiaTheme="majorEastAsia" w:cstheme="majorBidi"/>
          <w:noProof/>
          <w:color w:val="773141"/>
        </w:rPr>
        <w:t xml:space="preserve">Global occurrence of the </w:t>
      </w:r>
      <w:r w:rsidRPr="009803EF">
        <w:rPr>
          <w:rFonts w:eastAsiaTheme="majorEastAsia" w:cstheme="majorBidi"/>
          <w:i/>
          <w:noProof/>
          <w:color w:val="773141"/>
        </w:rPr>
        <w:t>Phytophthora</w:t>
      </w:r>
      <w:r w:rsidRPr="009803EF">
        <w:rPr>
          <w:rFonts w:eastAsiaTheme="majorEastAsia" w:cstheme="majorBidi"/>
          <w:noProof/>
          <w:color w:val="773141"/>
        </w:rPr>
        <w:t xml:space="preserve"> species</w:t>
      </w:r>
      <w:r>
        <w:rPr>
          <w:noProof/>
        </w:rPr>
        <w:tab/>
      </w:r>
      <w:r w:rsidR="000D37BE">
        <w:rPr>
          <w:noProof/>
        </w:rPr>
        <w:fldChar w:fldCharType="begin"/>
      </w:r>
      <w:r>
        <w:rPr>
          <w:noProof/>
        </w:rPr>
        <w:instrText xml:space="preserve"> PAGEREF _Toc414019447 \h </w:instrText>
      </w:r>
      <w:r w:rsidR="000D37BE">
        <w:rPr>
          <w:noProof/>
        </w:rPr>
      </w:r>
      <w:r w:rsidR="000D37BE">
        <w:rPr>
          <w:noProof/>
        </w:rPr>
        <w:fldChar w:fldCharType="separate"/>
      </w:r>
      <w:r>
        <w:rPr>
          <w:noProof/>
        </w:rPr>
        <w:t>25</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3.4</w:t>
      </w:r>
      <w:r>
        <w:rPr>
          <w:rFonts w:eastAsiaTheme="minorEastAsia"/>
          <w:noProof/>
        </w:rPr>
        <w:tab/>
      </w:r>
      <w:r w:rsidRPr="009803EF">
        <w:rPr>
          <w:rFonts w:eastAsiaTheme="majorEastAsia" w:cstheme="majorBidi"/>
          <w:noProof/>
          <w:color w:val="773141"/>
        </w:rPr>
        <w:t xml:space="preserve">Hosts of the </w:t>
      </w:r>
      <w:r w:rsidRPr="009803EF">
        <w:rPr>
          <w:rFonts w:eastAsiaTheme="majorEastAsia" w:cstheme="majorBidi"/>
          <w:i/>
          <w:noProof/>
          <w:color w:val="773141"/>
        </w:rPr>
        <w:t>Phytophthora</w:t>
      </w:r>
      <w:r w:rsidRPr="009803EF">
        <w:rPr>
          <w:rFonts w:eastAsiaTheme="majorEastAsia" w:cstheme="majorBidi"/>
          <w:noProof/>
          <w:color w:val="773141"/>
        </w:rPr>
        <w:t xml:space="preserve"> species</w:t>
      </w:r>
      <w:r>
        <w:rPr>
          <w:noProof/>
        </w:rPr>
        <w:tab/>
      </w:r>
      <w:r w:rsidR="000D37BE">
        <w:rPr>
          <w:noProof/>
        </w:rPr>
        <w:fldChar w:fldCharType="begin"/>
      </w:r>
      <w:r>
        <w:rPr>
          <w:noProof/>
        </w:rPr>
        <w:instrText xml:space="preserve"> PAGEREF _Toc414019448 \h </w:instrText>
      </w:r>
      <w:r w:rsidR="000D37BE">
        <w:rPr>
          <w:noProof/>
        </w:rPr>
      </w:r>
      <w:r w:rsidR="000D37BE">
        <w:rPr>
          <w:noProof/>
        </w:rPr>
        <w:fldChar w:fldCharType="separate"/>
      </w:r>
      <w:r>
        <w:rPr>
          <w:noProof/>
        </w:rPr>
        <w:t>26</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3.5</w:t>
      </w:r>
      <w:r>
        <w:rPr>
          <w:rFonts w:eastAsiaTheme="minorEastAsia"/>
          <w:noProof/>
        </w:rPr>
        <w:tab/>
      </w:r>
      <w:r w:rsidRPr="009803EF">
        <w:rPr>
          <w:rFonts w:eastAsiaTheme="majorEastAsia" w:cstheme="majorBidi"/>
          <w:noProof/>
          <w:color w:val="773141"/>
        </w:rPr>
        <w:t xml:space="preserve">Spread of the </w:t>
      </w:r>
      <w:r w:rsidRPr="009803EF">
        <w:rPr>
          <w:rFonts w:eastAsiaTheme="majorEastAsia" w:cstheme="majorBidi"/>
          <w:i/>
          <w:noProof/>
          <w:color w:val="773141"/>
        </w:rPr>
        <w:t>Phytophthora</w:t>
      </w:r>
      <w:r w:rsidRPr="009803EF">
        <w:rPr>
          <w:rFonts w:eastAsiaTheme="majorEastAsia" w:cstheme="majorBidi"/>
          <w:noProof/>
          <w:color w:val="773141"/>
        </w:rPr>
        <w:t xml:space="preserve"> species</w:t>
      </w:r>
      <w:r>
        <w:rPr>
          <w:noProof/>
        </w:rPr>
        <w:tab/>
      </w:r>
      <w:r w:rsidR="000D37BE">
        <w:rPr>
          <w:noProof/>
        </w:rPr>
        <w:fldChar w:fldCharType="begin"/>
      </w:r>
      <w:r>
        <w:rPr>
          <w:noProof/>
        </w:rPr>
        <w:instrText xml:space="preserve"> PAGEREF _Toc414019449 \h </w:instrText>
      </w:r>
      <w:r w:rsidR="000D37BE">
        <w:rPr>
          <w:noProof/>
        </w:rPr>
      </w:r>
      <w:r w:rsidR="000D37BE">
        <w:rPr>
          <w:noProof/>
        </w:rPr>
        <w:fldChar w:fldCharType="separate"/>
      </w:r>
      <w:r>
        <w:rPr>
          <w:noProof/>
        </w:rPr>
        <w:t>28</w:t>
      </w:r>
      <w:r w:rsidR="000D37BE">
        <w:rPr>
          <w:noProof/>
        </w:rPr>
        <w:fldChar w:fldCharType="end"/>
      </w:r>
    </w:p>
    <w:p w:rsidR="00A11609" w:rsidRDefault="00A11609">
      <w:pPr>
        <w:pStyle w:val="TOC1"/>
        <w:rPr>
          <w:rFonts w:eastAsiaTheme="minorEastAsia"/>
          <w:b w:val="0"/>
          <w:noProof/>
        </w:rPr>
      </w:pPr>
      <w:r w:rsidRPr="009803EF">
        <w:rPr>
          <w:rFonts w:eastAsiaTheme="majorEastAsia" w:cstheme="majorBidi"/>
          <w:noProof/>
          <w:color w:val="D52B1E"/>
        </w:rPr>
        <w:t>4</w:t>
      </w:r>
      <w:r>
        <w:rPr>
          <w:rFonts w:eastAsiaTheme="minorEastAsia"/>
          <w:b w:val="0"/>
          <w:noProof/>
        </w:rPr>
        <w:tab/>
      </w:r>
      <w:r w:rsidRPr="009803EF">
        <w:rPr>
          <w:rFonts w:eastAsiaTheme="majorEastAsia" w:cstheme="majorBidi"/>
          <w:noProof/>
          <w:color w:val="D52B1E"/>
        </w:rPr>
        <w:t xml:space="preserve">Pest risk assessment for </w:t>
      </w:r>
      <w:r w:rsidRPr="009803EF">
        <w:rPr>
          <w:rFonts w:eastAsiaTheme="majorEastAsia" w:cstheme="majorBidi"/>
          <w:i/>
          <w:noProof/>
          <w:color w:val="D52B1E"/>
        </w:rPr>
        <w:t>Phytophthora</w:t>
      </w:r>
      <w:r w:rsidRPr="009803EF">
        <w:rPr>
          <w:rFonts w:eastAsiaTheme="majorEastAsia" w:cstheme="majorBidi"/>
          <w:noProof/>
          <w:color w:val="D52B1E"/>
        </w:rPr>
        <w:t xml:space="preserve"> species</w:t>
      </w:r>
      <w:r>
        <w:rPr>
          <w:noProof/>
        </w:rPr>
        <w:tab/>
      </w:r>
      <w:r w:rsidR="000D37BE">
        <w:rPr>
          <w:noProof/>
        </w:rPr>
        <w:fldChar w:fldCharType="begin"/>
      </w:r>
      <w:r>
        <w:rPr>
          <w:noProof/>
        </w:rPr>
        <w:instrText xml:space="preserve"> PAGEREF _Toc414019450 \h </w:instrText>
      </w:r>
      <w:r w:rsidR="000D37BE">
        <w:rPr>
          <w:noProof/>
        </w:rPr>
      </w:r>
      <w:r w:rsidR="000D37BE">
        <w:rPr>
          <w:noProof/>
        </w:rPr>
        <w:fldChar w:fldCharType="separate"/>
      </w:r>
      <w:r>
        <w:rPr>
          <w:noProof/>
        </w:rPr>
        <w:t>32</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4.1</w:t>
      </w:r>
      <w:r>
        <w:rPr>
          <w:rFonts w:eastAsiaTheme="minorEastAsia"/>
          <w:noProof/>
        </w:rPr>
        <w:tab/>
      </w:r>
      <w:r w:rsidRPr="009803EF">
        <w:rPr>
          <w:rFonts w:eastAsiaTheme="majorEastAsia" w:cstheme="majorBidi"/>
          <w:i/>
          <w:noProof/>
          <w:color w:val="773141"/>
        </w:rPr>
        <w:t xml:space="preserve">Phytophthora ramorum, P. kernoviae, P. nemorosa </w:t>
      </w:r>
      <w:r w:rsidRPr="009803EF">
        <w:rPr>
          <w:rFonts w:eastAsiaTheme="majorEastAsia" w:cstheme="majorBidi"/>
          <w:noProof/>
          <w:color w:val="773141"/>
        </w:rPr>
        <w:t xml:space="preserve">and </w:t>
      </w:r>
      <w:r w:rsidRPr="009803EF">
        <w:rPr>
          <w:rFonts w:eastAsiaTheme="majorEastAsia" w:cstheme="majorBidi"/>
          <w:i/>
          <w:noProof/>
          <w:color w:val="773141"/>
        </w:rPr>
        <w:t>P. pseudosyringae</w:t>
      </w:r>
      <w:r>
        <w:rPr>
          <w:noProof/>
        </w:rPr>
        <w:tab/>
      </w:r>
      <w:r w:rsidR="000D37BE">
        <w:rPr>
          <w:noProof/>
        </w:rPr>
        <w:fldChar w:fldCharType="begin"/>
      </w:r>
      <w:r>
        <w:rPr>
          <w:noProof/>
        </w:rPr>
        <w:instrText xml:space="preserve"> PAGEREF _Toc414019451 \h </w:instrText>
      </w:r>
      <w:r w:rsidR="000D37BE">
        <w:rPr>
          <w:noProof/>
        </w:rPr>
      </w:r>
      <w:r w:rsidR="000D37BE">
        <w:rPr>
          <w:noProof/>
        </w:rPr>
        <w:fldChar w:fldCharType="separate"/>
      </w:r>
      <w:r>
        <w:rPr>
          <w:noProof/>
        </w:rPr>
        <w:t>32</w:t>
      </w:r>
      <w:r w:rsidR="000D37BE">
        <w:rPr>
          <w:noProof/>
        </w:rPr>
        <w:fldChar w:fldCharType="end"/>
      </w:r>
    </w:p>
    <w:p w:rsidR="00A11609" w:rsidRDefault="00A11609">
      <w:pPr>
        <w:pStyle w:val="TOC1"/>
        <w:rPr>
          <w:rFonts w:eastAsiaTheme="minorEastAsia"/>
          <w:b w:val="0"/>
          <w:noProof/>
        </w:rPr>
      </w:pPr>
      <w:r w:rsidRPr="009803EF">
        <w:rPr>
          <w:rFonts w:eastAsiaTheme="majorEastAsia" w:cstheme="majorBidi"/>
          <w:noProof/>
          <w:color w:val="D52B1E"/>
        </w:rPr>
        <w:t>5</w:t>
      </w:r>
      <w:r>
        <w:rPr>
          <w:rFonts w:eastAsiaTheme="minorEastAsia"/>
          <w:b w:val="0"/>
          <w:noProof/>
        </w:rPr>
        <w:tab/>
      </w:r>
      <w:r w:rsidRPr="009803EF">
        <w:rPr>
          <w:rFonts w:eastAsiaTheme="majorEastAsia" w:cstheme="majorBidi"/>
          <w:noProof/>
          <w:color w:val="D52B1E"/>
        </w:rPr>
        <w:t>Pest risk management</w:t>
      </w:r>
      <w:r>
        <w:rPr>
          <w:noProof/>
        </w:rPr>
        <w:tab/>
      </w:r>
      <w:r w:rsidR="000D37BE">
        <w:rPr>
          <w:noProof/>
        </w:rPr>
        <w:fldChar w:fldCharType="begin"/>
      </w:r>
      <w:r>
        <w:rPr>
          <w:noProof/>
        </w:rPr>
        <w:instrText xml:space="preserve"> PAGEREF _Toc414019452 \h </w:instrText>
      </w:r>
      <w:r w:rsidR="000D37BE">
        <w:rPr>
          <w:noProof/>
        </w:rPr>
      </w:r>
      <w:r w:rsidR="000D37BE">
        <w:rPr>
          <w:noProof/>
        </w:rPr>
        <w:fldChar w:fldCharType="separate"/>
      </w:r>
      <w:r>
        <w:rPr>
          <w:noProof/>
        </w:rPr>
        <w:t>54</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5.1</w:t>
      </w:r>
      <w:r>
        <w:rPr>
          <w:rFonts w:eastAsiaTheme="minorEastAsia"/>
          <w:noProof/>
        </w:rPr>
        <w:tab/>
      </w:r>
      <w:r w:rsidRPr="009803EF">
        <w:rPr>
          <w:rFonts w:eastAsiaTheme="majorEastAsia" w:cstheme="majorBidi"/>
          <w:noProof/>
          <w:color w:val="773141"/>
        </w:rPr>
        <w:t>Existing risk mitigation measures</w:t>
      </w:r>
      <w:r>
        <w:rPr>
          <w:noProof/>
        </w:rPr>
        <w:tab/>
      </w:r>
      <w:r w:rsidR="000D37BE">
        <w:rPr>
          <w:noProof/>
        </w:rPr>
        <w:fldChar w:fldCharType="begin"/>
      </w:r>
      <w:r>
        <w:rPr>
          <w:noProof/>
        </w:rPr>
        <w:instrText xml:space="preserve"> PAGEREF _Toc414019453 \h </w:instrText>
      </w:r>
      <w:r w:rsidR="000D37BE">
        <w:rPr>
          <w:noProof/>
        </w:rPr>
      </w:r>
      <w:r w:rsidR="000D37BE">
        <w:rPr>
          <w:noProof/>
        </w:rPr>
        <w:fldChar w:fldCharType="separate"/>
      </w:r>
      <w:r>
        <w:rPr>
          <w:noProof/>
        </w:rPr>
        <w:t>54</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5.2</w:t>
      </w:r>
      <w:r>
        <w:rPr>
          <w:rFonts w:eastAsiaTheme="minorEastAsia"/>
          <w:noProof/>
        </w:rPr>
        <w:tab/>
      </w:r>
      <w:r w:rsidRPr="009803EF">
        <w:rPr>
          <w:rFonts w:eastAsiaTheme="majorEastAsia" w:cstheme="majorBidi"/>
          <w:noProof/>
          <w:color w:val="773141"/>
        </w:rPr>
        <w:t>Review of existing risk mitigation measures</w:t>
      </w:r>
      <w:r>
        <w:rPr>
          <w:noProof/>
        </w:rPr>
        <w:tab/>
      </w:r>
      <w:r w:rsidR="000D37BE">
        <w:rPr>
          <w:noProof/>
        </w:rPr>
        <w:fldChar w:fldCharType="begin"/>
      </w:r>
      <w:r>
        <w:rPr>
          <w:noProof/>
        </w:rPr>
        <w:instrText xml:space="preserve"> PAGEREF _Toc414019454 \h </w:instrText>
      </w:r>
      <w:r w:rsidR="000D37BE">
        <w:rPr>
          <w:noProof/>
        </w:rPr>
      </w:r>
      <w:r w:rsidR="000D37BE">
        <w:rPr>
          <w:noProof/>
        </w:rPr>
        <w:fldChar w:fldCharType="separate"/>
      </w:r>
      <w:r>
        <w:rPr>
          <w:noProof/>
        </w:rPr>
        <w:t>55</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5.3</w:t>
      </w:r>
      <w:r>
        <w:rPr>
          <w:rFonts w:eastAsiaTheme="minorEastAsia"/>
          <w:noProof/>
        </w:rPr>
        <w:tab/>
      </w:r>
      <w:r w:rsidRPr="009803EF">
        <w:rPr>
          <w:rFonts w:eastAsiaTheme="majorEastAsia" w:cstheme="majorBidi"/>
          <w:noProof/>
          <w:color w:val="773141"/>
        </w:rPr>
        <w:t xml:space="preserve">Proposed risk mitigation measures for propagative material from </w:t>
      </w:r>
      <w:r w:rsidRPr="009803EF">
        <w:rPr>
          <w:rFonts w:eastAsiaTheme="majorEastAsia" w:cstheme="majorBidi"/>
          <w:i/>
          <w:noProof/>
          <w:color w:val="773141"/>
        </w:rPr>
        <w:t xml:space="preserve">Phytophthora ramorum, P. kernoviae, P.nemerosa </w:t>
      </w:r>
      <w:r w:rsidRPr="009803EF">
        <w:rPr>
          <w:rFonts w:eastAsiaTheme="majorEastAsia" w:cstheme="majorBidi"/>
          <w:noProof/>
          <w:color w:val="773141"/>
        </w:rPr>
        <w:t xml:space="preserve">and </w:t>
      </w:r>
      <w:r w:rsidRPr="009803EF">
        <w:rPr>
          <w:rFonts w:eastAsiaTheme="majorEastAsia" w:cstheme="majorBidi"/>
          <w:i/>
          <w:noProof/>
          <w:color w:val="773141"/>
        </w:rPr>
        <w:t>P. pseudosyringae</w:t>
      </w:r>
      <w:r w:rsidRPr="009803EF">
        <w:rPr>
          <w:rFonts w:eastAsiaTheme="majorEastAsia" w:cstheme="majorBidi"/>
          <w:noProof/>
          <w:color w:val="773141"/>
        </w:rPr>
        <w:t xml:space="preserve"> countries</w:t>
      </w:r>
      <w:r>
        <w:rPr>
          <w:noProof/>
        </w:rPr>
        <w:tab/>
      </w:r>
      <w:r w:rsidR="000D37BE">
        <w:rPr>
          <w:noProof/>
        </w:rPr>
        <w:fldChar w:fldCharType="begin"/>
      </w:r>
      <w:r>
        <w:rPr>
          <w:noProof/>
        </w:rPr>
        <w:instrText xml:space="preserve"> PAGEREF _Toc414019455 \h </w:instrText>
      </w:r>
      <w:r w:rsidR="000D37BE">
        <w:rPr>
          <w:noProof/>
        </w:rPr>
      </w:r>
      <w:r w:rsidR="000D37BE">
        <w:rPr>
          <w:noProof/>
        </w:rPr>
        <w:fldChar w:fldCharType="separate"/>
      </w:r>
      <w:r>
        <w:rPr>
          <w:noProof/>
        </w:rPr>
        <w:t>59</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5.4</w:t>
      </w:r>
      <w:r>
        <w:rPr>
          <w:rFonts w:eastAsiaTheme="minorEastAsia"/>
          <w:noProof/>
        </w:rPr>
        <w:tab/>
      </w:r>
      <w:r w:rsidRPr="009803EF">
        <w:rPr>
          <w:rFonts w:eastAsiaTheme="majorEastAsia" w:cstheme="majorBidi"/>
          <w:noProof/>
          <w:color w:val="773141"/>
        </w:rPr>
        <w:t>Consideration of alternative measures</w:t>
      </w:r>
      <w:r>
        <w:rPr>
          <w:noProof/>
        </w:rPr>
        <w:tab/>
      </w:r>
      <w:r w:rsidR="000D37BE">
        <w:rPr>
          <w:noProof/>
        </w:rPr>
        <w:fldChar w:fldCharType="begin"/>
      </w:r>
      <w:r>
        <w:rPr>
          <w:noProof/>
        </w:rPr>
        <w:instrText xml:space="preserve"> PAGEREF _Toc414019456 \h </w:instrText>
      </w:r>
      <w:r w:rsidR="000D37BE">
        <w:rPr>
          <w:noProof/>
        </w:rPr>
      </w:r>
      <w:r w:rsidR="000D37BE">
        <w:rPr>
          <w:noProof/>
        </w:rPr>
        <w:fldChar w:fldCharType="separate"/>
      </w:r>
      <w:r>
        <w:rPr>
          <w:noProof/>
        </w:rPr>
        <w:t>65</w:t>
      </w:r>
      <w:r w:rsidR="000D37BE">
        <w:rPr>
          <w:noProof/>
        </w:rPr>
        <w:fldChar w:fldCharType="end"/>
      </w:r>
    </w:p>
    <w:p w:rsidR="00A11609" w:rsidRDefault="00A11609">
      <w:pPr>
        <w:pStyle w:val="TOC1"/>
        <w:rPr>
          <w:rFonts w:eastAsiaTheme="minorEastAsia"/>
          <w:b w:val="0"/>
          <w:noProof/>
        </w:rPr>
      </w:pPr>
      <w:r w:rsidRPr="009803EF">
        <w:rPr>
          <w:rFonts w:eastAsiaTheme="majorEastAsia" w:cstheme="majorBidi"/>
          <w:noProof/>
          <w:color w:val="D52B1E"/>
        </w:rPr>
        <w:t>6</w:t>
      </w:r>
      <w:r>
        <w:rPr>
          <w:rFonts w:eastAsiaTheme="minorEastAsia"/>
          <w:b w:val="0"/>
          <w:noProof/>
        </w:rPr>
        <w:tab/>
      </w:r>
      <w:r w:rsidRPr="009803EF">
        <w:rPr>
          <w:rFonts w:eastAsiaTheme="majorEastAsia" w:cstheme="majorBidi"/>
          <w:noProof/>
          <w:color w:val="D52B1E"/>
        </w:rPr>
        <w:t>Conclusion</w:t>
      </w:r>
      <w:r>
        <w:rPr>
          <w:noProof/>
        </w:rPr>
        <w:tab/>
      </w:r>
      <w:r w:rsidR="000D37BE">
        <w:rPr>
          <w:noProof/>
        </w:rPr>
        <w:fldChar w:fldCharType="begin"/>
      </w:r>
      <w:r>
        <w:rPr>
          <w:noProof/>
        </w:rPr>
        <w:instrText xml:space="preserve"> PAGEREF _Toc414019457 \h </w:instrText>
      </w:r>
      <w:r w:rsidR="000D37BE">
        <w:rPr>
          <w:noProof/>
        </w:rPr>
      </w:r>
      <w:r w:rsidR="000D37BE">
        <w:rPr>
          <w:noProof/>
        </w:rPr>
        <w:fldChar w:fldCharType="separate"/>
      </w:r>
      <w:r>
        <w:rPr>
          <w:noProof/>
        </w:rPr>
        <w:t>69</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6.1</w:t>
      </w:r>
      <w:r>
        <w:rPr>
          <w:rFonts w:eastAsiaTheme="minorEastAsia"/>
          <w:noProof/>
        </w:rPr>
        <w:tab/>
      </w:r>
      <w:r w:rsidRPr="009803EF">
        <w:rPr>
          <w:rFonts w:eastAsiaTheme="majorEastAsia" w:cstheme="majorBidi"/>
          <w:noProof/>
          <w:color w:val="773141"/>
        </w:rPr>
        <w:t>Tissue cultures</w:t>
      </w:r>
      <w:r>
        <w:rPr>
          <w:noProof/>
        </w:rPr>
        <w:tab/>
      </w:r>
      <w:r w:rsidR="000D37BE">
        <w:rPr>
          <w:noProof/>
        </w:rPr>
        <w:fldChar w:fldCharType="begin"/>
      </w:r>
      <w:r>
        <w:rPr>
          <w:noProof/>
        </w:rPr>
        <w:instrText xml:space="preserve"> PAGEREF _Toc414019458 \h </w:instrText>
      </w:r>
      <w:r w:rsidR="000D37BE">
        <w:rPr>
          <w:noProof/>
        </w:rPr>
      </w:r>
      <w:r w:rsidR="000D37BE">
        <w:rPr>
          <w:noProof/>
        </w:rPr>
        <w:fldChar w:fldCharType="separate"/>
      </w:r>
      <w:r>
        <w:rPr>
          <w:noProof/>
        </w:rPr>
        <w:t>69</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6.2</w:t>
      </w:r>
      <w:r>
        <w:rPr>
          <w:rFonts w:eastAsiaTheme="minorEastAsia"/>
          <w:noProof/>
        </w:rPr>
        <w:tab/>
      </w:r>
      <w:r w:rsidRPr="009803EF">
        <w:rPr>
          <w:rFonts w:eastAsiaTheme="majorEastAsia" w:cstheme="majorBidi"/>
          <w:noProof/>
          <w:color w:val="773141"/>
        </w:rPr>
        <w:t>Dormant cuttings and budwood (one-year-old only)</w:t>
      </w:r>
      <w:r>
        <w:rPr>
          <w:noProof/>
        </w:rPr>
        <w:tab/>
      </w:r>
      <w:r w:rsidR="000D37BE">
        <w:rPr>
          <w:noProof/>
        </w:rPr>
        <w:fldChar w:fldCharType="begin"/>
      </w:r>
      <w:r>
        <w:rPr>
          <w:noProof/>
        </w:rPr>
        <w:instrText xml:space="preserve"> PAGEREF _Toc414019459 \h </w:instrText>
      </w:r>
      <w:r w:rsidR="000D37BE">
        <w:rPr>
          <w:noProof/>
        </w:rPr>
      </w:r>
      <w:r w:rsidR="000D37BE">
        <w:rPr>
          <w:noProof/>
        </w:rPr>
        <w:fldChar w:fldCharType="separate"/>
      </w:r>
      <w:r>
        <w:rPr>
          <w:noProof/>
        </w:rPr>
        <w:t>69</w:t>
      </w:r>
      <w:r w:rsidR="000D37BE">
        <w:rPr>
          <w:noProof/>
        </w:rPr>
        <w:fldChar w:fldCharType="end"/>
      </w:r>
    </w:p>
    <w:p w:rsidR="00A11609" w:rsidRDefault="00A11609">
      <w:pPr>
        <w:pStyle w:val="TOC2"/>
        <w:tabs>
          <w:tab w:val="left" w:pos="1800"/>
        </w:tabs>
        <w:rPr>
          <w:rFonts w:eastAsiaTheme="minorEastAsia"/>
          <w:noProof/>
        </w:rPr>
      </w:pPr>
      <w:r w:rsidRPr="009803EF">
        <w:rPr>
          <w:rFonts w:eastAsiaTheme="majorEastAsia" w:cstheme="majorBidi"/>
          <w:noProof/>
          <w:color w:val="773141"/>
        </w:rPr>
        <w:t>6.3</w:t>
      </w:r>
      <w:r>
        <w:rPr>
          <w:rFonts w:eastAsiaTheme="minorEastAsia"/>
          <w:noProof/>
        </w:rPr>
        <w:tab/>
      </w:r>
      <w:r w:rsidRPr="009803EF">
        <w:rPr>
          <w:rFonts w:eastAsiaTheme="majorEastAsia" w:cstheme="majorBidi"/>
          <w:noProof/>
          <w:color w:val="773141"/>
        </w:rPr>
        <w:t>Bare-rooted plants (one-year-old only)</w:t>
      </w:r>
      <w:r>
        <w:rPr>
          <w:noProof/>
        </w:rPr>
        <w:tab/>
      </w:r>
      <w:r w:rsidR="000D37BE">
        <w:rPr>
          <w:noProof/>
        </w:rPr>
        <w:fldChar w:fldCharType="begin"/>
      </w:r>
      <w:r>
        <w:rPr>
          <w:noProof/>
        </w:rPr>
        <w:instrText xml:space="preserve"> PAGEREF _Toc414019460 \h </w:instrText>
      </w:r>
      <w:r w:rsidR="000D37BE">
        <w:rPr>
          <w:noProof/>
        </w:rPr>
      </w:r>
      <w:r w:rsidR="000D37BE">
        <w:rPr>
          <w:noProof/>
        </w:rPr>
        <w:fldChar w:fldCharType="separate"/>
      </w:r>
      <w:r>
        <w:rPr>
          <w:noProof/>
        </w:rPr>
        <w:t>70</w:t>
      </w:r>
      <w:r w:rsidR="000D37BE">
        <w:rPr>
          <w:noProof/>
        </w:rPr>
        <w:fldChar w:fldCharType="end"/>
      </w:r>
    </w:p>
    <w:p w:rsidR="00A11609" w:rsidRDefault="00A11609">
      <w:pPr>
        <w:pStyle w:val="TOC1"/>
        <w:rPr>
          <w:rFonts w:eastAsiaTheme="minorEastAsia"/>
          <w:b w:val="0"/>
          <w:noProof/>
        </w:rPr>
      </w:pPr>
      <w:r w:rsidRPr="009803EF">
        <w:rPr>
          <w:noProof/>
        </w:rPr>
        <w:t xml:space="preserve">Appendix A: Natural hosts of </w:t>
      </w:r>
      <w:r w:rsidRPr="009803EF">
        <w:rPr>
          <w:i/>
          <w:noProof/>
        </w:rPr>
        <w:t>Phytophthora</w:t>
      </w:r>
      <w:r w:rsidRPr="009803EF">
        <w:rPr>
          <w:noProof/>
        </w:rPr>
        <w:t xml:space="preserve"> species and their status in Australia</w:t>
      </w:r>
      <w:r>
        <w:rPr>
          <w:noProof/>
        </w:rPr>
        <w:tab/>
      </w:r>
      <w:r w:rsidR="000D37BE">
        <w:rPr>
          <w:noProof/>
        </w:rPr>
        <w:fldChar w:fldCharType="begin"/>
      </w:r>
      <w:r>
        <w:rPr>
          <w:noProof/>
        </w:rPr>
        <w:instrText xml:space="preserve"> PAGEREF _Toc414019461 \h </w:instrText>
      </w:r>
      <w:r w:rsidR="000D37BE">
        <w:rPr>
          <w:noProof/>
        </w:rPr>
      </w:r>
      <w:r w:rsidR="000D37BE">
        <w:rPr>
          <w:noProof/>
        </w:rPr>
        <w:fldChar w:fldCharType="separate"/>
      </w:r>
      <w:r>
        <w:rPr>
          <w:noProof/>
        </w:rPr>
        <w:t>68</w:t>
      </w:r>
      <w:r w:rsidR="000D37BE">
        <w:rPr>
          <w:noProof/>
        </w:rPr>
        <w:fldChar w:fldCharType="end"/>
      </w:r>
    </w:p>
    <w:p w:rsidR="00A11609" w:rsidRDefault="00A11609">
      <w:pPr>
        <w:pStyle w:val="TOC1"/>
        <w:rPr>
          <w:rFonts w:eastAsiaTheme="minorEastAsia"/>
          <w:b w:val="0"/>
          <w:noProof/>
        </w:rPr>
      </w:pPr>
      <w:r w:rsidRPr="009803EF">
        <w:rPr>
          <w:noProof/>
        </w:rPr>
        <w:t>Appendix B: Additional quarantine pest data</w:t>
      </w:r>
      <w:r>
        <w:rPr>
          <w:noProof/>
        </w:rPr>
        <w:tab/>
      </w:r>
      <w:r w:rsidR="000D37BE">
        <w:rPr>
          <w:noProof/>
        </w:rPr>
        <w:fldChar w:fldCharType="begin"/>
      </w:r>
      <w:r>
        <w:rPr>
          <w:noProof/>
        </w:rPr>
        <w:instrText xml:space="preserve"> PAGEREF _Toc414019462 \h </w:instrText>
      </w:r>
      <w:r w:rsidR="000D37BE">
        <w:rPr>
          <w:noProof/>
        </w:rPr>
      </w:r>
      <w:r w:rsidR="000D37BE">
        <w:rPr>
          <w:noProof/>
        </w:rPr>
        <w:fldChar w:fldCharType="separate"/>
      </w:r>
      <w:r>
        <w:rPr>
          <w:noProof/>
        </w:rPr>
        <w:t>84</w:t>
      </w:r>
      <w:r w:rsidR="000D37BE">
        <w:rPr>
          <w:noProof/>
        </w:rPr>
        <w:fldChar w:fldCharType="end"/>
      </w:r>
    </w:p>
    <w:p w:rsidR="00A11609" w:rsidRDefault="00A11609">
      <w:pPr>
        <w:pStyle w:val="TOC1"/>
        <w:rPr>
          <w:rFonts w:eastAsiaTheme="minorEastAsia"/>
          <w:b w:val="0"/>
          <w:noProof/>
        </w:rPr>
      </w:pPr>
      <w:r w:rsidRPr="009803EF">
        <w:rPr>
          <w:noProof/>
        </w:rPr>
        <w:t>Appendix C: Biosecurity framework</w:t>
      </w:r>
      <w:r>
        <w:rPr>
          <w:noProof/>
        </w:rPr>
        <w:tab/>
      </w:r>
      <w:r w:rsidR="000D37BE">
        <w:rPr>
          <w:noProof/>
        </w:rPr>
        <w:fldChar w:fldCharType="begin"/>
      </w:r>
      <w:r>
        <w:rPr>
          <w:noProof/>
        </w:rPr>
        <w:instrText xml:space="preserve"> PAGEREF _Toc414019463 \h </w:instrText>
      </w:r>
      <w:r w:rsidR="000D37BE">
        <w:rPr>
          <w:noProof/>
        </w:rPr>
      </w:r>
      <w:r w:rsidR="000D37BE">
        <w:rPr>
          <w:noProof/>
        </w:rPr>
        <w:fldChar w:fldCharType="separate"/>
      </w:r>
      <w:r>
        <w:rPr>
          <w:noProof/>
        </w:rPr>
        <w:t>85</w:t>
      </w:r>
      <w:r w:rsidR="000D37BE">
        <w:rPr>
          <w:noProof/>
        </w:rPr>
        <w:fldChar w:fldCharType="end"/>
      </w:r>
    </w:p>
    <w:p w:rsidR="00A11609" w:rsidRDefault="00A11609">
      <w:pPr>
        <w:pStyle w:val="TOC1"/>
        <w:rPr>
          <w:rFonts w:eastAsiaTheme="minorEastAsia"/>
          <w:b w:val="0"/>
          <w:noProof/>
        </w:rPr>
      </w:pPr>
      <w:r w:rsidRPr="009803EF">
        <w:rPr>
          <w:noProof/>
        </w:rPr>
        <w:t>Glossary</w:t>
      </w:r>
      <w:r>
        <w:rPr>
          <w:noProof/>
        </w:rPr>
        <w:tab/>
      </w:r>
      <w:r w:rsidR="000D37BE">
        <w:rPr>
          <w:noProof/>
        </w:rPr>
        <w:fldChar w:fldCharType="begin"/>
      </w:r>
      <w:r>
        <w:rPr>
          <w:noProof/>
        </w:rPr>
        <w:instrText xml:space="preserve"> PAGEREF _Toc414019464 \h </w:instrText>
      </w:r>
      <w:r w:rsidR="000D37BE">
        <w:rPr>
          <w:noProof/>
        </w:rPr>
      </w:r>
      <w:r w:rsidR="000D37BE">
        <w:rPr>
          <w:noProof/>
        </w:rPr>
        <w:fldChar w:fldCharType="separate"/>
      </w:r>
      <w:r>
        <w:rPr>
          <w:noProof/>
        </w:rPr>
        <w:t>90</w:t>
      </w:r>
      <w:r w:rsidR="000D37BE">
        <w:rPr>
          <w:noProof/>
        </w:rPr>
        <w:fldChar w:fldCharType="end"/>
      </w:r>
    </w:p>
    <w:p w:rsidR="00A11609" w:rsidRDefault="00A11609">
      <w:pPr>
        <w:pStyle w:val="TOC1"/>
        <w:rPr>
          <w:rFonts w:eastAsiaTheme="minorEastAsia"/>
          <w:b w:val="0"/>
          <w:noProof/>
        </w:rPr>
      </w:pPr>
      <w:r w:rsidRPr="009803EF">
        <w:rPr>
          <w:noProof/>
        </w:rPr>
        <w:lastRenderedPageBreak/>
        <w:t>References</w:t>
      </w:r>
      <w:r>
        <w:rPr>
          <w:noProof/>
        </w:rPr>
        <w:tab/>
      </w:r>
      <w:r w:rsidR="000D37BE">
        <w:rPr>
          <w:noProof/>
        </w:rPr>
        <w:fldChar w:fldCharType="begin"/>
      </w:r>
      <w:r>
        <w:rPr>
          <w:noProof/>
        </w:rPr>
        <w:instrText xml:space="preserve"> PAGEREF _Toc414019465 \h </w:instrText>
      </w:r>
      <w:r w:rsidR="000D37BE">
        <w:rPr>
          <w:noProof/>
        </w:rPr>
      </w:r>
      <w:r w:rsidR="000D37BE">
        <w:rPr>
          <w:noProof/>
        </w:rPr>
        <w:fldChar w:fldCharType="separate"/>
      </w:r>
      <w:r>
        <w:rPr>
          <w:noProof/>
        </w:rPr>
        <w:t>94</w:t>
      </w:r>
      <w:r w:rsidR="000D37BE">
        <w:rPr>
          <w:noProof/>
        </w:rPr>
        <w:fldChar w:fldCharType="end"/>
      </w:r>
    </w:p>
    <w:p w:rsidR="00E94405" w:rsidRDefault="000D37BE">
      <w:pPr>
        <w:pStyle w:val="TOCHeading"/>
        <w:pageBreakBefore w:val="0"/>
        <w:spacing w:before="80" w:after="80"/>
        <w:rPr>
          <w:rFonts w:asciiTheme="majorHAnsi" w:hAnsiTheme="majorHAnsi"/>
          <w:b/>
          <w:bCs w:val="0"/>
          <w:color w:val="auto"/>
          <w:sz w:val="22"/>
          <w:szCs w:val="22"/>
          <w:lang w:val="en-AU"/>
        </w:rPr>
        <w:sectPr w:rsidR="00E94405">
          <w:headerReference w:type="default" r:id="rId22"/>
          <w:headerReference w:type="first" r:id="rId23"/>
          <w:pgSz w:w="11906" w:h="16838"/>
          <w:pgMar w:top="1418" w:right="1418" w:bottom="1418" w:left="1418" w:header="567" w:footer="283" w:gutter="0"/>
          <w:pgNumType w:fmt="lowerRoman"/>
          <w:cols w:space="708"/>
          <w:titlePg/>
          <w:docGrid w:linePitch="360"/>
        </w:sectPr>
      </w:pPr>
      <w:r>
        <w:rPr>
          <w:rFonts w:asciiTheme="majorHAnsi" w:hAnsiTheme="majorHAnsi"/>
          <w:b/>
          <w:bCs w:val="0"/>
          <w:color w:val="auto"/>
          <w:sz w:val="20"/>
          <w:szCs w:val="20"/>
          <w:lang w:val="en-AU"/>
        </w:rPr>
        <w:fldChar w:fldCharType="end"/>
      </w:r>
    </w:p>
    <w:p w:rsidR="00E94405" w:rsidRDefault="00A11609">
      <w:pPr>
        <w:pStyle w:val="TOCHeading"/>
        <w:pageBreakBefore w:val="0"/>
        <w:spacing w:before="60" w:after="60"/>
        <w:rPr>
          <w:rFonts w:eastAsiaTheme="majorEastAsia" w:cstheme="majorBidi"/>
          <w:b/>
          <w:color w:val="D52B1E"/>
          <w:sz w:val="34"/>
          <w:lang w:val="en-AU"/>
        </w:rPr>
      </w:pPr>
      <w:r>
        <w:rPr>
          <w:rFonts w:eastAsiaTheme="majorEastAsia" w:cstheme="majorBidi"/>
          <w:b/>
          <w:color w:val="D52B1E"/>
          <w:sz w:val="34"/>
          <w:lang w:val="en-AU"/>
        </w:rPr>
        <w:lastRenderedPageBreak/>
        <w:t>Figures</w:t>
      </w:r>
    </w:p>
    <w:p w:rsidR="00E94405" w:rsidRDefault="000D37BE">
      <w:pPr>
        <w:pStyle w:val="TableofFigures"/>
        <w:tabs>
          <w:tab w:val="right" w:leader="dot" w:pos="9060"/>
        </w:tabs>
        <w:rPr>
          <w:rFonts w:eastAsiaTheme="minorEastAsia"/>
          <w:noProof/>
        </w:rPr>
      </w:pPr>
      <w:r>
        <w:fldChar w:fldCharType="begin"/>
      </w:r>
      <w:r w:rsidR="00A11609">
        <w:instrText xml:space="preserve"> TOC \c "Figure" </w:instrText>
      </w:r>
      <w:r>
        <w:fldChar w:fldCharType="separate"/>
      </w:r>
      <w:r w:rsidR="00A11609">
        <w:rPr>
          <w:rFonts w:asciiTheme="majorHAnsi" w:eastAsiaTheme="majorEastAsia" w:hAnsiTheme="majorHAnsi" w:cstheme="majorBidi"/>
          <w:noProof/>
          <w:color w:val="595959" w:themeColor="text1" w:themeTint="A6"/>
        </w:rPr>
        <w:t xml:space="preserve">Figure 1 The infection process of </w:t>
      </w:r>
      <w:r w:rsidR="00A11609">
        <w:rPr>
          <w:rFonts w:asciiTheme="majorHAnsi" w:eastAsiaTheme="majorEastAsia" w:hAnsiTheme="majorHAnsi" w:cstheme="majorBidi"/>
          <w:i/>
          <w:noProof/>
          <w:color w:val="595959" w:themeColor="text1" w:themeTint="A6"/>
        </w:rPr>
        <w:t>Phytophthora</w:t>
      </w:r>
      <w:r w:rsidR="00A11609">
        <w:rPr>
          <w:rFonts w:asciiTheme="majorHAnsi" w:eastAsiaTheme="majorEastAsia" w:hAnsiTheme="majorHAnsi" w:cstheme="majorBidi"/>
          <w:noProof/>
          <w:color w:val="595959" w:themeColor="text1" w:themeTint="A6"/>
        </w:rPr>
        <w:t xml:space="preserve"> species</w:t>
      </w:r>
      <w:r w:rsidR="00A11609">
        <w:rPr>
          <w:noProof/>
        </w:rPr>
        <w:tab/>
      </w:r>
      <w:r>
        <w:rPr>
          <w:noProof/>
        </w:rPr>
        <w:fldChar w:fldCharType="begin"/>
      </w:r>
      <w:r w:rsidR="00A11609">
        <w:rPr>
          <w:noProof/>
        </w:rPr>
        <w:instrText xml:space="preserve"> PAGEREF _Toc413062154 \h </w:instrText>
      </w:r>
      <w:r>
        <w:rPr>
          <w:noProof/>
        </w:rPr>
      </w:r>
      <w:r>
        <w:rPr>
          <w:noProof/>
        </w:rPr>
        <w:fldChar w:fldCharType="separate"/>
      </w:r>
      <w:r w:rsidR="00A11609">
        <w:rPr>
          <w:noProof/>
        </w:rPr>
        <w:t>29</w:t>
      </w:r>
      <w:r>
        <w:rPr>
          <w:noProof/>
        </w:rPr>
        <w:fldChar w:fldCharType="end"/>
      </w:r>
    </w:p>
    <w:p w:rsidR="00E94405" w:rsidRDefault="00A11609">
      <w:pPr>
        <w:pStyle w:val="TableofFigures"/>
        <w:tabs>
          <w:tab w:val="right" w:leader="dot" w:pos="9060"/>
        </w:tabs>
        <w:rPr>
          <w:rFonts w:eastAsiaTheme="minorEastAsia"/>
          <w:noProof/>
        </w:rPr>
      </w:pPr>
      <w:r>
        <w:rPr>
          <w:rFonts w:asciiTheme="majorHAnsi" w:eastAsiaTheme="majorEastAsia" w:hAnsiTheme="majorHAnsi" w:cstheme="majorBidi"/>
          <w:noProof/>
          <w:color w:val="595959" w:themeColor="text1" w:themeTint="A6"/>
        </w:rPr>
        <w:t>Figure 2 Interception of Phytophthora ramorum in Europe</w:t>
      </w:r>
      <w:r>
        <w:rPr>
          <w:noProof/>
        </w:rPr>
        <w:tab/>
      </w:r>
      <w:r w:rsidR="000D37BE">
        <w:rPr>
          <w:noProof/>
        </w:rPr>
        <w:fldChar w:fldCharType="begin"/>
      </w:r>
      <w:r>
        <w:rPr>
          <w:noProof/>
        </w:rPr>
        <w:instrText xml:space="preserve"> PAGEREF _Toc413062155 \h </w:instrText>
      </w:r>
      <w:r w:rsidR="000D37BE">
        <w:rPr>
          <w:noProof/>
        </w:rPr>
      </w:r>
      <w:r w:rsidR="000D37BE">
        <w:rPr>
          <w:noProof/>
        </w:rPr>
        <w:fldChar w:fldCharType="separate"/>
      </w:r>
      <w:r>
        <w:rPr>
          <w:noProof/>
        </w:rPr>
        <w:t>33</w:t>
      </w:r>
      <w:r w:rsidR="000D37BE">
        <w:rPr>
          <w:noProof/>
        </w:rPr>
        <w:fldChar w:fldCharType="end"/>
      </w:r>
    </w:p>
    <w:p w:rsidR="00E94405" w:rsidRDefault="000D37BE">
      <w:pPr>
        <w:rPr>
          <w:rFonts w:eastAsiaTheme="majorEastAsia" w:cstheme="majorBidi"/>
          <w:b/>
          <w:color w:val="D52B1E"/>
          <w:sz w:val="34"/>
        </w:rPr>
      </w:pPr>
      <w:r>
        <w:fldChar w:fldCharType="end"/>
      </w:r>
      <w:r w:rsidR="00A11609">
        <w:rPr>
          <w:rFonts w:eastAsiaTheme="majorEastAsia" w:cstheme="majorBidi"/>
          <w:b/>
          <w:color w:val="D52B1E"/>
          <w:sz w:val="34"/>
        </w:rPr>
        <w:t>Tables</w:t>
      </w:r>
    </w:p>
    <w:p w:rsidR="00A11609" w:rsidRDefault="000D37BE">
      <w:pPr>
        <w:pStyle w:val="TableofFigures"/>
        <w:tabs>
          <w:tab w:val="right" w:leader="dot" w:pos="9060"/>
        </w:tabs>
        <w:rPr>
          <w:rFonts w:eastAsiaTheme="minorEastAsia"/>
          <w:noProof/>
        </w:rPr>
      </w:pPr>
      <w:r w:rsidRPr="000D37BE">
        <w:rPr>
          <w:bCs/>
          <w:sz w:val="24"/>
          <w:szCs w:val="24"/>
        </w:rPr>
        <w:fldChar w:fldCharType="begin"/>
      </w:r>
      <w:r w:rsidR="00A11609">
        <w:rPr>
          <w:bCs/>
        </w:rPr>
        <w:instrText xml:space="preserve"> TOC \t "Caption,1" \c "Table" </w:instrText>
      </w:r>
      <w:r w:rsidRPr="000D37BE">
        <w:rPr>
          <w:bCs/>
          <w:sz w:val="24"/>
          <w:szCs w:val="24"/>
        </w:rPr>
        <w:fldChar w:fldCharType="separate"/>
      </w:r>
      <w:r w:rsidR="00A11609" w:rsidRPr="00304B20">
        <w:rPr>
          <w:rFonts w:asciiTheme="majorHAnsi" w:eastAsiaTheme="majorEastAsia" w:hAnsiTheme="majorHAnsi" w:cstheme="majorBidi"/>
          <w:noProof/>
          <w:color w:val="595959" w:themeColor="text1" w:themeTint="A6"/>
        </w:rPr>
        <w:t>Map 1 Map of Australia</w:t>
      </w:r>
      <w:r w:rsidR="00A11609">
        <w:rPr>
          <w:noProof/>
        </w:rPr>
        <w:tab/>
      </w:r>
      <w:r>
        <w:rPr>
          <w:noProof/>
        </w:rPr>
        <w:fldChar w:fldCharType="begin"/>
      </w:r>
      <w:r w:rsidR="00A11609">
        <w:rPr>
          <w:noProof/>
        </w:rPr>
        <w:instrText xml:space="preserve"> PAGEREF _Toc414019466 \h </w:instrText>
      </w:r>
      <w:r>
        <w:rPr>
          <w:noProof/>
        </w:rPr>
      </w:r>
      <w:r>
        <w:rPr>
          <w:noProof/>
        </w:rPr>
        <w:fldChar w:fldCharType="separate"/>
      </w:r>
      <w:r w:rsidR="00A11609">
        <w:rPr>
          <w:noProof/>
        </w:rPr>
        <w:t>v</w:t>
      </w:r>
      <w:r>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Map 2 A guide to Australia's bio-climatic zones</w:t>
      </w:r>
      <w:r>
        <w:rPr>
          <w:noProof/>
        </w:rPr>
        <w:tab/>
      </w:r>
      <w:r w:rsidR="000D37BE">
        <w:rPr>
          <w:noProof/>
        </w:rPr>
        <w:fldChar w:fldCharType="begin"/>
      </w:r>
      <w:r>
        <w:rPr>
          <w:noProof/>
        </w:rPr>
        <w:instrText xml:space="preserve"> PAGEREF _Toc414019467 \h </w:instrText>
      </w:r>
      <w:r w:rsidR="000D37BE">
        <w:rPr>
          <w:noProof/>
        </w:rPr>
      </w:r>
      <w:r w:rsidR="000D37BE">
        <w:rPr>
          <w:noProof/>
        </w:rPr>
        <w:fldChar w:fldCharType="separate"/>
      </w:r>
      <w:r>
        <w:rPr>
          <w:noProof/>
        </w:rPr>
        <w:t>v</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Table 1 </w:t>
      </w:r>
      <w:r w:rsidRPr="00304B20">
        <w:rPr>
          <w:rFonts w:asciiTheme="majorHAnsi" w:eastAsiaTheme="majorEastAsia" w:hAnsiTheme="majorHAnsi" w:cstheme="majorBidi"/>
          <w:i/>
          <w:noProof/>
          <w:color w:val="595959" w:themeColor="text1" w:themeTint="A6"/>
        </w:rPr>
        <w:t>Phytophthora</w:t>
      </w:r>
      <w:r w:rsidRPr="00304B20">
        <w:rPr>
          <w:rFonts w:asciiTheme="majorHAnsi" w:eastAsiaTheme="majorEastAsia" w:hAnsiTheme="majorHAnsi" w:cstheme="majorBidi"/>
          <w:noProof/>
          <w:color w:val="595959" w:themeColor="text1" w:themeTint="A6"/>
        </w:rPr>
        <w:t xml:space="preserve"> hosts currently permitted entry as dormant unrooted cuttings and budwood into Australia</w:t>
      </w:r>
      <w:r>
        <w:rPr>
          <w:noProof/>
        </w:rPr>
        <w:tab/>
      </w:r>
      <w:r w:rsidR="000D37BE">
        <w:rPr>
          <w:noProof/>
        </w:rPr>
        <w:fldChar w:fldCharType="begin"/>
      </w:r>
      <w:r>
        <w:rPr>
          <w:noProof/>
        </w:rPr>
        <w:instrText xml:space="preserve"> PAGEREF _Toc414019468 \h </w:instrText>
      </w:r>
      <w:r w:rsidR="000D37BE">
        <w:rPr>
          <w:noProof/>
        </w:rPr>
      </w:r>
      <w:r w:rsidR="000D37BE">
        <w:rPr>
          <w:noProof/>
        </w:rPr>
        <w:fldChar w:fldCharType="separate"/>
      </w:r>
      <w:r>
        <w:rPr>
          <w:noProof/>
        </w:rPr>
        <w:t>11</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Table 2 Nomenclature of qualitative likelihoods</w:t>
      </w:r>
      <w:r>
        <w:rPr>
          <w:noProof/>
        </w:rPr>
        <w:tab/>
      </w:r>
      <w:r w:rsidR="000D37BE">
        <w:rPr>
          <w:noProof/>
        </w:rPr>
        <w:fldChar w:fldCharType="begin"/>
      </w:r>
      <w:r>
        <w:rPr>
          <w:noProof/>
        </w:rPr>
        <w:instrText xml:space="preserve"> PAGEREF _Toc414019469 \h </w:instrText>
      </w:r>
      <w:r w:rsidR="000D37BE">
        <w:rPr>
          <w:noProof/>
        </w:rPr>
      </w:r>
      <w:r w:rsidR="000D37BE">
        <w:rPr>
          <w:noProof/>
        </w:rPr>
        <w:fldChar w:fldCharType="separate"/>
      </w:r>
      <w:r>
        <w:rPr>
          <w:noProof/>
        </w:rPr>
        <w:t>16</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Table 3 Matrix of rules for combining qualitative likelihoods</w:t>
      </w:r>
      <w:r>
        <w:rPr>
          <w:noProof/>
        </w:rPr>
        <w:tab/>
      </w:r>
      <w:r w:rsidR="000D37BE">
        <w:rPr>
          <w:noProof/>
        </w:rPr>
        <w:fldChar w:fldCharType="begin"/>
      </w:r>
      <w:r>
        <w:rPr>
          <w:noProof/>
        </w:rPr>
        <w:instrText xml:space="preserve"> PAGEREF _Toc414019470 \h </w:instrText>
      </w:r>
      <w:r w:rsidR="000D37BE">
        <w:rPr>
          <w:noProof/>
        </w:rPr>
      </w:r>
      <w:r w:rsidR="000D37BE">
        <w:rPr>
          <w:noProof/>
        </w:rPr>
        <w:fldChar w:fldCharType="separate"/>
      </w:r>
      <w:r>
        <w:rPr>
          <w:noProof/>
        </w:rPr>
        <w:t>16</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Table 4 Decision rules for determining the consequence impact score based on the magnitude of consequences at four geographic scales</w:t>
      </w:r>
      <w:r>
        <w:rPr>
          <w:noProof/>
        </w:rPr>
        <w:tab/>
      </w:r>
      <w:r w:rsidR="000D37BE">
        <w:rPr>
          <w:noProof/>
        </w:rPr>
        <w:fldChar w:fldCharType="begin"/>
      </w:r>
      <w:r>
        <w:rPr>
          <w:noProof/>
        </w:rPr>
        <w:instrText xml:space="preserve"> PAGEREF _Toc414019471 \h </w:instrText>
      </w:r>
      <w:r w:rsidR="000D37BE">
        <w:rPr>
          <w:noProof/>
        </w:rPr>
      </w:r>
      <w:r w:rsidR="000D37BE">
        <w:rPr>
          <w:noProof/>
        </w:rPr>
        <w:fldChar w:fldCharType="separate"/>
      </w:r>
      <w:r>
        <w:rPr>
          <w:noProof/>
        </w:rPr>
        <w:t>18</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Table 5 Decision rules for determining the overall consequence rating for each pest</w:t>
      </w:r>
      <w:r>
        <w:rPr>
          <w:noProof/>
        </w:rPr>
        <w:tab/>
      </w:r>
      <w:r w:rsidR="000D37BE">
        <w:rPr>
          <w:noProof/>
        </w:rPr>
        <w:fldChar w:fldCharType="begin"/>
      </w:r>
      <w:r>
        <w:rPr>
          <w:noProof/>
        </w:rPr>
        <w:instrText xml:space="preserve"> PAGEREF _Toc414019472 \h </w:instrText>
      </w:r>
      <w:r w:rsidR="000D37BE">
        <w:rPr>
          <w:noProof/>
        </w:rPr>
      </w:r>
      <w:r w:rsidR="000D37BE">
        <w:rPr>
          <w:noProof/>
        </w:rPr>
        <w:fldChar w:fldCharType="separate"/>
      </w:r>
      <w:r>
        <w:rPr>
          <w:noProof/>
        </w:rPr>
        <w:t>19</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Table 6 Risk estimation matrix</w:t>
      </w:r>
      <w:r>
        <w:rPr>
          <w:noProof/>
        </w:rPr>
        <w:tab/>
      </w:r>
      <w:r w:rsidR="000D37BE">
        <w:rPr>
          <w:noProof/>
        </w:rPr>
        <w:fldChar w:fldCharType="begin"/>
      </w:r>
      <w:r>
        <w:rPr>
          <w:noProof/>
        </w:rPr>
        <w:instrText xml:space="preserve"> PAGEREF _Toc414019473 \h </w:instrText>
      </w:r>
      <w:r w:rsidR="000D37BE">
        <w:rPr>
          <w:noProof/>
        </w:rPr>
      </w:r>
      <w:r w:rsidR="000D37BE">
        <w:rPr>
          <w:noProof/>
        </w:rPr>
        <w:fldChar w:fldCharType="separate"/>
      </w:r>
      <w:r>
        <w:rPr>
          <w:noProof/>
        </w:rPr>
        <w:t>19</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Table 7 Characteristics of the </w:t>
      </w:r>
      <w:r w:rsidRPr="00304B20">
        <w:rPr>
          <w:rFonts w:asciiTheme="majorHAnsi" w:eastAsiaTheme="majorEastAsia" w:hAnsiTheme="majorHAnsi" w:cstheme="majorBidi"/>
          <w:i/>
          <w:noProof/>
          <w:color w:val="595959" w:themeColor="text1" w:themeTint="A6"/>
        </w:rPr>
        <w:t>Phytophthora</w:t>
      </w:r>
      <w:r w:rsidRPr="00304B20">
        <w:rPr>
          <w:rFonts w:asciiTheme="majorHAnsi" w:eastAsiaTheme="majorEastAsia" w:hAnsiTheme="majorHAnsi" w:cstheme="majorBidi"/>
          <w:noProof/>
          <w:color w:val="595959" w:themeColor="text1" w:themeTint="A6"/>
        </w:rPr>
        <w:t xml:space="preserve"> species under review</w:t>
      </w:r>
      <w:r>
        <w:rPr>
          <w:noProof/>
        </w:rPr>
        <w:tab/>
      </w:r>
      <w:r w:rsidR="000D37BE">
        <w:rPr>
          <w:noProof/>
        </w:rPr>
        <w:fldChar w:fldCharType="begin"/>
      </w:r>
      <w:r>
        <w:rPr>
          <w:noProof/>
        </w:rPr>
        <w:instrText xml:space="preserve"> PAGEREF _Toc414019474 \h </w:instrText>
      </w:r>
      <w:r w:rsidR="000D37BE">
        <w:rPr>
          <w:noProof/>
        </w:rPr>
      </w:r>
      <w:r w:rsidR="000D37BE">
        <w:rPr>
          <w:noProof/>
        </w:rPr>
        <w:fldChar w:fldCharType="separate"/>
      </w:r>
      <w:r>
        <w:rPr>
          <w:noProof/>
        </w:rPr>
        <w:t>24</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Map 3 Global occurrences of </w:t>
      </w:r>
      <w:r w:rsidRPr="00304B20">
        <w:rPr>
          <w:rFonts w:asciiTheme="majorHAnsi" w:eastAsiaTheme="majorEastAsia" w:hAnsiTheme="majorHAnsi" w:cstheme="majorBidi"/>
          <w:i/>
          <w:noProof/>
          <w:color w:val="595959" w:themeColor="text1" w:themeTint="A6"/>
        </w:rPr>
        <w:t>Phytophthora</w:t>
      </w:r>
      <w:r w:rsidRPr="00304B20">
        <w:rPr>
          <w:rFonts w:asciiTheme="majorHAnsi" w:eastAsiaTheme="majorEastAsia" w:hAnsiTheme="majorHAnsi" w:cstheme="majorBidi"/>
          <w:noProof/>
          <w:color w:val="595959" w:themeColor="text1" w:themeTint="A6"/>
        </w:rPr>
        <w:t xml:space="preserve"> species</w:t>
      </w:r>
      <w:r>
        <w:rPr>
          <w:noProof/>
        </w:rPr>
        <w:tab/>
      </w:r>
      <w:r w:rsidR="000D37BE">
        <w:rPr>
          <w:noProof/>
        </w:rPr>
        <w:fldChar w:fldCharType="begin"/>
      </w:r>
      <w:r>
        <w:rPr>
          <w:noProof/>
        </w:rPr>
        <w:instrText xml:space="preserve"> PAGEREF _Toc414019475 \h </w:instrText>
      </w:r>
      <w:r w:rsidR="000D37BE">
        <w:rPr>
          <w:noProof/>
        </w:rPr>
      </w:r>
      <w:r w:rsidR="000D37BE">
        <w:rPr>
          <w:noProof/>
        </w:rPr>
        <w:fldChar w:fldCharType="separate"/>
      </w:r>
      <w:r>
        <w:rPr>
          <w:noProof/>
        </w:rPr>
        <w:t>26</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Figure 1 The infection process of </w:t>
      </w:r>
      <w:r w:rsidRPr="00304B20">
        <w:rPr>
          <w:rFonts w:asciiTheme="majorHAnsi" w:eastAsiaTheme="majorEastAsia" w:hAnsiTheme="majorHAnsi" w:cstheme="majorBidi"/>
          <w:i/>
          <w:noProof/>
          <w:color w:val="595959" w:themeColor="text1" w:themeTint="A6"/>
        </w:rPr>
        <w:t>Phytophthora</w:t>
      </w:r>
      <w:r w:rsidRPr="00304B20">
        <w:rPr>
          <w:rFonts w:asciiTheme="majorHAnsi" w:eastAsiaTheme="majorEastAsia" w:hAnsiTheme="majorHAnsi" w:cstheme="majorBidi"/>
          <w:noProof/>
          <w:color w:val="595959" w:themeColor="text1" w:themeTint="A6"/>
        </w:rPr>
        <w:t xml:space="preserve"> species</w:t>
      </w:r>
      <w:r>
        <w:rPr>
          <w:noProof/>
        </w:rPr>
        <w:tab/>
      </w:r>
      <w:r w:rsidR="000D37BE">
        <w:rPr>
          <w:noProof/>
        </w:rPr>
        <w:fldChar w:fldCharType="begin"/>
      </w:r>
      <w:r>
        <w:rPr>
          <w:noProof/>
        </w:rPr>
        <w:instrText xml:space="preserve"> PAGEREF _Toc414019476 \h </w:instrText>
      </w:r>
      <w:r w:rsidR="000D37BE">
        <w:rPr>
          <w:noProof/>
        </w:rPr>
      </w:r>
      <w:r w:rsidR="000D37BE">
        <w:rPr>
          <w:noProof/>
        </w:rPr>
        <w:fldChar w:fldCharType="separate"/>
      </w:r>
      <w:r>
        <w:rPr>
          <w:noProof/>
        </w:rPr>
        <w:t>29</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Figure 2 Interception of Phytophthora ramorum in Europe</w:t>
      </w:r>
      <w:r>
        <w:rPr>
          <w:noProof/>
        </w:rPr>
        <w:tab/>
      </w:r>
      <w:r w:rsidR="000D37BE">
        <w:rPr>
          <w:noProof/>
        </w:rPr>
        <w:fldChar w:fldCharType="begin"/>
      </w:r>
      <w:r>
        <w:rPr>
          <w:noProof/>
        </w:rPr>
        <w:instrText xml:space="preserve"> PAGEREF _Toc414019477 \h </w:instrText>
      </w:r>
      <w:r w:rsidR="000D37BE">
        <w:rPr>
          <w:noProof/>
        </w:rPr>
      </w:r>
      <w:r w:rsidR="000D37BE">
        <w:rPr>
          <w:noProof/>
        </w:rPr>
        <w:fldChar w:fldCharType="separate"/>
      </w:r>
      <w:r>
        <w:rPr>
          <w:noProof/>
        </w:rPr>
        <w:t>35</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Map 4 Areas suitable for the establishment of </w:t>
      </w:r>
      <w:r w:rsidRPr="00304B20">
        <w:rPr>
          <w:rFonts w:asciiTheme="majorHAnsi" w:eastAsiaTheme="majorEastAsia" w:hAnsiTheme="majorHAnsi" w:cstheme="majorBidi"/>
          <w:i/>
          <w:noProof/>
          <w:color w:val="595959" w:themeColor="text1" w:themeTint="A6"/>
        </w:rPr>
        <w:t>Phytophthora ramorum</w:t>
      </w:r>
      <w:r w:rsidRPr="00304B20">
        <w:rPr>
          <w:rFonts w:asciiTheme="majorHAnsi" w:eastAsiaTheme="majorEastAsia" w:hAnsiTheme="majorHAnsi" w:cstheme="majorBidi"/>
          <w:noProof/>
          <w:color w:val="595959" w:themeColor="text1" w:themeTint="A6"/>
        </w:rPr>
        <w:t xml:space="preserve"> in Australia</w:t>
      </w:r>
      <w:r>
        <w:rPr>
          <w:noProof/>
        </w:rPr>
        <w:tab/>
      </w:r>
      <w:r w:rsidR="000D37BE">
        <w:rPr>
          <w:noProof/>
        </w:rPr>
        <w:fldChar w:fldCharType="begin"/>
      </w:r>
      <w:r>
        <w:rPr>
          <w:noProof/>
        </w:rPr>
        <w:instrText xml:space="preserve"> PAGEREF _Toc414019478 \h </w:instrText>
      </w:r>
      <w:r w:rsidR="000D37BE">
        <w:rPr>
          <w:noProof/>
        </w:rPr>
      </w:r>
      <w:r w:rsidR="000D37BE">
        <w:rPr>
          <w:noProof/>
        </w:rPr>
        <w:fldChar w:fldCharType="separate"/>
      </w:r>
      <w:r>
        <w:rPr>
          <w:noProof/>
        </w:rPr>
        <w:t>40</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Map 5 Distribution of the nursery and garden industry in Australia</w:t>
      </w:r>
      <w:r>
        <w:rPr>
          <w:noProof/>
        </w:rPr>
        <w:tab/>
      </w:r>
      <w:r w:rsidR="000D37BE">
        <w:rPr>
          <w:noProof/>
        </w:rPr>
        <w:fldChar w:fldCharType="begin"/>
      </w:r>
      <w:r>
        <w:rPr>
          <w:noProof/>
        </w:rPr>
        <w:instrText xml:space="preserve"> PAGEREF _Toc414019479 \h </w:instrText>
      </w:r>
      <w:r w:rsidR="000D37BE">
        <w:rPr>
          <w:noProof/>
        </w:rPr>
      </w:r>
      <w:r w:rsidR="000D37BE">
        <w:rPr>
          <w:noProof/>
        </w:rPr>
        <w:fldChar w:fldCharType="separate"/>
      </w:r>
      <w:r>
        <w:rPr>
          <w:noProof/>
        </w:rPr>
        <w:t>49</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Table 8 Summary of existing risk mitigation measures for </w:t>
      </w:r>
      <w:r w:rsidRPr="00304B20">
        <w:rPr>
          <w:rFonts w:asciiTheme="majorHAnsi" w:eastAsiaTheme="majorEastAsia" w:hAnsiTheme="majorHAnsi" w:cstheme="majorBidi"/>
          <w:i/>
          <w:noProof/>
          <w:color w:val="595959" w:themeColor="text1" w:themeTint="A6"/>
        </w:rPr>
        <w:t>Phytophthora</w:t>
      </w:r>
      <w:r w:rsidRPr="00304B20">
        <w:rPr>
          <w:rFonts w:asciiTheme="majorHAnsi" w:eastAsiaTheme="majorEastAsia" w:hAnsiTheme="majorHAnsi" w:cstheme="majorBidi"/>
          <w:noProof/>
          <w:color w:val="595959" w:themeColor="text1" w:themeTint="A6"/>
        </w:rPr>
        <w:t xml:space="preserve"> </w:t>
      </w:r>
      <w:r w:rsidRPr="00304B20">
        <w:rPr>
          <w:rFonts w:asciiTheme="majorHAnsi" w:eastAsiaTheme="majorEastAsia" w:hAnsiTheme="majorHAnsi" w:cstheme="majorBidi"/>
          <w:i/>
          <w:noProof/>
          <w:color w:val="595959" w:themeColor="text1" w:themeTint="A6"/>
        </w:rPr>
        <w:t>ramorum</w:t>
      </w:r>
      <w:r w:rsidRPr="00304B20">
        <w:rPr>
          <w:rFonts w:asciiTheme="majorHAnsi" w:eastAsiaTheme="majorEastAsia" w:hAnsiTheme="majorHAnsi" w:cstheme="majorBidi"/>
          <w:noProof/>
          <w:color w:val="595959" w:themeColor="text1" w:themeTint="A6"/>
        </w:rPr>
        <w:t xml:space="preserve"> host propagative material</w:t>
      </w:r>
      <w:r>
        <w:rPr>
          <w:noProof/>
        </w:rPr>
        <w:tab/>
      </w:r>
      <w:r w:rsidR="000D37BE">
        <w:rPr>
          <w:noProof/>
        </w:rPr>
        <w:fldChar w:fldCharType="begin"/>
      </w:r>
      <w:r>
        <w:rPr>
          <w:noProof/>
        </w:rPr>
        <w:instrText xml:space="preserve"> PAGEREF _Toc414019480 \h </w:instrText>
      </w:r>
      <w:r w:rsidR="000D37BE">
        <w:rPr>
          <w:noProof/>
        </w:rPr>
      </w:r>
      <w:r w:rsidR="000D37BE">
        <w:rPr>
          <w:noProof/>
        </w:rPr>
        <w:fldChar w:fldCharType="separate"/>
      </w:r>
      <w:r>
        <w:rPr>
          <w:noProof/>
        </w:rPr>
        <w:t>54</w:t>
      </w:r>
      <w:r w:rsidR="000D37BE">
        <w:rPr>
          <w:noProof/>
        </w:rPr>
        <w:fldChar w:fldCharType="end"/>
      </w:r>
    </w:p>
    <w:p w:rsidR="00A11609" w:rsidRDefault="00A11609">
      <w:pPr>
        <w:pStyle w:val="TableofFigures"/>
        <w:tabs>
          <w:tab w:val="right" w:leader="dot" w:pos="9060"/>
        </w:tabs>
        <w:rPr>
          <w:rFonts w:eastAsiaTheme="minorEastAsia"/>
          <w:noProof/>
        </w:rPr>
      </w:pPr>
      <w:r w:rsidRPr="00304B20">
        <w:rPr>
          <w:rFonts w:asciiTheme="majorHAnsi" w:eastAsiaTheme="majorEastAsia" w:hAnsiTheme="majorHAnsi" w:cstheme="majorBidi"/>
          <w:noProof/>
          <w:color w:val="595959" w:themeColor="text1" w:themeTint="A6"/>
        </w:rPr>
        <w:t xml:space="preserve">Table 9 Proposed risk mitigation measures for propagative material from </w:t>
      </w:r>
      <w:r w:rsidRPr="00304B20">
        <w:rPr>
          <w:rFonts w:asciiTheme="majorHAnsi" w:eastAsiaTheme="majorEastAsia" w:hAnsiTheme="majorHAnsi" w:cstheme="majorBidi"/>
          <w:i/>
          <w:noProof/>
          <w:color w:val="595959" w:themeColor="text1" w:themeTint="A6"/>
        </w:rPr>
        <w:t xml:space="preserve">Phytophthora ramorum, P. kernoviae, P. nemerosa </w:t>
      </w:r>
      <w:r w:rsidRPr="00304B20">
        <w:rPr>
          <w:rFonts w:asciiTheme="majorHAnsi" w:eastAsiaTheme="majorEastAsia" w:hAnsiTheme="majorHAnsi" w:cstheme="majorBidi"/>
          <w:noProof/>
          <w:color w:val="595959" w:themeColor="text1" w:themeTint="A6"/>
        </w:rPr>
        <w:t xml:space="preserve">and </w:t>
      </w:r>
      <w:r w:rsidRPr="00304B20">
        <w:rPr>
          <w:rFonts w:asciiTheme="majorHAnsi" w:eastAsiaTheme="majorEastAsia" w:hAnsiTheme="majorHAnsi" w:cstheme="majorBidi"/>
          <w:i/>
          <w:noProof/>
          <w:color w:val="595959" w:themeColor="text1" w:themeTint="A6"/>
        </w:rPr>
        <w:t>P. pseudosyringae</w:t>
      </w:r>
      <w:r w:rsidRPr="00304B20">
        <w:rPr>
          <w:rFonts w:asciiTheme="majorHAnsi" w:eastAsiaTheme="majorEastAsia" w:hAnsiTheme="majorHAnsi" w:cstheme="majorBidi"/>
          <w:noProof/>
          <w:color w:val="595959" w:themeColor="text1" w:themeTint="A6"/>
        </w:rPr>
        <w:t xml:space="preserve"> countries</w:t>
      </w:r>
      <w:r>
        <w:rPr>
          <w:noProof/>
        </w:rPr>
        <w:tab/>
      </w:r>
      <w:r w:rsidR="000D37BE">
        <w:rPr>
          <w:noProof/>
        </w:rPr>
        <w:fldChar w:fldCharType="begin"/>
      </w:r>
      <w:r>
        <w:rPr>
          <w:noProof/>
        </w:rPr>
        <w:instrText xml:space="preserve"> PAGEREF _Toc414019481 \h </w:instrText>
      </w:r>
      <w:r w:rsidR="000D37BE">
        <w:rPr>
          <w:noProof/>
        </w:rPr>
      </w:r>
      <w:r w:rsidR="000D37BE">
        <w:rPr>
          <w:noProof/>
        </w:rPr>
        <w:fldChar w:fldCharType="separate"/>
      </w:r>
      <w:r>
        <w:rPr>
          <w:noProof/>
        </w:rPr>
        <w:t>65</w:t>
      </w:r>
      <w:r w:rsidR="000D37BE">
        <w:rPr>
          <w:noProof/>
        </w:rPr>
        <w:fldChar w:fldCharType="end"/>
      </w:r>
    </w:p>
    <w:p w:rsidR="00E94405" w:rsidRDefault="000D37BE">
      <w:pPr>
        <w:pStyle w:val="TOCHeading"/>
        <w:pageBreakBefore w:val="0"/>
        <w:spacing w:after="120"/>
        <w:rPr>
          <w:rFonts w:eastAsiaTheme="majorEastAsia" w:cstheme="majorBidi"/>
          <w:b/>
          <w:color w:val="D52B1E"/>
          <w:sz w:val="34"/>
          <w:lang w:val="en-AU"/>
        </w:rPr>
      </w:pPr>
      <w:r>
        <w:rPr>
          <w:rFonts w:ascii="Times New Roman" w:hAnsi="Times New Roman"/>
          <w:bCs w:val="0"/>
          <w:color w:val="auto"/>
          <w:sz w:val="22"/>
          <w:szCs w:val="22"/>
          <w:lang w:val="en-AU"/>
        </w:rPr>
        <w:fldChar w:fldCharType="end"/>
      </w:r>
      <w:r w:rsidR="00A11609">
        <w:rPr>
          <w:rFonts w:eastAsiaTheme="majorEastAsia" w:cstheme="majorBidi"/>
          <w:b/>
          <w:color w:val="D52B1E"/>
          <w:sz w:val="34"/>
          <w:lang w:val="en-AU"/>
        </w:rPr>
        <w:t>Maps</w:t>
      </w:r>
    </w:p>
    <w:p w:rsidR="00A11609" w:rsidRDefault="000D37BE">
      <w:pPr>
        <w:pStyle w:val="TableofFigures"/>
        <w:tabs>
          <w:tab w:val="right" w:leader="dot" w:pos="9060"/>
        </w:tabs>
        <w:rPr>
          <w:rFonts w:eastAsiaTheme="minorEastAsia"/>
          <w:noProof/>
        </w:rPr>
      </w:pPr>
      <w:r>
        <w:rPr>
          <w:rFonts w:eastAsiaTheme="minorEastAsia"/>
        </w:rPr>
        <w:fldChar w:fldCharType="begin"/>
      </w:r>
      <w:r w:rsidR="00A11609">
        <w:rPr>
          <w:rFonts w:eastAsiaTheme="minorEastAsia"/>
        </w:rPr>
        <w:instrText xml:space="preserve"> TOC \c "Map" </w:instrText>
      </w:r>
      <w:r>
        <w:rPr>
          <w:rFonts w:eastAsiaTheme="minorEastAsia"/>
        </w:rPr>
        <w:fldChar w:fldCharType="separate"/>
      </w:r>
      <w:r w:rsidR="00A11609" w:rsidRPr="000B31EF">
        <w:rPr>
          <w:rFonts w:asciiTheme="majorHAnsi" w:eastAsiaTheme="majorEastAsia" w:hAnsiTheme="majorHAnsi" w:cstheme="majorBidi"/>
          <w:noProof/>
          <w:color w:val="595959" w:themeColor="text1" w:themeTint="A6"/>
        </w:rPr>
        <w:t>Map 1 Map of Australia</w:t>
      </w:r>
      <w:r w:rsidR="00A11609">
        <w:rPr>
          <w:noProof/>
        </w:rPr>
        <w:tab/>
      </w:r>
      <w:r>
        <w:rPr>
          <w:noProof/>
        </w:rPr>
        <w:fldChar w:fldCharType="begin"/>
      </w:r>
      <w:r w:rsidR="00A11609">
        <w:rPr>
          <w:noProof/>
        </w:rPr>
        <w:instrText xml:space="preserve"> PAGEREF _Toc414019482 \h </w:instrText>
      </w:r>
      <w:r>
        <w:rPr>
          <w:noProof/>
        </w:rPr>
      </w:r>
      <w:r>
        <w:rPr>
          <w:noProof/>
        </w:rPr>
        <w:fldChar w:fldCharType="separate"/>
      </w:r>
      <w:r w:rsidR="00A11609">
        <w:rPr>
          <w:noProof/>
        </w:rPr>
        <w:t>v</w:t>
      </w:r>
      <w:r>
        <w:rPr>
          <w:noProof/>
        </w:rPr>
        <w:fldChar w:fldCharType="end"/>
      </w:r>
    </w:p>
    <w:p w:rsidR="00A11609" w:rsidRDefault="00A11609">
      <w:pPr>
        <w:pStyle w:val="TableofFigures"/>
        <w:tabs>
          <w:tab w:val="right" w:leader="dot" w:pos="9060"/>
        </w:tabs>
        <w:rPr>
          <w:rFonts w:eastAsiaTheme="minorEastAsia"/>
          <w:noProof/>
        </w:rPr>
      </w:pPr>
      <w:r w:rsidRPr="000B31EF">
        <w:rPr>
          <w:rFonts w:asciiTheme="majorHAnsi" w:eastAsiaTheme="majorEastAsia" w:hAnsiTheme="majorHAnsi" w:cstheme="majorBidi"/>
          <w:noProof/>
          <w:color w:val="595959" w:themeColor="text1" w:themeTint="A6"/>
        </w:rPr>
        <w:t>Map 2 A guide to Australia's bio-climatic zones</w:t>
      </w:r>
      <w:r>
        <w:rPr>
          <w:noProof/>
        </w:rPr>
        <w:tab/>
      </w:r>
      <w:r w:rsidR="000D37BE">
        <w:rPr>
          <w:noProof/>
        </w:rPr>
        <w:fldChar w:fldCharType="begin"/>
      </w:r>
      <w:r>
        <w:rPr>
          <w:noProof/>
        </w:rPr>
        <w:instrText xml:space="preserve"> PAGEREF _Toc414019483 \h </w:instrText>
      </w:r>
      <w:r w:rsidR="000D37BE">
        <w:rPr>
          <w:noProof/>
        </w:rPr>
      </w:r>
      <w:r w:rsidR="000D37BE">
        <w:rPr>
          <w:noProof/>
        </w:rPr>
        <w:fldChar w:fldCharType="separate"/>
      </w:r>
      <w:r>
        <w:rPr>
          <w:noProof/>
        </w:rPr>
        <w:t>v</w:t>
      </w:r>
      <w:r w:rsidR="000D37BE">
        <w:rPr>
          <w:noProof/>
        </w:rPr>
        <w:fldChar w:fldCharType="end"/>
      </w:r>
    </w:p>
    <w:p w:rsidR="00A11609" w:rsidRDefault="00A11609">
      <w:pPr>
        <w:pStyle w:val="TableofFigures"/>
        <w:tabs>
          <w:tab w:val="right" w:leader="dot" w:pos="9060"/>
        </w:tabs>
        <w:rPr>
          <w:rFonts w:eastAsiaTheme="minorEastAsia"/>
          <w:noProof/>
        </w:rPr>
      </w:pPr>
      <w:r w:rsidRPr="000B31EF">
        <w:rPr>
          <w:rFonts w:asciiTheme="majorHAnsi" w:eastAsiaTheme="majorEastAsia" w:hAnsiTheme="majorHAnsi" w:cstheme="majorBidi"/>
          <w:noProof/>
          <w:color w:val="595959" w:themeColor="text1" w:themeTint="A6"/>
        </w:rPr>
        <w:t xml:space="preserve">Map 3 Global occurrences of </w:t>
      </w:r>
      <w:r w:rsidRPr="000B31EF">
        <w:rPr>
          <w:rFonts w:asciiTheme="majorHAnsi" w:eastAsiaTheme="majorEastAsia" w:hAnsiTheme="majorHAnsi" w:cstheme="majorBidi"/>
          <w:i/>
          <w:noProof/>
          <w:color w:val="595959" w:themeColor="text1" w:themeTint="A6"/>
        </w:rPr>
        <w:t>Phytophthora</w:t>
      </w:r>
      <w:r w:rsidRPr="000B31EF">
        <w:rPr>
          <w:rFonts w:asciiTheme="majorHAnsi" w:eastAsiaTheme="majorEastAsia" w:hAnsiTheme="majorHAnsi" w:cstheme="majorBidi"/>
          <w:noProof/>
          <w:color w:val="595959" w:themeColor="text1" w:themeTint="A6"/>
        </w:rPr>
        <w:t xml:space="preserve"> species</w:t>
      </w:r>
      <w:r>
        <w:rPr>
          <w:noProof/>
        </w:rPr>
        <w:tab/>
      </w:r>
      <w:r w:rsidR="000D37BE">
        <w:rPr>
          <w:noProof/>
        </w:rPr>
        <w:fldChar w:fldCharType="begin"/>
      </w:r>
      <w:r>
        <w:rPr>
          <w:noProof/>
        </w:rPr>
        <w:instrText xml:space="preserve"> PAGEREF _Toc414019484 \h </w:instrText>
      </w:r>
      <w:r w:rsidR="000D37BE">
        <w:rPr>
          <w:noProof/>
        </w:rPr>
      </w:r>
      <w:r w:rsidR="000D37BE">
        <w:rPr>
          <w:noProof/>
        </w:rPr>
        <w:fldChar w:fldCharType="separate"/>
      </w:r>
      <w:r>
        <w:rPr>
          <w:noProof/>
        </w:rPr>
        <w:t>26</w:t>
      </w:r>
      <w:r w:rsidR="000D37BE">
        <w:rPr>
          <w:noProof/>
        </w:rPr>
        <w:fldChar w:fldCharType="end"/>
      </w:r>
    </w:p>
    <w:p w:rsidR="00A11609" w:rsidRDefault="00A11609">
      <w:pPr>
        <w:pStyle w:val="TableofFigures"/>
        <w:tabs>
          <w:tab w:val="right" w:leader="dot" w:pos="9060"/>
        </w:tabs>
        <w:rPr>
          <w:rFonts w:eastAsiaTheme="minorEastAsia"/>
          <w:noProof/>
        </w:rPr>
      </w:pPr>
      <w:r w:rsidRPr="000B31EF">
        <w:rPr>
          <w:rFonts w:asciiTheme="majorHAnsi" w:eastAsiaTheme="majorEastAsia" w:hAnsiTheme="majorHAnsi" w:cstheme="majorBidi"/>
          <w:noProof/>
          <w:color w:val="595959" w:themeColor="text1" w:themeTint="A6"/>
        </w:rPr>
        <w:t xml:space="preserve">Map 4 Areas suitable for the establishment of </w:t>
      </w:r>
      <w:r w:rsidRPr="000B31EF">
        <w:rPr>
          <w:rFonts w:asciiTheme="majorHAnsi" w:eastAsiaTheme="majorEastAsia" w:hAnsiTheme="majorHAnsi" w:cstheme="majorBidi"/>
          <w:i/>
          <w:noProof/>
          <w:color w:val="595959" w:themeColor="text1" w:themeTint="A6"/>
        </w:rPr>
        <w:t>Phytophthora ramorum</w:t>
      </w:r>
      <w:r w:rsidRPr="000B31EF">
        <w:rPr>
          <w:rFonts w:asciiTheme="majorHAnsi" w:eastAsiaTheme="majorEastAsia" w:hAnsiTheme="majorHAnsi" w:cstheme="majorBidi"/>
          <w:noProof/>
          <w:color w:val="595959" w:themeColor="text1" w:themeTint="A6"/>
        </w:rPr>
        <w:t xml:space="preserve"> in Australia</w:t>
      </w:r>
      <w:r>
        <w:rPr>
          <w:noProof/>
        </w:rPr>
        <w:tab/>
      </w:r>
      <w:r w:rsidR="000D37BE">
        <w:rPr>
          <w:noProof/>
        </w:rPr>
        <w:fldChar w:fldCharType="begin"/>
      </w:r>
      <w:r>
        <w:rPr>
          <w:noProof/>
        </w:rPr>
        <w:instrText xml:space="preserve"> PAGEREF _Toc414019485 \h </w:instrText>
      </w:r>
      <w:r w:rsidR="000D37BE">
        <w:rPr>
          <w:noProof/>
        </w:rPr>
      </w:r>
      <w:r w:rsidR="000D37BE">
        <w:rPr>
          <w:noProof/>
        </w:rPr>
        <w:fldChar w:fldCharType="separate"/>
      </w:r>
      <w:r>
        <w:rPr>
          <w:noProof/>
        </w:rPr>
        <w:t>40</w:t>
      </w:r>
      <w:r w:rsidR="000D37BE">
        <w:rPr>
          <w:noProof/>
        </w:rPr>
        <w:fldChar w:fldCharType="end"/>
      </w:r>
    </w:p>
    <w:p w:rsidR="00A11609" w:rsidRDefault="00A11609">
      <w:pPr>
        <w:pStyle w:val="TableofFigures"/>
        <w:tabs>
          <w:tab w:val="right" w:leader="dot" w:pos="9060"/>
        </w:tabs>
        <w:rPr>
          <w:rFonts w:eastAsiaTheme="minorEastAsia"/>
          <w:noProof/>
        </w:rPr>
      </w:pPr>
      <w:r w:rsidRPr="000B31EF">
        <w:rPr>
          <w:rFonts w:asciiTheme="majorHAnsi" w:eastAsiaTheme="majorEastAsia" w:hAnsiTheme="majorHAnsi" w:cstheme="majorBidi"/>
          <w:noProof/>
          <w:color w:val="595959" w:themeColor="text1" w:themeTint="A6"/>
        </w:rPr>
        <w:t>Map 5 Distribution of the nursery and garden industry in Australia</w:t>
      </w:r>
      <w:r>
        <w:rPr>
          <w:noProof/>
        </w:rPr>
        <w:tab/>
      </w:r>
      <w:r w:rsidR="000D37BE">
        <w:rPr>
          <w:noProof/>
        </w:rPr>
        <w:fldChar w:fldCharType="begin"/>
      </w:r>
      <w:r>
        <w:rPr>
          <w:noProof/>
        </w:rPr>
        <w:instrText xml:space="preserve"> PAGEREF _Toc414019486 \h </w:instrText>
      </w:r>
      <w:r w:rsidR="000D37BE">
        <w:rPr>
          <w:noProof/>
        </w:rPr>
      </w:r>
      <w:r w:rsidR="000D37BE">
        <w:rPr>
          <w:noProof/>
        </w:rPr>
        <w:fldChar w:fldCharType="separate"/>
      </w:r>
      <w:r>
        <w:rPr>
          <w:noProof/>
        </w:rPr>
        <w:t>49</w:t>
      </w:r>
      <w:r w:rsidR="000D37BE">
        <w:rPr>
          <w:noProof/>
        </w:rPr>
        <w:fldChar w:fldCharType="end"/>
      </w:r>
    </w:p>
    <w:p w:rsidR="00E94405" w:rsidRDefault="000D37BE">
      <w:r>
        <w:rPr>
          <w:rFonts w:eastAsiaTheme="minorEastAsia"/>
        </w:rPr>
        <w:fldChar w:fldCharType="end"/>
      </w:r>
    </w:p>
    <w:p w:rsidR="00E94405" w:rsidRDefault="00E94405">
      <w:pPr>
        <w:sectPr w:rsidR="00E94405">
          <w:pgSz w:w="11906" w:h="16838"/>
          <w:pgMar w:top="1418" w:right="1418" w:bottom="1418" w:left="1418" w:header="567" w:footer="283" w:gutter="0"/>
          <w:pgNumType w:fmt="lowerRoman"/>
          <w:cols w:space="708"/>
          <w:titlePg/>
          <w:docGrid w:linePitch="360"/>
        </w:sectPr>
      </w:pPr>
    </w:p>
    <w:p w:rsidR="00E94405" w:rsidRDefault="00A11609">
      <w:pPr>
        <w:pStyle w:val="Caption"/>
        <w:keepNext w:val="0"/>
        <w:rPr>
          <w:rFonts w:asciiTheme="majorHAnsi" w:eastAsiaTheme="majorEastAsia" w:hAnsiTheme="majorHAnsi" w:cstheme="majorBidi"/>
          <w:color w:val="595959" w:themeColor="text1" w:themeTint="A6"/>
          <w:sz w:val="20"/>
        </w:rPr>
      </w:pPr>
      <w:bookmarkStart w:id="0" w:name="_Toc384197740"/>
      <w:bookmarkStart w:id="1" w:name="_Toc384209828"/>
      <w:bookmarkStart w:id="2" w:name="_Toc384275072"/>
      <w:bookmarkStart w:id="3" w:name="_Toc384275087"/>
      <w:bookmarkStart w:id="4" w:name="_Toc384279205"/>
      <w:bookmarkStart w:id="5" w:name="_Toc384285413"/>
      <w:bookmarkStart w:id="6" w:name="_Toc384285463"/>
      <w:bookmarkStart w:id="7" w:name="_Toc385508250"/>
      <w:bookmarkStart w:id="8" w:name="_Toc388191275"/>
      <w:bookmarkStart w:id="9" w:name="_Toc388557517"/>
      <w:bookmarkStart w:id="10" w:name="_Toc388882516"/>
      <w:bookmarkStart w:id="11" w:name="_Toc388949914"/>
      <w:bookmarkStart w:id="12" w:name="_Toc392494627"/>
      <w:bookmarkStart w:id="13" w:name="_Toc392503870"/>
      <w:bookmarkStart w:id="14" w:name="_Toc409685797"/>
      <w:bookmarkStart w:id="15" w:name="_Toc412625736"/>
      <w:bookmarkStart w:id="16" w:name="_Toc414019466"/>
      <w:bookmarkStart w:id="17" w:name="_Toc414019482"/>
      <w:r>
        <w:rPr>
          <w:rFonts w:asciiTheme="majorHAnsi" w:eastAsiaTheme="majorEastAsia" w:hAnsiTheme="majorHAnsi" w:cstheme="majorBidi"/>
          <w:color w:val="595959" w:themeColor="text1" w:themeTint="A6"/>
          <w:sz w:val="20"/>
        </w:rPr>
        <w:lastRenderedPageBreak/>
        <w:t xml:space="preserve">Map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1</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Map of Australia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E94405" w:rsidRDefault="00A11609">
      <w:pPr>
        <w:pStyle w:val="Picture"/>
      </w:pPr>
      <w:r>
        <w:rPr>
          <w:noProof/>
        </w:rPr>
        <w:drawing>
          <wp:inline distT="0" distB="0" distL="0" distR="0">
            <wp:extent cx="4936448" cy="3876107"/>
            <wp:effectExtent l="19050" t="0" r="0" b="0"/>
            <wp:docPr id="2" name="Picture 2" descr="Austral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 map"/>
                    <pic:cNvPicPr>
                      <a:picLocks noChangeAspect="1" noChangeArrowheads="1"/>
                    </pic:cNvPicPr>
                  </pic:nvPicPr>
                  <pic:blipFill>
                    <a:blip r:embed="rId24" cstate="print"/>
                    <a:srcRect/>
                    <a:stretch>
                      <a:fillRect/>
                    </a:stretch>
                  </pic:blipFill>
                  <pic:spPr bwMode="auto">
                    <a:xfrm>
                      <a:off x="0" y="0"/>
                      <a:ext cx="4940576" cy="3876261"/>
                    </a:xfrm>
                    <a:prstGeom prst="rect">
                      <a:avLst/>
                    </a:prstGeom>
                    <a:noFill/>
                    <a:ln w="9525">
                      <a:noFill/>
                      <a:miter lim="800000"/>
                      <a:headEnd/>
                      <a:tailEnd/>
                    </a:ln>
                  </pic:spPr>
                </pic:pic>
              </a:graphicData>
            </a:graphic>
          </wp:inline>
        </w:drawing>
      </w:r>
    </w:p>
    <w:p w:rsidR="00E94405" w:rsidRDefault="00A11609">
      <w:pPr>
        <w:pStyle w:val="Caption"/>
        <w:keepNext w:val="0"/>
        <w:rPr>
          <w:rFonts w:asciiTheme="majorHAnsi" w:eastAsiaTheme="majorEastAsia" w:hAnsiTheme="majorHAnsi" w:cstheme="majorBidi"/>
          <w:color w:val="595959" w:themeColor="text1" w:themeTint="A6"/>
          <w:sz w:val="20"/>
        </w:rPr>
      </w:pPr>
      <w:bookmarkStart w:id="18" w:name="_Toc384197741"/>
      <w:bookmarkStart w:id="19" w:name="_Toc384209829"/>
      <w:bookmarkStart w:id="20" w:name="_Toc384275073"/>
      <w:bookmarkStart w:id="21" w:name="_Toc384275088"/>
      <w:bookmarkStart w:id="22" w:name="_Toc384279206"/>
      <w:bookmarkStart w:id="23" w:name="_Toc384285414"/>
      <w:bookmarkStart w:id="24" w:name="_Toc384285464"/>
      <w:bookmarkStart w:id="25" w:name="_Toc385508251"/>
      <w:bookmarkStart w:id="26" w:name="_Toc388191276"/>
      <w:bookmarkStart w:id="27" w:name="_Toc388557518"/>
      <w:bookmarkStart w:id="28" w:name="_Toc388882517"/>
      <w:bookmarkStart w:id="29" w:name="_Toc388949915"/>
      <w:bookmarkStart w:id="30" w:name="_Toc392494628"/>
      <w:bookmarkStart w:id="31" w:name="_Toc392503871"/>
      <w:bookmarkStart w:id="32" w:name="_Toc409685798"/>
      <w:bookmarkStart w:id="33" w:name="_Toc412625737"/>
      <w:bookmarkStart w:id="34" w:name="_Toc414019467"/>
      <w:bookmarkStart w:id="35" w:name="_Toc414019483"/>
      <w:r>
        <w:rPr>
          <w:rFonts w:asciiTheme="majorHAnsi" w:eastAsiaTheme="majorEastAsia" w:hAnsiTheme="majorHAnsi" w:cstheme="majorBidi"/>
          <w:color w:val="595959" w:themeColor="text1" w:themeTint="A6"/>
          <w:sz w:val="20"/>
        </w:rPr>
        <w:t xml:space="preserve">Map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2</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A guide to Australia's bio-climatic zones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E94405" w:rsidRDefault="00A11609">
      <w:pPr>
        <w:pStyle w:val="Caption"/>
        <w:tabs>
          <w:tab w:val="left" w:pos="851"/>
        </w:tabs>
      </w:pPr>
      <w:r>
        <w:rPr>
          <w:noProof/>
        </w:rPr>
        <w:drawing>
          <wp:inline distT="0" distB="0" distL="0" distR="0">
            <wp:extent cx="5024755" cy="3587468"/>
            <wp:effectExtent l="19050" t="0" r="4445" b="0"/>
            <wp:docPr id="3" name="Picture 3" descr="clim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map"/>
                    <pic:cNvPicPr>
                      <a:picLocks noChangeAspect="1" noChangeArrowheads="1"/>
                    </pic:cNvPicPr>
                  </pic:nvPicPr>
                  <pic:blipFill>
                    <a:blip r:embed="rId25" cstate="print"/>
                    <a:srcRect/>
                    <a:stretch>
                      <a:fillRect/>
                    </a:stretch>
                  </pic:blipFill>
                  <pic:spPr bwMode="auto">
                    <a:xfrm>
                      <a:off x="0" y="0"/>
                      <a:ext cx="5024755" cy="3587468"/>
                    </a:xfrm>
                    <a:prstGeom prst="rect">
                      <a:avLst/>
                    </a:prstGeom>
                    <a:noFill/>
                    <a:ln w="19050" cmpd="sng">
                      <a:noFill/>
                      <a:miter lim="800000"/>
                      <a:headEnd/>
                      <a:tailEnd/>
                    </a:ln>
                    <a:effectLst/>
                  </pic:spPr>
                </pic:pic>
              </a:graphicData>
            </a:graphic>
          </wp:inline>
        </w:drawing>
      </w:r>
    </w:p>
    <w:p w:rsidR="00E94405" w:rsidRDefault="00E94405"/>
    <w:p w:rsidR="00E94405" w:rsidRDefault="00E94405">
      <w:pPr>
        <w:sectPr w:rsidR="00E94405">
          <w:headerReference w:type="first" r:id="rId26"/>
          <w:type w:val="oddPage"/>
          <w:pgSz w:w="11906" w:h="16838"/>
          <w:pgMar w:top="1418" w:right="1418" w:bottom="1418" w:left="1418" w:header="567" w:footer="283" w:gutter="0"/>
          <w:pgNumType w:fmt="lowerRoman"/>
          <w:cols w:space="708"/>
          <w:titlePg/>
          <w:docGrid w:linePitch="360"/>
        </w:sectPr>
      </w:pPr>
    </w:p>
    <w:p w:rsidR="00E94405" w:rsidRDefault="00A11609">
      <w:pPr>
        <w:pStyle w:val="Heading1nonumbers"/>
        <w:rPr>
          <w:lang w:val="en-AU"/>
        </w:rPr>
      </w:pPr>
      <w:bookmarkStart w:id="36" w:name="_Toc392488732"/>
      <w:bookmarkStart w:id="37" w:name="_Toc414019435"/>
      <w:r>
        <w:rPr>
          <w:lang w:val="en-AU"/>
        </w:rPr>
        <w:lastRenderedPageBreak/>
        <w:t>Acronyms and abbreviations</w:t>
      </w:r>
      <w:bookmarkEnd w:id="36"/>
      <w:bookmarkEnd w:id="37"/>
    </w:p>
    <w:tbl>
      <w:tblPr>
        <w:tblW w:w="5077" w:type="pct"/>
        <w:tblBorders>
          <w:top w:val="single" w:sz="4" w:space="0" w:color="auto"/>
          <w:bottom w:val="single" w:sz="4" w:space="0" w:color="auto"/>
        </w:tblBorders>
        <w:tblLook w:val="04A0"/>
      </w:tblPr>
      <w:tblGrid>
        <w:gridCol w:w="2518"/>
        <w:gridCol w:w="6911"/>
      </w:tblGrid>
      <w:tr w:rsidR="00E94405">
        <w:trPr>
          <w:trHeight w:val="414"/>
          <w:tblHeader/>
        </w:trPr>
        <w:tc>
          <w:tcPr>
            <w:tcW w:w="1335" w:type="pct"/>
          </w:tcPr>
          <w:p w:rsidR="00E94405" w:rsidRDefault="00A11609">
            <w:pPr>
              <w:pStyle w:val="TableHeading"/>
              <w:rPr>
                <w:rFonts w:ascii="Cambria" w:hAnsi="Cambria"/>
              </w:rPr>
            </w:pPr>
            <w:r>
              <w:rPr>
                <w:rFonts w:ascii="Cambria" w:hAnsi="Cambria"/>
              </w:rPr>
              <w:t>Term or abbreviation</w:t>
            </w:r>
          </w:p>
        </w:tc>
        <w:tc>
          <w:tcPr>
            <w:tcW w:w="3665" w:type="pct"/>
          </w:tcPr>
          <w:p w:rsidR="00E94405" w:rsidRDefault="00A11609">
            <w:pPr>
              <w:pStyle w:val="TableHeading"/>
              <w:rPr>
                <w:rFonts w:ascii="Cambria" w:hAnsi="Cambria"/>
              </w:rPr>
            </w:pPr>
            <w:r>
              <w:rPr>
                <w:rFonts w:ascii="Cambria" w:hAnsi="Cambria"/>
              </w:rPr>
              <w:t>Definition</w:t>
            </w:r>
          </w:p>
        </w:tc>
      </w:tr>
      <w:tr w:rsidR="00E94405">
        <w:trPr>
          <w:trHeight w:val="414"/>
        </w:trPr>
        <w:tc>
          <w:tcPr>
            <w:tcW w:w="1335" w:type="pct"/>
          </w:tcPr>
          <w:p w:rsidR="00E94405" w:rsidRDefault="00A11609">
            <w:pPr>
              <w:pStyle w:val="TableText"/>
              <w:rPr>
                <w:rFonts w:ascii="Cambria" w:hAnsi="Cambria"/>
              </w:rPr>
            </w:pPr>
            <w:r>
              <w:rPr>
                <w:rFonts w:ascii="Cambria" w:hAnsi="Cambria"/>
              </w:rPr>
              <w:t>ACT</w:t>
            </w:r>
          </w:p>
        </w:tc>
        <w:tc>
          <w:tcPr>
            <w:tcW w:w="3665" w:type="pct"/>
          </w:tcPr>
          <w:p w:rsidR="00E94405" w:rsidRDefault="00A11609">
            <w:pPr>
              <w:pStyle w:val="TableText"/>
              <w:rPr>
                <w:rFonts w:ascii="Cambria" w:hAnsi="Cambria"/>
              </w:rPr>
            </w:pPr>
            <w:r>
              <w:rPr>
                <w:rFonts w:ascii="Cambria" w:hAnsi="Cambria"/>
              </w:rPr>
              <w:t>Australian Capital Territory</w:t>
            </w:r>
          </w:p>
        </w:tc>
      </w:tr>
      <w:tr w:rsidR="00E94405">
        <w:trPr>
          <w:trHeight w:val="414"/>
        </w:trPr>
        <w:tc>
          <w:tcPr>
            <w:tcW w:w="1335" w:type="pct"/>
          </w:tcPr>
          <w:p w:rsidR="00E94405" w:rsidRDefault="00A11609">
            <w:pPr>
              <w:pStyle w:val="TableText"/>
              <w:rPr>
                <w:rFonts w:ascii="Cambria" w:hAnsi="Cambria"/>
              </w:rPr>
            </w:pPr>
            <w:r>
              <w:rPr>
                <w:rFonts w:ascii="Cambria" w:hAnsi="Cambria"/>
              </w:rPr>
              <w:t>ALOP</w:t>
            </w:r>
          </w:p>
        </w:tc>
        <w:tc>
          <w:tcPr>
            <w:tcW w:w="3665" w:type="pct"/>
          </w:tcPr>
          <w:p w:rsidR="00E94405" w:rsidRDefault="00A11609">
            <w:pPr>
              <w:pStyle w:val="TableText"/>
              <w:rPr>
                <w:rFonts w:ascii="Cambria" w:hAnsi="Cambria"/>
              </w:rPr>
            </w:pPr>
            <w:r>
              <w:rPr>
                <w:rFonts w:ascii="Cambria" w:hAnsi="Cambria"/>
              </w:rPr>
              <w:t>Appropriate level of protection</w:t>
            </w:r>
          </w:p>
        </w:tc>
      </w:tr>
      <w:tr w:rsidR="00E94405">
        <w:trPr>
          <w:trHeight w:val="414"/>
        </w:trPr>
        <w:tc>
          <w:tcPr>
            <w:tcW w:w="1335" w:type="pct"/>
          </w:tcPr>
          <w:p w:rsidR="00E94405" w:rsidRDefault="00A11609">
            <w:pPr>
              <w:pStyle w:val="TableText"/>
              <w:rPr>
                <w:rFonts w:ascii="Cambria" w:hAnsi="Cambria"/>
              </w:rPr>
            </w:pPr>
            <w:r>
              <w:rPr>
                <w:rFonts w:ascii="Cambria" w:hAnsi="Cambria"/>
              </w:rPr>
              <w:t>CSIRO</w:t>
            </w:r>
          </w:p>
        </w:tc>
        <w:tc>
          <w:tcPr>
            <w:tcW w:w="3665" w:type="pct"/>
          </w:tcPr>
          <w:p w:rsidR="00E94405" w:rsidRDefault="00A11609">
            <w:pPr>
              <w:pStyle w:val="TableText"/>
              <w:rPr>
                <w:rFonts w:ascii="Cambria" w:hAnsi="Cambria"/>
              </w:rPr>
            </w:pPr>
            <w:r>
              <w:rPr>
                <w:rFonts w:ascii="Cambria" w:hAnsi="Cambria"/>
              </w:rPr>
              <w:t>Commonwealth Scientific and Industrial Research Organisation</w:t>
            </w:r>
          </w:p>
        </w:tc>
      </w:tr>
      <w:tr w:rsidR="00E94405">
        <w:trPr>
          <w:trHeight w:val="414"/>
        </w:trPr>
        <w:tc>
          <w:tcPr>
            <w:tcW w:w="1335" w:type="pct"/>
          </w:tcPr>
          <w:p w:rsidR="00E94405" w:rsidRDefault="00A11609">
            <w:pPr>
              <w:pStyle w:val="TableText"/>
              <w:rPr>
                <w:rFonts w:ascii="Cambria" w:hAnsi="Cambria"/>
              </w:rPr>
            </w:pPr>
            <w:r>
              <w:rPr>
                <w:rFonts w:ascii="Cambria" w:hAnsi="Cambria"/>
              </w:rPr>
              <w:t>FAO</w:t>
            </w:r>
          </w:p>
        </w:tc>
        <w:tc>
          <w:tcPr>
            <w:tcW w:w="3665" w:type="pct"/>
          </w:tcPr>
          <w:p w:rsidR="00E94405" w:rsidRDefault="00A11609">
            <w:pPr>
              <w:pStyle w:val="TableText"/>
              <w:rPr>
                <w:rFonts w:ascii="Cambria" w:hAnsi="Cambria"/>
              </w:rPr>
            </w:pPr>
            <w:r>
              <w:rPr>
                <w:rFonts w:ascii="Cambria" w:hAnsi="Cambria"/>
              </w:rPr>
              <w:t>Food and Agriculture Organization of the United Nations</w:t>
            </w:r>
          </w:p>
        </w:tc>
      </w:tr>
      <w:tr w:rsidR="00E94405">
        <w:trPr>
          <w:trHeight w:val="414"/>
        </w:trPr>
        <w:tc>
          <w:tcPr>
            <w:tcW w:w="1335" w:type="pct"/>
          </w:tcPr>
          <w:p w:rsidR="00E94405" w:rsidRDefault="00A11609">
            <w:pPr>
              <w:pStyle w:val="TableText"/>
              <w:rPr>
                <w:rFonts w:ascii="Cambria" w:hAnsi="Cambria"/>
              </w:rPr>
            </w:pPr>
            <w:r>
              <w:rPr>
                <w:rFonts w:ascii="Cambria" w:hAnsi="Cambria"/>
              </w:rPr>
              <w:t>ICON</w:t>
            </w:r>
          </w:p>
        </w:tc>
        <w:tc>
          <w:tcPr>
            <w:tcW w:w="3665" w:type="pct"/>
          </w:tcPr>
          <w:p w:rsidR="00E94405" w:rsidRDefault="00A11609">
            <w:pPr>
              <w:pStyle w:val="TableText"/>
              <w:rPr>
                <w:rFonts w:ascii="Cambria" w:hAnsi="Cambria"/>
              </w:rPr>
            </w:pPr>
            <w:r>
              <w:rPr>
                <w:rFonts w:ascii="Cambria" w:hAnsi="Cambria"/>
              </w:rPr>
              <w:t>The Australian Government Department of Agriculture Import CONditions database</w:t>
            </w:r>
          </w:p>
        </w:tc>
      </w:tr>
      <w:tr w:rsidR="00E94405">
        <w:trPr>
          <w:trHeight w:val="414"/>
        </w:trPr>
        <w:tc>
          <w:tcPr>
            <w:tcW w:w="1335" w:type="pct"/>
          </w:tcPr>
          <w:p w:rsidR="00E94405" w:rsidRDefault="00A11609">
            <w:pPr>
              <w:pStyle w:val="TableText"/>
              <w:rPr>
                <w:rFonts w:ascii="Cambria" w:hAnsi="Cambria"/>
              </w:rPr>
            </w:pPr>
            <w:r>
              <w:rPr>
                <w:rFonts w:ascii="Cambria" w:hAnsi="Cambria"/>
              </w:rPr>
              <w:t>IPC</w:t>
            </w:r>
          </w:p>
        </w:tc>
        <w:tc>
          <w:tcPr>
            <w:tcW w:w="3665" w:type="pct"/>
          </w:tcPr>
          <w:p w:rsidR="00E94405" w:rsidRDefault="00A11609">
            <w:pPr>
              <w:pStyle w:val="TableText"/>
              <w:rPr>
                <w:rFonts w:ascii="Cambria" w:hAnsi="Cambria"/>
              </w:rPr>
            </w:pPr>
            <w:r>
              <w:rPr>
                <w:rFonts w:ascii="Cambria" w:hAnsi="Cambria"/>
              </w:rPr>
              <w:t>International Phytosanitary Certificate</w:t>
            </w:r>
          </w:p>
        </w:tc>
      </w:tr>
      <w:tr w:rsidR="00E94405">
        <w:trPr>
          <w:trHeight w:val="414"/>
        </w:trPr>
        <w:tc>
          <w:tcPr>
            <w:tcW w:w="1335" w:type="pct"/>
          </w:tcPr>
          <w:p w:rsidR="00E94405" w:rsidRDefault="00A11609">
            <w:pPr>
              <w:pStyle w:val="TableText"/>
              <w:rPr>
                <w:rFonts w:ascii="Cambria" w:hAnsi="Cambria"/>
              </w:rPr>
            </w:pPr>
            <w:r>
              <w:rPr>
                <w:rFonts w:ascii="Cambria" w:hAnsi="Cambria"/>
              </w:rPr>
              <w:t>IPGR</w:t>
            </w:r>
          </w:p>
        </w:tc>
        <w:tc>
          <w:tcPr>
            <w:tcW w:w="3665" w:type="pct"/>
          </w:tcPr>
          <w:p w:rsidR="00E94405" w:rsidRDefault="00A11609">
            <w:pPr>
              <w:pStyle w:val="TableText"/>
              <w:rPr>
                <w:rFonts w:ascii="Cambria" w:hAnsi="Cambria"/>
              </w:rPr>
            </w:pPr>
            <w:r>
              <w:rPr>
                <w:rFonts w:ascii="Cambria" w:hAnsi="Cambria"/>
              </w:rPr>
              <w:t>International Plant Genetic Resource</w:t>
            </w:r>
          </w:p>
        </w:tc>
      </w:tr>
      <w:tr w:rsidR="00E94405">
        <w:trPr>
          <w:trHeight w:val="414"/>
        </w:trPr>
        <w:tc>
          <w:tcPr>
            <w:tcW w:w="1335" w:type="pct"/>
          </w:tcPr>
          <w:p w:rsidR="00E94405" w:rsidRDefault="00A11609">
            <w:pPr>
              <w:pStyle w:val="TableText"/>
              <w:rPr>
                <w:rFonts w:ascii="Cambria" w:hAnsi="Cambria"/>
              </w:rPr>
            </w:pPr>
            <w:r>
              <w:rPr>
                <w:rFonts w:ascii="Cambria" w:hAnsi="Cambria"/>
              </w:rPr>
              <w:t>IPPC</w:t>
            </w:r>
          </w:p>
        </w:tc>
        <w:tc>
          <w:tcPr>
            <w:tcW w:w="3665" w:type="pct"/>
          </w:tcPr>
          <w:p w:rsidR="00E94405" w:rsidRDefault="00A11609">
            <w:pPr>
              <w:pStyle w:val="TableText"/>
              <w:rPr>
                <w:rFonts w:ascii="Cambria" w:hAnsi="Cambria"/>
              </w:rPr>
            </w:pPr>
            <w:r>
              <w:rPr>
                <w:rFonts w:ascii="Cambria" w:hAnsi="Cambria"/>
              </w:rPr>
              <w:t>International Plant Protection Convention</w:t>
            </w:r>
          </w:p>
        </w:tc>
      </w:tr>
      <w:tr w:rsidR="00E94405">
        <w:trPr>
          <w:trHeight w:val="414"/>
        </w:trPr>
        <w:tc>
          <w:tcPr>
            <w:tcW w:w="1335" w:type="pct"/>
          </w:tcPr>
          <w:p w:rsidR="00E94405" w:rsidRDefault="00A11609">
            <w:pPr>
              <w:pStyle w:val="TableText"/>
              <w:rPr>
                <w:rFonts w:ascii="Cambria" w:hAnsi="Cambria"/>
              </w:rPr>
            </w:pPr>
            <w:r>
              <w:rPr>
                <w:rFonts w:ascii="Cambria" w:hAnsi="Cambria"/>
              </w:rPr>
              <w:t>IRA</w:t>
            </w:r>
          </w:p>
        </w:tc>
        <w:tc>
          <w:tcPr>
            <w:tcW w:w="3665" w:type="pct"/>
          </w:tcPr>
          <w:p w:rsidR="00E94405" w:rsidRDefault="00A11609">
            <w:pPr>
              <w:pStyle w:val="TableText"/>
              <w:rPr>
                <w:rFonts w:ascii="Cambria" w:hAnsi="Cambria"/>
              </w:rPr>
            </w:pPr>
            <w:r>
              <w:rPr>
                <w:rFonts w:ascii="Cambria" w:hAnsi="Cambria"/>
              </w:rPr>
              <w:t>Import risk analysis</w:t>
            </w:r>
          </w:p>
        </w:tc>
      </w:tr>
      <w:tr w:rsidR="00E94405">
        <w:trPr>
          <w:trHeight w:val="414"/>
        </w:trPr>
        <w:tc>
          <w:tcPr>
            <w:tcW w:w="1335" w:type="pct"/>
          </w:tcPr>
          <w:p w:rsidR="00E94405" w:rsidRDefault="00A11609">
            <w:pPr>
              <w:pStyle w:val="TableText"/>
              <w:rPr>
                <w:rFonts w:ascii="Cambria" w:hAnsi="Cambria"/>
              </w:rPr>
            </w:pPr>
            <w:r>
              <w:rPr>
                <w:rFonts w:ascii="Cambria" w:hAnsi="Cambria"/>
              </w:rPr>
              <w:t>ISPM</w:t>
            </w:r>
          </w:p>
        </w:tc>
        <w:tc>
          <w:tcPr>
            <w:tcW w:w="3665" w:type="pct"/>
          </w:tcPr>
          <w:p w:rsidR="00E94405" w:rsidRDefault="00A11609">
            <w:pPr>
              <w:pStyle w:val="TableText"/>
              <w:rPr>
                <w:rFonts w:ascii="Cambria" w:hAnsi="Cambria"/>
              </w:rPr>
            </w:pPr>
            <w:r>
              <w:rPr>
                <w:rFonts w:ascii="Cambria" w:hAnsi="Cambria"/>
              </w:rPr>
              <w:t>International Standard for Phytosanitary Measures</w:t>
            </w:r>
          </w:p>
        </w:tc>
      </w:tr>
      <w:tr w:rsidR="00E94405">
        <w:trPr>
          <w:trHeight w:val="414"/>
        </w:trPr>
        <w:tc>
          <w:tcPr>
            <w:tcW w:w="1335" w:type="pct"/>
          </w:tcPr>
          <w:p w:rsidR="00E94405" w:rsidRDefault="00A11609">
            <w:pPr>
              <w:pStyle w:val="TableText"/>
              <w:rPr>
                <w:rFonts w:ascii="Cambria" w:hAnsi="Cambria"/>
              </w:rPr>
            </w:pPr>
            <w:r>
              <w:rPr>
                <w:rFonts w:ascii="Cambria" w:hAnsi="Cambria"/>
              </w:rPr>
              <w:t>NSW</w:t>
            </w:r>
          </w:p>
        </w:tc>
        <w:tc>
          <w:tcPr>
            <w:tcW w:w="3665" w:type="pct"/>
          </w:tcPr>
          <w:p w:rsidR="00E94405" w:rsidRDefault="00A11609">
            <w:pPr>
              <w:pStyle w:val="TableText"/>
              <w:rPr>
                <w:rFonts w:ascii="Cambria" w:hAnsi="Cambria"/>
              </w:rPr>
            </w:pPr>
            <w:r>
              <w:rPr>
                <w:rFonts w:ascii="Cambria" w:hAnsi="Cambria"/>
              </w:rPr>
              <w:t>New South Wales</w:t>
            </w:r>
          </w:p>
        </w:tc>
      </w:tr>
      <w:tr w:rsidR="00E94405">
        <w:trPr>
          <w:trHeight w:val="414"/>
        </w:trPr>
        <w:tc>
          <w:tcPr>
            <w:tcW w:w="1335" w:type="pct"/>
          </w:tcPr>
          <w:p w:rsidR="00E94405" w:rsidRDefault="00A11609">
            <w:pPr>
              <w:pStyle w:val="TableText"/>
              <w:rPr>
                <w:rFonts w:ascii="Cambria" w:hAnsi="Cambria"/>
              </w:rPr>
            </w:pPr>
            <w:r>
              <w:rPr>
                <w:rFonts w:ascii="Cambria" w:hAnsi="Cambria"/>
              </w:rPr>
              <w:t>NPPO</w:t>
            </w:r>
          </w:p>
        </w:tc>
        <w:tc>
          <w:tcPr>
            <w:tcW w:w="3665" w:type="pct"/>
          </w:tcPr>
          <w:p w:rsidR="00E94405" w:rsidRDefault="00A11609">
            <w:pPr>
              <w:pStyle w:val="TableText"/>
              <w:rPr>
                <w:rFonts w:ascii="Cambria" w:hAnsi="Cambria"/>
              </w:rPr>
            </w:pPr>
            <w:r>
              <w:rPr>
                <w:rFonts w:ascii="Cambria" w:hAnsi="Cambria"/>
              </w:rPr>
              <w:t>National Plant Protection Organisation</w:t>
            </w:r>
          </w:p>
        </w:tc>
      </w:tr>
      <w:tr w:rsidR="00E94405">
        <w:trPr>
          <w:trHeight w:val="414"/>
        </w:trPr>
        <w:tc>
          <w:tcPr>
            <w:tcW w:w="1335" w:type="pct"/>
          </w:tcPr>
          <w:p w:rsidR="00E94405" w:rsidRDefault="00A11609">
            <w:pPr>
              <w:pStyle w:val="TableText"/>
              <w:rPr>
                <w:rFonts w:ascii="Cambria" w:hAnsi="Cambria"/>
              </w:rPr>
            </w:pPr>
            <w:r>
              <w:rPr>
                <w:rFonts w:ascii="Cambria" w:hAnsi="Cambria"/>
              </w:rPr>
              <w:t>NT</w:t>
            </w:r>
          </w:p>
        </w:tc>
        <w:tc>
          <w:tcPr>
            <w:tcW w:w="3665" w:type="pct"/>
          </w:tcPr>
          <w:p w:rsidR="00E94405" w:rsidRDefault="00A11609">
            <w:pPr>
              <w:pStyle w:val="TableText"/>
              <w:rPr>
                <w:rFonts w:ascii="Cambria" w:hAnsi="Cambria"/>
              </w:rPr>
            </w:pPr>
            <w:r>
              <w:rPr>
                <w:rFonts w:ascii="Cambria" w:hAnsi="Cambria"/>
              </w:rPr>
              <w:t>Northern Territory</w:t>
            </w:r>
          </w:p>
        </w:tc>
      </w:tr>
      <w:tr w:rsidR="00E94405">
        <w:trPr>
          <w:trHeight w:val="414"/>
        </w:trPr>
        <w:tc>
          <w:tcPr>
            <w:tcW w:w="1335" w:type="pct"/>
          </w:tcPr>
          <w:p w:rsidR="00E94405" w:rsidRDefault="00A11609">
            <w:pPr>
              <w:pStyle w:val="TableText"/>
              <w:rPr>
                <w:rFonts w:ascii="Cambria" w:hAnsi="Cambria"/>
              </w:rPr>
            </w:pPr>
            <w:r>
              <w:rPr>
                <w:rFonts w:ascii="Cambria" w:hAnsi="Cambria"/>
              </w:rPr>
              <w:t>PEQ</w:t>
            </w:r>
          </w:p>
        </w:tc>
        <w:tc>
          <w:tcPr>
            <w:tcW w:w="3665" w:type="pct"/>
          </w:tcPr>
          <w:p w:rsidR="00E94405" w:rsidRDefault="00A11609">
            <w:pPr>
              <w:pStyle w:val="TableText"/>
              <w:rPr>
                <w:rFonts w:ascii="Cambria" w:hAnsi="Cambria"/>
              </w:rPr>
            </w:pPr>
            <w:r>
              <w:rPr>
                <w:rFonts w:ascii="Cambria" w:hAnsi="Cambria"/>
              </w:rPr>
              <w:t>Post-entry quarantine</w:t>
            </w:r>
          </w:p>
        </w:tc>
      </w:tr>
      <w:tr w:rsidR="00E94405">
        <w:trPr>
          <w:trHeight w:val="414"/>
        </w:trPr>
        <w:tc>
          <w:tcPr>
            <w:tcW w:w="1335" w:type="pct"/>
          </w:tcPr>
          <w:p w:rsidR="00E94405" w:rsidRDefault="00A11609">
            <w:pPr>
              <w:pStyle w:val="TableText"/>
              <w:rPr>
                <w:rFonts w:ascii="Cambria" w:hAnsi="Cambria"/>
              </w:rPr>
            </w:pPr>
            <w:r>
              <w:rPr>
                <w:rFonts w:ascii="Cambria" w:hAnsi="Cambria"/>
              </w:rPr>
              <w:t>PCR</w:t>
            </w:r>
          </w:p>
        </w:tc>
        <w:tc>
          <w:tcPr>
            <w:tcW w:w="3665" w:type="pct"/>
          </w:tcPr>
          <w:p w:rsidR="00E94405" w:rsidRDefault="00A11609">
            <w:pPr>
              <w:pStyle w:val="TableText"/>
              <w:rPr>
                <w:rFonts w:ascii="Cambria" w:hAnsi="Cambria"/>
              </w:rPr>
            </w:pPr>
            <w:r>
              <w:rPr>
                <w:rFonts w:ascii="Cambria" w:hAnsi="Cambria"/>
              </w:rPr>
              <w:t>Polymerase Chain Reaction</w:t>
            </w:r>
          </w:p>
        </w:tc>
      </w:tr>
      <w:tr w:rsidR="00E94405">
        <w:trPr>
          <w:trHeight w:val="414"/>
        </w:trPr>
        <w:tc>
          <w:tcPr>
            <w:tcW w:w="1335" w:type="pct"/>
          </w:tcPr>
          <w:p w:rsidR="00E94405" w:rsidRDefault="00A11609">
            <w:pPr>
              <w:pStyle w:val="TableText"/>
              <w:rPr>
                <w:rFonts w:ascii="Cambria" w:hAnsi="Cambria"/>
              </w:rPr>
            </w:pPr>
            <w:r>
              <w:rPr>
                <w:rFonts w:ascii="Cambria" w:hAnsi="Cambria"/>
              </w:rPr>
              <w:t>PRA</w:t>
            </w:r>
          </w:p>
        </w:tc>
        <w:tc>
          <w:tcPr>
            <w:tcW w:w="3665" w:type="pct"/>
          </w:tcPr>
          <w:p w:rsidR="00E94405" w:rsidRDefault="00A11609">
            <w:pPr>
              <w:pStyle w:val="TableText"/>
              <w:rPr>
                <w:rFonts w:ascii="Cambria" w:hAnsi="Cambria"/>
              </w:rPr>
            </w:pPr>
            <w:r>
              <w:rPr>
                <w:rFonts w:ascii="Cambria" w:hAnsi="Cambria"/>
              </w:rPr>
              <w:t>Pest risk assessment</w:t>
            </w:r>
          </w:p>
        </w:tc>
      </w:tr>
      <w:tr w:rsidR="00E94405">
        <w:trPr>
          <w:trHeight w:val="414"/>
        </w:trPr>
        <w:tc>
          <w:tcPr>
            <w:tcW w:w="1335" w:type="pct"/>
          </w:tcPr>
          <w:p w:rsidR="00E94405" w:rsidRDefault="00A11609">
            <w:pPr>
              <w:pStyle w:val="TableText"/>
              <w:rPr>
                <w:rFonts w:ascii="Cambria" w:hAnsi="Cambria"/>
              </w:rPr>
            </w:pPr>
            <w:r>
              <w:rPr>
                <w:rFonts w:ascii="Cambria" w:hAnsi="Cambria"/>
              </w:rPr>
              <w:t>Qld</w:t>
            </w:r>
          </w:p>
        </w:tc>
        <w:tc>
          <w:tcPr>
            <w:tcW w:w="3665" w:type="pct"/>
          </w:tcPr>
          <w:p w:rsidR="00E94405" w:rsidRDefault="00A11609">
            <w:pPr>
              <w:pStyle w:val="TableText"/>
              <w:rPr>
                <w:rFonts w:ascii="Cambria" w:hAnsi="Cambria"/>
              </w:rPr>
            </w:pPr>
            <w:r>
              <w:rPr>
                <w:rFonts w:ascii="Cambria" w:hAnsi="Cambria"/>
              </w:rPr>
              <w:t>Queensland</w:t>
            </w:r>
          </w:p>
        </w:tc>
      </w:tr>
      <w:tr w:rsidR="00E94405">
        <w:trPr>
          <w:trHeight w:val="414"/>
        </w:trPr>
        <w:tc>
          <w:tcPr>
            <w:tcW w:w="1335" w:type="pct"/>
          </w:tcPr>
          <w:p w:rsidR="00E94405" w:rsidRDefault="00A11609">
            <w:pPr>
              <w:pStyle w:val="TableText"/>
              <w:rPr>
                <w:rFonts w:ascii="Cambria" w:hAnsi="Cambria"/>
              </w:rPr>
            </w:pPr>
            <w:r>
              <w:rPr>
                <w:rFonts w:ascii="Cambria" w:hAnsi="Cambria"/>
              </w:rPr>
              <w:t>SA</w:t>
            </w:r>
          </w:p>
        </w:tc>
        <w:tc>
          <w:tcPr>
            <w:tcW w:w="3665" w:type="pct"/>
          </w:tcPr>
          <w:p w:rsidR="00E94405" w:rsidRDefault="00A11609">
            <w:pPr>
              <w:pStyle w:val="TableText"/>
              <w:rPr>
                <w:rFonts w:ascii="Cambria" w:hAnsi="Cambria"/>
              </w:rPr>
            </w:pPr>
            <w:r>
              <w:rPr>
                <w:rFonts w:ascii="Cambria" w:hAnsi="Cambria"/>
              </w:rPr>
              <w:t>South Australia</w:t>
            </w:r>
          </w:p>
        </w:tc>
      </w:tr>
      <w:tr w:rsidR="00E94405">
        <w:trPr>
          <w:trHeight w:val="414"/>
        </w:trPr>
        <w:tc>
          <w:tcPr>
            <w:tcW w:w="1335" w:type="pct"/>
          </w:tcPr>
          <w:p w:rsidR="00E94405" w:rsidRDefault="00A11609">
            <w:pPr>
              <w:pStyle w:val="TableText"/>
              <w:rPr>
                <w:rFonts w:ascii="Cambria" w:hAnsi="Cambria"/>
              </w:rPr>
            </w:pPr>
            <w:r>
              <w:rPr>
                <w:rFonts w:ascii="Cambria" w:hAnsi="Cambria"/>
              </w:rPr>
              <w:t>SOD</w:t>
            </w:r>
          </w:p>
        </w:tc>
        <w:tc>
          <w:tcPr>
            <w:tcW w:w="3665" w:type="pct"/>
          </w:tcPr>
          <w:p w:rsidR="00E94405" w:rsidRDefault="00A11609">
            <w:pPr>
              <w:pStyle w:val="TableText"/>
              <w:rPr>
                <w:rFonts w:ascii="Cambria" w:hAnsi="Cambria"/>
              </w:rPr>
            </w:pPr>
            <w:r>
              <w:rPr>
                <w:rFonts w:ascii="Cambria" w:hAnsi="Cambria"/>
              </w:rPr>
              <w:t>Sudden Oak Death</w:t>
            </w:r>
          </w:p>
        </w:tc>
      </w:tr>
      <w:tr w:rsidR="00E94405">
        <w:trPr>
          <w:trHeight w:val="414"/>
        </w:trPr>
        <w:tc>
          <w:tcPr>
            <w:tcW w:w="1335" w:type="pct"/>
          </w:tcPr>
          <w:p w:rsidR="00E94405" w:rsidRDefault="00A11609">
            <w:pPr>
              <w:pStyle w:val="TableText"/>
              <w:rPr>
                <w:rFonts w:ascii="Cambria" w:hAnsi="Cambria"/>
              </w:rPr>
            </w:pPr>
            <w:r>
              <w:rPr>
                <w:rFonts w:ascii="Cambria" w:hAnsi="Cambria"/>
              </w:rPr>
              <w:t>SPS</w:t>
            </w:r>
          </w:p>
        </w:tc>
        <w:tc>
          <w:tcPr>
            <w:tcW w:w="3665" w:type="pct"/>
          </w:tcPr>
          <w:p w:rsidR="00E94405" w:rsidRDefault="00A11609">
            <w:pPr>
              <w:pStyle w:val="TableText"/>
              <w:rPr>
                <w:rFonts w:ascii="Cambria" w:hAnsi="Cambria"/>
              </w:rPr>
            </w:pPr>
            <w:r>
              <w:rPr>
                <w:rFonts w:ascii="Cambria" w:hAnsi="Cambria"/>
              </w:rPr>
              <w:t>Sanitary and Phytosanitary</w:t>
            </w:r>
          </w:p>
        </w:tc>
      </w:tr>
      <w:tr w:rsidR="00E94405">
        <w:trPr>
          <w:trHeight w:val="414"/>
        </w:trPr>
        <w:tc>
          <w:tcPr>
            <w:tcW w:w="1335" w:type="pct"/>
          </w:tcPr>
          <w:p w:rsidR="00E94405" w:rsidRDefault="00A11609">
            <w:pPr>
              <w:pStyle w:val="TableText"/>
              <w:rPr>
                <w:rFonts w:ascii="Cambria" w:hAnsi="Cambria"/>
              </w:rPr>
            </w:pPr>
            <w:r>
              <w:rPr>
                <w:rFonts w:ascii="Cambria" w:hAnsi="Cambria"/>
              </w:rPr>
              <w:t>TAS</w:t>
            </w:r>
          </w:p>
        </w:tc>
        <w:tc>
          <w:tcPr>
            <w:tcW w:w="3665" w:type="pct"/>
          </w:tcPr>
          <w:p w:rsidR="00E94405" w:rsidRDefault="00A11609">
            <w:pPr>
              <w:pStyle w:val="TableText"/>
              <w:rPr>
                <w:rFonts w:ascii="Cambria" w:hAnsi="Cambria"/>
              </w:rPr>
            </w:pPr>
            <w:r>
              <w:rPr>
                <w:rFonts w:ascii="Cambria" w:hAnsi="Cambria"/>
              </w:rPr>
              <w:t>Tasmania</w:t>
            </w:r>
          </w:p>
        </w:tc>
      </w:tr>
      <w:tr w:rsidR="00E94405">
        <w:trPr>
          <w:trHeight w:val="414"/>
        </w:trPr>
        <w:tc>
          <w:tcPr>
            <w:tcW w:w="1335" w:type="pct"/>
          </w:tcPr>
          <w:p w:rsidR="00E94405" w:rsidRDefault="00A11609">
            <w:pPr>
              <w:pStyle w:val="TableText"/>
              <w:rPr>
                <w:rFonts w:ascii="Cambria" w:hAnsi="Cambria"/>
              </w:rPr>
            </w:pPr>
            <w:r>
              <w:rPr>
                <w:rFonts w:ascii="Cambria" w:hAnsi="Cambria"/>
              </w:rPr>
              <w:t>VIC</w:t>
            </w:r>
          </w:p>
        </w:tc>
        <w:tc>
          <w:tcPr>
            <w:tcW w:w="3665" w:type="pct"/>
          </w:tcPr>
          <w:p w:rsidR="00E94405" w:rsidRDefault="00A11609">
            <w:pPr>
              <w:pStyle w:val="TableText"/>
              <w:rPr>
                <w:rFonts w:ascii="Cambria" w:hAnsi="Cambria"/>
              </w:rPr>
            </w:pPr>
            <w:r>
              <w:rPr>
                <w:rFonts w:ascii="Cambria" w:hAnsi="Cambria"/>
              </w:rPr>
              <w:t>Victoria</w:t>
            </w:r>
          </w:p>
        </w:tc>
      </w:tr>
      <w:tr w:rsidR="00E94405">
        <w:trPr>
          <w:trHeight w:val="414"/>
        </w:trPr>
        <w:tc>
          <w:tcPr>
            <w:tcW w:w="1335" w:type="pct"/>
          </w:tcPr>
          <w:p w:rsidR="00E94405" w:rsidRDefault="00A11609">
            <w:pPr>
              <w:pStyle w:val="TableText"/>
              <w:rPr>
                <w:rFonts w:ascii="Cambria" w:hAnsi="Cambria"/>
              </w:rPr>
            </w:pPr>
            <w:r>
              <w:rPr>
                <w:rFonts w:ascii="Cambria" w:hAnsi="Cambria"/>
              </w:rPr>
              <w:t>WA</w:t>
            </w:r>
          </w:p>
        </w:tc>
        <w:tc>
          <w:tcPr>
            <w:tcW w:w="3665" w:type="pct"/>
          </w:tcPr>
          <w:p w:rsidR="00E94405" w:rsidRDefault="00A11609">
            <w:pPr>
              <w:pStyle w:val="TableText"/>
              <w:rPr>
                <w:rFonts w:ascii="Cambria" w:hAnsi="Cambria"/>
              </w:rPr>
            </w:pPr>
            <w:r>
              <w:rPr>
                <w:rFonts w:ascii="Cambria" w:hAnsi="Cambria"/>
              </w:rPr>
              <w:t>Western Australia</w:t>
            </w:r>
          </w:p>
        </w:tc>
      </w:tr>
      <w:tr w:rsidR="00E94405">
        <w:trPr>
          <w:trHeight w:val="414"/>
        </w:trPr>
        <w:tc>
          <w:tcPr>
            <w:tcW w:w="1335" w:type="pct"/>
          </w:tcPr>
          <w:p w:rsidR="00E94405" w:rsidRDefault="00A11609">
            <w:pPr>
              <w:pStyle w:val="TableText"/>
              <w:rPr>
                <w:rFonts w:ascii="Cambria" w:hAnsi="Cambria"/>
              </w:rPr>
            </w:pPr>
            <w:r>
              <w:rPr>
                <w:rFonts w:ascii="Cambria" w:hAnsi="Cambria"/>
              </w:rPr>
              <w:t>WTO</w:t>
            </w:r>
          </w:p>
        </w:tc>
        <w:tc>
          <w:tcPr>
            <w:tcW w:w="3665" w:type="pct"/>
          </w:tcPr>
          <w:p w:rsidR="00E94405" w:rsidRDefault="00A11609">
            <w:pPr>
              <w:pStyle w:val="TableText"/>
              <w:rPr>
                <w:rFonts w:ascii="Cambria" w:hAnsi="Cambria"/>
              </w:rPr>
            </w:pPr>
            <w:r>
              <w:rPr>
                <w:rFonts w:ascii="Cambria" w:hAnsi="Cambria"/>
              </w:rPr>
              <w:t>World Trade Organization</w:t>
            </w:r>
          </w:p>
        </w:tc>
      </w:tr>
    </w:tbl>
    <w:p w:rsidR="00E94405" w:rsidRDefault="00E94405"/>
    <w:p w:rsidR="00E94405" w:rsidRDefault="00E94405">
      <w:pPr>
        <w:sectPr w:rsidR="00E94405">
          <w:headerReference w:type="first" r:id="rId27"/>
          <w:pgSz w:w="11906" w:h="16838"/>
          <w:pgMar w:top="1418" w:right="1418" w:bottom="1418" w:left="1418" w:header="567" w:footer="283" w:gutter="0"/>
          <w:pgNumType w:fmt="lowerRoman"/>
          <w:cols w:space="708"/>
          <w:titlePg/>
          <w:docGrid w:linePitch="360"/>
        </w:sectPr>
      </w:pPr>
    </w:p>
    <w:p w:rsidR="00E94405" w:rsidRDefault="00A11609">
      <w:pPr>
        <w:pStyle w:val="Heading1nonumbers"/>
        <w:spacing w:before="0"/>
        <w:rPr>
          <w:lang w:val="en-AU"/>
        </w:rPr>
      </w:pPr>
      <w:bookmarkStart w:id="38" w:name="_Toc392488734"/>
      <w:bookmarkStart w:id="39" w:name="_Toc414019436"/>
      <w:r>
        <w:rPr>
          <w:lang w:val="en-AU"/>
        </w:rPr>
        <w:lastRenderedPageBreak/>
        <w:t>Summary</w:t>
      </w:r>
      <w:bookmarkEnd w:id="38"/>
      <w:bookmarkEnd w:id="39"/>
    </w:p>
    <w:p w:rsidR="00E94405" w:rsidRDefault="00A11609">
      <w:pPr>
        <w:spacing w:before="200" w:after="120" w:line="269" w:lineRule="auto"/>
        <w:rPr>
          <w:rFonts w:ascii="Cambria" w:hAnsi="Cambria"/>
          <w:iCs/>
        </w:rPr>
      </w:pPr>
      <w:r>
        <w:rPr>
          <w:rFonts w:ascii="Cambria" w:hAnsi="Cambria"/>
        </w:rPr>
        <w:t xml:space="preserve">The Australian Government Department of Agriculture initiated this review following a request from the Australian nursery industry to revise the import conditions for nursery stock from countries where </w:t>
      </w:r>
      <w:r>
        <w:rPr>
          <w:rFonts w:ascii="Cambria" w:hAnsi="Cambria"/>
          <w:i/>
        </w:rPr>
        <w:t>Phytophthora ramorum</w:t>
      </w:r>
      <w:r>
        <w:rPr>
          <w:rFonts w:ascii="Cambria" w:hAnsi="Cambria"/>
        </w:rPr>
        <w:t xml:space="preserve"> is known to occur. Surveys conducted overseas in response to </w:t>
      </w:r>
      <w:r>
        <w:rPr>
          <w:rFonts w:ascii="Cambria" w:hAnsi="Cambria"/>
          <w:i/>
          <w:iCs/>
        </w:rPr>
        <w:t>P. ramorum</w:t>
      </w:r>
      <w:r>
        <w:rPr>
          <w:rFonts w:ascii="Cambria" w:hAnsi="Cambria"/>
        </w:rPr>
        <w:t xml:space="preserve"> outbreaks identified several new species of </w:t>
      </w:r>
      <w:r>
        <w:rPr>
          <w:rFonts w:ascii="Cambria" w:hAnsi="Cambria"/>
          <w:i/>
          <w:iCs/>
        </w:rPr>
        <w:t xml:space="preserve">Phytophthora </w:t>
      </w:r>
      <w:r>
        <w:rPr>
          <w:rFonts w:ascii="Cambria" w:hAnsi="Cambria"/>
        </w:rPr>
        <w:t xml:space="preserve">including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rPr>
        <w:t xml:space="preserve">and </w:t>
      </w:r>
      <w:r>
        <w:rPr>
          <w:rFonts w:ascii="Cambria" w:hAnsi="Cambria"/>
          <w:i/>
          <w:iCs/>
        </w:rPr>
        <w:t>P. pseudosyringae</w:t>
      </w:r>
      <w:r>
        <w:rPr>
          <w:rFonts w:ascii="Cambria" w:hAnsi="Cambria"/>
          <w:iCs/>
        </w:rPr>
        <w:t xml:space="preserve">. These </w:t>
      </w:r>
      <w:r>
        <w:rPr>
          <w:rFonts w:ascii="Cambria" w:hAnsi="Cambria"/>
          <w:i/>
          <w:iCs/>
        </w:rPr>
        <w:t xml:space="preserve">Phytophthora </w:t>
      </w:r>
      <w:r>
        <w:rPr>
          <w:rFonts w:ascii="Cambria" w:hAnsi="Cambria"/>
          <w:iCs/>
        </w:rPr>
        <w:t>species</w:t>
      </w:r>
      <w:r>
        <w:rPr>
          <w:rFonts w:ascii="Cambria" w:hAnsi="Cambria"/>
        </w:rPr>
        <w:t xml:space="preserve"> share a similar host range, geographic range and cause symptoms indistinguishable from those of </w:t>
      </w:r>
      <w:r>
        <w:rPr>
          <w:rFonts w:ascii="Cambria" w:hAnsi="Cambria"/>
          <w:i/>
          <w:iCs/>
        </w:rPr>
        <w:t>Phytophthora ramorum</w:t>
      </w:r>
      <w:r>
        <w:rPr>
          <w:rFonts w:ascii="Cambria" w:hAnsi="Cambria"/>
        </w:rPr>
        <w:t xml:space="preserve">. This review therefore considers not only </w:t>
      </w:r>
      <w:r>
        <w:rPr>
          <w:rFonts w:ascii="Cambria" w:hAnsi="Cambria"/>
          <w:i/>
        </w:rPr>
        <w:t xml:space="preserve">Phytophthora ramorum </w:t>
      </w:r>
      <w:r>
        <w:rPr>
          <w:rFonts w:ascii="Cambria" w:hAnsi="Cambria"/>
        </w:rPr>
        <w:t xml:space="preserve">but also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rPr>
        <w:t xml:space="preserve">and </w:t>
      </w:r>
      <w:r>
        <w:rPr>
          <w:rFonts w:ascii="Cambria" w:hAnsi="Cambria"/>
          <w:i/>
          <w:iCs/>
        </w:rPr>
        <w:t>P. pseudosyringae</w:t>
      </w:r>
      <w:r>
        <w:rPr>
          <w:rFonts w:ascii="Cambria" w:hAnsi="Cambria"/>
          <w:iCs/>
        </w:rPr>
        <w:t>.</w:t>
      </w:r>
    </w:p>
    <w:p w:rsidR="00E94405" w:rsidRDefault="00A11609">
      <w:pPr>
        <w:spacing w:before="120" w:after="120" w:line="269" w:lineRule="auto"/>
        <w:rPr>
          <w:rFonts w:ascii="Cambria" w:hAnsi="Cambria"/>
        </w:rPr>
      </w:pPr>
      <w:r>
        <w:rPr>
          <w:rFonts w:ascii="Cambria" w:hAnsi="Cambria"/>
        </w:rPr>
        <w:t xml:space="preserve">The introduction of these </w:t>
      </w:r>
      <w:r>
        <w:rPr>
          <w:rFonts w:ascii="Cambria" w:hAnsi="Cambria"/>
          <w:i/>
        </w:rPr>
        <w:t>Phytophthora</w:t>
      </w:r>
      <w:r>
        <w:rPr>
          <w:rFonts w:ascii="Cambria" w:hAnsi="Cambria"/>
        </w:rPr>
        <w:t xml:space="preserve"> species into Australia would have unacceptable economic consequences. </w:t>
      </w:r>
      <w:r>
        <w:rPr>
          <w:rFonts w:ascii="Cambria" w:hAnsi="Cambria"/>
          <w:i/>
        </w:rPr>
        <w:t>Phytophthora ramorum</w:t>
      </w:r>
      <w:r>
        <w:rPr>
          <w:rFonts w:ascii="Cambria" w:hAnsi="Cambria"/>
        </w:rPr>
        <w:t xml:space="preserve"> is the most destructive pathogen of oak and a range of other host plants with significant commercial value, causing direct host mortality and increasing the cost of production due to its regulatory impact. The Australian nursery industry has a retail value of approximately $1.8 to $2 billion and the establishment of these </w:t>
      </w:r>
      <w:r>
        <w:rPr>
          <w:rFonts w:ascii="Cambria" w:hAnsi="Cambria"/>
          <w:i/>
        </w:rPr>
        <w:t xml:space="preserve">Phytophthora </w:t>
      </w:r>
      <w:r>
        <w:rPr>
          <w:rFonts w:ascii="Cambria" w:hAnsi="Cambria"/>
        </w:rPr>
        <w:t>species in Australia would necessitate higher levels of pathogen control in nurseries than is currently practised.</w:t>
      </w:r>
    </w:p>
    <w:p w:rsidR="00E94405" w:rsidRDefault="00A11609">
      <w:pPr>
        <w:spacing w:before="120" w:after="120" w:line="269" w:lineRule="auto"/>
        <w:rPr>
          <w:rFonts w:ascii="Cambria" w:hAnsi="Cambria"/>
        </w:rPr>
      </w:pPr>
      <w:r>
        <w:rPr>
          <w:rFonts w:ascii="Cambria" w:hAnsi="Cambria"/>
        </w:rPr>
        <w:t>The findings of this draft review of policy are based on a comprehensive analysis of the scientific literature. Based on this review the Department of Agriculture has proposed several changes to the existing policy. This review proposes: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Updating the host list for </w:t>
      </w:r>
      <w:r>
        <w:rPr>
          <w:rFonts w:ascii="Cambria" w:hAnsi="Cambria"/>
          <w:i/>
        </w:rPr>
        <w:t>Phytophthora ramorum</w:t>
      </w:r>
      <w:r>
        <w:rPr>
          <w:rFonts w:ascii="Cambria" w:hAnsi="Cambria"/>
        </w:rPr>
        <w:t xml:space="preserve"> and including hosts of </w:t>
      </w:r>
      <w:r>
        <w:rPr>
          <w:rFonts w:ascii="Cambria" w:hAnsi="Cambria"/>
          <w:i/>
        </w:rPr>
        <w:t>P. kernoviae</w:t>
      </w:r>
      <w:r>
        <w:rPr>
          <w:rFonts w:ascii="Cambria" w:hAnsi="Cambria"/>
        </w:rPr>
        <w:t xml:space="preserve">, </w:t>
      </w:r>
      <w:r>
        <w:rPr>
          <w:rFonts w:ascii="Cambria" w:hAnsi="Cambria"/>
          <w:i/>
        </w:rPr>
        <w:t>P. nemorosa</w:t>
      </w:r>
      <w:r>
        <w:rPr>
          <w:rFonts w:ascii="Cambria" w:hAnsi="Cambria"/>
        </w:rPr>
        <w:t xml:space="preserve"> and </w:t>
      </w:r>
      <w:r>
        <w:rPr>
          <w:rFonts w:ascii="Cambria" w:hAnsi="Cambria"/>
          <w:i/>
        </w:rPr>
        <w:t>P. pseudosyringae.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Reducing the post-entry quarantine (PEQ) growth period for dormant hardwood cuttings and budwood from 24 months to 15 months with visual screening, culturing and active testing for all four </w:t>
      </w:r>
      <w:r>
        <w:rPr>
          <w:rFonts w:ascii="Cambria" w:hAnsi="Cambria"/>
          <w:i/>
        </w:rPr>
        <w:t>Phytophthora</w:t>
      </w:r>
      <w:r>
        <w:rPr>
          <w:rFonts w:ascii="Cambria" w:hAnsi="Cambria"/>
        </w:rPr>
        <w:t xml:space="preserve"> species using molecular techniques including but not limited to polymerase chain reaction (PCR).</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Allowing the importation of one-year-old, bare-rooted plants without foliage. On arrival, the bare-rooted plants will be subjected to inspection, fumigation, culturing and molecular testing (generic </w:t>
      </w:r>
      <w:r>
        <w:rPr>
          <w:rFonts w:ascii="Cambria" w:hAnsi="Cambria"/>
          <w:i/>
        </w:rPr>
        <w:t>Phytophthora</w:t>
      </w:r>
      <w:r>
        <w:rPr>
          <w:rFonts w:ascii="Cambria" w:hAnsi="Cambria"/>
        </w:rPr>
        <w:t xml:space="preserve"> PCR) to screen for </w:t>
      </w:r>
      <w:r>
        <w:rPr>
          <w:rFonts w:ascii="Cambria" w:hAnsi="Cambria"/>
          <w:i/>
        </w:rPr>
        <w:t>Phytophthora</w:t>
      </w:r>
      <w:r>
        <w:rPr>
          <w:rFonts w:ascii="Cambria" w:hAnsi="Cambria"/>
        </w:rPr>
        <w:t xml:space="preserve"> species, and sodium hypochlorite treatment. This will be followed by 15 months growth in PEQ with visual inspection and molecular testing including, but not limited to, PCR.</w:t>
      </w:r>
    </w:p>
    <w:p w:rsidR="00E94405" w:rsidRDefault="00A11609">
      <w:pPr>
        <w:spacing w:before="120" w:after="120" w:line="269" w:lineRule="auto"/>
        <w:rPr>
          <w:rFonts w:ascii="Cambria" w:hAnsi="Cambria"/>
        </w:rPr>
      </w:pPr>
      <w:r>
        <w:rPr>
          <w:rFonts w:ascii="Cambria" w:hAnsi="Cambria"/>
        </w:rPr>
        <w:t xml:space="preserve">The existing conditions for propagative material from countries where these </w:t>
      </w:r>
      <w:r>
        <w:rPr>
          <w:rFonts w:ascii="Cambria" w:hAnsi="Cambria"/>
          <w:i/>
        </w:rPr>
        <w:t xml:space="preserve">Phytophthora </w:t>
      </w:r>
      <w:r>
        <w:rPr>
          <w:rFonts w:ascii="Cambria" w:hAnsi="Cambria"/>
        </w:rPr>
        <w:t xml:space="preserve">species are not known to occur are proposed to continue. The ultimate goal of Australia’s phytosanitary measures is to protect plant health and prevent the introduction of identified quarantine pests and pathogens associated with plant propagative material. The department considers that the risk management measures proposed in this draft review of policy will be adequate to mitigate the risks posed by the </w:t>
      </w:r>
      <w:r>
        <w:rPr>
          <w:rFonts w:ascii="Cambria" w:hAnsi="Cambria"/>
          <w:i/>
        </w:rPr>
        <w:t>Phytophthora</w:t>
      </w:r>
      <w:r>
        <w:rPr>
          <w:rFonts w:ascii="Cambria" w:hAnsi="Cambria"/>
        </w:rPr>
        <w:t xml:space="preserve"> species under review.</w:t>
      </w:r>
    </w:p>
    <w:p w:rsidR="00E94405" w:rsidRDefault="00A11609">
      <w:pPr>
        <w:spacing w:before="120" w:after="120" w:line="269" w:lineRule="auto"/>
        <w:rPr>
          <w:rFonts w:ascii="Cambria" w:hAnsi="Cambria" w:cstheme="minorHAnsi"/>
          <w:bCs/>
        </w:rPr>
      </w:pPr>
      <w:r>
        <w:rPr>
          <w:rFonts w:ascii="Cambria" w:hAnsi="Cambria"/>
        </w:rPr>
        <w:t>In the interim, some of the proposed changes in this document have been adopted and the Department of Agriculture’s Import CONditions database (ICON) has been updated accordingly. Industry was notified through an ICON alert.</w:t>
      </w:r>
    </w:p>
    <w:p w:rsidR="00E94405" w:rsidRDefault="00A11609">
      <w:pPr>
        <w:spacing w:before="120" w:after="120" w:line="269" w:lineRule="auto"/>
      </w:pPr>
      <w:r>
        <w:rPr>
          <w:rFonts w:ascii="Cambria" w:hAnsi="Cambria"/>
        </w:rPr>
        <w:t xml:space="preserve">The Department of Agriculture invites comments on the technical aspects of the proposed risk management measures within the consultation period. In particular, comments are sought on their appropriateness and any other measures stakeholders consider would provide equivalent </w:t>
      </w:r>
      <w:r>
        <w:rPr>
          <w:rFonts w:ascii="Cambria" w:hAnsi="Cambria"/>
        </w:rPr>
        <w:lastRenderedPageBreak/>
        <w:t>risk management outcomes. The Department of Agriculture will consider any comments received before finalising the pest risk analysis and quarantine policy recommendations.</w:t>
      </w:r>
    </w:p>
    <w:p w:rsidR="00E94405" w:rsidRDefault="00E94405">
      <w:pPr>
        <w:spacing w:before="200"/>
        <w:rPr>
          <w:rFonts w:eastAsiaTheme="majorEastAsia" w:cstheme="majorBidi"/>
          <w:b/>
          <w:color w:val="D52B1E"/>
          <w:sz w:val="34"/>
        </w:rPr>
        <w:sectPr w:rsidR="00E94405">
          <w:headerReference w:type="default" r:id="rId28"/>
          <w:pgSz w:w="11906" w:h="16838"/>
          <w:pgMar w:top="1418" w:right="1418" w:bottom="1418" w:left="1418" w:header="567" w:footer="283" w:gutter="0"/>
          <w:cols w:space="708"/>
          <w:docGrid w:linePitch="360"/>
        </w:sectPr>
      </w:pPr>
    </w:p>
    <w:p w:rsidR="00E94405" w:rsidRDefault="00A11609">
      <w:pPr>
        <w:pStyle w:val="Heading1"/>
        <w:pageBreakBefore w:val="0"/>
        <w:numPr>
          <w:ilvl w:val="0"/>
          <w:numId w:val="14"/>
        </w:numPr>
        <w:tabs>
          <w:tab w:val="clear" w:pos="360"/>
        </w:tabs>
        <w:spacing w:before="480" w:after="120"/>
        <w:ind w:left="357" w:hanging="357"/>
        <w:rPr>
          <w:rFonts w:eastAsiaTheme="majorEastAsia" w:cstheme="majorBidi"/>
          <w:b/>
          <w:color w:val="D52B1E"/>
          <w:sz w:val="34"/>
        </w:rPr>
      </w:pPr>
      <w:bookmarkStart w:id="40" w:name="_Toc414019437"/>
      <w:r>
        <w:rPr>
          <w:rFonts w:eastAsiaTheme="majorEastAsia" w:cstheme="majorBidi"/>
          <w:b/>
          <w:color w:val="D52B1E"/>
          <w:sz w:val="34"/>
        </w:rPr>
        <w:lastRenderedPageBreak/>
        <w:t>Introduction</w:t>
      </w:r>
      <w:bookmarkEnd w:id="40"/>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41" w:name="_Toc414019438"/>
      <w:r>
        <w:rPr>
          <w:rFonts w:eastAsiaTheme="majorEastAsia" w:cstheme="majorBidi"/>
          <w:color w:val="773141"/>
          <w:sz w:val="28"/>
        </w:rPr>
        <w:t>Australia’s biosecurity policy framework</w:t>
      </w:r>
      <w:bookmarkEnd w:id="41"/>
    </w:p>
    <w:p w:rsidR="00E94405" w:rsidRDefault="00A11609">
      <w:pPr>
        <w:spacing w:before="200"/>
        <w:rPr>
          <w:rFonts w:ascii="Cambria" w:hAnsi="Cambria"/>
        </w:rPr>
      </w:pPr>
      <w:r>
        <w:rPr>
          <w:rFonts w:ascii="Cambria" w:hAnsi="Cambria"/>
        </w:rP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E94405" w:rsidRDefault="00A11609">
      <w:pPr>
        <w:spacing w:before="200"/>
        <w:rPr>
          <w:rFonts w:ascii="Cambria" w:hAnsi="Cambria"/>
        </w:rPr>
      </w:pPr>
      <w:r>
        <w:rPr>
          <w:rFonts w:ascii="Cambria" w:hAnsi="Cambria"/>
        </w:rPr>
        <w:t>The risk analysis process is an important part of Australia's biosecurity policies. It enables the Australian Government to formally consider the risks that could be associated with proposals to import new products into Australia. If the risks are found to exceed Australia’s appropriate level of protection (ALOP), risk management measures are proposed to reduce the risks to an acceptable level. But, if it is not possible to reduce the risks to an acceptable level, then no trade will be allowed.</w:t>
      </w:r>
    </w:p>
    <w:p w:rsidR="00E94405" w:rsidRDefault="00A11609">
      <w:pPr>
        <w:spacing w:before="200"/>
        <w:rPr>
          <w:rFonts w:ascii="Cambria" w:hAnsi="Cambria"/>
        </w:rPr>
      </w:pPr>
      <w:r>
        <w:rPr>
          <w:rFonts w:ascii="Cambria" w:hAnsi="Cambria"/>
        </w:rPr>
        <w:t>Successive Australian governments have maintained a conservative,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rsidR="00E94405" w:rsidRDefault="00A11609">
      <w:pPr>
        <w:spacing w:before="200"/>
        <w:rPr>
          <w:rFonts w:ascii="Cambria" w:hAnsi="Cambria"/>
        </w:rPr>
      </w:pPr>
      <w:r>
        <w:rPr>
          <w:rFonts w:ascii="Cambria" w:hAnsi="Cambria"/>
        </w:rPr>
        <w:t xml:space="preserve">Australia’s pest risk analyses (PRAs) are undertaken by the Department of Agriculture, hereafter referred to as the department, using teams of technical and scientific experts in relevant fields and involves consultation with stakeholders at various stages during the process. </w:t>
      </w:r>
    </w:p>
    <w:p w:rsidR="00E94405" w:rsidRDefault="00A11609">
      <w:pPr>
        <w:spacing w:before="200"/>
        <w:rPr>
          <w:rFonts w:ascii="Cambria" w:hAnsi="Cambria"/>
        </w:rPr>
      </w:pPr>
      <w:r>
        <w:rPr>
          <w:rFonts w:ascii="Cambria" w:hAnsi="Cambria"/>
        </w:rPr>
        <w:t>The department’s assessment may take the form of an import risk analysis (IRA), a non-regulated analysis of existing policy, or technical advice.</w:t>
      </w:r>
    </w:p>
    <w:p w:rsidR="00E94405" w:rsidRDefault="00A11609">
      <w:pPr>
        <w:spacing w:before="200"/>
        <w:rPr>
          <w:rFonts w:ascii="Cambria" w:hAnsi="Cambria"/>
        </w:rPr>
      </w:pPr>
      <w:r>
        <w:rPr>
          <w:rFonts w:ascii="Cambria" w:hAnsi="Cambria"/>
        </w:rPr>
        <w:t xml:space="preserve">Further information about Australia’s biosecurity framework is provided in Appendix C of this report and in the </w:t>
      </w:r>
      <w:r>
        <w:rPr>
          <w:rFonts w:ascii="Cambria" w:hAnsi="Cambria"/>
          <w:i/>
        </w:rPr>
        <w:t>Import Risk Analysis Handbook 2011</w:t>
      </w:r>
      <w:r>
        <w:rPr>
          <w:rFonts w:ascii="Cambria" w:hAnsi="Cambria"/>
        </w:rPr>
        <w:t xml:space="preserve"> located on the </w:t>
      </w:r>
      <w:hyperlink r:id="rId29" w:history="1">
        <w:r>
          <w:rPr>
            <w:rStyle w:val="Hyperlink"/>
          </w:rPr>
          <w:t>Department of Agriculture</w:t>
        </w:r>
      </w:hyperlink>
      <w:r>
        <w:t xml:space="preserve"> website.</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42" w:name="_Toc414019439"/>
      <w:r>
        <w:rPr>
          <w:rFonts w:eastAsiaTheme="majorEastAsia" w:cstheme="majorBidi"/>
          <w:color w:val="773141"/>
          <w:sz w:val="28"/>
        </w:rPr>
        <w:t>This review of policy</w:t>
      </w:r>
      <w:bookmarkEnd w:id="42"/>
    </w:p>
    <w:p w:rsidR="00E94405" w:rsidRDefault="00A11609">
      <w:pPr>
        <w:spacing w:before="200"/>
        <w:rPr>
          <w:rFonts w:ascii="Cambria" w:hAnsi="Cambria"/>
        </w:rPr>
      </w:pPr>
      <w:r>
        <w:rPr>
          <w:rFonts w:ascii="Cambria" w:hAnsi="Cambria"/>
        </w:rPr>
        <w:t xml:space="preserve">Australia has an existing policy to import </w:t>
      </w:r>
      <w:r>
        <w:rPr>
          <w:rFonts w:ascii="Cambria" w:hAnsi="Cambria"/>
          <w:i/>
        </w:rPr>
        <w:t xml:space="preserve">Phytophthora ramorum </w:t>
      </w:r>
      <w:r>
        <w:rPr>
          <w:rFonts w:ascii="Cambria" w:hAnsi="Cambria"/>
        </w:rPr>
        <w:t xml:space="preserve">host propagative material from all countries. Until recently, propagative material was allowed only as tissue cultures (microplantlets) from countries where </w:t>
      </w:r>
      <w:r>
        <w:rPr>
          <w:rFonts w:ascii="Cambria" w:hAnsi="Cambria"/>
          <w:i/>
          <w:iCs/>
        </w:rPr>
        <w:t xml:space="preserve">P. ramorum </w:t>
      </w:r>
      <w:r>
        <w:rPr>
          <w:rFonts w:ascii="Cambria" w:hAnsi="Cambria"/>
        </w:rPr>
        <w:t>is known to occur. Imported tissue cultures require mandatory on-arrival inspection and growth in a closed post-entry quarantine (PEQ) facility with pathogen screening.</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Background</w:t>
      </w:r>
    </w:p>
    <w:p w:rsidR="00E94405" w:rsidRDefault="00A11609">
      <w:pPr>
        <w:spacing w:before="200"/>
        <w:rPr>
          <w:rFonts w:ascii="Cambria" w:hAnsi="Cambria"/>
        </w:rPr>
      </w:pPr>
      <w:r>
        <w:rPr>
          <w:rFonts w:ascii="Cambria" w:hAnsi="Cambria"/>
        </w:rPr>
        <w:t xml:space="preserve">Australia introduced emergency measures in September 2002 after the identification and description of </w:t>
      </w:r>
      <w:r>
        <w:rPr>
          <w:rFonts w:ascii="Cambria" w:hAnsi="Cambria"/>
          <w:i/>
        </w:rPr>
        <w:t xml:space="preserve">Phytophthora </w:t>
      </w:r>
      <w:r>
        <w:rPr>
          <w:rFonts w:ascii="Cambria" w:hAnsi="Cambria"/>
          <w:i/>
          <w:iCs/>
        </w:rPr>
        <w:t xml:space="preserve">ramorum </w:t>
      </w:r>
      <w:r>
        <w:rPr>
          <w:rFonts w:ascii="Cambria" w:hAnsi="Cambria"/>
        </w:rPr>
        <w:t xml:space="preserve">as the causal agent of Sudden oak death (SOD) in the United States of America (USA), and Ramorum blight of ornamentals including </w:t>
      </w:r>
      <w:r>
        <w:rPr>
          <w:rFonts w:ascii="Cambria" w:hAnsi="Cambria"/>
          <w:i/>
          <w:iCs/>
        </w:rPr>
        <w:t>Rhododendron</w:t>
      </w:r>
      <w:r>
        <w:rPr>
          <w:rFonts w:ascii="Cambria" w:hAnsi="Cambria"/>
        </w:rPr>
        <w:t xml:space="preserve"> and </w:t>
      </w:r>
      <w:r>
        <w:rPr>
          <w:rFonts w:ascii="Cambria" w:hAnsi="Cambria"/>
          <w:i/>
          <w:iCs/>
        </w:rPr>
        <w:t>Viburnum</w:t>
      </w:r>
      <w:r>
        <w:rPr>
          <w:rFonts w:ascii="Cambria" w:hAnsi="Cambria"/>
        </w:rPr>
        <w:t xml:space="preserve"> in Europe (Werres </w:t>
      </w:r>
      <w:r>
        <w:rPr>
          <w:rFonts w:ascii="Cambria" w:hAnsi="Cambria"/>
          <w:iCs/>
        </w:rPr>
        <w:t>et al</w:t>
      </w:r>
      <w:r>
        <w:rPr>
          <w:rFonts w:ascii="Cambria" w:hAnsi="Cambria"/>
        </w:rPr>
        <w:t xml:space="preserve">. 2001). At this time, the importation of </w:t>
      </w:r>
      <w:r>
        <w:rPr>
          <w:rFonts w:ascii="Cambria" w:hAnsi="Cambria"/>
          <w:i/>
          <w:iCs/>
        </w:rPr>
        <w:t xml:space="preserve">P. ramorum </w:t>
      </w:r>
      <w:r>
        <w:rPr>
          <w:rFonts w:ascii="Cambria" w:hAnsi="Cambria"/>
        </w:rPr>
        <w:t xml:space="preserve">host material from countries where the pathogen is known to occur was restricted to tissue cultures only. The implementation of these measures effectively prohibited imports of host material that </w:t>
      </w:r>
      <w:r>
        <w:rPr>
          <w:rFonts w:ascii="Cambria" w:hAnsi="Cambria"/>
        </w:rPr>
        <w:lastRenderedPageBreak/>
        <w:t xml:space="preserve">cannot be easily propagated through tissue culture from countries where </w:t>
      </w:r>
      <w:r>
        <w:rPr>
          <w:rFonts w:ascii="Cambria" w:hAnsi="Cambria"/>
          <w:i/>
          <w:iCs/>
        </w:rPr>
        <w:t xml:space="preserve">P. ramorum </w:t>
      </w:r>
      <w:r>
        <w:rPr>
          <w:rFonts w:ascii="Cambria" w:hAnsi="Cambria"/>
        </w:rPr>
        <w:t xml:space="preserve">is present. This policy was generally supported and accepted by industry as the pathogen was newly described, its epidemiology was unknown, no reliable detection method was available and the economic consequences of the pathogen were high. </w:t>
      </w:r>
    </w:p>
    <w:p w:rsidR="00E94405" w:rsidRDefault="00A11609">
      <w:pPr>
        <w:spacing w:before="200"/>
        <w:rPr>
          <w:rFonts w:ascii="Cambria" w:hAnsi="Cambria"/>
        </w:rPr>
      </w:pPr>
      <w:r>
        <w:rPr>
          <w:rFonts w:ascii="Cambria" w:hAnsi="Cambria"/>
        </w:rPr>
        <w:t xml:space="preserve">In 2013, the department revised the import conditions for a limited number of genera that cannot easily be propagated by tissue culture, as the Australian nursery industry had requested that the department review the existing policy and develop a new protocol based on updated information. Following the finalisation of this review, it was determined that dormant unrooted cuttings and budwood of a limited number of genera could be imported from countries where </w:t>
      </w:r>
      <w:r>
        <w:rPr>
          <w:rFonts w:ascii="Cambria" w:hAnsi="Cambria"/>
          <w:i/>
        </w:rPr>
        <w:t>P. ramorum</w:t>
      </w:r>
      <w:r>
        <w:rPr>
          <w:rFonts w:ascii="Cambria" w:hAnsi="Cambria"/>
        </w:rPr>
        <w:t xml:space="preserve"> is known to occur, subject to strict import conditions.</w:t>
      </w:r>
    </w:p>
    <w:p w:rsidR="00E94405" w:rsidRDefault="00A11609">
      <w:pPr>
        <w:spacing w:before="200"/>
        <w:rPr>
          <w:rFonts w:ascii="Cambria" w:hAnsi="Cambria"/>
        </w:rPr>
      </w:pPr>
      <w:r>
        <w:rPr>
          <w:rFonts w:ascii="Cambria" w:hAnsi="Cambria"/>
        </w:rPr>
        <w:t xml:space="preserve">Surveys conducted in response to </w:t>
      </w:r>
      <w:r>
        <w:rPr>
          <w:rFonts w:ascii="Cambria" w:hAnsi="Cambria"/>
          <w:i/>
          <w:iCs/>
        </w:rPr>
        <w:t>P. ramorum</w:t>
      </w:r>
      <w:r>
        <w:rPr>
          <w:rFonts w:ascii="Cambria" w:hAnsi="Cambria"/>
        </w:rPr>
        <w:t xml:space="preserve"> outbreaks identified several new species of </w:t>
      </w:r>
      <w:r>
        <w:rPr>
          <w:rFonts w:ascii="Cambria" w:hAnsi="Cambria"/>
          <w:i/>
          <w:iCs/>
        </w:rPr>
        <w:t xml:space="preserve">Phytophthora </w:t>
      </w:r>
      <w:r>
        <w:rPr>
          <w:rFonts w:ascii="Cambria" w:hAnsi="Cambria"/>
        </w:rPr>
        <w:t xml:space="preserve">including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(Schwingle </w:t>
      </w:r>
      <w:r>
        <w:rPr>
          <w:rFonts w:ascii="Cambria" w:hAnsi="Cambria"/>
          <w:iCs/>
        </w:rPr>
        <w:t>et al</w:t>
      </w:r>
      <w:r>
        <w:rPr>
          <w:rFonts w:ascii="Cambria" w:hAnsi="Cambria"/>
        </w:rPr>
        <w:t xml:space="preserve">. 2006; Martin </w:t>
      </w:r>
      <w:r>
        <w:rPr>
          <w:rFonts w:ascii="Cambria" w:hAnsi="Cambria"/>
          <w:iCs/>
        </w:rPr>
        <w:t>&amp; Tooley</w:t>
      </w:r>
      <w:r>
        <w:rPr>
          <w:rFonts w:ascii="Cambria" w:hAnsi="Cambria"/>
        </w:rPr>
        <w:t xml:space="preserve"> 2003; Webber 2008; Wickland </w:t>
      </w:r>
      <w:r>
        <w:rPr>
          <w:rFonts w:ascii="Cambria" w:hAnsi="Cambria"/>
          <w:iCs/>
        </w:rPr>
        <w:t>et al</w:t>
      </w:r>
      <w:r>
        <w:rPr>
          <w:rFonts w:ascii="Cambria" w:hAnsi="Cambria"/>
        </w:rPr>
        <w:t xml:space="preserve">. 2008; Fichtner </w:t>
      </w:r>
      <w:r>
        <w:rPr>
          <w:rFonts w:ascii="Cambria" w:hAnsi="Cambria"/>
          <w:iCs/>
        </w:rPr>
        <w:t>et al</w:t>
      </w:r>
      <w:r>
        <w:rPr>
          <w:rFonts w:ascii="Cambria" w:hAnsi="Cambria"/>
        </w:rPr>
        <w:t xml:space="preserve">. 2011). These </w:t>
      </w:r>
      <w:r>
        <w:rPr>
          <w:rFonts w:ascii="Cambria" w:hAnsi="Cambria"/>
          <w:i/>
          <w:iCs/>
        </w:rPr>
        <w:t xml:space="preserve">Phytophthora </w:t>
      </w:r>
      <w:r>
        <w:rPr>
          <w:rFonts w:ascii="Cambria" w:hAnsi="Cambria"/>
        </w:rPr>
        <w:t xml:space="preserve">species share a similar host range and geographic range with </w:t>
      </w:r>
      <w:r>
        <w:rPr>
          <w:rFonts w:ascii="Cambria" w:hAnsi="Cambria"/>
          <w:i/>
          <w:iCs/>
        </w:rPr>
        <w:t xml:space="preserve">P. ramorum </w:t>
      </w:r>
      <w:r>
        <w:rPr>
          <w:rFonts w:ascii="Cambria" w:hAnsi="Cambria"/>
        </w:rPr>
        <w:t xml:space="preserve">(Webber 2008; Martin </w:t>
      </w:r>
      <w:r>
        <w:rPr>
          <w:rFonts w:ascii="Cambria" w:hAnsi="Cambria"/>
          <w:iCs/>
        </w:rPr>
        <w:t>et al</w:t>
      </w:r>
      <w:r>
        <w:rPr>
          <w:rFonts w:ascii="Cambria" w:hAnsi="Cambria"/>
        </w:rPr>
        <w:t xml:space="preserve">. 2004; Linzer &amp; Garbelotto 2008; Wickland </w:t>
      </w:r>
      <w:r>
        <w:rPr>
          <w:rFonts w:ascii="Cambria" w:hAnsi="Cambria"/>
          <w:iCs/>
        </w:rPr>
        <w:t>et al</w:t>
      </w:r>
      <w:r>
        <w:rPr>
          <w:rFonts w:ascii="Cambria" w:hAnsi="Cambria"/>
        </w:rPr>
        <w:t xml:space="preserve">. 2008). Additionally, symptoms caused by these </w:t>
      </w:r>
      <w:r>
        <w:rPr>
          <w:rFonts w:ascii="Cambria" w:hAnsi="Cambria"/>
          <w:i/>
          <w:iCs/>
        </w:rPr>
        <w:t xml:space="preserve">Phytophthora </w:t>
      </w:r>
      <w:r>
        <w:rPr>
          <w:rFonts w:ascii="Cambria" w:hAnsi="Cambria"/>
        </w:rPr>
        <w:t xml:space="preserve">species are indistinguishable from those caused by </w:t>
      </w:r>
      <w:r>
        <w:rPr>
          <w:rFonts w:ascii="Cambria" w:hAnsi="Cambria"/>
          <w:i/>
          <w:iCs/>
        </w:rPr>
        <w:t>P. ramorum</w:t>
      </w:r>
      <w:r>
        <w:rPr>
          <w:rFonts w:ascii="Cambria" w:hAnsi="Cambria"/>
        </w:rPr>
        <w:t xml:space="preserve"> (Martin &amp; Tooley 2003). Therefore, this review will also consider the newly identified </w:t>
      </w:r>
      <w:r>
        <w:rPr>
          <w:rFonts w:ascii="Cambria" w:hAnsi="Cambria"/>
          <w:i/>
          <w:iCs/>
        </w:rPr>
        <w:t xml:space="preserve">Phytophthora </w:t>
      </w:r>
      <w:r>
        <w:rPr>
          <w:rFonts w:ascii="Cambria" w:hAnsi="Cambria"/>
        </w:rPr>
        <w:t xml:space="preserve">species, including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 xml:space="preserve"> and</w:t>
      </w:r>
      <w:r>
        <w:rPr>
          <w:rFonts w:ascii="Cambria" w:hAnsi="Cambria"/>
          <w:i/>
          <w:iCs/>
        </w:rPr>
        <w:t xml:space="preserve"> P. pseudosyringae</w:t>
      </w:r>
      <w:r>
        <w:rPr>
          <w:rFonts w:ascii="Cambria" w:hAnsi="Cambria"/>
          <w:iCs/>
        </w:rPr>
        <w:t xml:space="preserve">, which </w:t>
      </w:r>
      <w:r>
        <w:rPr>
          <w:rFonts w:ascii="Cambria" w:hAnsi="Cambria"/>
        </w:rPr>
        <w:t xml:space="preserve">share hosts with </w:t>
      </w:r>
      <w:r>
        <w:rPr>
          <w:rFonts w:ascii="Cambria" w:hAnsi="Cambria"/>
          <w:i/>
          <w:iCs/>
        </w:rPr>
        <w:t>P. ramorum</w:t>
      </w:r>
      <w:r>
        <w:rPr>
          <w:rFonts w:ascii="Cambria" w:hAnsi="Cambria"/>
        </w:rPr>
        <w:t>.</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Scope</w:t>
      </w:r>
    </w:p>
    <w:p w:rsidR="00E94405" w:rsidRDefault="00A11609">
      <w:pPr>
        <w:spacing w:before="200"/>
        <w:rPr>
          <w:rFonts w:ascii="Cambria" w:hAnsi="Cambria" w:cstheme="minorHAnsi"/>
          <w:bCs/>
        </w:rPr>
      </w:pPr>
      <w:r>
        <w:rPr>
          <w:rFonts w:ascii="Cambria" w:hAnsi="Cambria" w:cstheme="minorHAnsi"/>
          <w:bCs/>
        </w:rPr>
        <w:t xml:space="preserve">The scope of this </w:t>
      </w:r>
      <w:r>
        <w:rPr>
          <w:rFonts w:ascii="Cambria" w:hAnsi="Cambria"/>
        </w:rPr>
        <w:t>review</w:t>
      </w:r>
      <w:r>
        <w:rPr>
          <w:rFonts w:ascii="Cambria" w:hAnsi="Cambria" w:cstheme="minorHAnsi"/>
          <w:bCs/>
        </w:rPr>
        <w:t xml:space="preserve"> is limited to:</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the revision of the existing policy to import </w:t>
      </w:r>
      <w:r>
        <w:rPr>
          <w:rFonts w:ascii="Cambria" w:hAnsi="Cambria"/>
          <w:i/>
          <w:iCs/>
        </w:rPr>
        <w:t xml:space="preserve">Phytophthora ramorum </w:t>
      </w:r>
      <w:r>
        <w:rPr>
          <w:rFonts w:ascii="Cambria" w:hAnsi="Cambria"/>
        </w:rPr>
        <w:t>host material;</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the revision of the host list for </w:t>
      </w: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 xml:space="preserve">, </w:t>
      </w:r>
      <w:r>
        <w:rPr>
          <w:rFonts w:ascii="Cambria" w:hAnsi="Cambria"/>
          <w:i/>
          <w:iCs/>
        </w:rPr>
        <w:t xml:space="preserve">P. pseudosyringae </w:t>
      </w:r>
      <w:r>
        <w:rPr>
          <w:rFonts w:ascii="Cambria" w:hAnsi="Cambria"/>
        </w:rPr>
        <w:t xml:space="preserve">and </w:t>
      </w:r>
      <w:r>
        <w:rPr>
          <w:rFonts w:ascii="Cambria" w:hAnsi="Cambria"/>
          <w:i/>
          <w:iCs/>
        </w:rPr>
        <w:t>P. ramorum</w:t>
      </w:r>
      <w:r>
        <w:rPr>
          <w:rFonts w:ascii="Cambria" w:hAnsi="Cambria"/>
        </w:rPr>
        <w:t xml:space="preserve">; and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the development of phytosanitary measures to import host material of </w:t>
      </w: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 xml:space="preserve">, </w:t>
      </w:r>
      <w:r>
        <w:rPr>
          <w:rFonts w:ascii="Cambria" w:hAnsi="Cambria"/>
          <w:i/>
          <w:iCs/>
        </w:rPr>
        <w:t xml:space="preserve">P. pseudosyringae </w:t>
      </w:r>
      <w:r>
        <w:rPr>
          <w:rFonts w:ascii="Cambria" w:hAnsi="Cambria"/>
        </w:rPr>
        <w:t xml:space="preserve">and </w:t>
      </w:r>
      <w:r>
        <w:rPr>
          <w:rFonts w:ascii="Cambria" w:hAnsi="Cambria"/>
          <w:i/>
          <w:iCs/>
        </w:rPr>
        <w:t>P. ramorum</w:t>
      </w:r>
      <w:r>
        <w:rPr>
          <w:rFonts w:ascii="Cambria" w:hAnsi="Cambria"/>
        </w:rPr>
        <w:t>.</w:t>
      </w:r>
    </w:p>
    <w:p w:rsidR="00E94405" w:rsidRDefault="00A11609">
      <w:pPr>
        <w:spacing w:before="200"/>
        <w:rPr>
          <w:rFonts w:ascii="Cambria" w:hAnsi="Cambria" w:cstheme="minorHAnsi"/>
          <w:bCs/>
        </w:rPr>
      </w:pPr>
      <w:r>
        <w:rPr>
          <w:rFonts w:ascii="Cambria" w:hAnsi="Cambria" w:cstheme="minorHAnsi"/>
          <w:bCs/>
        </w:rPr>
        <w:t xml:space="preserve">This review does not consider existing phytosanitary measures during the pest risk assessment. Existing </w:t>
      </w:r>
      <w:r>
        <w:rPr>
          <w:rFonts w:ascii="Cambria" w:hAnsi="Cambria"/>
        </w:rPr>
        <w:t>phytosanitary</w:t>
      </w:r>
      <w:r>
        <w:rPr>
          <w:rFonts w:ascii="Cambria" w:hAnsi="Cambria" w:cstheme="minorHAnsi"/>
          <w:bCs/>
        </w:rPr>
        <w:t xml:space="preserve"> measures are only considered during the development of risk management measures, if they are required, following the pest risk analysis.</w:t>
      </w:r>
    </w:p>
    <w:p w:rsidR="00E94405" w:rsidRDefault="00A11609">
      <w:pPr>
        <w:spacing w:before="200"/>
        <w:rPr>
          <w:rFonts w:ascii="Cambria" w:hAnsi="Cambria"/>
        </w:rPr>
      </w:pPr>
      <w:r>
        <w:rPr>
          <w:rFonts w:ascii="Cambria" w:hAnsi="Cambria"/>
        </w:rPr>
        <w:t xml:space="preserve">This draft review of policy is limited to </w:t>
      </w:r>
      <w:r>
        <w:rPr>
          <w:rFonts w:ascii="Cambria" w:hAnsi="Cambria" w:cstheme="minorHAnsi"/>
        </w:rPr>
        <w:t>proposing</w:t>
      </w:r>
      <w:r>
        <w:rPr>
          <w:rFonts w:ascii="Cambria" w:hAnsi="Cambria"/>
        </w:rPr>
        <w:t xml:space="preserve"> appropriate phytosanitary measures to address the risk of introducing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 xml:space="preserve"> into Australia. It is the importer's responsibility to ensure compliance with the requirements of all other regulatory and advisory bodies associated with importing commodities to Australia. Among others, these could include the Australian Customs Service, Department of Health and Ageing, Therapeutic Goods Administration, Australian Pesticides and Veterinary Medicines Authority, Department of the Environment and State Departments of Agriculture.</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Existing policy</w:t>
      </w:r>
    </w:p>
    <w:p w:rsidR="00E94405" w:rsidRDefault="00A11609">
      <w:pPr>
        <w:spacing w:before="200"/>
        <w:rPr>
          <w:rFonts w:ascii="Cambria" w:hAnsi="Cambria"/>
        </w:rPr>
      </w:pPr>
      <w:r>
        <w:rPr>
          <w:rFonts w:ascii="Cambria" w:hAnsi="Cambria"/>
        </w:rPr>
        <w:t xml:space="preserve">Currently, there are two separate sets of conditions that apply to propagative material of hosts of </w:t>
      </w:r>
      <w:r>
        <w:rPr>
          <w:rFonts w:ascii="Cambria" w:hAnsi="Cambria"/>
          <w:i/>
          <w:iCs/>
        </w:rPr>
        <w:t>Phytophthora ramorum</w:t>
      </w:r>
      <w:r>
        <w:rPr>
          <w:rFonts w:ascii="Cambria" w:hAnsi="Cambria"/>
          <w:iCs/>
        </w:rPr>
        <w:t xml:space="preserve">: those </w:t>
      </w:r>
      <w:r>
        <w:rPr>
          <w:rFonts w:ascii="Cambria" w:hAnsi="Cambria"/>
        </w:rPr>
        <w:t xml:space="preserve">for sourcing propagative material from countries where this fungus is known to occur (European Union, North America) and </w:t>
      </w:r>
      <w:r>
        <w:rPr>
          <w:rFonts w:ascii="Cambria" w:hAnsi="Cambria"/>
          <w:iCs/>
        </w:rPr>
        <w:t xml:space="preserve">those </w:t>
      </w:r>
      <w:r>
        <w:rPr>
          <w:rFonts w:ascii="Cambria" w:hAnsi="Cambria"/>
        </w:rPr>
        <w:t xml:space="preserve">for sourcing propagative </w:t>
      </w:r>
      <w:r>
        <w:rPr>
          <w:rFonts w:ascii="Cambria" w:hAnsi="Cambria"/>
        </w:rPr>
        <w:lastRenderedPageBreak/>
        <w:t xml:space="preserve">material from countries free from </w:t>
      </w:r>
      <w:r>
        <w:rPr>
          <w:rFonts w:ascii="Cambria" w:hAnsi="Cambria"/>
          <w:i/>
          <w:iCs/>
        </w:rPr>
        <w:t xml:space="preserve">P. ramorum. </w:t>
      </w:r>
      <w:r>
        <w:rPr>
          <w:rFonts w:ascii="Cambria" w:hAnsi="Cambria"/>
        </w:rPr>
        <w:t xml:space="preserve">These conditions are available on the department’s Import CONditions database (ICON) at </w:t>
      </w:r>
      <w:hyperlink r:id="rId30" w:history="1">
        <w:r>
          <w:rPr>
            <w:rStyle w:val="Hyperlink"/>
            <w:rFonts w:ascii="Cambria" w:hAnsi="Cambria"/>
          </w:rPr>
          <w:t>http://www.agriculture.gov.au/icon</w:t>
        </w:r>
      </w:hyperlink>
      <w:r>
        <w:rPr>
          <w:rFonts w:ascii="Cambria" w:hAnsi="Cambria"/>
        </w:rPr>
        <w:t>.</w:t>
      </w:r>
    </w:p>
    <w:p w:rsidR="00E94405" w:rsidRDefault="00A11609">
      <w:pPr>
        <w:pStyle w:val="Heading4"/>
        <w:spacing w:before="120"/>
      </w:pPr>
      <w:r>
        <w:t xml:space="preserve">Propagative material from </w:t>
      </w:r>
      <w:r>
        <w:rPr>
          <w:i/>
        </w:rPr>
        <w:t>Phytophthora ramorum</w:t>
      </w:r>
      <w:r>
        <w:t xml:space="preserve"> countries</w:t>
      </w:r>
    </w:p>
    <w:p w:rsidR="00E94405" w:rsidRDefault="00A11609">
      <w:pPr>
        <w:spacing w:before="200"/>
        <w:rPr>
          <w:rFonts w:ascii="Cambria" w:hAnsi="Cambria"/>
        </w:rPr>
      </w:pPr>
      <w:r>
        <w:rPr>
          <w:rFonts w:ascii="Cambria" w:hAnsi="Cambria"/>
        </w:rPr>
        <w:t xml:space="preserve">The importation of all rooted plant hosts of </w:t>
      </w:r>
      <w:r>
        <w:rPr>
          <w:rFonts w:ascii="Cambria" w:hAnsi="Cambria"/>
          <w:i/>
        </w:rPr>
        <w:t xml:space="preserve">Phytophthora ramorum </w:t>
      </w:r>
      <w:r>
        <w:rPr>
          <w:rFonts w:ascii="Cambria" w:hAnsi="Cambria"/>
        </w:rPr>
        <w:t xml:space="preserve">is prohibited from all countries where this pathogen is known to occur. The import conditions for tissue cultures from countries where </w:t>
      </w:r>
      <w:r>
        <w:rPr>
          <w:rFonts w:ascii="Cambria" w:hAnsi="Cambria"/>
          <w:i/>
        </w:rPr>
        <w:t>P. ramorum</w:t>
      </w:r>
      <w:r>
        <w:rPr>
          <w:rFonts w:ascii="Cambria" w:hAnsi="Cambria"/>
        </w:rPr>
        <w:t xml:space="preserve"> is known to occur include:</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an import permit and Phytosanitary Certificate;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mandatory on-arrival inspection to verify freedom from any bacterial or fungal infection, live insects, disease symptoms or other extraneous contamination of quarantine concern;</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mandatory growth under closed quarantine at a government post-entry quarantine facility for pathogen screening; and</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drenching prior to release from PEQ.</w:t>
      </w:r>
    </w:p>
    <w:p w:rsidR="00E94405" w:rsidRDefault="00A11609">
      <w:pPr>
        <w:spacing w:before="200"/>
        <w:rPr>
          <w:rFonts w:ascii="Cambria" w:hAnsi="Cambria"/>
        </w:rPr>
      </w:pPr>
      <w:r>
        <w:rPr>
          <w:rFonts w:ascii="Cambria" w:hAnsi="Cambria"/>
        </w:rPr>
        <w:t>In 2013, following a request from industry, the department revised the import conditions for a limited number of genera that cannot be easily tissue cultured (Table 1).</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43" w:name="_Toc414019468"/>
      <w:r>
        <w:rPr>
          <w:rFonts w:asciiTheme="majorHAnsi" w:eastAsiaTheme="majorEastAsia" w:hAnsiTheme="majorHAnsi" w:cstheme="majorBidi"/>
          <w:color w:val="595959" w:themeColor="text1" w:themeTint="A6"/>
          <w:sz w:val="20"/>
        </w:rPr>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1</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hosts currently permitted entry as dormant unrooted cuttings and budwood into Australia</w:t>
      </w:r>
      <w:bookmarkEnd w:id="43"/>
    </w:p>
    <w:tbl>
      <w:tblPr>
        <w:tblW w:w="5000" w:type="pct"/>
        <w:tblBorders>
          <w:top w:val="single" w:sz="4" w:space="0" w:color="auto"/>
          <w:bottom w:val="single" w:sz="4" w:space="0" w:color="auto"/>
        </w:tblBorders>
        <w:tblLook w:val="04A0"/>
      </w:tblPr>
      <w:tblGrid>
        <w:gridCol w:w="4220"/>
        <w:gridCol w:w="5066"/>
      </w:tblGrid>
      <w:tr w:rsidR="00E94405">
        <w:tc>
          <w:tcPr>
            <w:tcW w:w="2272" w:type="pct"/>
          </w:tcPr>
          <w:p w:rsidR="00E94405" w:rsidRDefault="00A11609">
            <w:pPr>
              <w:pStyle w:val="TableHeading"/>
              <w:rPr>
                <w:rFonts w:ascii="Cambria" w:hAnsi="Cambria"/>
              </w:rPr>
            </w:pPr>
            <w:r>
              <w:rPr>
                <w:rFonts w:ascii="Cambria" w:hAnsi="Cambria"/>
              </w:rPr>
              <w:t xml:space="preserve">Scientific name </w:t>
            </w:r>
          </w:p>
        </w:tc>
        <w:tc>
          <w:tcPr>
            <w:tcW w:w="2728" w:type="pct"/>
          </w:tcPr>
          <w:p w:rsidR="00E94405" w:rsidRDefault="00A11609">
            <w:pPr>
              <w:pStyle w:val="TableHeading"/>
              <w:rPr>
                <w:rFonts w:ascii="Cambria" w:hAnsi="Cambria"/>
              </w:rPr>
            </w:pPr>
            <w:r>
              <w:rPr>
                <w:rFonts w:ascii="Cambria" w:hAnsi="Cambria"/>
              </w:rPr>
              <w:t>Common name</w:t>
            </w:r>
          </w:p>
        </w:tc>
      </w:tr>
      <w:tr w:rsidR="00E94405">
        <w:tc>
          <w:tcPr>
            <w:tcW w:w="2272" w:type="pct"/>
          </w:tcPr>
          <w:p w:rsidR="00E94405" w:rsidRDefault="00A11609">
            <w:pPr>
              <w:spacing w:before="60" w:after="60"/>
              <w:rPr>
                <w:rFonts w:ascii="Cambria" w:hAnsi="Cambria" w:cs="Helvetica"/>
                <w:bCs/>
                <w:sz w:val="18"/>
                <w:szCs w:val="18"/>
              </w:rPr>
            </w:pPr>
            <w:r>
              <w:rPr>
                <w:rFonts w:ascii="Cambria" w:hAnsi="Cambria" w:cs="Helvetica"/>
                <w:bCs/>
                <w:i/>
                <w:sz w:val="18"/>
                <w:szCs w:val="18"/>
              </w:rPr>
              <w:t xml:space="preserve">Acer </w:t>
            </w:r>
            <w:r>
              <w:rPr>
                <w:rFonts w:ascii="Cambria" w:hAnsi="Cambria" w:cs="Arial"/>
                <w:color w:val="000000"/>
                <w:sz w:val="18"/>
                <w:szCs w:val="18"/>
              </w:rPr>
              <w:t>[</w:t>
            </w:r>
            <w:r>
              <w:rPr>
                <w:rStyle w:val="generaltextvvsmall1"/>
                <w:rFonts w:ascii="Cambria" w:hAnsi="Cambria"/>
                <w:sz w:val="18"/>
                <w:szCs w:val="18"/>
              </w:rPr>
              <w:t>Aceraceae]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Maple</w:t>
            </w:r>
          </w:p>
        </w:tc>
      </w:tr>
      <w:tr w:rsidR="00E94405">
        <w:tc>
          <w:tcPr>
            <w:tcW w:w="2272" w:type="pct"/>
          </w:tcPr>
          <w:p w:rsidR="00E94405" w:rsidRDefault="00A11609">
            <w:pPr>
              <w:spacing w:before="60" w:after="60"/>
              <w:rPr>
                <w:rFonts w:ascii="Cambria" w:hAnsi="Cambria" w:cs="Shruti"/>
                <w:sz w:val="18"/>
                <w:szCs w:val="18"/>
              </w:rPr>
            </w:pPr>
            <w:r>
              <w:rPr>
                <w:rFonts w:ascii="Cambria" w:hAnsi="Cambria" w:cs="Helvetica"/>
                <w:bCs/>
                <w:i/>
                <w:sz w:val="18"/>
                <w:szCs w:val="18"/>
              </w:rPr>
              <w:t xml:space="preserve">Betula </w:t>
            </w:r>
            <w:r>
              <w:rPr>
                <w:rFonts w:ascii="Cambria" w:hAnsi="Cambria" w:cs="Helvetica"/>
                <w:bCs/>
                <w:sz w:val="18"/>
                <w:szCs w:val="18"/>
              </w:rPr>
              <w:t>[</w:t>
            </w:r>
            <w:r>
              <w:rPr>
                <w:rFonts w:ascii="Cambria" w:hAnsi="Cambria" w:cs="Arial"/>
                <w:sz w:val="18"/>
                <w:szCs w:val="18"/>
              </w:rPr>
              <w:t>Betulaceae]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Birch</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Cercis </w:t>
            </w:r>
            <w:r>
              <w:rPr>
                <w:rFonts w:ascii="Cambria" w:hAnsi="Cambria" w:cs="Helvetica"/>
                <w:bCs/>
                <w:sz w:val="18"/>
                <w:szCs w:val="18"/>
              </w:rPr>
              <w:t>[</w:t>
            </w:r>
            <w:r>
              <w:rPr>
                <w:rFonts w:ascii="Cambria" w:hAnsi="Cambria" w:cs="Arial"/>
                <w:sz w:val="18"/>
                <w:szCs w:val="18"/>
              </w:rPr>
              <w:t>Fabaceae]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Redbud</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Cornus </w:t>
            </w:r>
            <w:r>
              <w:rPr>
                <w:rFonts w:ascii="Cambria" w:hAnsi="Cambria" w:cs="Arial"/>
                <w:sz w:val="18"/>
                <w:szCs w:val="18"/>
              </w:rPr>
              <w:t>[</w:t>
            </w:r>
            <w:r>
              <w:rPr>
                <w:rStyle w:val="generaltextvvsmall1"/>
                <w:rFonts w:ascii="Cambria" w:hAnsi="Cambria"/>
                <w:sz w:val="18"/>
                <w:szCs w:val="18"/>
              </w:rPr>
              <w:t>Cornacea]</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Cornus</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Distylium </w:t>
            </w:r>
            <w:r>
              <w:rPr>
                <w:rFonts w:ascii="Cambria" w:hAnsi="Cambria" w:cs="Arial"/>
                <w:sz w:val="18"/>
                <w:szCs w:val="18"/>
              </w:rPr>
              <w:t>[</w:t>
            </w:r>
            <w:r>
              <w:rPr>
                <w:rStyle w:val="generaltextvvsmall1"/>
                <w:rFonts w:ascii="Cambria" w:hAnsi="Cambria"/>
                <w:sz w:val="18"/>
                <w:szCs w:val="18"/>
              </w:rPr>
              <w:t>Hammelidaceae]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Distylium</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Fraxinus </w:t>
            </w:r>
            <w:r>
              <w:rPr>
                <w:rFonts w:ascii="Cambria" w:hAnsi="Cambria" w:cs="Helvetica"/>
                <w:bCs/>
                <w:sz w:val="18"/>
                <w:szCs w:val="18"/>
              </w:rPr>
              <w:t>[</w:t>
            </w:r>
            <w:r>
              <w:rPr>
                <w:rStyle w:val="generaltextvvsmall1"/>
                <w:rFonts w:ascii="Cambria" w:hAnsi="Cambria"/>
                <w:sz w:val="18"/>
                <w:szCs w:val="18"/>
              </w:rPr>
              <w:t>Oleaceae]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Oregon ash</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Liriodendron </w:t>
            </w:r>
            <w:r>
              <w:rPr>
                <w:rFonts w:ascii="Cambria" w:hAnsi="Cambria" w:cs="Helvetica"/>
                <w:bCs/>
                <w:sz w:val="18"/>
                <w:szCs w:val="18"/>
              </w:rPr>
              <w:t>[</w:t>
            </w:r>
            <w:r>
              <w:rPr>
                <w:rStyle w:val="generaltextvvsmall1"/>
                <w:rFonts w:ascii="Cambria" w:hAnsi="Cambria"/>
                <w:sz w:val="18"/>
                <w:szCs w:val="18"/>
              </w:rPr>
              <w:t>Magnoliaceae]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Poplar</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Loropetalum </w:t>
            </w:r>
            <w:r>
              <w:rPr>
                <w:rFonts w:ascii="Cambria" w:hAnsi="Cambria" w:cs="Helvetica"/>
                <w:bCs/>
                <w:sz w:val="18"/>
                <w:szCs w:val="18"/>
              </w:rPr>
              <w:t>[</w:t>
            </w:r>
            <w:r>
              <w:rPr>
                <w:rFonts w:ascii="Cambria" w:hAnsi="Cambria" w:cs="Arial"/>
                <w:sz w:val="18"/>
                <w:szCs w:val="18"/>
              </w:rPr>
              <w:t>Hamamelidaceae]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Fringe Flower</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Physocarpus </w:t>
            </w:r>
            <w:r>
              <w:rPr>
                <w:rFonts w:ascii="Cambria" w:hAnsi="Cambria" w:cs="Helvetica"/>
                <w:bCs/>
                <w:sz w:val="18"/>
                <w:szCs w:val="18"/>
              </w:rPr>
              <w:t>[</w:t>
            </w:r>
            <w:r>
              <w:rPr>
                <w:rFonts w:ascii="Cambria" w:hAnsi="Cambria" w:cs="Arial"/>
                <w:sz w:val="18"/>
                <w:szCs w:val="18"/>
              </w:rPr>
              <w:t>Rosaceae]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Ninebark</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Syringa </w:t>
            </w:r>
            <w:r>
              <w:rPr>
                <w:rFonts w:ascii="Cambria" w:hAnsi="Cambria" w:cs="Arial"/>
                <w:sz w:val="18"/>
                <w:szCs w:val="18"/>
              </w:rPr>
              <w:t>[</w:t>
            </w:r>
            <w:r>
              <w:rPr>
                <w:rStyle w:val="generaltextvvsmall1"/>
                <w:rFonts w:ascii="Cambria" w:hAnsi="Cambria"/>
                <w:sz w:val="18"/>
                <w:szCs w:val="18"/>
              </w:rPr>
              <w:t>Oleaceae</w:t>
            </w:r>
            <w:r>
              <w:rPr>
                <w:rFonts w:ascii="Cambria" w:hAnsi="Cambria" w:cs="Arial"/>
                <w:sz w:val="18"/>
                <w:szCs w:val="18"/>
              </w:rPr>
              <w:t>]</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Lilac</w:t>
            </w:r>
          </w:p>
        </w:tc>
      </w:tr>
      <w:tr w:rsidR="00E94405">
        <w:tc>
          <w:tcPr>
            <w:tcW w:w="2272" w:type="pct"/>
          </w:tcPr>
          <w:p w:rsidR="00E94405" w:rsidRDefault="00A11609">
            <w:pPr>
              <w:spacing w:before="60" w:after="60"/>
              <w:rPr>
                <w:rFonts w:ascii="Cambria" w:hAnsi="Cambria" w:cs="Helvetica"/>
                <w:bCs/>
                <w:i/>
                <w:sz w:val="18"/>
                <w:szCs w:val="18"/>
              </w:rPr>
            </w:pPr>
            <w:r>
              <w:rPr>
                <w:rFonts w:ascii="Cambria" w:hAnsi="Cambria" w:cs="Helvetica"/>
                <w:bCs/>
                <w:i/>
                <w:sz w:val="18"/>
                <w:szCs w:val="18"/>
              </w:rPr>
              <w:t xml:space="preserve">Ulmus </w:t>
            </w:r>
            <w:r>
              <w:rPr>
                <w:rFonts w:ascii="Cambria" w:hAnsi="Cambria" w:cs="Helvetica"/>
                <w:bCs/>
                <w:sz w:val="18"/>
                <w:szCs w:val="18"/>
              </w:rPr>
              <w:t>[</w:t>
            </w:r>
            <w:r>
              <w:rPr>
                <w:rFonts w:ascii="Cambria" w:hAnsi="Cambria" w:cs="Arial"/>
                <w:sz w:val="18"/>
                <w:szCs w:val="18"/>
              </w:rPr>
              <w:t>Ulmaceae]</w:t>
            </w:r>
          </w:p>
        </w:tc>
        <w:tc>
          <w:tcPr>
            <w:tcW w:w="2728" w:type="pct"/>
          </w:tcPr>
          <w:p w:rsidR="00E94405" w:rsidRDefault="00A11609">
            <w:pPr>
              <w:spacing w:before="60" w:after="60"/>
              <w:rPr>
                <w:rFonts w:ascii="Cambria" w:hAnsi="Cambria" w:cstheme="minorHAnsi"/>
                <w:sz w:val="18"/>
                <w:szCs w:val="18"/>
              </w:rPr>
            </w:pPr>
            <w:r>
              <w:rPr>
                <w:rFonts w:ascii="Cambria" w:hAnsi="Cambria" w:cstheme="minorHAnsi"/>
                <w:sz w:val="18"/>
                <w:szCs w:val="18"/>
              </w:rPr>
              <w:t>Elms</w:t>
            </w:r>
          </w:p>
        </w:tc>
      </w:tr>
    </w:tbl>
    <w:p w:rsidR="00E94405" w:rsidRDefault="00A11609">
      <w:pPr>
        <w:spacing w:before="200"/>
        <w:rPr>
          <w:rFonts w:ascii="Cambria" w:hAnsi="Cambria"/>
        </w:rPr>
      </w:pPr>
      <w:r>
        <w:rPr>
          <w:rFonts w:ascii="Cambria" w:hAnsi="Cambria"/>
        </w:rPr>
        <w:t xml:space="preserve">Following the finalisation of the 2013 review, it was determined that dormant unrooted cuttings and budwood of a limited number of genera could be imported from countries where </w:t>
      </w:r>
      <w:r>
        <w:rPr>
          <w:rFonts w:ascii="Cambria" w:hAnsi="Cambria"/>
          <w:i/>
        </w:rPr>
        <w:t>P. ramorum</w:t>
      </w:r>
      <w:r>
        <w:rPr>
          <w:rFonts w:ascii="Cambria" w:hAnsi="Cambria"/>
        </w:rPr>
        <w:t xml:space="preserve"> is known to occur, subject to the following import conditions:</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an import permit and Phytosanitary Certificate;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only dormant and unrooted cuttings or budwood are permitted;</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mandatory on-arrival inspection to verify freedom from bacterial and fungal infection, disease symptoms, live insects and other extraneous contamination of quarantine concern;</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mandatory fumigation with methyl bromide and sodium hypochlorite treatment;</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lastRenderedPageBreak/>
        <w:t xml:space="preserve">growth in closed quarantine at a government post-entry quarantine facility for a minimum of two years with disease screening for </w:t>
      </w:r>
      <w:r>
        <w:rPr>
          <w:rFonts w:ascii="Cambria" w:hAnsi="Cambria"/>
          <w:i/>
        </w:rPr>
        <w:t>Phytophthora</w:t>
      </w:r>
      <w:r>
        <w:rPr>
          <w:rFonts w:ascii="Cambria" w:hAnsi="Cambria"/>
        </w:rPr>
        <w:t xml:space="preserve"> using PCR and visual inspections;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imported material to be reworked, when sufficient new growth available, onto local rootstock plants propagated from Australian high-health (for example, virus tested) rootstocks supplied by the importer; and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drenching of plants with a systemic fungicide prior to release from PEQ.</w:t>
      </w:r>
    </w:p>
    <w:p w:rsidR="00E94405" w:rsidRDefault="00A11609">
      <w:pPr>
        <w:pStyle w:val="Heading4"/>
        <w:spacing w:before="120"/>
      </w:pPr>
      <w:r>
        <w:t xml:space="preserve">Propagative material from non </w:t>
      </w:r>
      <w:r>
        <w:rPr>
          <w:i/>
        </w:rPr>
        <w:t>Phytophthora ramorum</w:t>
      </w:r>
      <w:r>
        <w:t xml:space="preserve"> countries</w:t>
      </w:r>
    </w:p>
    <w:p w:rsidR="00E94405" w:rsidRDefault="00A11609">
      <w:pPr>
        <w:spacing w:before="200"/>
        <w:rPr>
          <w:rFonts w:ascii="Cambria" w:hAnsi="Cambria"/>
        </w:rPr>
      </w:pPr>
      <w:r>
        <w:rPr>
          <w:rFonts w:ascii="Cambria" w:hAnsi="Cambria"/>
        </w:rPr>
        <w:t xml:space="preserve">Import conditions for propagative material of hosts of </w:t>
      </w:r>
      <w:r>
        <w:rPr>
          <w:rFonts w:ascii="Cambria" w:hAnsi="Cambria"/>
          <w:i/>
          <w:iCs/>
        </w:rPr>
        <w:t xml:space="preserve">Phytophthora ramorum </w:t>
      </w:r>
      <w:r>
        <w:rPr>
          <w:rFonts w:ascii="Cambria" w:hAnsi="Cambria"/>
        </w:rPr>
        <w:t>from countries where the pathogen is not known to occur include:</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an import permit and a Phytosanitary Certificate with an additional declaration ‘Sudden oak death</w:t>
      </w:r>
      <w:r>
        <w:rPr>
          <w:rFonts w:ascii="Cambria" w:hAnsi="Cambria"/>
          <w:i/>
          <w:iCs/>
        </w:rPr>
        <w:t xml:space="preserve"> </w:t>
      </w:r>
      <w:r>
        <w:rPr>
          <w:rFonts w:ascii="Cambria" w:hAnsi="Cambria"/>
          <w:iCs/>
        </w:rPr>
        <w:t>(</w:t>
      </w:r>
      <w:r>
        <w:rPr>
          <w:rFonts w:ascii="Cambria" w:hAnsi="Cambria"/>
          <w:i/>
          <w:iCs/>
        </w:rPr>
        <w:t>Phytophthora ramorum</w:t>
      </w:r>
      <w:r>
        <w:rPr>
          <w:rFonts w:ascii="Cambria" w:hAnsi="Cambria"/>
        </w:rPr>
        <w:t>) is not known to occur in [insert country of origin]’; and</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conditions as detailed on ICON. </w:t>
      </w:r>
    </w:p>
    <w:p w:rsidR="00E94405" w:rsidRDefault="00E94405">
      <w:pPr>
        <w:pStyle w:val="ListBullet"/>
        <w:numPr>
          <w:ilvl w:val="0"/>
          <w:numId w:val="0"/>
        </w:numPr>
        <w:ind w:left="360" w:hanging="360"/>
      </w:pPr>
    </w:p>
    <w:p w:rsidR="00E94405" w:rsidRDefault="00E94405">
      <w:pPr>
        <w:pStyle w:val="ListBullet"/>
        <w:numPr>
          <w:ilvl w:val="0"/>
          <w:numId w:val="0"/>
        </w:numPr>
        <w:tabs>
          <w:tab w:val="num" w:pos="284"/>
        </w:tabs>
        <w:rPr>
          <w:rFonts w:ascii="Calibri" w:eastAsiaTheme="majorEastAsia" w:hAnsi="Calibri" w:cstheme="majorBidi"/>
          <w:b/>
          <w:bCs/>
          <w:color w:val="D52B1E"/>
          <w:sz w:val="34"/>
          <w:szCs w:val="28"/>
        </w:rPr>
        <w:sectPr w:rsidR="00E94405">
          <w:headerReference w:type="default" r:id="rId31"/>
          <w:pgSz w:w="11906" w:h="16838"/>
          <w:pgMar w:top="1418" w:right="1418" w:bottom="1418" w:left="1418" w:header="567" w:footer="283" w:gutter="0"/>
          <w:cols w:space="708"/>
          <w:docGrid w:linePitch="360"/>
        </w:sectPr>
      </w:pPr>
    </w:p>
    <w:p w:rsidR="00E94405" w:rsidRDefault="00A11609">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44" w:name="_Toc414019440"/>
      <w:r>
        <w:rPr>
          <w:rFonts w:eastAsiaTheme="majorEastAsia" w:cstheme="majorBidi"/>
          <w:b/>
          <w:color w:val="D52B1E"/>
          <w:sz w:val="34"/>
        </w:rPr>
        <w:lastRenderedPageBreak/>
        <w:t>Method for pest risk analysis</w:t>
      </w:r>
      <w:bookmarkEnd w:id="44"/>
    </w:p>
    <w:p w:rsidR="00E94405" w:rsidRDefault="00A11609">
      <w:pPr>
        <w:spacing w:before="200"/>
        <w:rPr>
          <w:rFonts w:ascii="Cambria" w:hAnsi="Cambria"/>
        </w:rPr>
      </w:pPr>
      <w:r>
        <w:rPr>
          <w:rFonts w:ascii="Cambria" w:hAnsi="Cambria"/>
        </w:rPr>
        <w:t xml:space="preserve">This chapter sets out the method used for the pest risk analysis (PRA) in this report. The Department of Agriculture has conducted this PRA in accordance with the International Standards for Phytosanitary Measures (ISPMs), including ISPM 2: </w:t>
      </w:r>
      <w:r>
        <w:rPr>
          <w:rFonts w:ascii="Cambria" w:hAnsi="Cambria"/>
          <w:i/>
        </w:rPr>
        <w:t xml:space="preserve">Framework for pest risk analysis </w:t>
      </w:r>
      <w:r>
        <w:rPr>
          <w:rFonts w:ascii="Cambria" w:hAnsi="Cambria"/>
        </w:rPr>
        <w:t xml:space="preserve">(2007) and ISPM 11: </w:t>
      </w:r>
      <w:r>
        <w:rPr>
          <w:rFonts w:ascii="Cambria" w:hAnsi="Cambria"/>
          <w:i/>
        </w:rPr>
        <w:t xml:space="preserve">Pest risk analysis for quarantine pests </w:t>
      </w:r>
      <w:r>
        <w:rPr>
          <w:rFonts w:ascii="Cambria" w:hAnsi="Cambria"/>
        </w:rPr>
        <w:t>(2013b) that have been developed under the SPS Agreement (WTO 1995).</w:t>
      </w:r>
    </w:p>
    <w:p w:rsidR="00E94405" w:rsidRDefault="00A11609">
      <w:pPr>
        <w:spacing w:before="200"/>
        <w:rPr>
          <w:rFonts w:ascii="Cambria" w:hAnsi="Cambria"/>
        </w:rPr>
      </w:pPr>
      <w:r>
        <w:rPr>
          <w:rFonts w:ascii="Cambria" w:hAnsi="Cambria"/>
        </w:rPr>
        <w:t xml:space="preserve">Phytosanitary terms used in this PRA are defined in ISPM 5: </w:t>
      </w:r>
      <w:r>
        <w:rPr>
          <w:rFonts w:ascii="Cambria" w:hAnsi="Cambria"/>
          <w:i/>
        </w:rPr>
        <w:t>Glossary of phytosanitary terms</w:t>
      </w:r>
      <w:r>
        <w:rPr>
          <w:rFonts w:ascii="Cambria" w:hAnsi="Cambria"/>
        </w:rPr>
        <w:t xml:space="preserve"> (FAO 2013a). A glossary of the terms used is provided at the back of this report.</w:t>
      </w:r>
    </w:p>
    <w:p w:rsidR="00E94405" w:rsidRDefault="00A11609">
      <w:pPr>
        <w:spacing w:before="200"/>
        <w:rPr>
          <w:rFonts w:ascii="Cambria" w:hAnsi="Cambria"/>
        </w:rPr>
      </w:pPr>
      <w:r>
        <w:rPr>
          <w:rFonts w:ascii="Cambria" w:hAnsi="Cambria"/>
        </w:rPr>
        <w:t>The PRAs are conducted in the following three consecutive stages: initiation, pest risk assessment and pest risk management.</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45" w:name="_Toc414019441"/>
      <w:r>
        <w:rPr>
          <w:rFonts w:eastAsiaTheme="majorEastAsia" w:cstheme="majorBidi"/>
          <w:color w:val="773141"/>
          <w:sz w:val="28"/>
        </w:rPr>
        <w:t>Stage 1: Initiation</w:t>
      </w:r>
      <w:bookmarkEnd w:id="45"/>
    </w:p>
    <w:p w:rsidR="00E94405" w:rsidRDefault="00A11609">
      <w:pPr>
        <w:spacing w:before="200"/>
        <w:rPr>
          <w:rFonts w:ascii="Cambria" w:hAnsi="Cambria"/>
        </w:rPr>
      </w:pPr>
      <w:r>
        <w:rPr>
          <w:rFonts w:ascii="Cambria" w:hAnsi="Cambria"/>
        </w:rPr>
        <w:t>The initiation of a risk analysis identifies pest(s) and pathway(s) that should be considered for risk analysis in relation to the identified PRA area.</w:t>
      </w:r>
    </w:p>
    <w:p w:rsidR="00E94405" w:rsidRDefault="00A11609">
      <w:pPr>
        <w:spacing w:before="200"/>
        <w:rPr>
          <w:rFonts w:ascii="Cambria" w:hAnsi="Cambria"/>
        </w:rPr>
      </w:pPr>
      <w:r>
        <w:rPr>
          <w:rFonts w:ascii="Cambria" w:hAnsi="Cambria"/>
        </w:rPr>
        <w:t xml:space="preserve">This pest risk assessment was initiated as a basis for a review and possible revision of the current phytosanitary regulations to import hosts of </w:t>
      </w:r>
      <w:r>
        <w:rPr>
          <w:rFonts w:ascii="Cambria" w:hAnsi="Cambria"/>
          <w:i/>
          <w:iCs/>
        </w:rPr>
        <w:t>Phytophthora ramorum</w:t>
      </w:r>
      <w:r>
        <w:rPr>
          <w:rFonts w:ascii="Cambria" w:hAnsi="Cambria"/>
        </w:rPr>
        <w:t xml:space="preserve">. Since 2002, </w:t>
      </w:r>
      <w:r>
        <w:rPr>
          <w:rFonts w:ascii="Cambria" w:hAnsi="Cambria"/>
          <w:i/>
          <w:iCs/>
        </w:rPr>
        <w:t xml:space="preserve">P. ramorum </w:t>
      </w:r>
      <w:r>
        <w:rPr>
          <w:rFonts w:ascii="Cambria" w:hAnsi="Cambria"/>
        </w:rPr>
        <w:t xml:space="preserve">has been treated as a quarantine pest and is regulated on propagative material entering Australia. However, considerable research on </w:t>
      </w:r>
      <w:r>
        <w:rPr>
          <w:rFonts w:ascii="Cambria" w:hAnsi="Cambria"/>
          <w:i/>
          <w:iCs/>
        </w:rPr>
        <w:t xml:space="preserve">P. ramorum </w:t>
      </w:r>
      <w:r>
        <w:rPr>
          <w:rFonts w:ascii="Cambria" w:hAnsi="Cambria"/>
        </w:rPr>
        <w:t xml:space="preserve">has provided substantial new knowledge about the pathogen during the past decade. The PRA will take into account newly published information in the review of Australian emergency phytosanitary measures for </w:t>
      </w:r>
      <w:r>
        <w:rPr>
          <w:rFonts w:ascii="Cambria" w:hAnsi="Cambria"/>
          <w:i/>
          <w:iCs/>
        </w:rPr>
        <w:t>P. ramorum</w:t>
      </w:r>
      <w:r>
        <w:rPr>
          <w:rFonts w:ascii="Cambria" w:hAnsi="Cambria"/>
        </w:rPr>
        <w:t>.</w:t>
      </w:r>
    </w:p>
    <w:p w:rsidR="00E94405" w:rsidRDefault="00A11609">
      <w:pPr>
        <w:spacing w:before="200"/>
        <w:rPr>
          <w:rFonts w:ascii="Cambria" w:hAnsi="Cambria"/>
        </w:rPr>
      </w:pPr>
      <w:r>
        <w:rPr>
          <w:rFonts w:ascii="Cambria" w:hAnsi="Cambria"/>
        </w:rPr>
        <w:t xml:space="preserve">Since the description of </w:t>
      </w:r>
      <w:r>
        <w:rPr>
          <w:rFonts w:ascii="Cambria" w:hAnsi="Cambria"/>
          <w:i/>
          <w:iCs/>
        </w:rPr>
        <w:t xml:space="preserve">Phytophthora ramorum </w:t>
      </w:r>
      <w:r>
        <w:rPr>
          <w:rFonts w:ascii="Cambria" w:hAnsi="Cambria"/>
        </w:rPr>
        <w:t xml:space="preserve">in 2001 (Werres </w:t>
      </w:r>
      <w:r>
        <w:rPr>
          <w:rFonts w:ascii="Cambria" w:hAnsi="Cambria"/>
          <w:iCs/>
        </w:rPr>
        <w:t>et al.</w:t>
      </w:r>
      <w:r>
        <w:rPr>
          <w:rFonts w:ascii="Cambria" w:hAnsi="Cambria"/>
        </w:rPr>
        <w:t xml:space="preserve"> 2001; Rizzo </w:t>
      </w:r>
      <w:r>
        <w:rPr>
          <w:rFonts w:ascii="Cambria" w:hAnsi="Cambria"/>
          <w:iCs/>
        </w:rPr>
        <w:t>et al.</w:t>
      </w:r>
      <w:r>
        <w:rPr>
          <w:rFonts w:ascii="Cambria" w:hAnsi="Cambria"/>
        </w:rPr>
        <w:t xml:space="preserve"> 2002b), several other aerially dispersed </w:t>
      </w:r>
      <w:r>
        <w:rPr>
          <w:rFonts w:ascii="Cambria" w:hAnsi="Cambria"/>
          <w:i/>
          <w:iCs/>
        </w:rPr>
        <w:t xml:space="preserve">Phytophthora </w:t>
      </w:r>
      <w:r>
        <w:rPr>
          <w:rFonts w:ascii="Cambria" w:hAnsi="Cambria"/>
        </w:rPr>
        <w:t xml:space="preserve">species, including </w:t>
      </w:r>
      <w:r>
        <w:rPr>
          <w:rFonts w:ascii="Cambria" w:hAnsi="Cambria"/>
          <w:i/>
          <w:iCs/>
        </w:rPr>
        <w:t xml:space="preserve">P. kernoviae, P. nemorosa </w:t>
      </w:r>
      <w:r>
        <w:rPr>
          <w:rFonts w:ascii="Cambria" w:hAnsi="Cambria"/>
        </w:rPr>
        <w:t xml:space="preserve">and </w:t>
      </w:r>
      <w:r>
        <w:rPr>
          <w:rFonts w:ascii="Cambria" w:hAnsi="Cambria"/>
          <w:i/>
          <w:iCs/>
        </w:rPr>
        <w:t>P. pseudosyringae</w:t>
      </w:r>
      <w:r>
        <w:rPr>
          <w:rFonts w:ascii="Cambria" w:hAnsi="Cambria"/>
        </w:rPr>
        <w:t xml:space="preserve">, with similar host ranges and geographic distributions to </w:t>
      </w:r>
      <w:r>
        <w:rPr>
          <w:rFonts w:ascii="Cambria" w:hAnsi="Cambria"/>
          <w:i/>
          <w:iCs/>
        </w:rPr>
        <w:t xml:space="preserve">P. ramorum </w:t>
      </w:r>
      <w:r>
        <w:rPr>
          <w:rFonts w:ascii="Cambria" w:hAnsi="Cambria"/>
        </w:rPr>
        <w:t>have been identified and are included in this PRA.</w:t>
      </w:r>
    </w:p>
    <w:p w:rsidR="00E94405" w:rsidRDefault="00A11609">
      <w:pPr>
        <w:spacing w:before="200"/>
        <w:rPr>
          <w:rFonts w:ascii="Cambria" w:hAnsi="Cambria"/>
        </w:rPr>
      </w:pPr>
      <w:r>
        <w:rPr>
          <w:rFonts w:ascii="Cambria" w:hAnsi="Cambria"/>
        </w:rPr>
        <w:t xml:space="preserve">In the context of this assessment, </w:t>
      </w:r>
      <w:r>
        <w:rPr>
          <w:rFonts w:ascii="Cambria" w:hAnsi="Cambria"/>
          <w:i/>
          <w:iCs/>
        </w:rPr>
        <w:t>Phytophthora</w:t>
      </w:r>
      <w:r>
        <w:rPr>
          <w:rFonts w:ascii="Cambria" w:hAnsi="Cambria"/>
        </w:rPr>
        <w:t xml:space="preserve"> species host propagative material (including ornamental plants and propagative material, cuttings, bare-rooted plants) is a potential import ‘pathway’ by which these</w:t>
      </w:r>
      <w:r>
        <w:rPr>
          <w:rFonts w:ascii="Cambria" w:hAnsi="Cambria"/>
          <w:i/>
          <w:iCs/>
        </w:rPr>
        <w:t xml:space="preserve"> Phytophthora</w:t>
      </w:r>
      <w:r>
        <w:rPr>
          <w:rFonts w:ascii="Cambria" w:hAnsi="Cambria"/>
        </w:rPr>
        <w:t xml:space="preserve"> species could enter Australia.</w:t>
      </w:r>
    </w:p>
    <w:p w:rsidR="00E94405" w:rsidRDefault="00A11609">
      <w:pPr>
        <w:spacing w:before="200"/>
        <w:rPr>
          <w:rFonts w:ascii="Cambria" w:hAnsi="Cambria"/>
        </w:rPr>
      </w:pPr>
      <w:r>
        <w:rPr>
          <w:rFonts w:ascii="Cambria" w:hAnsi="Cambria"/>
        </w:rPr>
        <w:t xml:space="preserve">For this PRA, the ‘PRA area’ is defined as Australia for </w:t>
      </w:r>
      <w:r>
        <w:rPr>
          <w:rFonts w:ascii="Cambria" w:hAnsi="Cambria"/>
          <w:i/>
          <w:iCs/>
        </w:rPr>
        <w:t xml:space="preserve">Phytophthora </w:t>
      </w:r>
      <w:r>
        <w:rPr>
          <w:rFonts w:ascii="Cambria" w:hAnsi="Cambria"/>
        </w:rPr>
        <w:t>species (</w:t>
      </w:r>
      <w:r>
        <w:rPr>
          <w:rFonts w:ascii="Cambria" w:hAnsi="Cambria"/>
          <w:i/>
          <w:iCs/>
        </w:rPr>
        <w:t>P. kernoviae, 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 that are absent from Australia.</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46" w:name="_Toc414019442"/>
      <w:r>
        <w:rPr>
          <w:rFonts w:eastAsiaTheme="majorEastAsia" w:cstheme="majorBidi"/>
          <w:color w:val="773141"/>
          <w:sz w:val="28"/>
        </w:rPr>
        <w:t>Stage 2: Pest risk assessment</w:t>
      </w:r>
      <w:bookmarkEnd w:id="46"/>
    </w:p>
    <w:p w:rsidR="00E94405" w:rsidRDefault="00A11609">
      <w:pPr>
        <w:spacing w:before="200"/>
        <w:rPr>
          <w:rFonts w:ascii="Cambria" w:hAnsi="Cambria"/>
        </w:rPr>
      </w:pPr>
      <w:r>
        <w:rPr>
          <w:rFonts w:ascii="Cambria" w:hAnsi="Cambria"/>
        </w:rPr>
        <w:t>A pest risk assessment (for quarantine pests) is the ‘evaluation of the probability of the introduction and spread of a pest and of the magnitude of the associated potential economic consequences’ (FAO 2013a). The pest risk assessment provides technical justification for identifying quarantine pests and for establishing phytosanitary import requirements.</w:t>
      </w:r>
    </w:p>
    <w:p w:rsidR="00E94405" w:rsidRDefault="00A11609">
      <w:pPr>
        <w:spacing w:before="200"/>
        <w:rPr>
          <w:rFonts w:ascii="Cambria" w:hAnsi="Cambria"/>
        </w:rPr>
      </w:pPr>
      <w:r>
        <w:rPr>
          <w:rFonts w:ascii="Cambria" w:hAnsi="Cambria"/>
        </w:rPr>
        <w:t>The following three consecutive steps were used in the pest risk assessment:</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lastRenderedPageBreak/>
        <w:t>Pest categorisation</w:t>
      </w:r>
    </w:p>
    <w:p w:rsidR="00E94405" w:rsidRDefault="00A11609">
      <w:pPr>
        <w:spacing w:before="200"/>
        <w:rPr>
          <w:rFonts w:ascii="Cambria" w:hAnsi="Cambria"/>
        </w:rPr>
      </w:pPr>
      <w:r>
        <w:rPr>
          <w:rFonts w:ascii="Cambria" w:hAnsi="Cambria"/>
        </w:rPr>
        <w:t>Pest categorisation identifies which of the pests with the potential to be on the commodity are quarantine pests for Australia and require a pest risk assessment. A ‘quarantine pest’ is a pest of potential economic importance to the area endangered thereby and not yet present there, or present but not widely distributed and being officially controlled (FAO 2013a).</w:t>
      </w:r>
    </w:p>
    <w:p w:rsidR="00E94405" w:rsidRDefault="00A11609">
      <w:pPr>
        <w:spacing w:before="200"/>
        <w:rPr>
          <w:rFonts w:ascii="Cambria" w:hAnsi="Cambria"/>
        </w:rPr>
      </w:pPr>
      <w:r>
        <w:rPr>
          <w:rFonts w:ascii="Cambria" w:hAnsi="Cambria"/>
        </w:rPr>
        <w:t>The process of a pest categorisation is summarised by ISPM 11 (FAO 2013b) as a screening procedure based on the following criteria:</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identity of the pest</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presence or absence in the PRA area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regulatory status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 xml:space="preserve">potential for establishment and spread in the PRA area </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potential for economic consequences (including environmental consequences) in the PRA area.</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Assessment of the probability of entry, establishment and spread</w:t>
      </w:r>
    </w:p>
    <w:p w:rsidR="00E94405" w:rsidRDefault="00A11609">
      <w:pPr>
        <w:spacing w:before="200"/>
        <w:rPr>
          <w:rFonts w:ascii="Cambria" w:hAnsi="Cambria"/>
        </w:rPr>
      </w:pPr>
      <w:r>
        <w:rPr>
          <w:rFonts w:ascii="Cambria" w:hAnsi="Cambria"/>
        </w:rPr>
        <w:t>Details of how to assess the ‘probability of entry’, ‘probability of establishment’ and ‘probability of spread’ of a pest are given in ISPM 11 (FAO 2013b). A summary of this process is given below, followed by a description of the qualitative methodology used in this PRA.</w:t>
      </w:r>
    </w:p>
    <w:p w:rsidR="00E94405" w:rsidRDefault="00A11609">
      <w:pPr>
        <w:pStyle w:val="Heading4"/>
        <w:spacing w:before="120"/>
      </w:pPr>
      <w:r>
        <w:t>Probability of entry</w:t>
      </w:r>
    </w:p>
    <w:p w:rsidR="00E94405" w:rsidRDefault="00A11609">
      <w:pPr>
        <w:spacing w:before="200"/>
        <w:rPr>
          <w:rFonts w:ascii="Cambria" w:hAnsi="Cambria"/>
        </w:rPr>
      </w:pPr>
      <w:r>
        <w:rPr>
          <w:rFonts w:ascii="Cambria" w:hAnsi="Cambria"/>
        </w:rPr>
        <w:t>The probability of entry describes the probability that a quarantine pest will enter Australia as a result of trade in a given commodity, be distributed in a viable state in the PRA area and subsequently be transferred to a host. Assessing the probability of entry requires an analysis of each of the pathways with which a pest may be associated, from its origin to distribution in the PRA area.</w:t>
      </w:r>
    </w:p>
    <w:p w:rsidR="00E94405" w:rsidRDefault="00A11609">
      <w:pPr>
        <w:spacing w:before="200" w:line="300" w:lineRule="atLeast"/>
        <w:rPr>
          <w:rFonts w:ascii="Cambria" w:hAnsi="Cambria"/>
        </w:rPr>
      </w:pPr>
      <w:r>
        <w:rPr>
          <w:rFonts w:ascii="Cambria" w:hAnsi="Cambria"/>
        </w:rPr>
        <w:t>For the purpose of considering the probability of entry, the Department of Agriculture divides this step into two components:</w:t>
      </w:r>
    </w:p>
    <w:p w:rsidR="00E94405" w:rsidRDefault="00A11609">
      <w:pPr>
        <w:pStyle w:val="ListBullet"/>
        <w:tabs>
          <w:tab w:val="clear" w:pos="360"/>
          <w:tab w:val="num" w:pos="284"/>
        </w:tabs>
        <w:spacing w:line="360" w:lineRule="auto"/>
        <w:ind w:left="284" w:hanging="284"/>
        <w:rPr>
          <w:rFonts w:ascii="Cambria" w:hAnsi="Cambria"/>
        </w:rPr>
      </w:pPr>
      <w:r>
        <w:rPr>
          <w:rFonts w:ascii="Cambria" w:hAnsi="Cambria"/>
          <w:b/>
        </w:rPr>
        <w:t>Probability of importation</w:t>
      </w:r>
      <w:r>
        <w:rPr>
          <w:rFonts w:ascii="Cambria" w:hAnsi="Cambria"/>
        </w:rPr>
        <w:t>: the probability that a pest will arrive in Australia when a given commodity is imported.</w:t>
      </w:r>
    </w:p>
    <w:p w:rsidR="00E94405" w:rsidRDefault="00A11609">
      <w:pPr>
        <w:pStyle w:val="ListBullet"/>
        <w:tabs>
          <w:tab w:val="clear" w:pos="360"/>
          <w:tab w:val="num" w:pos="284"/>
        </w:tabs>
        <w:spacing w:line="360" w:lineRule="auto"/>
        <w:ind w:left="284" w:hanging="284"/>
        <w:rPr>
          <w:rFonts w:ascii="Cambria" w:hAnsi="Cambria"/>
        </w:rPr>
      </w:pPr>
      <w:r>
        <w:rPr>
          <w:rFonts w:ascii="Cambria" w:hAnsi="Cambria"/>
          <w:b/>
        </w:rPr>
        <w:t>Probability of distribution</w:t>
      </w:r>
      <w:r>
        <w:rPr>
          <w:rFonts w:ascii="Cambria" w:hAnsi="Cambria"/>
        </w:rPr>
        <w:t>: the probability that the pest will be distributed, as a result of the processing, sale or disposal of the commodity, in the PRA area and subsequently transfer to a susceptible part of a host.</w:t>
      </w:r>
    </w:p>
    <w:p w:rsidR="00E94405" w:rsidRDefault="00A11609">
      <w:pPr>
        <w:spacing w:before="200"/>
        <w:rPr>
          <w:rFonts w:ascii="Cambria" w:hAnsi="Cambria"/>
        </w:rPr>
      </w:pPr>
      <w:r>
        <w:rPr>
          <w:rFonts w:ascii="Cambria" w:hAnsi="Cambria"/>
        </w:rPr>
        <w:t>Factors considered in the probability of importation include the:</w:t>
      </w:r>
    </w:p>
    <w:p w:rsidR="00E94405" w:rsidRDefault="00A11609">
      <w:pPr>
        <w:pStyle w:val="ListBullet"/>
        <w:tabs>
          <w:tab w:val="clear" w:pos="360"/>
          <w:tab w:val="num" w:pos="284"/>
        </w:tabs>
        <w:ind w:left="284" w:hanging="284"/>
        <w:rPr>
          <w:rFonts w:ascii="Cambria" w:hAnsi="Cambria"/>
        </w:rPr>
      </w:pPr>
      <w:r>
        <w:rPr>
          <w:rFonts w:ascii="Cambria" w:hAnsi="Cambria"/>
        </w:rPr>
        <w:t>distribution and incidence of the pest in the source area</w:t>
      </w:r>
    </w:p>
    <w:p w:rsidR="00E94405" w:rsidRDefault="00A11609">
      <w:pPr>
        <w:pStyle w:val="ListBullet"/>
        <w:tabs>
          <w:tab w:val="clear" w:pos="360"/>
          <w:tab w:val="num" w:pos="284"/>
        </w:tabs>
        <w:ind w:left="284" w:hanging="284"/>
        <w:rPr>
          <w:rFonts w:ascii="Cambria" w:hAnsi="Cambria"/>
        </w:rPr>
      </w:pPr>
      <w:r>
        <w:rPr>
          <w:rFonts w:ascii="Cambria" w:hAnsi="Cambria"/>
        </w:rPr>
        <w:t>occurrence of the pest in a life-stage that would be associated with the commodity</w:t>
      </w:r>
    </w:p>
    <w:p w:rsidR="00E94405" w:rsidRDefault="00A11609">
      <w:pPr>
        <w:pStyle w:val="ListBullet"/>
        <w:tabs>
          <w:tab w:val="clear" w:pos="360"/>
          <w:tab w:val="num" w:pos="284"/>
        </w:tabs>
        <w:ind w:left="284" w:hanging="284"/>
        <w:rPr>
          <w:rFonts w:ascii="Cambria" w:hAnsi="Cambria"/>
        </w:rPr>
      </w:pPr>
      <w:r>
        <w:rPr>
          <w:rFonts w:ascii="Cambria" w:hAnsi="Cambria"/>
        </w:rPr>
        <w:t>mode of trade (for example, bulk, packed)</w:t>
      </w:r>
    </w:p>
    <w:p w:rsidR="00E94405" w:rsidRDefault="00A11609">
      <w:pPr>
        <w:pStyle w:val="ListBullet"/>
        <w:tabs>
          <w:tab w:val="clear" w:pos="360"/>
          <w:tab w:val="num" w:pos="284"/>
        </w:tabs>
        <w:ind w:left="284" w:hanging="284"/>
        <w:rPr>
          <w:rFonts w:ascii="Cambria" w:hAnsi="Cambria"/>
        </w:rPr>
      </w:pPr>
      <w:r>
        <w:rPr>
          <w:rFonts w:ascii="Cambria" w:hAnsi="Cambria"/>
        </w:rPr>
        <w:lastRenderedPageBreak/>
        <w:t>volume and frequency of movement of the commodity along each pathway</w:t>
      </w:r>
    </w:p>
    <w:p w:rsidR="00E94405" w:rsidRDefault="00A11609">
      <w:pPr>
        <w:pStyle w:val="ListBullet"/>
        <w:tabs>
          <w:tab w:val="clear" w:pos="360"/>
          <w:tab w:val="num" w:pos="284"/>
        </w:tabs>
        <w:ind w:left="284" w:hanging="284"/>
        <w:rPr>
          <w:rFonts w:ascii="Cambria" w:hAnsi="Cambria"/>
        </w:rPr>
      </w:pPr>
      <w:r>
        <w:rPr>
          <w:rFonts w:ascii="Cambria" w:hAnsi="Cambria"/>
        </w:rPr>
        <w:t>seasonal timing of imports</w:t>
      </w:r>
    </w:p>
    <w:p w:rsidR="00E94405" w:rsidRDefault="00A11609">
      <w:pPr>
        <w:pStyle w:val="ListBullet"/>
        <w:tabs>
          <w:tab w:val="clear" w:pos="360"/>
          <w:tab w:val="num" w:pos="284"/>
        </w:tabs>
        <w:ind w:left="284" w:hanging="284"/>
        <w:rPr>
          <w:rFonts w:ascii="Cambria" w:hAnsi="Cambria"/>
        </w:rPr>
      </w:pPr>
      <w:r>
        <w:rPr>
          <w:rFonts w:ascii="Cambria" w:hAnsi="Cambria"/>
        </w:rPr>
        <w:t>pest management, cultural and commercial procedures applied at the place of origin</w:t>
      </w:r>
    </w:p>
    <w:p w:rsidR="00E94405" w:rsidRDefault="00A11609">
      <w:pPr>
        <w:pStyle w:val="ListBullet"/>
        <w:tabs>
          <w:tab w:val="clear" w:pos="360"/>
          <w:tab w:val="num" w:pos="284"/>
        </w:tabs>
        <w:ind w:left="284" w:hanging="284"/>
        <w:rPr>
          <w:rFonts w:ascii="Cambria" w:hAnsi="Cambria"/>
        </w:rPr>
      </w:pPr>
      <w:r>
        <w:rPr>
          <w:rFonts w:ascii="Cambria" w:hAnsi="Cambria"/>
        </w:rPr>
        <w:t>speed of transport and conditions of storage compared with the duration of the lifecycle of the pest</w:t>
      </w:r>
    </w:p>
    <w:p w:rsidR="00E94405" w:rsidRDefault="00A11609">
      <w:pPr>
        <w:pStyle w:val="ListBullet"/>
        <w:tabs>
          <w:tab w:val="clear" w:pos="360"/>
          <w:tab w:val="num" w:pos="284"/>
        </w:tabs>
        <w:ind w:left="284" w:hanging="284"/>
        <w:rPr>
          <w:rFonts w:ascii="Cambria" w:hAnsi="Cambria"/>
        </w:rPr>
      </w:pPr>
      <w:r>
        <w:rPr>
          <w:rFonts w:ascii="Cambria" w:hAnsi="Cambria"/>
        </w:rPr>
        <w:t>vulnerability of the life-stages of the pest during transport or storage</w:t>
      </w:r>
    </w:p>
    <w:p w:rsidR="00E94405" w:rsidRDefault="00A11609">
      <w:pPr>
        <w:pStyle w:val="ListBullet"/>
        <w:tabs>
          <w:tab w:val="clear" w:pos="360"/>
          <w:tab w:val="num" w:pos="284"/>
        </w:tabs>
        <w:ind w:left="284" w:hanging="284"/>
        <w:rPr>
          <w:rFonts w:ascii="Cambria" w:hAnsi="Cambria"/>
        </w:rPr>
      </w:pPr>
      <w:r>
        <w:rPr>
          <w:rFonts w:ascii="Cambria" w:hAnsi="Cambria"/>
        </w:rPr>
        <w:t>incidence of the pest likely to be associated with a consignment</w:t>
      </w:r>
    </w:p>
    <w:p w:rsidR="00E94405" w:rsidRDefault="00A11609">
      <w:pPr>
        <w:pStyle w:val="ListBullet"/>
        <w:tabs>
          <w:tab w:val="clear" w:pos="360"/>
          <w:tab w:val="num" w:pos="284"/>
        </w:tabs>
        <w:ind w:left="284" w:hanging="284"/>
        <w:rPr>
          <w:rFonts w:ascii="Cambria" w:hAnsi="Cambria"/>
        </w:rPr>
      </w:pPr>
      <w:r>
        <w:rPr>
          <w:rFonts w:ascii="Cambria" w:hAnsi="Cambria"/>
        </w:rPr>
        <w:t>commercial procedures (for example, refrigeration) applied to consignments during transport and storage in the country of origin, and during transport to Australia.</w:t>
      </w:r>
    </w:p>
    <w:p w:rsidR="00E94405" w:rsidRDefault="00A11609">
      <w:pPr>
        <w:spacing w:before="200"/>
        <w:rPr>
          <w:rFonts w:ascii="Cambria" w:hAnsi="Cambria"/>
        </w:rPr>
      </w:pPr>
      <w:r>
        <w:rPr>
          <w:rFonts w:ascii="Cambria" w:hAnsi="Cambria"/>
        </w:rPr>
        <w:t>Factors considered in the probability of distribution include the:</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commercial procedures (for example, refrigeration) applied to consignments during distribution in Australia</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dispersal mechanisms of the pest, including vectors, to allow movement from the pathway to a host</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whether the imported commodity is to be sent to a few or many destination points in the PRA area</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proximity of entry, transit and destination points to hosts</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time of year at which importation takes place</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intended use of the commodity (for planting, processing or consumption)</w:t>
      </w:r>
    </w:p>
    <w:p w:rsidR="00E94405" w:rsidRDefault="00A11609">
      <w:pPr>
        <w:pStyle w:val="ListBullet"/>
        <w:tabs>
          <w:tab w:val="clear" w:pos="360"/>
          <w:tab w:val="num" w:pos="284"/>
        </w:tabs>
        <w:spacing w:line="264" w:lineRule="auto"/>
        <w:ind w:left="284" w:hanging="284"/>
        <w:rPr>
          <w:rFonts w:ascii="Cambria" w:hAnsi="Cambria"/>
        </w:rPr>
      </w:pPr>
      <w:r>
        <w:rPr>
          <w:rFonts w:ascii="Cambria" w:hAnsi="Cambria"/>
        </w:rPr>
        <w:t>risks from by-products and waste.</w:t>
      </w:r>
    </w:p>
    <w:p w:rsidR="00E94405" w:rsidRDefault="00A11609">
      <w:pPr>
        <w:pStyle w:val="Heading4"/>
        <w:spacing w:before="120" w:after="120"/>
      </w:pPr>
      <w:r>
        <w:t>Probability of establishment</w:t>
      </w:r>
    </w:p>
    <w:p w:rsidR="00E94405" w:rsidRDefault="00A11609">
      <w:pPr>
        <w:spacing w:before="120"/>
        <w:rPr>
          <w:rFonts w:ascii="Cambria" w:hAnsi="Cambria"/>
        </w:rPr>
      </w:pPr>
      <w:r>
        <w:rPr>
          <w:rFonts w:ascii="Cambria" w:hAnsi="Cambria"/>
        </w:rPr>
        <w:t>Establishment is defined as the ‘perpetuation for the foreseeable future, of a pest within an area after entry’ (FAO 2013a). In order to estimate the probability of establishment of a pest, reliable biological information (lifecycle, host range, epidemiology, and survival) is obtained from the areas where the pest currently occurs. The situation in the PRA area can then be compared with that in the areas where it currently occurs and expert judgement used to assess the probability of establishment.</w:t>
      </w:r>
    </w:p>
    <w:p w:rsidR="00E94405" w:rsidRDefault="00A11609">
      <w:pPr>
        <w:spacing w:before="200"/>
        <w:rPr>
          <w:rFonts w:ascii="Cambria" w:hAnsi="Cambria"/>
        </w:rPr>
      </w:pPr>
      <w:r>
        <w:rPr>
          <w:rFonts w:ascii="Cambria" w:hAnsi="Cambria"/>
        </w:rPr>
        <w:t>Factors considered in the probability of establishment in the PRA area include the:</w:t>
      </w:r>
    </w:p>
    <w:p w:rsidR="00E94405" w:rsidRDefault="00A11609">
      <w:pPr>
        <w:pStyle w:val="ListBullet"/>
        <w:tabs>
          <w:tab w:val="clear" w:pos="360"/>
          <w:tab w:val="num" w:pos="284"/>
        </w:tabs>
        <w:ind w:left="284" w:hanging="284"/>
        <w:rPr>
          <w:rFonts w:ascii="Cambria" w:hAnsi="Cambria"/>
        </w:rPr>
      </w:pPr>
      <w:r>
        <w:rPr>
          <w:rFonts w:ascii="Cambria" w:hAnsi="Cambria"/>
        </w:rPr>
        <w:t>availability of hosts, alternative hosts and vectors</w:t>
      </w:r>
    </w:p>
    <w:p w:rsidR="00E94405" w:rsidRDefault="00A11609">
      <w:pPr>
        <w:pStyle w:val="ListBullet"/>
        <w:tabs>
          <w:tab w:val="clear" w:pos="360"/>
          <w:tab w:val="num" w:pos="284"/>
        </w:tabs>
        <w:ind w:left="284" w:hanging="284"/>
        <w:rPr>
          <w:rFonts w:ascii="Cambria" w:hAnsi="Cambria"/>
        </w:rPr>
      </w:pPr>
      <w:r>
        <w:rPr>
          <w:rFonts w:ascii="Cambria" w:hAnsi="Cambria"/>
        </w:rPr>
        <w:t>suitability of the environment</w:t>
      </w:r>
    </w:p>
    <w:p w:rsidR="00E94405" w:rsidRDefault="00A11609">
      <w:pPr>
        <w:pStyle w:val="ListBullet"/>
        <w:tabs>
          <w:tab w:val="clear" w:pos="360"/>
          <w:tab w:val="num" w:pos="284"/>
        </w:tabs>
        <w:ind w:left="284" w:hanging="284"/>
        <w:rPr>
          <w:rFonts w:ascii="Cambria" w:hAnsi="Cambria"/>
        </w:rPr>
      </w:pPr>
      <w:r>
        <w:rPr>
          <w:rFonts w:ascii="Cambria" w:hAnsi="Cambria"/>
        </w:rPr>
        <w:t>reproductive strategy and potential for adaptation</w:t>
      </w:r>
    </w:p>
    <w:p w:rsidR="00E94405" w:rsidRDefault="00A11609">
      <w:pPr>
        <w:pStyle w:val="ListBullet"/>
        <w:tabs>
          <w:tab w:val="clear" w:pos="360"/>
          <w:tab w:val="num" w:pos="284"/>
        </w:tabs>
        <w:ind w:left="284" w:hanging="284"/>
        <w:rPr>
          <w:rFonts w:ascii="Cambria" w:hAnsi="Cambria"/>
        </w:rPr>
      </w:pPr>
      <w:r>
        <w:rPr>
          <w:rFonts w:ascii="Cambria" w:hAnsi="Cambria"/>
        </w:rPr>
        <w:t>minimum population needed for establishment</w:t>
      </w:r>
    </w:p>
    <w:p w:rsidR="00E94405" w:rsidRDefault="00A11609" w:rsidP="00667FFD">
      <w:pPr>
        <w:pStyle w:val="ListBullet"/>
        <w:tabs>
          <w:tab w:val="clear" w:pos="360"/>
          <w:tab w:val="num" w:pos="284"/>
        </w:tabs>
        <w:spacing w:afterLines="120"/>
        <w:ind w:left="284" w:hanging="284"/>
        <w:rPr>
          <w:rFonts w:ascii="Cambria" w:hAnsi="Cambria"/>
        </w:rPr>
      </w:pPr>
      <w:r>
        <w:rPr>
          <w:rFonts w:ascii="Cambria" w:hAnsi="Cambria"/>
        </w:rPr>
        <w:t>cultural practices and control measures.</w:t>
      </w:r>
    </w:p>
    <w:p w:rsidR="00E94405" w:rsidRDefault="00A11609">
      <w:pPr>
        <w:pStyle w:val="Heading4"/>
        <w:spacing w:before="120" w:after="120"/>
      </w:pPr>
      <w:r>
        <w:lastRenderedPageBreak/>
        <w:t>Probability of spread</w:t>
      </w:r>
    </w:p>
    <w:p w:rsidR="00E94405" w:rsidRDefault="00A11609">
      <w:pPr>
        <w:spacing w:before="120" w:after="120"/>
        <w:rPr>
          <w:rFonts w:ascii="Cambria" w:hAnsi="Cambria"/>
        </w:rPr>
      </w:pPr>
      <w:r>
        <w:rPr>
          <w:rFonts w:ascii="Cambria" w:hAnsi="Cambria"/>
        </w:rPr>
        <w:t>Spread is defined as ‘the expansion of the geographical distribution of a pest within an area’ (FAO 2013a). The probability of spread considers the factors relevant to the movement of the pest, after establishment on a host plant or plants, to other susceptible host plants of the same or different species in other areas. In order to estimate the probability of spread of the pest, reliable biological information is obtained from areas where the pest currently occurs. The situation in the PRA area is then carefully compared with that in the areas where the pest currently occurs and expert judgement used to assess the probability of spread.</w:t>
      </w:r>
    </w:p>
    <w:p w:rsidR="00E94405" w:rsidRDefault="00A11609">
      <w:pPr>
        <w:spacing w:before="200"/>
        <w:rPr>
          <w:rFonts w:ascii="Cambria" w:hAnsi="Cambria"/>
        </w:rPr>
      </w:pPr>
      <w:r>
        <w:rPr>
          <w:rFonts w:ascii="Cambria" w:hAnsi="Cambria"/>
        </w:rPr>
        <w:t>Factors considered in the probability of spread include the:</w:t>
      </w:r>
    </w:p>
    <w:p w:rsidR="00E94405" w:rsidRDefault="00A11609">
      <w:pPr>
        <w:pStyle w:val="ListBullet"/>
        <w:tabs>
          <w:tab w:val="clear" w:pos="360"/>
          <w:tab w:val="num" w:pos="284"/>
        </w:tabs>
        <w:ind w:left="284" w:hanging="284"/>
        <w:rPr>
          <w:rFonts w:ascii="Cambria" w:hAnsi="Cambria"/>
        </w:rPr>
      </w:pPr>
      <w:r>
        <w:rPr>
          <w:rFonts w:ascii="Cambria" w:hAnsi="Cambria"/>
        </w:rPr>
        <w:t>suitability of the natural and/or managed environment for natural spread of the pest</w:t>
      </w:r>
    </w:p>
    <w:p w:rsidR="00E94405" w:rsidRDefault="00A11609">
      <w:pPr>
        <w:pStyle w:val="ListBullet"/>
        <w:tabs>
          <w:tab w:val="clear" w:pos="360"/>
          <w:tab w:val="num" w:pos="284"/>
        </w:tabs>
        <w:ind w:left="284" w:hanging="284"/>
        <w:rPr>
          <w:rFonts w:ascii="Cambria" w:hAnsi="Cambria"/>
        </w:rPr>
      </w:pPr>
      <w:r>
        <w:rPr>
          <w:rFonts w:ascii="Cambria" w:hAnsi="Cambria"/>
        </w:rPr>
        <w:t>presence of natural barriers</w:t>
      </w:r>
    </w:p>
    <w:p w:rsidR="00E94405" w:rsidRDefault="00A11609">
      <w:pPr>
        <w:pStyle w:val="ListBullet"/>
        <w:tabs>
          <w:tab w:val="clear" w:pos="360"/>
          <w:tab w:val="num" w:pos="284"/>
        </w:tabs>
        <w:ind w:left="284" w:hanging="284"/>
        <w:rPr>
          <w:rFonts w:ascii="Cambria" w:hAnsi="Cambria"/>
        </w:rPr>
      </w:pPr>
      <w:r>
        <w:rPr>
          <w:rFonts w:ascii="Cambria" w:hAnsi="Cambria"/>
        </w:rPr>
        <w:t>potential for movement with commodities, conveyances or by vectors</w:t>
      </w:r>
    </w:p>
    <w:p w:rsidR="00E94405" w:rsidRDefault="00A11609">
      <w:pPr>
        <w:pStyle w:val="ListBullet"/>
        <w:tabs>
          <w:tab w:val="clear" w:pos="360"/>
          <w:tab w:val="num" w:pos="284"/>
        </w:tabs>
        <w:ind w:left="284" w:hanging="284"/>
        <w:rPr>
          <w:rFonts w:ascii="Cambria" w:hAnsi="Cambria"/>
        </w:rPr>
      </w:pPr>
      <w:r>
        <w:rPr>
          <w:rFonts w:ascii="Cambria" w:hAnsi="Cambria"/>
        </w:rPr>
        <w:t>intended use of the commodity</w:t>
      </w:r>
    </w:p>
    <w:p w:rsidR="00E94405" w:rsidRDefault="00A11609">
      <w:pPr>
        <w:pStyle w:val="ListBullet"/>
        <w:tabs>
          <w:tab w:val="clear" w:pos="360"/>
          <w:tab w:val="num" w:pos="284"/>
        </w:tabs>
        <w:ind w:left="284" w:hanging="284"/>
        <w:rPr>
          <w:rFonts w:ascii="Cambria" w:hAnsi="Cambria"/>
        </w:rPr>
      </w:pPr>
      <w:r>
        <w:rPr>
          <w:rFonts w:ascii="Cambria" w:hAnsi="Cambria"/>
        </w:rPr>
        <w:t>potential vectors of the pest in the PRA area.</w:t>
      </w:r>
    </w:p>
    <w:p w:rsidR="00E94405" w:rsidRDefault="00A11609">
      <w:pPr>
        <w:pStyle w:val="Heading5"/>
        <w:spacing w:before="120"/>
      </w:pPr>
      <w:r>
        <w:t>Assigning qualitative likelihoods for entry, establishment and spread</w:t>
      </w:r>
    </w:p>
    <w:p w:rsidR="00E94405" w:rsidRDefault="00A11609">
      <w:pPr>
        <w:spacing w:before="200"/>
        <w:rPr>
          <w:rFonts w:ascii="Cambria" w:hAnsi="Cambria"/>
        </w:rPr>
      </w:pPr>
      <w:r>
        <w:rPr>
          <w:rFonts w:ascii="Cambria" w:hAnsi="Cambria"/>
        </w:rPr>
        <w:t>In its qualitative PRAs, the Department of Agriculture uses the term ‘likelihood’ for the descriptors it uses for its estimates of probability of entry, establishment and spread. Qualitative likelihoods are assigned to each step of entry, establishment and spread. Six descriptors are used: high; moderate; low; very low; extremely low; and negligible (Table 2). Descriptive definitions for these descriptors and their indicative probability ranges are given in Table 2. The indicative probability ranges are only provided to illustrate the boundaries of the descriptors and are not used beyond this purpose in qualitative PRAs. These indicative probability ranges provide guidance to the risk analyst and promotes consistency between different pest risk assessments.</w:t>
      </w:r>
    </w:p>
    <w:p w:rsidR="00E94405" w:rsidRDefault="00A11609">
      <w:pPr>
        <w:pStyle w:val="Caption"/>
        <w:rPr>
          <w:rFonts w:asciiTheme="majorHAnsi" w:eastAsiaTheme="majorEastAsia" w:hAnsiTheme="majorHAnsi" w:cstheme="majorBidi"/>
          <w:color w:val="595959" w:themeColor="text1" w:themeTint="A6"/>
          <w:sz w:val="20"/>
        </w:rPr>
      </w:pPr>
      <w:bookmarkStart w:id="47" w:name="_Toc384197744"/>
      <w:bookmarkStart w:id="48" w:name="_Toc384209832"/>
      <w:bookmarkStart w:id="49" w:name="_Toc384275076"/>
      <w:bookmarkStart w:id="50" w:name="_Toc388949917"/>
      <w:bookmarkStart w:id="51" w:name="_Toc414019469"/>
      <w:r>
        <w:rPr>
          <w:rFonts w:asciiTheme="majorHAnsi" w:eastAsiaTheme="majorEastAsia" w:hAnsiTheme="majorHAnsi" w:cstheme="majorBidi"/>
          <w:color w:val="595959" w:themeColor="text1" w:themeTint="A6"/>
          <w:sz w:val="20"/>
        </w:rPr>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2</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Nomenclature of qualitative likelihoods</w:t>
      </w:r>
      <w:bookmarkEnd w:id="47"/>
      <w:bookmarkEnd w:id="48"/>
      <w:bookmarkEnd w:id="49"/>
      <w:bookmarkEnd w:id="50"/>
      <w:bookmarkEnd w:id="51"/>
    </w:p>
    <w:tbl>
      <w:tblPr>
        <w:tblW w:w="4809" w:type="pct"/>
        <w:tblInd w:w="108" w:type="dxa"/>
        <w:tblBorders>
          <w:top w:val="single" w:sz="4" w:space="0" w:color="auto"/>
          <w:bottom w:val="single" w:sz="4" w:space="0" w:color="auto"/>
        </w:tblBorders>
        <w:tblLook w:val="04A0"/>
      </w:tblPr>
      <w:tblGrid>
        <w:gridCol w:w="1845"/>
        <w:gridCol w:w="4239"/>
        <w:gridCol w:w="2847"/>
      </w:tblGrid>
      <w:tr w:rsidR="00E94405">
        <w:tc>
          <w:tcPr>
            <w:tcW w:w="1033" w:type="pct"/>
          </w:tcPr>
          <w:p w:rsidR="00E94405" w:rsidRDefault="00A11609">
            <w:pPr>
              <w:pStyle w:val="TableHeading"/>
              <w:rPr>
                <w:rFonts w:ascii="Cambria" w:hAnsi="Cambria"/>
              </w:rPr>
            </w:pPr>
            <w:r>
              <w:rPr>
                <w:rFonts w:ascii="Cambria" w:hAnsi="Cambria"/>
              </w:rPr>
              <w:t>Likelihood</w:t>
            </w:r>
          </w:p>
        </w:tc>
        <w:tc>
          <w:tcPr>
            <w:tcW w:w="2373" w:type="pct"/>
          </w:tcPr>
          <w:p w:rsidR="00E94405" w:rsidRDefault="00A11609">
            <w:pPr>
              <w:pStyle w:val="TableHeading"/>
              <w:rPr>
                <w:rFonts w:ascii="Cambria" w:hAnsi="Cambria"/>
              </w:rPr>
            </w:pPr>
            <w:r>
              <w:rPr>
                <w:rFonts w:ascii="Cambria" w:hAnsi="Cambria"/>
              </w:rPr>
              <w:t>Descriptive definition</w:t>
            </w:r>
          </w:p>
        </w:tc>
        <w:tc>
          <w:tcPr>
            <w:tcW w:w="1594" w:type="pct"/>
          </w:tcPr>
          <w:p w:rsidR="00E94405" w:rsidRDefault="00A11609">
            <w:pPr>
              <w:pStyle w:val="TableHeading"/>
              <w:rPr>
                <w:rFonts w:ascii="Cambria" w:hAnsi="Cambria"/>
              </w:rPr>
            </w:pPr>
            <w:r>
              <w:rPr>
                <w:rFonts w:ascii="Cambria" w:hAnsi="Cambria"/>
              </w:rPr>
              <w:t>Indicative probability (P) range</w:t>
            </w:r>
          </w:p>
        </w:tc>
      </w:tr>
      <w:tr w:rsidR="00E94405">
        <w:tc>
          <w:tcPr>
            <w:tcW w:w="1033" w:type="pct"/>
          </w:tcPr>
          <w:p w:rsidR="00E94405" w:rsidRDefault="00A11609">
            <w:pPr>
              <w:pStyle w:val="TableText"/>
              <w:rPr>
                <w:rFonts w:ascii="Cambria" w:hAnsi="Cambria"/>
              </w:rPr>
            </w:pPr>
            <w:r>
              <w:rPr>
                <w:rFonts w:ascii="Cambria" w:hAnsi="Cambria"/>
              </w:rPr>
              <w:t>High</w:t>
            </w:r>
          </w:p>
        </w:tc>
        <w:tc>
          <w:tcPr>
            <w:tcW w:w="2373" w:type="pct"/>
          </w:tcPr>
          <w:p w:rsidR="00E94405" w:rsidRDefault="00A11609">
            <w:pPr>
              <w:pStyle w:val="TableText"/>
              <w:rPr>
                <w:rFonts w:ascii="Cambria" w:hAnsi="Cambria"/>
              </w:rPr>
            </w:pPr>
            <w:r>
              <w:rPr>
                <w:rFonts w:ascii="Cambria" w:hAnsi="Cambria"/>
              </w:rPr>
              <w:t>The event would be very likely to occur</w:t>
            </w:r>
          </w:p>
        </w:tc>
        <w:tc>
          <w:tcPr>
            <w:tcW w:w="1594" w:type="pct"/>
          </w:tcPr>
          <w:p w:rsidR="00E94405" w:rsidRDefault="00A11609">
            <w:pPr>
              <w:pStyle w:val="TableText"/>
              <w:rPr>
                <w:rFonts w:ascii="Cambria" w:hAnsi="Cambria"/>
              </w:rPr>
            </w:pPr>
            <w:r>
              <w:rPr>
                <w:rFonts w:ascii="Cambria" w:hAnsi="Cambria"/>
              </w:rPr>
              <w:t>0.7 &lt; P ≤ 1</w:t>
            </w:r>
          </w:p>
        </w:tc>
      </w:tr>
      <w:tr w:rsidR="00E94405">
        <w:tc>
          <w:tcPr>
            <w:tcW w:w="1033" w:type="pct"/>
          </w:tcPr>
          <w:p w:rsidR="00E94405" w:rsidRDefault="00A11609">
            <w:pPr>
              <w:pStyle w:val="TableText"/>
              <w:rPr>
                <w:rFonts w:ascii="Cambria" w:hAnsi="Cambria"/>
              </w:rPr>
            </w:pPr>
            <w:r>
              <w:rPr>
                <w:rFonts w:ascii="Cambria" w:hAnsi="Cambria"/>
              </w:rPr>
              <w:t>Moderate</w:t>
            </w:r>
          </w:p>
        </w:tc>
        <w:tc>
          <w:tcPr>
            <w:tcW w:w="2373" w:type="pct"/>
          </w:tcPr>
          <w:p w:rsidR="00E94405" w:rsidRDefault="00A11609">
            <w:pPr>
              <w:pStyle w:val="TableText"/>
              <w:rPr>
                <w:rFonts w:ascii="Cambria" w:hAnsi="Cambria"/>
              </w:rPr>
            </w:pPr>
            <w:r>
              <w:rPr>
                <w:rFonts w:ascii="Cambria" w:hAnsi="Cambria"/>
              </w:rPr>
              <w:t>The event would occur with an even probability</w:t>
            </w:r>
          </w:p>
        </w:tc>
        <w:tc>
          <w:tcPr>
            <w:tcW w:w="1594" w:type="pct"/>
          </w:tcPr>
          <w:p w:rsidR="00E94405" w:rsidRDefault="00A11609">
            <w:pPr>
              <w:pStyle w:val="TableText"/>
              <w:rPr>
                <w:rFonts w:ascii="Cambria" w:hAnsi="Cambria"/>
              </w:rPr>
            </w:pPr>
            <w:r>
              <w:rPr>
                <w:rFonts w:ascii="Cambria" w:hAnsi="Cambria"/>
              </w:rPr>
              <w:t>0.3 &lt; P ≤ 0.7</w:t>
            </w:r>
          </w:p>
        </w:tc>
      </w:tr>
      <w:tr w:rsidR="00E94405">
        <w:tc>
          <w:tcPr>
            <w:tcW w:w="1033" w:type="pct"/>
          </w:tcPr>
          <w:p w:rsidR="00E94405" w:rsidRDefault="00A11609">
            <w:pPr>
              <w:pStyle w:val="TableText"/>
              <w:rPr>
                <w:rFonts w:ascii="Cambria" w:hAnsi="Cambria"/>
              </w:rPr>
            </w:pPr>
            <w:r>
              <w:rPr>
                <w:rFonts w:ascii="Cambria" w:hAnsi="Cambria"/>
              </w:rPr>
              <w:t>Low</w:t>
            </w:r>
          </w:p>
        </w:tc>
        <w:tc>
          <w:tcPr>
            <w:tcW w:w="2373" w:type="pct"/>
          </w:tcPr>
          <w:p w:rsidR="00E94405" w:rsidRDefault="00A11609">
            <w:pPr>
              <w:pStyle w:val="TableText"/>
              <w:rPr>
                <w:rFonts w:ascii="Cambria" w:hAnsi="Cambria"/>
              </w:rPr>
            </w:pPr>
            <w:r>
              <w:rPr>
                <w:rFonts w:ascii="Cambria" w:hAnsi="Cambria"/>
              </w:rPr>
              <w:t>The event would be unlikely to occur</w:t>
            </w:r>
          </w:p>
        </w:tc>
        <w:tc>
          <w:tcPr>
            <w:tcW w:w="1594" w:type="pct"/>
          </w:tcPr>
          <w:p w:rsidR="00E94405" w:rsidRDefault="00A11609">
            <w:pPr>
              <w:pStyle w:val="TableText"/>
              <w:rPr>
                <w:rFonts w:ascii="Cambria" w:hAnsi="Cambria"/>
              </w:rPr>
            </w:pPr>
            <w:r>
              <w:rPr>
                <w:rFonts w:ascii="Cambria" w:hAnsi="Cambria"/>
              </w:rPr>
              <w:t>0.05 &lt; P ≤ 0.3</w:t>
            </w:r>
          </w:p>
        </w:tc>
      </w:tr>
      <w:tr w:rsidR="00E94405">
        <w:tc>
          <w:tcPr>
            <w:tcW w:w="1033" w:type="pct"/>
          </w:tcPr>
          <w:p w:rsidR="00E94405" w:rsidRDefault="00A11609">
            <w:pPr>
              <w:pStyle w:val="TableText"/>
              <w:rPr>
                <w:rFonts w:ascii="Cambria" w:hAnsi="Cambria"/>
              </w:rPr>
            </w:pPr>
            <w:r>
              <w:rPr>
                <w:rFonts w:ascii="Cambria" w:hAnsi="Cambria"/>
              </w:rPr>
              <w:t>Very low</w:t>
            </w:r>
          </w:p>
        </w:tc>
        <w:tc>
          <w:tcPr>
            <w:tcW w:w="2373" w:type="pct"/>
          </w:tcPr>
          <w:p w:rsidR="00E94405" w:rsidRDefault="00A11609">
            <w:pPr>
              <w:pStyle w:val="TableText"/>
              <w:rPr>
                <w:rFonts w:ascii="Cambria" w:hAnsi="Cambria"/>
              </w:rPr>
            </w:pPr>
            <w:r>
              <w:rPr>
                <w:rFonts w:ascii="Cambria" w:hAnsi="Cambria"/>
              </w:rPr>
              <w:t>The event would be very unlikely to occur</w:t>
            </w:r>
          </w:p>
        </w:tc>
        <w:tc>
          <w:tcPr>
            <w:tcW w:w="1594" w:type="pct"/>
          </w:tcPr>
          <w:p w:rsidR="00E94405" w:rsidRDefault="00A11609">
            <w:pPr>
              <w:pStyle w:val="TableText"/>
              <w:rPr>
                <w:rFonts w:ascii="Cambria" w:hAnsi="Cambria"/>
              </w:rPr>
            </w:pPr>
            <w:r>
              <w:rPr>
                <w:rFonts w:ascii="Cambria" w:hAnsi="Cambria"/>
              </w:rPr>
              <w:t>0.001 &lt; P ≤ 0.05</w:t>
            </w:r>
          </w:p>
        </w:tc>
      </w:tr>
      <w:tr w:rsidR="00E94405">
        <w:tc>
          <w:tcPr>
            <w:tcW w:w="1033" w:type="pct"/>
          </w:tcPr>
          <w:p w:rsidR="00E94405" w:rsidRDefault="00A11609">
            <w:pPr>
              <w:pStyle w:val="TableText"/>
              <w:rPr>
                <w:rFonts w:ascii="Cambria" w:hAnsi="Cambria"/>
              </w:rPr>
            </w:pPr>
            <w:r>
              <w:rPr>
                <w:rFonts w:ascii="Cambria" w:hAnsi="Cambria"/>
              </w:rPr>
              <w:t>Extremely low</w:t>
            </w:r>
          </w:p>
        </w:tc>
        <w:tc>
          <w:tcPr>
            <w:tcW w:w="2373" w:type="pct"/>
          </w:tcPr>
          <w:p w:rsidR="00E94405" w:rsidRDefault="00A11609">
            <w:pPr>
              <w:pStyle w:val="TableText"/>
              <w:rPr>
                <w:rFonts w:ascii="Cambria" w:hAnsi="Cambria"/>
              </w:rPr>
            </w:pPr>
            <w:r>
              <w:rPr>
                <w:rFonts w:ascii="Cambria" w:hAnsi="Cambria"/>
              </w:rPr>
              <w:t>The event would be extremely unlikely to occur</w:t>
            </w:r>
          </w:p>
        </w:tc>
        <w:tc>
          <w:tcPr>
            <w:tcW w:w="1594" w:type="pct"/>
          </w:tcPr>
          <w:p w:rsidR="00E94405" w:rsidRDefault="00A11609">
            <w:pPr>
              <w:pStyle w:val="TableText"/>
              <w:rPr>
                <w:rFonts w:ascii="Cambria" w:hAnsi="Cambria"/>
              </w:rPr>
            </w:pPr>
            <w:r>
              <w:rPr>
                <w:rFonts w:ascii="Cambria" w:hAnsi="Cambria"/>
              </w:rPr>
              <w:t>0.000001 &lt; P ≤ 0.001</w:t>
            </w:r>
          </w:p>
        </w:tc>
      </w:tr>
      <w:tr w:rsidR="00E94405">
        <w:tc>
          <w:tcPr>
            <w:tcW w:w="1033" w:type="pct"/>
          </w:tcPr>
          <w:p w:rsidR="00E94405" w:rsidRDefault="00A11609">
            <w:pPr>
              <w:pStyle w:val="TableText"/>
              <w:rPr>
                <w:rFonts w:ascii="Cambria" w:hAnsi="Cambria"/>
              </w:rPr>
            </w:pPr>
            <w:r>
              <w:rPr>
                <w:rFonts w:ascii="Cambria" w:hAnsi="Cambria"/>
              </w:rPr>
              <w:t>Negligible</w:t>
            </w:r>
          </w:p>
        </w:tc>
        <w:tc>
          <w:tcPr>
            <w:tcW w:w="2373" w:type="pct"/>
          </w:tcPr>
          <w:p w:rsidR="00E94405" w:rsidRDefault="00A11609">
            <w:pPr>
              <w:pStyle w:val="TableText"/>
              <w:rPr>
                <w:rFonts w:ascii="Cambria" w:hAnsi="Cambria"/>
              </w:rPr>
            </w:pPr>
            <w:r>
              <w:rPr>
                <w:rFonts w:ascii="Cambria" w:hAnsi="Cambria"/>
              </w:rPr>
              <w:t>The event would almost certainly not occur</w:t>
            </w:r>
          </w:p>
        </w:tc>
        <w:tc>
          <w:tcPr>
            <w:tcW w:w="1594" w:type="pct"/>
          </w:tcPr>
          <w:p w:rsidR="00E94405" w:rsidRDefault="00A11609">
            <w:pPr>
              <w:pStyle w:val="TableText"/>
              <w:rPr>
                <w:rFonts w:ascii="Cambria" w:hAnsi="Cambria"/>
              </w:rPr>
            </w:pPr>
            <w:r>
              <w:rPr>
                <w:rFonts w:ascii="Cambria" w:hAnsi="Cambria"/>
              </w:rPr>
              <w:t>0 &lt; P ≤ 0.000001</w:t>
            </w:r>
          </w:p>
        </w:tc>
      </w:tr>
    </w:tbl>
    <w:p w:rsidR="00E94405" w:rsidRDefault="00A11609">
      <w:pPr>
        <w:spacing w:before="200"/>
        <w:rPr>
          <w:rFonts w:ascii="Cambria" w:hAnsi="Cambria"/>
        </w:rPr>
      </w:pPr>
      <w:r>
        <w:rPr>
          <w:rFonts w:ascii="Cambria" w:hAnsi="Cambria"/>
        </w:rPr>
        <w:t>The likelihood of entry is determined by combining the likelihood that the pest will be imported into the PRA area and the likelihood that the pest will be distributed within the PRA area, using a matrix of rules (Table 3). This matrix is then used to combine the likelihood of entry and the likelihood of establishment, and then the likelihood of entry and establishment is combined with the likelihood of spread to determine the overall likelihood of entry, establishment and spread.</w:t>
      </w:r>
    </w:p>
    <w:p w:rsidR="00E94405" w:rsidRDefault="00E94405">
      <w:pPr>
        <w:spacing w:before="200"/>
        <w:rPr>
          <w:rFonts w:ascii="Cambria" w:hAnsi="Cambria"/>
        </w:rPr>
      </w:pPr>
    </w:p>
    <w:p w:rsidR="00E94405" w:rsidRDefault="00A11609">
      <w:pPr>
        <w:pStyle w:val="Caption"/>
        <w:keepNext w:val="0"/>
        <w:rPr>
          <w:rFonts w:asciiTheme="majorHAnsi" w:eastAsiaTheme="majorEastAsia" w:hAnsiTheme="majorHAnsi" w:cstheme="majorBidi"/>
          <w:color w:val="595959" w:themeColor="text1" w:themeTint="A6"/>
          <w:sz w:val="20"/>
        </w:rPr>
      </w:pPr>
      <w:bookmarkStart w:id="52" w:name="_Toc384197745"/>
      <w:bookmarkStart w:id="53" w:name="_Toc384209833"/>
      <w:bookmarkStart w:id="54" w:name="_Toc384275077"/>
      <w:bookmarkStart w:id="55" w:name="_Toc388949918"/>
      <w:bookmarkStart w:id="56" w:name="_Toc414019470"/>
      <w:r>
        <w:rPr>
          <w:rFonts w:asciiTheme="majorHAnsi" w:eastAsiaTheme="majorEastAsia" w:hAnsiTheme="majorHAnsi" w:cstheme="majorBidi"/>
          <w:color w:val="595959" w:themeColor="text1" w:themeTint="A6"/>
          <w:sz w:val="20"/>
        </w:rPr>
        <w:lastRenderedPageBreak/>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3</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Matrix of rules for combining qualitative likelihoods</w:t>
      </w:r>
      <w:bookmarkEnd w:id="52"/>
      <w:bookmarkEnd w:id="53"/>
      <w:bookmarkEnd w:id="54"/>
      <w:bookmarkEnd w:id="55"/>
      <w:bookmarkEnd w:id="56"/>
    </w:p>
    <w:tbl>
      <w:tblPr>
        <w:tblW w:w="4802" w:type="pct"/>
        <w:tblInd w:w="115" w:type="dxa"/>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tblPr>
      <w:tblGrid>
        <w:gridCol w:w="932"/>
        <w:gridCol w:w="1377"/>
        <w:gridCol w:w="1377"/>
        <w:gridCol w:w="1376"/>
        <w:gridCol w:w="1376"/>
        <w:gridCol w:w="1379"/>
        <w:gridCol w:w="1115"/>
      </w:tblGrid>
      <w:tr w:rsidR="00E94405">
        <w:trPr>
          <w:cantSplit/>
        </w:trPr>
        <w:tc>
          <w:tcPr>
            <w:tcW w:w="522" w:type="pct"/>
            <w:tcBorders>
              <w:top w:val="single" w:sz="4" w:space="0" w:color="auto"/>
              <w:left w:val="single" w:sz="4" w:space="0" w:color="auto"/>
              <w:bottom w:val="nil"/>
              <w:right w:val="nil"/>
              <w:tl2br w:val="single" w:sz="4" w:space="0" w:color="C0C0C0"/>
            </w:tcBorders>
            <w:shd w:val="clear" w:color="auto" w:fill="auto"/>
          </w:tcPr>
          <w:p w:rsidR="00E94405" w:rsidRDefault="00E94405">
            <w:pPr>
              <w:pStyle w:val="TableText"/>
            </w:pPr>
          </w:p>
        </w:tc>
        <w:tc>
          <w:tcPr>
            <w:tcW w:w="770" w:type="pct"/>
            <w:tcBorders>
              <w:top w:val="single" w:sz="4" w:space="0" w:color="auto"/>
              <w:left w:val="nil"/>
              <w:bottom w:val="single" w:sz="8" w:space="0" w:color="C0C0C0"/>
            </w:tcBorders>
            <w:shd w:val="clear" w:color="auto" w:fill="auto"/>
          </w:tcPr>
          <w:p w:rsidR="00E94405" w:rsidRDefault="00A11609">
            <w:pPr>
              <w:pStyle w:val="TableHeading"/>
            </w:pPr>
            <w:r>
              <w:t>High</w:t>
            </w:r>
          </w:p>
        </w:tc>
        <w:tc>
          <w:tcPr>
            <w:tcW w:w="771" w:type="pct"/>
            <w:tcBorders>
              <w:top w:val="single" w:sz="4" w:space="0" w:color="auto"/>
              <w:bottom w:val="single" w:sz="8" w:space="0" w:color="C0C0C0"/>
            </w:tcBorders>
            <w:shd w:val="clear" w:color="auto" w:fill="auto"/>
          </w:tcPr>
          <w:p w:rsidR="00E94405" w:rsidRDefault="00A11609">
            <w:pPr>
              <w:pStyle w:val="TableHeading"/>
            </w:pPr>
            <w:r>
              <w:t>Moderate</w:t>
            </w:r>
          </w:p>
        </w:tc>
        <w:tc>
          <w:tcPr>
            <w:tcW w:w="770" w:type="pct"/>
            <w:tcBorders>
              <w:top w:val="single" w:sz="4" w:space="0" w:color="auto"/>
              <w:bottom w:val="single" w:sz="8" w:space="0" w:color="C0C0C0"/>
            </w:tcBorders>
            <w:shd w:val="clear" w:color="auto" w:fill="auto"/>
          </w:tcPr>
          <w:p w:rsidR="00E94405" w:rsidRDefault="00A11609">
            <w:pPr>
              <w:pStyle w:val="TableHeading"/>
            </w:pPr>
            <w:r>
              <w:t>Low</w:t>
            </w:r>
          </w:p>
        </w:tc>
        <w:tc>
          <w:tcPr>
            <w:tcW w:w="770" w:type="pct"/>
            <w:tcBorders>
              <w:top w:val="single" w:sz="4" w:space="0" w:color="auto"/>
              <w:bottom w:val="single" w:sz="8" w:space="0" w:color="C0C0C0"/>
            </w:tcBorders>
            <w:shd w:val="clear" w:color="auto" w:fill="auto"/>
          </w:tcPr>
          <w:p w:rsidR="00E94405" w:rsidRDefault="00A11609">
            <w:pPr>
              <w:pStyle w:val="TableHeading"/>
            </w:pPr>
            <w:r>
              <w:t>Very low</w:t>
            </w:r>
          </w:p>
        </w:tc>
        <w:tc>
          <w:tcPr>
            <w:tcW w:w="772" w:type="pct"/>
            <w:tcBorders>
              <w:top w:val="single" w:sz="4" w:space="0" w:color="auto"/>
              <w:bottom w:val="single" w:sz="8" w:space="0" w:color="C0C0C0"/>
            </w:tcBorders>
            <w:shd w:val="clear" w:color="auto" w:fill="auto"/>
          </w:tcPr>
          <w:p w:rsidR="00E94405" w:rsidRDefault="00A11609">
            <w:pPr>
              <w:pStyle w:val="TableHeading"/>
            </w:pPr>
            <w:r>
              <w:t>Extremely low</w:t>
            </w:r>
          </w:p>
        </w:tc>
        <w:tc>
          <w:tcPr>
            <w:tcW w:w="624" w:type="pct"/>
            <w:tcBorders>
              <w:top w:val="single" w:sz="4" w:space="0" w:color="auto"/>
              <w:bottom w:val="single" w:sz="8" w:space="0" w:color="C0C0C0"/>
              <w:right w:val="single" w:sz="4" w:space="0" w:color="auto"/>
            </w:tcBorders>
            <w:shd w:val="clear" w:color="auto" w:fill="auto"/>
          </w:tcPr>
          <w:p w:rsidR="00E94405" w:rsidRDefault="00A11609">
            <w:pPr>
              <w:pStyle w:val="TableHeading"/>
            </w:pPr>
            <w:r>
              <w:t>Negligible</w:t>
            </w:r>
          </w:p>
        </w:tc>
      </w:tr>
      <w:tr w:rsidR="00E94405">
        <w:trPr>
          <w:cantSplit/>
        </w:trPr>
        <w:tc>
          <w:tcPr>
            <w:tcW w:w="522" w:type="pct"/>
            <w:tcBorders>
              <w:top w:val="nil"/>
              <w:left w:val="single" w:sz="4" w:space="0" w:color="auto"/>
              <w:bottom w:val="single" w:sz="8" w:space="0" w:color="C0C0C0"/>
            </w:tcBorders>
            <w:vAlign w:val="center"/>
          </w:tcPr>
          <w:p w:rsidR="00E94405" w:rsidRDefault="00A11609">
            <w:pPr>
              <w:pStyle w:val="TableHeading"/>
            </w:pPr>
            <w:r>
              <w:t>High</w:t>
            </w:r>
          </w:p>
        </w:tc>
        <w:tc>
          <w:tcPr>
            <w:tcW w:w="770" w:type="pct"/>
            <w:tcBorders>
              <w:top w:val="single" w:sz="8" w:space="0" w:color="C0C0C0"/>
              <w:bottom w:val="single" w:sz="8" w:space="0" w:color="C0C0C0"/>
            </w:tcBorders>
            <w:shd w:val="clear" w:color="auto" w:fill="FF99CC"/>
            <w:vAlign w:val="center"/>
          </w:tcPr>
          <w:p w:rsidR="00E94405" w:rsidRDefault="00A11609">
            <w:pPr>
              <w:pStyle w:val="TableText"/>
            </w:pPr>
            <w:r>
              <w:t>High</w:t>
            </w:r>
          </w:p>
        </w:tc>
        <w:tc>
          <w:tcPr>
            <w:tcW w:w="771" w:type="pct"/>
            <w:tcBorders>
              <w:top w:val="single" w:sz="8" w:space="0" w:color="C0C0C0"/>
            </w:tcBorders>
            <w:shd w:val="clear" w:color="auto" w:fill="FFCC99"/>
            <w:vAlign w:val="center"/>
          </w:tcPr>
          <w:p w:rsidR="00E94405" w:rsidRDefault="00A11609">
            <w:pPr>
              <w:pStyle w:val="TableText"/>
            </w:pPr>
            <w:r>
              <w:t>Moderate</w:t>
            </w:r>
          </w:p>
        </w:tc>
        <w:tc>
          <w:tcPr>
            <w:tcW w:w="770" w:type="pct"/>
            <w:tcBorders>
              <w:top w:val="single" w:sz="8" w:space="0" w:color="C0C0C0"/>
            </w:tcBorders>
            <w:shd w:val="clear" w:color="auto" w:fill="FFFF99"/>
            <w:vAlign w:val="center"/>
          </w:tcPr>
          <w:p w:rsidR="00E94405" w:rsidRDefault="00A11609">
            <w:pPr>
              <w:pStyle w:val="TableText"/>
            </w:pPr>
            <w:r>
              <w:t>Low</w:t>
            </w:r>
          </w:p>
        </w:tc>
        <w:tc>
          <w:tcPr>
            <w:tcW w:w="770" w:type="pct"/>
            <w:tcBorders>
              <w:top w:val="single" w:sz="8" w:space="0" w:color="C0C0C0"/>
            </w:tcBorders>
            <w:shd w:val="clear" w:color="auto" w:fill="CCFFCC"/>
            <w:vAlign w:val="center"/>
          </w:tcPr>
          <w:p w:rsidR="00E94405" w:rsidRDefault="00A11609">
            <w:pPr>
              <w:pStyle w:val="TableText"/>
            </w:pPr>
            <w:r>
              <w:t>Very low</w:t>
            </w:r>
          </w:p>
        </w:tc>
        <w:tc>
          <w:tcPr>
            <w:tcW w:w="772" w:type="pct"/>
            <w:tcBorders>
              <w:top w:val="single" w:sz="8" w:space="0" w:color="C0C0C0"/>
            </w:tcBorders>
            <w:shd w:val="clear" w:color="auto" w:fill="CCFFFF"/>
            <w:vAlign w:val="center"/>
          </w:tcPr>
          <w:p w:rsidR="00E94405" w:rsidRDefault="00A11609">
            <w:pPr>
              <w:pStyle w:val="TableText"/>
            </w:pPr>
            <w:r>
              <w:t>Extremely low</w:t>
            </w:r>
          </w:p>
        </w:tc>
        <w:tc>
          <w:tcPr>
            <w:tcW w:w="624" w:type="pct"/>
            <w:tcBorders>
              <w:top w:val="single" w:sz="8" w:space="0" w:color="C0C0C0"/>
              <w:right w:val="single" w:sz="4" w:space="0" w:color="auto"/>
            </w:tcBorders>
            <w:shd w:val="clear" w:color="auto" w:fill="CCCCFF"/>
            <w:vAlign w:val="center"/>
          </w:tcPr>
          <w:p w:rsidR="00E94405" w:rsidRDefault="00A11609">
            <w:pPr>
              <w:pStyle w:val="TableText"/>
            </w:pPr>
            <w:r>
              <w:t>Negligible</w:t>
            </w:r>
          </w:p>
        </w:tc>
      </w:tr>
      <w:tr w:rsidR="00E94405">
        <w:trPr>
          <w:cantSplit/>
        </w:trPr>
        <w:tc>
          <w:tcPr>
            <w:tcW w:w="1293" w:type="pct"/>
            <w:gridSpan w:val="2"/>
            <w:tcBorders>
              <w:top w:val="single" w:sz="8" w:space="0" w:color="C0C0C0"/>
              <w:left w:val="single" w:sz="4" w:space="0" w:color="auto"/>
              <w:bottom w:val="single" w:sz="8" w:space="0" w:color="C0C0C0"/>
            </w:tcBorders>
            <w:vAlign w:val="center"/>
          </w:tcPr>
          <w:p w:rsidR="00E94405" w:rsidRDefault="00A11609">
            <w:pPr>
              <w:pStyle w:val="TableHeading"/>
            </w:pPr>
            <w:r>
              <w:t>Moderate</w:t>
            </w:r>
          </w:p>
        </w:tc>
        <w:tc>
          <w:tcPr>
            <w:tcW w:w="771" w:type="pct"/>
            <w:tcBorders>
              <w:bottom w:val="single" w:sz="8" w:space="0" w:color="C0C0C0"/>
            </w:tcBorders>
            <w:shd w:val="clear" w:color="auto" w:fill="FFFF99"/>
            <w:vAlign w:val="center"/>
          </w:tcPr>
          <w:p w:rsidR="00E94405" w:rsidRDefault="00A11609">
            <w:pPr>
              <w:pStyle w:val="TableText"/>
            </w:pPr>
            <w:r>
              <w:t>Low</w:t>
            </w:r>
          </w:p>
        </w:tc>
        <w:tc>
          <w:tcPr>
            <w:tcW w:w="770" w:type="pct"/>
            <w:shd w:val="clear" w:color="auto" w:fill="FFFF99"/>
            <w:vAlign w:val="center"/>
          </w:tcPr>
          <w:p w:rsidR="00E94405" w:rsidRDefault="00A11609">
            <w:pPr>
              <w:pStyle w:val="TableText"/>
            </w:pPr>
            <w:r>
              <w:t>Low</w:t>
            </w:r>
          </w:p>
        </w:tc>
        <w:tc>
          <w:tcPr>
            <w:tcW w:w="770" w:type="pct"/>
            <w:shd w:val="clear" w:color="auto" w:fill="CCFFCC"/>
            <w:vAlign w:val="center"/>
          </w:tcPr>
          <w:p w:rsidR="00E94405" w:rsidRDefault="00A11609">
            <w:pPr>
              <w:pStyle w:val="TableText"/>
            </w:pPr>
            <w:r>
              <w:t>Very low</w:t>
            </w:r>
          </w:p>
        </w:tc>
        <w:tc>
          <w:tcPr>
            <w:tcW w:w="772" w:type="pct"/>
            <w:shd w:val="clear" w:color="auto" w:fill="CCFFFF"/>
            <w:vAlign w:val="center"/>
          </w:tcPr>
          <w:p w:rsidR="00E94405" w:rsidRDefault="00A11609">
            <w:pPr>
              <w:pStyle w:val="TableText"/>
            </w:pPr>
            <w:r>
              <w:t>Extremely low</w:t>
            </w:r>
          </w:p>
        </w:tc>
        <w:tc>
          <w:tcPr>
            <w:tcW w:w="624" w:type="pct"/>
            <w:tcBorders>
              <w:right w:val="single" w:sz="4" w:space="0" w:color="auto"/>
            </w:tcBorders>
            <w:shd w:val="clear" w:color="auto" w:fill="CCCCFF"/>
            <w:vAlign w:val="center"/>
          </w:tcPr>
          <w:p w:rsidR="00E94405" w:rsidRDefault="00A11609">
            <w:pPr>
              <w:pStyle w:val="TableText"/>
            </w:pPr>
            <w:r>
              <w:t>Negligible</w:t>
            </w:r>
          </w:p>
        </w:tc>
      </w:tr>
      <w:tr w:rsidR="00E94405">
        <w:trPr>
          <w:cantSplit/>
        </w:trPr>
        <w:tc>
          <w:tcPr>
            <w:tcW w:w="2063" w:type="pct"/>
            <w:gridSpan w:val="3"/>
            <w:tcBorders>
              <w:top w:val="single" w:sz="8" w:space="0" w:color="C0C0C0"/>
              <w:left w:val="single" w:sz="4" w:space="0" w:color="auto"/>
              <w:bottom w:val="single" w:sz="8" w:space="0" w:color="C0C0C0"/>
            </w:tcBorders>
            <w:vAlign w:val="center"/>
          </w:tcPr>
          <w:p w:rsidR="00E94405" w:rsidRDefault="00A11609">
            <w:pPr>
              <w:pStyle w:val="TableHeading"/>
            </w:pPr>
            <w:r>
              <w:t>Low</w:t>
            </w:r>
          </w:p>
        </w:tc>
        <w:tc>
          <w:tcPr>
            <w:tcW w:w="770" w:type="pct"/>
            <w:tcBorders>
              <w:bottom w:val="single" w:sz="8" w:space="0" w:color="C0C0C0"/>
            </w:tcBorders>
            <w:shd w:val="clear" w:color="auto" w:fill="CCFFCC"/>
            <w:vAlign w:val="center"/>
          </w:tcPr>
          <w:p w:rsidR="00E94405" w:rsidRDefault="00A11609">
            <w:pPr>
              <w:pStyle w:val="TableText"/>
            </w:pPr>
            <w:r>
              <w:t>Very low</w:t>
            </w:r>
          </w:p>
        </w:tc>
        <w:tc>
          <w:tcPr>
            <w:tcW w:w="770" w:type="pct"/>
            <w:shd w:val="clear" w:color="auto" w:fill="CCFFCC"/>
            <w:vAlign w:val="center"/>
          </w:tcPr>
          <w:p w:rsidR="00E94405" w:rsidRDefault="00A11609">
            <w:pPr>
              <w:pStyle w:val="TableText"/>
            </w:pPr>
            <w:r>
              <w:t>Very low</w:t>
            </w:r>
          </w:p>
        </w:tc>
        <w:tc>
          <w:tcPr>
            <w:tcW w:w="772" w:type="pct"/>
            <w:shd w:val="clear" w:color="auto" w:fill="CCFFFF"/>
            <w:vAlign w:val="center"/>
          </w:tcPr>
          <w:p w:rsidR="00E94405" w:rsidRDefault="00A11609">
            <w:pPr>
              <w:pStyle w:val="TableText"/>
            </w:pPr>
            <w:r>
              <w:t>Extremely low</w:t>
            </w:r>
          </w:p>
        </w:tc>
        <w:tc>
          <w:tcPr>
            <w:tcW w:w="624" w:type="pct"/>
            <w:tcBorders>
              <w:right w:val="single" w:sz="4" w:space="0" w:color="auto"/>
            </w:tcBorders>
            <w:shd w:val="clear" w:color="auto" w:fill="CCCCFF"/>
            <w:vAlign w:val="center"/>
          </w:tcPr>
          <w:p w:rsidR="00E94405" w:rsidRDefault="00A11609">
            <w:pPr>
              <w:pStyle w:val="TableText"/>
            </w:pPr>
            <w:r>
              <w:t>Negligible</w:t>
            </w:r>
          </w:p>
        </w:tc>
      </w:tr>
      <w:tr w:rsidR="00E94405">
        <w:trPr>
          <w:cantSplit/>
        </w:trPr>
        <w:tc>
          <w:tcPr>
            <w:tcW w:w="2834" w:type="pct"/>
            <w:gridSpan w:val="4"/>
            <w:tcBorders>
              <w:top w:val="single" w:sz="8" w:space="0" w:color="C0C0C0"/>
              <w:left w:val="single" w:sz="4" w:space="0" w:color="auto"/>
              <w:bottom w:val="single" w:sz="8" w:space="0" w:color="C0C0C0"/>
            </w:tcBorders>
            <w:vAlign w:val="center"/>
          </w:tcPr>
          <w:p w:rsidR="00E94405" w:rsidRDefault="00A11609">
            <w:pPr>
              <w:pStyle w:val="TableHeading"/>
            </w:pPr>
            <w:r>
              <w:t>Very low</w:t>
            </w:r>
          </w:p>
        </w:tc>
        <w:tc>
          <w:tcPr>
            <w:tcW w:w="770" w:type="pct"/>
            <w:tcBorders>
              <w:bottom w:val="single" w:sz="8" w:space="0" w:color="C0C0C0"/>
            </w:tcBorders>
            <w:shd w:val="clear" w:color="auto" w:fill="CCFFFF"/>
            <w:vAlign w:val="center"/>
          </w:tcPr>
          <w:p w:rsidR="00E94405" w:rsidRDefault="00A11609">
            <w:pPr>
              <w:pStyle w:val="TableText"/>
            </w:pPr>
            <w:r>
              <w:t>Extremely low</w:t>
            </w:r>
          </w:p>
        </w:tc>
        <w:tc>
          <w:tcPr>
            <w:tcW w:w="772" w:type="pct"/>
            <w:shd w:val="clear" w:color="auto" w:fill="CCFFFF"/>
            <w:vAlign w:val="center"/>
          </w:tcPr>
          <w:p w:rsidR="00E94405" w:rsidRDefault="00A11609">
            <w:pPr>
              <w:pStyle w:val="TableText"/>
            </w:pPr>
            <w:r>
              <w:t>Extremely low</w:t>
            </w:r>
          </w:p>
        </w:tc>
        <w:tc>
          <w:tcPr>
            <w:tcW w:w="624" w:type="pct"/>
            <w:tcBorders>
              <w:right w:val="single" w:sz="4" w:space="0" w:color="auto"/>
            </w:tcBorders>
            <w:shd w:val="clear" w:color="auto" w:fill="CCCCFF"/>
            <w:vAlign w:val="center"/>
          </w:tcPr>
          <w:p w:rsidR="00E94405" w:rsidRDefault="00A11609">
            <w:pPr>
              <w:pStyle w:val="TableText"/>
            </w:pPr>
            <w:r>
              <w:t>Negligible</w:t>
            </w:r>
          </w:p>
        </w:tc>
      </w:tr>
      <w:tr w:rsidR="00E94405">
        <w:trPr>
          <w:cantSplit/>
        </w:trPr>
        <w:tc>
          <w:tcPr>
            <w:tcW w:w="3604" w:type="pct"/>
            <w:gridSpan w:val="5"/>
            <w:tcBorders>
              <w:top w:val="single" w:sz="8" w:space="0" w:color="C0C0C0"/>
              <w:left w:val="single" w:sz="4" w:space="0" w:color="auto"/>
              <w:bottom w:val="single" w:sz="8" w:space="0" w:color="C0C0C0"/>
            </w:tcBorders>
            <w:vAlign w:val="center"/>
          </w:tcPr>
          <w:p w:rsidR="00E94405" w:rsidRDefault="00A11609">
            <w:pPr>
              <w:pStyle w:val="TableHeading"/>
            </w:pPr>
            <w:r>
              <w:t>Extremely low</w:t>
            </w:r>
          </w:p>
        </w:tc>
        <w:tc>
          <w:tcPr>
            <w:tcW w:w="772" w:type="pct"/>
            <w:tcBorders>
              <w:bottom w:val="single" w:sz="8" w:space="0" w:color="C0C0C0"/>
            </w:tcBorders>
            <w:shd w:val="clear" w:color="auto" w:fill="CCCCFF"/>
            <w:vAlign w:val="center"/>
          </w:tcPr>
          <w:p w:rsidR="00E94405" w:rsidRDefault="00A11609">
            <w:pPr>
              <w:pStyle w:val="TableText"/>
            </w:pPr>
            <w:r>
              <w:t>Negligible</w:t>
            </w:r>
          </w:p>
        </w:tc>
        <w:tc>
          <w:tcPr>
            <w:tcW w:w="624" w:type="pct"/>
            <w:tcBorders>
              <w:right w:val="single" w:sz="4" w:space="0" w:color="auto"/>
            </w:tcBorders>
            <w:shd w:val="clear" w:color="auto" w:fill="CCCCFF"/>
            <w:vAlign w:val="center"/>
          </w:tcPr>
          <w:p w:rsidR="00E94405" w:rsidRDefault="00A11609">
            <w:pPr>
              <w:pStyle w:val="TableText"/>
            </w:pPr>
            <w:r>
              <w:t>Negligible</w:t>
            </w:r>
          </w:p>
        </w:tc>
      </w:tr>
      <w:tr w:rsidR="00E94405">
        <w:trPr>
          <w:cantSplit/>
        </w:trPr>
        <w:tc>
          <w:tcPr>
            <w:tcW w:w="4376" w:type="pct"/>
            <w:gridSpan w:val="6"/>
            <w:tcBorders>
              <w:top w:val="single" w:sz="8" w:space="0" w:color="C0C0C0"/>
              <w:left w:val="single" w:sz="4" w:space="0" w:color="auto"/>
              <w:bottom w:val="single" w:sz="4" w:space="0" w:color="auto"/>
            </w:tcBorders>
            <w:vAlign w:val="center"/>
          </w:tcPr>
          <w:p w:rsidR="00E94405" w:rsidRDefault="00A11609">
            <w:pPr>
              <w:pStyle w:val="TableHeading"/>
            </w:pPr>
            <w:r>
              <w:t>Negligible</w:t>
            </w:r>
          </w:p>
        </w:tc>
        <w:tc>
          <w:tcPr>
            <w:tcW w:w="624" w:type="pct"/>
            <w:tcBorders>
              <w:bottom w:val="single" w:sz="4" w:space="0" w:color="auto"/>
              <w:right w:val="single" w:sz="4" w:space="0" w:color="auto"/>
            </w:tcBorders>
            <w:shd w:val="clear" w:color="auto" w:fill="CCCCFF"/>
            <w:vAlign w:val="center"/>
          </w:tcPr>
          <w:p w:rsidR="00E94405" w:rsidRDefault="00A11609">
            <w:pPr>
              <w:pStyle w:val="TableText"/>
            </w:pPr>
            <w:r>
              <w:t>Negligible</w:t>
            </w:r>
          </w:p>
        </w:tc>
      </w:tr>
    </w:tbl>
    <w:p w:rsidR="00E94405" w:rsidRDefault="00A11609">
      <w:pPr>
        <w:spacing w:before="200"/>
        <w:rPr>
          <w:rFonts w:ascii="Cambria" w:hAnsi="Cambria"/>
        </w:rPr>
      </w:pPr>
      <w:r>
        <w:rPr>
          <w:rFonts w:ascii="Cambria" w:hAnsi="Cambria"/>
        </w:rPr>
        <w:t>For example, if the likelihood of importation is assigned a descriptor of ‘low’ and the likelihood of distribution is assigned a descriptor of ‘moderate’, then they are combined to give a likelihood of ‘low’ for entry. Then if the likelihood of establishment has been assigned a descriptor of ‘high’, this will be combined with the likelihood of entry (low), to give a likelihood for entry and establishment of ‘low’. The assigned likelihood for spread (for example ‘very low’) would then be combined with the likelihood for entry and establishment (low), to give an overall likelihood for entry, establishment and spread of ‘very low’. This can be summarised as:</w:t>
      </w:r>
    </w:p>
    <w:p w:rsidR="00E94405" w:rsidRDefault="00A11609">
      <w:pPr>
        <w:tabs>
          <w:tab w:val="left" w:pos="4536"/>
        </w:tabs>
        <w:spacing w:before="200"/>
        <w:rPr>
          <w:rFonts w:ascii="Cambria" w:hAnsi="Cambria"/>
        </w:rPr>
      </w:pPr>
      <w:r>
        <w:rPr>
          <w:rFonts w:ascii="Cambria" w:hAnsi="Cambria"/>
        </w:rPr>
        <w:t>importation x distribution = entry [E]</w:t>
      </w:r>
      <w:r>
        <w:rPr>
          <w:rFonts w:ascii="Cambria" w:hAnsi="Cambria"/>
        </w:rPr>
        <w:tab/>
      </w:r>
      <w:r>
        <w:rPr>
          <w:rFonts w:ascii="Cambria" w:hAnsi="Cambria"/>
          <w:b/>
        </w:rPr>
        <w:t>low x moderate = low</w:t>
      </w:r>
    </w:p>
    <w:p w:rsidR="00E94405" w:rsidRDefault="00A11609">
      <w:pPr>
        <w:tabs>
          <w:tab w:val="left" w:pos="4536"/>
        </w:tabs>
        <w:spacing w:before="200"/>
        <w:rPr>
          <w:rFonts w:ascii="Cambria" w:hAnsi="Cambria"/>
        </w:rPr>
      </w:pPr>
      <w:r>
        <w:rPr>
          <w:rFonts w:ascii="Cambria" w:hAnsi="Cambria"/>
        </w:rPr>
        <w:t xml:space="preserve">entry x establishment = [EE] </w:t>
      </w:r>
      <w:r>
        <w:rPr>
          <w:rFonts w:ascii="Cambria" w:hAnsi="Cambria"/>
        </w:rPr>
        <w:tab/>
      </w:r>
      <w:r>
        <w:rPr>
          <w:rFonts w:ascii="Cambria" w:hAnsi="Cambria"/>
          <w:b/>
        </w:rPr>
        <w:t>low x high = low</w:t>
      </w:r>
    </w:p>
    <w:p w:rsidR="00E94405" w:rsidRDefault="00A11609">
      <w:pPr>
        <w:tabs>
          <w:tab w:val="left" w:pos="4536"/>
        </w:tabs>
        <w:spacing w:before="200"/>
        <w:rPr>
          <w:rFonts w:ascii="Cambria" w:hAnsi="Cambria"/>
          <w:b/>
        </w:rPr>
      </w:pPr>
      <w:r>
        <w:rPr>
          <w:rFonts w:ascii="Cambria" w:hAnsi="Cambria"/>
        </w:rPr>
        <w:t xml:space="preserve">[EE] x spread = [EES] </w:t>
      </w:r>
      <w:r>
        <w:rPr>
          <w:rFonts w:ascii="Cambria" w:hAnsi="Cambria"/>
        </w:rPr>
        <w:tab/>
      </w:r>
      <w:r>
        <w:rPr>
          <w:rFonts w:ascii="Cambria" w:hAnsi="Cambria"/>
          <w:b/>
        </w:rPr>
        <w:t>low x very low = very low</w:t>
      </w:r>
    </w:p>
    <w:p w:rsidR="00E94405" w:rsidRDefault="00A11609">
      <w:pPr>
        <w:pStyle w:val="Heading5"/>
        <w:spacing w:before="120"/>
      </w:pPr>
      <w:r>
        <w:t>Time and volume of trade</w:t>
      </w:r>
    </w:p>
    <w:p w:rsidR="00E94405" w:rsidRDefault="00A11609">
      <w:pPr>
        <w:spacing w:before="200"/>
        <w:rPr>
          <w:rFonts w:ascii="Cambria" w:hAnsi="Cambria"/>
        </w:rPr>
      </w:pPr>
      <w:r>
        <w:rPr>
          <w:rFonts w:ascii="Cambria" w:hAnsi="Cambria"/>
        </w:rPr>
        <w:t>One factor affecting the likelihood of entry is the volume and duration of trade. If all other conditions remain the same, the overall likelihood of entry will increase as time passes and the overall volume of trade increases.</w:t>
      </w:r>
    </w:p>
    <w:p w:rsidR="00E94405" w:rsidRDefault="00A11609">
      <w:pPr>
        <w:spacing w:before="200"/>
        <w:rPr>
          <w:rFonts w:ascii="Cambria" w:hAnsi="Cambria"/>
        </w:rPr>
      </w:pPr>
      <w:r>
        <w:rPr>
          <w:rFonts w:ascii="Cambria" w:hAnsi="Cambria"/>
        </w:rPr>
        <w:t>The Department of Agriculture normally considers the likelihood of entry on the basis of the estimated volume of one year’s trade. However, in case of a high risk commodity the volume of trade is restricted to certain numbers. Therefore, other factors listed in ISMP 11 (FAO 2013b) may not be relevant to propagative material of a high risk commodity.</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Assessment of potential consequences</w:t>
      </w:r>
    </w:p>
    <w:p w:rsidR="00E94405" w:rsidRDefault="00A11609">
      <w:pPr>
        <w:spacing w:before="200"/>
        <w:rPr>
          <w:rFonts w:ascii="Cambria" w:hAnsi="Cambria"/>
        </w:rPr>
      </w:pPr>
      <w:r>
        <w:rPr>
          <w:rFonts w:ascii="Cambria" w:hAnsi="Cambria"/>
        </w:rPr>
        <w:t>The objective of the consequence assessment is to provide a structured and transparent analysis of the likely consequences if the pest or disease agents were to enter, establish and spread in Australia. The assessment considers direct and indirect pest effects and their economic and environmental consequences. The requirements for assessing potential consequences are given in Article 5.3 of the SPS Agreement (WTO 1995), ISPM 5 (FAO 2013a) and ISPM 11 (FAO 2013b).</w:t>
      </w:r>
    </w:p>
    <w:p w:rsidR="00E94405" w:rsidRDefault="00A11609">
      <w:pPr>
        <w:spacing w:before="200"/>
        <w:rPr>
          <w:rFonts w:ascii="Cambria" w:hAnsi="Cambria"/>
        </w:rPr>
      </w:pPr>
      <w:r>
        <w:rPr>
          <w:rFonts w:ascii="Cambria" w:hAnsi="Cambria"/>
        </w:rPr>
        <w:t>Direct pest effects are considered in the context of the effects on:</w:t>
      </w:r>
    </w:p>
    <w:p w:rsidR="00E94405" w:rsidRDefault="00A11609">
      <w:pPr>
        <w:pStyle w:val="ListBullet"/>
        <w:tabs>
          <w:tab w:val="clear" w:pos="360"/>
          <w:tab w:val="num" w:pos="284"/>
        </w:tabs>
        <w:ind w:left="284" w:hanging="284"/>
        <w:rPr>
          <w:rFonts w:ascii="Cambria" w:hAnsi="Cambria"/>
        </w:rPr>
      </w:pPr>
      <w:r>
        <w:rPr>
          <w:rFonts w:ascii="Cambria" w:hAnsi="Cambria"/>
        </w:rPr>
        <w:t>plant life or health</w:t>
      </w:r>
    </w:p>
    <w:p w:rsidR="00E94405" w:rsidRDefault="00A11609">
      <w:pPr>
        <w:pStyle w:val="ListBullet"/>
        <w:tabs>
          <w:tab w:val="clear" w:pos="360"/>
          <w:tab w:val="num" w:pos="284"/>
        </w:tabs>
        <w:ind w:left="284" w:hanging="284"/>
        <w:rPr>
          <w:rFonts w:ascii="Cambria" w:hAnsi="Cambria"/>
        </w:rPr>
      </w:pPr>
      <w:r>
        <w:rPr>
          <w:rFonts w:ascii="Cambria" w:hAnsi="Cambria"/>
        </w:rPr>
        <w:t>other aspects of the environment.</w:t>
      </w:r>
    </w:p>
    <w:p w:rsidR="00E94405" w:rsidRDefault="00A11609">
      <w:pPr>
        <w:spacing w:before="200"/>
        <w:rPr>
          <w:rFonts w:ascii="Cambria" w:hAnsi="Cambria"/>
        </w:rPr>
      </w:pPr>
      <w:r>
        <w:rPr>
          <w:rFonts w:ascii="Cambria" w:hAnsi="Cambria"/>
        </w:rPr>
        <w:t>Indirect pest effects are considered in the context of the effects on:</w:t>
      </w:r>
    </w:p>
    <w:p w:rsidR="00E94405" w:rsidRDefault="00A11609">
      <w:pPr>
        <w:pStyle w:val="ListBullet"/>
        <w:tabs>
          <w:tab w:val="clear" w:pos="360"/>
          <w:tab w:val="num" w:pos="284"/>
        </w:tabs>
        <w:ind w:left="284" w:hanging="284"/>
        <w:rPr>
          <w:rFonts w:ascii="Cambria" w:hAnsi="Cambria"/>
        </w:rPr>
      </w:pPr>
      <w:r>
        <w:rPr>
          <w:rFonts w:ascii="Cambria" w:hAnsi="Cambria"/>
        </w:rPr>
        <w:lastRenderedPageBreak/>
        <w:t>eradication, control, etc.</w:t>
      </w:r>
    </w:p>
    <w:p w:rsidR="00E94405" w:rsidRDefault="00A11609">
      <w:pPr>
        <w:pStyle w:val="ListBullet"/>
        <w:tabs>
          <w:tab w:val="clear" w:pos="360"/>
          <w:tab w:val="num" w:pos="284"/>
        </w:tabs>
        <w:ind w:left="284" w:hanging="284"/>
        <w:rPr>
          <w:rFonts w:ascii="Cambria" w:hAnsi="Cambria"/>
        </w:rPr>
      </w:pPr>
      <w:r>
        <w:rPr>
          <w:rFonts w:ascii="Cambria" w:hAnsi="Cambria"/>
        </w:rPr>
        <w:t>domestic trade</w:t>
      </w:r>
    </w:p>
    <w:p w:rsidR="00E94405" w:rsidRDefault="00A11609">
      <w:pPr>
        <w:pStyle w:val="ListBullet"/>
        <w:tabs>
          <w:tab w:val="clear" w:pos="360"/>
          <w:tab w:val="num" w:pos="284"/>
        </w:tabs>
        <w:ind w:left="284" w:hanging="284"/>
        <w:rPr>
          <w:rFonts w:ascii="Cambria" w:hAnsi="Cambria"/>
        </w:rPr>
      </w:pPr>
      <w:r>
        <w:rPr>
          <w:rFonts w:ascii="Cambria" w:hAnsi="Cambria"/>
        </w:rPr>
        <w:t>international trade</w:t>
      </w:r>
    </w:p>
    <w:p w:rsidR="00E94405" w:rsidRDefault="00A11609">
      <w:pPr>
        <w:pStyle w:val="ListBullet"/>
        <w:tabs>
          <w:tab w:val="clear" w:pos="360"/>
          <w:tab w:val="num" w:pos="284"/>
        </w:tabs>
        <w:ind w:left="284" w:hanging="284"/>
        <w:rPr>
          <w:rFonts w:ascii="Cambria" w:hAnsi="Cambria"/>
        </w:rPr>
      </w:pPr>
      <w:r>
        <w:rPr>
          <w:rFonts w:ascii="Cambria" w:hAnsi="Cambria"/>
        </w:rPr>
        <w:t>environment.</w:t>
      </w:r>
    </w:p>
    <w:p w:rsidR="00E94405" w:rsidRDefault="00A11609">
      <w:pPr>
        <w:spacing w:before="200"/>
        <w:rPr>
          <w:rFonts w:ascii="Cambria" w:hAnsi="Cambria"/>
        </w:rPr>
      </w:pPr>
      <w:r>
        <w:rPr>
          <w:rFonts w:ascii="Cambria" w:hAnsi="Cambria"/>
        </w:rPr>
        <w:t>For each of these six criteria, the consequences were estimated over four geographic levels, defined as:</w:t>
      </w:r>
    </w:p>
    <w:p w:rsidR="00E94405" w:rsidRDefault="00A11609">
      <w:pPr>
        <w:spacing w:before="200"/>
        <w:rPr>
          <w:rFonts w:ascii="Cambria" w:hAnsi="Cambria"/>
        </w:rPr>
      </w:pPr>
      <w:r>
        <w:rPr>
          <w:rFonts w:ascii="Cambria" w:hAnsi="Cambria"/>
          <w:b/>
        </w:rPr>
        <w:t>Local</w:t>
      </w:r>
      <w:r>
        <w:rPr>
          <w:rFonts w:ascii="Cambria" w:hAnsi="Cambria"/>
        </w:rPr>
        <w:t>: an aggregate of households or enterprises (a rural community, a town or a local government area).</w:t>
      </w:r>
    </w:p>
    <w:p w:rsidR="00E94405" w:rsidRDefault="00A11609">
      <w:pPr>
        <w:spacing w:before="200"/>
        <w:rPr>
          <w:rFonts w:ascii="Cambria" w:hAnsi="Cambria"/>
        </w:rPr>
      </w:pPr>
      <w:r>
        <w:rPr>
          <w:rFonts w:ascii="Cambria" w:hAnsi="Cambria"/>
          <w:b/>
        </w:rPr>
        <w:t>District</w:t>
      </w:r>
      <w:r>
        <w:rPr>
          <w:rFonts w:ascii="Cambria" w:hAnsi="Cambria"/>
        </w:rPr>
        <w:t>: a geographically or geopolitically associated collection of aggregates (generally a recognised section of a state or territory, such as ‘Far North Queensland’).</w:t>
      </w:r>
    </w:p>
    <w:p w:rsidR="00E94405" w:rsidRDefault="00A11609">
      <w:pPr>
        <w:spacing w:before="200"/>
        <w:rPr>
          <w:rFonts w:ascii="Cambria" w:hAnsi="Cambria"/>
        </w:rPr>
      </w:pPr>
      <w:r>
        <w:rPr>
          <w:rFonts w:ascii="Cambria" w:hAnsi="Cambria"/>
          <w:b/>
        </w:rPr>
        <w:t>Regional</w:t>
      </w:r>
      <w:r>
        <w:rPr>
          <w:rFonts w:ascii="Cambria" w:hAnsi="Cambria"/>
        </w:rPr>
        <w:t>: a geographically or geopolitically associated collection of districts in a geographic area (generally a state or territory, although there may be exceptions with larger states such as Western Australia).</w:t>
      </w:r>
    </w:p>
    <w:p w:rsidR="00E94405" w:rsidRDefault="00A11609">
      <w:pPr>
        <w:spacing w:before="200"/>
        <w:rPr>
          <w:rFonts w:ascii="Cambria" w:hAnsi="Cambria"/>
        </w:rPr>
      </w:pPr>
      <w:r>
        <w:rPr>
          <w:rFonts w:ascii="Cambria" w:hAnsi="Cambria"/>
          <w:b/>
        </w:rPr>
        <w:t>National</w:t>
      </w:r>
      <w:r>
        <w:rPr>
          <w:rFonts w:ascii="Cambria" w:hAnsi="Cambria"/>
        </w:rPr>
        <w:t>: Australia wide (Australian mainland states and territories and Tasmania).</w:t>
      </w:r>
    </w:p>
    <w:p w:rsidR="00E94405" w:rsidRDefault="00A11609">
      <w:pPr>
        <w:spacing w:before="200"/>
        <w:rPr>
          <w:rFonts w:ascii="Cambria" w:hAnsi="Cambria"/>
        </w:rPr>
      </w:pPr>
      <w:r>
        <w:rPr>
          <w:rFonts w:ascii="Cambria" w:hAnsi="Cambria"/>
        </w:rPr>
        <w:t>For each criterion, the magnitude of the potential consequence at each of these levels was described using four categories, defined as:</w:t>
      </w:r>
    </w:p>
    <w:p w:rsidR="00E94405" w:rsidRDefault="00A11609">
      <w:pPr>
        <w:spacing w:before="200"/>
        <w:rPr>
          <w:rFonts w:ascii="Cambria" w:hAnsi="Cambria"/>
        </w:rPr>
      </w:pPr>
      <w:r>
        <w:rPr>
          <w:rFonts w:ascii="Cambria" w:hAnsi="Cambria"/>
          <w:b/>
        </w:rPr>
        <w:t>Indiscernible</w:t>
      </w:r>
      <w:r>
        <w:rPr>
          <w:rFonts w:ascii="Cambria" w:hAnsi="Cambria"/>
        </w:rPr>
        <w:t>: pest impact unlikely to be noticeable.</w:t>
      </w:r>
    </w:p>
    <w:p w:rsidR="00E94405" w:rsidRDefault="00A11609">
      <w:pPr>
        <w:spacing w:before="200"/>
        <w:rPr>
          <w:rFonts w:ascii="Cambria" w:hAnsi="Cambria"/>
        </w:rPr>
      </w:pPr>
      <w:r>
        <w:rPr>
          <w:rFonts w:ascii="Cambria" w:hAnsi="Cambria"/>
          <w:b/>
        </w:rPr>
        <w:t>Minor</w:t>
      </w:r>
      <w:r>
        <w:rPr>
          <w:rFonts w:ascii="Cambria" w:hAnsi="Cambria"/>
        </w:rPr>
        <w:t xml:space="preserve"> </w:t>
      </w:r>
      <w:r>
        <w:rPr>
          <w:rFonts w:ascii="Cambria" w:hAnsi="Cambria"/>
          <w:b/>
        </w:rPr>
        <w:t>significance</w:t>
      </w:r>
      <w:r>
        <w:rPr>
          <w:rFonts w:ascii="Cambria" w:hAnsi="Cambria"/>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E94405" w:rsidRDefault="00A11609">
      <w:pPr>
        <w:spacing w:before="200" w:after="160" w:line="269" w:lineRule="auto"/>
        <w:rPr>
          <w:rFonts w:ascii="Cambria" w:hAnsi="Cambria"/>
        </w:rPr>
      </w:pPr>
      <w:r>
        <w:rPr>
          <w:rFonts w:ascii="Cambria" w:hAnsi="Cambria"/>
          <w:b/>
        </w:rPr>
        <w:t>Significant</w:t>
      </w:r>
      <w:r>
        <w:rPr>
          <w:rFonts w:ascii="Cambria" w:hAnsi="Cambria"/>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E94405" w:rsidRDefault="00A11609">
      <w:pPr>
        <w:spacing w:before="200" w:after="160" w:line="269" w:lineRule="auto"/>
        <w:rPr>
          <w:rFonts w:ascii="Cambria" w:hAnsi="Cambria"/>
        </w:rPr>
      </w:pPr>
      <w:r>
        <w:rPr>
          <w:rFonts w:ascii="Cambria" w:hAnsi="Cambria"/>
          <w:b/>
        </w:rPr>
        <w:t>Major</w:t>
      </w:r>
      <w:r>
        <w:rPr>
          <w:rFonts w:ascii="Cambria" w:hAnsi="Cambria"/>
        </w:rPr>
        <w:t xml:space="preserve"> </w:t>
      </w:r>
      <w:r>
        <w:rPr>
          <w:rFonts w:ascii="Cambria" w:hAnsi="Cambria"/>
          <w:b/>
        </w:rPr>
        <w:t>significance</w:t>
      </w:r>
      <w:r>
        <w:rPr>
          <w:rFonts w:ascii="Cambria" w:hAnsi="Cambria"/>
        </w:rPr>
        <w:t>: expected to threaten the economic viability through a large increase in mortality/morbidity of hosts, or a large decrease in production. Expected to severely or irreversibly damage the intrinsic ‘value’ of non-commercial criteria.</w:t>
      </w:r>
    </w:p>
    <w:p w:rsidR="00E94405" w:rsidRDefault="00A11609">
      <w:pPr>
        <w:spacing w:before="200"/>
        <w:rPr>
          <w:rFonts w:ascii="Cambria" w:hAnsi="Cambria"/>
        </w:rPr>
      </w:pPr>
      <w:r>
        <w:rPr>
          <w:rFonts w:ascii="Cambria" w:hAnsi="Cambria"/>
        </w:rPr>
        <w:t>The estimates of the magnitude of the potential consequences over the four geographic levels were translated into a qualitative impact score (A–G) using Table 4. For example, a consequence with a magnitude of ‘significant’ at the ‘district’ level will have a consequence impact score of D.</w:t>
      </w:r>
    </w:p>
    <w:p w:rsidR="00E94405" w:rsidRDefault="00E94405">
      <w:pPr>
        <w:spacing w:before="200"/>
        <w:rPr>
          <w:rFonts w:ascii="Cambria" w:hAnsi="Cambria"/>
        </w:rPr>
      </w:pPr>
    </w:p>
    <w:p w:rsidR="00E94405" w:rsidRDefault="00E94405">
      <w:pPr>
        <w:spacing w:before="200"/>
        <w:rPr>
          <w:rFonts w:ascii="Cambria" w:hAnsi="Cambria"/>
        </w:rPr>
      </w:pPr>
    </w:p>
    <w:p w:rsidR="00E94405" w:rsidRDefault="00E94405">
      <w:pPr>
        <w:spacing w:before="200"/>
        <w:rPr>
          <w:rFonts w:ascii="Cambria" w:hAnsi="Cambria"/>
        </w:rPr>
      </w:pPr>
    </w:p>
    <w:p w:rsidR="00E94405" w:rsidRDefault="00E94405">
      <w:pPr>
        <w:spacing w:before="200"/>
        <w:rPr>
          <w:rFonts w:ascii="Cambria" w:hAnsi="Cambria"/>
        </w:rPr>
      </w:pPr>
    </w:p>
    <w:p w:rsidR="00E94405" w:rsidRDefault="00A11609">
      <w:pPr>
        <w:pStyle w:val="Caption"/>
        <w:keepNext w:val="0"/>
        <w:rPr>
          <w:rFonts w:asciiTheme="majorHAnsi" w:eastAsiaTheme="majorEastAsia" w:hAnsiTheme="majorHAnsi" w:cstheme="majorBidi"/>
          <w:color w:val="595959" w:themeColor="text1" w:themeTint="A6"/>
          <w:sz w:val="20"/>
        </w:rPr>
      </w:pPr>
      <w:bookmarkStart w:id="57" w:name="_Toc384197746"/>
      <w:bookmarkStart w:id="58" w:name="_Toc384209834"/>
      <w:bookmarkStart w:id="59" w:name="_Toc384275078"/>
      <w:bookmarkStart w:id="60" w:name="_Toc388949919"/>
      <w:bookmarkStart w:id="61" w:name="_Toc414019471"/>
      <w:r>
        <w:rPr>
          <w:rFonts w:asciiTheme="majorHAnsi" w:eastAsiaTheme="majorEastAsia" w:hAnsiTheme="majorHAnsi" w:cstheme="majorBidi"/>
          <w:color w:val="595959" w:themeColor="text1" w:themeTint="A6"/>
          <w:sz w:val="20"/>
        </w:rPr>
        <w:lastRenderedPageBreak/>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4</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consequence impact score based on the magnitude of consequences at four geographic scales</w:t>
      </w:r>
      <w:bookmarkEnd w:id="57"/>
      <w:bookmarkEnd w:id="58"/>
      <w:bookmarkEnd w:id="59"/>
      <w:bookmarkEnd w:id="60"/>
      <w:bookmarkEnd w:id="61"/>
    </w:p>
    <w:tbl>
      <w:tblPr>
        <w:tblW w:w="5000" w:type="pct"/>
        <w:tblBorders>
          <w:top w:val="single" w:sz="4" w:space="0" w:color="auto"/>
          <w:left w:val="single" w:sz="4" w:space="0" w:color="auto"/>
          <w:bottom w:val="single" w:sz="4" w:space="0" w:color="auto"/>
          <w:right w:val="single" w:sz="4" w:space="0" w:color="auto"/>
        </w:tblBorders>
        <w:tblLook w:val="00A0"/>
      </w:tblPr>
      <w:tblGrid>
        <w:gridCol w:w="2150"/>
        <w:gridCol w:w="1785"/>
        <w:gridCol w:w="1785"/>
        <w:gridCol w:w="1783"/>
        <w:gridCol w:w="1783"/>
      </w:tblGrid>
      <w:tr w:rsidR="00E94405">
        <w:trPr>
          <w:cantSplit/>
        </w:trPr>
        <w:tc>
          <w:tcPr>
            <w:tcW w:w="1158" w:type="pct"/>
            <w:vMerge w:val="restart"/>
            <w:tcBorders>
              <w:top w:val="single" w:sz="4" w:space="0" w:color="000000" w:themeColor="text1"/>
              <w:left w:val="single" w:sz="4" w:space="0" w:color="000000" w:themeColor="text1"/>
              <w:bottom w:val="nil"/>
              <w:right w:val="nil"/>
              <w:tl2br w:val="nil"/>
            </w:tcBorders>
            <w:vAlign w:val="bottom"/>
          </w:tcPr>
          <w:p w:rsidR="00E94405" w:rsidRDefault="00A11609">
            <w:pPr>
              <w:pStyle w:val="TableHeading"/>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E94405" w:rsidRDefault="00A11609">
            <w:pPr>
              <w:pStyle w:val="TableHeading"/>
              <w:jc w:val="center"/>
            </w:pPr>
            <w:r>
              <w:t>Geographic scale</w:t>
            </w:r>
          </w:p>
        </w:tc>
      </w:tr>
      <w:tr w:rsidR="00E94405">
        <w:trPr>
          <w:cantSplit/>
        </w:trPr>
        <w:tc>
          <w:tcPr>
            <w:tcW w:w="1158" w:type="pct"/>
            <w:vMerge/>
            <w:tcBorders>
              <w:top w:val="single" w:sz="4" w:space="0" w:color="auto"/>
              <w:left w:val="single" w:sz="4" w:space="0" w:color="000000" w:themeColor="text1"/>
              <w:bottom w:val="single" w:sz="4" w:space="0" w:color="BFBFBF" w:themeColor="background1" w:themeShade="BF"/>
              <w:right w:val="nil"/>
              <w:tl2br w:val="nil"/>
            </w:tcBorders>
          </w:tcPr>
          <w:p w:rsidR="00E94405" w:rsidRDefault="00E94405">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E94405" w:rsidRDefault="00A11609">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E94405" w:rsidRDefault="00A11609">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E94405" w:rsidRDefault="00A11609">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E94405" w:rsidRDefault="00A11609">
            <w:pPr>
              <w:pStyle w:val="TableText"/>
            </w:pPr>
            <w:r>
              <w:t>Nation</w:t>
            </w:r>
          </w:p>
        </w:tc>
      </w:tr>
      <w:tr w:rsidR="00E94405">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E94405" w:rsidRDefault="00A11609">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94405" w:rsidRDefault="00A11609">
            <w:pPr>
              <w:pStyle w:val="TableText0"/>
              <w:rPr>
                <w:rFonts w:asciiTheme="majorHAnsi" w:hAnsiTheme="majorHAnsi"/>
                <w:sz w:val="18"/>
                <w:szCs w:val="18"/>
              </w:rPr>
            </w:pPr>
            <w:r>
              <w:rPr>
                <w:rFonts w:asciiTheme="majorHAnsi" w:hAnsiTheme="majorHAnsi"/>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94405" w:rsidRDefault="00A11609">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94405" w:rsidRDefault="00A11609">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E94405" w:rsidRDefault="00A11609">
            <w:pPr>
              <w:pStyle w:val="TableText"/>
            </w:pPr>
            <w:r>
              <w:t>A</w:t>
            </w:r>
          </w:p>
        </w:tc>
      </w:tr>
      <w:tr w:rsidR="00E94405">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E94405" w:rsidRDefault="00A11609">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E94405" w:rsidRDefault="00A11609">
            <w:pPr>
              <w:pStyle w:val="TableText0"/>
              <w:rPr>
                <w:rFonts w:ascii="Cambria" w:hAnsi="Cambria" w:cs="Arial"/>
                <w:snapToGrid w:val="0"/>
                <w:sz w:val="18"/>
                <w:szCs w:val="18"/>
              </w:rPr>
            </w:pPr>
            <w:r>
              <w:rPr>
                <w:rFonts w:ascii="Cambria" w:hAnsi="Cambria" w:cs="Arial"/>
                <w:snapToGrid w:val="0"/>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E94405" w:rsidRDefault="00A11609">
            <w:pPr>
              <w:pStyle w:val="TableText0"/>
              <w:rPr>
                <w:rFonts w:ascii="Cambria" w:hAnsi="Cambria" w:cs="Arial"/>
                <w:snapToGrid w:val="0"/>
                <w:sz w:val="18"/>
                <w:szCs w:val="18"/>
              </w:rPr>
            </w:pPr>
            <w:r>
              <w:rPr>
                <w:rFonts w:ascii="Cambria" w:hAnsi="Cambria" w:cs="Arial"/>
                <w:snapToGrid w:val="0"/>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E94405" w:rsidRDefault="00A11609">
            <w:pPr>
              <w:pStyle w:val="TableText0"/>
              <w:rPr>
                <w:rFonts w:ascii="Cambria" w:hAnsi="Cambria" w:cs="Arial"/>
                <w:snapToGrid w:val="0"/>
                <w:sz w:val="18"/>
                <w:szCs w:val="18"/>
              </w:rPr>
            </w:pPr>
            <w:r>
              <w:rPr>
                <w:rFonts w:ascii="Cambria" w:hAnsi="Cambria"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E94405" w:rsidRDefault="00A11609">
            <w:pPr>
              <w:pStyle w:val="TableText"/>
            </w:pPr>
            <w:r>
              <w:t>E</w:t>
            </w:r>
          </w:p>
        </w:tc>
      </w:tr>
      <w:tr w:rsidR="00E94405">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E94405" w:rsidRDefault="00A11609">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E94405" w:rsidRDefault="00A11609">
            <w:pPr>
              <w:pStyle w:val="TableText0"/>
              <w:rPr>
                <w:rFonts w:ascii="Cambria" w:hAnsi="Cambria" w:cs="Arial"/>
                <w:snapToGrid w:val="0"/>
                <w:sz w:val="18"/>
                <w:szCs w:val="18"/>
              </w:rPr>
            </w:pPr>
            <w:r>
              <w:rPr>
                <w:rFonts w:ascii="Cambria" w:hAnsi="Cambria" w:cs="Arial"/>
                <w:snapToGrid w:val="0"/>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E94405" w:rsidRDefault="00A11609">
            <w:pPr>
              <w:pStyle w:val="TableText0"/>
              <w:rPr>
                <w:rFonts w:ascii="Cambria" w:hAnsi="Cambria" w:cs="Arial"/>
                <w:snapToGrid w:val="0"/>
                <w:sz w:val="18"/>
                <w:szCs w:val="18"/>
              </w:rPr>
            </w:pPr>
            <w:r>
              <w:rPr>
                <w:rFonts w:ascii="Cambria" w:hAnsi="Cambria"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E94405" w:rsidRDefault="00A11609">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E94405" w:rsidRDefault="00A11609">
            <w:pPr>
              <w:pStyle w:val="TableText"/>
            </w:pPr>
            <w:r>
              <w:t>F</w:t>
            </w:r>
          </w:p>
        </w:tc>
      </w:tr>
      <w:tr w:rsidR="00E94405">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E94405" w:rsidRDefault="00A11609">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E94405" w:rsidRDefault="00A11609">
            <w:pPr>
              <w:pStyle w:val="TableText0"/>
              <w:rPr>
                <w:rFonts w:ascii="Cambria" w:hAnsi="Cambria" w:cs="Arial"/>
                <w:snapToGrid w:val="0"/>
                <w:sz w:val="18"/>
                <w:szCs w:val="18"/>
              </w:rPr>
            </w:pPr>
            <w:r>
              <w:rPr>
                <w:rFonts w:ascii="Cambria" w:hAnsi="Cambria" w:cs="Arial"/>
                <w:snapToGrid w:val="0"/>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E94405" w:rsidRDefault="00A11609">
            <w:pPr>
              <w:pStyle w:val="TableText0"/>
            </w:pPr>
            <w:r>
              <w:rPr>
                <w:rFonts w:ascii="Cambria" w:hAnsi="Cambria" w:cs="Arial"/>
                <w:snapToGrid w:val="0"/>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E94405" w:rsidRDefault="00A11609">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E94405" w:rsidRDefault="00A11609">
            <w:pPr>
              <w:pStyle w:val="TableText"/>
            </w:pPr>
            <w:r>
              <w:t>G</w:t>
            </w:r>
          </w:p>
        </w:tc>
      </w:tr>
    </w:tbl>
    <w:p w:rsidR="00E94405" w:rsidRDefault="00A11609">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B–G and a new lowest category A (‘indiscernible’ at all four levels) was added. The rules for combining impacts in Table 5 were adjusted accordingly. The decision rules for determining the consequence impact score are presented in a simpler form in Table 4 from earlier IRAs, to make the table easier to use. The outcome of the decision rules is the same as the previous table and makes no difference to the final impact score</w:t>
      </w:r>
    </w:p>
    <w:p w:rsidR="00E94405" w:rsidRDefault="00A11609">
      <w:pPr>
        <w:spacing w:before="160" w:after="160"/>
        <w:rPr>
          <w:rFonts w:ascii="Cambria" w:hAnsi="Cambria"/>
        </w:rPr>
      </w:pPr>
      <w:r>
        <w:rPr>
          <w:rFonts w:ascii="Cambria" w:hAnsi="Cambria"/>
        </w:rPr>
        <w:t>The overall consequence for each pest is achieved by combining the qualitative impact scores (A–G) for each direct and indirect consequence using a series of decision rules (Table 5). These rules are mutually exclusive, and are assessed in numerical order until one applies.</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62" w:name="_Toc384197747"/>
      <w:bookmarkStart w:id="63" w:name="_Toc384209835"/>
      <w:bookmarkStart w:id="64" w:name="_Toc384275079"/>
      <w:bookmarkStart w:id="65" w:name="_Toc388949920"/>
      <w:bookmarkStart w:id="66" w:name="_Toc414019472"/>
      <w:r>
        <w:rPr>
          <w:rFonts w:asciiTheme="majorHAnsi" w:eastAsiaTheme="majorEastAsia" w:hAnsiTheme="majorHAnsi" w:cstheme="majorBidi"/>
          <w:color w:val="595959" w:themeColor="text1" w:themeTint="A6"/>
          <w:sz w:val="20"/>
        </w:rPr>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5</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overall consequence rating for each pest</w:t>
      </w:r>
      <w:bookmarkEnd w:id="62"/>
      <w:bookmarkEnd w:id="63"/>
      <w:bookmarkEnd w:id="64"/>
      <w:bookmarkEnd w:id="65"/>
      <w:bookmarkEnd w:id="66"/>
    </w:p>
    <w:tbl>
      <w:tblPr>
        <w:tblW w:w="5000" w:type="pct"/>
        <w:tblBorders>
          <w:top w:val="single" w:sz="4" w:space="0" w:color="auto"/>
          <w:bottom w:val="single" w:sz="4" w:space="0" w:color="auto"/>
        </w:tblBorders>
        <w:tblLook w:val="04A0"/>
      </w:tblPr>
      <w:tblGrid>
        <w:gridCol w:w="817"/>
        <w:gridCol w:w="5954"/>
        <w:gridCol w:w="2515"/>
      </w:tblGrid>
      <w:tr w:rsidR="00E94405">
        <w:trPr>
          <w:trHeight w:val="414"/>
        </w:trPr>
        <w:tc>
          <w:tcPr>
            <w:tcW w:w="440" w:type="pct"/>
          </w:tcPr>
          <w:p w:rsidR="00E94405" w:rsidRDefault="00A11609">
            <w:pPr>
              <w:pStyle w:val="TableHeading"/>
              <w:rPr>
                <w:rFonts w:ascii="Cambria" w:hAnsi="Cambria"/>
              </w:rPr>
            </w:pPr>
            <w:r>
              <w:rPr>
                <w:rFonts w:ascii="Cambria" w:hAnsi="Cambria"/>
              </w:rPr>
              <w:t>Rule</w:t>
            </w:r>
          </w:p>
        </w:tc>
        <w:tc>
          <w:tcPr>
            <w:tcW w:w="3206" w:type="pct"/>
          </w:tcPr>
          <w:p w:rsidR="00E94405" w:rsidRDefault="00A11609">
            <w:pPr>
              <w:pStyle w:val="TableHeading"/>
              <w:rPr>
                <w:rFonts w:ascii="Cambria" w:hAnsi="Cambria"/>
              </w:rPr>
            </w:pPr>
            <w:r>
              <w:rPr>
                <w:rFonts w:ascii="Cambria" w:hAnsi="Cambria"/>
              </w:rPr>
              <w:t>The impact scores for consequences of direct and indirect criteria</w:t>
            </w:r>
          </w:p>
        </w:tc>
        <w:tc>
          <w:tcPr>
            <w:tcW w:w="1354" w:type="pct"/>
          </w:tcPr>
          <w:p w:rsidR="00E94405" w:rsidRDefault="00A11609">
            <w:pPr>
              <w:pStyle w:val="TableHeading"/>
              <w:rPr>
                <w:rFonts w:ascii="Cambria" w:hAnsi="Cambria"/>
              </w:rPr>
            </w:pPr>
            <w:r>
              <w:rPr>
                <w:rFonts w:ascii="Cambria" w:hAnsi="Cambria"/>
              </w:rPr>
              <w:t>Overall consequence rating</w:t>
            </w:r>
          </w:p>
        </w:tc>
      </w:tr>
      <w:tr w:rsidR="00E94405">
        <w:trPr>
          <w:trHeight w:val="414"/>
        </w:trPr>
        <w:tc>
          <w:tcPr>
            <w:tcW w:w="440" w:type="pct"/>
          </w:tcPr>
          <w:p w:rsidR="00E94405" w:rsidRDefault="00A11609">
            <w:pPr>
              <w:pStyle w:val="TableText"/>
              <w:rPr>
                <w:rFonts w:ascii="Cambria" w:hAnsi="Cambria"/>
              </w:rPr>
            </w:pPr>
            <w:r>
              <w:rPr>
                <w:rFonts w:ascii="Cambria" w:hAnsi="Cambria"/>
              </w:rPr>
              <w:t>1</w:t>
            </w:r>
          </w:p>
        </w:tc>
        <w:tc>
          <w:tcPr>
            <w:tcW w:w="3206" w:type="pct"/>
          </w:tcPr>
          <w:p w:rsidR="00E94405" w:rsidRDefault="00A11609">
            <w:pPr>
              <w:pStyle w:val="TableText"/>
              <w:rPr>
                <w:rFonts w:ascii="Cambria" w:hAnsi="Cambria"/>
              </w:rPr>
            </w:pPr>
            <w:r>
              <w:rPr>
                <w:rFonts w:ascii="Cambria" w:hAnsi="Cambria"/>
              </w:rPr>
              <w:t>Any criterion has an impact of ‘G’; or</w:t>
            </w:r>
            <w:r>
              <w:rPr>
                <w:rFonts w:ascii="Cambria" w:hAnsi="Cambria"/>
              </w:rPr>
              <w:br/>
              <w:t>more than one criterion has an impact of ‘F’; or</w:t>
            </w:r>
            <w:r>
              <w:rPr>
                <w:rFonts w:ascii="Cambria" w:hAnsi="Cambria"/>
              </w:rPr>
              <w:br/>
              <w:t>a single criterion has an impact of ‘F’ and each remaining criterion an ‘E’.</w:t>
            </w:r>
          </w:p>
        </w:tc>
        <w:tc>
          <w:tcPr>
            <w:tcW w:w="1354" w:type="pct"/>
          </w:tcPr>
          <w:p w:rsidR="00E94405" w:rsidRDefault="00A11609">
            <w:pPr>
              <w:pStyle w:val="TableText"/>
              <w:rPr>
                <w:rFonts w:ascii="Cambria" w:hAnsi="Cambria"/>
              </w:rPr>
            </w:pPr>
            <w:r>
              <w:rPr>
                <w:rFonts w:ascii="Cambria" w:hAnsi="Cambria"/>
              </w:rPr>
              <w:t>Extreme</w:t>
            </w:r>
          </w:p>
        </w:tc>
      </w:tr>
      <w:tr w:rsidR="00E94405">
        <w:trPr>
          <w:trHeight w:val="414"/>
        </w:trPr>
        <w:tc>
          <w:tcPr>
            <w:tcW w:w="440" w:type="pct"/>
          </w:tcPr>
          <w:p w:rsidR="00E94405" w:rsidRDefault="00A11609">
            <w:pPr>
              <w:pStyle w:val="TableText"/>
              <w:rPr>
                <w:rFonts w:ascii="Cambria" w:hAnsi="Cambria"/>
              </w:rPr>
            </w:pPr>
            <w:r>
              <w:rPr>
                <w:rFonts w:ascii="Cambria" w:hAnsi="Cambria"/>
              </w:rPr>
              <w:t>2</w:t>
            </w:r>
          </w:p>
        </w:tc>
        <w:tc>
          <w:tcPr>
            <w:tcW w:w="3206" w:type="pct"/>
          </w:tcPr>
          <w:p w:rsidR="00E94405" w:rsidRDefault="00A11609">
            <w:pPr>
              <w:pStyle w:val="TableText"/>
              <w:rPr>
                <w:rFonts w:ascii="Cambria" w:hAnsi="Cambria"/>
              </w:rPr>
            </w:pPr>
            <w:r>
              <w:rPr>
                <w:rFonts w:ascii="Cambria" w:hAnsi="Cambria"/>
              </w:rPr>
              <w:t>A single criterion has an impact of ‘F’; or</w:t>
            </w:r>
            <w:r>
              <w:rPr>
                <w:rFonts w:ascii="Cambria" w:hAnsi="Cambria"/>
              </w:rPr>
              <w:br/>
              <w:t>all criteria have an impact of ‘E’.</w:t>
            </w:r>
          </w:p>
        </w:tc>
        <w:tc>
          <w:tcPr>
            <w:tcW w:w="1354" w:type="pct"/>
          </w:tcPr>
          <w:p w:rsidR="00E94405" w:rsidRDefault="00A11609">
            <w:pPr>
              <w:pStyle w:val="TableText"/>
              <w:rPr>
                <w:rFonts w:ascii="Cambria" w:hAnsi="Cambria"/>
              </w:rPr>
            </w:pPr>
            <w:r>
              <w:rPr>
                <w:rFonts w:ascii="Cambria" w:hAnsi="Cambria"/>
              </w:rPr>
              <w:t>High</w:t>
            </w:r>
          </w:p>
        </w:tc>
      </w:tr>
      <w:tr w:rsidR="00E94405">
        <w:trPr>
          <w:trHeight w:val="414"/>
        </w:trPr>
        <w:tc>
          <w:tcPr>
            <w:tcW w:w="440" w:type="pct"/>
          </w:tcPr>
          <w:p w:rsidR="00E94405" w:rsidRDefault="00A11609">
            <w:pPr>
              <w:pStyle w:val="TableText"/>
              <w:rPr>
                <w:rFonts w:ascii="Cambria" w:hAnsi="Cambria"/>
              </w:rPr>
            </w:pPr>
            <w:r>
              <w:rPr>
                <w:rFonts w:ascii="Cambria" w:hAnsi="Cambria"/>
              </w:rPr>
              <w:t>3</w:t>
            </w:r>
          </w:p>
        </w:tc>
        <w:tc>
          <w:tcPr>
            <w:tcW w:w="3206" w:type="pct"/>
          </w:tcPr>
          <w:p w:rsidR="00E94405" w:rsidRDefault="00A11609">
            <w:pPr>
              <w:pStyle w:val="TableText"/>
              <w:rPr>
                <w:rFonts w:ascii="Cambria" w:hAnsi="Cambria"/>
              </w:rPr>
            </w:pPr>
            <w:r>
              <w:rPr>
                <w:rFonts w:ascii="Cambria" w:hAnsi="Cambria"/>
              </w:rPr>
              <w:t>One or more criteria have an impact of ‘E’; or</w:t>
            </w:r>
            <w:r>
              <w:rPr>
                <w:rFonts w:ascii="Cambria" w:hAnsi="Cambria"/>
              </w:rPr>
              <w:br/>
              <w:t>all criteria have an impact of ‘D’.</w:t>
            </w:r>
          </w:p>
        </w:tc>
        <w:tc>
          <w:tcPr>
            <w:tcW w:w="1354" w:type="pct"/>
          </w:tcPr>
          <w:p w:rsidR="00E94405" w:rsidRDefault="00A11609">
            <w:pPr>
              <w:pStyle w:val="TableText"/>
              <w:rPr>
                <w:rFonts w:ascii="Cambria" w:hAnsi="Cambria"/>
              </w:rPr>
            </w:pPr>
            <w:r>
              <w:rPr>
                <w:rFonts w:ascii="Cambria" w:hAnsi="Cambria"/>
              </w:rPr>
              <w:t>Moderate</w:t>
            </w:r>
          </w:p>
        </w:tc>
      </w:tr>
      <w:tr w:rsidR="00E94405">
        <w:trPr>
          <w:trHeight w:val="414"/>
        </w:trPr>
        <w:tc>
          <w:tcPr>
            <w:tcW w:w="440" w:type="pct"/>
          </w:tcPr>
          <w:p w:rsidR="00E94405" w:rsidRDefault="00A11609">
            <w:pPr>
              <w:pStyle w:val="TableText"/>
              <w:rPr>
                <w:rFonts w:ascii="Cambria" w:hAnsi="Cambria"/>
              </w:rPr>
            </w:pPr>
            <w:r>
              <w:rPr>
                <w:rFonts w:ascii="Cambria" w:hAnsi="Cambria"/>
              </w:rPr>
              <w:t>4</w:t>
            </w:r>
          </w:p>
        </w:tc>
        <w:tc>
          <w:tcPr>
            <w:tcW w:w="3206" w:type="pct"/>
          </w:tcPr>
          <w:p w:rsidR="00E94405" w:rsidRDefault="00A11609">
            <w:pPr>
              <w:pStyle w:val="TableText"/>
              <w:rPr>
                <w:rFonts w:ascii="Cambria" w:hAnsi="Cambria"/>
              </w:rPr>
            </w:pPr>
            <w:r>
              <w:rPr>
                <w:rFonts w:ascii="Cambria" w:hAnsi="Cambria"/>
              </w:rPr>
              <w:t>One or more criteria have an impact of ‘D’; or</w:t>
            </w:r>
            <w:r>
              <w:rPr>
                <w:rFonts w:ascii="Cambria" w:hAnsi="Cambria"/>
              </w:rPr>
              <w:br/>
              <w:t>all criteria have an impact of ‘C’.</w:t>
            </w:r>
          </w:p>
        </w:tc>
        <w:tc>
          <w:tcPr>
            <w:tcW w:w="1354" w:type="pct"/>
          </w:tcPr>
          <w:p w:rsidR="00E94405" w:rsidRDefault="00A11609">
            <w:pPr>
              <w:pStyle w:val="TableText"/>
              <w:rPr>
                <w:rFonts w:ascii="Cambria" w:hAnsi="Cambria"/>
              </w:rPr>
            </w:pPr>
            <w:r>
              <w:rPr>
                <w:rFonts w:ascii="Cambria" w:hAnsi="Cambria"/>
              </w:rPr>
              <w:t>Low</w:t>
            </w:r>
          </w:p>
        </w:tc>
      </w:tr>
      <w:tr w:rsidR="00E94405">
        <w:trPr>
          <w:trHeight w:val="414"/>
        </w:trPr>
        <w:tc>
          <w:tcPr>
            <w:tcW w:w="440" w:type="pct"/>
          </w:tcPr>
          <w:p w:rsidR="00E94405" w:rsidRDefault="00A11609">
            <w:pPr>
              <w:pStyle w:val="TableText"/>
              <w:rPr>
                <w:rFonts w:ascii="Cambria" w:hAnsi="Cambria"/>
              </w:rPr>
            </w:pPr>
            <w:r>
              <w:rPr>
                <w:rFonts w:ascii="Cambria" w:hAnsi="Cambria"/>
              </w:rPr>
              <w:t>5</w:t>
            </w:r>
          </w:p>
        </w:tc>
        <w:tc>
          <w:tcPr>
            <w:tcW w:w="3206" w:type="pct"/>
          </w:tcPr>
          <w:p w:rsidR="00E94405" w:rsidRDefault="00A11609">
            <w:pPr>
              <w:pStyle w:val="TableText"/>
              <w:rPr>
                <w:rFonts w:ascii="Cambria" w:hAnsi="Cambria"/>
              </w:rPr>
            </w:pPr>
            <w:r>
              <w:rPr>
                <w:rFonts w:ascii="Cambria" w:hAnsi="Cambria"/>
              </w:rPr>
              <w:t>One or more criteria have an impact of ‘C’; or</w:t>
            </w:r>
            <w:r>
              <w:rPr>
                <w:rFonts w:ascii="Cambria" w:hAnsi="Cambria"/>
              </w:rPr>
              <w:br/>
              <w:t>all criteria have an impact of ‘B’.</w:t>
            </w:r>
          </w:p>
        </w:tc>
        <w:tc>
          <w:tcPr>
            <w:tcW w:w="1354" w:type="pct"/>
          </w:tcPr>
          <w:p w:rsidR="00E94405" w:rsidRDefault="00A11609">
            <w:pPr>
              <w:pStyle w:val="TableText"/>
              <w:rPr>
                <w:rFonts w:ascii="Cambria" w:hAnsi="Cambria"/>
              </w:rPr>
            </w:pPr>
            <w:r>
              <w:rPr>
                <w:rFonts w:ascii="Cambria" w:hAnsi="Cambria"/>
              </w:rPr>
              <w:t>Very Low</w:t>
            </w:r>
          </w:p>
        </w:tc>
      </w:tr>
      <w:tr w:rsidR="00E94405">
        <w:trPr>
          <w:trHeight w:val="414"/>
        </w:trPr>
        <w:tc>
          <w:tcPr>
            <w:tcW w:w="440" w:type="pct"/>
          </w:tcPr>
          <w:p w:rsidR="00E94405" w:rsidRDefault="00A11609">
            <w:pPr>
              <w:pStyle w:val="TableText"/>
              <w:rPr>
                <w:rFonts w:ascii="Cambria" w:hAnsi="Cambria"/>
              </w:rPr>
            </w:pPr>
            <w:r>
              <w:rPr>
                <w:rFonts w:ascii="Cambria" w:hAnsi="Cambria"/>
              </w:rPr>
              <w:t>6</w:t>
            </w:r>
          </w:p>
        </w:tc>
        <w:tc>
          <w:tcPr>
            <w:tcW w:w="3206" w:type="pct"/>
          </w:tcPr>
          <w:p w:rsidR="00E94405" w:rsidRDefault="00A11609">
            <w:pPr>
              <w:pStyle w:val="TableText"/>
              <w:rPr>
                <w:rFonts w:ascii="Cambria" w:hAnsi="Cambria"/>
              </w:rPr>
            </w:pPr>
            <w:r>
              <w:rPr>
                <w:rFonts w:ascii="Cambria" w:hAnsi="Cambria"/>
              </w:rPr>
              <w:t>One or more but not all criteria have an impact of ‘B’, and</w:t>
            </w:r>
            <w:r>
              <w:rPr>
                <w:rFonts w:ascii="Cambria" w:hAnsi="Cambria"/>
              </w:rPr>
              <w:br/>
              <w:t>all remaining criteria have an impact of ‘A’.</w:t>
            </w:r>
          </w:p>
        </w:tc>
        <w:tc>
          <w:tcPr>
            <w:tcW w:w="1354" w:type="pct"/>
          </w:tcPr>
          <w:p w:rsidR="00E94405" w:rsidRDefault="00A11609">
            <w:pPr>
              <w:pStyle w:val="TableText"/>
              <w:rPr>
                <w:rFonts w:ascii="Cambria" w:hAnsi="Cambria"/>
              </w:rPr>
            </w:pPr>
            <w:r>
              <w:rPr>
                <w:rFonts w:ascii="Cambria" w:hAnsi="Cambria"/>
              </w:rPr>
              <w:t>Negligible</w:t>
            </w:r>
          </w:p>
        </w:tc>
      </w:tr>
    </w:tbl>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Estimation of the unrestricted risk</w:t>
      </w:r>
    </w:p>
    <w:p w:rsidR="00E94405" w:rsidRDefault="00A11609">
      <w:pPr>
        <w:spacing w:before="200"/>
        <w:rPr>
          <w:rFonts w:ascii="Cambria" w:hAnsi="Cambria"/>
        </w:rPr>
      </w:pPr>
      <w:r>
        <w:rPr>
          <w:rFonts w:ascii="Cambria" w:hAnsi="Cambria"/>
        </w:rPr>
        <w:t>Once the above assessments are completed, the unrestricted risk can be determined for each pest or groups of pests. This is determined by using a risk estimation matrix (Table 6) to combine the estimates of the probability of entry, establishment and spread and the overall consequences of pest establishment and spread. Therefore, risk is the product of likelihood and consequence.</w:t>
      </w:r>
    </w:p>
    <w:p w:rsidR="00E94405" w:rsidRDefault="00A11609">
      <w:pPr>
        <w:spacing w:before="200"/>
        <w:rPr>
          <w:rFonts w:ascii="Cambria" w:hAnsi="Cambria"/>
        </w:rPr>
      </w:pPr>
      <w:r>
        <w:rPr>
          <w:rFonts w:ascii="Cambria" w:hAnsi="Cambria"/>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w:t>
      </w:r>
      <w:r>
        <w:rPr>
          <w:rFonts w:ascii="Cambria" w:hAnsi="Cambria"/>
        </w:rPr>
        <w:lastRenderedPageBreak/>
        <w:t>symmetrical. For example, the former combination would give an unrestricted risk rating of ‘moderate’, whereas the latter would be rated as a ‘low’ unrestricted risk.</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67" w:name="_Toc384197748"/>
      <w:bookmarkStart w:id="68" w:name="_Toc384209836"/>
      <w:bookmarkStart w:id="69" w:name="_Toc384275080"/>
      <w:bookmarkStart w:id="70" w:name="_Toc388949921"/>
      <w:bookmarkStart w:id="71" w:name="_Toc414019473"/>
      <w:r>
        <w:rPr>
          <w:rFonts w:asciiTheme="majorHAnsi" w:eastAsiaTheme="majorEastAsia" w:hAnsiTheme="majorHAnsi" w:cstheme="majorBidi"/>
          <w:color w:val="595959" w:themeColor="text1" w:themeTint="A6"/>
          <w:sz w:val="20"/>
        </w:rPr>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6</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Risk estimation matrix</w:t>
      </w:r>
      <w:bookmarkEnd w:id="67"/>
      <w:bookmarkEnd w:id="68"/>
      <w:bookmarkEnd w:id="69"/>
      <w:bookmarkEnd w:id="70"/>
      <w:bookmarkEnd w:id="71"/>
    </w:p>
    <w:tbl>
      <w:tblPr>
        <w:tblW w:w="5000" w:type="pct"/>
        <w:tblLook w:val="0000"/>
      </w:tblPr>
      <w:tblGrid>
        <w:gridCol w:w="1472"/>
        <w:gridCol w:w="1302"/>
        <w:gridCol w:w="1302"/>
        <w:gridCol w:w="1304"/>
        <w:gridCol w:w="1302"/>
        <w:gridCol w:w="1302"/>
        <w:gridCol w:w="1302"/>
      </w:tblGrid>
      <w:tr w:rsidR="00E94405">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E94405" w:rsidRDefault="00A11609">
            <w:pPr>
              <w:pStyle w:val="TableHeading"/>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E94405" w:rsidRDefault="00A11609">
            <w:pPr>
              <w:pStyle w:val="TableHeading"/>
              <w:jc w:val="center"/>
            </w:pPr>
            <w:r>
              <w:t>Consequences of pest entry, establishment and spread</w:t>
            </w:r>
          </w:p>
        </w:tc>
      </w:tr>
      <w:tr w:rsidR="00E94405">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E94405" w:rsidRDefault="00E94405">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E94405" w:rsidRDefault="00A11609">
            <w:pPr>
              <w:pStyle w:val="TableText"/>
              <w:rPr>
                <w:b/>
              </w:rPr>
            </w:pPr>
            <w:r>
              <w:rPr>
                <w:b/>
              </w:rP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E94405" w:rsidRDefault="00A11609">
            <w:pPr>
              <w:pStyle w:val="TableText"/>
              <w:rPr>
                <w:b/>
              </w:rPr>
            </w:pPr>
            <w:r>
              <w:rPr>
                <w:b/>
              </w:rPr>
              <w:t>Very low</w:t>
            </w:r>
          </w:p>
        </w:tc>
        <w:tc>
          <w:tcPr>
            <w:tcW w:w="702" w:type="pct"/>
            <w:tcBorders>
              <w:top w:val="single" w:sz="4" w:space="0" w:color="BFBFBF" w:themeColor="background1" w:themeShade="BF"/>
              <w:bottom w:val="single" w:sz="8" w:space="0" w:color="C0C0C0"/>
            </w:tcBorders>
            <w:shd w:val="clear" w:color="auto" w:fill="auto"/>
            <w:vAlign w:val="bottom"/>
          </w:tcPr>
          <w:p w:rsidR="00E94405" w:rsidRDefault="00A11609">
            <w:pPr>
              <w:pStyle w:val="TableText"/>
              <w:rPr>
                <w:b/>
              </w:rPr>
            </w:pPr>
            <w:r>
              <w:rPr>
                <w:b/>
              </w:rP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E94405" w:rsidRDefault="00A11609">
            <w:pPr>
              <w:pStyle w:val="TableText"/>
              <w:rPr>
                <w:b/>
              </w:rPr>
            </w:pPr>
            <w:r>
              <w:rPr>
                <w:b/>
              </w:rPr>
              <w:t>Moderate</w:t>
            </w:r>
          </w:p>
        </w:tc>
        <w:tc>
          <w:tcPr>
            <w:tcW w:w="701" w:type="pct"/>
            <w:tcBorders>
              <w:top w:val="single" w:sz="4" w:space="0" w:color="BFBFBF" w:themeColor="background1" w:themeShade="BF"/>
              <w:bottom w:val="single" w:sz="8" w:space="0" w:color="C0C0C0"/>
            </w:tcBorders>
            <w:shd w:val="clear" w:color="auto" w:fill="auto"/>
            <w:vAlign w:val="bottom"/>
          </w:tcPr>
          <w:p w:rsidR="00E94405" w:rsidRDefault="00A11609">
            <w:pPr>
              <w:pStyle w:val="TableText"/>
              <w:rPr>
                <w:b/>
              </w:rPr>
            </w:pPr>
            <w:r>
              <w:rPr>
                <w:b/>
              </w:rP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E94405" w:rsidRDefault="00A11609">
            <w:pPr>
              <w:pStyle w:val="TableText"/>
              <w:rPr>
                <w:b/>
              </w:rPr>
            </w:pPr>
            <w:r>
              <w:rPr>
                <w:b/>
              </w:rPr>
              <w:t xml:space="preserve">Extreme </w:t>
            </w:r>
          </w:p>
        </w:tc>
      </w:tr>
      <w:tr w:rsidR="00E9440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E94405" w:rsidRDefault="00A11609">
            <w:pPr>
              <w:pStyle w:val="TableText"/>
              <w:rPr>
                <w:b/>
              </w:rPr>
            </w:pPr>
            <w:r>
              <w:rPr>
                <w:b/>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E94405" w:rsidRDefault="00A11609">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E94405" w:rsidRDefault="00A11609">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E94405" w:rsidRDefault="00A11609">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E94405" w:rsidRDefault="00A11609">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E94405" w:rsidRDefault="00A11609">
            <w:pPr>
              <w:pStyle w:val="TableText"/>
            </w:pPr>
            <w:r>
              <w:t>Extreme risk</w:t>
            </w:r>
          </w:p>
        </w:tc>
      </w:tr>
      <w:tr w:rsidR="00E9440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E94405" w:rsidRDefault="00A11609">
            <w:pPr>
              <w:pStyle w:val="TableText"/>
              <w:rPr>
                <w:b/>
              </w:rPr>
            </w:pPr>
            <w:r>
              <w:rPr>
                <w:b/>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E94405" w:rsidRDefault="00A11609">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E94405" w:rsidRDefault="00A11609">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E94405" w:rsidRDefault="00A11609">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E94405" w:rsidRDefault="00A11609">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E94405" w:rsidRDefault="00A11609">
            <w:pPr>
              <w:pStyle w:val="TableText"/>
            </w:pPr>
            <w:r>
              <w:t>Extreme risk</w:t>
            </w:r>
          </w:p>
        </w:tc>
      </w:tr>
      <w:tr w:rsidR="00E9440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E94405" w:rsidRDefault="00A11609">
            <w:pPr>
              <w:pStyle w:val="TableText"/>
              <w:rPr>
                <w:b/>
              </w:rPr>
            </w:pPr>
            <w:r>
              <w:rPr>
                <w:b/>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E94405" w:rsidRDefault="00A11609">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E94405" w:rsidRDefault="00A11609">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E94405" w:rsidRDefault="00A11609">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E94405" w:rsidRDefault="00A11609">
            <w:pPr>
              <w:pStyle w:val="TableText"/>
            </w:pPr>
            <w:r>
              <w:t>High risk</w:t>
            </w:r>
          </w:p>
        </w:tc>
      </w:tr>
      <w:tr w:rsidR="00E9440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E94405" w:rsidRDefault="00A11609">
            <w:pPr>
              <w:pStyle w:val="TableText"/>
              <w:rPr>
                <w:b/>
              </w:rPr>
            </w:pPr>
            <w:r>
              <w:rPr>
                <w:b/>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E94405" w:rsidRDefault="00A11609">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E94405" w:rsidRDefault="00A11609">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E94405" w:rsidRDefault="00A11609">
            <w:pPr>
              <w:pStyle w:val="TableText"/>
            </w:pPr>
            <w:r>
              <w:t>Moderate risk</w:t>
            </w:r>
          </w:p>
        </w:tc>
      </w:tr>
      <w:tr w:rsidR="00E9440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E94405" w:rsidRDefault="00A11609">
            <w:pPr>
              <w:pStyle w:val="TableText"/>
              <w:rPr>
                <w:b/>
              </w:rPr>
            </w:pPr>
            <w:r>
              <w:rPr>
                <w:b/>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E94405" w:rsidRDefault="00A11609">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E94405" w:rsidRDefault="00A11609">
            <w:pPr>
              <w:pStyle w:val="TableText"/>
            </w:pPr>
            <w:r>
              <w:t>Low risk</w:t>
            </w:r>
          </w:p>
        </w:tc>
      </w:tr>
      <w:tr w:rsidR="00E94405">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E94405" w:rsidRDefault="00A11609">
            <w:pPr>
              <w:pStyle w:val="TableText"/>
              <w:rPr>
                <w:b/>
              </w:rPr>
            </w:pPr>
            <w:r>
              <w:rPr>
                <w:b/>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E94405" w:rsidRDefault="00A11609">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E94405" w:rsidRDefault="00A11609">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E94405" w:rsidRDefault="00A11609">
            <w:pPr>
              <w:pStyle w:val="TableText"/>
              <w:rPr>
                <w:color w:val="FFFFFF"/>
              </w:rPr>
            </w:pPr>
            <w:r>
              <w:rPr>
                <w:color w:val="FFFFFF"/>
              </w:rPr>
              <w:t>Very low risk</w:t>
            </w:r>
          </w:p>
        </w:tc>
      </w:tr>
    </w:tbl>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Australia’s appropriate level of protection (ALOP)</w:t>
      </w:r>
    </w:p>
    <w:p w:rsidR="00E94405" w:rsidRDefault="00A11609">
      <w:pPr>
        <w:spacing w:before="200"/>
        <w:rPr>
          <w:rFonts w:ascii="Cambria" w:hAnsi="Cambria"/>
        </w:rPr>
      </w:pPr>
      <w:r>
        <w:rPr>
          <w:rFonts w:ascii="Cambria" w:hAnsi="Cambria"/>
        </w:rPr>
        <w:t>The Sanitary and Phytosanitary (SPS) Agreement defines the concept of an ‘appropriate level of sanitary or phytosanitary protection (ALOP)’ as the level of protection deemed appropriate by the World Trade Organisation (WTO) Member establishing a sanitary or phytosanitary measure to protect human, animal or plant life or health within its territory.</w:t>
      </w:r>
    </w:p>
    <w:p w:rsidR="00E94405" w:rsidRDefault="00A11609">
      <w:pPr>
        <w:spacing w:before="200"/>
        <w:rPr>
          <w:rFonts w:ascii="Cambria" w:hAnsi="Cambria"/>
        </w:rPr>
      </w:pPr>
      <w:r>
        <w:rPr>
          <w:rFonts w:ascii="Cambria" w:hAnsi="Cambria"/>
        </w:rP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6 marked ‘very low risk’ represents Australia’s ALOP.</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72" w:name="_Toc414019443"/>
      <w:r>
        <w:rPr>
          <w:rFonts w:eastAsiaTheme="majorEastAsia" w:cstheme="majorBidi"/>
          <w:color w:val="773141"/>
          <w:sz w:val="28"/>
        </w:rPr>
        <w:t>Stage 3: Pest risk management</w:t>
      </w:r>
      <w:bookmarkEnd w:id="72"/>
    </w:p>
    <w:p w:rsidR="00E94405" w:rsidRDefault="00A11609">
      <w:pPr>
        <w:spacing w:before="200"/>
        <w:rPr>
          <w:rFonts w:ascii="Cambria" w:hAnsi="Cambria"/>
        </w:rPr>
      </w:pPr>
      <w:r>
        <w:rPr>
          <w:rFonts w:ascii="Cambria" w:hAnsi="Cambria"/>
        </w:rPr>
        <w:t xml:space="preserve">Pest risk management evaluates and selects risk management options to reduce the risk of entry, establishment or spread of identified pests for the identified import pathways. </w:t>
      </w:r>
      <w:r>
        <w:rPr>
          <w:rFonts w:ascii="Cambria" w:hAnsi="Cambria"/>
          <w:bCs/>
        </w:rPr>
        <w:t>To effectively prevent the introduction of pests associated with an identified pathway, a series of important safeguards, conditions or phytosanitary measures must be in place. P</w:t>
      </w:r>
      <w:r>
        <w:rPr>
          <w:rFonts w:ascii="Cambria" w:hAnsi="Cambria"/>
        </w:rPr>
        <w:t>ropagative material represents a direct pathway for pests identified by the pest categorisation. This pathway is direct since the end-use is the planting of a known host plant.</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73" w:name="_Toc293921817"/>
      <w:bookmarkStart w:id="74" w:name="_Toc354738074"/>
      <w:r>
        <w:rPr>
          <w:rFonts w:ascii="Calibri" w:hAnsi="Calibri" w:cstheme="minorBidi"/>
          <w:sz w:val="24"/>
          <w:szCs w:val="22"/>
        </w:rPr>
        <w:t>Identification and selection of appropriate risk management options</w:t>
      </w:r>
      <w:bookmarkEnd w:id="73"/>
      <w:bookmarkEnd w:id="74"/>
    </w:p>
    <w:p w:rsidR="00E94405" w:rsidRDefault="00A11609">
      <w:pPr>
        <w:pStyle w:val="AQISText"/>
        <w:spacing w:before="200" w:line="276" w:lineRule="auto"/>
        <w:jc w:val="left"/>
        <w:rPr>
          <w:rFonts w:ascii="Cambria" w:hAnsi="Cambria"/>
          <w:szCs w:val="22"/>
        </w:rPr>
      </w:pPr>
      <w:r>
        <w:rPr>
          <w:rFonts w:ascii="Cambria" w:hAnsi="Cambria"/>
          <w:szCs w:val="22"/>
        </w:rPr>
        <w:t>Phytosanitary measures to prevent the establishment and spread of quarantine pests may include any combination of measures, including pre- or post-harvest treatments, inspection at various points between production and final distribution, surveillance, official control, documentation, or certification. A measure or combination of measures may be applied at any one or more points along the continuum between the point of origin and the final destination. Pest risk management explores options that can be implemented (i) in the exporting country, (ii) at the point of entry or (iii) within the importing country. The ultimate goal is to protect plants and prevent the introduction of identified quarantine pests.</w:t>
      </w:r>
    </w:p>
    <w:p w:rsidR="00E94405" w:rsidRDefault="00A11609">
      <w:pPr>
        <w:pStyle w:val="AQISText"/>
        <w:spacing w:before="200" w:line="276" w:lineRule="auto"/>
        <w:jc w:val="left"/>
        <w:rPr>
          <w:rFonts w:ascii="Cambria" w:hAnsi="Cambria"/>
          <w:szCs w:val="22"/>
        </w:rPr>
      </w:pPr>
      <w:r>
        <w:rPr>
          <w:rFonts w:ascii="Cambria" w:hAnsi="Cambria"/>
          <w:szCs w:val="22"/>
        </w:rPr>
        <w:lastRenderedPageBreak/>
        <w:t>Examples of phytosanitary measures which may be applied to propagative material consignments include:</w:t>
      </w:r>
    </w:p>
    <w:p w:rsidR="00E94405" w:rsidRDefault="00A11609">
      <w:pPr>
        <w:pStyle w:val="ListBullet"/>
        <w:tabs>
          <w:tab w:val="clear" w:pos="360"/>
          <w:tab w:val="num" w:pos="284"/>
        </w:tabs>
        <w:ind w:left="284" w:hanging="284"/>
        <w:rPr>
          <w:rFonts w:ascii="Cambria" w:hAnsi="Cambria"/>
        </w:rPr>
      </w:pPr>
      <w:r>
        <w:rPr>
          <w:rFonts w:ascii="Cambria" w:hAnsi="Cambria"/>
          <w:b/>
        </w:rPr>
        <w:t xml:space="preserve">Import from pest free areas only </w:t>
      </w:r>
      <w:r>
        <w:rPr>
          <w:rFonts w:ascii="Cambria" w:hAnsi="Cambria"/>
        </w:rPr>
        <w:t>(</w:t>
      </w:r>
      <w:r>
        <w:rPr>
          <w:rFonts w:ascii="Cambria" w:hAnsi="Cambria"/>
          <w:b/>
        </w:rPr>
        <w:t>ISPM 4, 10</w:t>
      </w:r>
      <w:r>
        <w:rPr>
          <w:rFonts w:ascii="Cambria" w:hAnsi="Cambria"/>
        </w:rPr>
        <w:t>)—the establishment and use of a pest free area by a National Plant Protection Organisation (NPPO) provides for the export of plants from the exporting country to the importing country without the need for application of additional phytosanitary measures when certain requirements are met.</w:t>
      </w:r>
    </w:p>
    <w:p w:rsidR="00E94405" w:rsidRDefault="00A11609">
      <w:pPr>
        <w:pStyle w:val="ListBullet"/>
        <w:tabs>
          <w:tab w:val="clear" w:pos="360"/>
          <w:tab w:val="num" w:pos="284"/>
        </w:tabs>
        <w:ind w:left="284" w:hanging="284"/>
        <w:rPr>
          <w:rFonts w:ascii="Cambria" w:hAnsi="Cambria"/>
        </w:rPr>
      </w:pPr>
      <w:r>
        <w:rPr>
          <w:rFonts w:ascii="Cambria" w:hAnsi="Cambria"/>
          <w:b/>
        </w:rPr>
        <w:t>Inspections or testing for freedom from regulated pests</w:t>
      </w:r>
      <w:r>
        <w:rPr>
          <w:rFonts w:ascii="Cambria" w:hAnsi="Cambria"/>
        </w:rPr>
        <w:t>—this is a practical measure for visible pests or for pests which produce visible symptoms on plants.</w:t>
      </w:r>
    </w:p>
    <w:p w:rsidR="00E94405" w:rsidRDefault="00A11609">
      <w:pPr>
        <w:pStyle w:val="ListBullet"/>
        <w:tabs>
          <w:tab w:val="clear" w:pos="360"/>
          <w:tab w:val="num" w:pos="284"/>
        </w:tabs>
        <w:ind w:left="284" w:hanging="284"/>
        <w:rPr>
          <w:rFonts w:ascii="Cambria" w:hAnsi="Cambria"/>
        </w:rPr>
      </w:pPr>
      <w:r>
        <w:rPr>
          <w:rFonts w:ascii="Cambria" w:hAnsi="Cambria"/>
          <w:b/>
        </w:rPr>
        <w:t>Inspection and certification</w:t>
      </w:r>
      <w:r>
        <w:rPr>
          <w:rFonts w:ascii="Cambria" w:hAnsi="Cambria"/>
        </w:rPr>
        <w:t xml:space="preserve"> (</w:t>
      </w:r>
      <w:r>
        <w:rPr>
          <w:rFonts w:ascii="Cambria" w:hAnsi="Cambria"/>
          <w:b/>
        </w:rPr>
        <w:t>ISPM 7, 12, 23</w:t>
      </w:r>
      <w:r>
        <w:rPr>
          <w:rFonts w:ascii="Cambria" w:hAnsi="Cambria"/>
        </w:rPr>
        <w:t>)—the exporting country may be asked to inspect the shipment and certify that the shipment is free from regulated pests before export.</w:t>
      </w:r>
    </w:p>
    <w:p w:rsidR="00E94405" w:rsidRDefault="00A11609">
      <w:pPr>
        <w:pStyle w:val="ListBullet"/>
        <w:tabs>
          <w:tab w:val="clear" w:pos="360"/>
          <w:tab w:val="num" w:pos="284"/>
        </w:tabs>
        <w:ind w:left="284" w:hanging="284"/>
        <w:rPr>
          <w:rFonts w:ascii="Cambria" w:hAnsi="Cambria"/>
        </w:rPr>
      </w:pPr>
      <w:r>
        <w:rPr>
          <w:rFonts w:ascii="Cambria" w:hAnsi="Cambria"/>
          <w:b/>
        </w:rPr>
        <w:t>Specified conditions for preparation of the consignment</w:t>
      </w:r>
      <w:r>
        <w:rPr>
          <w:rFonts w:ascii="Cambria" w:hAnsi="Cambria"/>
        </w:rPr>
        <w:t>—the importing country may specify steps that must be followed in order to prepare the consignment for shipment. These conditions can include the requirement for plants to be produced from appropriately tested parent material.</w:t>
      </w:r>
    </w:p>
    <w:p w:rsidR="00E94405" w:rsidRDefault="00A11609">
      <w:pPr>
        <w:pStyle w:val="ListBullet"/>
        <w:tabs>
          <w:tab w:val="clear" w:pos="360"/>
          <w:tab w:val="num" w:pos="284"/>
        </w:tabs>
        <w:ind w:left="284" w:hanging="284"/>
        <w:rPr>
          <w:rFonts w:ascii="Cambria" w:hAnsi="Cambria"/>
        </w:rPr>
      </w:pPr>
      <w:r>
        <w:rPr>
          <w:rFonts w:ascii="Cambria" w:hAnsi="Cambria"/>
          <w:b/>
        </w:rPr>
        <w:t>Pre-entry or post-entry quarantine</w:t>
      </w:r>
      <w:r>
        <w:rPr>
          <w:rFonts w:ascii="Cambria" w:hAnsi="Cambria"/>
        </w:rPr>
        <w:t>—the importing country may define certain control conditions, inspection and possible treatment of shipments upon their entry into the country. Post-entry quarantine (PEQ) of dormant cuttings, seed and even tissue cultures (</w:t>
      </w:r>
      <w:r>
        <w:rPr>
          <w:rFonts w:ascii="Cambria" w:hAnsi="Cambria"/>
          <w:i/>
        </w:rPr>
        <w:t>in vitro</w:t>
      </w:r>
      <w:r>
        <w:rPr>
          <w:rFonts w:ascii="Cambria" w:hAnsi="Cambria"/>
        </w:rPr>
        <w:t xml:space="preserve"> plantlets) can help avoid the introduction of new viruses or allied pathogens into the importing countries.</w:t>
      </w:r>
    </w:p>
    <w:p w:rsidR="00E94405" w:rsidRDefault="00A11609">
      <w:pPr>
        <w:pStyle w:val="ListBullet"/>
        <w:tabs>
          <w:tab w:val="clear" w:pos="360"/>
          <w:tab w:val="num" w:pos="284"/>
        </w:tabs>
        <w:ind w:left="284" w:hanging="284"/>
        <w:rPr>
          <w:rFonts w:ascii="Cambria" w:hAnsi="Cambria"/>
        </w:rPr>
      </w:pPr>
      <w:r>
        <w:rPr>
          <w:rFonts w:ascii="Cambria" w:hAnsi="Cambria"/>
          <w:b/>
        </w:rPr>
        <w:t>Removal of the pest from the consignment by treatment or other methods</w:t>
      </w:r>
      <w:r>
        <w:rPr>
          <w:rFonts w:ascii="Cambria" w:hAnsi="Cambria"/>
        </w:rPr>
        <w:t>—the importing country may specify chemical or physical treatments that must be applied to the consignment before it may be imported.</w:t>
      </w:r>
    </w:p>
    <w:p w:rsidR="00E94405" w:rsidRDefault="00A11609">
      <w:pPr>
        <w:pStyle w:val="AQISText"/>
        <w:spacing w:before="200" w:line="276" w:lineRule="auto"/>
        <w:jc w:val="left"/>
        <w:rPr>
          <w:rFonts w:ascii="Cambria" w:hAnsi="Cambria"/>
          <w:szCs w:val="22"/>
        </w:rPr>
      </w:pPr>
      <w:r>
        <w:rPr>
          <w:rFonts w:ascii="Cambria" w:hAnsi="Cambria"/>
          <w:szCs w:val="22"/>
        </w:rPr>
        <w:t>Measures can range from total prohibition to permitting imports subject to visual inspection. In some cases, more than one phytosanitary measure may be required in order to reduce the pest risk to an acceptable level.</w:t>
      </w:r>
    </w:p>
    <w:p w:rsidR="00E94405" w:rsidRDefault="00E94405">
      <w:pPr>
        <w:spacing w:line="280" w:lineRule="atLeast"/>
      </w:pPr>
    </w:p>
    <w:p w:rsidR="00E94405" w:rsidRDefault="00E94405">
      <w:pPr>
        <w:pStyle w:val="Heading1Numbered"/>
        <w:sectPr w:rsidR="00E94405">
          <w:headerReference w:type="default" r:id="rId32"/>
          <w:pgSz w:w="11906" w:h="16838"/>
          <w:pgMar w:top="1418" w:right="1418" w:bottom="1418" w:left="1418" w:header="567" w:footer="283" w:gutter="0"/>
          <w:cols w:space="708"/>
          <w:docGrid w:linePitch="360"/>
        </w:sectPr>
      </w:pPr>
      <w:bookmarkStart w:id="75" w:name="_Toc384279550"/>
    </w:p>
    <w:p w:rsidR="00E94405" w:rsidRDefault="00A11609">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76" w:name="_Toc414019444"/>
      <w:r>
        <w:rPr>
          <w:rFonts w:eastAsiaTheme="majorEastAsia" w:cstheme="majorBidi"/>
          <w:b/>
          <w:color w:val="D52B1E"/>
          <w:sz w:val="34"/>
        </w:rPr>
        <w:lastRenderedPageBreak/>
        <w:t>The pathogens</w:t>
      </w:r>
      <w:bookmarkEnd w:id="75"/>
      <w:bookmarkEnd w:id="76"/>
    </w:p>
    <w:p w:rsidR="00E94405" w:rsidRDefault="00A11609">
      <w:pPr>
        <w:autoSpaceDE w:val="0"/>
        <w:autoSpaceDN w:val="0"/>
        <w:adjustRightInd w:val="0"/>
        <w:spacing w:before="200"/>
        <w:rPr>
          <w:rFonts w:ascii="Cambria" w:hAnsi="Cambria"/>
        </w:rPr>
      </w:pPr>
      <w:r>
        <w:rPr>
          <w:rFonts w:ascii="Cambria" w:hAnsi="Cambria"/>
        </w:rPr>
        <w:t xml:space="preserve">The genus </w:t>
      </w:r>
      <w:r>
        <w:rPr>
          <w:rFonts w:ascii="Cambria" w:hAnsi="Cambria"/>
          <w:i/>
          <w:iCs/>
        </w:rPr>
        <w:t xml:space="preserve">Phytophthora </w:t>
      </w:r>
      <w:r>
        <w:rPr>
          <w:rFonts w:ascii="Cambria" w:hAnsi="Cambria"/>
        </w:rPr>
        <w:t xml:space="preserve">comprises over 117 described species worldwide (Martin </w:t>
      </w:r>
      <w:r>
        <w:rPr>
          <w:rFonts w:ascii="Cambria" w:hAnsi="Cambria"/>
          <w:iCs/>
        </w:rPr>
        <w:t>et al</w:t>
      </w:r>
      <w:r>
        <w:rPr>
          <w:rFonts w:ascii="Cambria" w:hAnsi="Cambria"/>
        </w:rPr>
        <w:t xml:space="preserve">. 2012) with some </w:t>
      </w:r>
      <w:r>
        <w:rPr>
          <w:rFonts w:ascii="Cambria" w:hAnsi="Cambria"/>
          <w:i/>
        </w:rPr>
        <w:t xml:space="preserve">Phytophthora </w:t>
      </w:r>
      <w:r>
        <w:rPr>
          <w:rFonts w:ascii="Cambria" w:hAnsi="Cambria"/>
        </w:rPr>
        <w:t xml:space="preserve">species being well known pathogens of agriculture, nursery and forestry industries (Birch &amp; Whisson 2001; Erwin &amp; Ribeiro 1996; Orlikowski et al. 2010; Weste &amp; Marks 1987). Since 1990, there has been a dramatic increase in the number of </w:t>
      </w:r>
      <w:r>
        <w:rPr>
          <w:rFonts w:ascii="Cambria" w:hAnsi="Cambria"/>
          <w:i/>
          <w:iCs/>
        </w:rPr>
        <w:t xml:space="preserve">Phytophthora </w:t>
      </w:r>
      <w:r>
        <w:rPr>
          <w:rFonts w:ascii="Cambria" w:hAnsi="Cambria"/>
        </w:rPr>
        <w:t xml:space="preserve">species isolated, </w:t>
      </w:r>
      <w:r>
        <w:rPr>
          <w:rFonts w:ascii="Cambria" w:hAnsi="Cambria"/>
          <w:color w:val="000000" w:themeColor="text1"/>
        </w:rPr>
        <w:t xml:space="preserve">identified and described (Werres </w:t>
      </w:r>
      <w:r>
        <w:rPr>
          <w:rFonts w:ascii="Cambria" w:hAnsi="Cambria"/>
          <w:iCs/>
          <w:color w:val="000000" w:themeColor="text1"/>
        </w:rPr>
        <w:t>et al</w:t>
      </w:r>
      <w:r>
        <w:rPr>
          <w:rFonts w:ascii="Cambria" w:hAnsi="Cambria"/>
          <w:color w:val="000000" w:themeColor="text1"/>
        </w:rPr>
        <w:t xml:space="preserve">. 2001; Hansen </w:t>
      </w:r>
      <w:r>
        <w:rPr>
          <w:rFonts w:ascii="Cambria" w:hAnsi="Cambria"/>
          <w:iCs/>
          <w:color w:val="000000" w:themeColor="text1"/>
        </w:rPr>
        <w:t>et al</w:t>
      </w:r>
      <w:r>
        <w:rPr>
          <w:rFonts w:ascii="Cambria" w:hAnsi="Cambria"/>
          <w:color w:val="000000" w:themeColor="text1"/>
        </w:rPr>
        <w:t xml:space="preserve">. 2003a; Jung </w:t>
      </w:r>
      <w:r>
        <w:rPr>
          <w:rFonts w:ascii="Cambria" w:hAnsi="Cambria"/>
          <w:iCs/>
          <w:color w:val="000000" w:themeColor="text1"/>
        </w:rPr>
        <w:t>et al</w:t>
      </w:r>
      <w:r>
        <w:rPr>
          <w:rFonts w:ascii="Cambria" w:hAnsi="Cambria"/>
          <w:color w:val="000000" w:themeColor="text1"/>
        </w:rPr>
        <w:t xml:space="preserve">. 2003; Brasier </w:t>
      </w:r>
      <w:r>
        <w:rPr>
          <w:rFonts w:ascii="Cambria" w:hAnsi="Cambria"/>
          <w:iCs/>
          <w:color w:val="000000" w:themeColor="text1"/>
        </w:rPr>
        <w:t>et al</w:t>
      </w:r>
      <w:r>
        <w:rPr>
          <w:rFonts w:ascii="Cambria" w:hAnsi="Cambria"/>
          <w:color w:val="000000" w:themeColor="text1"/>
        </w:rPr>
        <w:t xml:space="preserve">. 2005; Donahoo </w:t>
      </w:r>
      <w:r>
        <w:rPr>
          <w:rFonts w:ascii="Cambria" w:hAnsi="Cambria"/>
          <w:iCs/>
          <w:color w:val="000000" w:themeColor="text1"/>
        </w:rPr>
        <w:t>et al</w:t>
      </w:r>
      <w:r>
        <w:rPr>
          <w:rFonts w:ascii="Cambria" w:hAnsi="Cambria"/>
          <w:color w:val="000000" w:themeColor="text1"/>
        </w:rPr>
        <w:t xml:space="preserve">. 2006; Durán </w:t>
      </w:r>
      <w:r>
        <w:rPr>
          <w:rFonts w:ascii="Cambria" w:hAnsi="Cambria"/>
          <w:iCs/>
          <w:color w:val="000000" w:themeColor="text1"/>
        </w:rPr>
        <w:t>et al</w:t>
      </w:r>
      <w:r>
        <w:rPr>
          <w:rFonts w:ascii="Cambria" w:hAnsi="Cambria"/>
          <w:color w:val="000000" w:themeColor="text1"/>
        </w:rPr>
        <w:t xml:space="preserve">. 2008; Mostowfizadeh-Ghalamfarsa </w:t>
      </w:r>
      <w:r>
        <w:rPr>
          <w:rFonts w:ascii="Cambria" w:hAnsi="Cambria"/>
          <w:iCs/>
          <w:color w:val="000000" w:themeColor="text1"/>
        </w:rPr>
        <w:t>et al</w:t>
      </w:r>
      <w:r>
        <w:rPr>
          <w:rFonts w:ascii="Cambria" w:hAnsi="Cambria"/>
          <w:color w:val="000000" w:themeColor="text1"/>
        </w:rPr>
        <w:t xml:space="preserve">. 2008). </w:t>
      </w:r>
      <w:r>
        <w:rPr>
          <w:rFonts w:ascii="Cambria" w:hAnsi="Cambria"/>
        </w:rPr>
        <w:t xml:space="preserve">Surveys conducted in response to </w:t>
      </w:r>
      <w:r>
        <w:rPr>
          <w:rFonts w:ascii="Cambria" w:hAnsi="Cambria"/>
          <w:i/>
          <w:iCs/>
        </w:rPr>
        <w:t>P. ramorum</w:t>
      </w:r>
      <w:r>
        <w:rPr>
          <w:rFonts w:ascii="Cambria" w:hAnsi="Cambria"/>
        </w:rPr>
        <w:t xml:space="preserve"> have identified several new species of </w:t>
      </w:r>
      <w:r>
        <w:rPr>
          <w:rFonts w:ascii="Cambria" w:hAnsi="Cambria"/>
          <w:i/>
          <w:iCs/>
        </w:rPr>
        <w:t xml:space="preserve">Phytophthora </w:t>
      </w:r>
      <w:r>
        <w:rPr>
          <w:rFonts w:ascii="Cambria" w:hAnsi="Cambria"/>
        </w:rPr>
        <w:t xml:space="preserve">on ornamental plants and forests in Europe and the United States of America (USA) (Theman </w:t>
      </w:r>
      <w:r>
        <w:rPr>
          <w:rFonts w:ascii="Cambria" w:hAnsi="Cambria"/>
          <w:iCs/>
        </w:rPr>
        <w:t>et al</w:t>
      </w:r>
      <w:r>
        <w:rPr>
          <w:rFonts w:ascii="Cambria" w:hAnsi="Cambria"/>
        </w:rPr>
        <w:t xml:space="preserve">. 2002; Jung </w:t>
      </w:r>
      <w:r>
        <w:rPr>
          <w:rFonts w:ascii="Cambria" w:hAnsi="Cambria"/>
          <w:iCs/>
        </w:rPr>
        <w:t>et al</w:t>
      </w:r>
      <w:r>
        <w:rPr>
          <w:rFonts w:ascii="Cambria" w:hAnsi="Cambria"/>
        </w:rPr>
        <w:t xml:space="preserve">. 2003; Hansen </w:t>
      </w:r>
      <w:r>
        <w:rPr>
          <w:rFonts w:ascii="Cambria" w:hAnsi="Cambria"/>
          <w:iCs/>
        </w:rPr>
        <w:t>et al</w:t>
      </w:r>
      <w:r>
        <w:rPr>
          <w:rFonts w:ascii="Cambria" w:hAnsi="Cambria"/>
        </w:rPr>
        <w:t xml:space="preserve">. 2003a; Blomquist </w:t>
      </w:r>
      <w:r>
        <w:rPr>
          <w:rFonts w:ascii="Cambria" w:hAnsi="Cambria"/>
          <w:iCs/>
        </w:rPr>
        <w:t>et al</w:t>
      </w:r>
      <w:r>
        <w:rPr>
          <w:rFonts w:ascii="Cambria" w:hAnsi="Cambria"/>
        </w:rPr>
        <w:t xml:space="preserve">. 2005; Donahoo </w:t>
      </w:r>
      <w:r>
        <w:rPr>
          <w:rFonts w:ascii="Cambria" w:hAnsi="Cambria"/>
          <w:iCs/>
        </w:rPr>
        <w:t>et al</w:t>
      </w:r>
      <w:r>
        <w:rPr>
          <w:rFonts w:ascii="Cambria" w:hAnsi="Cambria"/>
        </w:rPr>
        <w:t xml:space="preserve">. 2006; Hong </w:t>
      </w:r>
      <w:r>
        <w:rPr>
          <w:rFonts w:ascii="Cambria" w:hAnsi="Cambria"/>
          <w:iCs/>
        </w:rPr>
        <w:t>et al</w:t>
      </w:r>
      <w:r>
        <w:rPr>
          <w:rFonts w:ascii="Cambria" w:hAnsi="Cambria"/>
        </w:rPr>
        <w:t xml:space="preserve">. 2008; Schwingle </w:t>
      </w:r>
      <w:r>
        <w:rPr>
          <w:rFonts w:ascii="Cambria" w:hAnsi="Cambria"/>
          <w:iCs/>
        </w:rPr>
        <w:t>et al</w:t>
      </w:r>
      <w:r>
        <w:rPr>
          <w:rFonts w:ascii="Cambria" w:hAnsi="Cambria"/>
        </w:rPr>
        <w:t xml:space="preserve">. 2006; 2007; Schwingle &amp; Blanchette 2008; Moralejo </w:t>
      </w:r>
      <w:r>
        <w:rPr>
          <w:rFonts w:ascii="Cambria" w:hAnsi="Cambria"/>
          <w:iCs/>
        </w:rPr>
        <w:t>et al</w:t>
      </w:r>
      <w:r>
        <w:rPr>
          <w:rFonts w:ascii="Cambria" w:hAnsi="Cambria"/>
        </w:rPr>
        <w:t xml:space="preserve">.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w:t>
      </w:r>
    </w:p>
    <w:p w:rsidR="00E94405" w:rsidRDefault="00A11609">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was first described as a new </w:t>
      </w:r>
      <w:r>
        <w:rPr>
          <w:rFonts w:ascii="Cambria" w:hAnsi="Cambria"/>
          <w:i/>
          <w:iCs/>
        </w:rPr>
        <w:t xml:space="preserve">Phytophthora </w:t>
      </w:r>
      <w:r>
        <w:rPr>
          <w:rFonts w:ascii="Cambria" w:hAnsi="Cambria"/>
        </w:rPr>
        <w:t xml:space="preserve">species on </w:t>
      </w:r>
      <w:r>
        <w:rPr>
          <w:rFonts w:ascii="Cambria" w:hAnsi="Cambria"/>
          <w:i/>
          <w:iCs/>
        </w:rPr>
        <w:t xml:space="preserve">Rhododendron </w:t>
      </w:r>
      <w:r>
        <w:rPr>
          <w:rFonts w:ascii="Cambria" w:hAnsi="Cambria"/>
        </w:rPr>
        <w:t xml:space="preserve">and </w:t>
      </w:r>
      <w:r>
        <w:rPr>
          <w:rFonts w:ascii="Cambria" w:hAnsi="Cambria"/>
          <w:i/>
          <w:iCs/>
        </w:rPr>
        <w:t xml:space="preserve">Viburnum </w:t>
      </w:r>
      <w:r>
        <w:rPr>
          <w:rFonts w:ascii="Cambria" w:hAnsi="Cambria"/>
        </w:rPr>
        <w:t xml:space="preserve">in Germany and the Netherlands (Werres </w:t>
      </w:r>
      <w:r>
        <w:rPr>
          <w:rFonts w:ascii="Cambria" w:hAnsi="Cambria"/>
          <w:iCs/>
        </w:rPr>
        <w:t>et al</w:t>
      </w:r>
      <w:r>
        <w:rPr>
          <w:rFonts w:ascii="Cambria" w:hAnsi="Cambria"/>
        </w:rPr>
        <w:t xml:space="preserve">. 2001). </w:t>
      </w:r>
      <w:r>
        <w:rPr>
          <w:rFonts w:ascii="Cambria" w:hAnsi="Cambria"/>
          <w:i/>
          <w:iCs/>
        </w:rPr>
        <w:t xml:space="preserve">Phytophthora kernoviae </w:t>
      </w:r>
      <w:r>
        <w:rPr>
          <w:rFonts w:ascii="Cambria" w:hAnsi="Cambria"/>
        </w:rPr>
        <w:t xml:space="preserve">was first recorded in New Zealand in the 1950s but </w:t>
      </w:r>
      <w:r>
        <w:rPr>
          <w:rFonts w:ascii="Cambria" w:hAnsi="Cambria"/>
          <w:iCs/>
        </w:rPr>
        <w:t>was</w:t>
      </w:r>
      <w:r>
        <w:rPr>
          <w:rFonts w:ascii="Cambria" w:hAnsi="Cambria"/>
        </w:rPr>
        <w:t xml:space="preserve"> described only in 2005 (Brasier </w:t>
      </w:r>
      <w:r>
        <w:rPr>
          <w:rFonts w:ascii="Cambria" w:hAnsi="Cambria"/>
          <w:iCs/>
        </w:rPr>
        <w:t>et al</w:t>
      </w:r>
      <w:r>
        <w:rPr>
          <w:rFonts w:ascii="Cambria" w:hAnsi="Cambria"/>
        </w:rPr>
        <w:t xml:space="preserve">. 2005) and was previously known as </w:t>
      </w:r>
      <w:r>
        <w:rPr>
          <w:rFonts w:ascii="Cambria" w:hAnsi="Cambria"/>
          <w:i/>
        </w:rPr>
        <w:t xml:space="preserve">Phytophthora </w:t>
      </w:r>
      <w:r>
        <w:rPr>
          <w:rFonts w:ascii="Cambria" w:hAnsi="Cambria"/>
        </w:rPr>
        <w:t xml:space="preserve">taxon C (Hughes et al. 2005). Two </w:t>
      </w:r>
      <w:r>
        <w:rPr>
          <w:rFonts w:ascii="Cambria" w:hAnsi="Cambria"/>
          <w:i/>
          <w:iCs/>
        </w:rPr>
        <w:t>Phytophthora</w:t>
      </w:r>
      <w:r>
        <w:rPr>
          <w:rFonts w:ascii="Cambria" w:hAnsi="Cambria"/>
        </w:rPr>
        <w:t xml:space="preserve"> species that have an aerial habit were frequently isolated from the foliage and stems of some of the same hosts as </w:t>
      </w:r>
      <w:r>
        <w:rPr>
          <w:rFonts w:ascii="Cambria" w:hAnsi="Cambria"/>
          <w:i/>
        </w:rPr>
        <w:t xml:space="preserve">P. ramorum </w:t>
      </w:r>
      <w:r>
        <w:rPr>
          <w:rFonts w:ascii="Cambria" w:hAnsi="Cambria"/>
        </w:rPr>
        <w:t xml:space="preserve">in California and Oregon (Rizzo et al. 2002a; Hansen et al. 2003a; Martin &amp; Tooley 2003). These </w:t>
      </w:r>
      <w:r>
        <w:rPr>
          <w:rFonts w:ascii="Cambria" w:hAnsi="Cambria"/>
          <w:i/>
        </w:rPr>
        <w:t>Phytophthora</w:t>
      </w:r>
      <w:r>
        <w:rPr>
          <w:rFonts w:ascii="Cambria" w:hAnsi="Cambria"/>
        </w:rPr>
        <w:t xml:space="preserve"> species were initially referred to as </w:t>
      </w:r>
      <w:r>
        <w:rPr>
          <w:rFonts w:ascii="Cambria" w:hAnsi="Cambria"/>
          <w:i/>
        </w:rPr>
        <w:t>P. ilicis</w:t>
      </w:r>
      <w:r>
        <w:rPr>
          <w:rFonts w:ascii="Cambria" w:hAnsi="Cambria"/>
        </w:rPr>
        <w:t xml:space="preserve">-like due to morphological and DNA sequence similarities with the leaf and twig blight pathogen of English holly (Rizzo et al. 2002a). However, later on it was determined that the </w:t>
      </w:r>
      <w:r>
        <w:rPr>
          <w:rFonts w:ascii="Cambria" w:hAnsi="Cambria"/>
          <w:i/>
        </w:rPr>
        <w:t>P. ilicis</w:t>
      </w:r>
      <w:r>
        <w:rPr>
          <w:rFonts w:ascii="Cambria" w:hAnsi="Cambria"/>
        </w:rPr>
        <w:t xml:space="preserve">-like species comprised of two separate taxa; one species was subsequently described as </w:t>
      </w:r>
      <w:r>
        <w:rPr>
          <w:rFonts w:ascii="Cambria" w:hAnsi="Cambria"/>
          <w:i/>
        </w:rPr>
        <w:t>P. nemorosa</w:t>
      </w:r>
      <w:r>
        <w:rPr>
          <w:rFonts w:ascii="Cambria" w:hAnsi="Cambria"/>
        </w:rPr>
        <w:t xml:space="preserve"> (Hansen et al. 2003a) and the other identified as </w:t>
      </w:r>
      <w:r>
        <w:rPr>
          <w:rFonts w:ascii="Cambria" w:hAnsi="Cambria"/>
          <w:i/>
        </w:rPr>
        <w:t>P. pseudosyringae</w:t>
      </w:r>
      <w:r>
        <w:rPr>
          <w:rFonts w:ascii="Cambria" w:hAnsi="Cambria"/>
        </w:rPr>
        <w:t xml:space="preserve"> (Martin &amp; Tooley 2003; Ivors et al. 2004; Martin et al. 2004). </w:t>
      </w:r>
      <w:r>
        <w:rPr>
          <w:rFonts w:ascii="Cambria" w:hAnsi="Cambria"/>
          <w:i/>
        </w:rPr>
        <w:t>Phytophthora nemorosa</w:t>
      </w:r>
      <w:r>
        <w:rPr>
          <w:rFonts w:ascii="Cambria" w:hAnsi="Cambria"/>
        </w:rPr>
        <w:t xml:space="preserve"> is known only from California and Oregon (Hansen et al. 2003a), while </w:t>
      </w:r>
      <w:r>
        <w:rPr>
          <w:rFonts w:ascii="Cambria" w:hAnsi="Cambria"/>
          <w:i/>
        </w:rPr>
        <w:t>P. pseudosyringae</w:t>
      </w:r>
      <w:r>
        <w:rPr>
          <w:rFonts w:ascii="Cambria" w:hAnsi="Cambria"/>
        </w:rPr>
        <w:t xml:space="preserve"> was originally isolated from soil in European oak and beech forests (Jung et al. 2003). </w:t>
      </w:r>
      <w:r>
        <w:rPr>
          <w:rFonts w:ascii="Cambria" w:hAnsi="Cambria"/>
          <w:i/>
          <w:iCs/>
        </w:rPr>
        <w:t xml:space="preserve">Phytophthora pseudosyringae </w:t>
      </w:r>
      <w:r>
        <w:rPr>
          <w:rFonts w:ascii="Cambria" w:hAnsi="Cambria"/>
        </w:rPr>
        <w:t xml:space="preserve">was described in 2003 based on European isolates which had been collected since 1996 from forest soil collected in France, Germany and Italy, and from roots of European beech and European alder (Jung </w:t>
      </w:r>
      <w:r>
        <w:rPr>
          <w:rFonts w:ascii="Cambria" w:hAnsi="Cambria"/>
          <w:iCs/>
        </w:rPr>
        <w:t>et al.</w:t>
      </w:r>
      <w:r>
        <w:rPr>
          <w:rFonts w:ascii="Cambria" w:hAnsi="Cambria"/>
        </w:rPr>
        <w:t xml:space="preserve"> 2003).</w:t>
      </w:r>
    </w:p>
    <w:p w:rsidR="00E94405" w:rsidRDefault="00A11609">
      <w:pPr>
        <w:autoSpaceDE w:val="0"/>
        <w:autoSpaceDN w:val="0"/>
        <w:adjustRightInd w:val="0"/>
        <w:spacing w:before="200"/>
        <w:rPr>
          <w:rFonts w:ascii="Cambria" w:hAnsi="Cambria"/>
        </w:rPr>
      </w:pPr>
      <w:r>
        <w:rPr>
          <w:rFonts w:ascii="Cambria" w:hAnsi="Cambria"/>
          <w:i/>
          <w:iCs/>
        </w:rPr>
        <w:t xml:space="preserve">Phytophthora kernoviae </w:t>
      </w:r>
      <w:r>
        <w:rPr>
          <w:rFonts w:ascii="Cambria" w:hAnsi="Cambria"/>
        </w:rPr>
        <w:t xml:space="preserve">has been detected as a shrub and tree pathogen, and has now been detected in ornamental nurseries in the United Kingdom (UK) (Brasier </w:t>
      </w:r>
      <w:r>
        <w:rPr>
          <w:rFonts w:ascii="Cambria" w:hAnsi="Cambria"/>
          <w:iCs/>
        </w:rPr>
        <w:t>et al</w:t>
      </w:r>
      <w:r>
        <w:rPr>
          <w:rFonts w:ascii="Cambria" w:hAnsi="Cambria"/>
        </w:rPr>
        <w:t xml:space="preserve">. 2005). </w:t>
      </w:r>
      <w:r>
        <w:rPr>
          <w:rFonts w:ascii="Cambria" w:hAnsi="Cambria"/>
          <w:i/>
          <w:iCs/>
        </w:rPr>
        <w:t xml:space="preserve">Phytophthora pseudosyringae </w:t>
      </w:r>
      <w:r>
        <w:rPr>
          <w:rFonts w:ascii="Cambria" w:hAnsi="Cambria"/>
        </w:rPr>
        <w:t xml:space="preserve">was reported from Italy causing stem canker on European beech and stem damage on chestnut in Spain </w:t>
      </w:r>
      <w:r>
        <w:rPr>
          <w:rFonts w:ascii="Cambria" w:hAnsi="Cambria"/>
          <w:color w:val="000000" w:themeColor="text1"/>
        </w:rPr>
        <w:t>(Sansford 2012).</w:t>
      </w:r>
      <w:r>
        <w:rPr>
          <w:rFonts w:ascii="Cambria" w:hAnsi="Cambria"/>
        </w:rPr>
        <w:t xml:space="preserve"> </w:t>
      </w:r>
      <w:r>
        <w:rPr>
          <w:rFonts w:ascii="Cambria" w:hAnsi="Cambria"/>
          <w:i/>
          <w:iCs/>
        </w:rPr>
        <w:t xml:space="preserve">Phytophthora pseudosyringae </w:t>
      </w:r>
      <w:r>
        <w:rPr>
          <w:rFonts w:ascii="Cambria" w:hAnsi="Cambria"/>
        </w:rPr>
        <w:t>has also been reported from the USA affecting various tree and non-tree species in California and Oregon, and from forest streams in North Carolina</w:t>
      </w:r>
      <w:r>
        <w:rPr>
          <w:rFonts w:ascii="Cambria" w:hAnsi="Cambria"/>
          <w:i/>
        </w:rPr>
        <w:t>. Phytophthora</w:t>
      </w:r>
      <w:r>
        <w:rPr>
          <w:rFonts w:ascii="Cambria" w:hAnsi="Cambria"/>
          <w:i/>
          <w:iCs/>
        </w:rPr>
        <w:t xml:space="preserve"> nemorosa </w:t>
      </w:r>
      <w:r>
        <w:rPr>
          <w:rFonts w:ascii="Cambria" w:hAnsi="Cambria"/>
        </w:rPr>
        <w:t xml:space="preserve">and </w:t>
      </w:r>
      <w:r>
        <w:rPr>
          <w:rFonts w:ascii="Cambria" w:hAnsi="Cambria"/>
          <w:i/>
          <w:iCs/>
        </w:rPr>
        <w:t xml:space="preserve">P. pseudosyringae </w:t>
      </w:r>
      <w:r>
        <w:rPr>
          <w:rFonts w:ascii="Cambria" w:hAnsi="Cambria"/>
        </w:rPr>
        <w:t xml:space="preserve">were initially detected as forest pathogens (Hansen </w:t>
      </w:r>
      <w:r>
        <w:rPr>
          <w:rFonts w:ascii="Cambria" w:hAnsi="Cambria"/>
          <w:iCs/>
        </w:rPr>
        <w:t>et al.</w:t>
      </w:r>
      <w:r>
        <w:rPr>
          <w:rFonts w:ascii="Cambria" w:hAnsi="Cambria"/>
          <w:i/>
          <w:iCs/>
        </w:rPr>
        <w:t xml:space="preserve"> </w:t>
      </w:r>
      <w:r>
        <w:rPr>
          <w:rFonts w:ascii="Cambria" w:hAnsi="Cambria"/>
        </w:rPr>
        <w:t xml:space="preserve">2003a; Jung </w:t>
      </w:r>
      <w:r>
        <w:rPr>
          <w:rFonts w:ascii="Cambria" w:hAnsi="Cambria"/>
          <w:iCs/>
        </w:rPr>
        <w:t>et al</w:t>
      </w:r>
      <w:r>
        <w:rPr>
          <w:rFonts w:ascii="Cambria" w:hAnsi="Cambria"/>
        </w:rPr>
        <w:t xml:space="preserve">. 2003) but have now also been detected on ornamentals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2011).</w:t>
      </w:r>
    </w:p>
    <w:p w:rsidR="00E94405" w:rsidRDefault="00A11609">
      <w:pPr>
        <w:autoSpaceDE w:val="0"/>
        <w:autoSpaceDN w:val="0"/>
        <w:adjustRightInd w:val="0"/>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have similar host ranges and occur in generally the same geographic region as </w:t>
      </w:r>
      <w:r>
        <w:rPr>
          <w:rFonts w:ascii="Cambria" w:hAnsi="Cambria"/>
          <w:i/>
          <w:iCs/>
        </w:rPr>
        <w:t xml:space="preserve">P. ramorum </w:t>
      </w:r>
      <w:r>
        <w:rPr>
          <w:rFonts w:ascii="Cambria" w:hAnsi="Cambria"/>
        </w:rPr>
        <w:t xml:space="preserve">(Martin &amp; Tooley 2003; Martin </w:t>
      </w:r>
      <w:r>
        <w:rPr>
          <w:rFonts w:ascii="Cambria" w:hAnsi="Cambria"/>
          <w:iCs/>
        </w:rPr>
        <w:t>et al</w:t>
      </w:r>
      <w:r>
        <w:rPr>
          <w:rFonts w:ascii="Cambria" w:hAnsi="Cambria"/>
        </w:rPr>
        <w:t xml:space="preserve">. 2004; Wickland </w:t>
      </w:r>
      <w:r>
        <w:rPr>
          <w:rFonts w:ascii="Cambria" w:hAnsi="Cambria"/>
          <w:iCs/>
        </w:rPr>
        <w:t>et al</w:t>
      </w:r>
      <w:r>
        <w:rPr>
          <w:rFonts w:ascii="Cambria" w:hAnsi="Cambria"/>
        </w:rPr>
        <w:t xml:space="preserve">. 2008). </w:t>
      </w:r>
      <w:r>
        <w:rPr>
          <w:rFonts w:ascii="Cambria" w:hAnsi="Cambria"/>
          <w:i/>
          <w:iCs/>
        </w:rPr>
        <w:t>Phytophthora nemorosa</w:t>
      </w:r>
      <w:r>
        <w:rPr>
          <w:rFonts w:ascii="Cambria" w:hAnsi="Cambria"/>
        </w:rPr>
        <w:t xml:space="preserve"> is commonly isolated from leaf spots (Yakabe </w:t>
      </w:r>
      <w:r>
        <w:rPr>
          <w:rFonts w:ascii="Cambria" w:hAnsi="Cambria"/>
          <w:iCs/>
        </w:rPr>
        <w:t>et al</w:t>
      </w:r>
      <w:r>
        <w:rPr>
          <w:rFonts w:ascii="Cambria" w:hAnsi="Cambria"/>
        </w:rPr>
        <w:t xml:space="preserve">. 2009) and twig cankers but occasionally has been observed causing lethal cankers (Hansen </w:t>
      </w:r>
      <w:r>
        <w:rPr>
          <w:rFonts w:ascii="Cambria" w:hAnsi="Cambria"/>
          <w:iCs/>
        </w:rPr>
        <w:t>et al</w:t>
      </w:r>
      <w:r>
        <w:rPr>
          <w:rFonts w:ascii="Cambria" w:hAnsi="Cambria"/>
        </w:rPr>
        <w:t xml:space="preserve">. 2003a). </w:t>
      </w:r>
      <w:r>
        <w:rPr>
          <w:rFonts w:ascii="Cambria" w:hAnsi="Cambria"/>
          <w:i/>
        </w:rPr>
        <w:t>Phytophthora pseudosyringae</w:t>
      </w:r>
      <w:r>
        <w:rPr>
          <w:rFonts w:ascii="Cambria" w:hAnsi="Cambria"/>
        </w:rPr>
        <w:t xml:space="preserve"> is associated with declining oaks, beeches and alders in Europe, where it has been described as a root and stem pathogen (Jung et al. 2003; Diana et al. </w:t>
      </w:r>
      <w:r>
        <w:rPr>
          <w:rFonts w:ascii="Cambria" w:hAnsi="Cambria"/>
        </w:rPr>
        <w:lastRenderedPageBreak/>
        <w:t xml:space="preserve">2006; Hwang et al. 2007). </w:t>
      </w:r>
      <w:r>
        <w:rPr>
          <w:rFonts w:ascii="Cambria" w:hAnsi="Cambria"/>
          <w:i/>
          <w:iCs/>
        </w:rPr>
        <w:t xml:space="preserve">Phytophthora pseudosyringae </w:t>
      </w:r>
      <w:r>
        <w:rPr>
          <w:rFonts w:ascii="Cambria" w:hAnsi="Cambria"/>
        </w:rPr>
        <w:t xml:space="preserve">has also been observed as a leaf and twig pathogen (Martin &amp; Tooley 2003) and has been reported causing disease on chestnut nursery stock in Spain (Varela </w:t>
      </w:r>
      <w:r>
        <w:rPr>
          <w:rFonts w:ascii="Cambria" w:hAnsi="Cambria"/>
          <w:iCs/>
        </w:rPr>
        <w:t>et al</w:t>
      </w:r>
      <w:r>
        <w:rPr>
          <w:rFonts w:ascii="Cambria" w:hAnsi="Cambria"/>
        </w:rPr>
        <w:t>. 2007).</w:t>
      </w:r>
    </w:p>
    <w:p w:rsidR="00E94405" w:rsidRDefault="00A11609">
      <w:pPr>
        <w:autoSpaceDE w:val="0"/>
        <w:autoSpaceDN w:val="0"/>
        <w:adjustRightInd w:val="0"/>
        <w:spacing w:before="200"/>
        <w:rPr>
          <w:rFonts w:ascii="Cambria" w:hAnsi="Cambria"/>
        </w:rPr>
      </w:pPr>
      <w:r>
        <w:rPr>
          <w:rFonts w:ascii="Cambria" w:hAnsi="Cambria"/>
        </w:rPr>
        <w:t xml:space="preserve">Some plants are a host to multiple </w:t>
      </w:r>
      <w:r>
        <w:rPr>
          <w:rFonts w:ascii="Cambria" w:hAnsi="Cambria"/>
          <w:i/>
          <w:iCs/>
        </w:rPr>
        <w:t xml:space="preserve">Phytophthora </w:t>
      </w:r>
      <w:r>
        <w:rPr>
          <w:rFonts w:ascii="Cambria" w:hAnsi="Cambria"/>
        </w:rPr>
        <w:t xml:space="preserve">species, thus increasing the probability of inadvertent introduction of exotic pathogens. Among these newly described </w:t>
      </w:r>
      <w:r>
        <w:rPr>
          <w:rFonts w:ascii="Cambria" w:hAnsi="Cambria"/>
          <w:i/>
          <w:iCs/>
        </w:rPr>
        <w:t xml:space="preserve">Phytophthora </w:t>
      </w:r>
      <w:r>
        <w:rPr>
          <w:rFonts w:ascii="Cambria" w:hAnsi="Cambria"/>
        </w:rPr>
        <w:t xml:space="preserve">species,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 and</w:t>
      </w:r>
      <w:r>
        <w:rPr>
          <w:rFonts w:ascii="Cambria" w:hAnsi="Cambria"/>
          <w:i/>
          <w:iCs/>
        </w:rPr>
        <w:t xml:space="preserve"> P. pseudosyringae </w:t>
      </w:r>
      <w:r>
        <w:rPr>
          <w:rFonts w:ascii="Cambria" w:hAnsi="Cambria"/>
        </w:rPr>
        <w:t xml:space="preserve">have multiple overlapping hosts and are established in temperate forest ecosystems and ornamental nurseries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These </w:t>
      </w:r>
      <w:r>
        <w:rPr>
          <w:rFonts w:ascii="Cambria" w:hAnsi="Cambria"/>
          <w:i/>
          <w:iCs/>
        </w:rPr>
        <w:t xml:space="preserve">Phytophthora </w:t>
      </w:r>
      <w:r>
        <w:rPr>
          <w:rFonts w:ascii="Cambria" w:hAnsi="Cambria"/>
        </w:rPr>
        <w:t xml:space="preserve">species produce symptoms indistinguishable from </w:t>
      </w:r>
      <w:r>
        <w:rPr>
          <w:rFonts w:ascii="Cambria" w:hAnsi="Cambria"/>
          <w:i/>
          <w:iCs/>
        </w:rPr>
        <w:t xml:space="preserve">P. ramorum </w:t>
      </w:r>
      <w:r>
        <w:rPr>
          <w:rFonts w:ascii="Cambria" w:hAnsi="Cambria"/>
        </w:rPr>
        <w:t xml:space="preserve">on shared hosts and have a significant aerial component in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2012).</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77" w:name="_Toc414019445"/>
      <w:bookmarkStart w:id="78" w:name="_Toc384279552"/>
      <w:r>
        <w:rPr>
          <w:rFonts w:eastAsiaTheme="majorEastAsia" w:cstheme="majorBidi"/>
          <w:color w:val="773141"/>
          <w:sz w:val="28"/>
        </w:rPr>
        <w:t xml:space="preserve">Symptoms produced by the </w:t>
      </w:r>
      <w:r>
        <w:rPr>
          <w:rFonts w:eastAsiaTheme="majorEastAsia" w:cstheme="majorBidi"/>
          <w:i/>
          <w:color w:val="773141"/>
          <w:sz w:val="28"/>
        </w:rPr>
        <w:t>Phytophthora</w:t>
      </w:r>
      <w:r>
        <w:rPr>
          <w:rFonts w:eastAsiaTheme="majorEastAsia" w:cstheme="majorBidi"/>
          <w:color w:val="773141"/>
          <w:sz w:val="28"/>
        </w:rPr>
        <w:t xml:space="preserve"> species</w:t>
      </w:r>
      <w:bookmarkEnd w:id="77"/>
    </w:p>
    <w:bookmarkEnd w:id="78"/>
    <w:p w:rsidR="00E94405" w:rsidRDefault="00A11609">
      <w:pPr>
        <w:autoSpaceDE w:val="0"/>
        <w:autoSpaceDN w:val="0"/>
        <w:adjustRightInd w:val="0"/>
        <w:spacing w:before="200"/>
        <w:rPr>
          <w:rFonts w:ascii="Cambria" w:hAnsi="Cambria"/>
        </w:rPr>
      </w:pPr>
      <w:r>
        <w:rPr>
          <w:rFonts w:ascii="Cambria" w:hAnsi="Cambria"/>
        </w:rPr>
        <w:t xml:space="preserve">Symptoms caused by </w:t>
      </w: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 xml:space="preserve">P. ramorum </w:t>
      </w:r>
      <w:r>
        <w:rPr>
          <w:rFonts w:ascii="Cambria" w:hAnsi="Cambria"/>
        </w:rPr>
        <w:t xml:space="preserve">include leaf necrosis, shoot tip dieback and bleeding cankers on a wide range of plant species (Denman </w:t>
      </w:r>
      <w:r>
        <w:rPr>
          <w:rFonts w:ascii="Cambria" w:hAnsi="Cambria"/>
          <w:iCs/>
        </w:rPr>
        <w:t>et al</w:t>
      </w:r>
      <w:r>
        <w:rPr>
          <w:rFonts w:ascii="Cambria" w:hAnsi="Cambria"/>
        </w:rPr>
        <w:t xml:space="preserve">. 2005; Linzer &amp; Garbelotto 2008; Linzer </w:t>
      </w:r>
      <w:r>
        <w:rPr>
          <w:rFonts w:ascii="Cambria" w:hAnsi="Cambria"/>
          <w:iCs/>
        </w:rPr>
        <w:t>et al</w:t>
      </w:r>
      <w:r>
        <w:rPr>
          <w:rFonts w:ascii="Cambria" w:hAnsi="Cambria"/>
        </w:rPr>
        <w:t>. 2009)</w:t>
      </w:r>
      <w:r>
        <w:rPr>
          <w:rFonts w:ascii="Cambria" w:hAnsi="Cambria"/>
          <w:i/>
        </w:rPr>
        <w:t xml:space="preserve">. </w:t>
      </w:r>
      <w:r>
        <w:rPr>
          <w:rFonts w:ascii="Cambria" w:hAnsi="Cambria"/>
        </w:rPr>
        <w:t xml:space="preserve">Symptoms caused by these species are indistinguishable on shared hosts; therefore, the biological information of </w:t>
      </w:r>
      <w:r>
        <w:rPr>
          <w:rFonts w:ascii="Cambria" w:hAnsi="Cambria"/>
          <w:i/>
          <w:iCs/>
        </w:rPr>
        <w:t>P. ramorum</w:t>
      </w:r>
      <w:r>
        <w:rPr>
          <w:rFonts w:ascii="Cambria" w:hAnsi="Cambria"/>
        </w:rPr>
        <w:t xml:space="preserve"> will be used for the purposes of this review.</w:t>
      </w:r>
    </w:p>
    <w:p w:rsidR="00E94405" w:rsidRDefault="00A11609">
      <w:pPr>
        <w:autoSpaceDE w:val="0"/>
        <w:autoSpaceDN w:val="0"/>
        <w:adjustRightInd w:val="0"/>
        <w:spacing w:before="200"/>
        <w:rPr>
          <w:rFonts w:ascii="Cambria" w:hAnsi="Cambria"/>
        </w:rPr>
      </w:pPr>
      <w:r>
        <w:rPr>
          <w:rFonts w:ascii="Cambria" w:hAnsi="Cambria"/>
          <w:i/>
          <w:iCs/>
        </w:rPr>
        <w:t>Phytophthora</w:t>
      </w:r>
      <w:r>
        <w:rPr>
          <w:rFonts w:ascii="Cambria" w:hAnsi="Cambria"/>
        </w:rPr>
        <w:t xml:space="preserve"> </w:t>
      </w:r>
      <w:r>
        <w:rPr>
          <w:rFonts w:ascii="Cambria" w:hAnsi="Cambria"/>
          <w:i/>
          <w:iCs/>
        </w:rPr>
        <w:t xml:space="preserve">ramorum </w:t>
      </w:r>
      <w:r>
        <w:rPr>
          <w:rFonts w:ascii="Cambria" w:hAnsi="Cambria"/>
        </w:rPr>
        <w:t xml:space="preserve">produces symptoms that include bleeding lesions, stem cankers, twig dieback and/or foliar lesions (Hansen </w:t>
      </w:r>
      <w:r>
        <w:rPr>
          <w:rFonts w:ascii="Cambria" w:hAnsi="Cambria"/>
          <w:iCs/>
        </w:rPr>
        <w:t>et al</w:t>
      </w:r>
      <w:r>
        <w:rPr>
          <w:rFonts w:ascii="Cambria" w:hAnsi="Cambria"/>
        </w:rPr>
        <w:t xml:space="preserve">. 2005; Rizzo </w:t>
      </w:r>
      <w:r>
        <w:rPr>
          <w:rFonts w:ascii="Cambria" w:hAnsi="Cambria"/>
          <w:iCs/>
        </w:rPr>
        <w:t>et al</w:t>
      </w:r>
      <w:r>
        <w:rPr>
          <w:rFonts w:ascii="Cambria" w:hAnsi="Cambria"/>
        </w:rPr>
        <w:t xml:space="preserve">. 2005). Lethal trunk cankers are produced on members of the Fagaceae family; for example, oaks, tanoak and European beech (Parke &amp; Lucas 2008; Parke &amp; Rizzo 2011; Dick &amp; Parke 2012). Non-lethal shoot die-back symptoms are produced on some Ericaceae and conifers, and foliar blight on a diverse group of hosts (Parke &amp; Rizzo 2011; Dick &amp; Parke 2012). Foliar infections are not fatal but these foliar hosts play an important role in spreading the inoculum of the pathogen (Alexander 2012). In addition, </w:t>
      </w:r>
      <w:r>
        <w:rPr>
          <w:rFonts w:ascii="Cambria" w:hAnsi="Cambria"/>
          <w:i/>
          <w:iCs/>
        </w:rPr>
        <w:t>P. kernoviae</w:t>
      </w:r>
      <w:r>
        <w:rPr>
          <w:rFonts w:ascii="Cambria" w:hAnsi="Cambria"/>
        </w:rPr>
        <w:t xml:space="preserve"> also produces symptoms on the fruits of custard apples (</w:t>
      </w:r>
      <w:r>
        <w:rPr>
          <w:rFonts w:ascii="Cambria" w:hAnsi="Cambria"/>
          <w:i/>
        </w:rPr>
        <w:t>Annona cherimola</w:t>
      </w:r>
      <w:r>
        <w:rPr>
          <w:rFonts w:ascii="Cambria" w:hAnsi="Cambria"/>
        </w:rPr>
        <w:t xml:space="preserve">) with infected fruits becoming mummified (Ramsfield </w:t>
      </w:r>
      <w:r>
        <w:rPr>
          <w:rFonts w:ascii="Cambria" w:hAnsi="Cambria"/>
          <w:iCs/>
        </w:rPr>
        <w:t>et al.</w:t>
      </w:r>
      <w:r>
        <w:rPr>
          <w:rFonts w:ascii="Cambria" w:hAnsi="Cambria"/>
        </w:rPr>
        <w:t xml:space="preserve"> 2009). </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79" w:name="_Toc414019446"/>
      <w:r>
        <w:rPr>
          <w:rFonts w:eastAsiaTheme="majorEastAsia" w:cstheme="majorBidi"/>
          <w:color w:val="773141"/>
          <w:sz w:val="28"/>
        </w:rPr>
        <w:t xml:space="preserve">Biology of the </w:t>
      </w:r>
      <w:r>
        <w:rPr>
          <w:rFonts w:eastAsiaTheme="majorEastAsia" w:cstheme="majorBidi"/>
          <w:i/>
          <w:color w:val="773141"/>
          <w:sz w:val="28"/>
        </w:rPr>
        <w:t>Phytophthora</w:t>
      </w:r>
      <w:r>
        <w:rPr>
          <w:rFonts w:eastAsiaTheme="majorEastAsia" w:cstheme="majorBidi"/>
          <w:color w:val="773141"/>
          <w:sz w:val="28"/>
        </w:rPr>
        <w:t xml:space="preserve"> species</w:t>
      </w:r>
      <w:bookmarkEnd w:id="79"/>
    </w:p>
    <w:p w:rsidR="00E94405" w:rsidRDefault="00A11609">
      <w:pPr>
        <w:autoSpaceDE w:val="0"/>
        <w:autoSpaceDN w:val="0"/>
        <w:adjustRightInd w:val="0"/>
        <w:spacing w:before="200"/>
        <w:rPr>
          <w:rFonts w:ascii="Cambria" w:hAnsi="Cambria"/>
          <w:i/>
          <w:iCs/>
        </w:rPr>
      </w:pPr>
      <w:r>
        <w:rPr>
          <w:rFonts w:ascii="Cambria" w:hAnsi="Cambria"/>
          <w:i/>
          <w:iCs/>
        </w:rPr>
        <w:t xml:space="preserve">Phytophthora </w:t>
      </w:r>
      <w:r>
        <w:rPr>
          <w:rFonts w:ascii="Cambria" w:hAnsi="Cambria"/>
        </w:rPr>
        <w:t xml:space="preserve">species are oomycetes (water moulds) and require a moist environment (abundant water in soil or on foliage) to actively grow and reproduce (Erwin &amp; Ribeiro 1996). Reproduction in </w:t>
      </w:r>
      <w:r>
        <w:rPr>
          <w:rFonts w:ascii="Cambria" w:hAnsi="Cambria"/>
          <w:i/>
          <w:iCs/>
        </w:rPr>
        <w:t>Phytophthora</w:t>
      </w:r>
      <w:r>
        <w:rPr>
          <w:rFonts w:ascii="Cambria" w:hAnsi="Cambria"/>
        </w:rPr>
        <w:t xml:space="preserve"> species is either sexual or asexual, although some species have not been observed in the sexual phase.</w:t>
      </w:r>
      <w:r>
        <w:rPr>
          <w:rFonts w:ascii="Cambria" w:hAnsi="Cambria"/>
          <w:i/>
          <w:iCs/>
        </w:rPr>
        <w:t xml:space="preserve"> </w:t>
      </w:r>
    </w:p>
    <w:p w:rsidR="00E94405" w:rsidRDefault="00A11609">
      <w:pPr>
        <w:autoSpaceDE w:val="0"/>
        <w:autoSpaceDN w:val="0"/>
        <w:adjustRightInd w:val="0"/>
        <w:spacing w:before="200"/>
        <w:rPr>
          <w:rFonts w:ascii="Cambria" w:hAnsi="Cambria"/>
        </w:rPr>
      </w:pPr>
      <w:r>
        <w:rPr>
          <w:rFonts w:ascii="Cambria" w:hAnsi="Cambria"/>
        </w:rPr>
        <w:t xml:space="preserve">During the asexual life cycle, these pathogens can be observed in different life stages including mycelia, sporangia, zoospores, cysts and germinating cysts (Savidor </w:t>
      </w:r>
      <w:r>
        <w:rPr>
          <w:rFonts w:ascii="Cambria" w:hAnsi="Cambria"/>
          <w:iCs/>
        </w:rPr>
        <w:t>et al</w:t>
      </w:r>
      <w:r>
        <w:rPr>
          <w:rFonts w:ascii="Cambria" w:hAnsi="Cambria"/>
        </w:rPr>
        <w:t xml:space="preserve">. 2008). Asexual reproduction occurs through the production of sporangia, which can germinate directly or release motile zoospores. These zoospores are water-borne and move with the aid of two flagella (Dick 2001). Subsequently, a zoospore encysts, losing its flagella, and attaches to its host and germinates (Blanco &amp; Judelson 2005; Nogueira </w:t>
      </w:r>
      <w:r>
        <w:rPr>
          <w:rFonts w:ascii="Cambria" w:hAnsi="Cambria"/>
          <w:iCs/>
        </w:rPr>
        <w:t>et al</w:t>
      </w:r>
      <w:r>
        <w:rPr>
          <w:rFonts w:ascii="Cambria" w:hAnsi="Cambria"/>
        </w:rPr>
        <w:t xml:space="preserve">. 1977). Zoospores are spread in water through rain-splash, wind-blown rain or run-off into water ways. Wind dispersal of </w:t>
      </w:r>
      <w:r>
        <w:rPr>
          <w:rFonts w:ascii="Cambria" w:hAnsi="Cambria"/>
          <w:i/>
        </w:rPr>
        <w:t xml:space="preserve">P. ramorum </w:t>
      </w:r>
      <w:r>
        <w:rPr>
          <w:rFonts w:ascii="Cambria" w:hAnsi="Cambria"/>
        </w:rPr>
        <w:t xml:space="preserve">sporangia has also been reported in the forests of the Pacific Northwest USA (Davidson </w:t>
      </w:r>
      <w:r>
        <w:rPr>
          <w:rFonts w:ascii="Cambria" w:hAnsi="Cambria"/>
          <w:iCs/>
        </w:rPr>
        <w:t>et al</w:t>
      </w:r>
      <w:r>
        <w:rPr>
          <w:rFonts w:ascii="Cambria" w:hAnsi="Cambria"/>
        </w:rPr>
        <w:t xml:space="preserve">. 2002a; Denman </w:t>
      </w:r>
      <w:r>
        <w:rPr>
          <w:rFonts w:ascii="Cambria" w:hAnsi="Cambria"/>
          <w:iCs/>
        </w:rPr>
        <w:t>et al</w:t>
      </w:r>
      <w:r>
        <w:rPr>
          <w:rFonts w:ascii="Cambria" w:hAnsi="Cambria"/>
        </w:rPr>
        <w:t xml:space="preserve">. 2006). Some </w:t>
      </w:r>
      <w:r>
        <w:rPr>
          <w:rFonts w:ascii="Cambria" w:hAnsi="Cambria"/>
          <w:i/>
          <w:iCs/>
        </w:rPr>
        <w:t xml:space="preserve">Phytophthora </w:t>
      </w:r>
      <w:r>
        <w:rPr>
          <w:rFonts w:ascii="Cambria" w:hAnsi="Cambria"/>
        </w:rPr>
        <w:t xml:space="preserve">species can also produce asexual chlamydospores that are able to survive unfavourable conditions for longer periods than sporangia or zoospores (Erwin &amp; Ribeiro 1996). Soil contaminated with sporangia, oospores or </w:t>
      </w:r>
      <w:r>
        <w:rPr>
          <w:rFonts w:ascii="Cambria" w:hAnsi="Cambria"/>
        </w:rPr>
        <w:lastRenderedPageBreak/>
        <w:t xml:space="preserve">chlamydospores is another mode of dispersal in the forest which can be spread on muddy vehicle tyres or boots (Hansen </w:t>
      </w:r>
      <w:r>
        <w:rPr>
          <w:rFonts w:ascii="Cambria" w:hAnsi="Cambria"/>
          <w:iCs/>
        </w:rPr>
        <w:t>et al</w:t>
      </w:r>
      <w:r>
        <w:rPr>
          <w:rFonts w:ascii="Cambria" w:hAnsi="Cambria"/>
        </w:rPr>
        <w:t>. 2000).</w:t>
      </w:r>
    </w:p>
    <w:p w:rsidR="00E94405" w:rsidRDefault="00A11609">
      <w:pPr>
        <w:autoSpaceDE w:val="0"/>
        <w:autoSpaceDN w:val="0"/>
        <w:adjustRightInd w:val="0"/>
        <w:spacing w:before="200"/>
        <w:rPr>
          <w:rFonts w:ascii="Cambria" w:hAnsi="Cambria"/>
        </w:rPr>
      </w:pPr>
      <w:r>
        <w:rPr>
          <w:rFonts w:ascii="Cambria" w:hAnsi="Cambria"/>
        </w:rPr>
        <w:t xml:space="preserve">Sexual reproduction can be homothallic or heterothallic, requiring interaction of opposite mating types for sexual recombination (Erwin &amp; Ribeiro 1996; Ivors et al. 2004). During the sexual life cycle, oospores (sexual spores) that can survive in the soil for years are produced, thus allowing re-infection of their host plant in subsequent growing seasons (Savidor </w:t>
      </w:r>
      <w:r>
        <w:rPr>
          <w:rFonts w:ascii="Cambria" w:hAnsi="Cambria"/>
          <w:iCs/>
        </w:rPr>
        <w:t>et al.</w:t>
      </w:r>
      <w:r>
        <w:rPr>
          <w:rFonts w:ascii="Cambria" w:hAnsi="Cambria"/>
        </w:rPr>
        <w:t xml:space="preserve"> 2008). However, because the oospores require a dormancy period of several weeks before germination, it is the asexual life cycle (sporangia, zoospores, chlamydospores) that is responsible for the rapid propagation and spread of </w:t>
      </w:r>
      <w:r>
        <w:rPr>
          <w:rFonts w:ascii="Cambria" w:hAnsi="Cambria"/>
          <w:i/>
          <w:iCs/>
        </w:rPr>
        <w:t xml:space="preserve">P. ramorum </w:t>
      </w:r>
      <w:r>
        <w:rPr>
          <w:rFonts w:ascii="Cambria" w:hAnsi="Cambria"/>
          <w:iCs/>
        </w:rPr>
        <w:t>(</w:t>
      </w:r>
      <w:r>
        <w:rPr>
          <w:rFonts w:ascii="Cambria" w:hAnsi="Cambria"/>
        </w:rPr>
        <w:t xml:space="preserve">Savidor </w:t>
      </w:r>
      <w:r>
        <w:rPr>
          <w:rFonts w:ascii="Cambria" w:hAnsi="Cambria"/>
          <w:iCs/>
        </w:rPr>
        <w:t>et al</w:t>
      </w:r>
      <w:r>
        <w:rPr>
          <w:rFonts w:ascii="Cambria" w:hAnsi="Cambria"/>
        </w:rPr>
        <w:t>. 2008</w:t>
      </w:r>
      <w:r>
        <w:rPr>
          <w:rFonts w:ascii="Cambria" w:hAnsi="Cambria"/>
          <w:iCs/>
        </w:rPr>
        <w:t>)</w:t>
      </w:r>
      <w:r>
        <w:rPr>
          <w:rFonts w:ascii="Cambria" w:hAnsi="Cambria"/>
        </w:rPr>
        <w:t>.</w:t>
      </w:r>
    </w:p>
    <w:p w:rsidR="00E94405" w:rsidRDefault="00A11609">
      <w:pPr>
        <w:autoSpaceDE w:val="0"/>
        <w:autoSpaceDN w:val="0"/>
        <w:adjustRightInd w:val="0"/>
        <w:spacing w:before="200"/>
        <w:rPr>
          <w:rFonts w:ascii="Cambria" w:hAnsi="Cambria"/>
        </w:rPr>
      </w:pPr>
      <w:r>
        <w:rPr>
          <w:rFonts w:ascii="Cambria" w:hAnsi="Cambria"/>
        </w:rPr>
        <w:t xml:space="preserve">The morphological characteristics of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 xml:space="preserve">P. ramorum </w:t>
      </w:r>
      <w:r>
        <w:rPr>
          <w:rFonts w:ascii="Cambria" w:hAnsi="Cambria"/>
        </w:rPr>
        <w:t>are presented in Table 7.</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80" w:name="_Toc386710908"/>
      <w:bookmarkStart w:id="81" w:name="_Toc388949922"/>
      <w:bookmarkStart w:id="82" w:name="_Toc414019474"/>
      <w:r>
        <w:rPr>
          <w:rFonts w:asciiTheme="majorHAnsi" w:eastAsiaTheme="majorEastAsia" w:hAnsiTheme="majorHAnsi" w:cstheme="majorBidi"/>
          <w:color w:val="595959" w:themeColor="text1" w:themeTint="A6"/>
          <w:sz w:val="20"/>
        </w:rPr>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7</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Characteristics of the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species under review</w:t>
      </w:r>
      <w:bookmarkEnd w:id="80"/>
      <w:bookmarkEnd w:id="81"/>
      <w:bookmarkEnd w:id="82"/>
    </w:p>
    <w:tbl>
      <w:tblPr>
        <w:tblW w:w="0" w:type="auto"/>
        <w:tblInd w:w="108" w:type="dxa"/>
        <w:tblBorders>
          <w:top w:val="single" w:sz="12" w:space="0" w:color="990000"/>
          <w:bottom w:val="single" w:sz="12" w:space="0" w:color="990000"/>
        </w:tblBorders>
        <w:tblLook w:val="04A0"/>
      </w:tblPr>
      <w:tblGrid>
        <w:gridCol w:w="2268"/>
        <w:gridCol w:w="1560"/>
        <w:gridCol w:w="1660"/>
        <w:gridCol w:w="1845"/>
        <w:gridCol w:w="1845"/>
      </w:tblGrid>
      <w:tr w:rsidR="00E94405">
        <w:trPr>
          <w:tblHeader/>
        </w:trPr>
        <w:tc>
          <w:tcPr>
            <w:tcW w:w="2268" w:type="dxa"/>
            <w:vMerge w:val="restart"/>
            <w:tcBorders>
              <w:top w:val="single" w:sz="4" w:space="0" w:color="auto"/>
              <w:bottom w:val="single" w:sz="4" w:space="0" w:color="auto"/>
              <w:tl2br w:val="nil"/>
            </w:tcBorders>
          </w:tcPr>
          <w:p w:rsidR="00E94405" w:rsidRDefault="00E94405">
            <w:pPr>
              <w:pStyle w:val="TableHeading"/>
              <w:jc w:val="center"/>
              <w:rPr>
                <w:rFonts w:ascii="Cambria" w:hAnsi="Cambria"/>
                <w:szCs w:val="18"/>
              </w:rPr>
            </w:pPr>
          </w:p>
        </w:tc>
        <w:tc>
          <w:tcPr>
            <w:tcW w:w="6910" w:type="dxa"/>
            <w:gridSpan w:val="4"/>
            <w:tcBorders>
              <w:top w:val="single" w:sz="4" w:space="0" w:color="auto"/>
              <w:bottom w:val="single" w:sz="4" w:space="0" w:color="auto"/>
            </w:tcBorders>
          </w:tcPr>
          <w:p w:rsidR="00E94405" w:rsidRDefault="00A11609">
            <w:pPr>
              <w:pStyle w:val="TableHeading"/>
              <w:jc w:val="center"/>
              <w:rPr>
                <w:rFonts w:ascii="Cambria" w:hAnsi="Cambria"/>
                <w:szCs w:val="18"/>
              </w:rPr>
            </w:pPr>
            <w:r>
              <w:rPr>
                <w:rFonts w:ascii="Cambria" w:hAnsi="Cambria"/>
                <w:i/>
                <w:szCs w:val="18"/>
              </w:rPr>
              <w:t>Phytophthora</w:t>
            </w:r>
            <w:r>
              <w:rPr>
                <w:rFonts w:ascii="Cambria" w:hAnsi="Cambria"/>
                <w:szCs w:val="18"/>
              </w:rPr>
              <w:t xml:space="preserve"> species</w:t>
            </w:r>
          </w:p>
        </w:tc>
      </w:tr>
      <w:tr w:rsidR="00E94405">
        <w:trPr>
          <w:tblHeader/>
        </w:trPr>
        <w:tc>
          <w:tcPr>
            <w:tcW w:w="2268" w:type="dxa"/>
            <w:vMerge/>
            <w:tcBorders>
              <w:top w:val="single" w:sz="4" w:space="0" w:color="auto"/>
              <w:bottom w:val="single" w:sz="4" w:space="0" w:color="auto"/>
              <w:tl2br w:val="nil"/>
            </w:tcBorders>
          </w:tcPr>
          <w:p w:rsidR="00E94405" w:rsidRDefault="00E94405">
            <w:pPr>
              <w:pStyle w:val="TableText"/>
              <w:rPr>
                <w:rFonts w:ascii="Cambria" w:hAnsi="Cambria"/>
                <w:szCs w:val="18"/>
                <w:vertAlign w:val="superscript"/>
              </w:rPr>
            </w:pPr>
          </w:p>
        </w:tc>
        <w:tc>
          <w:tcPr>
            <w:tcW w:w="1560" w:type="dxa"/>
            <w:tcBorders>
              <w:top w:val="single" w:sz="4" w:space="0" w:color="auto"/>
              <w:bottom w:val="single" w:sz="4" w:space="0" w:color="auto"/>
            </w:tcBorders>
          </w:tcPr>
          <w:p w:rsidR="00E94405" w:rsidRDefault="00A11609">
            <w:pPr>
              <w:pStyle w:val="TableHeading"/>
              <w:jc w:val="center"/>
              <w:rPr>
                <w:rFonts w:ascii="Cambria" w:hAnsi="Cambria"/>
                <w:i/>
                <w:szCs w:val="18"/>
              </w:rPr>
            </w:pPr>
            <w:r>
              <w:rPr>
                <w:rFonts w:ascii="Cambria" w:hAnsi="Cambria"/>
                <w:i/>
                <w:szCs w:val="18"/>
              </w:rPr>
              <w:t>P. kernoviae</w:t>
            </w:r>
          </w:p>
        </w:tc>
        <w:tc>
          <w:tcPr>
            <w:tcW w:w="1660" w:type="dxa"/>
            <w:tcBorders>
              <w:top w:val="single" w:sz="4" w:space="0" w:color="auto"/>
              <w:bottom w:val="single" w:sz="4" w:space="0" w:color="auto"/>
            </w:tcBorders>
          </w:tcPr>
          <w:p w:rsidR="00E94405" w:rsidRDefault="00A11609">
            <w:pPr>
              <w:pStyle w:val="TableHeading"/>
              <w:jc w:val="center"/>
              <w:rPr>
                <w:rFonts w:ascii="Cambria" w:hAnsi="Cambria"/>
                <w:i/>
                <w:szCs w:val="18"/>
              </w:rPr>
            </w:pPr>
            <w:r>
              <w:rPr>
                <w:rFonts w:ascii="Cambria" w:hAnsi="Cambria"/>
                <w:i/>
                <w:szCs w:val="18"/>
              </w:rPr>
              <w:t>P. nemorosa</w:t>
            </w:r>
          </w:p>
        </w:tc>
        <w:tc>
          <w:tcPr>
            <w:tcW w:w="1845" w:type="dxa"/>
            <w:tcBorders>
              <w:top w:val="single" w:sz="4" w:space="0" w:color="auto"/>
              <w:bottom w:val="single" w:sz="4" w:space="0" w:color="auto"/>
            </w:tcBorders>
          </w:tcPr>
          <w:p w:rsidR="00E94405" w:rsidRDefault="00A11609">
            <w:pPr>
              <w:pStyle w:val="TableHeading"/>
              <w:jc w:val="center"/>
              <w:rPr>
                <w:rFonts w:ascii="Cambria" w:hAnsi="Cambria"/>
                <w:i/>
                <w:szCs w:val="18"/>
              </w:rPr>
            </w:pPr>
            <w:r>
              <w:rPr>
                <w:rFonts w:ascii="Cambria" w:hAnsi="Cambria"/>
                <w:i/>
                <w:szCs w:val="18"/>
              </w:rPr>
              <w:t>P. pseudosyringae</w:t>
            </w:r>
          </w:p>
        </w:tc>
        <w:tc>
          <w:tcPr>
            <w:tcW w:w="1845" w:type="dxa"/>
            <w:tcBorders>
              <w:top w:val="single" w:sz="4" w:space="0" w:color="auto"/>
              <w:bottom w:val="single" w:sz="4" w:space="0" w:color="auto"/>
            </w:tcBorders>
          </w:tcPr>
          <w:p w:rsidR="00E94405" w:rsidRDefault="00A11609">
            <w:pPr>
              <w:pStyle w:val="TableHeading"/>
              <w:jc w:val="center"/>
              <w:rPr>
                <w:rFonts w:ascii="Cambria" w:hAnsi="Cambria"/>
                <w:i/>
                <w:szCs w:val="18"/>
              </w:rPr>
            </w:pPr>
            <w:r>
              <w:rPr>
                <w:rFonts w:ascii="Cambria" w:hAnsi="Cambria"/>
                <w:i/>
                <w:szCs w:val="18"/>
              </w:rPr>
              <w:t>P. ramorum</w:t>
            </w:r>
          </w:p>
        </w:tc>
      </w:tr>
      <w:tr w:rsidR="00E94405">
        <w:tc>
          <w:tcPr>
            <w:tcW w:w="2268" w:type="dxa"/>
          </w:tcPr>
          <w:p w:rsidR="00E94405" w:rsidRDefault="00A11609">
            <w:pPr>
              <w:pStyle w:val="TableText"/>
              <w:rPr>
                <w:rFonts w:ascii="Cambria" w:hAnsi="Cambria" w:cs="Helvetica"/>
                <w:szCs w:val="18"/>
              </w:rPr>
            </w:pPr>
            <w:r>
              <w:rPr>
                <w:rFonts w:ascii="Cambria" w:hAnsi="Cambria" w:cs="Helvetica"/>
                <w:szCs w:val="18"/>
              </w:rPr>
              <w:t>Common name</w:t>
            </w:r>
          </w:p>
        </w:tc>
        <w:tc>
          <w:tcPr>
            <w:tcW w:w="1560" w:type="dxa"/>
          </w:tcPr>
          <w:p w:rsidR="00E94405" w:rsidRDefault="00A11609">
            <w:pPr>
              <w:pStyle w:val="TableText"/>
              <w:rPr>
                <w:rFonts w:ascii="Cambria" w:hAnsi="Cambria" w:cs="Helvetica"/>
                <w:szCs w:val="18"/>
              </w:rPr>
            </w:pPr>
            <w:r>
              <w:rPr>
                <w:rFonts w:ascii="Cambria" w:hAnsi="Cambria" w:cs="Helvetica"/>
                <w:szCs w:val="18"/>
              </w:rPr>
              <w:t>Kernoviae bleeding, canker/leaf blight</w:t>
            </w:r>
          </w:p>
        </w:tc>
        <w:tc>
          <w:tcPr>
            <w:tcW w:w="1660" w:type="dxa"/>
          </w:tcPr>
          <w:p w:rsidR="00E94405" w:rsidRDefault="00A11609">
            <w:pPr>
              <w:pStyle w:val="TableText"/>
              <w:rPr>
                <w:rFonts w:ascii="Cambria" w:hAnsi="Cambria" w:cs="Helvetica"/>
                <w:szCs w:val="18"/>
              </w:rPr>
            </w:pPr>
            <w:r>
              <w:rPr>
                <w:rFonts w:ascii="Cambria" w:hAnsi="Cambria" w:cs="Helvetica"/>
                <w:szCs w:val="18"/>
              </w:rPr>
              <w:t>Leaf blight, twig canker</w:t>
            </w:r>
          </w:p>
        </w:tc>
        <w:tc>
          <w:tcPr>
            <w:tcW w:w="1845" w:type="dxa"/>
          </w:tcPr>
          <w:p w:rsidR="00E94405" w:rsidRDefault="00A11609">
            <w:pPr>
              <w:pStyle w:val="TableText"/>
              <w:rPr>
                <w:rFonts w:ascii="Cambria" w:hAnsi="Cambria" w:cs="Helvetica"/>
                <w:szCs w:val="18"/>
              </w:rPr>
            </w:pPr>
            <w:r>
              <w:rPr>
                <w:rFonts w:ascii="Cambria" w:hAnsi="Cambria" w:cs="Helvetica"/>
                <w:szCs w:val="18"/>
              </w:rPr>
              <w:t>Leaf blight, twig canker</w:t>
            </w:r>
          </w:p>
        </w:tc>
        <w:tc>
          <w:tcPr>
            <w:tcW w:w="1845" w:type="dxa"/>
          </w:tcPr>
          <w:p w:rsidR="00E94405" w:rsidRDefault="00A11609">
            <w:pPr>
              <w:pStyle w:val="TableText"/>
              <w:rPr>
                <w:rFonts w:ascii="Cambria" w:hAnsi="Cambria" w:cs="Helvetica"/>
                <w:szCs w:val="18"/>
              </w:rPr>
            </w:pPr>
            <w:r>
              <w:rPr>
                <w:rFonts w:ascii="Cambria" w:hAnsi="Cambria" w:cs="Helvetica"/>
                <w:szCs w:val="18"/>
              </w:rPr>
              <w:t>Sudden oak death, ramorum dieback/ leaf blight</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Geographic distribution</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 xml:space="preserve">Ireland, New Zealand, UK </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USA</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USA, Europe</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Canada, Europe, USA</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 xml:space="preserve">Host </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Multiple</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Multiple</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Multiple</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Multiple</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 xml:space="preserve">Infected tissues </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Stem/foliage</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Stem/foliage</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Foliage</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Stem/foliage</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Caducous sporangia</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Yes</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Yes</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Yes</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Yes</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 xml:space="preserve">Reproduction </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Homothallic</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Homothallic</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Homothallic</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Heterothallic</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Chlamydospores</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No</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No</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No</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Yes</w:t>
            </w:r>
          </w:p>
        </w:tc>
      </w:tr>
      <w:tr w:rsidR="00E94405">
        <w:tc>
          <w:tcPr>
            <w:tcW w:w="2268" w:type="dxa"/>
          </w:tcPr>
          <w:p w:rsidR="00E94405" w:rsidRDefault="00A11609">
            <w:pPr>
              <w:spacing w:before="60" w:after="60"/>
              <w:rPr>
                <w:rFonts w:ascii="Cambria" w:hAnsi="Cambria" w:cs="Helvetica"/>
                <w:sz w:val="18"/>
                <w:szCs w:val="18"/>
              </w:rPr>
            </w:pPr>
            <w:r>
              <w:rPr>
                <w:rFonts w:ascii="Cambria" w:hAnsi="Cambria" w:cs="Helvetica"/>
                <w:sz w:val="18"/>
                <w:szCs w:val="18"/>
              </w:rPr>
              <w:t>Morphological group</w:t>
            </w:r>
          </w:p>
        </w:tc>
        <w:tc>
          <w:tcPr>
            <w:tcW w:w="1560" w:type="dxa"/>
          </w:tcPr>
          <w:p w:rsidR="00E94405" w:rsidRDefault="00A11609">
            <w:pPr>
              <w:spacing w:before="60" w:after="60"/>
              <w:rPr>
                <w:rFonts w:ascii="Cambria" w:hAnsi="Cambria" w:cs="Helvetica"/>
                <w:sz w:val="18"/>
                <w:szCs w:val="18"/>
              </w:rPr>
            </w:pPr>
            <w:r>
              <w:rPr>
                <w:rFonts w:ascii="Cambria" w:hAnsi="Cambria" w:cs="Helvetica"/>
                <w:sz w:val="18"/>
                <w:szCs w:val="18"/>
              </w:rPr>
              <w:t>I</w:t>
            </w:r>
          </w:p>
        </w:tc>
        <w:tc>
          <w:tcPr>
            <w:tcW w:w="1660" w:type="dxa"/>
          </w:tcPr>
          <w:p w:rsidR="00E94405" w:rsidRDefault="00A11609">
            <w:pPr>
              <w:spacing w:before="60" w:after="60"/>
              <w:rPr>
                <w:rFonts w:ascii="Cambria" w:hAnsi="Cambria" w:cs="Helvetica"/>
                <w:sz w:val="18"/>
                <w:szCs w:val="18"/>
              </w:rPr>
            </w:pPr>
            <w:r>
              <w:rPr>
                <w:rFonts w:ascii="Cambria" w:hAnsi="Cambria" w:cs="Helvetica"/>
                <w:sz w:val="18"/>
                <w:szCs w:val="18"/>
              </w:rPr>
              <w:t>III</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III</w:t>
            </w:r>
          </w:p>
        </w:tc>
        <w:tc>
          <w:tcPr>
            <w:tcW w:w="1845" w:type="dxa"/>
          </w:tcPr>
          <w:p w:rsidR="00E94405" w:rsidRDefault="00A11609">
            <w:pPr>
              <w:spacing w:before="60" w:after="60"/>
              <w:rPr>
                <w:rFonts w:ascii="Cambria" w:hAnsi="Cambria" w:cs="Helvetica"/>
                <w:sz w:val="18"/>
                <w:szCs w:val="18"/>
              </w:rPr>
            </w:pPr>
            <w:r>
              <w:rPr>
                <w:rFonts w:ascii="Cambria" w:hAnsi="Cambria" w:cs="Helvetica"/>
                <w:sz w:val="18"/>
                <w:szCs w:val="18"/>
              </w:rPr>
              <w:t>IV</w:t>
            </w:r>
          </w:p>
        </w:tc>
      </w:tr>
      <w:tr w:rsidR="00E94405">
        <w:tc>
          <w:tcPr>
            <w:tcW w:w="2268" w:type="dxa"/>
            <w:tcBorders>
              <w:bottom w:val="single" w:sz="4" w:space="0" w:color="auto"/>
            </w:tcBorders>
          </w:tcPr>
          <w:p w:rsidR="00E94405" w:rsidRDefault="00A11609">
            <w:pPr>
              <w:spacing w:before="60" w:after="60"/>
              <w:rPr>
                <w:rFonts w:ascii="Cambria" w:hAnsi="Cambria" w:cs="Helvetica"/>
                <w:sz w:val="18"/>
                <w:szCs w:val="18"/>
              </w:rPr>
            </w:pPr>
            <w:r>
              <w:rPr>
                <w:rFonts w:ascii="Cambria" w:hAnsi="Cambria" w:cs="Helvetica"/>
                <w:sz w:val="18"/>
                <w:szCs w:val="18"/>
              </w:rPr>
              <w:t>Phylogenetic clade</w:t>
            </w:r>
          </w:p>
        </w:tc>
        <w:tc>
          <w:tcPr>
            <w:tcW w:w="1560" w:type="dxa"/>
            <w:tcBorders>
              <w:bottom w:val="single" w:sz="4" w:space="0" w:color="auto"/>
            </w:tcBorders>
          </w:tcPr>
          <w:p w:rsidR="00E94405" w:rsidRDefault="00A11609">
            <w:pPr>
              <w:spacing w:before="60" w:after="60"/>
              <w:rPr>
                <w:rFonts w:ascii="Cambria" w:hAnsi="Cambria" w:cs="Helvetica"/>
                <w:sz w:val="18"/>
                <w:szCs w:val="18"/>
              </w:rPr>
            </w:pPr>
            <w:r>
              <w:rPr>
                <w:rFonts w:ascii="Cambria" w:hAnsi="Cambria" w:cs="Helvetica"/>
                <w:sz w:val="18"/>
                <w:szCs w:val="18"/>
              </w:rPr>
              <w:t>10</w:t>
            </w:r>
          </w:p>
        </w:tc>
        <w:tc>
          <w:tcPr>
            <w:tcW w:w="1660" w:type="dxa"/>
            <w:tcBorders>
              <w:bottom w:val="single" w:sz="4" w:space="0" w:color="auto"/>
            </w:tcBorders>
          </w:tcPr>
          <w:p w:rsidR="00E94405" w:rsidRDefault="00A11609">
            <w:pPr>
              <w:spacing w:before="60" w:after="60"/>
              <w:rPr>
                <w:rFonts w:ascii="Cambria" w:hAnsi="Cambria" w:cs="Helvetica"/>
                <w:sz w:val="18"/>
                <w:szCs w:val="18"/>
              </w:rPr>
            </w:pPr>
            <w:r>
              <w:rPr>
                <w:rFonts w:ascii="Cambria" w:hAnsi="Cambria" w:cs="Helvetica"/>
                <w:sz w:val="18"/>
                <w:szCs w:val="18"/>
              </w:rPr>
              <w:t>3</w:t>
            </w:r>
          </w:p>
        </w:tc>
        <w:tc>
          <w:tcPr>
            <w:tcW w:w="1845" w:type="dxa"/>
            <w:tcBorders>
              <w:bottom w:val="single" w:sz="4" w:space="0" w:color="auto"/>
            </w:tcBorders>
          </w:tcPr>
          <w:p w:rsidR="00E94405" w:rsidRDefault="00A11609">
            <w:pPr>
              <w:spacing w:before="60" w:after="60"/>
              <w:rPr>
                <w:rFonts w:ascii="Cambria" w:hAnsi="Cambria" w:cs="Helvetica"/>
                <w:sz w:val="18"/>
                <w:szCs w:val="18"/>
              </w:rPr>
            </w:pPr>
            <w:r>
              <w:rPr>
                <w:rFonts w:ascii="Cambria" w:hAnsi="Cambria" w:cs="Helvetica"/>
                <w:sz w:val="18"/>
                <w:szCs w:val="18"/>
              </w:rPr>
              <w:t>3</w:t>
            </w:r>
          </w:p>
        </w:tc>
        <w:tc>
          <w:tcPr>
            <w:tcW w:w="1845" w:type="dxa"/>
            <w:tcBorders>
              <w:bottom w:val="single" w:sz="4" w:space="0" w:color="auto"/>
            </w:tcBorders>
          </w:tcPr>
          <w:p w:rsidR="00E94405" w:rsidRDefault="00A11609">
            <w:pPr>
              <w:spacing w:before="60" w:after="60"/>
              <w:rPr>
                <w:rFonts w:ascii="Cambria" w:hAnsi="Cambria" w:cs="Helvetica"/>
                <w:sz w:val="18"/>
                <w:szCs w:val="18"/>
              </w:rPr>
            </w:pPr>
            <w:r>
              <w:rPr>
                <w:rFonts w:ascii="Cambria" w:hAnsi="Cambria" w:cs="Helvetica"/>
                <w:sz w:val="18"/>
                <w:szCs w:val="18"/>
              </w:rPr>
              <w:t>8c</w:t>
            </w:r>
          </w:p>
        </w:tc>
      </w:tr>
    </w:tbl>
    <w:p w:rsidR="00E94405" w:rsidRDefault="00A11609">
      <w:pPr>
        <w:pStyle w:val="FigureTableNoteSource"/>
        <w:spacing w:before="200" w:line="276" w:lineRule="auto"/>
        <w:rPr>
          <w:rFonts w:ascii="Cambria" w:hAnsi="Cambria" w:cs="Verdana"/>
          <w:szCs w:val="18"/>
        </w:rPr>
      </w:pPr>
      <w:r>
        <w:t>Source: Waterhouse (1963); Blair et al. (2008); Chimento et al. (2012); Martin et al. (2012).</w:t>
      </w:r>
    </w:p>
    <w:p w:rsidR="00E94405" w:rsidRDefault="00A11609">
      <w:pPr>
        <w:autoSpaceDE w:val="0"/>
        <w:autoSpaceDN w:val="0"/>
        <w:adjustRightInd w:val="0"/>
        <w:spacing w:before="200"/>
        <w:rPr>
          <w:rFonts w:ascii="Cambria" w:hAnsi="Cambria"/>
        </w:rPr>
      </w:pPr>
      <w:r>
        <w:rPr>
          <w:rFonts w:ascii="Cambria" w:hAnsi="Cambria"/>
        </w:rPr>
        <w:t xml:space="preserve">There are also several critical differences between the </w:t>
      </w:r>
      <w:r>
        <w:rPr>
          <w:rFonts w:ascii="Cambria" w:hAnsi="Cambria"/>
          <w:i/>
        </w:rPr>
        <w:t>Phytophthora</w:t>
      </w:r>
      <w:r>
        <w:rPr>
          <w:rFonts w:ascii="Cambria" w:hAnsi="Cambria"/>
        </w:rPr>
        <w:t xml:space="preserve"> species considered in this review. Not least, the pathogens have different </w:t>
      </w:r>
      <w:r>
        <w:rPr>
          <w:rFonts w:ascii="Cambria" w:hAnsi="Cambria"/>
          <w:bCs/>
          <w:iCs/>
        </w:rPr>
        <w:t>breeding</w:t>
      </w:r>
      <w:r>
        <w:rPr>
          <w:rFonts w:ascii="Cambria" w:hAnsi="Cambria"/>
        </w:rPr>
        <w:t xml:space="preserve"> systems: </w:t>
      </w:r>
      <w:r>
        <w:rPr>
          <w:rFonts w:ascii="Cambria" w:hAnsi="Cambria"/>
          <w:i/>
        </w:rPr>
        <w:t>P. ramorum</w:t>
      </w:r>
      <w:r>
        <w:rPr>
          <w:rFonts w:ascii="Cambria" w:hAnsi="Cambria"/>
        </w:rPr>
        <w:t xml:space="preserve"> is heterothallic (Werres et al. 2001) whereas </w:t>
      </w:r>
      <w:r>
        <w:rPr>
          <w:rFonts w:ascii="Cambria" w:hAnsi="Cambria"/>
          <w:i/>
        </w:rPr>
        <w:t>P. kernoviae</w:t>
      </w:r>
      <w:r>
        <w:rPr>
          <w:rFonts w:ascii="Cambria" w:hAnsi="Cambria"/>
        </w:rPr>
        <w:t xml:space="preserve">, </w:t>
      </w:r>
      <w:r>
        <w:rPr>
          <w:rFonts w:ascii="Cambria" w:hAnsi="Cambria"/>
          <w:i/>
        </w:rPr>
        <w:t>P. nemorosa</w:t>
      </w:r>
      <w:r>
        <w:rPr>
          <w:rFonts w:ascii="Cambria" w:hAnsi="Cambria"/>
        </w:rPr>
        <w:t xml:space="preserve"> and </w:t>
      </w:r>
      <w:r>
        <w:rPr>
          <w:rFonts w:ascii="Cambria" w:hAnsi="Cambria"/>
          <w:i/>
        </w:rPr>
        <w:t>P. pseudosyringae</w:t>
      </w:r>
      <w:r>
        <w:rPr>
          <w:rFonts w:ascii="Cambria" w:hAnsi="Cambria"/>
        </w:rPr>
        <w:t xml:space="preserve"> are homothallic (Brasier et al. 2005). </w:t>
      </w:r>
    </w:p>
    <w:p w:rsidR="00E94405" w:rsidRDefault="00A11609">
      <w:pPr>
        <w:autoSpaceDE w:val="0"/>
        <w:autoSpaceDN w:val="0"/>
        <w:adjustRightInd w:val="0"/>
        <w:spacing w:before="200"/>
        <w:rPr>
          <w:rFonts w:ascii="Cambria" w:hAnsi="Cambria"/>
        </w:rPr>
      </w:pPr>
      <w:r>
        <w:rPr>
          <w:rFonts w:ascii="Cambria" w:hAnsi="Cambria"/>
          <w:i/>
        </w:rPr>
        <w:t>Phytophthora ramorum</w:t>
      </w:r>
      <w:r>
        <w:rPr>
          <w:rFonts w:ascii="Cambria" w:hAnsi="Cambria"/>
        </w:rPr>
        <w:t xml:space="preserve"> is known to produce large numbers of chlamydospores and caducous sporangia (Martin et al. 2012). </w:t>
      </w:r>
      <w:r>
        <w:rPr>
          <w:rFonts w:ascii="Cambria" w:hAnsi="Cambria"/>
          <w:i/>
        </w:rPr>
        <w:t>Phytophthora ramorum</w:t>
      </w:r>
      <w:r>
        <w:rPr>
          <w:rFonts w:ascii="Cambria" w:hAnsi="Cambria"/>
        </w:rPr>
        <w:t xml:space="preserve"> is heterothallic and requires two different mating types known as A1 and A2 to reproduce sexually. The A1 mating type is found predominantly in Europe and the A2 predominantly in the USA (Ivors et al. 2004). </w:t>
      </w:r>
    </w:p>
    <w:p w:rsidR="00E94405" w:rsidRDefault="00A11609">
      <w:pPr>
        <w:autoSpaceDE w:val="0"/>
        <w:autoSpaceDN w:val="0"/>
        <w:adjustRightInd w:val="0"/>
        <w:spacing w:before="200"/>
        <w:rPr>
          <w:rFonts w:ascii="Cambria" w:hAnsi="Cambria"/>
        </w:rPr>
      </w:pPr>
      <w:r>
        <w:rPr>
          <w:rFonts w:ascii="Cambria" w:hAnsi="Cambria"/>
          <w:i/>
        </w:rPr>
        <w:t>Phytophthora ramorum</w:t>
      </w:r>
      <w:r>
        <w:rPr>
          <w:rFonts w:ascii="Cambria" w:hAnsi="Cambria"/>
        </w:rPr>
        <w:t xml:space="preserve"> is adapted to cool temperatures with optimal growth at 20 degrees Celsius. Molecular phylogeny shows that </w:t>
      </w:r>
      <w:r>
        <w:rPr>
          <w:rFonts w:ascii="Cambria" w:hAnsi="Cambria"/>
          <w:i/>
        </w:rPr>
        <w:t>P. ramorum</w:t>
      </w:r>
      <w:r>
        <w:rPr>
          <w:rFonts w:ascii="Cambria" w:hAnsi="Cambria"/>
        </w:rPr>
        <w:t xml:space="preserve"> is most closely related to </w:t>
      </w:r>
      <w:r>
        <w:rPr>
          <w:rFonts w:ascii="Cambria" w:hAnsi="Cambria"/>
          <w:i/>
        </w:rPr>
        <w:t>P. lateralis</w:t>
      </w:r>
      <w:r>
        <w:rPr>
          <w:rFonts w:ascii="Cambria" w:hAnsi="Cambria"/>
        </w:rPr>
        <w:t xml:space="preserve"> and </w:t>
      </w:r>
      <w:r>
        <w:rPr>
          <w:rFonts w:ascii="Cambria" w:hAnsi="Cambria"/>
          <w:i/>
        </w:rPr>
        <w:t>P. hibernalis</w:t>
      </w:r>
      <w:r>
        <w:rPr>
          <w:rFonts w:ascii="Cambria" w:hAnsi="Cambria"/>
        </w:rPr>
        <w:t xml:space="preserve"> (Parke &amp; Lucas 2008). Currently, three clonal lineages of </w:t>
      </w:r>
      <w:r>
        <w:rPr>
          <w:rFonts w:ascii="Cambria" w:hAnsi="Cambria"/>
          <w:i/>
        </w:rPr>
        <w:t>P. ramorum</w:t>
      </w:r>
      <w:r>
        <w:rPr>
          <w:rFonts w:ascii="Cambria" w:hAnsi="Cambria"/>
        </w:rPr>
        <w:t xml:space="preserve"> are recognized and have been named after the continent (NA = North America; EU = Europe) on which they </w:t>
      </w:r>
      <w:r>
        <w:rPr>
          <w:rFonts w:ascii="Cambria" w:hAnsi="Cambria"/>
        </w:rPr>
        <w:lastRenderedPageBreak/>
        <w:t xml:space="preserve">were first found: EU1, NA1 and NA2 (Grünwald </w:t>
      </w:r>
      <w:r>
        <w:rPr>
          <w:rFonts w:ascii="Cambria" w:hAnsi="Cambria"/>
          <w:bCs/>
          <w:iCs/>
        </w:rPr>
        <w:t>et al</w:t>
      </w:r>
      <w:r>
        <w:rPr>
          <w:rFonts w:ascii="Cambria" w:hAnsi="Cambria"/>
        </w:rPr>
        <w:t xml:space="preserve">. 2009). EU1 only affects Europe, while all three lineages are found in the USA (Goss et al. 2009a, b; 2011). It has also become evident that the EU1 clonal lineage was moved from Europe to North America most likely via the movement of ornamental plants such as </w:t>
      </w:r>
      <w:r>
        <w:rPr>
          <w:rFonts w:ascii="Cambria" w:hAnsi="Cambria"/>
          <w:bCs/>
          <w:i/>
          <w:iCs/>
        </w:rPr>
        <w:t xml:space="preserve">Rhododendron </w:t>
      </w:r>
      <w:r>
        <w:rPr>
          <w:rFonts w:ascii="Cambria" w:hAnsi="Cambria"/>
        </w:rPr>
        <w:t>species (Goss et al. 2011). Despite the occasional presence of both mating types in nursery environments of the Western USA, sexual reproduction has to date not been found (</w:t>
      </w:r>
      <w:r>
        <w:rPr>
          <w:rFonts w:ascii="Cambria" w:hAnsi="Cambria"/>
          <w:color w:val="000000"/>
          <w:lang w:bidi="en-US"/>
        </w:rPr>
        <w:t>Kliejunas 2010;</w:t>
      </w:r>
      <w:r>
        <w:rPr>
          <w:rFonts w:ascii="Cambria" w:hAnsi="Cambria"/>
        </w:rPr>
        <w:t xml:space="preserve"> Goss et al. 2011; Grünwald et al. 2012).</w:t>
      </w:r>
    </w:p>
    <w:p w:rsidR="00E94405" w:rsidRDefault="00A11609">
      <w:pPr>
        <w:autoSpaceDE w:val="0"/>
        <w:autoSpaceDN w:val="0"/>
        <w:adjustRightInd w:val="0"/>
        <w:spacing w:before="200"/>
        <w:rPr>
          <w:rFonts w:ascii="Cambria" w:hAnsi="Cambria"/>
        </w:rPr>
      </w:pPr>
      <w:r>
        <w:rPr>
          <w:rFonts w:ascii="Cambria" w:hAnsi="Cambria"/>
          <w:i/>
          <w:iCs/>
          <w:color w:val="000000"/>
        </w:rPr>
        <w:t xml:space="preserve">Phytophthora kernoviae </w:t>
      </w:r>
      <w:r>
        <w:rPr>
          <w:rFonts w:ascii="Cambria" w:hAnsi="Cambria"/>
          <w:color w:val="000000"/>
        </w:rPr>
        <w:t xml:space="preserve">is not known to produce chlamydospores (Widmer 2011) and produces large numbers of oospores and caducous sporangia (Brasier </w:t>
      </w:r>
      <w:r>
        <w:rPr>
          <w:rFonts w:ascii="Cambria" w:hAnsi="Cambria"/>
          <w:iCs/>
          <w:color w:val="000000"/>
        </w:rPr>
        <w:t>et al</w:t>
      </w:r>
      <w:r>
        <w:rPr>
          <w:rFonts w:ascii="Cambria" w:hAnsi="Cambria"/>
          <w:color w:val="000000"/>
        </w:rPr>
        <w:t xml:space="preserve">. 2005). The optimal temperature range for the growth of </w:t>
      </w:r>
      <w:r>
        <w:rPr>
          <w:rFonts w:ascii="Cambria" w:hAnsi="Cambria"/>
          <w:i/>
          <w:iCs/>
          <w:color w:val="000000"/>
        </w:rPr>
        <w:t>P. kernoviae</w:t>
      </w:r>
      <w:r>
        <w:rPr>
          <w:rFonts w:ascii="Cambria" w:hAnsi="Cambria"/>
          <w:color w:val="000000"/>
        </w:rPr>
        <w:t xml:space="preserve"> is between 18 degrees Celsius and 26 degrees Celsius (Brasier </w:t>
      </w:r>
      <w:r>
        <w:rPr>
          <w:rFonts w:ascii="Cambria" w:hAnsi="Cambria"/>
          <w:iCs/>
          <w:color w:val="000000"/>
        </w:rPr>
        <w:t>et al.</w:t>
      </w:r>
      <w:r>
        <w:rPr>
          <w:rFonts w:ascii="Cambria" w:hAnsi="Cambria"/>
          <w:color w:val="000000"/>
        </w:rPr>
        <w:t xml:space="preserve"> 2005), which indicates that </w:t>
      </w:r>
      <w:r>
        <w:rPr>
          <w:rFonts w:ascii="Cambria" w:hAnsi="Cambria"/>
          <w:i/>
          <w:iCs/>
          <w:color w:val="000000"/>
        </w:rPr>
        <w:t>P.</w:t>
      </w:r>
      <w:r>
        <w:rPr>
          <w:rFonts w:ascii="Cambria" w:hAnsi="Cambria"/>
          <w:i/>
          <w:iCs/>
        </w:rPr>
        <w:t> </w:t>
      </w:r>
      <w:r>
        <w:rPr>
          <w:rFonts w:ascii="Cambria" w:hAnsi="Cambria"/>
          <w:i/>
          <w:iCs/>
          <w:color w:val="000000"/>
        </w:rPr>
        <w:t>kernoviae</w:t>
      </w:r>
      <w:r>
        <w:rPr>
          <w:rFonts w:ascii="Cambria" w:hAnsi="Cambria"/>
          <w:color w:val="000000"/>
        </w:rPr>
        <w:t xml:space="preserve"> may be adapted to a temperate climate. Oospores of </w:t>
      </w:r>
      <w:r>
        <w:rPr>
          <w:rFonts w:ascii="Cambria" w:hAnsi="Cambria"/>
          <w:i/>
          <w:iCs/>
          <w:color w:val="000000"/>
        </w:rPr>
        <w:t xml:space="preserve">Phytophthora kernoviae </w:t>
      </w:r>
      <w:r>
        <w:rPr>
          <w:rFonts w:ascii="Cambria" w:hAnsi="Cambria"/>
          <w:color w:val="000000"/>
        </w:rPr>
        <w:t xml:space="preserve">can survive for long periods at temperatures of 30 degrees Celsius and below; however, viability is reduced by exposure to higher temperatures (Widmer </w:t>
      </w:r>
      <w:r>
        <w:rPr>
          <w:rFonts w:ascii="Cambria" w:hAnsi="Cambria"/>
        </w:rPr>
        <w:t>2011)</w:t>
      </w:r>
      <w:r>
        <w:rPr>
          <w:rFonts w:ascii="Cambria" w:hAnsi="Cambria"/>
          <w:i/>
        </w:rPr>
        <w:t>. Phytophthora</w:t>
      </w:r>
      <w:r>
        <w:rPr>
          <w:rFonts w:ascii="Cambria" w:hAnsi="Cambria"/>
          <w:i/>
          <w:iCs/>
          <w:color w:val="000000"/>
        </w:rPr>
        <w:t xml:space="preserve"> kernoviae</w:t>
      </w:r>
      <w:r>
        <w:rPr>
          <w:rFonts w:ascii="Cambria" w:hAnsi="Cambria"/>
          <w:color w:val="000000"/>
        </w:rPr>
        <w:t xml:space="preserve"> is closely related to </w:t>
      </w:r>
      <w:r>
        <w:rPr>
          <w:rFonts w:ascii="Cambria" w:hAnsi="Cambria"/>
          <w:i/>
          <w:iCs/>
          <w:color w:val="000000"/>
        </w:rPr>
        <w:t xml:space="preserve">P. boehmeriae </w:t>
      </w:r>
      <w:r>
        <w:rPr>
          <w:rFonts w:ascii="Cambria" w:hAnsi="Cambria"/>
          <w:color w:val="000000"/>
        </w:rPr>
        <w:t xml:space="preserve">(Brasier </w:t>
      </w:r>
      <w:r>
        <w:rPr>
          <w:rFonts w:ascii="Cambria" w:hAnsi="Cambria"/>
          <w:iCs/>
          <w:color w:val="000000"/>
        </w:rPr>
        <w:t xml:space="preserve">et al. </w:t>
      </w:r>
      <w:r>
        <w:rPr>
          <w:rFonts w:ascii="Cambria" w:hAnsi="Cambria"/>
          <w:color w:val="000000"/>
        </w:rPr>
        <w:t xml:space="preserve">2005). </w:t>
      </w:r>
      <w:r>
        <w:rPr>
          <w:rFonts w:ascii="Cambria" w:hAnsi="Cambria"/>
        </w:rPr>
        <w:t xml:space="preserve">Morphologically, </w:t>
      </w:r>
      <w:r>
        <w:rPr>
          <w:rFonts w:ascii="Cambria" w:hAnsi="Cambria"/>
          <w:i/>
          <w:iCs/>
        </w:rPr>
        <w:t xml:space="preserve">P. kernoviae </w:t>
      </w:r>
      <w:r>
        <w:rPr>
          <w:rFonts w:ascii="Cambria" w:hAnsi="Cambria"/>
        </w:rPr>
        <w:t xml:space="preserve">(homothallic and lacking chlamydospores) is readily distinguished from </w:t>
      </w:r>
      <w:r>
        <w:rPr>
          <w:rFonts w:ascii="Cambria" w:hAnsi="Cambria"/>
          <w:i/>
          <w:iCs/>
        </w:rPr>
        <w:t xml:space="preserve">P. ramorum </w:t>
      </w:r>
      <w:r>
        <w:rPr>
          <w:rFonts w:ascii="Cambria" w:hAnsi="Cambria"/>
        </w:rPr>
        <w:t xml:space="preserve">(Werres </w:t>
      </w:r>
      <w:r>
        <w:rPr>
          <w:rFonts w:ascii="Cambria" w:hAnsi="Cambria"/>
          <w:iCs/>
        </w:rPr>
        <w:t>et al</w:t>
      </w:r>
      <w:r>
        <w:rPr>
          <w:rFonts w:ascii="Cambria" w:hAnsi="Cambria"/>
        </w:rPr>
        <w:t xml:space="preserve">. 2001). Phylogenetically, </w:t>
      </w:r>
      <w:r>
        <w:rPr>
          <w:rFonts w:ascii="Cambria" w:hAnsi="Cambria"/>
          <w:i/>
          <w:iCs/>
        </w:rPr>
        <w:t xml:space="preserve">P. kernoviae </w:t>
      </w:r>
      <w:r>
        <w:rPr>
          <w:rFonts w:ascii="Cambria" w:hAnsi="Cambria"/>
        </w:rPr>
        <w:t xml:space="preserve">falls in ITS DNA Clade 10 (Cooke </w:t>
      </w:r>
      <w:r>
        <w:rPr>
          <w:rFonts w:ascii="Cambria" w:hAnsi="Cambria"/>
          <w:iCs/>
        </w:rPr>
        <w:t>et al</w:t>
      </w:r>
      <w:r>
        <w:rPr>
          <w:rFonts w:ascii="Cambria" w:hAnsi="Cambria"/>
        </w:rPr>
        <w:t xml:space="preserve">. 2000; Blair et al. 2008) with </w:t>
      </w:r>
      <w:r>
        <w:rPr>
          <w:rFonts w:ascii="Cambria" w:hAnsi="Cambria"/>
          <w:i/>
          <w:iCs/>
        </w:rPr>
        <w:t xml:space="preserve">P. boehmeriae, P. gallica </w:t>
      </w:r>
      <w:r>
        <w:rPr>
          <w:rFonts w:ascii="Cambria" w:hAnsi="Cambria"/>
        </w:rPr>
        <w:t xml:space="preserve">and </w:t>
      </w:r>
      <w:r>
        <w:rPr>
          <w:rFonts w:ascii="Cambria" w:hAnsi="Cambria"/>
          <w:i/>
          <w:iCs/>
        </w:rPr>
        <w:t>P. morindae</w:t>
      </w:r>
      <w:r>
        <w:rPr>
          <w:rFonts w:ascii="Cambria" w:hAnsi="Cambria"/>
        </w:rPr>
        <w:t>.</w:t>
      </w:r>
    </w:p>
    <w:p w:rsidR="00E94405" w:rsidRDefault="00A11609">
      <w:pPr>
        <w:autoSpaceDE w:val="0"/>
        <w:autoSpaceDN w:val="0"/>
        <w:adjustRightInd w:val="0"/>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are homothallic (Linzer </w:t>
      </w:r>
      <w:r>
        <w:rPr>
          <w:rFonts w:ascii="Cambria" w:hAnsi="Cambria"/>
          <w:iCs/>
        </w:rPr>
        <w:t>et al</w:t>
      </w:r>
      <w:r>
        <w:rPr>
          <w:rFonts w:ascii="Cambria" w:hAnsi="Cambria"/>
        </w:rPr>
        <w:t xml:space="preserve">. 2009), have similar host ranges and occur in generally the same geographic region as </w:t>
      </w:r>
      <w:r>
        <w:rPr>
          <w:rFonts w:ascii="Cambria" w:hAnsi="Cambria"/>
          <w:i/>
          <w:iCs/>
        </w:rPr>
        <w:t xml:space="preserve">P. ramorum </w:t>
      </w:r>
      <w:r>
        <w:rPr>
          <w:rFonts w:ascii="Cambria" w:hAnsi="Cambria"/>
        </w:rPr>
        <w:t xml:space="preserve">in Californian forests. </w:t>
      </w:r>
      <w:r>
        <w:rPr>
          <w:rFonts w:ascii="Cambria" w:hAnsi="Cambria"/>
          <w:i/>
          <w:iCs/>
        </w:rPr>
        <w:t xml:space="preserve">Phytophthora nemorosa </w:t>
      </w:r>
      <w:r>
        <w:rPr>
          <w:rFonts w:ascii="Cambria" w:hAnsi="Cambria"/>
        </w:rPr>
        <w:t xml:space="preserve">and </w:t>
      </w:r>
      <w:r>
        <w:rPr>
          <w:rFonts w:ascii="Cambria" w:hAnsi="Cambria"/>
          <w:i/>
          <w:iCs/>
        </w:rPr>
        <w:t xml:space="preserve">P. ramorum </w:t>
      </w:r>
      <w:r>
        <w:rPr>
          <w:rFonts w:ascii="Cambria" w:hAnsi="Cambria"/>
        </w:rPr>
        <w:t xml:space="preserve">are similar in host range and symptomology (Hansen </w:t>
      </w:r>
      <w:r>
        <w:rPr>
          <w:rFonts w:ascii="Cambria" w:hAnsi="Cambria"/>
          <w:iCs/>
        </w:rPr>
        <w:t>et al</w:t>
      </w:r>
      <w:r>
        <w:rPr>
          <w:rFonts w:ascii="Cambria" w:hAnsi="Cambria"/>
        </w:rPr>
        <w:t xml:space="preserve">. 2003a); however, in culture, </w:t>
      </w:r>
      <w:r>
        <w:rPr>
          <w:rFonts w:ascii="Cambria" w:hAnsi="Cambria"/>
          <w:i/>
          <w:iCs/>
        </w:rPr>
        <w:t xml:space="preserve">P. nemorosa </w:t>
      </w:r>
      <w:r>
        <w:rPr>
          <w:rFonts w:ascii="Cambria" w:hAnsi="Cambria"/>
        </w:rPr>
        <w:t xml:space="preserve">grows more slowly, with a lower temperature optimum (15 </w:t>
      </w:r>
      <w:r>
        <w:rPr>
          <w:rFonts w:ascii="Cambria" w:hAnsi="Cambria"/>
          <w:color w:val="000000"/>
        </w:rPr>
        <w:t>degrees Celsius</w:t>
      </w:r>
      <w:r>
        <w:rPr>
          <w:rFonts w:ascii="Cambria" w:hAnsi="Cambria"/>
        </w:rPr>
        <w:t xml:space="preserve">) </w:t>
      </w:r>
      <w:r>
        <w:rPr>
          <w:rFonts w:ascii="Cambria" w:hAnsi="Cambria"/>
          <w:color w:val="000000"/>
        </w:rPr>
        <w:t>than</w:t>
      </w:r>
      <w:r>
        <w:rPr>
          <w:rFonts w:ascii="Cambria" w:hAnsi="Cambria"/>
        </w:rPr>
        <w:t xml:space="preserve"> </w:t>
      </w:r>
      <w:r>
        <w:rPr>
          <w:rFonts w:ascii="Cambria" w:hAnsi="Cambria"/>
          <w:i/>
          <w:iCs/>
        </w:rPr>
        <w:t xml:space="preserve">P. ramorum </w:t>
      </w:r>
      <w:r>
        <w:rPr>
          <w:rFonts w:ascii="Cambria" w:hAnsi="Cambria"/>
        </w:rPr>
        <w:t xml:space="preserve">(20 </w:t>
      </w:r>
      <w:r>
        <w:rPr>
          <w:rFonts w:ascii="Cambria" w:hAnsi="Cambria"/>
          <w:color w:val="000000"/>
        </w:rPr>
        <w:t>degrees Celsius</w:t>
      </w:r>
      <w:r>
        <w:rPr>
          <w:rFonts w:ascii="Cambria" w:hAnsi="Cambria"/>
        </w:rPr>
        <w:t xml:space="preserve">) (Hansen </w:t>
      </w:r>
      <w:r>
        <w:rPr>
          <w:rFonts w:ascii="Cambria" w:hAnsi="Cambria"/>
          <w:iCs/>
        </w:rPr>
        <w:t>et al.</w:t>
      </w:r>
      <w:r>
        <w:rPr>
          <w:rFonts w:ascii="Cambria" w:hAnsi="Cambria"/>
        </w:rPr>
        <w:t xml:space="preserve"> 2003a). Morphologically, </w:t>
      </w:r>
      <w:r>
        <w:rPr>
          <w:rFonts w:ascii="Cambria" w:hAnsi="Cambria"/>
          <w:i/>
          <w:iCs/>
        </w:rPr>
        <w:t xml:space="preserve">P. nemorosa </w:t>
      </w:r>
      <w:r>
        <w:rPr>
          <w:rFonts w:ascii="Cambria" w:hAnsi="Cambria"/>
          <w:iCs/>
        </w:rPr>
        <w:t xml:space="preserve">is </w:t>
      </w:r>
      <w:r>
        <w:rPr>
          <w:rFonts w:ascii="Cambria" w:hAnsi="Cambria"/>
        </w:rPr>
        <w:t xml:space="preserve">homothallic and lacking chlamydospores, so it is readily distinguished from </w:t>
      </w:r>
      <w:r>
        <w:rPr>
          <w:rFonts w:ascii="Cambria" w:hAnsi="Cambria"/>
          <w:i/>
          <w:iCs/>
        </w:rPr>
        <w:t xml:space="preserve">P. ramorum </w:t>
      </w:r>
      <w:r>
        <w:rPr>
          <w:rFonts w:ascii="Cambria" w:hAnsi="Cambria"/>
        </w:rPr>
        <w:t xml:space="preserve">(Werres </w:t>
      </w:r>
      <w:r>
        <w:rPr>
          <w:rFonts w:ascii="Cambria" w:hAnsi="Cambria"/>
          <w:iCs/>
        </w:rPr>
        <w:t>et al</w:t>
      </w:r>
      <w:r>
        <w:rPr>
          <w:rFonts w:ascii="Cambria" w:hAnsi="Cambria"/>
        </w:rPr>
        <w:t xml:space="preserve">. 2001). Phylogenetically, </w:t>
      </w:r>
      <w:r>
        <w:rPr>
          <w:rFonts w:ascii="Cambria" w:hAnsi="Cambria"/>
          <w:i/>
          <w:iCs/>
        </w:rPr>
        <w:t xml:space="preserve">P. nemorosa </w:t>
      </w:r>
      <w:r>
        <w:rPr>
          <w:rFonts w:ascii="Cambria" w:hAnsi="Cambria"/>
        </w:rPr>
        <w:t xml:space="preserve">falls in ITS DNA Clade 3 (Cooke </w:t>
      </w:r>
      <w:r>
        <w:rPr>
          <w:rFonts w:ascii="Cambria" w:hAnsi="Cambria"/>
          <w:iCs/>
        </w:rPr>
        <w:t>et al</w:t>
      </w:r>
      <w:r>
        <w:rPr>
          <w:rFonts w:ascii="Cambria" w:hAnsi="Cambria"/>
        </w:rPr>
        <w:t xml:space="preserve">. 2000) with </w:t>
      </w:r>
      <w:r>
        <w:rPr>
          <w:rFonts w:ascii="Cambria" w:hAnsi="Cambria"/>
          <w:i/>
          <w:iCs/>
        </w:rPr>
        <w:t xml:space="preserve">P. ilicis, P. psychrophila, P. pseudosyringae </w:t>
      </w:r>
      <w:r>
        <w:rPr>
          <w:rFonts w:ascii="Cambria" w:hAnsi="Cambria"/>
        </w:rPr>
        <w:t xml:space="preserve">(Jung </w:t>
      </w:r>
      <w:r>
        <w:rPr>
          <w:rFonts w:ascii="Cambria" w:hAnsi="Cambria"/>
          <w:iCs/>
        </w:rPr>
        <w:t>et al</w:t>
      </w:r>
      <w:r>
        <w:rPr>
          <w:rFonts w:ascii="Cambria" w:hAnsi="Cambria"/>
        </w:rPr>
        <w:t xml:space="preserve">. 2003) and </w:t>
      </w:r>
      <w:r>
        <w:rPr>
          <w:rFonts w:ascii="Cambria" w:hAnsi="Cambria"/>
          <w:i/>
          <w:iCs/>
        </w:rPr>
        <w:t xml:space="preserve">P. quercine </w:t>
      </w:r>
      <w:r>
        <w:rPr>
          <w:rFonts w:ascii="Cambria" w:hAnsi="Cambria"/>
        </w:rPr>
        <w:t xml:space="preserve">(Jung </w:t>
      </w:r>
      <w:r>
        <w:rPr>
          <w:rFonts w:ascii="Cambria" w:hAnsi="Cambria"/>
          <w:iCs/>
        </w:rPr>
        <w:t>et al</w:t>
      </w:r>
      <w:r>
        <w:rPr>
          <w:rFonts w:ascii="Cambria" w:hAnsi="Cambria"/>
        </w:rPr>
        <w:t>. 1999).</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83" w:name="_Toc414019447"/>
      <w:r>
        <w:rPr>
          <w:rFonts w:eastAsiaTheme="majorEastAsia" w:cstheme="majorBidi"/>
          <w:color w:val="773141"/>
          <w:sz w:val="28"/>
        </w:rPr>
        <w:t xml:space="preserve">Global occurrence of the </w:t>
      </w:r>
      <w:r>
        <w:rPr>
          <w:rFonts w:eastAsiaTheme="majorEastAsia" w:cstheme="majorBidi"/>
          <w:i/>
          <w:color w:val="773141"/>
          <w:sz w:val="28"/>
        </w:rPr>
        <w:t>Phytophthora</w:t>
      </w:r>
      <w:r>
        <w:rPr>
          <w:rFonts w:eastAsiaTheme="majorEastAsia" w:cstheme="majorBidi"/>
          <w:color w:val="773141"/>
          <w:sz w:val="28"/>
        </w:rPr>
        <w:t xml:space="preserve"> species</w:t>
      </w:r>
      <w:bookmarkEnd w:id="83"/>
    </w:p>
    <w:p w:rsidR="00E94405" w:rsidRDefault="00A11609">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was first reported to be associated with twig blight disease on </w:t>
      </w:r>
      <w:r>
        <w:rPr>
          <w:rFonts w:ascii="Cambria" w:hAnsi="Cambria"/>
          <w:i/>
          <w:iCs/>
        </w:rPr>
        <w:t xml:space="preserve">Rhododendron </w:t>
      </w:r>
      <w:r>
        <w:rPr>
          <w:rFonts w:ascii="Cambria" w:hAnsi="Cambria"/>
        </w:rPr>
        <w:t xml:space="preserve">and </w:t>
      </w:r>
      <w:r>
        <w:rPr>
          <w:rFonts w:ascii="Cambria" w:hAnsi="Cambria"/>
          <w:i/>
          <w:iCs/>
        </w:rPr>
        <w:t xml:space="preserve">Viburnum </w:t>
      </w:r>
      <w:r>
        <w:rPr>
          <w:rFonts w:ascii="Cambria" w:hAnsi="Cambria"/>
        </w:rPr>
        <w:t xml:space="preserve">in Germany and the Netherlands (Werres </w:t>
      </w:r>
      <w:r>
        <w:rPr>
          <w:rFonts w:ascii="Cambria" w:hAnsi="Cambria"/>
          <w:iCs/>
        </w:rPr>
        <w:t>et al.</w:t>
      </w:r>
      <w:r>
        <w:rPr>
          <w:rFonts w:ascii="Cambria" w:hAnsi="Cambria"/>
          <w:i/>
          <w:iCs/>
        </w:rPr>
        <w:t xml:space="preserve"> </w:t>
      </w:r>
      <w:r>
        <w:rPr>
          <w:rFonts w:ascii="Cambria" w:hAnsi="Cambria"/>
        </w:rPr>
        <w:t xml:space="preserve">2001) and on </w:t>
      </w:r>
      <w:r>
        <w:rPr>
          <w:rFonts w:ascii="Cambria" w:hAnsi="Cambria"/>
          <w:i/>
          <w:iCs/>
        </w:rPr>
        <w:t xml:space="preserve">Quercus </w:t>
      </w:r>
      <w:r>
        <w:rPr>
          <w:rFonts w:ascii="Cambria" w:hAnsi="Cambria"/>
          <w:iCs/>
        </w:rPr>
        <w:t xml:space="preserve">species </w:t>
      </w:r>
      <w:r>
        <w:rPr>
          <w:rFonts w:ascii="Cambria" w:hAnsi="Cambria"/>
        </w:rPr>
        <w:t xml:space="preserve">and </w:t>
      </w:r>
      <w:r>
        <w:rPr>
          <w:rFonts w:ascii="Cambria" w:hAnsi="Cambria"/>
          <w:i/>
          <w:iCs/>
        </w:rPr>
        <w:t xml:space="preserve">Lithocarpus </w:t>
      </w:r>
      <w:r>
        <w:rPr>
          <w:rFonts w:ascii="Cambria" w:hAnsi="Cambria"/>
        </w:rPr>
        <w:t xml:space="preserve">species in California, USA (Rizzo </w:t>
      </w:r>
      <w:r>
        <w:rPr>
          <w:rFonts w:ascii="Cambria" w:hAnsi="Cambria"/>
          <w:iCs/>
        </w:rPr>
        <w:t>et al.</w:t>
      </w:r>
      <w:r>
        <w:rPr>
          <w:rFonts w:ascii="Cambria" w:hAnsi="Cambria"/>
          <w:i/>
          <w:iCs/>
        </w:rPr>
        <w:t xml:space="preserve"> </w:t>
      </w:r>
      <w:r>
        <w:rPr>
          <w:rFonts w:ascii="Cambria" w:hAnsi="Cambria"/>
        </w:rPr>
        <w:t xml:space="preserve">2002b). Since then, it has been reported from Belgium, Canada, Czech Republic, Denmark, Estonia, Finland, France, Germany, Ireland, Italy, Latvia, Lithuania, Luxembourg, the Netherlands, Norway, Poland, Portugal, Slovenia, Spain, Sweden, Switzerland, the UK and the USA (Goheen &amp; Frankel 2009) (Map 3). </w:t>
      </w:r>
    </w:p>
    <w:p w:rsidR="00E94405" w:rsidRDefault="00A11609">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is speculated to </w:t>
      </w:r>
      <w:r>
        <w:rPr>
          <w:rFonts w:ascii="Cambria" w:hAnsi="Cambria"/>
          <w:iCs/>
        </w:rPr>
        <w:t>have</w:t>
      </w:r>
      <w:r>
        <w:rPr>
          <w:rFonts w:ascii="Cambria" w:hAnsi="Cambria"/>
        </w:rPr>
        <w:t xml:space="preserve"> originated from East Asia; however, a closely related species, </w:t>
      </w:r>
      <w:r>
        <w:rPr>
          <w:rFonts w:ascii="Cambria" w:hAnsi="Cambria"/>
          <w:i/>
          <w:iCs/>
        </w:rPr>
        <w:t>Phytophthora lateralis</w:t>
      </w:r>
      <w:r>
        <w:rPr>
          <w:rFonts w:ascii="Cambria" w:hAnsi="Cambria"/>
        </w:rPr>
        <w:t>,</w:t>
      </w:r>
      <w:r>
        <w:rPr>
          <w:rFonts w:ascii="Cambria" w:hAnsi="Cambria"/>
          <w:i/>
          <w:iCs/>
        </w:rPr>
        <w:t xml:space="preserve"> </w:t>
      </w:r>
      <w:r>
        <w:rPr>
          <w:rFonts w:ascii="Cambria" w:hAnsi="Cambria"/>
        </w:rPr>
        <w:t xml:space="preserve">has been found on </w:t>
      </w:r>
      <w:r>
        <w:rPr>
          <w:rFonts w:ascii="Cambria" w:hAnsi="Cambria"/>
          <w:i/>
          <w:iCs/>
        </w:rPr>
        <w:t xml:space="preserve">Chamaecyparis </w:t>
      </w:r>
      <w:r>
        <w:rPr>
          <w:rFonts w:ascii="Cambria" w:hAnsi="Cambria"/>
          <w:iCs/>
        </w:rPr>
        <w:t xml:space="preserve">species </w:t>
      </w:r>
      <w:r>
        <w:rPr>
          <w:rFonts w:ascii="Cambria" w:hAnsi="Cambria"/>
        </w:rPr>
        <w:t xml:space="preserve">in Taiwan (Brasier </w:t>
      </w:r>
      <w:r>
        <w:rPr>
          <w:rFonts w:ascii="Cambria" w:hAnsi="Cambria"/>
          <w:iCs/>
        </w:rPr>
        <w:t>et al</w:t>
      </w:r>
      <w:r>
        <w:rPr>
          <w:rFonts w:ascii="Cambria" w:hAnsi="Cambria"/>
        </w:rPr>
        <w:t>. 2010)</w:t>
      </w:r>
      <w:r>
        <w:rPr>
          <w:rFonts w:ascii="Cambria" w:hAnsi="Cambria"/>
          <w:i/>
        </w:rPr>
        <w:t>. Phytophthora</w:t>
      </w:r>
      <w:r>
        <w:rPr>
          <w:rFonts w:ascii="Cambria" w:hAnsi="Cambria"/>
          <w:i/>
          <w:iCs/>
        </w:rPr>
        <w:t xml:space="preserve"> lateralis </w:t>
      </w:r>
      <w:r>
        <w:rPr>
          <w:rFonts w:ascii="Cambria" w:hAnsi="Cambria"/>
        </w:rPr>
        <w:t xml:space="preserve">and </w:t>
      </w:r>
      <w:r>
        <w:rPr>
          <w:rFonts w:ascii="Cambria" w:hAnsi="Cambria"/>
          <w:i/>
          <w:iCs/>
        </w:rPr>
        <w:t>P. ramorum</w:t>
      </w:r>
      <w:r>
        <w:rPr>
          <w:rFonts w:ascii="Cambria" w:hAnsi="Cambria"/>
        </w:rPr>
        <w:t xml:space="preserve"> are phylogenetically related; they have various common features and are thus likely to share a common region of origin (Brasier </w:t>
      </w:r>
      <w:r>
        <w:rPr>
          <w:rFonts w:ascii="Cambria" w:hAnsi="Cambria"/>
          <w:iCs/>
        </w:rPr>
        <w:t>et al</w:t>
      </w:r>
      <w:r>
        <w:rPr>
          <w:rFonts w:ascii="Cambria" w:hAnsi="Cambria"/>
        </w:rPr>
        <w:t>. 2010).</w:t>
      </w:r>
      <w:r>
        <w:rPr>
          <w:rFonts w:ascii="Cambria" w:hAnsi="Cambria"/>
          <w:i/>
          <w:iCs/>
        </w:rPr>
        <w:t xml:space="preserve"> Chamaecyparis </w:t>
      </w:r>
      <w:r>
        <w:rPr>
          <w:rFonts w:ascii="Cambria" w:hAnsi="Cambria"/>
          <w:iCs/>
        </w:rPr>
        <w:t>species (conifers) are</w:t>
      </w:r>
      <w:r>
        <w:rPr>
          <w:rFonts w:ascii="Cambria" w:hAnsi="Cambria"/>
        </w:rPr>
        <w:t xml:space="preserve"> present both in Taiwan and Japan; therefore, both </w:t>
      </w:r>
      <w:r>
        <w:rPr>
          <w:rFonts w:ascii="Cambria" w:hAnsi="Cambria"/>
          <w:i/>
          <w:iCs/>
        </w:rPr>
        <w:t xml:space="preserve">Phytophthora </w:t>
      </w:r>
      <w:r>
        <w:rPr>
          <w:rFonts w:ascii="Cambria" w:hAnsi="Cambria"/>
        </w:rPr>
        <w:t xml:space="preserve">species could have originated from one of these two countries (Brasier </w:t>
      </w:r>
      <w:r>
        <w:rPr>
          <w:rFonts w:ascii="Cambria" w:hAnsi="Cambria"/>
          <w:iCs/>
        </w:rPr>
        <w:t>et al</w:t>
      </w:r>
      <w:r>
        <w:rPr>
          <w:rFonts w:ascii="Cambria" w:hAnsi="Cambria"/>
        </w:rPr>
        <w:t xml:space="preserve">. 2010). The known distribution of </w:t>
      </w:r>
      <w:r>
        <w:rPr>
          <w:rFonts w:ascii="Cambria" w:hAnsi="Cambria"/>
          <w:i/>
        </w:rPr>
        <w:t xml:space="preserve">P. ramorum </w:t>
      </w:r>
      <w:r>
        <w:rPr>
          <w:rFonts w:ascii="Cambria" w:hAnsi="Cambria"/>
        </w:rPr>
        <w:t>includes nurseries of ornamental plants in Europe and North America as well as in wild woodlands of western USA (Werres et al. 2001; Rizzo et al. 2002b; Davidson et al. 2003b) and forests in Europe (Brasier et al. 2004a;</w:t>
      </w:r>
      <w:r>
        <w:rPr>
          <w:rFonts w:ascii="Cambria" w:hAnsi="Cambria"/>
          <w:color w:val="FF0000"/>
        </w:rPr>
        <w:t xml:space="preserve"> </w:t>
      </w:r>
      <w:r>
        <w:rPr>
          <w:rFonts w:ascii="Cambria" w:hAnsi="Cambria"/>
        </w:rPr>
        <w:t xml:space="preserve">Brasier &amp; Webber 2010). </w:t>
      </w:r>
      <w:r>
        <w:rPr>
          <w:rFonts w:ascii="Cambria" w:hAnsi="Cambria"/>
          <w:i/>
        </w:rPr>
        <w:t>Phytophthora ramorum</w:t>
      </w:r>
      <w:r>
        <w:rPr>
          <w:rFonts w:ascii="Cambria" w:hAnsi="Cambria"/>
        </w:rPr>
        <w:t xml:space="preserve"> is regarded as an exotic pathogen of unknown origin to both </w:t>
      </w:r>
      <w:r>
        <w:rPr>
          <w:rFonts w:ascii="Cambria" w:hAnsi="Cambria"/>
        </w:rPr>
        <w:lastRenderedPageBreak/>
        <w:t xml:space="preserve">Europe and the USA (Rizzo &amp; Garbelotto 2003; Ivors et al. 2004; 2006). </w:t>
      </w: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are also considered exotic and have been introduced into California and Oregon (Linzer </w:t>
      </w:r>
      <w:r>
        <w:rPr>
          <w:rFonts w:ascii="Cambria" w:hAnsi="Cambria"/>
          <w:iCs/>
        </w:rPr>
        <w:t>et al</w:t>
      </w:r>
      <w:r>
        <w:rPr>
          <w:rFonts w:ascii="Cambria" w:hAnsi="Cambria"/>
        </w:rPr>
        <w:t xml:space="preserve">. 2006). </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84" w:name="_Toc356671314"/>
      <w:bookmarkStart w:id="85" w:name="_Toc386638380"/>
      <w:bookmarkStart w:id="86" w:name="_Toc386709917"/>
      <w:bookmarkStart w:id="87" w:name="_Toc388882527"/>
      <w:bookmarkStart w:id="88" w:name="_Toc388949923"/>
      <w:bookmarkStart w:id="89" w:name="_Toc392494636"/>
      <w:bookmarkStart w:id="90" w:name="_Toc392503879"/>
      <w:bookmarkStart w:id="91" w:name="_Toc409685806"/>
      <w:bookmarkStart w:id="92" w:name="_Toc412625745"/>
      <w:bookmarkStart w:id="93" w:name="_Toc414019475"/>
      <w:bookmarkStart w:id="94" w:name="_Toc414019484"/>
      <w:r>
        <w:rPr>
          <w:rFonts w:asciiTheme="majorHAnsi" w:eastAsiaTheme="majorEastAsia" w:hAnsiTheme="majorHAnsi" w:cstheme="majorBidi"/>
          <w:color w:val="595959" w:themeColor="text1" w:themeTint="A6"/>
          <w:sz w:val="20"/>
        </w:rPr>
        <w:t xml:space="preserve">Map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3</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Global occurrences of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species</w:t>
      </w:r>
      <w:bookmarkEnd w:id="84"/>
      <w:bookmarkEnd w:id="85"/>
      <w:bookmarkEnd w:id="86"/>
      <w:bookmarkEnd w:id="87"/>
      <w:bookmarkEnd w:id="88"/>
      <w:bookmarkEnd w:id="89"/>
      <w:bookmarkEnd w:id="90"/>
      <w:bookmarkEnd w:id="91"/>
      <w:bookmarkEnd w:id="92"/>
      <w:bookmarkEnd w:id="93"/>
      <w:bookmarkEnd w:id="94"/>
    </w:p>
    <w:p w:rsidR="00E94405" w:rsidRDefault="00A11609">
      <w:pPr>
        <w:pStyle w:val="AQISText"/>
        <w:rPr>
          <w:rFonts w:ascii="Verdana" w:hAnsi="Verdana" w:cs="Verdana"/>
          <w:color w:val="000000"/>
          <w:sz w:val="16"/>
          <w:szCs w:val="16"/>
        </w:rPr>
      </w:pPr>
      <w:r>
        <w:rPr>
          <w:rFonts w:ascii="Verdana" w:hAnsi="Verdana" w:cs="Verdana"/>
          <w:noProof/>
          <w:color w:val="000000"/>
          <w:sz w:val="16"/>
          <w:szCs w:val="16"/>
        </w:rPr>
        <w:drawing>
          <wp:inline distT="0" distB="0" distL="0" distR="0">
            <wp:extent cx="5516245" cy="2854960"/>
            <wp:effectExtent l="1905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516245" cy="2854960"/>
                    </a:xfrm>
                    <a:prstGeom prst="rect">
                      <a:avLst/>
                    </a:prstGeom>
                    <a:noFill/>
                    <a:ln w="9525">
                      <a:noFill/>
                      <a:miter lim="800000"/>
                      <a:headEnd/>
                      <a:tailEnd/>
                    </a:ln>
                  </pic:spPr>
                </pic:pic>
              </a:graphicData>
            </a:graphic>
          </wp:inline>
        </w:drawing>
      </w:r>
    </w:p>
    <w:p w:rsidR="00E94405" w:rsidRDefault="00A11609">
      <w:pPr>
        <w:autoSpaceDE w:val="0"/>
        <w:autoSpaceDN w:val="0"/>
        <w:adjustRightInd w:val="0"/>
        <w:spacing w:before="200"/>
        <w:rPr>
          <w:rFonts w:ascii="Cambria" w:hAnsi="Cambria"/>
        </w:rPr>
      </w:pPr>
      <w:r>
        <w:rPr>
          <w:rFonts w:ascii="Cambria" w:hAnsi="Cambria"/>
          <w:i/>
          <w:iCs/>
        </w:rPr>
        <w:t xml:space="preserve">Phytophthora kernoviae </w:t>
      </w:r>
      <w:r>
        <w:rPr>
          <w:rFonts w:ascii="Cambria" w:hAnsi="Cambria"/>
        </w:rPr>
        <w:t xml:space="preserve">was speculated to have </w:t>
      </w:r>
      <w:r>
        <w:rPr>
          <w:rFonts w:ascii="Cambria" w:hAnsi="Cambria"/>
          <w:iCs/>
        </w:rPr>
        <w:t>been</w:t>
      </w:r>
      <w:r>
        <w:rPr>
          <w:rFonts w:ascii="Cambria" w:hAnsi="Cambria"/>
        </w:rPr>
        <w:t xml:space="preserve"> introduced into the UK from Asia or South America (Ramsfield </w:t>
      </w:r>
      <w:r>
        <w:rPr>
          <w:rFonts w:ascii="Cambria" w:hAnsi="Cambria"/>
          <w:iCs/>
        </w:rPr>
        <w:t>et al</w:t>
      </w:r>
      <w:r>
        <w:rPr>
          <w:rFonts w:ascii="Cambria" w:hAnsi="Cambria"/>
        </w:rPr>
        <w:t xml:space="preserve">. 2007); however, historical data indicates that it was first recorded in New Zealand as a </w:t>
      </w:r>
      <w:r>
        <w:rPr>
          <w:rFonts w:ascii="Cambria" w:hAnsi="Cambria"/>
          <w:i/>
          <w:iCs/>
        </w:rPr>
        <w:t xml:space="preserve">Phytophthora </w:t>
      </w:r>
      <w:r>
        <w:rPr>
          <w:rFonts w:ascii="Cambria" w:hAnsi="Cambria"/>
        </w:rPr>
        <w:t xml:space="preserve">species in the 1950s (Brasier </w:t>
      </w:r>
      <w:r>
        <w:rPr>
          <w:rFonts w:ascii="Cambria" w:hAnsi="Cambria"/>
          <w:iCs/>
        </w:rPr>
        <w:t>et al</w:t>
      </w:r>
      <w:r>
        <w:rPr>
          <w:rFonts w:ascii="Cambria" w:hAnsi="Cambria"/>
        </w:rPr>
        <w:t xml:space="preserve">. 2005). Molecular studies of </w:t>
      </w:r>
      <w:r>
        <w:rPr>
          <w:rFonts w:ascii="Cambria" w:hAnsi="Cambria"/>
          <w:i/>
          <w:iCs/>
        </w:rPr>
        <w:t xml:space="preserve">Phytophthora </w:t>
      </w:r>
      <w:r>
        <w:rPr>
          <w:rFonts w:ascii="Cambria" w:hAnsi="Cambria"/>
        </w:rPr>
        <w:t xml:space="preserve">species in New Zealand culture collections revealed an isolate of </w:t>
      </w:r>
      <w:r>
        <w:rPr>
          <w:rFonts w:ascii="Cambria" w:hAnsi="Cambria"/>
          <w:i/>
          <w:iCs/>
        </w:rPr>
        <w:t xml:space="preserve">P. kernoviae </w:t>
      </w:r>
      <w:r>
        <w:rPr>
          <w:rFonts w:ascii="Cambria" w:hAnsi="Cambria"/>
        </w:rPr>
        <w:t>recovered in 2002 from custard apple (</w:t>
      </w:r>
      <w:r>
        <w:rPr>
          <w:rFonts w:ascii="Cambria" w:hAnsi="Cambria"/>
          <w:i/>
        </w:rPr>
        <w:t>Annona cherimola</w:t>
      </w:r>
      <w:r>
        <w:rPr>
          <w:rFonts w:ascii="Cambria" w:hAnsi="Cambria"/>
        </w:rPr>
        <w:t>) orchards</w:t>
      </w:r>
      <w:r>
        <w:rPr>
          <w:rFonts w:ascii="Cambria" w:hAnsi="Cambria"/>
          <w:i/>
        </w:rPr>
        <w:t>. Phytophthora</w:t>
      </w:r>
      <w:r>
        <w:rPr>
          <w:rFonts w:ascii="Cambria" w:hAnsi="Cambria"/>
          <w:i/>
          <w:iCs/>
        </w:rPr>
        <w:t xml:space="preserve"> kernoviae </w:t>
      </w:r>
      <w:r>
        <w:rPr>
          <w:rFonts w:ascii="Cambria" w:hAnsi="Cambria"/>
        </w:rPr>
        <w:t xml:space="preserve">was causing leaf, shoot and fruit disease of </w:t>
      </w:r>
      <w:r>
        <w:rPr>
          <w:rFonts w:ascii="Cambria" w:hAnsi="Cambria"/>
          <w:i/>
        </w:rPr>
        <w:t>Annona cherimola</w:t>
      </w:r>
      <w:r>
        <w:rPr>
          <w:rFonts w:ascii="Cambria" w:hAnsi="Cambria"/>
        </w:rPr>
        <w:t xml:space="preserve"> in the North Island, New Zealand (Ramsfield </w:t>
      </w:r>
      <w:r>
        <w:rPr>
          <w:rFonts w:ascii="Cambria" w:hAnsi="Cambria"/>
          <w:iCs/>
        </w:rPr>
        <w:t>et al</w:t>
      </w:r>
      <w:r>
        <w:rPr>
          <w:rFonts w:ascii="Cambria" w:hAnsi="Cambria"/>
        </w:rPr>
        <w:t xml:space="preserve">. 2009). Further studies have shown that </w:t>
      </w:r>
      <w:r>
        <w:rPr>
          <w:rFonts w:ascii="Cambria" w:hAnsi="Cambria"/>
          <w:i/>
          <w:iCs/>
        </w:rPr>
        <w:t xml:space="preserve">P. kernoviae </w:t>
      </w:r>
      <w:r>
        <w:rPr>
          <w:rFonts w:ascii="Cambria" w:hAnsi="Cambria"/>
        </w:rPr>
        <w:t xml:space="preserve">is present in soils in both indigenous and exotic forests in several regions of the North Island, New Zealand (Ramsfield </w:t>
      </w:r>
      <w:r>
        <w:rPr>
          <w:rFonts w:ascii="Cambria" w:hAnsi="Cambria"/>
          <w:iCs/>
        </w:rPr>
        <w:t>et al</w:t>
      </w:r>
      <w:r>
        <w:rPr>
          <w:rFonts w:ascii="Cambria" w:hAnsi="Cambria"/>
        </w:rPr>
        <w:t>. 2009).</w:t>
      </w:r>
    </w:p>
    <w:p w:rsidR="00E94405" w:rsidRDefault="00A11609">
      <w:pPr>
        <w:autoSpaceDE w:val="0"/>
        <w:autoSpaceDN w:val="0"/>
        <w:adjustRightInd w:val="0"/>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have similar host and geographic ranges and cause similar disease symptoms as </w:t>
      </w:r>
      <w:r>
        <w:rPr>
          <w:rFonts w:ascii="Cambria" w:hAnsi="Cambria"/>
          <w:i/>
          <w:iCs/>
        </w:rPr>
        <w:t xml:space="preserve">P. ramorum </w:t>
      </w:r>
      <w:r>
        <w:rPr>
          <w:rFonts w:ascii="Cambria" w:hAnsi="Cambria"/>
        </w:rPr>
        <w:t xml:space="preserve">(Hansen </w:t>
      </w:r>
      <w:r>
        <w:rPr>
          <w:rFonts w:ascii="Cambria" w:hAnsi="Cambria"/>
          <w:iCs/>
        </w:rPr>
        <w:t>et</w:t>
      </w:r>
      <w:r>
        <w:rPr>
          <w:rFonts w:ascii="Cambria" w:hAnsi="Cambria"/>
          <w:i/>
          <w:iCs/>
        </w:rPr>
        <w:t xml:space="preserve"> </w:t>
      </w:r>
      <w:r>
        <w:rPr>
          <w:rFonts w:ascii="Cambria" w:hAnsi="Cambria"/>
        </w:rPr>
        <w:t xml:space="preserve">al. 2003a; Murphy &amp; Rizzo 2006; Wickland &amp; Rizzo 2006). However,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do not appear to cause mortality of oaks or tanoak and infect fewer plant species than </w:t>
      </w:r>
      <w:r>
        <w:rPr>
          <w:rFonts w:ascii="Cambria" w:hAnsi="Cambria"/>
          <w:i/>
          <w:iCs/>
        </w:rPr>
        <w:t xml:space="preserve">P. ramorum </w:t>
      </w:r>
      <w:r>
        <w:rPr>
          <w:rFonts w:ascii="Cambria" w:hAnsi="Cambria"/>
        </w:rPr>
        <w:t xml:space="preserve">(Murphy </w:t>
      </w:r>
      <w:r>
        <w:rPr>
          <w:rFonts w:ascii="Cambria" w:hAnsi="Cambria"/>
          <w:iCs/>
        </w:rPr>
        <w:t>et al</w:t>
      </w:r>
      <w:r>
        <w:rPr>
          <w:rFonts w:ascii="Cambria" w:hAnsi="Cambria"/>
        </w:rPr>
        <w:t xml:space="preserve">. 2008). While all three pathogens are patchy over the landscape,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are distributed over a broader geographical area than </w:t>
      </w:r>
      <w:r>
        <w:rPr>
          <w:rFonts w:ascii="Cambria" w:hAnsi="Cambria"/>
          <w:i/>
          <w:iCs/>
        </w:rPr>
        <w:t xml:space="preserve">P. ramorum, </w:t>
      </w:r>
      <w:r>
        <w:rPr>
          <w:rFonts w:ascii="Cambria" w:hAnsi="Cambria"/>
        </w:rPr>
        <w:t xml:space="preserve">extending into the Sierra Nevada, USA (Murphy </w:t>
      </w:r>
      <w:r>
        <w:rPr>
          <w:rFonts w:ascii="Cambria" w:hAnsi="Cambria"/>
          <w:iCs/>
        </w:rPr>
        <w:t>et al</w:t>
      </w:r>
      <w:r>
        <w:rPr>
          <w:rFonts w:ascii="Cambria" w:hAnsi="Cambria"/>
        </w:rPr>
        <w:t>. 2008).</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95" w:name="_Toc414019448"/>
      <w:r>
        <w:rPr>
          <w:rFonts w:eastAsiaTheme="majorEastAsia" w:cstheme="majorBidi"/>
          <w:color w:val="773141"/>
          <w:sz w:val="28"/>
        </w:rPr>
        <w:t xml:space="preserve">Hosts of the </w:t>
      </w:r>
      <w:r>
        <w:rPr>
          <w:rFonts w:eastAsiaTheme="majorEastAsia" w:cstheme="majorBidi"/>
          <w:i/>
          <w:color w:val="773141"/>
          <w:sz w:val="28"/>
        </w:rPr>
        <w:t>Phytophthora</w:t>
      </w:r>
      <w:r>
        <w:rPr>
          <w:rFonts w:eastAsiaTheme="majorEastAsia" w:cstheme="majorBidi"/>
          <w:color w:val="773141"/>
          <w:sz w:val="28"/>
        </w:rPr>
        <w:t xml:space="preserve"> species</w:t>
      </w:r>
      <w:bookmarkEnd w:id="95"/>
    </w:p>
    <w:p w:rsidR="00E94405" w:rsidRDefault="00A11609">
      <w:pPr>
        <w:autoSpaceDE w:val="0"/>
        <w:autoSpaceDN w:val="0"/>
        <w:adjustRightInd w:val="0"/>
        <w:spacing w:before="200"/>
        <w:rPr>
          <w:rFonts w:ascii="Cambria" w:hAnsi="Cambria"/>
        </w:rPr>
      </w:pPr>
      <w:r>
        <w:rPr>
          <w:rFonts w:ascii="Cambria" w:hAnsi="Cambria"/>
        </w:rPr>
        <w:t xml:space="preserve">Known hosts of the </w:t>
      </w:r>
      <w:r>
        <w:rPr>
          <w:rFonts w:ascii="Cambria" w:hAnsi="Cambria"/>
          <w:i/>
          <w:iCs/>
        </w:rPr>
        <w:t xml:space="preserve">Phytophthora </w:t>
      </w:r>
      <w:r>
        <w:rPr>
          <w:rFonts w:ascii="Cambria" w:hAnsi="Cambria"/>
        </w:rPr>
        <w:t>species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w:t>
      </w:r>
      <w:r>
        <w:rPr>
          <w:rFonts w:ascii="Cambria" w:hAnsi="Cambria"/>
          <w:i/>
          <w:iCs/>
        </w:rPr>
        <w:t xml:space="preserve"> </w:t>
      </w:r>
      <w:r>
        <w:rPr>
          <w:rFonts w:ascii="Cambria" w:hAnsi="Cambria"/>
        </w:rPr>
        <w:t>include numerous species in a wide range of plant families (Appendix A). However, it should be noted that an increasing number of new hosts of these pathogens</w:t>
      </w:r>
      <w:r>
        <w:rPr>
          <w:rFonts w:ascii="Cambria" w:hAnsi="Cambria"/>
          <w:i/>
          <w:iCs/>
        </w:rPr>
        <w:t xml:space="preserve"> </w:t>
      </w:r>
      <w:r>
        <w:rPr>
          <w:rFonts w:ascii="Cambria" w:hAnsi="Cambria"/>
          <w:iCs/>
        </w:rPr>
        <w:t>are being identified; therefore, the department will continue to review the host list as necessary.</w:t>
      </w:r>
      <w:r>
        <w:rPr>
          <w:rFonts w:ascii="Cambria" w:hAnsi="Cambria"/>
        </w:rPr>
        <w:t xml:space="preserve"> Details of the important hosts of </w:t>
      </w:r>
      <w:r>
        <w:rPr>
          <w:rFonts w:ascii="Cambria" w:hAnsi="Cambria"/>
          <w:i/>
          <w:iCs/>
        </w:rPr>
        <w:t>P. ramorum</w:t>
      </w:r>
      <w:r>
        <w:rPr>
          <w:rFonts w:ascii="Cambria" w:hAnsi="Cambria"/>
          <w:iCs/>
        </w:rPr>
        <w:t xml:space="preserve">—with mention of </w:t>
      </w:r>
      <w:r>
        <w:rPr>
          <w:rFonts w:ascii="Cambria" w:hAnsi="Cambria"/>
          <w:i/>
        </w:rPr>
        <w:t>P. kernoviae</w:t>
      </w:r>
      <w:r>
        <w:rPr>
          <w:rFonts w:ascii="Cambria" w:hAnsi="Cambria"/>
        </w:rPr>
        <w:t xml:space="preserve">, </w:t>
      </w:r>
      <w:r>
        <w:rPr>
          <w:rFonts w:ascii="Cambria" w:hAnsi="Cambria"/>
          <w:i/>
        </w:rPr>
        <w:t xml:space="preserve">P. nemorosa </w:t>
      </w:r>
      <w:r>
        <w:rPr>
          <w:rFonts w:ascii="Cambria" w:hAnsi="Cambria"/>
        </w:rPr>
        <w:t xml:space="preserve">and </w:t>
      </w:r>
      <w:r>
        <w:rPr>
          <w:rFonts w:ascii="Cambria" w:hAnsi="Cambria"/>
          <w:i/>
        </w:rPr>
        <w:t>P. pseudosyringae</w:t>
      </w:r>
      <w:r>
        <w:rPr>
          <w:rFonts w:ascii="Cambria" w:hAnsi="Cambria"/>
        </w:rPr>
        <w:t>—are provided below:</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lastRenderedPageBreak/>
        <w:t>Caprifoliaceae</w:t>
      </w:r>
      <w:r>
        <w:rPr>
          <w:rFonts w:ascii="Cambria" w:hAnsi="Cambria"/>
        </w:rPr>
        <w:t xml:space="preserve"> includes nursery and landscape species worldwide, particularly the genus </w:t>
      </w:r>
      <w:r>
        <w:rPr>
          <w:rFonts w:ascii="Cambria" w:hAnsi="Cambria"/>
          <w:i/>
          <w:iCs/>
        </w:rPr>
        <w:t>Viburnum</w:t>
      </w:r>
      <w:r>
        <w:rPr>
          <w:rFonts w:ascii="Cambria" w:hAnsi="Cambria"/>
        </w:rPr>
        <w:t xml:space="preserve">. One of the first plants </w:t>
      </w:r>
      <w:r>
        <w:rPr>
          <w:rFonts w:ascii="Cambria" w:hAnsi="Cambria"/>
          <w:i/>
        </w:rPr>
        <w:t>P. ramorum</w:t>
      </w:r>
      <w:r>
        <w:rPr>
          <w:rFonts w:ascii="Cambria" w:hAnsi="Cambria"/>
        </w:rPr>
        <w:t xml:space="preserve"> was isolated from was </w:t>
      </w:r>
      <w:r>
        <w:rPr>
          <w:rFonts w:ascii="Cambria" w:hAnsi="Cambria"/>
          <w:i/>
          <w:iCs/>
        </w:rPr>
        <w:t xml:space="preserve">Viburnum bodnantense </w:t>
      </w:r>
      <w:r>
        <w:rPr>
          <w:rFonts w:ascii="Cambria" w:hAnsi="Cambria"/>
        </w:rPr>
        <w:t xml:space="preserve">in Europe (Werres </w:t>
      </w:r>
      <w:r>
        <w:rPr>
          <w:rFonts w:ascii="Cambria" w:hAnsi="Cambria"/>
          <w:iCs/>
        </w:rPr>
        <w:t>et al.</w:t>
      </w:r>
      <w:r>
        <w:rPr>
          <w:rFonts w:ascii="Cambria" w:hAnsi="Cambria"/>
        </w:rPr>
        <w:t xml:space="preserve"> 2001). This genus has been implicated in the introduction of </w:t>
      </w:r>
      <w:r>
        <w:rPr>
          <w:rFonts w:ascii="Cambria" w:hAnsi="Cambria"/>
          <w:i/>
          <w:iCs/>
        </w:rPr>
        <w:t xml:space="preserve">P. ramorum </w:t>
      </w:r>
      <w:r>
        <w:rPr>
          <w:rFonts w:ascii="Cambria" w:hAnsi="Cambria"/>
        </w:rPr>
        <w:t>into new areas (Sansford et al. 2009).</w:t>
      </w:r>
    </w:p>
    <w:p w:rsidR="00E94405" w:rsidRDefault="00A11609">
      <w:pPr>
        <w:pStyle w:val="ListBullet"/>
        <w:tabs>
          <w:tab w:val="clear" w:pos="360"/>
          <w:tab w:val="num" w:pos="284"/>
        </w:tabs>
        <w:spacing w:line="269" w:lineRule="auto"/>
        <w:ind w:left="284" w:hanging="284"/>
        <w:rPr>
          <w:rFonts w:ascii="Cambria" w:hAnsi="Cambria"/>
          <w:i/>
          <w:iCs/>
        </w:rPr>
      </w:pPr>
      <w:r>
        <w:rPr>
          <w:rFonts w:ascii="Cambria" w:hAnsi="Cambria"/>
          <w:b/>
          <w:bCs/>
        </w:rPr>
        <w:t>Ericaceae</w:t>
      </w:r>
      <w:r>
        <w:rPr>
          <w:rFonts w:ascii="Cambria" w:hAnsi="Cambria"/>
        </w:rPr>
        <w:t xml:space="preserve"> includes groups of nursery, landscape, environmental and small fruit production plants (</w:t>
      </w:r>
      <w:r>
        <w:rPr>
          <w:rFonts w:ascii="Cambria" w:hAnsi="Cambria"/>
          <w:i/>
          <w:iCs/>
        </w:rPr>
        <w:t>Calluna vulgaris</w:t>
      </w:r>
      <w:r>
        <w:rPr>
          <w:rFonts w:ascii="Cambria" w:hAnsi="Cambria"/>
        </w:rPr>
        <w:t>,</w:t>
      </w:r>
      <w:r>
        <w:rPr>
          <w:rFonts w:ascii="Cambria" w:hAnsi="Cambria"/>
          <w:i/>
          <w:iCs/>
        </w:rPr>
        <w:t xml:space="preserve"> Kalmia </w:t>
      </w:r>
      <w:r>
        <w:rPr>
          <w:rFonts w:ascii="Cambria" w:hAnsi="Cambria"/>
        </w:rPr>
        <w:t xml:space="preserve">species, </w:t>
      </w:r>
      <w:r>
        <w:rPr>
          <w:rFonts w:ascii="Cambria" w:hAnsi="Cambria"/>
          <w:i/>
          <w:iCs/>
        </w:rPr>
        <w:t xml:space="preserve">Pieris </w:t>
      </w:r>
      <w:r>
        <w:rPr>
          <w:rFonts w:ascii="Cambria" w:hAnsi="Cambria"/>
        </w:rPr>
        <w:t xml:space="preserve">species, </w:t>
      </w:r>
      <w:r>
        <w:rPr>
          <w:rFonts w:ascii="Cambria" w:hAnsi="Cambria"/>
          <w:i/>
          <w:iCs/>
        </w:rPr>
        <w:t xml:space="preserve">Rhododendron </w:t>
      </w:r>
      <w:r>
        <w:rPr>
          <w:rFonts w:ascii="Cambria" w:hAnsi="Cambria"/>
        </w:rPr>
        <w:t xml:space="preserve">species and </w:t>
      </w:r>
      <w:r>
        <w:rPr>
          <w:rFonts w:ascii="Cambria" w:hAnsi="Cambria"/>
          <w:i/>
          <w:iCs/>
        </w:rPr>
        <w:t xml:space="preserve">Vaccinium </w:t>
      </w:r>
      <w:r>
        <w:rPr>
          <w:rFonts w:ascii="Cambria" w:hAnsi="Cambria"/>
        </w:rPr>
        <w:t xml:space="preserve">species). One of the first plants </w:t>
      </w:r>
      <w:r>
        <w:rPr>
          <w:rFonts w:ascii="Cambria" w:hAnsi="Cambria"/>
          <w:i/>
        </w:rPr>
        <w:t>P. ramorum</w:t>
      </w:r>
      <w:r>
        <w:rPr>
          <w:rFonts w:ascii="Cambria" w:hAnsi="Cambria"/>
        </w:rPr>
        <w:t xml:space="preserve"> was isolated from was </w:t>
      </w:r>
      <w:r>
        <w:rPr>
          <w:rFonts w:ascii="Cambria" w:hAnsi="Cambria"/>
          <w:i/>
        </w:rPr>
        <w:t>Rhododendron</w:t>
      </w:r>
      <w:r>
        <w:rPr>
          <w:rFonts w:ascii="Cambria" w:hAnsi="Cambria"/>
        </w:rPr>
        <w:t xml:space="preserve"> species in Europe (Werres </w:t>
      </w:r>
      <w:r>
        <w:rPr>
          <w:rFonts w:ascii="Cambria" w:hAnsi="Cambria"/>
          <w:iCs/>
        </w:rPr>
        <w:t>et al.</w:t>
      </w:r>
      <w:r>
        <w:rPr>
          <w:rFonts w:ascii="Cambria" w:hAnsi="Cambria"/>
        </w:rPr>
        <w:t xml:space="preserve"> 2001). </w:t>
      </w:r>
      <w:r>
        <w:rPr>
          <w:rFonts w:ascii="Cambria" w:hAnsi="Cambria"/>
          <w:i/>
        </w:rPr>
        <w:t>Rhododendron</w:t>
      </w:r>
      <w:r>
        <w:rPr>
          <w:rFonts w:ascii="Cambria" w:hAnsi="Cambria"/>
        </w:rPr>
        <w:t xml:space="preserve"> is a host of several </w:t>
      </w:r>
      <w:r>
        <w:rPr>
          <w:rFonts w:ascii="Cambria" w:hAnsi="Cambria"/>
          <w:i/>
          <w:iCs/>
        </w:rPr>
        <w:t xml:space="preserve">Phytophthora </w:t>
      </w:r>
      <w:r>
        <w:rPr>
          <w:rFonts w:ascii="Cambria" w:hAnsi="Cambria"/>
        </w:rPr>
        <w:t xml:space="preserve">species and has been implicated in the introduction of </w:t>
      </w:r>
      <w:r>
        <w:rPr>
          <w:rFonts w:ascii="Cambria" w:hAnsi="Cambria"/>
          <w:i/>
          <w:iCs/>
        </w:rPr>
        <w:t xml:space="preserve">P. ramorum </w:t>
      </w:r>
      <w:r>
        <w:rPr>
          <w:rFonts w:ascii="Cambria" w:hAnsi="Cambria"/>
        </w:rPr>
        <w:t xml:space="preserve">into new areas. </w:t>
      </w:r>
      <w:r>
        <w:rPr>
          <w:rFonts w:ascii="Cambria" w:hAnsi="Cambria"/>
          <w:i/>
          <w:iCs/>
        </w:rPr>
        <w:t xml:space="preserve">Rhododendron </w:t>
      </w:r>
      <w:r>
        <w:rPr>
          <w:rFonts w:ascii="Cambria" w:hAnsi="Cambria"/>
        </w:rPr>
        <w:t xml:space="preserve">species play an important role in </w:t>
      </w:r>
      <w:r>
        <w:rPr>
          <w:rFonts w:ascii="Cambria" w:hAnsi="Cambria"/>
          <w:i/>
          <w:iCs/>
        </w:rPr>
        <w:t xml:space="preserve">P. ramorum </w:t>
      </w:r>
      <w:r>
        <w:rPr>
          <w:rFonts w:ascii="Cambria" w:hAnsi="Cambria"/>
        </w:rPr>
        <w:t xml:space="preserve">epidemics as the pathogen sporulates profusely on this host (Sansford et al. 2009). </w:t>
      </w:r>
      <w:r>
        <w:rPr>
          <w:rFonts w:ascii="Cambria" w:hAnsi="Cambria"/>
          <w:i/>
          <w:iCs/>
        </w:rPr>
        <w:t xml:space="preserve">Rhododendron </w:t>
      </w:r>
      <w:r>
        <w:rPr>
          <w:rFonts w:ascii="Cambria" w:hAnsi="Cambria"/>
        </w:rPr>
        <w:t xml:space="preserve">species are asymptomatic hosts of </w:t>
      </w:r>
      <w:r>
        <w:rPr>
          <w:rFonts w:ascii="Cambria" w:hAnsi="Cambria"/>
          <w:i/>
          <w:iCs/>
        </w:rPr>
        <w:t>P. ramorum</w:t>
      </w:r>
      <w:r>
        <w:rPr>
          <w:rFonts w:ascii="Cambria" w:hAnsi="Cambria"/>
        </w:rPr>
        <w:t xml:space="preserve"> and </w:t>
      </w:r>
      <w:r>
        <w:rPr>
          <w:rFonts w:ascii="Cambria" w:hAnsi="Cambria"/>
          <w:i/>
          <w:iCs/>
        </w:rPr>
        <w:t xml:space="preserve">P. kernoviae </w:t>
      </w:r>
      <w:r>
        <w:rPr>
          <w:rFonts w:ascii="Cambria" w:hAnsi="Cambria"/>
        </w:rPr>
        <w:t xml:space="preserve">(Brasier 2007). </w:t>
      </w:r>
      <w:r>
        <w:rPr>
          <w:rFonts w:ascii="Cambria" w:hAnsi="Cambria"/>
          <w:i/>
          <w:iCs/>
        </w:rPr>
        <w:t>Rhododendron</w:t>
      </w:r>
      <w:r>
        <w:rPr>
          <w:rFonts w:ascii="Cambria" w:hAnsi="Cambria"/>
        </w:rPr>
        <w:t xml:space="preserve"> is a host of several </w:t>
      </w:r>
      <w:r>
        <w:rPr>
          <w:rFonts w:ascii="Cambria" w:hAnsi="Cambria"/>
          <w:i/>
          <w:iCs/>
        </w:rPr>
        <w:t xml:space="preserve">Phytophthora </w:t>
      </w:r>
      <w:r>
        <w:rPr>
          <w:rFonts w:ascii="Cambria" w:hAnsi="Cambria"/>
        </w:rPr>
        <w:t xml:space="preserve">species that can attack woody hosts; therefore, </w:t>
      </w:r>
      <w:r>
        <w:rPr>
          <w:rFonts w:ascii="Cambria" w:hAnsi="Cambria"/>
          <w:i/>
          <w:iCs/>
        </w:rPr>
        <w:t xml:space="preserve">Rhododendron </w:t>
      </w:r>
      <w:r>
        <w:rPr>
          <w:rFonts w:ascii="Cambria" w:hAnsi="Cambria"/>
        </w:rPr>
        <w:t>may be the ideal universal ‘</w:t>
      </w:r>
      <w:r>
        <w:rPr>
          <w:rFonts w:ascii="Cambria" w:hAnsi="Cambria"/>
          <w:i/>
          <w:iCs/>
        </w:rPr>
        <w:t xml:space="preserve">Phytophthora </w:t>
      </w:r>
      <w:r>
        <w:rPr>
          <w:rFonts w:ascii="Cambria" w:hAnsi="Cambria"/>
        </w:rPr>
        <w:t xml:space="preserve">carrier’ (Brasier 2007). </w:t>
      </w:r>
      <w:r>
        <w:rPr>
          <w:rFonts w:ascii="Cambria" w:hAnsi="Cambria"/>
          <w:i/>
          <w:iCs/>
        </w:rPr>
        <w:t xml:space="preserve">Phytophthora pseudosyringae </w:t>
      </w:r>
      <w:r>
        <w:rPr>
          <w:rFonts w:ascii="Cambria" w:hAnsi="Cambria"/>
        </w:rPr>
        <w:t xml:space="preserve">was first reported on </w:t>
      </w:r>
      <w:r>
        <w:rPr>
          <w:rFonts w:ascii="Cambria" w:hAnsi="Cambria"/>
          <w:i/>
          <w:iCs/>
        </w:rPr>
        <w:t xml:space="preserve">Vaccinium myrtillus </w:t>
      </w:r>
      <w:r>
        <w:rPr>
          <w:rFonts w:ascii="Cambria" w:hAnsi="Cambria"/>
        </w:rPr>
        <w:t xml:space="preserve">(Beales </w:t>
      </w:r>
      <w:r>
        <w:rPr>
          <w:rFonts w:ascii="Cambria" w:hAnsi="Cambria"/>
          <w:iCs/>
        </w:rPr>
        <w:t>et al</w:t>
      </w:r>
      <w:r>
        <w:rPr>
          <w:rFonts w:ascii="Cambria" w:hAnsi="Cambria"/>
        </w:rPr>
        <w:t>. 2009).</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Fagaceae</w:t>
      </w:r>
      <w:r>
        <w:rPr>
          <w:rFonts w:ascii="Cambria" w:hAnsi="Cambria"/>
        </w:rPr>
        <w:t xml:space="preserve"> includes forest species (oaks) where </w:t>
      </w:r>
      <w:r>
        <w:rPr>
          <w:rFonts w:ascii="Cambria" w:hAnsi="Cambria"/>
          <w:i/>
          <w:iCs/>
        </w:rPr>
        <w:t xml:space="preserve">P. ramorum </w:t>
      </w:r>
      <w:r>
        <w:rPr>
          <w:rFonts w:ascii="Cambria" w:hAnsi="Cambria"/>
        </w:rPr>
        <w:t>was first reported from California causing sudden oak death (Sansford et al. 2009). Oak infection is a comparatively rare event and usually occurs with the association of infected bay laurel (Kelly &amp; Meentemeyer 2002; Swiecki &amp; Bernhardt 2002a, b; Davidson et al. 2005). The infection process is followed by a much slower process of host colonisation, lasting between six months to several years (Rizzo &amp; Garbelotto 2003).</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Lauraceae</w:t>
      </w:r>
      <w:r>
        <w:rPr>
          <w:rFonts w:ascii="Cambria" w:hAnsi="Cambria"/>
        </w:rPr>
        <w:t xml:space="preserve"> includes </w:t>
      </w:r>
      <w:r>
        <w:rPr>
          <w:rFonts w:ascii="Cambria" w:hAnsi="Cambria"/>
          <w:i/>
          <w:iCs/>
        </w:rPr>
        <w:t xml:space="preserve">Umbellularia californica </w:t>
      </w:r>
      <w:r>
        <w:rPr>
          <w:rFonts w:ascii="Cambria" w:hAnsi="Cambria"/>
          <w:iCs/>
        </w:rPr>
        <w:t>(bay laurel)</w:t>
      </w:r>
      <w:r>
        <w:rPr>
          <w:rFonts w:ascii="Cambria" w:hAnsi="Cambria"/>
          <w:i/>
          <w:iCs/>
        </w:rPr>
        <w:t xml:space="preserve">, </w:t>
      </w:r>
      <w:r>
        <w:rPr>
          <w:rFonts w:ascii="Cambria" w:hAnsi="Cambria"/>
        </w:rPr>
        <w:t xml:space="preserve">a sporulating host that can act as an important source of inoculum of </w:t>
      </w:r>
      <w:r>
        <w:rPr>
          <w:rFonts w:ascii="Cambria" w:hAnsi="Cambria"/>
          <w:i/>
          <w:iCs/>
        </w:rPr>
        <w:t>P. ramorum</w:t>
      </w:r>
      <w:r>
        <w:rPr>
          <w:rFonts w:ascii="Cambria" w:hAnsi="Cambria"/>
        </w:rPr>
        <w:t xml:space="preserve">. The presence of </w:t>
      </w:r>
      <w:r>
        <w:rPr>
          <w:rFonts w:ascii="Cambria" w:hAnsi="Cambria"/>
          <w:i/>
          <w:iCs/>
        </w:rPr>
        <w:t xml:space="preserve">U. californica </w:t>
      </w:r>
      <w:r>
        <w:rPr>
          <w:rFonts w:ascii="Cambria" w:hAnsi="Cambria"/>
        </w:rPr>
        <w:t xml:space="preserve">plays an important role in sudden oak death incidence in </w:t>
      </w:r>
      <w:r>
        <w:rPr>
          <w:rFonts w:ascii="Cambria" w:hAnsi="Cambria"/>
          <w:i/>
          <w:iCs/>
        </w:rPr>
        <w:t xml:space="preserve">Quercus </w:t>
      </w:r>
      <w:r>
        <w:rPr>
          <w:rFonts w:ascii="Cambria" w:hAnsi="Cambria"/>
        </w:rPr>
        <w:t xml:space="preserve">and </w:t>
      </w:r>
      <w:r>
        <w:rPr>
          <w:rFonts w:ascii="Cambria" w:hAnsi="Cambria"/>
          <w:i/>
          <w:iCs/>
        </w:rPr>
        <w:t xml:space="preserve">Lithocarpus </w:t>
      </w:r>
      <w:r>
        <w:rPr>
          <w:rFonts w:ascii="Cambria" w:hAnsi="Cambria"/>
        </w:rPr>
        <w:t xml:space="preserve">in California (Kelly &amp; Meentemeyer 2002; Meshriy </w:t>
      </w:r>
      <w:r>
        <w:rPr>
          <w:rFonts w:ascii="Cambria" w:hAnsi="Cambria"/>
          <w:iCs/>
        </w:rPr>
        <w:t>et al.</w:t>
      </w:r>
      <w:r>
        <w:rPr>
          <w:rFonts w:ascii="Cambria" w:hAnsi="Cambria"/>
        </w:rPr>
        <w:t xml:space="preserve"> 2006; Swiecki &amp; Bernhardt</w:t>
      </w:r>
      <w:r>
        <w:rPr>
          <w:rFonts w:ascii="Cambria" w:hAnsi="Cambria"/>
          <w:i/>
          <w:iCs/>
        </w:rPr>
        <w:t xml:space="preserve"> </w:t>
      </w:r>
      <w:r>
        <w:rPr>
          <w:rFonts w:ascii="Cambria" w:hAnsi="Cambria"/>
        </w:rPr>
        <w:t>2002a, b).</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Magnoliaceae</w:t>
      </w:r>
      <w:r>
        <w:rPr>
          <w:rFonts w:ascii="Cambria" w:hAnsi="Cambria"/>
        </w:rPr>
        <w:t xml:space="preserve"> includes ornamental and forest plants; for example, </w:t>
      </w:r>
      <w:r>
        <w:rPr>
          <w:rFonts w:ascii="Cambria" w:hAnsi="Cambria"/>
          <w:i/>
          <w:iCs/>
        </w:rPr>
        <w:t xml:space="preserve">Manglietia insignis, Magnolia </w:t>
      </w:r>
      <w:r>
        <w:rPr>
          <w:rFonts w:ascii="Cambria" w:hAnsi="Cambria"/>
        </w:rPr>
        <w:t xml:space="preserve">species, </w:t>
      </w:r>
      <w:r>
        <w:rPr>
          <w:rFonts w:ascii="Cambria" w:hAnsi="Cambria"/>
          <w:i/>
          <w:iCs/>
        </w:rPr>
        <w:t xml:space="preserve">Michelia </w:t>
      </w:r>
      <w:r>
        <w:rPr>
          <w:rFonts w:ascii="Cambria" w:hAnsi="Cambria"/>
        </w:rPr>
        <w:t xml:space="preserve">species and </w:t>
      </w:r>
      <w:r>
        <w:rPr>
          <w:rFonts w:ascii="Cambria" w:hAnsi="Cambria"/>
          <w:i/>
          <w:iCs/>
        </w:rPr>
        <w:t>Parakilometerseria lotungensis.</w:t>
      </w:r>
      <w:r>
        <w:rPr>
          <w:rFonts w:ascii="Cambria" w:hAnsi="Cambria"/>
          <w:iCs/>
        </w:rPr>
        <w:t xml:space="preserve"> These</w:t>
      </w:r>
      <w:r>
        <w:rPr>
          <w:rFonts w:ascii="Cambria" w:hAnsi="Cambria"/>
          <w:i/>
          <w:iCs/>
        </w:rPr>
        <w:t xml:space="preserve"> </w:t>
      </w:r>
      <w:r>
        <w:rPr>
          <w:rFonts w:ascii="Cambria" w:hAnsi="Cambria"/>
        </w:rPr>
        <w:t xml:space="preserve">are all primarily foliar hosts of </w:t>
      </w:r>
      <w:r>
        <w:rPr>
          <w:rFonts w:ascii="Cambria" w:hAnsi="Cambria"/>
          <w:i/>
          <w:iCs/>
        </w:rPr>
        <w:t>P. ramorum</w:t>
      </w:r>
      <w:r>
        <w:rPr>
          <w:rFonts w:ascii="Cambria" w:hAnsi="Cambria"/>
        </w:rPr>
        <w:t xml:space="preserve"> and </w:t>
      </w:r>
      <w:r>
        <w:rPr>
          <w:rFonts w:ascii="Cambria" w:hAnsi="Cambria"/>
          <w:i/>
          <w:iCs/>
        </w:rPr>
        <w:t>P. kernoviae</w:t>
      </w:r>
      <w:r>
        <w:rPr>
          <w:rFonts w:ascii="Cambria" w:hAnsi="Cambria"/>
        </w:rPr>
        <w:t xml:space="preserve">. It has been suggested that </w:t>
      </w:r>
      <w:r>
        <w:rPr>
          <w:rFonts w:ascii="Cambria" w:hAnsi="Cambria"/>
          <w:i/>
          <w:iCs/>
        </w:rPr>
        <w:t>P. kernoviae</w:t>
      </w:r>
      <w:r>
        <w:rPr>
          <w:rFonts w:ascii="Cambria" w:hAnsi="Cambria"/>
        </w:rPr>
        <w:t xml:space="preserve"> might be more of a ‘magnolia specialist’ in its natural habitat (Brasier </w:t>
      </w:r>
      <w:r>
        <w:rPr>
          <w:rFonts w:ascii="Cambria" w:hAnsi="Cambria"/>
          <w:iCs/>
        </w:rPr>
        <w:t>et al.</w:t>
      </w:r>
      <w:r>
        <w:rPr>
          <w:rFonts w:ascii="Cambria" w:hAnsi="Cambria"/>
        </w:rPr>
        <w:t xml:space="preserve"> 2005), although its host range in the UK extends beyond the </w:t>
      </w:r>
      <w:r>
        <w:rPr>
          <w:rFonts w:ascii="Cambria" w:hAnsi="Cambria"/>
          <w:iCs/>
        </w:rPr>
        <w:t>Magnoliaceae</w:t>
      </w:r>
      <w:r>
        <w:rPr>
          <w:rFonts w:ascii="Cambria" w:hAnsi="Cambria"/>
        </w:rPr>
        <w: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Myrtaceae</w:t>
      </w:r>
      <w:r>
        <w:rPr>
          <w:rFonts w:ascii="Cambria" w:hAnsi="Cambria"/>
        </w:rPr>
        <w:t xml:space="preserve"> includes forest plants (</w:t>
      </w:r>
      <w:r>
        <w:rPr>
          <w:rFonts w:ascii="Cambria" w:hAnsi="Cambria"/>
          <w:i/>
          <w:iCs/>
        </w:rPr>
        <w:t>Eucalyptus</w:t>
      </w:r>
      <w:r>
        <w:rPr>
          <w:rFonts w:ascii="Cambria" w:hAnsi="Cambria"/>
        </w:rPr>
        <w:t xml:space="preserve"> species).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Oleaceae</w:t>
      </w:r>
      <w:r>
        <w:rPr>
          <w:rFonts w:ascii="Cambria" w:hAnsi="Cambria"/>
        </w:rPr>
        <w:t xml:space="preserve"> includes horticultural plants (</w:t>
      </w:r>
      <w:r>
        <w:rPr>
          <w:rFonts w:ascii="Cambria" w:hAnsi="Cambria"/>
          <w:i/>
          <w:iCs/>
        </w:rPr>
        <w:t>Fraxinus latifolia</w:t>
      </w:r>
      <w:r>
        <w:rPr>
          <w:rFonts w:ascii="Cambria" w:hAnsi="Cambria"/>
        </w:rPr>
        <w:t>,</w:t>
      </w:r>
      <w:r>
        <w:rPr>
          <w:rFonts w:ascii="Cambria" w:hAnsi="Cambria"/>
          <w:i/>
          <w:iCs/>
        </w:rPr>
        <w:t xml:space="preserve"> Osmanthus </w:t>
      </w:r>
      <w:r>
        <w:rPr>
          <w:rFonts w:ascii="Cambria" w:hAnsi="Cambria"/>
        </w:rPr>
        <w:t xml:space="preserve">species and </w:t>
      </w:r>
      <w:r>
        <w:rPr>
          <w:rFonts w:ascii="Cambria" w:hAnsi="Cambria"/>
          <w:i/>
          <w:iCs/>
        </w:rPr>
        <w:t>Syringa vulgaris</w:t>
      </w:r>
      <w:r>
        <w:rPr>
          <w:rFonts w:ascii="Cambria" w:hAnsi="Cambria"/>
          <w:iCs/>
        </w:rPr>
        <w:t xml:space="preserve">), which are </w:t>
      </w:r>
      <w:r>
        <w:rPr>
          <w:rFonts w:ascii="Cambria" w:hAnsi="Cambria"/>
        </w:rPr>
        <w:t xml:space="preserve">foliar and shoot dieback </w:t>
      </w:r>
      <w:r>
        <w:rPr>
          <w:rFonts w:ascii="Cambria" w:hAnsi="Cambria"/>
          <w:i/>
        </w:rPr>
        <w:t>Phytophthora</w:t>
      </w:r>
      <w:r>
        <w:rPr>
          <w:rFonts w:ascii="Cambria" w:hAnsi="Cambria"/>
        </w:rPr>
        <w:t xml:space="preserve"> hosts.</w:t>
      </w:r>
    </w:p>
    <w:p w:rsidR="00E94405" w:rsidRDefault="00A11609">
      <w:pPr>
        <w:pStyle w:val="ListBullet"/>
        <w:tabs>
          <w:tab w:val="clear" w:pos="360"/>
          <w:tab w:val="num" w:pos="284"/>
        </w:tabs>
        <w:spacing w:line="269" w:lineRule="auto"/>
        <w:ind w:left="284" w:hanging="284"/>
        <w:rPr>
          <w:rFonts w:ascii="Cambria" w:hAnsi="Cambria"/>
          <w:i/>
          <w:iCs/>
        </w:rPr>
      </w:pPr>
      <w:r>
        <w:rPr>
          <w:rFonts w:ascii="Cambria" w:hAnsi="Cambria"/>
          <w:b/>
          <w:bCs/>
        </w:rPr>
        <w:t>Pinaceae</w:t>
      </w:r>
      <w:r>
        <w:rPr>
          <w:rFonts w:ascii="Cambria" w:hAnsi="Cambria"/>
        </w:rPr>
        <w:t xml:space="preserve"> includes timber species (</w:t>
      </w:r>
      <w:r>
        <w:rPr>
          <w:rFonts w:ascii="Cambria" w:hAnsi="Cambria"/>
          <w:i/>
          <w:iCs/>
        </w:rPr>
        <w:t>Abies</w:t>
      </w:r>
      <w:r>
        <w:rPr>
          <w:rFonts w:ascii="Cambria" w:hAnsi="Cambria"/>
        </w:rPr>
        <w:t xml:space="preserve"> species, </w:t>
      </w:r>
      <w:r>
        <w:rPr>
          <w:rFonts w:ascii="Cambria" w:hAnsi="Cambria"/>
          <w:i/>
          <w:iCs/>
        </w:rPr>
        <w:t>Larix kaempferi, Pinus radiata</w:t>
      </w:r>
      <w:r>
        <w:rPr>
          <w:rFonts w:ascii="Cambria" w:hAnsi="Cambria"/>
        </w:rPr>
        <w:t xml:space="preserve"> and </w:t>
      </w:r>
      <w:r>
        <w:rPr>
          <w:rFonts w:ascii="Cambria" w:hAnsi="Cambria"/>
          <w:i/>
          <w:iCs/>
        </w:rPr>
        <w:t>Pseudotsuga menziesii</w:t>
      </w:r>
      <w:r>
        <w:rPr>
          <w:rFonts w:ascii="Cambria" w:hAnsi="Cambria"/>
          <w:iCs/>
        </w:rPr>
        <w: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Taxodiaceae</w:t>
      </w:r>
      <w:r>
        <w:rPr>
          <w:rFonts w:ascii="Cambria" w:hAnsi="Cambria"/>
        </w:rPr>
        <w:t xml:space="preserve"> includes timber species (</w:t>
      </w:r>
      <w:r>
        <w:rPr>
          <w:rFonts w:ascii="Cambria" w:hAnsi="Cambria"/>
          <w:i/>
          <w:iCs/>
        </w:rPr>
        <w:t>Sequoia sempervirens</w:t>
      </w:r>
      <w:r>
        <w:rPr>
          <w:rFonts w:ascii="Cambria" w:hAnsi="Cambria"/>
          <w:iCs/>
        </w:rPr>
        <w:t>)</w:t>
      </w:r>
      <w:r>
        <w:rPr>
          <w:rFonts w:ascii="Cambria" w:hAnsi="Cambria"/>
          <w:i/>
          <w:iCs/>
        </w:rPr>
        <w: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bCs/>
        </w:rPr>
        <w:t>Theaceae</w:t>
      </w:r>
      <w:r>
        <w:rPr>
          <w:rFonts w:ascii="Cambria" w:hAnsi="Cambria"/>
        </w:rPr>
        <w:t xml:space="preserve"> includes nursery and landscape plants (</w:t>
      </w:r>
      <w:r>
        <w:rPr>
          <w:rFonts w:ascii="Cambria" w:hAnsi="Cambria"/>
          <w:i/>
          <w:iCs/>
        </w:rPr>
        <w:t xml:space="preserve">Camellia </w:t>
      </w:r>
      <w:r>
        <w:rPr>
          <w:rFonts w:ascii="Cambria" w:hAnsi="Cambria"/>
        </w:rPr>
        <w:t xml:space="preserve">species). </w:t>
      </w:r>
      <w:r>
        <w:rPr>
          <w:rFonts w:ascii="Cambria" w:hAnsi="Cambria"/>
          <w:i/>
          <w:iCs/>
        </w:rPr>
        <w:t>Phytophthora ramorum</w:t>
      </w:r>
      <w:r>
        <w:rPr>
          <w:rFonts w:ascii="Cambria" w:hAnsi="Cambria"/>
        </w:rPr>
        <w:t xml:space="preserve"> infected </w:t>
      </w:r>
      <w:r>
        <w:rPr>
          <w:rFonts w:ascii="Cambria" w:hAnsi="Cambria"/>
          <w:i/>
          <w:iCs/>
        </w:rPr>
        <w:t xml:space="preserve">Camellia </w:t>
      </w:r>
      <w:r>
        <w:rPr>
          <w:rFonts w:ascii="Cambria" w:hAnsi="Cambria"/>
        </w:rPr>
        <w:t>plants have been implicated in the introduction of the pathogen into new areas.</w:t>
      </w:r>
    </w:p>
    <w:p w:rsidR="00E94405" w:rsidRDefault="00A11609">
      <w:pPr>
        <w:pStyle w:val="ListBullet"/>
        <w:tabs>
          <w:tab w:val="clear" w:pos="360"/>
          <w:tab w:val="num" w:pos="284"/>
        </w:tabs>
        <w:spacing w:line="269" w:lineRule="auto"/>
        <w:ind w:left="284" w:hanging="284"/>
        <w:rPr>
          <w:rFonts w:ascii="Cambria" w:hAnsi="Cambria"/>
          <w:b/>
          <w:bCs/>
        </w:rPr>
      </w:pPr>
      <w:r>
        <w:rPr>
          <w:rFonts w:ascii="Cambria" w:hAnsi="Cambria"/>
          <w:b/>
          <w:bCs/>
        </w:rPr>
        <w:t xml:space="preserve">Winteraceae </w:t>
      </w:r>
      <w:r>
        <w:rPr>
          <w:rFonts w:ascii="Cambria" w:hAnsi="Cambria"/>
        </w:rPr>
        <w:t>includes ornamental species (</w:t>
      </w:r>
      <w:r>
        <w:rPr>
          <w:rFonts w:ascii="Cambria" w:hAnsi="Cambria"/>
          <w:i/>
          <w:iCs/>
        </w:rPr>
        <w:t xml:space="preserve">Drimys </w:t>
      </w:r>
      <w:r>
        <w:rPr>
          <w:rFonts w:ascii="Cambria" w:hAnsi="Cambria"/>
          <w:iCs/>
        </w:rPr>
        <w:t xml:space="preserve">species), which </w:t>
      </w:r>
      <w:r>
        <w:rPr>
          <w:rFonts w:ascii="Cambria" w:hAnsi="Cambria"/>
        </w:rPr>
        <w:t xml:space="preserve">are foliar hosts of </w:t>
      </w:r>
      <w:r>
        <w:rPr>
          <w:rFonts w:ascii="Cambria" w:hAnsi="Cambria"/>
          <w:i/>
          <w:iCs/>
        </w:rPr>
        <w:t>P. kernoviae</w:t>
      </w:r>
      <w:r>
        <w:rPr>
          <w:rFonts w:ascii="Cambria" w:hAnsi="Cambria"/>
        </w:rPr>
        <w:t>.</w:t>
      </w:r>
    </w:p>
    <w:p w:rsidR="00E94405" w:rsidRDefault="00A11609">
      <w:pPr>
        <w:autoSpaceDE w:val="0"/>
        <w:autoSpaceDN w:val="0"/>
        <w:adjustRightInd w:val="0"/>
        <w:spacing w:before="200"/>
        <w:rPr>
          <w:rFonts w:ascii="Cambria" w:hAnsi="Cambria"/>
          <w:i/>
        </w:rPr>
      </w:pPr>
      <w:r>
        <w:rPr>
          <w:rFonts w:ascii="Cambria" w:hAnsi="Cambria"/>
          <w:iCs/>
        </w:rPr>
        <w:t xml:space="preserve">Hosts of </w:t>
      </w:r>
      <w:r>
        <w:rPr>
          <w:rFonts w:ascii="Cambria" w:hAnsi="Cambria"/>
          <w:i/>
          <w:iCs/>
        </w:rPr>
        <w:t xml:space="preserve">P. ramorum </w:t>
      </w:r>
      <w:r>
        <w:rPr>
          <w:rFonts w:ascii="Cambria" w:hAnsi="Cambria"/>
          <w:iCs/>
        </w:rPr>
        <w:t>include lethal hosts (coast live oak, Californian black oak, shreve oak, canyon live oak and tanoak), non-lethal hosts (</w:t>
      </w:r>
      <w:r>
        <w:rPr>
          <w:rFonts w:ascii="Cambria" w:hAnsi="Cambria"/>
        </w:rPr>
        <w:t xml:space="preserve">bay laurel, bigleaf maple, douglas-fir, </w:t>
      </w:r>
      <w:r>
        <w:rPr>
          <w:rFonts w:ascii="Cambria" w:hAnsi="Cambria"/>
        </w:rPr>
        <w:lastRenderedPageBreak/>
        <w:t>honeysuckle, huckleberry, maidenhair ferns) and ornamentals (</w:t>
      </w:r>
      <w:r>
        <w:rPr>
          <w:rFonts w:ascii="Cambria" w:hAnsi="Cambria"/>
          <w:i/>
        </w:rPr>
        <w:t xml:space="preserve">Rhododendron </w:t>
      </w:r>
      <w:r>
        <w:rPr>
          <w:rFonts w:ascii="Cambria" w:hAnsi="Cambria"/>
        </w:rPr>
        <w:t xml:space="preserve">species, </w:t>
      </w:r>
      <w:r>
        <w:rPr>
          <w:rFonts w:ascii="Cambria" w:hAnsi="Cambria"/>
          <w:i/>
        </w:rPr>
        <w:t xml:space="preserve">Camellia </w:t>
      </w:r>
      <w:r>
        <w:rPr>
          <w:rFonts w:ascii="Cambria" w:hAnsi="Cambria"/>
        </w:rPr>
        <w:t xml:space="preserve">species, </w:t>
      </w:r>
      <w:r>
        <w:rPr>
          <w:rFonts w:ascii="Cambria" w:hAnsi="Cambria"/>
          <w:i/>
        </w:rPr>
        <w:t xml:space="preserve">Viburnum </w:t>
      </w:r>
      <w:r>
        <w:rPr>
          <w:rFonts w:ascii="Cambria" w:hAnsi="Cambria"/>
        </w:rPr>
        <w:t xml:space="preserve">species, </w:t>
      </w:r>
      <w:r>
        <w:rPr>
          <w:rFonts w:ascii="Cambria" w:hAnsi="Cambria"/>
          <w:i/>
        </w:rPr>
        <w:t xml:space="preserve">Pieris </w:t>
      </w:r>
      <w:r>
        <w:rPr>
          <w:rFonts w:ascii="Cambria" w:hAnsi="Cambria"/>
        </w:rPr>
        <w:t xml:space="preserve">species, wood rose). The host range for </w:t>
      </w:r>
      <w:r>
        <w:rPr>
          <w:rFonts w:ascii="Cambria" w:hAnsi="Cambria"/>
          <w:i/>
        </w:rPr>
        <w:t xml:space="preserve">P. kernoviae </w:t>
      </w:r>
      <w:r>
        <w:rPr>
          <w:rFonts w:ascii="Cambria" w:hAnsi="Cambria"/>
        </w:rPr>
        <w:t xml:space="preserve">is less well known than for </w:t>
      </w:r>
      <w:r>
        <w:rPr>
          <w:rFonts w:ascii="Cambria" w:hAnsi="Cambria"/>
          <w:i/>
        </w:rPr>
        <w:t>P. ramorum</w:t>
      </w:r>
      <w:r>
        <w:rPr>
          <w:rFonts w:ascii="Cambria" w:hAnsi="Cambria"/>
        </w:rPr>
        <w:t xml:space="preserve">; however, </w:t>
      </w:r>
      <w:r>
        <w:rPr>
          <w:rFonts w:ascii="Cambria" w:hAnsi="Cambria"/>
          <w:i/>
        </w:rPr>
        <w:t xml:space="preserve">P. kernoviae </w:t>
      </w:r>
      <w:r>
        <w:rPr>
          <w:rFonts w:ascii="Cambria" w:hAnsi="Cambria"/>
        </w:rPr>
        <w:t>is more aggressive on beech tree stems (</w:t>
      </w:r>
      <w:r>
        <w:rPr>
          <w:rFonts w:ascii="Cambria" w:hAnsi="Cambria"/>
          <w:i/>
        </w:rPr>
        <w:t>Fagus sylvatica</w:t>
      </w:r>
      <w:r>
        <w:rPr>
          <w:rFonts w:ascii="Cambria" w:hAnsi="Cambria"/>
        </w:rPr>
        <w:t>) and the foliage of tulip trees (</w:t>
      </w:r>
      <w:r>
        <w:rPr>
          <w:rFonts w:ascii="Cambria" w:hAnsi="Cambria"/>
          <w:i/>
        </w:rPr>
        <w:t>Liriodendron tulipifera</w:t>
      </w:r>
      <w:r>
        <w:rPr>
          <w:rFonts w:ascii="Cambria" w:hAnsi="Cambria"/>
        </w:rPr>
        <w:t xml:space="preserve">) (Brasier et al. 2006). In addition, </w:t>
      </w:r>
      <w:r>
        <w:rPr>
          <w:rStyle w:val="Emphasis"/>
          <w:rFonts w:ascii="Cambria" w:hAnsi="Cambria"/>
        </w:rPr>
        <w:t>P. kernoviae</w:t>
      </w:r>
      <w:r>
        <w:rPr>
          <w:rFonts w:ascii="Cambria" w:hAnsi="Cambria"/>
        </w:rPr>
        <w:t xml:space="preserve"> is considered more pathogenic to </w:t>
      </w:r>
      <w:r>
        <w:rPr>
          <w:rFonts w:ascii="Cambria" w:hAnsi="Cambria"/>
          <w:i/>
          <w:iCs/>
        </w:rPr>
        <w:t xml:space="preserve">Rhododendron </w:t>
      </w:r>
      <w:r>
        <w:rPr>
          <w:rFonts w:ascii="Cambria" w:hAnsi="Cambria"/>
          <w:iCs/>
        </w:rPr>
        <w:t>species</w:t>
      </w:r>
      <w:r>
        <w:rPr>
          <w:rFonts w:ascii="Cambria" w:hAnsi="Cambria"/>
        </w:rPr>
        <w:t xml:space="preserve"> than </w:t>
      </w:r>
      <w:r>
        <w:rPr>
          <w:rStyle w:val="Emphasis"/>
          <w:rFonts w:ascii="Cambria" w:hAnsi="Cambria"/>
        </w:rPr>
        <w:t>P. ramorum</w:t>
      </w:r>
      <w:r>
        <w:rPr>
          <w:rFonts w:ascii="Cambria" w:hAnsi="Cambria"/>
        </w:rPr>
        <w:t xml:space="preserve"> and is capable of causing serious damage to </w:t>
      </w:r>
      <w:r>
        <w:rPr>
          <w:rFonts w:ascii="Cambria" w:hAnsi="Cambria"/>
          <w:i/>
          <w:iCs/>
        </w:rPr>
        <w:t xml:space="preserve">Fagus sylvatica </w:t>
      </w:r>
      <w:r>
        <w:rPr>
          <w:rFonts w:ascii="Cambria" w:hAnsi="Cambria"/>
        </w:rPr>
        <w:t xml:space="preserve">(NAPPO 2006). Therefore, </w:t>
      </w:r>
      <w:r>
        <w:rPr>
          <w:rFonts w:ascii="Cambria" w:hAnsi="Cambria"/>
          <w:i/>
        </w:rPr>
        <w:t xml:space="preserve">P. kernoviae </w:t>
      </w:r>
      <w:r>
        <w:rPr>
          <w:rFonts w:ascii="Cambria" w:hAnsi="Cambria"/>
        </w:rPr>
        <w:t xml:space="preserve">may be more of a specific threat to some species than </w:t>
      </w:r>
      <w:r>
        <w:rPr>
          <w:rFonts w:ascii="Cambria" w:hAnsi="Cambria"/>
          <w:i/>
        </w:rPr>
        <w:t xml:space="preserve">P. ramorum </w:t>
      </w:r>
      <w:r>
        <w:rPr>
          <w:rFonts w:ascii="Cambria" w:hAnsi="Cambria"/>
        </w:rPr>
        <w:t>(Widmer 2010).</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96" w:name="_Toc414019449"/>
      <w:r>
        <w:rPr>
          <w:rFonts w:eastAsiaTheme="majorEastAsia" w:cstheme="majorBidi"/>
          <w:color w:val="773141"/>
          <w:sz w:val="28"/>
        </w:rPr>
        <w:t xml:space="preserve">Spread of the </w:t>
      </w:r>
      <w:r>
        <w:rPr>
          <w:rFonts w:eastAsiaTheme="majorEastAsia" w:cstheme="majorBidi"/>
          <w:i/>
          <w:color w:val="773141"/>
          <w:sz w:val="28"/>
        </w:rPr>
        <w:t>Phytophthora</w:t>
      </w:r>
      <w:r>
        <w:rPr>
          <w:rFonts w:eastAsiaTheme="majorEastAsia" w:cstheme="majorBidi"/>
          <w:color w:val="773141"/>
          <w:sz w:val="28"/>
        </w:rPr>
        <w:t xml:space="preserve"> species</w:t>
      </w:r>
      <w:bookmarkEnd w:id="96"/>
    </w:p>
    <w:p w:rsidR="00E94405" w:rsidRDefault="00A11609">
      <w:pPr>
        <w:autoSpaceDE w:val="0"/>
        <w:autoSpaceDN w:val="0"/>
        <w:adjustRightInd w:val="0"/>
        <w:spacing w:before="200"/>
        <w:rPr>
          <w:rFonts w:ascii="Cambria" w:hAnsi="Cambria"/>
        </w:rPr>
      </w:pPr>
      <w:r>
        <w:rPr>
          <w:rFonts w:ascii="Cambria" w:hAnsi="Cambria"/>
          <w:i/>
          <w:iCs/>
        </w:rPr>
        <w:t xml:space="preserve">Phytophthora </w:t>
      </w:r>
      <w:r>
        <w:rPr>
          <w:rFonts w:ascii="Cambria" w:hAnsi="Cambria"/>
        </w:rPr>
        <w:t xml:space="preserve">species are capable of natural spread in the ecosystem and through human activities. </w:t>
      </w:r>
      <w:r>
        <w:rPr>
          <w:rFonts w:ascii="Cambria" w:hAnsi="Cambria"/>
          <w:i/>
          <w:iCs/>
        </w:rPr>
        <w:t xml:space="preserve">Phytophthora ramorum </w:t>
      </w:r>
      <w:r>
        <w:rPr>
          <w:rFonts w:ascii="Cambria" w:hAnsi="Cambria"/>
        </w:rPr>
        <w:t xml:space="preserve">has been found in water, which can lead to plant infection (Tjosvold </w:t>
      </w:r>
      <w:r>
        <w:rPr>
          <w:rFonts w:ascii="Cambria" w:hAnsi="Cambria"/>
          <w:iCs/>
        </w:rPr>
        <w:t>et al</w:t>
      </w:r>
      <w:r>
        <w:rPr>
          <w:rFonts w:ascii="Cambria" w:hAnsi="Cambria"/>
        </w:rPr>
        <w:t xml:space="preserve">. 2009); therefore, water is a potential pathway for the spread of this fungus. This fungus spreads locally through rain-splash of sporangia formed on the foliage of certain hosts; for example, </w:t>
      </w:r>
      <w:r>
        <w:rPr>
          <w:rFonts w:ascii="Cambria" w:hAnsi="Cambria"/>
          <w:i/>
          <w:iCs/>
        </w:rPr>
        <w:t>Umbellularia californica</w:t>
      </w:r>
      <w:r>
        <w:rPr>
          <w:rFonts w:ascii="Cambria" w:hAnsi="Cambria"/>
        </w:rPr>
        <w:t xml:space="preserve">, </w:t>
      </w:r>
      <w:r>
        <w:rPr>
          <w:rFonts w:ascii="Cambria" w:hAnsi="Cambria"/>
          <w:i/>
          <w:iCs/>
        </w:rPr>
        <w:t>Larix kaempferi</w:t>
      </w:r>
      <w:r>
        <w:rPr>
          <w:rFonts w:ascii="Cambria" w:hAnsi="Cambria"/>
        </w:rPr>
        <w:t xml:space="preserve">, </w:t>
      </w:r>
      <w:r>
        <w:rPr>
          <w:rFonts w:ascii="Cambria" w:hAnsi="Cambria"/>
          <w:i/>
          <w:iCs/>
        </w:rPr>
        <w:t>Rhododendron ponticum</w:t>
      </w:r>
      <w:r>
        <w:rPr>
          <w:rFonts w:ascii="Cambria" w:hAnsi="Cambria"/>
        </w:rPr>
        <w:t xml:space="preserve">, or on twigs of </w:t>
      </w:r>
      <w:r>
        <w:rPr>
          <w:rFonts w:ascii="Cambria" w:hAnsi="Cambria"/>
          <w:i/>
          <w:iCs/>
        </w:rPr>
        <w:t>Lithocarpus densiflorus</w:t>
      </w:r>
      <w:r>
        <w:rPr>
          <w:rFonts w:ascii="Cambria" w:hAnsi="Cambria"/>
        </w:rPr>
        <w:t xml:space="preserve">. Long distance aerial dispersal of sporangia may occur during storms (Hansen </w:t>
      </w:r>
      <w:r>
        <w:rPr>
          <w:rFonts w:ascii="Cambria" w:hAnsi="Cambria"/>
          <w:iCs/>
        </w:rPr>
        <w:t>et al</w:t>
      </w:r>
      <w:r>
        <w:rPr>
          <w:rFonts w:ascii="Cambria" w:hAnsi="Cambria"/>
        </w:rPr>
        <w:t xml:space="preserve">. 2008); however, sporangia generally do not survive long distance transport due to desiccation (Ristaino &amp; Gumpertz 2000) and it is unlikely that </w:t>
      </w:r>
      <w:r>
        <w:rPr>
          <w:rFonts w:ascii="Cambria" w:hAnsi="Cambria"/>
          <w:i/>
          <w:iCs/>
        </w:rPr>
        <w:t xml:space="preserve">Phytophthora </w:t>
      </w:r>
      <w:r>
        <w:rPr>
          <w:rFonts w:ascii="Cambria" w:hAnsi="Cambria"/>
        </w:rPr>
        <w:t xml:space="preserve">species will spread to other areas through this mechanism. Therefore, long distance spread will most likely be through human mediated transport of live plant material and/or infested soil (Widmer 2010). </w:t>
      </w:r>
      <w:r>
        <w:rPr>
          <w:rFonts w:ascii="Cambria" w:hAnsi="Cambria"/>
          <w:i/>
          <w:iCs/>
        </w:rPr>
        <w:t>Phytophthora kernoviae</w:t>
      </w:r>
      <w:r>
        <w:rPr>
          <w:rFonts w:ascii="Cambria" w:hAnsi="Cambria"/>
        </w:rPr>
        <w:t xml:space="preserve"> is not known to produce chlamydospores; therefore, the propagules most likely involved in soil infestation will be oospores (Widmer 2010).</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Spread in natural ecosystems</w:t>
      </w:r>
    </w:p>
    <w:p w:rsidR="00E94405" w:rsidRDefault="00A11609">
      <w:pPr>
        <w:autoSpaceDE w:val="0"/>
        <w:autoSpaceDN w:val="0"/>
        <w:adjustRightInd w:val="0"/>
        <w:spacing w:before="200"/>
        <w:rPr>
          <w:rFonts w:ascii="Cambria" w:hAnsi="Cambria"/>
        </w:rPr>
      </w:pP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 xml:space="preserve">P. ramorum </w:t>
      </w:r>
      <w:r>
        <w:rPr>
          <w:rFonts w:ascii="Cambria" w:hAnsi="Cambria"/>
        </w:rPr>
        <w:t xml:space="preserve">have a significant aerial component of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xml:space="preserve">. 2012). These species spread through a cycle consisting of the production of asexual spores (sporangia, zoospores), movement of these spores, and infection of new hosts. The new infection can then serve as another source of spores to begin the cycle again (Erwin &amp; Ribeiro 1996; Davidson </w:t>
      </w:r>
      <w:r>
        <w:rPr>
          <w:rFonts w:ascii="Cambria" w:hAnsi="Cambria"/>
          <w:iCs/>
        </w:rPr>
        <w:t>et al</w:t>
      </w:r>
      <w:r>
        <w:rPr>
          <w:rFonts w:ascii="Cambria" w:hAnsi="Cambria"/>
        </w:rPr>
        <w:t xml:space="preserve">. 2005; Werres </w:t>
      </w:r>
      <w:r>
        <w:rPr>
          <w:rFonts w:ascii="Cambria" w:hAnsi="Cambria"/>
          <w:iCs/>
        </w:rPr>
        <w:t>et al</w:t>
      </w:r>
      <w:r>
        <w:rPr>
          <w:rFonts w:ascii="Cambria" w:hAnsi="Cambria"/>
        </w:rPr>
        <w:t xml:space="preserve">. 2001). Appropriate environmental conditions (temperature and relative humidity), as well as survival of the pathogen (either as spores or mycelia on a foliar host or in the soil), are necessary for each step of the cycle. </w:t>
      </w:r>
    </w:p>
    <w:p w:rsidR="00E94405" w:rsidRDefault="00A11609">
      <w:pPr>
        <w:autoSpaceDE w:val="0"/>
        <w:autoSpaceDN w:val="0"/>
        <w:adjustRightInd w:val="0"/>
        <w:spacing w:before="200"/>
        <w:rPr>
          <w:rFonts w:ascii="Cambria" w:hAnsi="Cambria"/>
        </w:rPr>
      </w:pPr>
      <w:r>
        <w:rPr>
          <w:rFonts w:ascii="Cambria" w:hAnsi="Cambria"/>
        </w:rPr>
        <w:t xml:space="preserve">The first step in the life cycle of aerially dispersed </w:t>
      </w:r>
      <w:r>
        <w:rPr>
          <w:rFonts w:ascii="Cambria" w:hAnsi="Cambria"/>
          <w:i/>
          <w:iCs/>
        </w:rPr>
        <w:t xml:space="preserve">Phytophthora </w:t>
      </w:r>
      <w:r>
        <w:rPr>
          <w:rFonts w:ascii="Cambria" w:hAnsi="Cambria"/>
        </w:rPr>
        <w:t xml:space="preserve">species is the production of infective spores on or within living plant tissue (foliage, green stems and woody stems). Foliar hosts (bay laurel, Japanese larch and </w:t>
      </w:r>
      <w:r>
        <w:rPr>
          <w:rFonts w:ascii="Cambria" w:hAnsi="Cambria"/>
          <w:i/>
          <w:iCs/>
        </w:rPr>
        <w:t>Rhododendron</w:t>
      </w:r>
      <w:r>
        <w:rPr>
          <w:rFonts w:ascii="Cambria" w:hAnsi="Cambria"/>
        </w:rPr>
        <w:t xml:space="preserve"> species) are an important source of inoculum for initiating plant infection. </w:t>
      </w:r>
      <w:r>
        <w:rPr>
          <w:rFonts w:ascii="Cambria" w:hAnsi="Cambria"/>
          <w:i/>
          <w:iCs/>
        </w:rPr>
        <w:t xml:space="preserve">Phytophthora </w:t>
      </w:r>
      <w:r>
        <w:rPr>
          <w:rFonts w:ascii="Cambria" w:hAnsi="Cambria"/>
        </w:rPr>
        <w:t xml:space="preserve">species produce deciduous sporangia (involved in pathogen dispersal) and chlamydospores on some foliar hosts (involved in survival during adverse conditions) (Figure 1). </w:t>
      </w:r>
    </w:p>
    <w:p w:rsidR="00E94405" w:rsidRDefault="00A11609">
      <w:pPr>
        <w:autoSpaceDE w:val="0"/>
        <w:autoSpaceDN w:val="0"/>
        <w:adjustRightInd w:val="0"/>
        <w:spacing w:before="200"/>
        <w:rPr>
          <w:rFonts w:ascii="Cambria" w:hAnsi="Cambria"/>
          <w:iCs/>
        </w:rPr>
      </w:pPr>
      <w:r>
        <w:rPr>
          <w:rFonts w:ascii="Cambria" w:hAnsi="Cambria"/>
        </w:rPr>
        <w:t xml:space="preserve">In addition, chlamydospores are produced asexually in infected leaves, shoots, bark, phloem and xylem tissues (Parke </w:t>
      </w:r>
      <w:r>
        <w:rPr>
          <w:rFonts w:ascii="Cambria" w:hAnsi="Cambria"/>
          <w:iCs/>
        </w:rPr>
        <w:t>et al.</w:t>
      </w:r>
      <w:r>
        <w:rPr>
          <w:rFonts w:ascii="Cambria" w:hAnsi="Cambria"/>
          <w:i/>
          <w:iCs/>
        </w:rPr>
        <w:t xml:space="preserve"> </w:t>
      </w:r>
      <w:r>
        <w:rPr>
          <w:rFonts w:ascii="Cambria" w:hAnsi="Cambria"/>
        </w:rPr>
        <w:t xml:space="preserve">2008), and have a major role in fungus survival through summer in a dormant or relatively inactive state (Werres </w:t>
      </w:r>
      <w:r>
        <w:rPr>
          <w:rFonts w:ascii="Cambria" w:hAnsi="Cambria"/>
          <w:iCs/>
        </w:rPr>
        <w:t>et al</w:t>
      </w:r>
      <w:r>
        <w:rPr>
          <w:rFonts w:ascii="Cambria" w:hAnsi="Cambria"/>
        </w:rPr>
        <w:t xml:space="preserve">. 2001; Davidson </w:t>
      </w:r>
      <w:r>
        <w:rPr>
          <w:rFonts w:ascii="Cambria" w:hAnsi="Cambria"/>
          <w:iCs/>
        </w:rPr>
        <w:t>et al</w:t>
      </w:r>
      <w:r>
        <w:rPr>
          <w:rFonts w:ascii="Cambria" w:hAnsi="Cambria"/>
        </w:rPr>
        <w:t xml:space="preserve">. 2005). The second step in the life cycle is the dispersal of pathogen propagules. Sporangia and zoospores are dispersed under wet conditions when temperatures are suitable. The final step in the reproductive cycle involves successful infection of new host tissue and reaching a susceptible host is essential. </w:t>
      </w:r>
      <w:r>
        <w:rPr>
          <w:rFonts w:ascii="Cambria" w:hAnsi="Cambria"/>
        </w:rPr>
        <w:lastRenderedPageBreak/>
        <w:t xml:space="preserve">Studies indicate that the optimal infection of bay laurel leaves by zoospores of </w:t>
      </w:r>
      <w:r>
        <w:rPr>
          <w:rFonts w:ascii="Cambria" w:hAnsi="Cambria"/>
          <w:i/>
          <w:iCs/>
        </w:rPr>
        <w:t xml:space="preserve">P. ramorum </w:t>
      </w:r>
      <w:r>
        <w:rPr>
          <w:rFonts w:ascii="Cambria" w:hAnsi="Cambria"/>
        </w:rPr>
        <w:t>occurs at 20 degrees Celsius.</w:t>
      </w:r>
    </w:p>
    <w:p w:rsidR="00E94405" w:rsidRDefault="00A11609">
      <w:pPr>
        <w:autoSpaceDE w:val="0"/>
        <w:autoSpaceDN w:val="0"/>
        <w:adjustRightInd w:val="0"/>
        <w:spacing w:before="200" w:after="120"/>
        <w:rPr>
          <w:rFonts w:ascii="Cambria" w:hAnsi="Cambria"/>
        </w:rPr>
      </w:pPr>
      <w:r>
        <w:rPr>
          <w:rFonts w:ascii="Cambria" w:hAnsi="Cambria"/>
          <w:i/>
          <w:iCs/>
        </w:rPr>
        <w:t xml:space="preserve">Phytophthora ramorum </w:t>
      </w:r>
      <w:r>
        <w:rPr>
          <w:rFonts w:ascii="Cambria" w:hAnsi="Cambria"/>
        </w:rPr>
        <w:t xml:space="preserve">requires a susceptible foliar host that supports high levels of sporulation (for example, </w:t>
      </w:r>
      <w:r>
        <w:rPr>
          <w:rFonts w:ascii="Cambria" w:hAnsi="Cambria"/>
          <w:i/>
          <w:iCs/>
        </w:rPr>
        <w:t>Rhododendron ponticum</w:t>
      </w:r>
      <w:r>
        <w:rPr>
          <w:rFonts w:ascii="Cambria" w:hAnsi="Cambria"/>
        </w:rPr>
        <w:t xml:space="preserve">, </w:t>
      </w:r>
      <w:r>
        <w:rPr>
          <w:rFonts w:ascii="Cambria" w:hAnsi="Cambria"/>
          <w:i/>
          <w:iCs/>
        </w:rPr>
        <w:t xml:space="preserve">Vaccinium </w:t>
      </w:r>
      <w:r>
        <w:rPr>
          <w:rFonts w:ascii="Cambria" w:hAnsi="Cambria"/>
        </w:rPr>
        <w:t xml:space="preserve">species, </w:t>
      </w:r>
      <w:r>
        <w:rPr>
          <w:rFonts w:ascii="Cambria" w:hAnsi="Cambria"/>
          <w:i/>
          <w:iCs/>
        </w:rPr>
        <w:t>Quercus ilex</w:t>
      </w:r>
      <w:r>
        <w:rPr>
          <w:rFonts w:ascii="Cambria" w:hAnsi="Cambria"/>
        </w:rPr>
        <w:t xml:space="preserve">, </w:t>
      </w:r>
      <w:r>
        <w:rPr>
          <w:rFonts w:ascii="Cambria" w:hAnsi="Cambria"/>
          <w:i/>
          <w:iCs/>
        </w:rPr>
        <w:t>Rhamnus alaternus</w:t>
      </w:r>
      <w:r>
        <w:rPr>
          <w:rFonts w:ascii="Cambria" w:hAnsi="Cambria"/>
        </w:rPr>
        <w:t xml:space="preserve">, </w:t>
      </w:r>
      <w:r>
        <w:rPr>
          <w:rFonts w:ascii="Cambria" w:hAnsi="Cambria"/>
          <w:i/>
          <w:iCs/>
        </w:rPr>
        <w:t xml:space="preserve">Viburnum tinus </w:t>
      </w:r>
      <w:r>
        <w:rPr>
          <w:rFonts w:ascii="Cambria" w:hAnsi="Cambria"/>
        </w:rPr>
        <w:t xml:space="preserve">and </w:t>
      </w:r>
      <w:r>
        <w:rPr>
          <w:rFonts w:ascii="Cambria" w:hAnsi="Cambria"/>
          <w:i/>
          <w:iCs/>
        </w:rPr>
        <w:t>Arbutus unedo</w:t>
      </w:r>
      <w:r>
        <w:rPr>
          <w:rFonts w:ascii="Cambria" w:hAnsi="Cambria"/>
        </w:rPr>
        <w:t xml:space="preserve">). Sporulation occurs on infected shoots and foliage but not on bleeding stem cankers; therefore, foliar hosts play an important role in disease epidemiology (Denman </w:t>
      </w:r>
      <w:r>
        <w:rPr>
          <w:rFonts w:ascii="Cambria" w:hAnsi="Cambria"/>
          <w:iCs/>
        </w:rPr>
        <w:t>et al</w:t>
      </w:r>
      <w:r>
        <w:rPr>
          <w:rFonts w:ascii="Cambria" w:hAnsi="Cambria"/>
        </w:rPr>
        <w:t xml:space="preserve">. 2008). Under wet and somewhat warm conditions, up to 17 000 spores per lesion are produced on infected leaves (Davidson </w:t>
      </w:r>
      <w:r>
        <w:rPr>
          <w:rFonts w:ascii="Cambria" w:hAnsi="Cambria"/>
          <w:iCs/>
        </w:rPr>
        <w:t>et al</w:t>
      </w:r>
      <w:r>
        <w:rPr>
          <w:rFonts w:ascii="Cambria" w:hAnsi="Cambria"/>
        </w:rPr>
        <w:t xml:space="preserve">. 2008). Susceptible foliar hosts and suitable climatic conditions play a key role in the spread of </w:t>
      </w:r>
      <w:r>
        <w:rPr>
          <w:rFonts w:ascii="Cambria" w:hAnsi="Cambria"/>
          <w:i/>
          <w:iCs/>
        </w:rPr>
        <w:t xml:space="preserve">P. ramorum </w:t>
      </w:r>
      <w:r>
        <w:rPr>
          <w:rFonts w:ascii="Cambria" w:hAnsi="Cambria"/>
        </w:rPr>
        <w:t xml:space="preserve">into natural and semi-natural environments (Denman </w:t>
      </w:r>
      <w:r>
        <w:rPr>
          <w:rFonts w:ascii="Cambria" w:hAnsi="Cambria"/>
          <w:iCs/>
        </w:rPr>
        <w:t>et al</w:t>
      </w:r>
      <w:r>
        <w:rPr>
          <w:rFonts w:ascii="Cambria" w:hAnsi="Cambria"/>
        </w:rPr>
        <w:t>. 2006; Webber 2008).</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97" w:name="_Toc356671315"/>
      <w:bookmarkStart w:id="98" w:name="_Toc386638138"/>
      <w:bookmarkStart w:id="99" w:name="_Toc386710533"/>
      <w:bookmarkStart w:id="100" w:name="_Toc388882528"/>
      <w:bookmarkStart w:id="101" w:name="_Toc388949924"/>
      <w:bookmarkStart w:id="102" w:name="_Toc392494637"/>
      <w:bookmarkStart w:id="103" w:name="_Toc392503880"/>
      <w:bookmarkStart w:id="104" w:name="_Toc409685807"/>
      <w:bookmarkStart w:id="105" w:name="_Toc412625746"/>
      <w:bookmarkStart w:id="106" w:name="_Toc413062154"/>
      <w:bookmarkStart w:id="107" w:name="_Toc414019476"/>
      <w:r>
        <w:rPr>
          <w:rFonts w:asciiTheme="majorHAnsi" w:eastAsiaTheme="majorEastAsia" w:hAnsiTheme="majorHAnsi" w:cstheme="majorBidi"/>
          <w:color w:val="595959" w:themeColor="text1" w:themeTint="A6"/>
          <w:sz w:val="20"/>
        </w:rPr>
        <w:t xml:space="preserve">Figure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noProof/>
          <w:color w:val="595959" w:themeColor="text1" w:themeTint="A6"/>
          <w:sz w:val="20"/>
        </w:rPr>
        <w:t>1</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The infection process of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species</w:t>
      </w:r>
      <w:bookmarkEnd w:id="97"/>
      <w:bookmarkEnd w:id="98"/>
      <w:bookmarkEnd w:id="99"/>
      <w:bookmarkEnd w:id="100"/>
      <w:bookmarkEnd w:id="101"/>
      <w:bookmarkEnd w:id="102"/>
      <w:bookmarkEnd w:id="103"/>
      <w:bookmarkEnd w:id="104"/>
      <w:bookmarkEnd w:id="105"/>
      <w:bookmarkEnd w:id="106"/>
      <w:bookmarkEnd w:id="107"/>
    </w:p>
    <w:p w:rsidR="00E94405" w:rsidRDefault="000D37BE">
      <w:pPr>
        <w:autoSpaceDE w:val="0"/>
        <w:autoSpaceDN w:val="0"/>
        <w:adjustRightInd w:val="0"/>
        <w:spacing w:line="280" w:lineRule="atLeast"/>
        <w:jc w:val="center"/>
      </w:pPr>
      <w:r>
        <w:pict>
          <v:group id="_x0000_s1026" editas="canvas" style="width:446.85pt;height:171.4pt;mso-position-horizontal-relative:char;mso-position-vertical-relative:line" coordorigin="1643,10162" coordsize="7150,2742">
            <o:lock v:ext="edit" aspectratio="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27" type="#_x0000_t105" style="position:absolute;left:1643;top:10162;width:7150;height:2742" filled="f" stroked="f">
              <v:fill o:detectmouseclick="t"/>
              <v:path o:connecttype="none"/>
              <o:lock v:ext="edit" text="t"/>
            </v:shape>
            <v:oval id="_x0000_s1028" style="position:absolute;left:1986;top:10500;width:2368;height:685">
              <v:shadow on="t" opacity=".5" offset="-6pt,-6pt"/>
              <v:textbox style="mso-next-textbox:#_x0000_s1028">
                <w:txbxContent>
                  <w:p w:rsidR="00E94405" w:rsidRDefault="00A11609">
                    <w:pPr>
                      <w:rPr>
                        <w:rFonts w:asciiTheme="majorHAnsi" w:hAnsiTheme="majorHAnsi" w:cs="Verdana"/>
                        <w:b/>
                        <w:bCs/>
                        <w:sz w:val="18"/>
                        <w:szCs w:val="18"/>
                      </w:rPr>
                    </w:pPr>
                    <w:r>
                      <w:rPr>
                        <w:rFonts w:asciiTheme="majorHAnsi" w:hAnsiTheme="majorHAnsi" w:cs="Verdana"/>
                        <w:b/>
                        <w:bCs/>
                        <w:sz w:val="18"/>
                        <w:szCs w:val="18"/>
                      </w:rPr>
                      <w:t>Production of sexual/asexual spores</w:t>
                    </w:r>
                  </w:p>
                </w:txbxContent>
              </v:textbox>
            </v:oval>
            <v:shape id="_x0000_s1029" type="#_x0000_t105" style="position:absolute;left:4439;top:10306;width:1697;height:432"/>
            <v:oval id="_x0000_s1030" style="position:absolute;left:5946;top:10500;width:2468;height:685">
              <v:shadow on="t" opacity=".5" offset="6pt,-6pt"/>
              <v:textbox style="mso-next-textbox:#_x0000_s1030">
                <w:txbxContent>
                  <w:p w:rsidR="00E94405" w:rsidRDefault="00A11609">
                    <w:pPr>
                      <w:rPr>
                        <w:rFonts w:asciiTheme="majorHAnsi" w:hAnsiTheme="majorHAnsi" w:cs="Verdana"/>
                        <w:b/>
                        <w:bCs/>
                        <w:sz w:val="18"/>
                        <w:szCs w:val="18"/>
                      </w:rPr>
                    </w:pPr>
                    <w:r>
                      <w:rPr>
                        <w:rFonts w:asciiTheme="majorHAnsi" w:hAnsiTheme="majorHAnsi" w:cs="Verdana"/>
                        <w:b/>
                        <w:bCs/>
                        <w:sz w:val="18"/>
                        <w:szCs w:val="18"/>
                      </w:rPr>
                      <w:t>Movement of zoospores (wind, rain dispersal)</w:t>
                    </w:r>
                  </w:p>
                </w:txbxContent>
              </v:textbox>
            </v:oval>
            <v:oval id="_x0000_s1031" style="position:absolute;left:3712;top:12333;width:2955;height:416">
              <v:shadow on="t" opacity=".5" offset="6pt,6pt"/>
              <v:textbox style="mso-next-textbox:#_x0000_s1031">
                <w:txbxContent>
                  <w:p w:rsidR="00E94405" w:rsidRDefault="00A11609">
                    <w:pPr>
                      <w:jc w:val="center"/>
                      <w:rPr>
                        <w:rFonts w:asciiTheme="majorHAnsi" w:hAnsiTheme="majorHAnsi" w:cs="Verdana"/>
                        <w:b/>
                        <w:bCs/>
                        <w:sz w:val="18"/>
                        <w:szCs w:val="18"/>
                      </w:rPr>
                    </w:pPr>
                    <w:r>
                      <w:rPr>
                        <w:rFonts w:asciiTheme="majorHAnsi" w:hAnsiTheme="majorHAnsi" w:cs="Verdana"/>
                        <w:b/>
                        <w:bCs/>
                        <w:sz w:val="18"/>
                        <w:szCs w:val="18"/>
                      </w:rPr>
                      <w:t>Infection of new host tissue</w:t>
                    </w:r>
                  </w:p>
                </w:txbxContent>
              </v:textbox>
            </v:oval>
            <v:roundrect id="_x0000_s1032" style="position:absolute;left:3638;top:11473;width:3029;height:572" arcsize="10923f">
              <v:textbox style="mso-next-textbox:#_x0000_s1032">
                <w:txbxContent>
                  <w:p w:rsidR="00E94405" w:rsidRDefault="00A11609">
                    <w:pPr>
                      <w:jc w:val="center"/>
                      <w:rPr>
                        <w:rFonts w:asciiTheme="majorHAnsi" w:hAnsiTheme="majorHAnsi" w:cs="Verdana"/>
                        <w:b/>
                        <w:bCs/>
                        <w:sz w:val="18"/>
                        <w:szCs w:val="18"/>
                      </w:rPr>
                    </w:pPr>
                    <w:r>
                      <w:rPr>
                        <w:rFonts w:asciiTheme="majorHAnsi" w:hAnsiTheme="majorHAnsi" w:cs="Verdana"/>
                        <w:b/>
                        <w:bCs/>
                        <w:sz w:val="18"/>
                        <w:szCs w:val="18"/>
                      </w:rPr>
                      <w:t>Suitable environmental conditions and survival of the pathogen</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left:7019;top:11548;width:1152;height:1244"/>
            <v:line id="_x0000_s1034" style="position:absolute" from="3638,11185" to="3830,11473">
              <v:stroke startarrow="block" endarrow="block"/>
            </v:line>
            <v:line id="_x0000_s1035" style="position:absolute;flip:x" from="6332,11185" to="6524,11473">
              <v:stroke startarrow="block" endarrow="block"/>
            </v:line>
            <v:line id="_x0000_s1036" style="position:absolute;flip:x y" from="5176,12045" to="5178,12333">
              <v:stroke startarrow="block"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7" type="#_x0000_t102" style="position:absolute;left:2141;top:11348;width:1258;height:1272;flip:y"/>
            <w10:wrap type="none"/>
            <w10:anchorlock/>
          </v:group>
        </w:pict>
      </w:r>
    </w:p>
    <w:p w:rsidR="00E94405" w:rsidRDefault="00A11609">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and </w:t>
      </w:r>
      <w:r>
        <w:rPr>
          <w:rFonts w:ascii="Cambria" w:hAnsi="Cambria"/>
          <w:i/>
          <w:iCs/>
        </w:rPr>
        <w:t xml:space="preserve">P. kernoviae </w:t>
      </w:r>
      <w:r>
        <w:rPr>
          <w:rFonts w:ascii="Cambria" w:hAnsi="Cambria"/>
          <w:iCs/>
        </w:rPr>
        <w:t xml:space="preserve">have been isolated </w:t>
      </w:r>
      <w:r>
        <w:rPr>
          <w:rFonts w:ascii="Cambria" w:hAnsi="Cambria"/>
        </w:rPr>
        <w:t xml:space="preserve">from asymptomatic roots of naturally infected </w:t>
      </w:r>
      <w:r>
        <w:rPr>
          <w:rFonts w:ascii="Cambria" w:hAnsi="Cambria"/>
          <w:i/>
          <w:iCs/>
        </w:rPr>
        <w:t>Rhododendron ponticum</w:t>
      </w:r>
      <w:r>
        <w:rPr>
          <w:rFonts w:ascii="Cambria" w:hAnsi="Cambria"/>
          <w:iCs/>
        </w:rPr>
        <w:t>,</w:t>
      </w:r>
      <w:r>
        <w:rPr>
          <w:rFonts w:ascii="Cambria" w:hAnsi="Cambria"/>
          <w:i/>
          <w:iCs/>
        </w:rPr>
        <w:t xml:space="preserve"> </w:t>
      </w:r>
      <w:r>
        <w:rPr>
          <w:rFonts w:ascii="Cambria" w:hAnsi="Cambria"/>
        </w:rPr>
        <w:t xml:space="preserve">suggesting that these pathogens have the ability to infect and colonize roots (Fichtner </w:t>
      </w:r>
      <w:r>
        <w:rPr>
          <w:rFonts w:ascii="Cambria" w:hAnsi="Cambria"/>
          <w:iCs/>
        </w:rPr>
        <w:t>et al</w:t>
      </w:r>
      <w:r>
        <w:rPr>
          <w:rFonts w:ascii="Cambria" w:hAnsi="Cambria"/>
        </w:rPr>
        <w:t xml:space="preserve">. 2011). This is the first report of root infections by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on </w:t>
      </w:r>
      <w:r>
        <w:rPr>
          <w:rFonts w:ascii="Cambria" w:hAnsi="Cambria"/>
          <w:i/>
          <w:iCs/>
        </w:rPr>
        <w:t>R. ponticum</w:t>
      </w:r>
      <w:r>
        <w:rPr>
          <w:rFonts w:ascii="Cambria" w:hAnsi="Cambria"/>
        </w:rPr>
        <w:t xml:space="preserve">, and the first report of root infections of </w:t>
      </w:r>
      <w:r>
        <w:rPr>
          <w:rFonts w:ascii="Cambria" w:hAnsi="Cambria"/>
          <w:i/>
          <w:iCs/>
        </w:rPr>
        <w:t xml:space="preserve">P. kernoviae </w:t>
      </w:r>
      <w:r>
        <w:rPr>
          <w:rFonts w:ascii="Cambria" w:hAnsi="Cambria"/>
        </w:rPr>
        <w:t xml:space="preserve">on a host (Fichtner </w:t>
      </w:r>
      <w:r>
        <w:rPr>
          <w:rFonts w:ascii="Cambria" w:hAnsi="Cambria"/>
          <w:iCs/>
        </w:rPr>
        <w:t>et al</w:t>
      </w:r>
      <w:r>
        <w:rPr>
          <w:rFonts w:ascii="Cambria" w:hAnsi="Cambria"/>
        </w:rPr>
        <w:t xml:space="preserve">. 2011). Oospores produced in </w:t>
      </w:r>
      <w:r>
        <w:rPr>
          <w:rFonts w:ascii="Cambria" w:hAnsi="Cambria"/>
          <w:i/>
          <w:iCs/>
        </w:rPr>
        <w:t xml:space="preserve">R. ponticum </w:t>
      </w:r>
      <w:r>
        <w:rPr>
          <w:rFonts w:ascii="Cambria" w:hAnsi="Cambria"/>
        </w:rPr>
        <w:t>roots and foliage may serve as survival structures in soil. Additionally, roots may support polycyclic sporulation, thus producing sporangia near the soil surface which can then be splash dispersed to aboveground plant parts or serve as primary inoculum for new root infections.</w:t>
      </w:r>
    </w:p>
    <w:p w:rsidR="00E94405" w:rsidRDefault="00A11609">
      <w:pPr>
        <w:pStyle w:val="Heading4"/>
        <w:spacing w:before="120"/>
      </w:pPr>
      <w:r>
        <w:t>Rivers and streams</w:t>
      </w:r>
    </w:p>
    <w:p w:rsidR="00E94405" w:rsidRDefault="00A11609">
      <w:pPr>
        <w:autoSpaceDE w:val="0"/>
        <w:autoSpaceDN w:val="0"/>
        <w:adjustRightInd w:val="0"/>
        <w:spacing w:before="200"/>
        <w:rPr>
          <w:rFonts w:ascii="Cambria" w:hAnsi="Cambria"/>
        </w:rPr>
      </w:pPr>
      <w:r>
        <w:rPr>
          <w:rFonts w:ascii="Cambria" w:hAnsi="Cambria"/>
          <w:i/>
        </w:rPr>
        <w:t xml:space="preserve">Phytophthora </w:t>
      </w:r>
      <w:r>
        <w:rPr>
          <w:rFonts w:ascii="Cambria" w:hAnsi="Cambria"/>
        </w:rPr>
        <w:t>species</w:t>
      </w:r>
      <w:r>
        <w:rPr>
          <w:rFonts w:ascii="Cambria" w:hAnsi="Cambria"/>
          <w:i/>
        </w:rPr>
        <w:t xml:space="preserve"> </w:t>
      </w:r>
      <w:r>
        <w:rPr>
          <w:rFonts w:ascii="Cambria" w:hAnsi="Cambria"/>
        </w:rPr>
        <w:t>may also disperse over long distances in rivers and streams with propagules having been detected up to 1–20 kilometers downstream from probable inoculum sources (Davidson et al. 2005; Sutton et al. 2009; Reeser et al. 2011).</w:t>
      </w:r>
    </w:p>
    <w:p w:rsidR="00E94405" w:rsidRDefault="00A11609">
      <w:pPr>
        <w:pStyle w:val="Heading4"/>
        <w:spacing w:before="120"/>
      </w:pPr>
      <w:r>
        <w:t>Rain and wind</w:t>
      </w:r>
    </w:p>
    <w:p w:rsidR="00E94405" w:rsidRDefault="00A11609">
      <w:pPr>
        <w:autoSpaceDE w:val="0"/>
        <w:autoSpaceDN w:val="0"/>
        <w:adjustRightInd w:val="0"/>
        <w:spacing w:before="200"/>
        <w:rPr>
          <w:rFonts w:ascii="Cambria" w:hAnsi="Cambria"/>
        </w:rPr>
      </w:pPr>
      <w:r>
        <w:rPr>
          <w:rFonts w:ascii="Cambria" w:hAnsi="Cambria"/>
        </w:rPr>
        <w:t xml:space="preserve">Rain and wind play an important role in the dispersal of aerial </w:t>
      </w:r>
      <w:r>
        <w:rPr>
          <w:rFonts w:ascii="Cambria" w:hAnsi="Cambria"/>
          <w:i/>
        </w:rPr>
        <w:t xml:space="preserve">Phytophthora </w:t>
      </w:r>
      <w:r>
        <w:rPr>
          <w:rFonts w:ascii="Cambria" w:hAnsi="Cambria"/>
        </w:rPr>
        <w:t xml:space="preserve">species propagules in the ecosystem. Rain-splash and wind driven rain are important factors in the rapid spread of </w:t>
      </w:r>
      <w:r>
        <w:rPr>
          <w:rFonts w:ascii="Cambria" w:hAnsi="Cambria"/>
          <w:i/>
        </w:rPr>
        <w:t xml:space="preserve">Phytophthora </w:t>
      </w:r>
      <w:r>
        <w:rPr>
          <w:rFonts w:ascii="Cambria" w:hAnsi="Cambria"/>
        </w:rPr>
        <w:t>species</w:t>
      </w:r>
      <w:r>
        <w:rPr>
          <w:rFonts w:ascii="Cambria" w:hAnsi="Cambria"/>
          <w:i/>
        </w:rPr>
        <w:t xml:space="preserve"> </w:t>
      </w:r>
      <w:r>
        <w:rPr>
          <w:rFonts w:ascii="Cambria" w:hAnsi="Cambria"/>
        </w:rPr>
        <w:t xml:space="preserve">within forests. Short distance rain-splash dispersal (10–15 meters) of </w:t>
      </w:r>
      <w:r>
        <w:rPr>
          <w:rFonts w:ascii="Cambria" w:hAnsi="Cambria"/>
          <w:i/>
        </w:rPr>
        <w:t xml:space="preserve">P. ramorum </w:t>
      </w:r>
      <w:r>
        <w:rPr>
          <w:rFonts w:ascii="Cambria" w:hAnsi="Cambria"/>
        </w:rPr>
        <w:t xml:space="preserve">has been reported in evergreen forests in California (Davidson et al. 2005). In Oregon, rain-splash and long distance </w:t>
      </w:r>
      <w:r>
        <w:rPr>
          <w:rFonts w:ascii="Cambria" w:hAnsi="Cambria"/>
          <w:i/>
        </w:rPr>
        <w:t xml:space="preserve">Phytophthora ramorum </w:t>
      </w:r>
      <w:r>
        <w:rPr>
          <w:rFonts w:ascii="Cambria" w:hAnsi="Cambria"/>
        </w:rPr>
        <w:t>dispersal (0–4 kilometers) in turbulent air currents has been reported (Mascheretti et al. 2008; Hansen et al. 2008).</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lastRenderedPageBreak/>
        <w:t>Spread through human activity</w:t>
      </w:r>
    </w:p>
    <w:p w:rsidR="00E94405" w:rsidRDefault="00A11609">
      <w:pPr>
        <w:autoSpaceDE w:val="0"/>
        <w:autoSpaceDN w:val="0"/>
        <w:adjustRightInd w:val="0"/>
        <w:spacing w:before="200"/>
        <w:rPr>
          <w:rFonts w:ascii="Cambria" w:hAnsi="Cambria"/>
        </w:rPr>
      </w:pPr>
      <w:r>
        <w:rPr>
          <w:rFonts w:ascii="Cambria" w:hAnsi="Cambria"/>
        </w:rPr>
        <w:t xml:space="preserve">Spread of these </w:t>
      </w:r>
      <w:r>
        <w:rPr>
          <w:rFonts w:ascii="Cambria" w:hAnsi="Cambria"/>
          <w:i/>
          <w:iCs/>
        </w:rPr>
        <w:t xml:space="preserve">Phytophthora </w:t>
      </w:r>
      <w:r>
        <w:rPr>
          <w:rFonts w:ascii="Cambria" w:hAnsi="Cambria"/>
        </w:rPr>
        <w:t xml:space="preserve">species via human-mediated means will be rapid and is significant through the commercial movement of infected plants for planting (Ivors </w:t>
      </w:r>
      <w:r>
        <w:rPr>
          <w:rFonts w:ascii="Cambria" w:hAnsi="Cambria"/>
          <w:iCs/>
        </w:rPr>
        <w:t>et al</w:t>
      </w:r>
      <w:r>
        <w:rPr>
          <w:rFonts w:ascii="Cambria" w:hAnsi="Cambria"/>
        </w:rPr>
        <w:t xml:space="preserve">. 2006; Grünwald </w:t>
      </w:r>
      <w:r>
        <w:rPr>
          <w:rFonts w:ascii="Cambria" w:hAnsi="Cambria"/>
          <w:iCs/>
        </w:rPr>
        <w:t>et al</w:t>
      </w:r>
      <w:r>
        <w:rPr>
          <w:rFonts w:ascii="Cambria" w:hAnsi="Cambria"/>
        </w:rPr>
        <w:t xml:space="preserve">. 2008a; Prospero </w:t>
      </w:r>
      <w:r>
        <w:rPr>
          <w:rFonts w:ascii="Cambria" w:hAnsi="Cambria"/>
          <w:iCs/>
        </w:rPr>
        <w:t>et al</w:t>
      </w:r>
      <w:r>
        <w:rPr>
          <w:rFonts w:ascii="Cambria" w:hAnsi="Cambria"/>
        </w:rPr>
        <w:t xml:space="preserve">. 2009). Possibilities of spread through other human-mediated means include soil/debris attached to footwear and on the tyres of bikes and cars (Brasier </w:t>
      </w:r>
      <w:r>
        <w:rPr>
          <w:rFonts w:ascii="Cambria" w:hAnsi="Cambria"/>
          <w:iCs/>
        </w:rPr>
        <w:t>et al</w:t>
      </w:r>
      <w:r>
        <w:rPr>
          <w:rFonts w:ascii="Cambria" w:hAnsi="Cambria"/>
        </w:rPr>
        <w:t>. 2007).</w:t>
      </w:r>
    </w:p>
    <w:p w:rsidR="00E94405" w:rsidRDefault="00A11609">
      <w:pPr>
        <w:pStyle w:val="Heading4"/>
        <w:spacing w:before="120"/>
      </w:pPr>
      <w:r>
        <w:t>Nursery stock</w:t>
      </w:r>
    </w:p>
    <w:p w:rsidR="00E94405" w:rsidRDefault="00A11609">
      <w:pPr>
        <w:autoSpaceDE w:val="0"/>
        <w:autoSpaceDN w:val="0"/>
        <w:adjustRightInd w:val="0"/>
        <w:spacing w:before="200"/>
        <w:rPr>
          <w:rFonts w:ascii="Cambria" w:hAnsi="Cambria"/>
        </w:rPr>
      </w:pPr>
      <w:r>
        <w:rPr>
          <w:rFonts w:ascii="Cambria" w:hAnsi="Cambria"/>
        </w:rPr>
        <w:t xml:space="preserve">The nursery trade is the main pathway for the worldwide introduction and spread of exotic pathogens including </w:t>
      </w:r>
      <w:r>
        <w:rPr>
          <w:rFonts w:ascii="Cambria" w:hAnsi="Cambria"/>
          <w:i/>
          <w:iCs/>
        </w:rPr>
        <w:t xml:space="preserve">P. ramorum </w:t>
      </w:r>
      <w:r>
        <w:rPr>
          <w:rFonts w:ascii="Cambria" w:hAnsi="Cambria"/>
        </w:rPr>
        <w:t xml:space="preserve">(Ivors </w:t>
      </w:r>
      <w:r>
        <w:rPr>
          <w:rFonts w:ascii="Cambria" w:hAnsi="Cambria"/>
          <w:iCs/>
        </w:rPr>
        <w:t>et al</w:t>
      </w:r>
      <w:r>
        <w:rPr>
          <w:rFonts w:ascii="Cambria" w:hAnsi="Cambria"/>
        </w:rPr>
        <w:t xml:space="preserve">. 2006; Grünwald </w:t>
      </w:r>
      <w:r>
        <w:rPr>
          <w:rFonts w:ascii="Cambria" w:hAnsi="Cambria"/>
          <w:iCs/>
        </w:rPr>
        <w:t>et al</w:t>
      </w:r>
      <w:r>
        <w:rPr>
          <w:rFonts w:ascii="Cambria" w:hAnsi="Cambria"/>
        </w:rPr>
        <w:t xml:space="preserve">. 2008a; Prospero </w:t>
      </w:r>
      <w:r>
        <w:rPr>
          <w:rFonts w:ascii="Cambria" w:hAnsi="Cambria"/>
          <w:iCs/>
        </w:rPr>
        <w:t>et al</w:t>
      </w:r>
      <w:r>
        <w:rPr>
          <w:rFonts w:ascii="Cambria" w:hAnsi="Cambria"/>
        </w:rPr>
        <w:t xml:space="preserve">. 2009). The introduction of </w:t>
      </w:r>
      <w:r>
        <w:rPr>
          <w:rFonts w:ascii="Cambria" w:hAnsi="Cambria"/>
          <w:i/>
          <w:iCs/>
        </w:rPr>
        <w:t xml:space="preserve">P. ramorum </w:t>
      </w:r>
      <w:r>
        <w:rPr>
          <w:rFonts w:ascii="Cambria" w:hAnsi="Cambria"/>
        </w:rPr>
        <w:t xml:space="preserve">into California is linked to the nursery trade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The rapid spread of </w:t>
      </w:r>
      <w:r>
        <w:rPr>
          <w:rFonts w:ascii="Cambria" w:hAnsi="Cambria"/>
          <w:i/>
          <w:iCs/>
        </w:rPr>
        <w:t xml:space="preserve">P. ramorum </w:t>
      </w:r>
      <w:r>
        <w:rPr>
          <w:rFonts w:ascii="Cambria" w:hAnsi="Cambria"/>
        </w:rPr>
        <w:t>within Europe and the USA through the trade of infected host plants is confirmed by the expansion of the geographical distribution of the pathogen.</w:t>
      </w:r>
    </w:p>
    <w:p w:rsidR="00E94405" w:rsidRDefault="00A11609">
      <w:pPr>
        <w:pStyle w:val="ListBullet"/>
        <w:tabs>
          <w:tab w:val="clear" w:pos="360"/>
          <w:tab w:val="num" w:pos="284"/>
        </w:tabs>
        <w:ind w:left="284" w:hanging="284"/>
        <w:rPr>
          <w:rFonts w:ascii="Cambria" w:hAnsi="Cambria"/>
        </w:rPr>
      </w:pPr>
      <w:r>
        <w:rPr>
          <w:rFonts w:ascii="Cambria" w:hAnsi="Cambria"/>
        </w:rPr>
        <w:t xml:space="preserve">Plant trade has introduced </w:t>
      </w:r>
      <w:r>
        <w:rPr>
          <w:rFonts w:ascii="Cambria" w:hAnsi="Cambria"/>
          <w:i/>
          <w:iCs/>
        </w:rPr>
        <w:t xml:space="preserve">P. ramorum </w:t>
      </w:r>
      <w:r>
        <w:rPr>
          <w:rFonts w:ascii="Cambria" w:hAnsi="Cambria"/>
        </w:rPr>
        <w:t xml:space="preserve">and new genotypes of this pathogen into North America and Europe (Goss </w:t>
      </w:r>
      <w:r>
        <w:rPr>
          <w:rFonts w:ascii="Cambria" w:hAnsi="Cambria"/>
          <w:iCs/>
        </w:rPr>
        <w:t>et al</w:t>
      </w:r>
      <w:r>
        <w:rPr>
          <w:rFonts w:ascii="Cambria" w:hAnsi="Cambria"/>
        </w:rPr>
        <w:t xml:space="preserve">. 2011). The increased trade of plants among and within countries has provided new opportunities for plant pathogens to be moved to new areas or countries (Dehnen-Schmutz </w:t>
      </w:r>
      <w:r>
        <w:rPr>
          <w:rFonts w:ascii="Cambria" w:hAnsi="Cambria"/>
          <w:iCs/>
        </w:rPr>
        <w:t>et al</w:t>
      </w:r>
      <w:r>
        <w:rPr>
          <w:rFonts w:ascii="Cambria" w:hAnsi="Cambria"/>
        </w:rPr>
        <w:t xml:space="preserve">. 2010; Webber 2010; Wingfield </w:t>
      </w:r>
      <w:r>
        <w:rPr>
          <w:rFonts w:ascii="Cambria" w:hAnsi="Cambria"/>
          <w:iCs/>
        </w:rPr>
        <w:t>et al</w:t>
      </w:r>
      <w:r>
        <w:rPr>
          <w:rFonts w:ascii="Cambria" w:hAnsi="Cambria"/>
        </w:rPr>
        <w:t xml:space="preserve">. 2010; Stenlid </w:t>
      </w:r>
      <w:r>
        <w:rPr>
          <w:rFonts w:ascii="Cambria" w:hAnsi="Cambria"/>
          <w:iCs/>
        </w:rPr>
        <w:t>et al</w:t>
      </w:r>
      <w:r>
        <w:rPr>
          <w:rFonts w:ascii="Cambria" w:hAnsi="Cambria"/>
        </w:rPr>
        <w:t>. 2011).</w:t>
      </w:r>
      <w:r>
        <w:rPr>
          <w:rFonts w:ascii="Cambria" w:hAnsi="Cambria"/>
          <w:shd w:val="clear" w:color="auto" w:fill="FFFFFF"/>
        </w:rPr>
        <w:t xml:space="preserve"> In Europe, </w:t>
      </w:r>
      <w:r>
        <w:rPr>
          <w:rFonts w:ascii="Cambria" w:hAnsi="Cambria"/>
          <w:i/>
          <w:iCs/>
          <w:shd w:val="clear" w:color="auto" w:fill="FFFFFF"/>
        </w:rPr>
        <w:t xml:space="preserve">P. ramorum </w:t>
      </w:r>
      <w:r>
        <w:rPr>
          <w:rFonts w:ascii="Cambria" w:hAnsi="Cambria"/>
          <w:shd w:val="clear" w:color="auto" w:fill="FFFFFF"/>
        </w:rPr>
        <w:t xml:space="preserve">has spread to many countries, primarily on nursery plants of </w:t>
      </w:r>
      <w:r>
        <w:rPr>
          <w:rFonts w:ascii="Cambria" w:hAnsi="Cambria"/>
          <w:i/>
          <w:iCs/>
          <w:shd w:val="clear" w:color="auto" w:fill="FFFFFF"/>
        </w:rPr>
        <w:t>Rhododendron</w:t>
      </w:r>
      <w:r>
        <w:rPr>
          <w:rStyle w:val="apple-converted-space"/>
          <w:rFonts w:ascii="Cambria" w:hAnsi="Cambria"/>
          <w:shd w:val="clear" w:color="auto" w:fill="FFFFFF"/>
        </w:rPr>
        <w:t xml:space="preserve"> </w:t>
      </w:r>
      <w:r>
        <w:rPr>
          <w:rFonts w:ascii="Cambria" w:hAnsi="Cambria"/>
          <w:shd w:val="clear" w:color="auto" w:fill="FFFFFF"/>
        </w:rPr>
        <w:t xml:space="preserve">and </w:t>
      </w:r>
      <w:r>
        <w:rPr>
          <w:rFonts w:ascii="Cambria" w:hAnsi="Cambria"/>
          <w:i/>
          <w:iCs/>
          <w:shd w:val="clear" w:color="auto" w:fill="FFFFFF"/>
        </w:rPr>
        <w:t xml:space="preserve">Viburnum </w:t>
      </w:r>
      <w:r>
        <w:rPr>
          <w:rFonts w:ascii="Cambria" w:hAnsi="Cambria"/>
          <w:shd w:val="clear" w:color="auto" w:fill="FFFFFF"/>
        </w:rPr>
        <w:t xml:space="preserve">species and recently on </w:t>
      </w:r>
      <w:r>
        <w:rPr>
          <w:rFonts w:ascii="Cambria" w:hAnsi="Cambria"/>
          <w:i/>
          <w:iCs/>
          <w:shd w:val="clear" w:color="auto" w:fill="FFFFFF"/>
        </w:rPr>
        <w:t xml:space="preserve">Camellia japonica, Kalmia latifolia, Leucothoe </w:t>
      </w:r>
      <w:r>
        <w:rPr>
          <w:rFonts w:ascii="Cambria" w:hAnsi="Cambria"/>
          <w:shd w:val="clear" w:color="auto" w:fill="FFFFFF"/>
        </w:rPr>
        <w:t xml:space="preserve">species, </w:t>
      </w:r>
      <w:r>
        <w:rPr>
          <w:rFonts w:ascii="Cambria" w:hAnsi="Cambria"/>
          <w:i/>
          <w:iCs/>
          <w:shd w:val="clear" w:color="auto" w:fill="FFFFFF"/>
        </w:rPr>
        <w:t xml:space="preserve">Pieris formosa </w:t>
      </w:r>
      <w:r>
        <w:rPr>
          <w:rFonts w:ascii="Cambria" w:hAnsi="Cambria"/>
          <w:shd w:val="clear" w:color="auto" w:fill="FFFFFF"/>
        </w:rPr>
        <w:t xml:space="preserve">var. </w:t>
      </w:r>
      <w:r>
        <w:rPr>
          <w:rFonts w:ascii="Cambria" w:hAnsi="Cambria"/>
          <w:i/>
          <w:iCs/>
          <w:shd w:val="clear" w:color="auto" w:fill="FFFFFF"/>
        </w:rPr>
        <w:t xml:space="preserve">forrestii, Pieris japonica, Syringa vulgaris, Taxus baccata </w:t>
      </w:r>
      <w:r>
        <w:rPr>
          <w:rFonts w:ascii="Cambria" w:hAnsi="Cambria"/>
          <w:iCs/>
          <w:shd w:val="clear" w:color="auto" w:fill="FFFFFF"/>
        </w:rPr>
        <w:t>and</w:t>
      </w:r>
      <w:r>
        <w:rPr>
          <w:rFonts w:ascii="Cambria" w:hAnsi="Cambria"/>
          <w:i/>
          <w:iCs/>
          <w:shd w:val="clear" w:color="auto" w:fill="FFFFFF"/>
        </w:rPr>
        <w:t xml:space="preserve"> Viburnum bodnantense </w:t>
      </w:r>
      <w:r>
        <w:rPr>
          <w:rFonts w:ascii="Cambria" w:hAnsi="Cambria"/>
          <w:shd w:val="clear" w:color="auto" w:fill="FFFFFF"/>
        </w:rPr>
        <w:t xml:space="preserve">(Werres &amp; De Merlier 2003; Husson </w:t>
      </w:r>
      <w:r>
        <w:rPr>
          <w:rFonts w:ascii="Cambria" w:hAnsi="Cambria"/>
          <w:iCs/>
          <w:shd w:val="clear" w:color="auto" w:fill="FFFFFF"/>
        </w:rPr>
        <w:t>et al</w:t>
      </w:r>
      <w:r>
        <w:rPr>
          <w:rFonts w:ascii="Cambria" w:hAnsi="Cambria"/>
          <w:shd w:val="clear" w:color="auto" w:fill="FFFFFF"/>
        </w:rPr>
        <w:t>. 2007)</w:t>
      </w:r>
      <w:r>
        <w:rPr>
          <w:rFonts w:ascii="Cambria" w:hAnsi="Cambria"/>
          <w:i/>
          <w:iCs/>
          <w:shd w:val="clear" w:color="auto" w:fill="FFFFFF"/>
        </w:rPr>
        <w:t>.</w:t>
      </w:r>
    </w:p>
    <w:p w:rsidR="00E94405" w:rsidRDefault="00A11609">
      <w:pPr>
        <w:pStyle w:val="ListBullet"/>
        <w:tabs>
          <w:tab w:val="clear" w:pos="360"/>
          <w:tab w:val="num" w:pos="284"/>
        </w:tabs>
        <w:ind w:left="284" w:hanging="284"/>
        <w:rPr>
          <w:rFonts w:ascii="Cambria" w:hAnsi="Cambria"/>
        </w:rPr>
      </w:pPr>
      <w:r>
        <w:rPr>
          <w:rFonts w:ascii="Cambria" w:hAnsi="Cambria"/>
          <w:i/>
          <w:iCs/>
          <w:spacing w:val="7"/>
        </w:rPr>
        <w:t>P</w:t>
      </w:r>
      <w:r>
        <w:rPr>
          <w:rFonts w:ascii="Cambria" w:hAnsi="Cambria"/>
          <w:i/>
          <w:iCs/>
        </w:rPr>
        <w:t>hytophthora</w:t>
      </w:r>
      <w:r>
        <w:rPr>
          <w:rFonts w:ascii="Cambria" w:hAnsi="Cambria"/>
          <w:i/>
          <w:iCs/>
          <w:spacing w:val="7"/>
        </w:rPr>
        <w:t xml:space="preserve"> ramorum </w:t>
      </w:r>
      <w:r>
        <w:rPr>
          <w:rFonts w:ascii="Cambria" w:hAnsi="Cambria"/>
        </w:rPr>
        <w:t xml:space="preserve">was introduced from one infected </w:t>
      </w:r>
      <w:r>
        <w:rPr>
          <w:rFonts w:ascii="Cambria" w:hAnsi="Cambria"/>
          <w:i/>
          <w:iCs/>
        </w:rPr>
        <w:t>Camellia</w:t>
      </w:r>
      <w:r>
        <w:rPr>
          <w:rFonts w:ascii="Cambria" w:hAnsi="Cambria"/>
        </w:rPr>
        <w:t xml:space="preserve"> nursery to several states in the USA (Cave </w:t>
      </w:r>
      <w:r>
        <w:rPr>
          <w:rFonts w:ascii="Cambria" w:hAnsi="Cambria"/>
          <w:iCs/>
        </w:rPr>
        <w:t>et al</w:t>
      </w:r>
      <w:r>
        <w:rPr>
          <w:rFonts w:ascii="Cambria" w:hAnsi="Cambria"/>
        </w:rPr>
        <w:t>. 2008) indicating that the movement of nursery plants is the main pathway for the introduction of this pathogen into new areas (Alexander 2012).</w:t>
      </w:r>
    </w:p>
    <w:p w:rsidR="00E94405" w:rsidRDefault="00A11609">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has been introduced with </w:t>
      </w:r>
      <w:r>
        <w:rPr>
          <w:rFonts w:ascii="Cambria" w:hAnsi="Cambria"/>
          <w:i/>
          <w:iCs/>
        </w:rPr>
        <w:t xml:space="preserve">Rhododendron </w:t>
      </w:r>
      <w:r>
        <w:rPr>
          <w:rFonts w:ascii="Cambria" w:hAnsi="Cambria"/>
        </w:rPr>
        <w:t xml:space="preserve">shipments from Germany and the Netherlands into Norway (Sundheim </w:t>
      </w:r>
      <w:r>
        <w:rPr>
          <w:rFonts w:ascii="Cambria" w:hAnsi="Cambria"/>
          <w:iCs/>
        </w:rPr>
        <w:t>et al</w:t>
      </w:r>
      <w:r>
        <w:rPr>
          <w:rFonts w:ascii="Cambria" w:hAnsi="Cambria"/>
        </w:rPr>
        <w:t xml:space="preserve">. 2009); and from Belgium into Greece (Tsopelas </w:t>
      </w:r>
      <w:r>
        <w:rPr>
          <w:rFonts w:ascii="Cambria" w:hAnsi="Cambria"/>
          <w:iCs/>
        </w:rPr>
        <w:t>et al</w:t>
      </w:r>
      <w:r>
        <w:rPr>
          <w:rFonts w:ascii="Cambria" w:hAnsi="Cambria"/>
        </w:rPr>
        <w:t>. 2011)</w:t>
      </w:r>
      <w:r>
        <w:rPr>
          <w:rFonts w:ascii="Cambria" w:hAnsi="Cambria"/>
          <w:i/>
        </w:rPr>
        <w:t>. Phytophthora</w:t>
      </w:r>
      <w:r>
        <w:rPr>
          <w:rFonts w:ascii="Cambria" w:hAnsi="Cambria"/>
          <w:i/>
          <w:iCs/>
        </w:rPr>
        <w:t xml:space="preserve"> ramorum </w:t>
      </w:r>
      <w:r>
        <w:rPr>
          <w:rFonts w:ascii="Cambria" w:hAnsi="Cambria"/>
        </w:rPr>
        <w:t>was detected on plant material from the USA in 2003 and from Canada in 2004 (Frankel 2008; Wong 2008).</w:t>
      </w:r>
    </w:p>
    <w:p w:rsidR="00E94405" w:rsidRDefault="00A11609">
      <w:pPr>
        <w:pStyle w:val="Heading4"/>
        <w:spacing w:before="120"/>
      </w:pPr>
      <w:r>
        <w:t>Recreation and tourism</w:t>
      </w:r>
    </w:p>
    <w:p w:rsidR="00E94405" w:rsidRDefault="00A11609">
      <w:pPr>
        <w:spacing w:before="200"/>
        <w:rPr>
          <w:rFonts w:ascii="Cambria" w:hAnsi="Cambria"/>
        </w:rPr>
      </w:pPr>
      <w:r>
        <w:rPr>
          <w:rFonts w:ascii="Cambria" w:hAnsi="Cambria"/>
        </w:rPr>
        <w:t xml:space="preserve">Spores of </w:t>
      </w:r>
      <w:r>
        <w:rPr>
          <w:rFonts w:ascii="Cambria" w:hAnsi="Cambria"/>
          <w:i/>
          <w:iCs/>
        </w:rPr>
        <w:t>P. ramorum</w:t>
      </w:r>
      <w:r>
        <w:rPr>
          <w:rFonts w:ascii="Cambria" w:hAnsi="Cambria"/>
        </w:rPr>
        <w:t xml:space="preserve"> and </w:t>
      </w:r>
      <w:r>
        <w:rPr>
          <w:rFonts w:ascii="Cambria" w:hAnsi="Cambria"/>
          <w:i/>
          <w:iCs/>
        </w:rPr>
        <w:t xml:space="preserve">P. kernoviae </w:t>
      </w:r>
      <w:r>
        <w:rPr>
          <w:rFonts w:ascii="Cambria" w:hAnsi="Cambria"/>
        </w:rPr>
        <w:t xml:space="preserve">have been detected in soil adhering to the shoes of hikers and on the tyres of mountain bikes and vehicles leaving infested woodlands in California (Brasier </w:t>
      </w:r>
      <w:r>
        <w:rPr>
          <w:rFonts w:ascii="Cambria" w:hAnsi="Cambria"/>
          <w:iCs/>
        </w:rPr>
        <w:t>et al</w:t>
      </w:r>
      <w:r>
        <w:rPr>
          <w:rFonts w:ascii="Cambria" w:hAnsi="Cambria"/>
        </w:rPr>
        <w:t xml:space="preserve">. 2005; 2007; Shishkoff 2007) and the UK (Webber &amp; Rose 2007). </w:t>
      </w:r>
      <w:r>
        <w:rPr>
          <w:rFonts w:ascii="Cambria" w:hAnsi="Cambria"/>
          <w:i/>
          <w:iCs/>
        </w:rPr>
        <w:t>Phytophthora ramorum</w:t>
      </w:r>
      <w:r>
        <w:rPr>
          <w:rFonts w:ascii="Cambria" w:hAnsi="Cambria"/>
        </w:rPr>
        <w:t xml:space="preserve"> can survive 8–11 months in the soil (Shishkoff 2007) and subsequent tourists carrying soil on their footwear may spread these pathogens internationally. </w:t>
      </w:r>
      <w:r>
        <w:rPr>
          <w:rFonts w:ascii="Cambria" w:hAnsi="Cambria"/>
          <w:i/>
          <w:iCs/>
        </w:rPr>
        <w:t>Phytophthora ramorum</w:t>
      </w:r>
      <w:r>
        <w:rPr>
          <w:rFonts w:ascii="Cambria" w:hAnsi="Cambria"/>
        </w:rPr>
        <w:t xml:space="preserve"> can also be spread by animal vectors; snails, shore fly larvae and fungus gnat larvae are known carriers of fungal propagules including chlamydospores and sporangia (Hyder </w:t>
      </w:r>
      <w:r>
        <w:rPr>
          <w:rFonts w:ascii="Cambria" w:hAnsi="Cambria"/>
          <w:iCs/>
        </w:rPr>
        <w:t>et al</w:t>
      </w:r>
      <w:r>
        <w:rPr>
          <w:rFonts w:ascii="Cambria" w:hAnsi="Cambria"/>
        </w:rPr>
        <w:t>. 2009).</w:t>
      </w:r>
    </w:p>
    <w:p w:rsidR="00E94405" w:rsidRDefault="00A11609">
      <w:pPr>
        <w:pStyle w:val="Heading4"/>
        <w:spacing w:before="120"/>
      </w:pPr>
      <w:r>
        <w:t>Soil/growing media</w:t>
      </w:r>
    </w:p>
    <w:p w:rsidR="00E94405" w:rsidRDefault="00A11609">
      <w:pPr>
        <w:spacing w:before="200"/>
        <w:rPr>
          <w:rFonts w:ascii="Cambria" w:hAnsi="Cambria"/>
        </w:rPr>
      </w:pPr>
      <w:r>
        <w:rPr>
          <w:rFonts w:ascii="Cambria" w:hAnsi="Cambria"/>
          <w:i/>
          <w:iCs/>
        </w:rPr>
        <w:t>Phytophthora ramorum</w:t>
      </w:r>
      <w:r>
        <w:rPr>
          <w:rFonts w:ascii="Cambria" w:hAnsi="Cambria"/>
          <w:iCs/>
        </w:rPr>
        <w:t xml:space="preserve"> can </w:t>
      </w:r>
      <w:r>
        <w:rPr>
          <w:rFonts w:ascii="Cambria" w:hAnsi="Cambria"/>
        </w:rPr>
        <w:t>survive for significant periods of time in soil (8–11 months) and growing media (&gt; 12 months) (Shishkoff 2007; Linderman &amp; Davis 2006a). Soil and growing media represent potential direct pathways if imported from areas where the pathogen occurs and if it is used for the planting of host plants (Parke &amp; Lewis 2007).</w:t>
      </w:r>
    </w:p>
    <w:p w:rsidR="00E94405" w:rsidRDefault="00E94405">
      <w:pPr>
        <w:pStyle w:val="Heading1Numbered"/>
        <w:spacing w:before="200" w:after="200"/>
        <w:rPr>
          <w:sz w:val="22"/>
          <w:szCs w:val="22"/>
        </w:rPr>
        <w:sectPr w:rsidR="00E94405">
          <w:headerReference w:type="default" r:id="rId34"/>
          <w:pgSz w:w="11906" w:h="16838"/>
          <w:pgMar w:top="1418" w:right="1418" w:bottom="1418" w:left="1418" w:header="567" w:footer="283" w:gutter="0"/>
          <w:cols w:space="708"/>
          <w:docGrid w:linePitch="360"/>
        </w:sectPr>
      </w:pPr>
    </w:p>
    <w:p w:rsidR="00E94405" w:rsidRDefault="00A11609">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108" w:name="_Toc414019450"/>
      <w:r>
        <w:rPr>
          <w:rFonts w:eastAsiaTheme="majorEastAsia" w:cstheme="majorBidi"/>
          <w:b/>
          <w:color w:val="D52B1E"/>
          <w:sz w:val="34"/>
        </w:rPr>
        <w:lastRenderedPageBreak/>
        <w:t xml:space="preserve">Pest risk assessment for </w:t>
      </w:r>
      <w:r>
        <w:rPr>
          <w:rFonts w:eastAsiaTheme="majorEastAsia" w:cstheme="majorBidi"/>
          <w:b/>
          <w:i/>
          <w:color w:val="D52B1E"/>
          <w:sz w:val="34"/>
        </w:rPr>
        <w:t>Phytophthora</w:t>
      </w:r>
      <w:r>
        <w:rPr>
          <w:rFonts w:eastAsiaTheme="majorEastAsia" w:cstheme="majorBidi"/>
          <w:b/>
          <w:color w:val="D52B1E"/>
          <w:sz w:val="34"/>
        </w:rPr>
        <w:t xml:space="preserve"> species</w:t>
      </w:r>
      <w:bookmarkEnd w:id="108"/>
    </w:p>
    <w:p w:rsidR="00E94405" w:rsidRDefault="00A11609">
      <w:pPr>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are newly described species, detected during an intensive survey on Sudden oak death (SOD) and </w:t>
      </w:r>
      <w:r>
        <w:rPr>
          <w:rFonts w:ascii="Cambria" w:hAnsi="Cambria"/>
          <w:i/>
          <w:iCs/>
        </w:rPr>
        <w:t xml:space="preserve">P. ramorum </w:t>
      </w:r>
      <w:r>
        <w:rPr>
          <w:rFonts w:ascii="Cambria" w:hAnsi="Cambria"/>
        </w:rPr>
        <w:t xml:space="preserve">in California and Oregon (Hansen </w:t>
      </w:r>
      <w:r>
        <w:rPr>
          <w:rFonts w:ascii="Cambria" w:hAnsi="Cambria"/>
          <w:iCs/>
        </w:rPr>
        <w:t>et al.</w:t>
      </w:r>
      <w:r>
        <w:rPr>
          <w:rFonts w:ascii="Cambria" w:hAnsi="Cambria"/>
          <w:i/>
          <w:iCs/>
        </w:rPr>
        <w:t xml:space="preserve"> </w:t>
      </w:r>
      <w:r>
        <w:rPr>
          <w:rFonts w:ascii="Cambria" w:hAnsi="Cambria"/>
        </w:rPr>
        <w:t xml:space="preserve">2003a). A similar survey in the UK found </w:t>
      </w:r>
      <w:r>
        <w:rPr>
          <w:rFonts w:ascii="Cambria" w:hAnsi="Cambria"/>
          <w:i/>
          <w:iCs/>
        </w:rPr>
        <w:t>P. kernoviae</w:t>
      </w:r>
      <w:r>
        <w:rPr>
          <w:rFonts w:ascii="Cambria" w:hAnsi="Cambria"/>
        </w:rPr>
        <w:t xml:space="preserve">, which was isolated most frequently from </w:t>
      </w:r>
      <w:r>
        <w:rPr>
          <w:rFonts w:ascii="Cambria" w:hAnsi="Cambria"/>
          <w:i/>
          <w:iCs/>
        </w:rPr>
        <w:t>Fagus sylvatica</w:t>
      </w:r>
      <w:r>
        <w:rPr>
          <w:rFonts w:ascii="Cambria" w:hAnsi="Cambria"/>
        </w:rPr>
        <w:t xml:space="preserve">, but also from necrotic lesions of </w:t>
      </w:r>
      <w:r>
        <w:rPr>
          <w:rFonts w:ascii="Cambria" w:hAnsi="Cambria"/>
          <w:i/>
          <w:iCs/>
        </w:rPr>
        <w:t xml:space="preserve">Quercus robur </w:t>
      </w:r>
      <w:r>
        <w:rPr>
          <w:rFonts w:ascii="Cambria" w:hAnsi="Cambria"/>
        </w:rPr>
        <w:t xml:space="preserve">and </w:t>
      </w:r>
      <w:r>
        <w:rPr>
          <w:rFonts w:ascii="Cambria" w:hAnsi="Cambria"/>
          <w:i/>
          <w:iCs/>
        </w:rPr>
        <w:t xml:space="preserve">Liriodendron tulipifera </w:t>
      </w:r>
      <w:r>
        <w:rPr>
          <w:rFonts w:ascii="Cambria" w:hAnsi="Cambria"/>
        </w:rPr>
        <w:t xml:space="preserve">(Brasier </w:t>
      </w:r>
      <w:r>
        <w:rPr>
          <w:rFonts w:ascii="Cambria" w:hAnsi="Cambria"/>
          <w:iCs/>
        </w:rPr>
        <w:t>et al.</w:t>
      </w:r>
      <w:r>
        <w:rPr>
          <w:rFonts w:ascii="Cambria" w:hAnsi="Cambria"/>
          <w:i/>
          <w:iCs/>
        </w:rPr>
        <w:t xml:space="preserve"> </w:t>
      </w:r>
      <w:r>
        <w:rPr>
          <w:rFonts w:ascii="Cambria" w:hAnsi="Cambria"/>
        </w:rPr>
        <w:t xml:space="preserve">2005). These newly identified </w:t>
      </w:r>
      <w:r>
        <w:rPr>
          <w:rFonts w:ascii="Cambria" w:hAnsi="Cambria"/>
          <w:i/>
          <w:iCs/>
        </w:rPr>
        <w:t xml:space="preserve">Phytophthora </w:t>
      </w:r>
      <w:r>
        <w:rPr>
          <w:rFonts w:ascii="Cambria" w:hAnsi="Cambria"/>
        </w:rPr>
        <w:t xml:space="preserve">species share commonality with </w:t>
      </w:r>
      <w:r>
        <w:rPr>
          <w:rFonts w:ascii="Cambria" w:hAnsi="Cambria"/>
          <w:i/>
          <w:iCs/>
        </w:rPr>
        <w:t xml:space="preserve">P. ramorum </w:t>
      </w:r>
      <w:r>
        <w:rPr>
          <w:rFonts w:ascii="Cambria" w:hAnsi="Cambria"/>
        </w:rPr>
        <w:t xml:space="preserve">in several biological aspects, including the production of deciduous sporangia adapted for aerial dispersal, similar host ranges, and occur in generally the same geographic region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therefore, this PRA covers all of these pathogens. </w:t>
      </w:r>
    </w:p>
    <w:p w:rsidR="00E94405" w:rsidRDefault="00A11609">
      <w:pPr>
        <w:spacing w:before="200"/>
        <w:rPr>
          <w:rFonts w:ascii="Cambria" w:hAnsi="Cambria"/>
        </w:rPr>
      </w:pPr>
      <w:r>
        <w:rPr>
          <w:rFonts w:ascii="Cambria" w:hAnsi="Cambria"/>
          <w:i/>
          <w:iCs/>
        </w:rPr>
        <w:t xml:space="preserve">Phytophthora </w:t>
      </w:r>
      <w:r>
        <w:rPr>
          <w:rFonts w:ascii="Cambria" w:hAnsi="Cambria"/>
        </w:rPr>
        <w:t xml:space="preserve">species are considered the most destructive pathogens of oak and non-oak plants as they cause a variety of direct and indirect economic impacts, such as reduced yield, reduced commodity value, and the loss of foreign or domestic markets (Rizzo </w:t>
      </w:r>
      <w:r>
        <w:rPr>
          <w:rFonts w:ascii="Cambria" w:hAnsi="Cambria"/>
          <w:iCs/>
        </w:rPr>
        <w:t>et al</w:t>
      </w:r>
      <w:r>
        <w:rPr>
          <w:rFonts w:ascii="Cambria" w:hAnsi="Cambria"/>
        </w:rPr>
        <w:t xml:space="preserve">. 2002b; Dart &amp; Chastagner 2007; Grünwald et al. 2008c). The assessed </w:t>
      </w:r>
      <w:r>
        <w:rPr>
          <w:rFonts w:ascii="Cambria" w:hAnsi="Cambria"/>
          <w:i/>
          <w:iCs/>
        </w:rPr>
        <w:t xml:space="preserve">Phytophthora </w:t>
      </w:r>
      <w:r>
        <w:rPr>
          <w:rFonts w:ascii="Cambria" w:hAnsi="Cambria"/>
        </w:rPr>
        <w:t>species (</w:t>
      </w:r>
      <w:r>
        <w:rPr>
          <w:rFonts w:ascii="Cambria" w:hAnsi="Cambria"/>
          <w:i/>
          <w:iCs/>
        </w:rPr>
        <w:t>P. ramorum,</w:t>
      </w:r>
      <w:r>
        <w:rPr>
          <w:rFonts w:ascii="Cambria" w:hAnsi="Cambria"/>
        </w:rPr>
        <w:t xml:space="preserve">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 xml:space="preserve">and </w:t>
      </w:r>
      <w:r>
        <w:rPr>
          <w:rFonts w:ascii="Cambria" w:hAnsi="Cambria"/>
          <w:i/>
          <w:iCs/>
        </w:rPr>
        <w:t>P. pseudosyringae</w:t>
      </w:r>
      <w:r>
        <w:rPr>
          <w:rFonts w:ascii="Cambria" w:hAnsi="Cambria"/>
          <w:iCs/>
        </w:rPr>
        <w:t>)</w:t>
      </w:r>
      <w:r>
        <w:rPr>
          <w:rFonts w:ascii="Cambria" w:hAnsi="Cambria"/>
          <w:i/>
          <w:iCs/>
        </w:rPr>
        <w:t xml:space="preserve"> </w:t>
      </w:r>
      <w:r>
        <w:rPr>
          <w:rFonts w:ascii="Cambria" w:hAnsi="Cambria"/>
        </w:rPr>
        <w:t xml:space="preserve">fulfil the International Plant Protection Convention (IPPC) criteria for a quarantine pest and are not present in Australia. In this PRA, nursery stock, including ornamental plants and propagative material (dormant hardwood cuttings, budwood and bare-rooted plants), are assessed as potential pathways for the importation of </w:t>
      </w:r>
      <w:r>
        <w:rPr>
          <w:rFonts w:ascii="Cambria" w:hAnsi="Cambria"/>
          <w:i/>
          <w:iCs/>
        </w:rPr>
        <w:t xml:space="preserve">Phytophthora </w:t>
      </w:r>
      <w:r>
        <w:rPr>
          <w:rFonts w:ascii="Cambria" w:hAnsi="Cambria"/>
        </w:rPr>
        <w:t xml:space="preserve">species into Australia; however, the risk assessment of these pathways are conducted together as the risk is deemed to be equivalent. </w:t>
      </w:r>
    </w:p>
    <w:p w:rsidR="00E94405" w:rsidRDefault="00A11609">
      <w:pPr>
        <w:pStyle w:val="Heading2"/>
        <w:numPr>
          <w:ilvl w:val="1"/>
          <w:numId w:val="21"/>
        </w:numPr>
        <w:tabs>
          <w:tab w:val="clear" w:pos="576"/>
        </w:tabs>
        <w:spacing w:before="200" w:after="120"/>
        <w:ind w:left="709" w:hanging="709"/>
        <w:rPr>
          <w:rFonts w:eastAsiaTheme="majorEastAsia" w:cstheme="majorBidi"/>
          <w:i/>
          <w:color w:val="773141"/>
          <w:sz w:val="28"/>
        </w:rPr>
      </w:pPr>
      <w:bookmarkStart w:id="109" w:name="_GoBack"/>
      <w:bookmarkStart w:id="110" w:name="_Toc414019451"/>
      <w:bookmarkEnd w:id="109"/>
      <w:r>
        <w:rPr>
          <w:rFonts w:eastAsiaTheme="majorEastAsia" w:cstheme="majorBidi"/>
          <w:i/>
          <w:color w:val="773141"/>
          <w:sz w:val="28"/>
        </w:rPr>
        <w:t xml:space="preserve">Phytophthora ramorum, P. kernoviae, P. nemorosa </w:t>
      </w:r>
      <w:r>
        <w:rPr>
          <w:rFonts w:eastAsiaTheme="majorEastAsia" w:cstheme="majorBidi"/>
          <w:color w:val="773141"/>
          <w:sz w:val="28"/>
        </w:rPr>
        <w:t xml:space="preserve">and </w:t>
      </w:r>
      <w:r>
        <w:rPr>
          <w:rFonts w:eastAsiaTheme="majorEastAsia" w:cstheme="majorBidi"/>
          <w:i/>
          <w:color w:val="773141"/>
          <w:sz w:val="28"/>
        </w:rPr>
        <w:t>P. pseudosyringae</w:t>
      </w:r>
      <w:bookmarkEnd w:id="110"/>
    </w:p>
    <w:p w:rsidR="00E94405" w:rsidRDefault="00A11609">
      <w:pPr>
        <w:spacing w:before="200"/>
        <w:rPr>
          <w:rFonts w:eastAsiaTheme="majorEastAsia"/>
        </w:rPr>
      </w:pPr>
      <w:r>
        <w:rPr>
          <w:rFonts w:ascii="Cambria" w:hAnsi="Cambria"/>
          <w:i/>
          <w:iCs/>
        </w:rPr>
        <w:t>Phytophthora</w:t>
      </w:r>
      <w:r>
        <w:rPr>
          <w:rFonts w:ascii="Cambria" w:hAnsi="Cambria"/>
        </w:rPr>
        <w:t xml:space="preserve"> </w:t>
      </w:r>
      <w:r>
        <w:rPr>
          <w:rFonts w:ascii="Cambria" w:hAnsi="Cambria"/>
          <w:i/>
          <w:iCs/>
        </w:rPr>
        <w:t>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w:t>
      </w:r>
      <w:r>
        <w:rPr>
          <w:rFonts w:ascii="Cambria" w:hAnsi="Cambria"/>
          <w:iCs/>
        </w:rPr>
        <w:t xml:space="preserve">and </w:t>
      </w:r>
      <w:r>
        <w:rPr>
          <w:rFonts w:ascii="Cambria" w:hAnsi="Cambria"/>
          <w:i/>
          <w:iCs/>
        </w:rPr>
        <w:t>P. pseudosyringae</w:t>
      </w:r>
      <w:r>
        <w:rPr>
          <w:rFonts w:ascii="Cambria" w:hAnsi="Cambria"/>
        </w:rPr>
        <w:t xml:space="preserve"> share several biological attributes (biology, host range, symptoms) with </w:t>
      </w:r>
      <w:r>
        <w:rPr>
          <w:rFonts w:ascii="Cambria" w:hAnsi="Cambria"/>
          <w:i/>
        </w:rPr>
        <w:t>P. ramorum</w:t>
      </w:r>
      <w:r>
        <w:rPr>
          <w:rFonts w:ascii="Cambria" w:hAnsi="Cambria"/>
        </w:rPr>
        <w:t xml:space="preserve">. Therefore, the knowledge of ecology and biology of </w:t>
      </w:r>
      <w:r>
        <w:rPr>
          <w:rFonts w:ascii="Cambria" w:hAnsi="Cambria"/>
          <w:i/>
        </w:rPr>
        <w:t xml:space="preserve">P. ramorum </w:t>
      </w:r>
      <w:r>
        <w:rPr>
          <w:rFonts w:ascii="Cambria" w:hAnsi="Cambria"/>
        </w:rPr>
        <w:t xml:space="preserve">can reasonably be extended to the other species within this group. Consequently, for the purposes of this risk assessment, the biological information of </w:t>
      </w:r>
      <w:r>
        <w:rPr>
          <w:rFonts w:ascii="Cambria" w:hAnsi="Cambria"/>
          <w:i/>
          <w:iCs/>
        </w:rPr>
        <w:t>Phytophthora ramorum</w:t>
      </w:r>
      <w:r>
        <w:rPr>
          <w:rFonts w:ascii="Cambria" w:hAnsi="Cambria"/>
        </w:rPr>
        <w:t xml:space="preserve"> will be used to apply for all four species.</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Likelihood of entry</w:t>
      </w:r>
    </w:p>
    <w:p w:rsidR="00E94405" w:rsidRDefault="00A11609">
      <w:pPr>
        <w:spacing w:before="200"/>
        <w:rPr>
          <w:rFonts w:ascii="Cambria" w:hAnsi="Cambria"/>
        </w:rPr>
      </w:pPr>
      <w:r>
        <w:rPr>
          <w:rFonts w:ascii="Cambria" w:hAnsi="Cambria"/>
        </w:rPr>
        <w:t xml:space="preserve">The likelihood of entry is divided for assessment purposes into the likelihood of importation (the likelihood that the </w:t>
      </w:r>
      <w:r>
        <w:rPr>
          <w:rFonts w:ascii="Cambria" w:hAnsi="Cambria"/>
          <w:i/>
        </w:rPr>
        <w:t xml:space="preserve">Phytophthora </w:t>
      </w:r>
      <w:r>
        <w:rPr>
          <w:rFonts w:ascii="Cambria" w:hAnsi="Cambria"/>
        </w:rPr>
        <w:t xml:space="preserve">species will arrive when host propagative material is imported) and likelihood of distribution (the likelihood that the </w:t>
      </w:r>
      <w:r>
        <w:rPr>
          <w:rFonts w:ascii="Cambria" w:hAnsi="Cambria"/>
          <w:i/>
        </w:rPr>
        <w:t xml:space="preserve">Phytophthora </w:t>
      </w:r>
      <w:r>
        <w:rPr>
          <w:rFonts w:ascii="Cambria" w:hAnsi="Cambria"/>
        </w:rPr>
        <w:t>species arrived on host propagative material and will be transferred to another suitable site on a susceptible host).</w:t>
      </w:r>
    </w:p>
    <w:p w:rsidR="00E94405" w:rsidRDefault="00A11609">
      <w:pPr>
        <w:pStyle w:val="Heading4"/>
        <w:spacing w:before="200"/>
      </w:pPr>
      <w:r>
        <w:t>Likelihood of importation</w:t>
      </w:r>
    </w:p>
    <w:p w:rsidR="00E94405" w:rsidRDefault="00A11609">
      <w:pPr>
        <w:rPr>
          <w:rFonts w:ascii="Cambria" w:hAnsi="Cambria"/>
        </w:rPr>
      </w:pPr>
      <w:r>
        <w:rPr>
          <w:rFonts w:ascii="Cambria" w:hAnsi="Cambria"/>
        </w:rPr>
        <w:t xml:space="preserve">The likelihood that the </w:t>
      </w:r>
      <w:bookmarkStart w:id="111" w:name="OLE_LINK1"/>
      <w:bookmarkStart w:id="112" w:name="OLE_LINK2"/>
      <w:r>
        <w:rPr>
          <w:rFonts w:ascii="Cambria" w:hAnsi="Cambria"/>
          <w:i/>
          <w:iCs/>
        </w:rPr>
        <w:t xml:space="preserve">Phytophthora </w:t>
      </w:r>
      <w:r>
        <w:rPr>
          <w:rFonts w:ascii="Cambria" w:hAnsi="Cambria"/>
          <w:iCs/>
        </w:rPr>
        <w:t>species</w:t>
      </w:r>
      <w:r>
        <w:rPr>
          <w:rFonts w:ascii="Cambria" w:hAnsi="Cambria"/>
        </w:rPr>
        <w:t xml:space="preserve"> </w:t>
      </w:r>
      <w:bookmarkEnd w:id="111"/>
      <w:bookmarkEnd w:id="112"/>
      <w:r>
        <w:rPr>
          <w:rFonts w:ascii="Cambria" w:hAnsi="Cambria"/>
        </w:rPr>
        <w:t xml:space="preserve">will arrive in Australia with trade in nursery stock (including ornamental plants and propagative material) from countries where the pathogen is present is </w:t>
      </w:r>
      <w:r>
        <w:rPr>
          <w:rFonts w:ascii="Cambria" w:hAnsi="Cambria"/>
          <w:b/>
          <w:bCs/>
        </w:rPr>
        <w:t>HIGH</w:t>
      </w:r>
      <w:r>
        <w:rPr>
          <w:rFonts w:ascii="Cambria" w:hAnsi="Cambria"/>
        </w:rPr>
        <w:t>.</w:t>
      </w:r>
    </w:p>
    <w:p w:rsidR="00E94405" w:rsidRDefault="00A11609">
      <w:pPr>
        <w:pStyle w:val="Heading5"/>
        <w:spacing w:before="160" w:after="160"/>
      </w:pPr>
      <w:r>
        <w:lastRenderedPageBreak/>
        <w:t>Association of the pest with the pathway</w:t>
      </w:r>
    </w:p>
    <w:p w:rsidR="00E94405" w:rsidRDefault="00A11609">
      <w:pPr>
        <w:pStyle w:val="ListBullet"/>
        <w:tabs>
          <w:tab w:val="clear" w:pos="360"/>
          <w:tab w:val="num" w:pos="284"/>
        </w:tabs>
        <w:spacing w:before="0" w:line="269" w:lineRule="auto"/>
        <w:ind w:left="284" w:hanging="284"/>
        <w:rPr>
          <w:rFonts w:ascii="Cambria" w:hAnsi="Cambria"/>
        </w:rPr>
      </w:pPr>
      <w:bookmarkStart w:id="113" w:name="_Toc356671318"/>
      <w:r>
        <w:rPr>
          <w:rFonts w:ascii="Cambria" w:hAnsi="Cambria"/>
          <w:i/>
          <w:iCs/>
        </w:rPr>
        <w:t>Phytophthora ramorum</w:t>
      </w:r>
      <w:r>
        <w:rPr>
          <w:rFonts w:ascii="Cambria" w:hAnsi="Cambria"/>
        </w:rPr>
        <w:t xml:space="preserve"> has been reported in association with a wide range of host plants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and has been introduced into several countries with trade in nursery stock. </w:t>
      </w:r>
      <w:r>
        <w:rPr>
          <w:rFonts w:ascii="Cambria" w:hAnsi="Cambria"/>
          <w:i/>
          <w:iCs/>
        </w:rPr>
        <w:t xml:space="preserve">Phytophthora ramorum </w:t>
      </w:r>
      <w:r>
        <w:rPr>
          <w:rFonts w:ascii="Cambria" w:hAnsi="Cambria"/>
          <w:iCs/>
        </w:rPr>
        <w:t xml:space="preserve">has been introduced from an unknown country </w:t>
      </w:r>
      <w:r>
        <w:rPr>
          <w:rFonts w:ascii="Cambria" w:hAnsi="Cambria"/>
        </w:rPr>
        <w:t xml:space="preserve">into the USA and Europe, and </w:t>
      </w:r>
      <w:r>
        <w:rPr>
          <w:rFonts w:ascii="Cambria" w:hAnsi="Cambria"/>
          <w:i/>
          <w:iCs/>
        </w:rPr>
        <w:t xml:space="preserve">P. kernoviae </w:t>
      </w:r>
      <w:r>
        <w:rPr>
          <w:rFonts w:ascii="Cambria" w:hAnsi="Cambria"/>
        </w:rPr>
        <w:t xml:space="preserve">into the UK (Brasier </w:t>
      </w:r>
      <w:r>
        <w:rPr>
          <w:rFonts w:ascii="Cambria" w:hAnsi="Cambria"/>
          <w:iCs/>
        </w:rPr>
        <w:t>et al</w:t>
      </w:r>
      <w:r>
        <w:rPr>
          <w:rFonts w:ascii="Cambria" w:hAnsi="Cambria"/>
        </w:rPr>
        <w:t>. 2004a; Fichtner et al. 2012)</w:t>
      </w:r>
      <w:r>
        <w:rPr>
          <w:rFonts w:ascii="Cambria" w:hAnsi="Cambria"/>
          <w:i/>
        </w:rPr>
        <w:t>. Phytophthora</w:t>
      </w:r>
      <w:r>
        <w:rPr>
          <w:rFonts w:ascii="Cambria" w:hAnsi="Cambria"/>
          <w:i/>
          <w:iCs/>
        </w:rPr>
        <w:t xml:space="preserve"> kernoviae</w:t>
      </w:r>
      <w:r>
        <w:rPr>
          <w:rFonts w:ascii="Cambria" w:hAnsi="Cambria"/>
          <w:iCs/>
        </w:rPr>
        <w:t>,</w:t>
      </w:r>
      <w:r>
        <w:rPr>
          <w:rFonts w:ascii="Cambria" w:hAnsi="Cambria"/>
          <w:i/>
          <w:iCs/>
        </w:rPr>
        <w:t xml:space="preserve"> P. nemorosa </w:t>
      </w:r>
      <w:r>
        <w:rPr>
          <w:rFonts w:ascii="Cambria" w:hAnsi="Cambria"/>
        </w:rPr>
        <w:t xml:space="preserve">and </w:t>
      </w:r>
      <w:r>
        <w:rPr>
          <w:rFonts w:ascii="Cambria" w:hAnsi="Cambria"/>
          <w:i/>
          <w:iCs/>
        </w:rPr>
        <w:t>P. pseudosyringae</w:t>
      </w:r>
      <w:r>
        <w:rPr>
          <w:rFonts w:ascii="Cambria" w:hAnsi="Cambria"/>
        </w:rPr>
        <w:t xml:space="preserve"> have a similar host range, and occur in generally the same geographic region as </w:t>
      </w:r>
      <w:r>
        <w:rPr>
          <w:rFonts w:ascii="Cambria" w:hAnsi="Cambria"/>
          <w:i/>
          <w:iCs/>
        </w:rPr>
        <w:t>P. ramorum</w:t>
      </w:r>
      <w:r>
        <w:rPr>
          <w:rFonts w:ascii="Cambria" w:hAnsi="Cambria"/>
          <w:iCs/>
        </w:rPr>
        <w:t>;</w:t>
      </w:r>
      <w:r>
        <w:rPr>
          <w:rFonts w:ascii="Cambria" w:hAnsi="Cambria"/>
          <w:i/>
          <w:iCs/>
        </w:rPr>
        <w:t xml:space="preserve"> </w:t>
      </w:r>
      <w:r>
        <w:rPr>
          <w:rFonts w:ascii="Cambria" w:hAnsi="Cambria"/>
          <w:iCs/>
        </w:rPr>
        <w:t>t</w:t>
      </w:r>
      <w:r>
        <w:rPr>
          <w:rFonts w:ascii="Cambria" w:hAnsi="Cambria"/>
        </w:rPr>
        <w:t xml:space="preserve">herefore, these </w:t>
      </w:r>
      <w:r>
        <w:rPr>
          <w:rFonts w:ascii="Cambria" w:hAnsi="Cambria"/>
          <w:i/>
          <w:iCs/>
        </w:rPr>
        <w:t xml:space="preserve">Phytophthora </w:t>
      </w:r>
      <w:r>
        <w:rPr>
          <w:rFonts w:ascii="Cambria" w:hAnsi="Cambria"/>
          <w:iCs/>
        </w:rPr>
        <w:t xml:space="preserve">species are </w:t>
      </w:r>
      <w:r>
        <w:rPr>
          <w:rFonts w:ascii="Cambria" w:hAnsi="Cambria"/>
        </w:rPr>
        <w:t>associated with the pathway.</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historical introduction of </w:t>
      </w:r>
      <w:r>
        <w:rPr>
          <w:rFonts w:ascii="Cambria" w:hAnsi="Cambria"/>
          <w:i/>
          <w:iCs/>
        </w:rPr>
        <w:t xml:space="preserve">P. ramorum </w:t>
      </w:r>
      <w:r>
        <w:rPr>
          <w:rFonts w:ascii="Cambria" w:hAnsi="Cambria"/>
        </w:rPr>
        <w:t xml:space="preserve">into California is linked to the nursery trade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w:t>
      </w:r>
      <w:r>
        <w:rPr>
          <w:rFonts w:ascii="Cambria" w:hAnsi="Cambria"/>
          <w:i/>
          <w:iCs/>
        </w:rPr>
        <w:t xml:space="preserve">Phytophthora ramorum </w:t>
      </w:r>
      <w:r>
        <w:rPr>
          <w:rFonts w:ascii="Cambria" w:hAnsi="Cambria"/>
        </w:rPr>
        <w:t xml:space="preserve">was introduced into the USA and Europe via imported </w:t>
      </w:r>
      <w:r>
        <w:rPr>
          <w:rFonts w:ascii="Cambria" w:hAnsi="Cambria"/>
          <w:i/>
          <w:iCs/>
        </w:rPr>
        <w:t xml:space="preserve">Camellia, Rhododendron </w:t>
      </w:r>
      <w:r>
        <w:rPr>
          <w:rFonts w:ascii="Cambria" w:hAnsi="Cambria"/>
        </w:rPr>
        <w:t xml:space="preserve">or </w:t>
      </w:r>
      <w:r>
        <w:rPr>
          <w:rFonts w:ascii="Cambria" w:hAnsi="Cambria"/>
          <w:i/>
          <w:iCs/>
        </w:rPr>
        <w:t xml:space="preserve">Viburnum </w:t>
      </w:r>
      <w:r>
        <w:rPr>
          <w:rFonts w:ascii="Cambria" w:hAnsi="Cambria"/>
        </w:rPr>
        <w:t xml:space="preserve">nursery stock (Brasier 2007); therefore, the nursery trade is the most likely pathway for the introduction of </w:t>
      </w:r>
      <w:r>
        <w:rPr>
          <w:rFonts w:ascii="Cambria" w:hAnsi="Cambria"/>
          <w:i/>
          <w:iCs/>
        </w:rPr>
        <w:t xml:space="preserve">P. ramorum </w:t>
      </w:r>
      <w:r>
        <w:rPr>
          <w:rFonts w:ascii="Cambria" w:hAnsi="Cambria"/>
        </w:rPr>
        <w:t xml:space="preserve">(Ivors </w:t>
      </w:r>
      <w:r>
        <w:rPr>
          <w:rFonts w:ascii="Cambria" w:hAnsi="Cambria"/>
          <w:iCs/>
        </w:rPr>
        <w:t>et al</w:t>
      </w:r>
      <w:r>
        <w:rPr>
          <w:rFonts w:ascii="Cambria" w:hAnsi="Cambria"/>
        </w:rPr>
        <w:t xml:space="preserve">. 2006; Grünwald </w:t>
      </w:r>
      <w:r>
        <w:rPr>
          <w:rFonts w:ascii="Cambria" w:hAnsi="Cambria"/>
          <w:iCs/>
        </w:rPr>
        <w:t>et al</w:t>
      </w:r>
      <w:r>
        <w:rPr>
          <w:rFonts w:ascii="Cambria" w:hAnsi="Cambria"/>
        </w:rPr>
        <w:t xml:space="preserve">. 2008a; Prospero </w:t>
      </w:r>
      <w:r>
        <w:rPr>
          <w:rFonts w:ascii="Cambria" w:hAnsi="Cambria"/>
          <w:iCs/>
        </w:rPr>
        <w:t>et al</w:t>
      </w:r>
      <w:r>
        <w:rPr>
          <w:rFonts w:ascii="Cambria" w:hAnsi="Cambria"/>
        </w:rPr>
        <w:t xml:space="preserve">. 2009) at both continental and worldwide scales. Consequently, trade in nursery stock of infected hosts will result in the introduction of </w:t>
      </w:r>
      <w:r>
        <w:rPr>
          <w:rFonts w:ascii="Cambria" w:hAnsi="Cambria"/>
          <w:i/>
          <w:iCs/>
        </w:rPr>
        <w:t xml:space="preserve">Phytophthora </w:t>
      </w:r>
      <w:r>
        <w:rPr>
          <w:rFonts w:ascii="Cambria" w:hAnsi="Cambria"/>
          <w:iCs/>
        </w:rPr>
        <w:t>species</w:t>
      </w:r>
      <w:r>
        <w:rPr>
          <w:rFonts w:ascii="Cambria" w:hAnsi="Cambria"/>
        </w:rPr>
        <w:t xml:space="preserve"> into Australia.</w:t>
      </w:r>
    </w:p>
    <w:bookmarkEnd w:id="113"/>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Phytophthora kernoviae, P. nemorosa,</w:t>
      </w:r>
      <w:r>
        <w:rPr>
          <w:rFonts w:ascii="Cambria" w:hAnsi="Cambria"/>
        </w:rPr>
        <w:t xml:space="preserve"> </w:t>
      </w:r>
      <w:r>
        <w:rPr>
          <w:rFonts w:ascii="Cambria" w:hAnsi="Cambria"/>
          <w:i/>
          <w:iCs/>
        </w:rPr>
        <w:t>P. pseudosyringae</w:t>
      </w:r>
      <w:r>
        <w:rPr>
          <w:rFonts w:ascii="Cambria" w:hAnsi="Cambria"/>
        </w:rPr>
        <w:t xml:space="preserve"> and </w:t>
      </w:r>
      <w:r>
        <w:rPr>
          <w:rFonts w:ascii="Cambria" w:hAnsi="Cambria"/>
          <w:i/>
        </w:rPr>
        <w:t xml:space="preserve">P. ramorum </w:t>
      </w:r>
      <w:r>
        <w:rPr>
          <w:rFonts w:ascii="Cambria" w:hAnsi="Cambria"/>
        </w:rPr>
        <w:t xml:space="preserve">have a significant aerial component to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xml:space="preserve">. 2012). Some plants are hosts to multiple </w:t>
      </w:r>
      <w:r>
        <w:rPr>
          <w:rFonts w:ascii="Cambria" w:hAnsi="Cambria"/>
          <w:i/>
          <w:iCs/>
        </w:rPr>
        <w:t xml:space="preserve">Phytophthora </w:t>
      </w:r>
      <w:r>
        <w:rPr>
          <w:rFonts w:ascii="Cambria" w:hAnsi="Cambria"/>
        </w:rPr>
        <w:t xml:space="preserve">species, thus increasing the probability of inadvertently introducing different </w:t>
      </w:r>
      <w:r>
        <w:rPr>
          <w:rFonts w:ascii="Cambria" w:hAnsi="Cambria"/>
          <w:i/>
        </w:rPr>
        <w:t xml:space="preserve">Phytophthora </w:t>
      </w:r>
      <w:r>
        <w:rPr>
          <w:rFonts w:ascii="Cambria" w:hAnsi="Cambria"/>
        </w:rPr>
        <w:t>species</w:t>
      </w:r>
      <w:r>
        <w:rPr>
          <w:rFonts w:ascii="Cambria" w:hAnsi="Cambria"/>
          <w:i/>
        </w:rPr>
        <w:t xml:space="preserve"> </w:t>
      </w:r>
      <w:r>
        <w:rPr>
          <w:rFonts w:ascii="Cambria" w:hAnsi="Cambria"/>
        </w:rPr>
        <w:t>into new areas.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is heterothallic</w:t>
      </w:r>
      <w:r>
        <w:rPr>
          <w:rFonts w:ascii="Cambria" w:hAnsi="Cambria"/>
          <w:i/>
          <w:iCs/>
        </w:rPr>
        <w:t xml:space="preserve"> </w:t>
      </w:r>
      <w:r>
        <w:rPr>
          <w:rFonts w:ascii="Cambria" w:hAnsi="Cambria"/>
        </w:rPr>
        <w:t xml:space="preserve">and requires two opposite mating types (A1 and A2) for sexual recombination (Ivors et al. 2006). Initially, only single mating types were identified in Europe (A1 mating type) and the United States (A2 mating type), indicating that </w:t>
      </w:r>
      <w:r>
        <w:rPr>
          <w:rFonts w:ascii="Cambria" w:hAnsi="Cambria"/>
          <w:i/>
        </w:rPr>
        <w:t xml:space="preserve">P. ramorum </w:t>
      </w:r>
      <w:r>
        <w:rPr>
          <w:rFonts w:ascii="Cambria" w:hAnsi="Cambria"/>
        </w:rPr>
        <w:t xml:space="preserve">was introduced into these countries (Ivors et al. 2006). More recently, both mating types have been identified in the United States and Europe and it is speculated that the commercial plant trade may have lead to multiple introductions of the pathogen (Werres &amp; De Merlier 2003;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 xml:space="preserve">Phytophthora ramorum </w:t>
      </w:r>
      <w:r>
        <w:rPr>
          <w:rFonts w:ascii="Cambria" w:hAnsi="Cambria"/>
        </w:rPr>
        <w:t xml:space="preserve">infects many different plant species in nurseries (Werres et al. 2001; Rizzo et al. 2002b; Davidson et al. 2003b). Symptoms include foliar necrosis, branch die-back, and, at times, lethal stem infection. The most common nursery stock hosts include several species and varieties within the genera </w:t>
      </w:r>
      <w:r>
        <w:rPr>
          <w:rFonts w:ascii="Cambria" w:hAnsi="Cambria"/>
          <w:i/>
        </w:rPr>
        <w:t>Camellia</w:t>
      </w:r>
      <w:r>
        <w:rPr>
          <w:rFonts w:ascii="Cambria" w:hAnsi="Cambria"/>
        </w:rPr>
        <w:t>,</w:t>
      </w:r>
      <w:r>
        <w:rPr>
          <w:rFonts w:ascii="Cambria" w:hAnsi="Cambria"/>
          <w:i/>
        </w:rPr>
        <w:t xml:space="preserve"> Rhododendron</w:t>
      </w:r>
      <w:r>
        <w:rPr>
          <w:rFonts w:ascii="Cambria" w:hAnsi="Cambria"/>
        </w:rPr>
        <w:t xml:space="preserve"> and </w:t>
      </w:r>
      <w:r>
        <w:rPr>
          <w:rFonts w:ascii="Cambria" w:hAnsi="Cambria"/>
          <w:i/>
        </w:rPr>
        <w:t>Viburnum</w:t>
      </w:r>
      <w:r>
        <w:rPr>
          <w:rFonts w:ascii="Cambria" w:hAnsi="Cambria"/>
        </w:rPr>
        <w:t xml:space="preserve"> (Huberli &amp; Garbelotto 2012).</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Global trade and the associated movement of ornamental plant material across borders has introduced </w:t>
      </w:r>
      <w:r>
        <w:rPr>
          <w:rFonts w:ascii="Cambria" w:hAnsi="Cambria"/>
          <w:i/>
          <w:iCs/>
        </w:rPr>
        <w:t xml:space="preserve">P. ramorum </w:t>
      </w:r>
      <w:r>
        <w:rPr>
          <w:rFonts w:ascii="Cambria" w:hAnsi="Cambria"/>
        </w:rPr>
        <w:t xml:space="preserve">into new areas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Goss </w:t>
      </w:r>
      <w:r>
        <w:rPr>
          <w:rFonts w:ascii="Cambria" w:hAnsi="Cambria"/>
          <w:iCs/>
        </w:rPr>
        <w:t>et al</w:t>
      </w:r>
      <w:r>
        <w:rPr>
          <w:rFonts w:ascii="Cambria" w:hAnsi="Cambria"/>
        </w:rPr>
        <w:t xml:space="preserve">. 2011; Tsopelas </w:t>
      </w:r>
      <w:r>
        <w:rPr>
          <w:rFonts w:ascii="Cambria" w:hAnsi="Cambria"/>
          <w:iCs/>
        </w:rPr>
        <w:t>et al</w:t>
      </w:r>
      <w:r>
        <w:rPr>
          <w:rFonts w:ascii="Cambria" w:hAnsi="Cambria"/>
        </w:rPr>
        <w:t>. 2011; Alexander 2012)</w:t>
      </w:r>
      <w:r>
        <w:rPr>
          <w:rFonts w:ascii="Cambria" w:hAnsi="Cambria"/>
          <w:i/>
        </w:rPr>
        <w:t>. Phytophthora</w:t>
      </w:r>
      <w:r>
        <w:rPr>
          <w:rFonts w:ascii="Cambria" w:hAnsi="Cambria"/>
          <w:i/>
          <w:iCs/>
        </w:rPr>
        <w:t xml:space="preserve"> ramorum </w:t>
      </w:r>
      <w:r>
        <w:rPr>
          <w:rFonts w:ascii="Cambria" w:hAnsi="Cambria"/>
        </w:rPr>
        <w:t>has p</w:t>
      </w:r>
      <w:r>
        <w:rPr>
          <w:rFonts w:ascii="Cambria" w:hAnsi="Cambria"/>
          <w:shd w:val="clear" w:color="auto" w:fill="FFFFFF"/>
        </w:rPr>
        <w:t xml:space="preserve">rimarily been introduced into various countries on </w:t>
      </w:r>
      <w:r>
        <w:rPr>
          <w:rFonts w:ascii="Cambria" w:hAnsi="Cambria"/>
          <w:i/>
          <w:iCs/>
          <w:shd w:val="clear" w:color="auto" w:fill="FFFFFF"/>
        </w:rPr>
        <w:t xml:space="preserve">Camellia japonica, Kalmia latifolia, Leucothoe </w:t>
      </w:r>
      <w:r>
        <w:rPr>
          <w:rFonts w:ascii="Cambria" w:hAnsi="Cambria"/>
          <w:shd w:val="clear" w:color="auto" w:fill="FFFFFF"/>
        </w:rPr>
        <w:t xml:space="preserve">species, </w:t>
      </w:r>
      <w:r>
        <w:rPr>
          <w:rFonts w:ascii="Cambria" w:hAnsi="Cambria"/>
          <w:i/>
          <w:iCs/>
          <w:shd w:val="clear" w:color="auto" w:fill="FFFFFF"/>
        </w:rPr>
        <w:t xml:space="preserve">Pieris formosa </w:t>
      </w:r>
      <w:r>
        <w:rPr>
          <w:rFonts w:ascii="Cambria" w:hAnsi="Cambria"/>
          <w:shd w:val="clear" w:color="auto" w:fill="FFFFFF"/>
        </w:rPr>
        <w:t xml:space="preserve">var. </w:t>
      </w:r>
      <w:r>
        <w:rPr>
          <w:rFonts w:ascii="Cambria" w:hAnsi="Cambria"/>
          <w:i/>
          <w:iCs/>
          <w:shd w:val="clear" w:color="auto" w:fill="FFFFFF"/>
        </w:rPr>
        <w:t xml:space="preserve">forrestii, Pieris japonica, Rhododendron </w:t>
      </w:r>
      <w:r>
        <w:rPr>
          <w:rFonts w:ascii="Cambria" w:hAnsi="Cambria"/>
          <w:iCs/>
          <w:shd w:val="clear" w:color="auto" w:fill="FFFFFF"/>
        </w:rPr>
        <w:t>species</w:t>
      </w:r>
      <w:r>
        <w:rPr>
          <w:rFonts w:ascii="Cambria" w:hAnsi="Cambria"/>
          <w:i/>
          <w:iCs/>
          <w:shd w:val="clear" w:color="auto" w:fill="FFFFFF"/>
        </w:rPr>
        <w:t>, Syringa vulgaris</w:t>
      </w:r>
      <w:r>
        <w:rPr>
          <w:rFonts w:ascii="Cambria" w:hAnsi="Cambria"/>
          <w:shd w:val="clear" w:color="auto" w:fill="FFFFFF"/>
        </w:rPr>
        <w:t xml:space="preserve">, </w:t>
      </w:r>
      <w:r>
        <w:rPr>
          <w:rFonts w:ascii="Cambria" w:hAnsi="Cambria"/>
          <w:i/>
          <w:iCs/>
          <w:shd w:val="clear" w:color="auto" w:fill="FFFFFF"/>
        </w:rPr>
        <w:t xml:space="preserve">Taxus baccata </w:t>
      </w:r>
      <w:r>
        <w:rPr>
          <w:rFonts w:ascii="Cambria" w:hAnsi="Cambria"/>
          <w:iCs/>
          <w:shd w:val="clear" w:color="auto" w:fill="FFFFFF"/>
        </w:rPr>
        <w:t>and</w:t>
      </w:r>
      <w:r>
        <w:rPr>
          <w:rFonts w:ascii="Cambria" w:hAnsi="Cambria"/>
          <w:i/>
          <w:iCs/>
          <w:shd w:val="clear" w:color="auto" w:fill="FFFFFF"/>
        </w:rPr>
        <w:t xml:space="preserve"> Viburnum </w:t>
      </w:r>
      <w:r>
        <w:rPr>
          <w:rFonts w:ascii="Cambria" w:hAnsi="Cambria"/>
          <w:shd w:val="clear" w:color="auto" w:fill="FFFFFF"/>
        </w:rPr>
        <w:t xml:space="preserve">species (Werres &amp; De Merlier 2003; Husson </w:t>
      </w:r>
      <w:r>
        <w:rPr>
          <w:rFonts w:ascii="Cambria" w:hAnsi="Cambria"/>
          <w:iCs/>
          <w:shd w:val="clear" w:color="auto" w:fill="FFFFFF"/>
        </w:rPr>
        <w:t>et al</w:t>
      </w:r>
      <w:r>
        <w:rPr>
          <w:rFonts w:ascii="Cambria" w:hAnsi="Cambria"/>
          <w:shd w:val="clear" w:color="auto" w:fill="FFFFFF"/>
        </w:rPr>
        <w:t>. 2007)</w:t>
      </w:r>
      <w:r>
        <w:rPr>
          <w:rFonts w:ascii="Cambria" w:hAnsi="Cambria"/>
          <w:i/>
          <w:iCs/>
          <w:shd w:val="clear" w:color="auto" w:fill="FFFFFF"/>
        </w:rPr>
        <w:t>.</w:t>
      </w:r>
    </w:p>
    <w:p w:rsidR="00E94405" w:rsidRDefault="00A11609">
      <w:pPr>
        <w:pStyle w:val="AQISNum"/>
        <w:numPr>
          <w:ilvl w:val="0"/>
          <w:numId w:val="27"/>
        </w:numPr>
        <w:tabs>
          <w:tab w:val="clear" w:pos="680"/>
          <w:tab w:val="num" w:pos="840"/>
        </w:tabs>
        <w:spacing w:before="120" w:after="120" w:line="276" w:lineRule="auto"/>
        <w:ind w:left="839" w:hanging="482"/>
        <w:rPr>
          <w:rFonts w:asciiTheme="majorHAnsi" w:hAnsiTheme="majorHAnsi"/>
          <w:szCs w:val="22"/>
        </w:rPr>
      </w:pPr>
      <w:r>
        <w:rPr>
          <w:rFonts w:ascii="Cambria" w:hAnsi="Cambria"/>
          <w:i/>
          <w:iCs/>
          <w:spacing w:val="7"/>
          <w:szCs w:val="22"/>
        </w:rPr>
        <w:t>P</w:t>
      </w:r>
      <w:r>
        <w:rPr>
          <w:rFonts w:ascii="Cambria" w:hAnsi="Cambria"/>
          <w:i/>
          <w:iCs/>
          <w:szCs w:val="22"/>
        </w:rPr>
        <w:t>hytophthora</w:t>
      </w:r>
      <w:r>
        <w:rPr>
          <w:rFonts w:ascii="Cambria" w:hAnsi="Cambria"/>
          <w:i/>
          <w:iCs/>
          <w:spacing w:val="7"/>
          <w:szCs w:val="22"/>
        </w:rPr>
        <w:t xml:space="preserve"> ramorum </w:t>
      </w:r>
      <w:r>
        <w:rPr>
          <w:rFonts w:ascii="Cambria" w:hAnsi="Cambria"/>
          <w:szCs w:val="22"/>
        </w:rPr>
        <w:t xml:space="preserve">was introduced from one infected nursery (on </w:t>
      </w:r>
      <w:r>
        <w:rPr>
          <w:rFonts w:ascii="Cambria" w:hAnsi="Cambria"/>
          <w:i/>
          <w:iCs/>
          <w:szCs w:val="22"/>
        </w:rPr>
        <w:t>Camellia</w:t>
      </w:r>
      <w:r>
        <w:rPr>
          <w:rFonts w:ascii="Cambria" w:hAnsi="Cambria"/>
          <w:szCs w:val="22"/>
        </w:rPr>
        <w:t xml:space="preserve">) to 21 states in the USA (Cave </w:t>
      </w:r>
      <w:r>
        <w:rPr>
          <w:rFonts w:ascii="Cambria" w:hAnsi="Cambria"/>
          <w:iCs/>
          <w:szCs w:val="22"/>
        </w:rPr>
        <w:t>et al</w:t>
      </w:r>
      <w:r>
        <w:rPr>
          <w:rFonts w:ascii="Cambria" w:hAnsi="Cambria"/>
          <w:szCs w:val="22"/>
        </w:rPr>
        <w:t xml:space="preserve">. 2008); with infected </w:t>
      </w:r>
      <w:r>
        <w:rPr>
          <w:rFonts w:ascii="Cambria" w:hAnsi="Cambria"/>
          <w:i/>
          <w:iCs/>
          <w:szCs w:val="22"/>
        </w:rPr>
        <w:t xml:space="preserve">Rhododendron </w:t>
      </w:r>
      <w:r>
        <w:rPr>
          <w:rFonts w:ascii="Cambria" w:hAnsi="Cambria"/>
          <w:szCs w:val="22"/>
        </w:rPr>
        <w:t xml:space="preserve">from Belgium to Greece (Tsopelas </w:t>
      </w:r>
      <w:r>
        <w:rPr>
          <w:rFonts w:ascii="Cambria" w:hAnsi="Cambria"/>
          <w:iCs/>
          <w:szCs w:val="22"/>
        </w:rPr>
        <w:t>et al</w:t>
      </w:r>
      <w:r>
        <w:rPr>
          <w:rFonts w:ascii="Cambria" w:hAnsi="Cambria"/>
          <w:szCs w:val="22"/>
        </w:rPr>
        <w:t xml:space="preserve">. 2011) and from Germany and the Netherlands into Norway (Sundheim </w:t>
      </w:r>
      <w:r>
        <w:rPr>
          <w:rFonts w:ascii="Cambria" w:hAnsi="Cambria"/>
          <w:iCs/>
          <w:szCs w:val="22"/>
        </w:rPr>
        <w:t>et al</w:t>
      </w:r>
      <w:r>
        <w:rPr>
          <w:rFonts w:ascii="Cambria" w:hAnsi="Cambria"/>
          <w:szCs w:val="22"/>
        </w:rPr>
        <w:t>. 2009); therefore, the movement of nursery plants is the main pathway for the introduction of this pathogen into new areas (Alexander 2012</w:t>
      </w:r>
      <w:r>
        <w:rPr>
          <w:rFonts w:asciiTheme="majorHAnsi" w:hAnsiTheme="majorHAnsi"/>
          <w:szCs w:val="22"/>
        </w:rPr>
        <w: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lastRenderedPageBreak/>
        <w:t xml:space="preserve">The high degree of genetic similarity between </w:t>
      </w:r>
      <w:r>
        <w:rPr>
          <w:rFonts w:ascii="Cambria" w:hAnsi="Cambria"/>
          <w:i/>
        </w:rPr>
        <w:t xml:space="preserve">P. nemorosa </w:t>
      </w:r>
      <w:r>
        <w:rPr>
          <w:rFonts w:ascii="Cambria" w:hAnsi="Cambria"/>
        </w:rPr>
        <w:t xml:space="preserve">and </w:t>
      </w:r>
      <w:r>
        <w:rPr>
          <w:rFonts w:ascii="Cambria" w:hAnsi="Cambria"/>
          <w:i/>
        </w:rPr>
        <w:t>P. pseudosyringae</w:t>
      </w:r>
      <w:r>
        <w:rPr>
          <w:rFonts w:ascii="Cambria" w:hAnsi="Cambria"/>
        </w:rPr>
        <w:t xml:space="preserve"> and the lack of genetic structure within their range in western USA is consistent with the hypothesis of relatively recent introductions to the western USA (Linzer et al. 2009).</w:t>
      </w:r>
    </w:p>
    <w:p w:rsidR="00E94405" w:rsidRDefault="00A11609">
      <w:pPr>
        <w:pStyle w:val="Heading5"/>
        <w:spacing w:before="160" w:after="160"/>
      </w:pPr>
      <w:r>
        <w:t>Ability of the pest to survive transport and storage</w:t>
      </w:r>
    </w:p>
    <w:p w:rsidR="00E94405" w:rsidRDefault="00A11609">
      <w:pPr>
        <w:pStyle w:val="ListBullet"/>
        <w:tabs>
          <w:tab w:val="clear" w:pos="360"/>
          <w:tab w:val="num" w:pos="284"/>
        </w:tabs>
        <w:spacing w:before="0" w:line="269" w:lineRule="auto"/>
        <w:ind w:left="284" w:hanging="284"/>
        <w:rPr>
          <w:rFonts w:ascii="Cambria" w:hAnsi="Cambria"/>
        </w:rPr>
      </w:pPr>
      <w:r>
        <w:rPr>
          <w:rFonts w:ascii="Cambria" w:hAnsi="Cambria"/>
          <w:i/>
          <w:iCs/>
        </w:rPr>
        <w:t xml:space="preserve">Phytophthora ramorum </w:t>
      </w:r>
      <w:r>
        <w:rPr>
          <w:rFonts w:ascii="Cambria" w:hAnsi="Cambria"/>
        </w:rPr>
        <w:t>is very likely to survive during transport and storage since the primary conditions for survival are fulfilled by the presence of the live host plant and associated environmental conditions. Planting material is grown, packaged and shipped to areas conducive to their survival. The handling of nursery stock may not be detrimental to the survival of this pathogen. General transport conditions for potted plants ranges from 10–18 degrees Celsius and 85–90 percent relative humidity (McGregor 1987)</w:t>
      </w:r>
      <w:r>
        <w:rPr>
          <w:rFonts w:ascii="Cambria" w:hAnsi="Cambria"/>
          <w:i/>
        </w:rPr>
        <w:t>. Phytophthora</w:t>
      </w:r>
      <w:r>
        <w:rPr>
          <w:rFonts w:ascii="Cambria" w:hAnsi="Cambria"/>
          <w:i/>
          <w:iCs/>
        </w:rPr>
        <w:t xml:space="preserve"> ramorum </w:t>
      </w:r>
      <w:r>
        <w:rPr>
          <w:rFonts w:ascii="Cambria" w:hAnsi="Cambria"/>
        </w:rPr>
        <w:t xml:space="preserve">has an optimum temperature range for survival and reproduction of 18–25 degrees Celsius, with a minimum growth temperature of 2 degrees Celsius and a maximum growth temperature of 26–30 degrees Celsius (Werres </w:t>
      </w:r>
      <w:r>
        <w:rPr>
          <w:rFonts w:ascii="Cambria" w:hAnsi="Cambria"/>
          <w:iCs/>
        </w:rPr>
        <w:t>et al</w:t>
      </w:r>
      <w:r>
        <w:rPr>
          <w:rFonts w:ascii="Cambria" w:hAnsi="Cambria"/>
        </w:rPr>
        <w:t>.</w:t>
      </w:r>
      <w:r>
        <w:rPr>
          <w:rFonts w:ascii="Cambria" w:hAnsi="Cambria"/>
          <w:i/>
          <w:iCs/>
        </w:rPr>
        <w:t xml:space="preserve"> </w:t>
      </w:r>
      <w:r>
        <w:rPr>
          <w:rFonts w:ascii="Cambria" w:hAnsi="Cambria"/>
        </w:rPr>
        <w:t>2001). Pathogen growth is therefore likely to continue during transport within infected plant tissues.</w:t>
      </w:r>
    </w:p>
    <w:p w:rsidR="00E94405" w:rsidRDefault="00A11609">
      <w:pPr>
        <w:pStyle w:val="ListBullet"/>
        <w:keepNex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produces sporangia on foliage and chlamydospores inside the infected host tissue (Parke &amp; Lewis 2007; Pogoda &amp; Werres 2004), which are unlikely to be dislodged during handling and shipping of nursery stock. Sporangia produced on infected tissues are able to survive a range of temperatures between 0 degrees Celsius and 25 degrees Celsius (Turner </w:t>
      </w:r>
      <w:r>
        <w:rPr>
          <w:rFonts w:ascii="Cambria" w:hAnsi="Cambria"/>
          <w:iCs/>
        </w:rPr>
        <w:t>et al.</w:t>
      </w:r>
      <w:r>
        <w:rPr>
          <w:rFonts w:ascii="Cambria" w:hAnsi="Cambria"/>
        </w:rPr>
        <w:t xml:space="preserve"> 2005; Turner &amp; Jennings 2008). Therefore, it is also likely that sporangia on host tissues will survive under most transport conditions.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survival of </w:t>
      </w:r>
      <w:r>
        <w:rPr>
          <w:rFonts w:ascii="Cambria" w:hAnsi="Cambria"/>
          <w:i/>
          <w:iCs/>
        </w:rPr>
        <w:t xml:space="preserve">P. ramorum </w:t>
      </w:r>
      <w:r>
        <w:rPr>
          <w:rFonts w:ascii="Cambria" w:hAnsi="Cambria"/>
        </w:rPr>
        <w:t xml:space="preserve">in plants during transportation is demonstrated in the USA, where </w:t>
      </w:r>
      <w:r>
        <w:rPr>
          <w:rFonts w:ascii="Cambria" w:hAnsi="Cambria"/>
          <w:i/>
          <w:iCs/>
        </w:rPr>
        <w:t xml:space="preserve">P. ramorum </w:t>
      </w:r>
      <w:r>
        <w:rPr>
          <w:rFonts w:ascii="Cambria" w:hAnsi="Cambria"/>
        </w:rPr>
        <w:t xml:space="preserve">infected stock from several states was traced to infected nurseries in California (Cave </w:t>
      </w:r>
      <w:r>
        <w:rPr>
          <w:rFonts w:ascii="Cambria" w:hAnsi="Cambria"/>
          <w:iCs/>
        </w:rPr>
        <w:t>et al</w:t>
      </w:r>
      <w:r>
        <w:rPr>
          <w:rFonts w:ascii="Cambria" w:hAnsi="Cambria"/>
        </w:rPr>
        <w:t xml:space="preserve">. 2008). In Europe, </w:t>
      </w:r>
      <w:r>
        <w:rPr>
          <w:rFonts w:ascii="Cambria" w:hAnsi="Cambria"/>
          <w:i/>
          <w:iCs/>
        </w:rPr>
        <w:t xml:space="preserve">P. ramorum </w:t>
      </w:r>
      <w:r>
        <w:rPr>
          <w:rFonts w:ascii="Cambria" w:hAnsi="Cambria"/>
        </w:rPr>
        <w:t xml:space="preserve">was introduced to Majorca, Spain via a shipment of infected </w:t>
      </w:r>
      <w:r>
        <w:rPr>
          <w:rFonts w:ascii="Cambria" w:hAnsi="Cambria"/>
          <w:i/>
        </w:rPr>
        <w:t xml:space="preserve">Rhododendron </w:t>
      </w:r>
      <w:r>
        <w:rPr>
          <w:rFonts w:ascii="Cambria" w:hAnsi="Cambria"/>
        </w:rPr>
        <w:t xml:space="preserve">species, and many of the infections found in nurseries in Europe could be traced to plants shipped from other nurseries (Davidson &amp; Shaw 2003; Lilja </w:t>
      </w:r>
      <w:r>
        <w:rPr>
          <w:rFonts w:ascii="Cambria" w:hAnsi="Cambria"/>
          <w:iCs/>
        </w:rPr>
        <w:t>et al.</w:t>
      </w:r>
      <w:r>
        <w:rPr>
          <w:rFonts w:ascii="Cambria" w:hAnsi="Cambria"/>
        </w:rPr>
        <w:t xml:space="preserve"> 2007; Rytkönen </w:t>
      </w:r>
      <w:r>
        <w:rPr>
          <w:rFonts w:ascii="Cambria" w:hAnsi="Cambria"/>
          <w:iCs/>
        </w:rPr>
        <w:t>et al.</w:t>
      </w:r>
      <w:r>
        <w:rPr>
          <w:rFonts w:ascii="Cambria" w:hAnsi="Cambria"/>
          <w:i/>
          <w:iCs/>
        </w:rPr>
        <w:t xml:space="preserve"> </w:t>
      </w:r>
      <w:r>
        <w:rPr>
          <w:rFonts w:ascii="Cambria" w:hAnsi="Cambria"/>
        </w:rPr>
        <w:t>2007).</w:t>
      </w:r>
    </w:p>
    <w:p w:rsidR="00E94405" w:rsidRDefault="00A11609">
      <w:pPr>
        <w:pStyle w:val="AQISNum"/>
        <w:numPr>
          <w:ilvl w:val="0"/>
          <w:numId w:val="27"/>
        </w:numPr>
        <w:tabs>
          <w:tab w:val="clear" w:pos="680"/>
          <w:tab w:val="num" w:pos="840"/>
        </w:tabs>
        <w:spacing w:before="120" w:after="120" w:line="269" w:lineRule="auto"/>
        <w:ind w:left="839" w:hanging="482"/>
        <w:rPr>
          <w:rFonts w:ascii="Cambria" w:hAnsi="Cambria"/>
          <w:szCs w:val="22"/>
        </w:rPr>
      </w:pPr>
      <w:r>
        <w:rPr>
          <w:rFonts w:ascii="Cambria" w:hAnsi="Cambria"/>
          <w:szCs w:val="22"/>
        </w:rPr>
        <w:t xml:space="preserve">Since the first discovery in Norway in 2002, </w:t>
      </w:r>
      <w:r>
        <w:rPr>
          <w:rFonts w:ascii="Cambria" w:hAnsi="Cambria"/>
          <w:i/>
          <w:iCs/>
          <w:szCs w:val="22"/>
        </w:rPr>
        <w:t xml:space="preserve">P. ramorum </w:t>
      </w:r>
      <w:r>
        <w:rPr>
          <w:rFonts w:ascii="Cambria" w:hAnsi="Cambria"/>
          <w:szCs w:val="22"/>
        </w:rPr>
        <w:t xml:space="preserve">has been intercepted at the Norwegian border on </w:t>
      </w:r>
      <w:r>
        <w:rPr>
          <w:rFonts w:ascii="Cambria" w:hAnsi="Cambria"/>
          <w:i/>
          <w:iCs/>
          <w:szCs w:val="22"/>
        </w:rPr>
        <w:t xml:space="preserve">Pieris japonica, Rhododendron </w:t>
      </w:r>
      <w:r>
        <w:rPr>
          <w:rFonts w:ascii="Cambria" w:hAnsi="Cambria"/>
          <w:szCs w:val="22"/>
        </w:rPr>
        <w:t xml:space="preserve">species and </w:t>
      </w:r>
      <w:r>
        <w:rPr>
          <w:rFonts w:ascii="Cambria" w:hAnsi="Cambria"/>
          <w:i/>
          <w:iCs/>
          <w:szCs w:val="22"/>
        </w:rPr>
        <w:t xml:space="preserve">Viburnum </w:t>
      </w:r>
      <w:r>
        <w:rPr>
          <w:rFonts w:ascii="Cambria" w:hAnsi="Cambria"/>
          <w:szCs w:val="22"/>
        </w:rPr>
        <w:t xml:space="preserve">species imported from European countries (Sundheim </w:t>
      </w:r>
      <w:r>
        <w:rPr>
          <w:rFonts w:ascii="Cambria" w:hAnsi="Cambria"/>
          <w:iCs/>
          <w:szCs w:val="22"/>
        </w:rPr>
        <w:t>et al</w:t>
      </w:r>
      <w:r>
        <w:rPr>
          <w:rFonts w:ascii="Cambria" w:hAnsi="Cambria"/>
          <w:szCs w:val="22"/>
        </w:rPr>
        <w:t xml:space="preserve">. 2009). The numerous interceptions of </w:t>
      </w:r>
      <w:r>
        <w:rPr>
          <w:rFonts w:ascii="Cambria" w:hAnsi="Cambria"/>
          <w:i/>
          <w:iCs/>
          <w:szCs w:val="22"/>
        </w:rPr>
        <w:t xml:space="preserve">P. ramorum </w:t>
      </w:r>
      <w:r>
        <w:rPr>
          <w:rFonts w:ascii="Cambria" w:hAnsi="Cambria"/>
          <w:szCs w:val="22"/>
        </w:rPr>
        <w:t>in the plant trade between European countries demonstrate the ability of this fungus to survive transport, storage handling and shipping of nursery stock (Figure 2).</w:t>
      </w:r>
    </w:p>
    <w:p w:rsidR="00E94405" w:rsidRDefault="00A11609">
      <w:pPr>
        <w:pStyle w:val="Caption"/>
        <w:rPr>
          <w:rFonts w:asciiTheme="majorHAnsi" w:eastAsiaTheme="majorEastAsia" w:hAnsiTheme="majorHAnsi" w:cstheme="majorBidi"/>
          <w:color w:val="595959" w:themeColor="text1" w:themeTint="A6"/>
          <w:sz w:val="20"/>
        </w:rPr>
      </w:pPr>
      <w:bookmarkStart w:id="114" w:name="_Toc413062155"/>
      <w:bookmarkStart w:id="115" w:name="_Toc414019477"/>
      <w:r>
        <w:rPr>
          <w:rFonts w:asciiTheme="majorHAnsi" w:eastAsiaTheme="majorEastAsia" w:hAnsiTheme="majorHAnsi" w:cstheme="majorBidi"/>
          <w:color w:val="595959" w:themeColor="text1" w:themeTint="A6"/>
          <w:sz w:val="20"/>
        </w:rPr>
        <w:t xml:space="preserve">Figure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2</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Interception of Phytophthora ramorum in Europe</w:t>
      </w:r>
      <w:bookmarkEnd w:id="114"/>
      <w:bookmarkEnd w:id="115"/>
    </w:p>
    <w:p w:rsidR="00E94405" w:rsidRDefault="00A11609">
      <w:pPr>
        <w:pStyle w:val="AQISText"/>
        <w:ind w:left="340"/>
        <w:jc w:val="center"/>
      </w:pPr>
      <w:r>
        <w:rPr>
          <w:noProof/>
        </w:rPr>
        <w:drawing>
          <wp:inline distT="0" distB="0" distL="0" distR="0">
            <wp:extent cx="2406248" cy="1748367"/>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2406248" cy="1748367"/>
                    </a:xfrm>
                    <a:prstGeom prst="rect">
                      <a:avLst/>
                    </a:prstGeom>
                    <a:noFill/>
                    <a:ln w="9525">
                      <a:noFill/>
                      <a:miter lim="800000"/>
                      <a:headEnd/>
                      <a:tailEnd/>
                    </a:ln>
                  </pic:spPr>
                </pic:pic>
              </a:graphicData>
            </a:graphic>
          </wp:inline>
        </w:drawing>
      </w:r>
    </w:p>
    <w:p w:rsidR="00E94405" w:rsidRDefault="00A11609">
      <w:pPr>
        <w:pStyle w:val="FigureTableNoteSource"/>
        <w:ind w:left="340"/>
      </w:pPr>
      <w:r>
        <w:t>Arrow thickness is proportional to the number of interceptions; arrow direction shows the direction of the interception. Source: EFSA (2011).</w:t>
      </w:r>
    </w:p>
    <w:p w:rsidR="00E94405" w:rsidRDefault="00A11609">
      <w:pPr>
        <w:pStyle w:val="Heading5"/>
        <w:spacing w:before="160" w:after="160"/>
      </w:pPr>
      <w:r>
        <w:lastRenderedPageBreak/>
        <w:t>Ability of the pest to survive existing pest management procedures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w:t>
      </w:r>
      <w:r>
        <w:rPr>
          <w:rFonts w:ascii="Cambria" w:hAnsi="Cambria"/>
        </w:rPr>
        <w:t xml:space="preserve">species are, in general, difficult to control. Fungicidal treatments in nursery stock against </w:t>
      </w:r>
      <w:r>
        <w:rPr>
          <w:rFonts w:ascii="Cambria" w:hAnsi="Cambria"/>
          <w:i/>
          <w:iCs/>
        </w:rPr>
        <w:t xml:space="preserve">P. ramorum </w:t>
      </w:r>
      <w:r>
        <w:rPr>
          <w:rFonts w:ascii="Cambria" w:hAnsi="Cambria"/>
        </w:rPr>
        <w:t xml:space="preserve">are more effective as ‘protectants’ than as ‘curatives’ as they will not exclude the pathogen from already infected plants (Tjosvold </w:t>
      </w:r>
      <w:r>
        <w:rPr>
          <w:rFonts w:ascii="Cambria" w:hAnsi="Cambria"/>
          <w:iCs/>
        </w:rPr>
        <w:t>et al.</w:t>
      </w:r>
      <w:r>
        <w:rPr>
          <w:rFonts w:ascii="Cambria" w:hAnsi="Cambria"/>
          <w:i/>
          <w:iCs/>
        </w:rPr>
        <w:t xml:space="preserve"> </w:t>
      </w:r>
      <w:r>
        <w:rPr>
          <w:rFonts w:ascii="Cambria" w:hAnsi="Cambria"/>
        </w:rPr>
        <w:t xml:space="preserve">2005; 2008). Therefore, fungicides used in the nursery will suppress symptoms caused by </w:t>
      </w:r>
      <w:r>
        <w:rPr>
          <w:rFonts w:ascii="Cambria" w:hAnsi="Cambria"/>
          <w:i/>
          <w:iCs/>
        </w:rPr>
        <w:t xml:space="preserve">Phytophthora </w:t>
      </w:r>
      <w:r>
        <w:rPr>
          <w:rFonts w:ascii="Cambria" w:hAnsi="Cambria"/>
        </w:rPr>
        <w:t>species but not cure infected plants.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use of fungicides may lower infection rates but may not completely eliminate the pathogen. This assumption is supported by the detection of </w:t>
      </w:r>
      <w:r>
        <w:rPr>
          <w:rFonts w:ascii="Cambria" w:hAnsi="Cambria"/>
          <w:i/>
          <w:iCs/>
        </w:rPr>
        <w:t xml:space="preserve">P. ramorum </w:t>
      </w:r>
      <w:r>
        <w:rPr>
          <w:rFonts w:ascii="Cambria" w:hAnsi="Cambria"/>
        </w:rPr>
        <w:t xml:space="preserve">in consignments that were treated to eradicate </w:t>
      </w:r>
      <w:r>
        <w:rPr>
          <w:rFonts w:ascii="Cambria" w:hAnsi="Cambria"/>
          <w:i/>
          <w:iCs/>
        </w:rPr>
        <w:t>P. ramorum.</w:t>
      </w:r>
      <w:r>
        <w:rPr>
          <w:rFonts w:ascii="Cambria" w:hAnsi="Cambria"/>
        </w:rPr>
        <w:t xml:space="preserve"> Furthermore, the use of fungicides may also reduce the efficacy of detection in consignments. For this reason, the removal of </w:t>
      </w:r>
      <w:r>
        <w:rPr>
          <w:rFonts w:ascii="Cambria" w:hAnsi="Cambria"/>
          <w:i/>
          <w:iCs/>
        </w:rPr>
        <w:t xml:space="preserve">P. ramorum </w:t>
      </w:r>
      <w:r>
        <w:rPr>
          <w:rFonts w:ascii="Cambria" w:hAnsi="Cambria"/>
        </w:rPr>
        <w:t xml:space="preserve">from the consignment by treatment is not considered an appropriate measure to mitigate the risk posed by </w:t>
      </w:r>
      <w:r>
        <w:rPr>
          <w:rFonts w:ascii="Cambria" w:hAnsi="Cambria"/>
          <w:i/>
          <w:iCs/>
        </w:rPr>
        <w:t xml:space="preserve">Phytophthora </w:t>
      </w:r>
      <w:r>
        <w:rPr>
          <w:rFonts w:ascii="Cambria" w:hAnsi="Cambria"/>
        </w:rPr>
        <w:t>species.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No treatment can guarantee the removal of </w:t>
      </w:r>
      <w:r>
        <w:rPr>
          <w:rFonts w:ascii="Cambria" w:hAnsi="Cambria"/>
          <w:i/>
          <w:iCs/>
        </w:rPr>
        <w:t>P. ramorum</w:t>
      </w:r>
      <w:r>
        <w:rPr>
          <w:rFonts w:ascii="Cambria" w:hAnsi="Cambria"/>
        </w:rPr>
        <w:t xml:space="preserve"> from the consignments, with the exception of heat treatments (Garbelotto 2003; Swain </w:t>
      </w:r>
      <w:r>
        <w:rPr>
          <w:rFonts w:ascii="Cambria" w:hAnsi="Cambria"/>
          <w:iCs/>
        </w:rPr>
        <w:t>et al</w:t>
      </w:r>
      <w:r>
        <w:rPr>
          <w:rFonts w:ascii="Cambria" w:hAnsi="Cambria"/>
        </w:rPr>
        <w:t xml:space="preserve">. 2002; 2006; Aveskamp &amp; Wingelaar 2005). Heat treatments were considered an effective option for the sanitation of </w:t>
      </w:r>
      <w:r>
        <w:rPr>
          <w:rFonts w:ascii="Cambria" w:hAnsi="Cambria"/>
          <w:i/>
          <w:iCs/>
        </w:rPr>
        <w:t>P. ramorum</w:t>
      </w:r>
      <w:r>
        <w:rPr>
          <w:rFonts w:ascii="Cambria" w:hAnsi="Cambria"/>
        </w:rPr>
        <w:t xml:space="preserve"> plant material; however, these kinds of treatments can only be applied on non-living commodities.</w:t>
      </w:r>
    </w:p>
    <w:p w:rsidR="00E94405" w:rsidRDefault="00A11609">
      <w:pPr>
        <w:pStyle w:val="Heading4"/>
        <w:spacing w:before="200"/>
      </w:pPr>
      <w:r>
        <w:t>Likelihood of distribution (transfer to a susceptible host)</w:t>
      </w:r>
    </w:p>
    <w:p w:rsidR="00E94405" w:rsidRDefault="00A11609">
      <w:pPr>
        <w:pStyle w:val="AQISNum"/>
        <w:spacing w:before="200" w:line="276" w:lineRule="auto"/>
        <w:rPr>
          <w:rFonts w:ascii="Cambria" w:hAnsi="Cambria"/>
          <w:szCs w:val="22"/>
        </w:rPr>
      </w:pPr>
      <w:r>
        <w:rPr>
          <w:rFonts w:ascii="Cambria" w:hAnsi="Cambria"/>
          <w:szCs w:val="22"/>
        </w:rPr>
        <w:t xml:space="preserve">The likelihood that the </w:t>
      </w:r>
      <w:r>
        <w:rPr>
          <w:rFonts w:ascii="Cambria" w:hAnsi="Cambria"/>
          <w:i/>
          <w:iCs/>
          <w:szCs w:val="22"/>
        </w:rPr>
        <w:t xml:space="preserve">Phytophthora </w:t>
      </w:r>
      <w:r>
        <w:rPr>
          <w:rFonts w:ascii="Cambria" w:hAnsi="Cambria"/>
          <w:iCs/>
          <w:szCs w:val="22"/>
        </w:rPr>
        <w:t>species</w:t>
      </w:r>
      <w:r>
        <w:rPr>
          <w:rFonts w:ascii="Cambria" w:hAnsi="Cambria"/>
          <w:i/>
          <w:iCs/>
          <w:szCs w:val="22"/>
        </w:rPr>
        <w:t xml:space="preserve"> </w:t>
      </w:r>
      <w:r>
        <w:rPr>
          <w:rFonts w:ascii="Cambria" w:hAnsi="Cambria"/>
          <w:szCs w:val="22"/>
        </w:rPr>
        <w:t xml:space="preserve">will be distributed within Australia in a viable state with imported nursery stock (including ornamental plants and propagative material) and be transferred to a suitable host is </w:t>
      </w:r>
      <w:r>
        <w:rPr>
          <w:rFonts w:ascii="Cambria" w:hAnsi="Cambria"/>
          <w:b/>
          <w:bCs/>
          <w:szCs w:val="22"/>
        </w:rPr>
        <w:t>HIGH</w:t>
      </w:r>
      <w:r>
        <w:rPr>
          <w:rFonts w:ascii="Cambria" w:hAnsi="Cambria"/>
          <w:szCs w:val="22"/>
        </w:rPr>
        <w:t>.</w:t>
      </w:r>
    </w:p>
    <w:p w:rsidR="00E94405" w:rsidRDefault="00A11609">
      <w:pPr>
        <w:pStyle w:val="Heading5"/>
        <w:spacing w:before="120"/>
      </w:pPr>
      <w:r>
        <w:t>Ability of the pest to move from the pathway to a suitable host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Phytophthora ramorum</w:t>
      </w:r>
      <w:r>
        <w:rPr>
          <w:rFonts w:ascii="Cambria" w:hAnsi="Cambria"/>
        </w:rPr>
        <w:t xml:space="preserve"> arriving in Australia with imported nursery stock does not need to move from the import pathway to a suitable host as the pathogen is already within a suitable host. Mycelium, sporangia, zoospores and chlamydospores have the potential to be associated with infected plants (Parke </w:t>
      </w:r>
      <w:r>
        <w:rPr>
          <w:rFonts w:ascii="Cambria" w:hAnsi="Cambria"/>
          <w:iCs/>
        </w:rPr>
        <w:t>et al.</w:t>
      </w:r>
      <w:r>
        <w:rPr>
          <w:rFonts w:ascii="Cambria" w:hAnsi="Cambria"/>
          <w:i/>
          <w:iCs/>
        </w:rPr>
        <w:t xml:space="preserve"> </w:t>
      </w:r>
      <w:r>
        <w:rPr>
          <w:rFonts w:ascii="Cambria" w:hAnsi="Cambria"/>
        </w:rPr>
        <w:t>2002a;</w:t>
      </w:r>
      <w:r>
        <w:rPr>
          <w:rFonts w:ascii="Cambria" w:hAnsi="Cambria"/>
          <w:i/>
          <w:iCs/>
        </w:rPr>
        <w:t xml:space="preserve"> </w:t>
      </w:r>
      <w:r>
        <w:rPr>
          <w:rFonts w:ascii="Cambria" w:hAnsi="Cambria"/>
        </w:rPr>
        <w:t xml:space="preserve">Davidson </w:t>
      </w:r>
      <w:r>
        <w:rPr>
          <w:rFonts w:ascii="Cambria" w:hAnsi="Cambria"/>
          <w:iCs/>
        </w:rPr>
        <w:t>et al.</w:t>
      </w:r>
      <w:r>
        <w:rPr>
          <w:rFonts w:ascii="Cambria" w:hAnsi="Cambria"/>
        </w:rPr>
        <w:t xml:space="preserve"> 2005; Turner </w:t>
      </w:r>
      <w:r>
        <w:rPr>
          <w:rFonts w:ascii="Cambria" w:hAnsi="Cambria"/>
          <w:iCs/>
        </w:rPr>
        <w:t>et al.</w:t>
      </w:r>
      <w:r>
        <w:rPr>
          <w:rFonts w:ascii="Cambria" w:hAnsi="Cambria"/>
        </w:rPr>
        <w:t xml:space="preserve"> 2005).</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Nursery stock of known </w:t>
      </w:r>
      <w:r>
        <w:rPr>
          <w:rFonts w:ascii="Cambria" w:hAnsi="Cambria"/>
          <w:i/>
        </w:rPr>
        <w:t>Phytophthora</w:t>
      </w:r>
      <w:r>
        <w:rPr>
          <w:rFonts w:ascii="Cambria" w:hAnsi="Cambria"/>
        </w:rPr>
        <w:t xml:space="preserve"> hosts is imported specifically for the purpose of propagation and can be a significant investment for importers. Infected nursery stock is therefore likely to be grown directly into suitable habitats at multiple locations throughout Australia. The distribution of infected nursery stock commercially will facilitate the distribution of </w:t>
      </w:r>
      <w:r>
        <w:rPr>
          <w:rFonts w:ascii="Cambria" w:hAnsi="Cambria"/>
          <w:i/>
          <w:iCs/>
        </w:rPr>
        <w:t xml:space="preserve">Phytophthora </w:t>
      </w:r>
      <w:r>
        <w:rPr>
          <w:rFonts w:ascii="Cambria" w:hAnsi="Cambria"/>
          <w:iCs/>
        </w:rPr>
        <w:t>species</w:t>
      </w:r>
      <w:r>
        <w:rPr>
          <w:rFonts w:ascii="Cambria" w:hAnsi="Cambria"/>
        </w:rPr>
        <w:t>.</w:t>
      </w:r>
      <w:r>
        <w:rPr>
          <w:rFonts w:ascii="Cambria" w:hAnsi="Cambria"/>
          <w:i/>
          <w:iCs/>
        </w:rPr>
        <w:t xml:space="preserve"> </w:t>
      </w:r>
    </w:p>
    <w:p w:rsidR="00E94405" w:rsidRDefault="00A11609">
      <w:pPr>
        <w:pStyle w:val="Heading5"/>
        <w:spacing w:before="200"/>
      </w:pPr>
      <w:r>
        <w:t>Distribution of the imported commodity in the PRA area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Infected nursery stock may be distributed to orchards, nurseries or retail shops and for backyard and amenity plantings where the fungus may continue proliferating within the host.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has a very wide host range and the conditions in nurseries are likely to favour the dispersal of the pathogen and infection of new host plants within nurseries.</w:t>
      </w:r>
    </w:p>
    <w:p w:rsidR="00E94405" w:rsidRDefault="00A11609">
      <w:pPr>
        <w:pStyle w:val="ListBullet"/>
        <w:tabs>
          <w:tab w:val="clear" w:pos="360"/>
          <w:tab w:val="num" w:pos="284"/>
        </w:tabs>
        <w:spacing w:line="269" w:lineRule="auto"/>
        <w:ind w:left="284" w:hanging="284"/>
        <w:rPr>
          <w:rFonts w:ascii="Cambria" w:hAnsi="Cambria"/>
          <w:iCs/>
        </w:rPr>
      </w:pPr>
      <w:r>
        <w:rPr>
          <w:rFonts w:ascii="Cambria" w:hAnsi="Cambria"/>
        </w:rPr>
        <w:t xml:space="preserve">Sporulation of </w:t>
      </w:r>
      <w:r>
        <w:rPr>
          <w:rFonts w:ascii="Cambria" w:hAnsi="Cambria"/>
          <w:i/>
          <w:iCs/>
        </w:rPr>
        <w:t xml:space="preserve">Phytophthora </w:t>
      </w:r>
      <w:r>
        <w:rPr>
          <w:rFonts w:ascii="Cambria" w:hAnsi="Cambria"/>
        </w:rPr>
        <w:t>species will help transfer propagules to nearby plants</w:t>
      </w:r>
      <w:r>
        <w:rPr>
          <w:rFonts w:ascii="Cambria" w:hAnsi="Cambria"/>
          <w:i/>
        </w:rPr>
        <w:t>. Phytophthora</w:t>
      </w:r>
      <w:r>
        <w:rPr>
          <w:rFonts w:ascii="Cambria" w:hAnsi="Cambria"/>
          <w:i/>
          <w:iCs/>
        </w:rPr>
        <w:t xml:space="preserve"> ramorum </w:t>
      </w:r>
      <w:r>
        <w:rPr>
          <w:rFonts w:ascii="Cambria" w:hAnsi="Cambria"/>
        </w:rPr>
        <w:t xml:space="preserve">and </w:t>
      </w:r>
      <w:r>
        <w:rPr>
          <w:rFonts w:ascii="Cambria" w:hAnsi="Cambria"/>
          <w:i/>
          <w:iCs/>
        </w:rPr>
        <w:t xml:space="preserve">P. kernoviae </w:t>
      </w:r>
      <w:r>
        <w:rPr>
          <w:rFonts w:ascii="Cambria" w:hAnsi="Cambria"/>
        </w:rPr>
        <w:t xml:space="preserve">produce sporangia on the </w:t>
      </w:r>
      <w:r>
        <w:rPr>
          <w:rFonts w:ascii="Cambria" w:hAnsi="Cambria"/>
          <w:iCs/>
        </w:rPr>
        <w:t xml:space="preserve">asymptomatic </w:t>
      </w:r>
      <w:r>
        <w:rPr>
          <w:rFonts w:ascii="Cambria" w:hAnsi="Cambria"/>
        </w:rPr>
        <w:t xml:space="preserve">infected leaves of a range of hosts including </w:t>
      </w:r>
      <w:r>
        <w:rPr>
          <w:rFonts w:ascii="Cambria" w:hAnsi="Cambria"/>
          <w:i/>
          <w:iCs/>
        </w:rPr>
        <w:t xml:space="preserve">Crataegus, Laurus, Quercus, Rhododendron, Rosa </w:t>
      </w:r>
      <w:r>
        <w:rPr>
          <w:rFonts w:ascii="Cambria" w:hAnsi="Cambria"/>
          <w:iCs/>
        </w:rPr>
        <w:t>and</w:t>
      </w:r>
      <w:r>
        <w:rPr>
          <w:rFonts w:ascii="Cambria" w:hAnsi="Cambria"/>
          <w:i/>
          <w:iCs/>
        </w:rPr>
        <w:t xml:space="preserve"> Smilax </w:t>
      </w:r>
      <w:r>
        <w:rPr>
          <w:rFonts w:ascii="Cambria" w:hAnsi="Cambria"/>
        </w:rPr>
        <w:t>(Brasier 2007)</w:t>
      </w:r>
      <w:r>
        <w:rPr>
          <w:rFonts w:ascii="Cambria" w:hAnsi="Cambria"/>
          <w:iCs/>
        </w:rPr>
        <w:t>.</w:t>
      </w:r>
      <w:r>
        <w:rPr>
          <w:rFonts w:ascii="Cambria" w:hAnsi="Cambria"/>
          <w:i/>
          <w:iCs/>
        </w:rPr>
        <w:t xml:space="preserve"> </w:t>
      </w:r>
      <w:r>
        <w:rPr>
          <w:rFonts w:ascii="Cambria" w:hAnsi="Cambria"/>
        </w:rPr>
        <w:t xml:space="preserve">Therefore, in nursery trade networks, </w:t>
      </w:r>
      <w:r>
        <w:rPr>
          <w:rFonts w:ascii="Cambria" w:hAnsi="Cambria"/>
          <w:i/>
          <w:iCs/>
        </w:rPr>
        <w:t xml:space="preserve">Phytophthora </w:t>
      </w:r>
      <w:r>
        <w:rPr>
          <w:rFonts w:ascii="Cambria" w:hAnsi="Cambria"/>
        </w:rPr>
        <w:t>species are highly likely to be transferred to and infect nearby host plants.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lastRenderedPageBreak/>
        <w:t xml:space="preserve">Phytophthora </w:t>
      </w:r>
      <w:r>
        <w:rPr>
          <w:rFonts w:ascii="Cambria" w:hAnsi="Cambria"/>
        </w:rPr>
        <w:t xml:space="preserve">species require moist conditions, and nursery environments provide these ideal conditions through dense canopies, irrigation and fertilization (Dart </w:t>
      </w:r>
      <w:r>
        <w:rPr>
          <w:rFonts w:ascii="Cambria" w:hAnsi="Cambria"/>
          <w:iCs/>
        </w:rPr>
        <w:t>et al</w:t>
      </w:r>
      <w:r>
        <w:rPr>
          <w:rFonts w:ascii="Cambria" w:hAnsi="Cambria"/>
        </w:rPr>
        <w:t xml:space="preserve">. 2007; Schwingle </w:t>
      </w:r>
      <w:r>
        <w:rPr>
          <w:rFonts w:ascii="Cambria" w:hAnsi="Cambria"/>
          <w:iCs/>
        </w:rPr>
        <w:t>et al</w:t>
      </w:r>
      <w:r>
        <w:rPr>
          <w:rFonts w:ascii="Cambria" w:hAnsi="Cambria"/>
        </w:rPr>
        <w:t>. 2007). Wet conditions are required for spore production and successful infection; sporangia and zoospores develop on the leaf surface of susceptible leaves and twigs following prolonged wetting. The sporangia give rise to zoospores, which are biflagellate spores that can swim in water. Windblown rain, direct contact of infected leaves and run off from leaves are the main ways that the pathogen is disseminated from plant to plant.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Infected nursery stock is unlikely to be grown in isolation, providing greater opportunities for the transfer of </w:t>
      </w:r>
      <w:r>
        <w:rPr>
          <w:rFonts w:ascii="Cambria" w:hAnsi="Cambria"/>
          <w:i/>
          <w:iCs/>
        </w:rPr>
        <w:t xml:space="preserve">Phytophthora </w:t>
      </w:r>
      <w:r>
        <w:rPr>
          <w:rFonts w:ascii="Cambria" w:hAnsi="Cambria"/>
        </w:rPr>
        <w:t xml:space="preserve">species to other plants. Production of sporangia on infected tissues (Parke </w:t>
      </w:r>
      <w:r>
        <w:rPr>
          <w:rFonts w:ascii="Cambria" w:hAnsi="Cambria"/>
          <w:iCs/>
        </w:rPr>
        <w:t>et al.</w:t>
      </w:r>
      <w:r>
        <w:rPr>
          <w:rFonts w:ascii="Cambria" w:hAnsi="Cambria"/>
          <w:i/>
          <w:iCs/>
        </w:rPr>
        <w:t xml:space="preserve"> </w:t>
      </w:r>
      <w:r>
        <w:rPr>
          <w:rFonts w:ascii="Cambria" w:hAnsi="Cambria"/>
        </w:rPr>
        <w:t>2002a;</w:t>
      </w:r>
      <w:r>
        <w:rPr>
          <w:rFonts w:ascii="Cambria" w:hAnsi="Cambria"/>
          <w:i/>
          <w:iCs/>
        </w:rPr>
        <w:t xml:space="preserve"> </w:t>
      </w:r>
      <w:r>
        <w:rPr>
          <w:rFonts w:ascii="Cambria" w:hAnsi="Cambria"/>
        </w:rPr>
        <w:t xml:space="preserve">Davidson </w:t>
      </w:r>
      <w:r>
        <w:rPr>
          <w:rFonts w:ascii="Cambria" w:hAnsi="Cambria"/>
          <w:iCs/>
        </w:rPr>
        <w:t>et al.</w:t>
      </w:r>
      <w:r>
        <w:rPr>
          <w:rFonts w:ascii="Cambria" w:hAnsi="Cambria"/>
        </w:rPr>
        <w:t xml:space="preserve"> 2005; Turner </w:t>
      </w:r>
      <w:r>
        <w:rPr>
          <w:rFonts w:ascii="Cambria" w:hAnsi="Cambria"/>
          <w:iCs/>
        </w:rPr>
        <w:t>et al.</w:t>
      </w:r>
      <w:r>
        <w:rPr>
          <w:rFonts w:ascii="Cambria" w:hAnsi="Cambria"/>
        </w:rPr>
        <w:t xml:space="preserve"> 2005) serves as the primary inoculum, transferring the pathogen to nearby plants under appropriate environmental conditions.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would need to survive transportation and storage within Australia. Nursery stock is expected to be maintained at moderate temperatures and humidity levels to ensure nursery stock survival, so a portion of infected nursery stock that enters the country is likely to reach areas of host abundance.</w:t>
      </w:r>
    </w:p>
    <w:p w:rsidR="00E94405" w:rsidRDefault="00A11609">
      <w:pPr>
        <w:pStyle w:val="ListBullet"/>
        <w:tabs>
          <w:tab w:val="clear" w:pos="360"/>
          <w:tab w:val="num" w:pos="284"/>
        </w:tabs>
        <w:spacing w:after="200" w:line="269" w:lineRule="auto"/>
        <w:ind w:left="284" w:hanging="284"/>
        <w:rPr>
          <w:rFonts w:ascii="Cambria" w:hAnsi="Cambria"/>
        </w:rPr>
      </w:pPr>
      <w:r>
        <w:rPr>
          <w:rFonts w:ascii="Cambria" w:hAnsi="Cambria"/>
        </w:rPr>
        <w:t xml:space="preserve">As nursery stock may not display obvious symptoms of </w:t>
      </w:r>
      <w:r>
        <w:rPr>
          <w:rFonts w:ascii="Cambria" w:hAnsi="Cambria"/>
          <w:i/>
          <w:iCs/>
        </w:rPr>
        <w:t>Phytophthora</w:t>
      </w:r>
      <w:r>
        <w:rPr>
          <w:rFonts w:ascii="Cambria" w:hAnsi="Cambria"/>
        </w:rPr>
        <w:t xml:space="preserve"> infection, there is a risk that infected plant material would be used for propagation. Material from infected plants may be used for planting directly at multiple locations in Australia. Asymptomatic plants may also be overlooked and sold to commercial users and households.</w:t>
      </w:r>
    </w:p>
    <w:p w:rsidR="00E94405" w:rsidRDefault="00A11609">
      <w:pPr>
        <w:pStyle w:val="Heading5"/>
        <w:spacing w:before="120"/>
      </w:pPr>
      <w:r>
        <w:t>Risks from by-products and waste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Although the intended use of nursery stock is for propagation, all imported material would be grown under ideal conditions and waste material may be generated. Whole or parts of the plants may be disposed of at multiple locations throughout Australia as green waste or retail waste.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Green waste containing infected host material may serve as a source of spores, even with green material dried for several months. On some plant tissue, such as </w:t>
      </w:r>
      <w:r>
        <w:rPr>
          <w:rFonts w:ascii="Cambria" w:hAnsi="Cambria"/>
          <w:i/>
        </w:rPr>
        <w:t>Rhododendron</w:t>
      </w:r>
      <w:r>
        <w:rPr>
          <w:rFonts w:ascii="Cambria" w:hAnsi="Cambria"/>
        </w:rPr>
        <w:t xml:space="preserve"> leaves, </w:t>
      </w:r>
      <w:r>
        <w:rPr>
          <w:rFonts w:ascii="Cambria" w:hAnsi="Cambria"/>
          <w:i/>
          <w:iCs/>
        </w:rPr>
        <w:t xml:space="preserve">P. ramorum </w:t>
      </w:r>
      <w:r>
        <w:rPr>
          <w:rFonts w:ascii="Cambria" w:hAnsi="Cambria"/>
        </w:rPr>
        <w:t>will still sporulate upon wetting (Davidson &amp; Shaw 2003)</w:t>
      </w:r>
      <w:r>
        <w:rPr>
          <w:rFonts w:ascii="Cambria" w:hAnsi="Cambria"/>
          <w:i/>
        </w:rPr>
        <w:t>. Phytophthora</w:t>
      </w:r>
      <w:r>
        <w:rPr>
          <w:rFonts w:ascii="Cambria" w:hAnsi="Cambria"/>
          <w:i/>
          <w:iCs/>
        </w:rPr>
        <w:t xml:space="preserve"> ramorum </w:t>
      </w:r>
      <w:r>
        <w:rPr>
          <w:rFonts w:ascii="Cambria" w:hAnsi="Cambria"/>
        </w:rPr>
        <w:t xml:space="preserve">produces sporangia and zoospores, which could disperse via rain-splash to host plants.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has a wide host range (Hüberli &amp; Garbelotto 2012) and these hosts are widespread in cities, towns and horticultural production areas throughout Australia and grown in gardens, parks, streetscapes and native plant communities in parts of Australia.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 xml:space="preserve">Phytophthora ramorum </w:t>
      </w:r>
      <w:r>
        <w:rPr>
          <w:rFonts w:ascii="Cambria" w:hAnsi="Cambria"/>
        </w:rPr>
        <w:t xml:space="preserve">may also produce chlamydospores, which will help the pathogen survive extreme temperatures, dryness and other harsh conditions. Chlamydospores are formed in plant tissues and leaves, and can survive in the soil. Soil-borne chlamydospores can survive long periods (Fichtner </w:t>
      </w:r>
      <w:r>
        <w:rPr>
          <w:rFonts w:ascii="Cambria" w:hAnsi="Cambria"/>
          <w:iCs/>
        </w:rPr>
        <w:t>et al</w:t>
      </w:r>
      <w:r>
        <w:rPr>
          <w:rFonts w:ascii="Cambria" w:hAnsi="Cambria"/>
        </w:rPr>
        <w:t>. 2009) and give rise to new sporangia that are splashed or carried to infect above-ground plant parts.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 relatively high proportion of household and retail waste would be managed through regulated refuse collection and disposal services. A proportion of garden waste would be managed through green waste centres. Unlike managed waste, garden waste is more likely to be retained in the urban and semi-urban environments for a period of time before being disposed of at green waste centres. Managed waste will remove </w:t>
      </w:r>
      <w:r>
        <w:rPr>
          <w:rFonts w:ascii="Cambria" w:hAnsi="Cambria"/>
          <w:i/>
          <w:iCs/>
        </w:rPr>
        <w:t xml:space="preserve">Phytophthora </w:t>
      </w:r>
      <w:r>
        <w:rPr>
          <w:rFonts w:ascii="Cambria" w:hAnsi="Cambria"/>
        </w:rPr>
        <w:t xml:space="preserve">species from </w:t>
      </w:r>
      <w:r>
        <w:rPr>
          <w:rFonts w:ascii="Cambria" w:hAnsi="Cambria"/>
        </w:rPr>
        <w:lastRenderedPageBreak/>
        <w:t>the household and environment, reducing the likelihood that susceptible plants will be exposed to these pathogens.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Studies have demonstrated that temperatures of 37.5–40 degrees Celsius are lethal to </w:t>
      </w:r>
      <w:r>
        <w:rPr>
          <w:rFonts w:ascii="Cambria" w:hAnsi="Cambria"/>
          <w:i/>
          <w:iCs/>
        </w:rPr>
        <w:t>P. ramorum</w:t>
      </w:r>
      <w:r>
        <w:rPr>
          <w:rFonts w:ascii="Cambria" w:hAnsi="Cambria"/>
        </w:rPr>
        <w:t xml:space="preserve"> hyphae within several hours, and that 42.5–50 degrees Celsius is lethal within a matter of minutes (Browning et al. 2008). These extreme temperatures will not commonly be encountered in nature; however, composting waste material is likely to generate high temperatures that can be lethal to a range of pathogens (Noble &amp; Roberts 2004). Studies indicate that </w:t>
      </w:r>
      <w:r>
        <w:rPr>
          <w:rFonts w:ascii="Cambria" w:hAnsi="Cambria"/>
          <w:i/>
          <w:iCs/>
        </w:rPr>
        <w:t xml:space="preserve">P. ramorum </w:t>
      </w:r>
      <w:r>
        <w:rPr>
          <w:rFonts w:ascii="Cambria" w:hAnsi="Cambria"/>
        </w:rPr>
        <w:t>in green waste mulch is killed in compost after being held at 55 degrees Celsius for two weeks (Davidson &amp; Shaw 2003).</w:t>
      </w:r>
    </w:p>
    <w:p w:rsidR="00E94405" w:rsidRDefault="00A11609">
      <w:pPr>
        <w:pStyle w:val="Heading4"/>
        <w:spacing w:before="200"/>
      </w:pPr>
      <w:r>
        <w:t>Overall likelihood of entry (importation x distribution)</w:t>
      </w:r>
    </w:p>
    <w:p w:rsidR="00E94405" w:rsidRDefault="00A11609">
      <w:pPr>
        <w:pStyle w:val="AQISNum"/>
        <w:spacing w:before="200" w:line="276" w:lineRule="auto"/>
        <w:rPr>
          <w:rFonts w:ascii="Cambria" w:hAnsi="Cambria"/>
          <w:szCs w:val="22"/>
        </w:rPr>
      </w:pPr>
      <w:r>
        <w:rPr>
          <w:rFonts w:ascii="Cambria" w:hAnsi="Cambria"/>
          <w:szCs w:val="22"/>
        </w:rPr>
        <w:t xml:space="preserve">The overall likelihood of entry of the </w:t>
      </w:r>
      <w:r>
        <w:rPr>
          <w:rFonts w:ascii="Cambria" w:hAnsi="Cambria"/>
          <w:i/>
          <w:szCs w:val="22"/>
        </w:rPr>
        <w:t xml:space="preserve">Phytophthora </w:t>
      </w:r>
      <w:r>
        <w:rPr>
          <w:rFonts w:ascii="Cambria" w:hAnsi="Cambria"/>
          <w:szCs w:val="22"/>
        </w:rPr>
        <w:t>species</w:t>
      </w:r>
      <w:r>
        <w:rPr>
          <w:rFonts w:ascii="Cambria" w:hAnsi="Cambria"/>
          <w:i/>
          <w:szCs w:val="22"/>
        </w:rPr>
        <w:t xml:space="preserve"> </w:t>
      </w:r>
      <w:r>
        <w:rPr>
          <w:rFonts w:ascii="Cambria" w:hAnsi="Cambria"/>
          <w:szCs w:val="22"/>
        </w:rPr>
        <w:t>is determined by combining the likelihood of importation with the likelihood of distribution using the matrix of rules for combining qualitative likelihoods (Table 3).</w:t>
      </w:r>
    </w:p>
    <w:p w:rsidR="00E94405" w:rsidRDefault="00A11609">
      <w:pPr>
        <w:pStyle w:val="ListBullet"/>
        <w:tabs>
          <w:tab w:val="clear" w:pos="360"/>
          <w:tab w:val="num" w:pos="284"/>
        </w:tabs>
        <w:spacing w:line="269" w:lineRule="auto"/>
        <w:ind w:left="284" w:hanging="284"/>
        <w:rPr>
          <w:rFonts w:ascii="Cambria" w:hAnsi="Cambria"/>
          <w:b/>
        </w:rPr>
      </w:pPr>
      <w:r>
        <w:rPr>
          <w:rFonts w:ascii="Cambria" w:hAnsi="Cambria"/>
          <w:color w:val="000000"/>
        </w:rPr>
        <w:t xml:space="preserve">The likelihood that the </w:t>
      </w:r>
      <w:r>
        <w:rPr>
          <w:rFonts w:ascii="Cambria" w:hAnsi="Cambria"/>
          <w:i/>
          <w:iCs/>
        </w:rPr>
        <w:t xml:space="preserve">Phytophthora </w:t>
      </w:r>
      <w:r>
        <w:rPr>
          <w:rFonts w:ascii="Cambria" w:hAnsi="Cambria"/>
          <w:iCs/>
        </w:rPr>
        <w:t>species</w:t>
      </w:r>
      <w:r>
        <w:rPr>
          <w:rFonts w:ascii="Cambria" w:hAnsi="Cambria"/>
          <w:i/>
          <w:iCs/>
        </w:rPr>
        <w:t xml:space="preserve"> </w:t>
      </w:r>
      <w:r>
        <w:rPr>
          <w:rFonts w:ascii="Cambria" w:hAnsi="Cambria"/>
          <w:color w:val="000000"/>
        </w:rPr>
        <w:t>will enter Australia with imported n</w:t>
      </w:r>
      <w:r>
        <w:rPr>
          <w:rFonts w:ascii="Cambria" w:hAnsi="Cambria"/>
        </w:rPr>
        <w:t xml:space="preserve">ursery stock (including ornamental plants and propagative material) </w:t>
      </w:r>
      <w:r>
        <w:rPr>
          <w:rFonts w:ascii="Cambria" w:hAnsi="Cambria"/>
          <w:color w:val="000000"/>
        </w:rPr>
        <w:t xml:space="preserve">from countries where these pathogens are present and transferred to a suitable host is </w:t>
      </w:r>
      <w:r>
        <w:rPr>
          <w:rFonts w:ascii="Cambria" w:hAnsi="Cambria"/>
          <w:b/>
          <w:bCs/>
          <w:color w:val="000000"/>
        </w:rPr>
        <w:t>HIGH</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Likelihood of establishment</w:t>
      </w:r>
    </w:p>
    <w:p w:rsidR="00E94405" w:rsidRDefault="00A11609">
      <w:pPr>
        <w:pStyle w:val="ListBullet"/>
        <w:numPr>
          <w:ilvl w:val="0"/>
          <w:numId w:val="0"/>
        </w:numPr>
        <w:spacing w:before="200" w:after="200"/>
        <w:rPr>
          <w:rFonts w:ascii="Cambria" w:hAnsi="Cambria"/>
        </w:rPr>
      </w:pPr>
      <w:r>
        <w:rPr>
          <w:rFonts w:ascii="Cambria" w:hAnsi="Cambria"/>
        </w:rPr>
        <w:t xml:space="preserve">The likelihood that the </w:t>
      </w:r>
      <w:r>
        <w:rPr>
          <w:rFonts w:ascii="Cambria" w:hAnsi="Cambria"/>
          <w:i/>
          <w:iCs/>
        </w:rPr>
        <w:t xml:space="preserve">Phytophthora </w:t>
      </w:r>
      <w:r>
        <w:rPr>
          <w:rFonts w:ascii="Cambria" w:hAnsi="Cambria"/>
          <w:iCs/>
        </w:rPr>
        <w:t>species</w:t>
      </w:r>
      <w:r>
        <w:rPr>
          <w:rFonts w:ascii="Cambria" w:hAnsi="Cambria"/>
        </w:rPr>
        <w:t xml:space="preserve">, having entered on imported nursery stock (including ornamental plants and propagative material), will establish within Australia, based on a comparison of factors in the source and destination areas considered pertinent to its survival and reproduction is </w:t>
      </w:r>
      <w:r>
        <w:rPr>
          <w:rFonts w:ascii="Cambria" w:hAnsi="Cambria"/>
          <w:b/>
          <w:bCs/>
        </w:rPr>
        <w:t>HIGH</w:t>
      </w:r>
      <w:r>
        <w:rPr>
          <w:rFonts w:ascii="Cambria" w:hAnsi="Cambria"/>
        </w:rPr>
        <w:t>.</w:t>
      </w:r>
    </w:p>
    <w:p w:rsidR="00E94405" w:rsidRDefault="00A11609">
      <w:pPr>
        <w:pStyle w:val="Heading4"/>
        <w:spacing w:before="200"/>
        <w:rPr>
          <w:i/>
        </w:rPr>
      </w:pPr>
      <w:r>
        <w:rPr>
          <w:i/>
        </w:rPr>
        <w:t>Availability of suitable hosts, alternative hosts and vectors in the PRA area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Association with the host will facilitate the establishment of the </w:t>
      </w:r>
      <w:r>
        <w:rPr>
          <w:rFonts w:ascii="Cambria" w:hAnsi="Cambria"/>
          <w:i/>
          <w:iCs/>
        </w:rPr>
        <w:t xml:space="preserve">Phytophthora </w:t>
      </w:r>
      <w:r>
        <w:rPr>
          <w:rFonts w:ascii="Cambria" w:hAnsi="Cambria"/>
        </w:rPr>
        <w:t>species, as these pathogens are already established with, or within, a suitable host. As host plant material is likely to be maintained in places with similar climates to the area of production, climatic conditions are expected to favour the pathogen’s establishment.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Nursery stock is intended for ongoing propagation or horticultural purposes and is deliberately introduced, distributed and aided to establish. This material will enter and then be maintained in a suitable habitat, potentially in substantial numbers and for an indeterminate period. Therefore, the introduction and establishment of plants from imported propagative material in essence establishes those pathogens associated with the propagative material.</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is a generalist plant pathogen (Hüberli &amp; Garbelotto 2012) that has an extremely broad host range. Hosts include many important shrubs and trees of ornamental or environmental significance. These natural hosts are widespread in cities, towns and horticultural production areas throughout Australia and in the natural environment. The availability of host species and a climate conducive to infection will help establish </w:t>
      </w:r>
      <w:r>
        <w:rPr>
          <w:rFonts w:ascii="Cambria" w:hAnsi="Cambria"/>
          <w:i/>
          <w:iCs/>
        </w:rPr>
        <w:t xml:space="preserve">Phytophthora </w:t>
      </w:r>
      <w:r>
        <w:rPr>
          <w:rFonts w:ascii="Cambria" w:hAnsi="Cambria"/>
        </w:rPr>
        <w:t>species in Australia.</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The type of hosts that are affected varies between countries, environmental conditions and type of pathogen causing the infection (Sundheim </w:t>
      </w:r>
      <w:r>
        <w:rPr>
          <w:rFonts w:ascii="Cambria" w:hAnsi="Cambria"/>
          <w:iCs/>
          <w:szCs w:val="22"/>
        </w:rPr>
        <w:t>et al</w:t>
      </w:r>
      <w:r>
        <w:rPr>
          <w:rFonts w:ascii="Cambria" w:hAnsi="Cambria"/>
          <w:szCs w:val="22"/>
        </w:rPr>
        <w:t xml:space="preserve">. 2009). Based on symptoms, </w:t>
      </w:r>
      <w:r>
        <w:rPr>
          <w:rFonts w:ascii="Cambria" w:hAnsi="Cambria"/>
          <w:i/>
          <w:iCs/>
          <w:szCs w:val="22"/>
        </w:rPr>
        <w:t xml:space="preserve">P. ramorum </w:t>
      </w:r>
      <w:r>
        <w:rPr>
          <w:rFonts w:ascii="Cambria" w:hAnsi="Cambria"/>
          <w:szCs w:val="22"/>
        </w:rPr>
        <w:t xml:space="preserve">hosts can be categorised as ‘canker hosts’ or ‘leaf and twig hosts’ (Davidson </w:t>
      </w:r>
      <w:r>
        <w:rPr>
          <w:rFonts w:ascii="Cambria" w:hAnsi="Cambria"/>
          <w:iCs/>
          <w:szCs w:val="22"/>
        </w:rPr>
        <w:lastRenderedPageBreak/>
        <w:t>et al.</w:t>
      </w:r>
      <w:r>
        <w:rPr>
          <w:rFonts w:ascii="Cambria" w:hAnsi="Cambria"/>
          <w:i/>
          <w:iCs/>
          <w:szCs w:val="22"/>
        </w:rPr>
        <w:t xml:space="preserve"> </w:t>
      </w:r>
      <w:r>
        <w:rPr>
          <w:rFonts w:ascii="Cambria" w:hAnsi="Cambria"/>
          <w:szCs w:val="22"/>
        </w:rPr>
        <w:t xml:space="preserve">2003b). The pathogen is polycyclic on most leaf and twig hosts (Davidson </w:t>
      </w:r>
      <w:r>
        <w:rPr>
          <w:rFonts w:ascii="Cambria" w:hAnsi="Cambria"/>
          <w:iCs/>
          <w:szCs w:val="22"/>
        </w:rPr>
        <w:t>et al.</w:t>
      </w:r>
      <w:r>
        <w:rPr>
          <w:rFonts w:ascii="Cambria" w:hAnsi="Cambria"/>
          <w:i/>
          <w:iCs/>
          <w:szCs w:val="22"/>
        </w:rPr>
        <w:t xml:space="preserve"> </w:t>
      </w:r>
      <w:r>
        <w:rPr>
          <w:rFonts w:ascii="Cambria" w:hAnsi="Cambria"/>
          <w:szCs w:val="22"/>
        </w:rPr>
        <w:t xml:space="preserve">2003a, b; 2005) and while the infection on leaf and twig hosts is rarely fatal, it can serve as a reservoir for the pathogen (Parke </w:t>
      </w:r>
      <w:r>
        <w:rPr>
          <w:rFonts w:ascii="Cambria" w:hAnsi="Cambria"/>
          <w:iCs/>
          <w:szCs w:val="22"/>
        </w:rPr>
        <w:t xml:space="preserve">et al. </w:t>
      </w:r>
      <w:r>
        <w:rPr>
          <w:rFonts w:ascii="Cambria" w:hAnsi="Cambria"/>
          <w:szCs w:val="22"/>
        </w:rPr>
        <w:t xml:space="preserve">2002b, c; Rizzo </w:t>
      </w:r>
      <w:r>
        <w:rPr>
          <w:rFonts w:ascii="Cambria" w:hAnsi="Cambria"/>
          <w:iCs/>
          <w:szCs w:val="22"/>
        </w:rPr>
        <w:t>et al.</w:t>
      </w:r>
      <w:r>
        <w:rPr>
          <w:rFonts w:ascii="Cambria" w:hAnsi="Cambria"/>
          <w:szCs w:val="22"/>
        </w:rPr>
        <w:t xml:space="preserve"> 2002a). Leaf and twig hosts are present in parts of Australia and therefore will help establish </w:t>
      </w:r>
      <w:r>
        <w:rPr>
          <w:rFonts w:ascii="Cambria" w:hAnsi="Cambria"/>
          <w:i/>
          <w:iCs/>
          <w:szCs w:val="22"/>
        </w:rPr>
        <w:t xml:space="preserve">P. ramorum </w:t>
      </w:r>
      <w:r>
        <w:rPr>
          <w:rFonts w:ascii="Cambria" w:hAnsi="Cambria"/>
          <w:szCs w:val="22"/>
        </w:rPr>
        <w:t xml:space="preserve">in Australia. </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Sporangia and chlamydospores are produced abundantly on several foliar and dieback hosts, including </w:t>
      </w:r>
      <w:r>
        <w:rPr>
          <w:rFonts w:ascii="Cambria" w:hAnsi="Cambria"/>
          <w:i/>
          <w:iCs/>
          <w:szCs w:val="22"/>
        </w:rPr>
        <w:t xml:space="preserve">Umbellularia californica </w:t>
      </w:r>
      <w:r>
        <w:rPr>
          <w:rFonts w:ascii="Cambria" w:hAnsi="Cambria"/>
          <w:szCs w:val="22"/>
        </w:rPr>
        <w:t xml:space="preserve">(Davidson </w:t>
      </w:r>
      <w:r>
        <w:rPr>
          <w:rFonts w:ascii="Cambria" w:hAnsi="Cambria"/>
          <w:iCs/>
          <w:szCs w:val="22"/>
        </w:rPr>
        <w:t>et al.</w:t>
      </w:r>
      <w:r>
        <w:rPr>
          <w:rFonts w:ascii="Cambria" w:hAnsi="Cambria"/>
          <w:i/>
          <w:iCs/>
          <w:szCs w:val="22"/>
        </w:rPr>
        <w:t xml:space="preserve"> </w:t>
      </w:r>
      <w:r>
        <w:rPr>
          <w:rFonts w:ascii="Cambria" w:hAnsi="Cambria"/>
          <w:szCs w:val="22"/>
        </w:rPr>
        <w:t xml:space="preserve">2002b), </w:t>
      </w:r>
      <w:r>
        <w:rPr>
          <w:rFonts w:ascii="Cambria" w:hAnsi="Cambria"/>
          <w:i/>
          <w:iCs/>
          <w:szCs w:val="22"/>
        </w:rPr>
        <w:t>Rhododendron</w:t>
      </w:r>
      <w:r>
        <w:rPr>
          <w:rFonts w:ascii="Cambria" w:hAnsi="Cambria"/>
          <w:szCs w:val="22"/>
        </w:rPr>
        <w:t xml:space="preserve"> and </w:t>
      </w:r>
      <w:r>
        <w:rPr>
          <w:rFonts w:ascii="Cambria" w:hAnsi="Cambria"/>
          <w:i/>
          <w:iCs/>
          <w:szCs w:val="22"/>
        </w:rPr>
        <w:t xml:space="preserve">Kalmia latifolia </w:t>
      </w:r>
      <w:r>
        <w:rPr>
          <w:rFonts w:ascii="Cambria" w:hAnsi="Cambria"/>
          <w:szCs w:val="22"/>
        </w:rPr>
        <w:t xml:space="preserve">(DEFRA 2004). Foliar hosts including </w:t>
      </w:r>
      <w:r>
        <w:rPr>
          <w:rFonts w:ascii="Cambria" w:hAnsi="Cambria"/>
          <w:i/>
          <w:szCs w:val="22"/>
        </w:rPr>
        <w:t>Rhododendron</w:t>
      </w:r>
      <w:r>
        <w:rPr>
          <w:rFonts w:ascii="Cambria" w:hAnsi="Cambria"/>
          <w:szCs w:val="22"/>
        </w:rPr>
        <w:t xml:space="preserve"> and </w:t>
      </w:r>
      <w:r>
        <w:rPr>
          <w:rFonts w:ascii="Cambria" w:hAnsi="Cambria"/>
          <w:i/>
          <w:iCs/>
          <w:szCs w:val="22"/>
        </w:rPr>
        <w:t xml:space="preserve">U. californica </w:t>
      </w:r>
      <w:r>
        <w:rPr>
          <w:rFonts w:ascii="Cambria" w:hAnsi="Cambria"/>
          <w:szCs w:val="22"/>
        </w:rPr>
        <w:t xml:space="preserve">play an important role in building up </w:t>
      </w:r>
      <w:r>
        <w:rPr>
          <w:rFonts w:ascii="Cambria" w:hAnsi="Cambria"/>
          <w:i/>
          <w:iCs/>
          <w:szCs w:val="22"/>
        </w:rPr>
        <w:t xml:space="preserve">P. ramorum </w:t>
      </w:r>
      <w:r>
        <w:rPr>
          <w:rFonts w:ascii="Cambria" w:hAnsi="Cambria"/>
          <w:szCs w:val="22"/>
        </w:rPr>
        <w:t xml:space="preserve">inoculum. The availability of susceptible and sporulating hosts will help establish </w:t>
      </w:r>
      <w:r>
        <w:rPr>
          <w:rFonts w:ascii="Cambria" w:hAnsi="Cambria"/>
          <w:i/>
          <w:iCs/>
          <w:szCs w:val="22"/>
        </w:rPr>
        <w:t>P. ramorum</w:t>
      </w:r>
      <w:r>
        <w:rPr>
          <w:rFonts w:ascii="Cambria" w:hAnsi="Cambria"/>
          <w:szCs w:val="22"/>
        </w:rPr>
        <w:t xml:space="preserve"> in Australia and can lead to the infection of many other native plant species 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Several host genera of </w:t>
      </w:r>
      <w:r>
        <w:rPr>
          <w:rFonts w:ascii="Cambria" w:hAnsi="Cambria"/>
          <w:i/>
          <w:iCs/>
        </w:rPr>
        <w:t xml:space="preserve">P. ramorum </w:t>
      </w:r>
      <w:r>
        <w:rPr>
          <w:rFonts w:ascii="Cambria" w:hAnsi="Cambria"/>
        </w:rPr>
        <w:t>are widely distributed in temperate and Mediterranean regions and grow in gardens, parks, streetscapes and native plant communities in parts of Australia (Appendix A). They include genera that are cultivated (</w:t>
      </w:r>
      <w:r>
        <w:rPr>
          <w:rFonts w:ascii="Cambria" w:hAnsi="Cambria"/>
          <w:i/>
          <w:iCs/>
        </w:rPr>
        <w:t xml:space="preserve">Arbutus </w:t>
      </w:r>
      <w:r>
        <w:rPr>
          <w:rFonts w:ascii="Cambria" w:hAnsi="Cambria"/>
          <w:iCs/>
        </w:rPr>
        <w:t>species</w:t>
      </w:r>
      <w:r>
        <w:rPr>
          <w:rFonts w:ascii="Cambria" w:hAnsi="Cambria"/>
          <w:i/>
          <w:iCs/>
        </w:rPr>
        <w:t xml:space="preserve">, Quercus </w:t>
      </w:r>
      <w:r>
        <w:rPr>
          <w:rFonts w:ascii="Cambria" w:hAnsi="Cambria"/>
          <w:iCs/>
        </w:rPr>
        <w:t>species</w:t>
      </w:r>
      <w:r>
        <w:rPr>
          <w:rFonts w:ascii="Cambria" w:hAnsi="Cambria"/>
          <w:i/>
          <w:iCs/>
        </w:rPr>
        <w:t xml:space="preserve">, Rhododendron </w:t>
      </w:r>
      <w:r>
        <w:rPr>
          <w:rFonts w:ascii="Cambria" w:hAnsi="Cambria"/>
          <w:iCs/>
        </w:rPr>
        <w:t>species</w:t>
      </w:r>
      <w:r>
        <w:rPr>
          <w:rFonts w:ascii="Cambria" w:hAnsi="Cambria"/>
          <w:i/>
          <w:iCs/>
        </w:rPr>
        <w:t xml:space="preserve">, Viburnum </w:t>
      </w:r>
      <w:r>
        <w:rPr>
          <w:rFonts w:ascii="Cambria" w:hAnsi="Cambria"/>
          <w:iCs/>
        </w:rPr>
        <w:t>species</w:t>
      </w:r>
      <w:r>
        <w:rPr>
          <w:rFonts w:ascii="Cambria" w:hAnsi="Cambria"/>
        </w:rPr>
        <w:t>), naturalised (</w:t>
      </w:r>
      <w:r>
        <w:rPr>
          <w:rFonts w:ascii="Cambria" w:hAnsi="Cambria"/>
          <w:i/>
          <w:iCs/>
        </w:rPr>
        <w:t xml:space="preserve">Acer </w:t>
      </w:r>
      <w:r>
        <w:rPr>
          <w:rFonts w:ascii="Cambria" w:hAnsi="Cambria"/>
          <w:iCs/>
        </w:rPr>
        <w:t>species</w:t>
      </w:r>
      <w:r>
        <w:rPr>
          <w:rFonts w:ascii="Cambria" w:hAnsi="Cambria"/>
          <w:i/>
          <w:iCs/>
        </w:rPr>
        <w:t xml:space="preserve">, Lonicera </w:t>
      </w:r>
      <w:r>
        <w:rPr>
          <w:rFonts w:ascii="Cambria" w:hAnsi="Cambria"/>
          <w:iCs/>
        </w:rPr>
        <w:t>species</w:t>
      </w:r>
      <w:r>
        <w:rPr>
          <w:rFonts w:ascii="Cambria" w:hAnsi="Cambria"/>
          <w:i/>
          <w:iCs/>
        </w:rPr>
        <w:t xml:space="preserve">, Salix </w:t>
      </w:r>
      <w:r>
        <w:rPr>
          <w:rFonts w:ascii="Cambria" w:hAnsi="Cambria"/>
          <w:iCs/>
        </w:rPr>
        <w:t>species</w:t>
      </w:r>
      <w:r>
        <w:rPr>
          <w:rFonts w:ascii="Cambria" w:hAnsi="Cambria"/>
        </w:rPr>
        <w:t>) and native (</w:t>
      </w:r>
      <w:r>
        <w:rPr>
          <w:rFonts w:ascii="Cambria" w:hAnsi="Cambria"/>
          <w:i/>
          <w:iCs/>
        </w:rPr>
        <w:t xml:space="preserve">Adiantum </w:t>
      </w:r>
      <w:r>
        <w:rPr>
          <w:rFonts w:ascii="Cambria" w:hAnsi="Cambria"/>
          <w:iCs/>
        </w:rPr>
        <w:t>species</w:t>
      </w:r>
      <w:r>
        <w:rPr>
          <w:rFonts w:ascii="Cambria" w:hAnsi="Cambria"/>
          <w:i/>
          <w:iCs/>
        </w:rPr>
        <w:t xml:space="preserve">, Cinnamomum </w:t>
      </w:r>
      <w:r>
        <w:rPr>
          <w:rFonts w:ascii="Cambria" w:hAnsi="Cambria"/>
          <w:iCs/>
        </w:rPr>
        <w:t>species</w:t>
      </w:r>
      <w:r>
        <w:rPr>
          <w:rFonts w:ascii="Cambria" w:hAnsi="Cambria"/>
          <w:i/>
          <w:iCs/>
        </w:rPr>
        <w:t xml:space="preserve">, Dryopteris </w:t>
      </w:r>
      <w:r>
        <w:rPr>
          <w:rFonts w:ascii="Cambria" w:hAnsi="Cambria"/>
          <w:iCs/>
        </w:rPr>
        <w:t>species</w:t>
      </w:r>
      <w:r>
        <w:rPr>
          <w:rFonts w:ascii="Cambria" w:hAnsi="Cambria"/>
          <w:i/>
          <w:iCs/>
        </w:rPr>
        <w:t>, Eucalyptus</w:t>
      </w:r>
      <w:r>
        <w:rPr>
          <w:rFonts w:ascii="Cambria" w:hAnsi="Cambria"/>
          <w:iCs/>
        </w:rPr>
        <w:t xml:space="preserve"> species</w:t>
      </w:r>
      <w:r>
        <w:rPr>
          <w:rFonts w:ascii="Cambria" w:hAnsi="Cambria"/>
          <w:i/>
          <w:iCs/>
        </w:rPr>
        <w:t xml:space="preserve">, Euonymus </w:t>
      </w:r>
      <w:r>
        <w:rPr>
          <w:rFonts w:ascii="Cambria" w:hAnsi="Cambria"/>
          <w:iCs/>
        </w:rPr>
        <w:t>species</w:t>
      </w:r>
      <w:r>
        <w:rPr>
          <w:rFonts w:ascii="Cambria" w:hAnsi="Cambria"/>
          <w:i/>
          <w:iCs/>
        </w:rPr>
        <w:t xml:space="preserve">, Gaultheria </w:t>
      </w:r>
      <w:r>
        <w:rPr>
          <w:rFonts w:ascii="Cambria" w:hAnsi="Cambria"/>
          <w:iCs/>
        </w:rPr>
        <w:t>species</w:t>
      </w:r>
      <w:r>
        <w:rPr>
          <w:rFonts w:ascii="Cambria" w:hAnsi="Cambria"/>
          <w:i/>
          <w:iCs/>
        </w:rPr>
        <w:t xml:space="preserve">, Ilex </w:t>
      </w:r>
      <w:r>
        <w:rPr>
          <w:rFonts w:ascii="Cambria" w:hAnsi="Cambria"/>
          <w:iCs/>
        </w:rPr>
        <w:t>species</w:t>
      </w:r>
      <w:r>
        <w:rPr>
          <w:rFonts w:ascii="Cambria" w:hAnsi="Cambria"/>
          <w:i/>
          <w:iCs/>
        </w:rPr>
        <w:t xml:space="preserve">, Nothofagus </w:t>
      </w:r>
      <w:r>
        <w:rPr>
          <w:rFonts w:ascii="Cambria" w:hAnsi="Cambria"/>
          <w:iCs/>
        </w:rPr>
        <w:t>species</w:t>
      </w:r>
      <w:r>
        <w:rPr>
          <w:rFonts w:ascii="Cambria" w:hAnsi="Cambria"/>
          <w:i/>
          <w:iCs/>
        </w:rPr>
        <w:t xml:space="preserve">, Pittosporum </w:t>
      </w:r>
      <w:r>
        <w:rPr>
          <w:rFonts w:ascii="Cambria" w:hAnsi="Cambria"/>
          <w:iCs/>
        </w:rPr>
        <w:t>species</w:t>
      </w:r>
      <w:r>
        <w:rPr>
          <w:rFonts w:ascii="Cambria" w:hAnsi="Cambria"/>
          <w:i/>
          <w:iCs/>
        </w:rPr>
        <w:t xml:space="preserve">, Rhododendron </w:t>
      </w:r>
      <w:r>
        <w:rPr>
          <w:rFonts w:ascii="Cambria" w:hAnsi="Cambria"/>
          <w:iCs/>
        </w:rPr>
        <w:t>species</w:t>
      </w:r>
      <w:r>
        <w:rPr>
          <w:rFonts w:ascii="Cambria" w:hAnsi="Cambria"/>
          <w:i/>
          <w:iCs/>
        </w:rPr>
        <w:t xml:space="preserve">, Rubus </w:t>
      </w:r>
      <w:r>
        <w:rPr>
          <w:rFonts w:ascii="Cambria" w:hAnsi="Cambria"/>
          <w:iCs/>
        </w:rPr>
        <w:t>species</w:t>
      </w:r>
      <w:r>
        <w:rPr>
          <w:rFonts w:ascii="Cambria" w:hAnsi="Cambria"/>
        </w:rPr>
        <w:t>).</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Several Australasian plant species, including </w:t>
      </w:r>
      <w:r>
        <w:rPr>
          <w:rFonts w:ascii="Cambria" w:hAnsi="Cambria"/>
          <w:i/>
          <w:iCs/>
          <w:szCs w:val="22"/>
        </w:rPr>
        <w:t>Eucalyptus haemastoma,</w:t>
      </w:r>
      <w:r>
        <w:rPr>
          <w:rFonts w:ascii="Cambria" w:hAnsi="Cambria"/>
          <w:szCs w:val="22"/>
        </w:rPr>
        <w:t xml:space="preserve"> </w:t>
      </w:r>
      <w:r>
        <w:rPr>
          <w:rFonts w:ascii="Cambria" w:hAnsi="Cambria"/>
          <w:i/>
          <w:iCs/>
          <w:szCs w:val="22"/>
        </w:rPr>
        <w:t>Griselinia littoralis</w:t>
      </w:r>
      <w:r>
        <w:rPr>
          <w:rFonts w:ascii="Cambria" w:hAnsi="Cambria"/>
          <w:szCs w:val="22"/>
        </w:rPr>
        <w:t xml:space="preserve"> and </w:t>
      </w:r>
      <w:r>
        <w:rPr>
          <w:rFonts w:ascii="Cambria" w:hAnsi="Cambria"/>
          <w:i/>
          <w:iCs/>
          <w:szCs w:val="22"/>
        </w:rPr>
        <w:t xml:space="preserve">Pittosporum undulatum </w:t>
      </w:r>
      <w:r>
        <w:rPr>
          <w:rFonts w:ascii="Cambria" w:hAnsi="Cambria"/>
          <w:szCs w:val="22"/>
        </w:rPr>
        <w:t xml:space="preserve">are known natural hosts of </w:t>
      </w:r>
      <w:r>
        <w:rPr>
          <w:rFonts w:ascii="Cambria" w:hAnsi="Cambria"/>
          <w:i/>
          <w:iCs/>
          <w:szCs w:val="22"/>
        </w:rPr>
        <w:t xml:space="preserve">P. ramorum </w:t>
      </w:r>
      <w:r>
        <w:rPr>
          <w:rFonts w:ascii="Cambria" w:hAnsi="Cambria"/>
          <w:szCs w:val="22"/>
        </w:rPr>
        <w:t xml:space="preserve">(Hüberli </w:t>
      </w:r>
      <w:r>
        <w:rPr>
          <w:rFonts w:ascii="Cambria" w:hAnsi="Cambria"/>
          <w:iCs/>
          <w:szCs w:val="22"/>
        </w:rPr>
        <w:t>et al</w:t>
      </w:r>
      <w:r>
        <w:rPr>
          <w:rFonts w:ascii="Cambria" w:hAnsi="Cambria"/>
          <w:szCs w:val="22"/>
        </w:rPr>
        <w:t xml:space="preserve">. 2006). These species are widespread in parts of Australia and will act as foliar sporulating hosts, thereby helping </w:t>
      </w:r>
      <w:r>
        <w:rPr>
          <w:rFonts w:ascii="Cambria" w:hAnsi="Cambria"/>
          <w:i/>
          <w:szCs w:val="22"/>
        </w:rPr>
        <w:t xml:space="preserve">P. ramorum </w:t>
      </w:r>
      <w:r>
        <w:rPr>
          <w:rFonts w:ascii="Cambria" w:hAnsi="Cambria"/>
          <w:szCs w:val="22"/>
        </w:rPr>
        <w:t>to establish 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Infestations by </w:t>
      </w:r>
      <w:r>
        <w:rPr>
          <w:rFonts w:ascii="Cambria" w:hAnsi="Cambria"/>
          <w:i/>
          <w:iCs/>
        </w:rPr>
        <w:t xml:space="preserve">P. ramorum </w:t>
      </w:r>
      <w:r>
        <w:rPr>
          <w:rFonts w:ascii="Cambria" w:hAnsi="Cambria"/>
        </w:rPr>
        <w:t xml:space="preserve">are virtually invisible for variable periods of time, depending on the affected ecosystem. If a foliar host is driving the epidemic (for example, bay laurel or </w:t>
      </w:r>
      <w:r>
        <w:rPr>
          <w:rFonts w:ascii="Cambria" w:hAnsi="Cambria"/>
          <w:i/>
        </w:rPr>
        <w:t>Rhododendron</w:t>
      </w:r>
      <w:r>
        <w:rPr>
          <w:rFonts w:ascii="Cambria" w:hAnsi="Cambria"/>
        </w:rPr>
        <w:t xml:space="preserve">), there may be a long lag phase between infection and symptom expression as symptoms are hard to detect on foliar hosts. Symptoms on these foliar hosts often manifest as small lesions, which are not very visible and can be easily confused with symptoms caused by other agents (Wickland </w:t>
      </w:r>
      <w:r>
        <w:rPr>
          <w:rFonts w:ascii="Cambria" w:hAnsi="Cambria"/>
          <w:iCs/>
        </w:rPr>
        <w:t>et al</w:t>
      </w:r>
      <w:r>
        <w:rPr>
          <w:rFonts w:ascii="Cambria" w:hAnsi="Cambria"/>
        </w:rPr>
        <w:t xml:space="preserve">. 2008). In addition, infected hosts such as </w:t>
      </w:r>
      <w:r>
        <w:rPr>
          <w:rFonts w:ascii="Cambria" w:hAnsi="Cambria"/>
          <w:i/>
        </w:rPr>
        <w:t>R</w:t>
      </w:r>
      <w:r>
        <w:rPr>
          <w:rFonts w:ascii="Cambria" w:hAnsi="Cambria"/>
          <w:i/>
          <w:iCs/>
        </w:rPr>
        <w:t>hododendron</w:t>
      </w:r>
      <w:r>
        <w:rPr>
          <w:rFonts w:ascii="Cambria" w:hAnsi="Cambria"/>
          <w:iCs/>
        </w:rPr>
        <w:t xml:space="preserve"> species</w:t>
      </w:r>
      <w:r>
        <w:rPr>
          <w:rFonts w:ascii="Cambria" w:hAnsi="Cambria"/>
        </w:rPr>
        <w:t xml:space="preserve"> can be asymptomatic (Denman </w:t>
      </w:r>
      <w:r>
        <w:rPr>
          <w:rFonts w:ascii="Cambria" w:hAnsi="Cambria"/>
          <w:iCs/>
        </w:rPr>
        <w:t>et al</w:t>
      </w:r>
      <w:r>
        <w:rPr>
          <w:rFonts w:ascii="Cambria" w:hAnsi="Cambria"/>
        </w:rPr>
        <w:t xml:space="preserve">. 2009). These characteristics will help establish </w:t>
      </w:r>
      <w:r>
        <w:rPr>
          <w:rFonts w:ascii="Cambria" w:hAnsi="Cambria"/>
          <w:i/>
          <w:iCs/>
        </w:rPr>
        <w:t xml:space="preserve">Phytophthora ramorum </w:t>
      </w:r>
      <w:r>
        <w:rPr>
          <w:rFonts w:ascii="Cambria" w:hAnsi="Cambria"/>
        </w:rPr>
        <w:t>in Australia.</w:t>
      </w:r>
    </w:p>
    <w:p w:rsidR="00E94405" w:rsidRDefault="00A11609">
      <w:pPr>
        <w:pStyle w:val="Heading4"/>
        <w:spacing w:before="200"/>
        <w:rPr>
          <w:i/>
        </w:rPr>
      </w:pPr>
      <w:r>
        <w:rPr>
          <w:i/>
        </w:rPr>
        <w:t>Suitability of the environment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w:t>
      </w:r>
      <w:r>
        <w:rPr>
          <w:rFonts w:ascii="Cambria" w:hAnsi="Cambria"/>
        </w:rPr>
        <w:t>species (</w:t>
      </w:r>
      <w:r>
        <w:rPr>
          <w:rFonts w:ascii="Cambria" w:hAnsi="Cambria"/>
          <w:i/>
          <w:iCs/>
        </w:rPr>
        <w:t xml:space="preserve">P. kernoviae, P. nemorosa, P. pseudosyringae </w:t>
      </w:r>
      <w:r>
        <w:rPr>
          <w:rFonts w:ascii="Cambria" w:hAnsi="Cambria"/>
        </w:rPr>
        <w:t xml:space="preserve">and </w:t>
      </w:r>
      <w:r>
        <w:rPr>
          <w:rFonts w:ascii="Cambria" w:hAnsi="Cambria"/>
          <w:i/>
          <w:iCs/>
        </w:rPr>
        <w:t>P. ramorum</w:t>
      </w:r>
      <w:r>
        <w:rPr>
          <w:rFonts w:ascii="Cambria" w:hAnsi="Cambria"/>
        </w:rPr>
        <w:t>) have established in areas with a wide range of climatic conditions (Map 3)</w:t>
      </w:r>
      <w:r>
        <w:rPr>
          <w:rFonts w:ascii="Cambria" w:hAnsi="Cambria"/>
          <w:color w:val="000000" w:themeColor="text1"/>
        </w:rPr>
        <w:t>.</w:t>
      </w:r>
      <w:r>
        <w:rPr>
          <w:rFonts w:ascii="Cambria" w:hAnsi="Cambria"/>
        </w:rPr>
        <w:t xml:space="preserve"> The current reported distribution of </w:t>
      </w:r>
      <w:r>
        <w:rPr>
          <w:rFonts w:ascii="Cambria" w:hAnsi="Cambria"/>
          <w:i/>
          <w:iCs/>
        </w:rPr>
        <w:t xml:space="preserve">Phytophthora </w:t>
      </w:r>
      <w:r>
        <w:rPr>
          <w:rFonts w:ascii="Cambria" w:hAnsi="Cambria"/>
        </w:rPr>
        <w:t xml:space="preserve">species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suggests an ability to establish in new environments. There are similar climatic regions in parts of Australia that would be suitable for the establishment of these </w:t>
      </w:r>
      <w:r>
        <w:rPr>
          <w:rFonts w:ascii="Cambria" w:hAnsi="Cambria"/>
          <w:i/>
          <w:iCs/>
        </w:rPr>
        <w:t xml:space="preserve">Phytophthora </w:t>
      </w:r>
      <w:r>
        <w:rPr>
          <w:rFonts w:ascii="Cambria" w:hAnsi="Cambria"/>
        </w:rPr>
        <w:t xml:space="preserve">species; therefore, </w:t>
      </w:r>
      <w:r>
        <w:rPr>
          <w:rFonts w:ascii="Cambria" w:hAnsi="Cambria"/>
          <w:i/>
          <w:iCs/>
        </w:rPr>
        <w:t xml:space="preserve">Phytophthora </w:t>
      </w:r>
      <w:r>
        <w:rPr>
          <w:rFonts w:ascii="Cambria" w:hAnsi="Cambria"/>
        </w:rPr>
        <w:t xml:space="preserve">species are likely to be able to establish in Australia.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Foliar hosts play an important role in building up inoculum of these </w:t>
      </w:r>
      <w:r>
        <w:rPr>
          <w:rFonts w:ascii="Cambria" w:hAnsi="Cambria"/>
          <w:i/>
          <w:iCs/>
        </w:rPr>
        <w:t xml:space="preserve">Phytophthora </w:t>
      </w:r>
      <w:r>
        <w:rPr>
          <w:rFonts w:ascii="Cambria" w:hAnsi="Cambria"/>
        </w:rPr>
        <w:t xml:space="preserve">species. The availability of susceptible and sporulating hosts will help establish these </w:t>
      </w:r>
      <w:r>
        <w:rPr>
          <w:rFonts w:ascii="Cambria" w:hAnsi="Cambria"/>
          <w:i/>
          <w:iCs/>
        </w:rPr>
        <w:t xml:space="preserve">Phytophthora </w:t>
      </w:r>
      <w:r>
        <w:rPr>
          <w:rFonts w:ascii="Cambria" w:hAnsi="Cambria"/>
        </w:rPr>
        <w:t>species in Australia and can lead to infection of many other native plant species.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origin of </w:t>
      </w:r>
      <w:r>
        <w:rPr>
          <w:rFonts w:ascii="Cambria" w:hAnsi="Cambria"/>
          <w:i/>
          <w:iCs/>
        </w:rPr>
        <w:t xml:space="preserve">P. ramorum </w:t>
      </w:r>
      <w:r>
        <w:rPr>
          <w:rFonts w:ascii="Cambria" w:hAnsi="Cambria"/>
        </w:rPr>
        <w:t xml:space="preserve">is not known and is difficult to determine; however, this species is now established in Belgium, Canada, Croatia, Czech Republic, Denmark, Estonia, Finland, France, Germany, Greece, India, Ireland, Italy, Latvia, Lithuania, Luxembourg, the Netherlands, Norway, Poland, Portugal, Serbia, Slovenia, Spain, Sweden, Switzerland, the UK </w:t>
      </w:r>
      <w:r>
        <w:rPr>
          <w:rFonts w:ascii="Cambria" w:hAnsi="Cambria"/>
        </w:rPr>
        <w:lastRenderedPageBreak/>
        <w:t xml:space="preserve">and the </w:t>
      </w:r>
      <w:r>
        <w:rPr>
          <w:rFonts w:ascii="Cambria" w:hAnsi="Cambria"/>
          <w:color w:val="000000" w:themeColor="text1"/>
        </w:rPr>
        <w:t>USA (</w:t>
      </w:r>
      <w:r>
        <w:rPr>
          <w:rFonts w:ascii="Cambria" w:eastAsia="Calibri" w:hAnsi="Cambria"/>
          <w:color w:val="000000" w:themeColor="text1"/>
        </w:rPr>
        <w:t>Denman et al. 2009; EPPO 2012; FERA 2012; Sansford et al. 2009; Gomes &amp; Amaro 2009;</w:t>
      </w:r>
      <w:r>
        <w:rPr>
          <w:rFonts w:ascii="Cambria" w:hAnsi="Cambria"/>
          <w:color w:val="000000" w:themeColor="text1"/>
        </w:rPr>
        <w:t xml:space="preserve"> Mathew &amp; Beena 2012).</w:t>
      </w:r>
      <w:r>
        <w:rPr>
          <w:rFonts w:ascii="Cambria" w:hAnsi="Cambria"/>
        </w:rPr>
        <w:t xml:space="preserve"> The climatic regions across this range are diverse and there are similar climatic regions in parts of Australia that would be suitable for the establishment of </w:t>
      </w:r>
      <w:r>
        <w:rPr>
          <w:rFonts w:ascii="Cambria" w:hAnsi="Cambria"/>
          <w:i/>
          <w:iCs/>
        </w:rPr>
        <w:t>P. ramorum</w:t>
      </w:r>
      <w:r>
        <w:rPr>
          <w:rFonts w:ascii="Cambria" w:hAnsi="Cambria"/>
        </w:rPr>
        <w:t xml:space="preserve"> (Map 4) (Ireland et al. 2013).</w:t>
      </w:r>
    </w:p>
    <w:p w:rsidR="00E94405" w:rsidRDefault="00A11609">
      <w:pPr>
        <w:pStyle w:val="Caption"/>
        <w:rPr>
          <w:rFonts w:asciiTheme="majorHAnsi" w:eastAsiaTheme="majorEastAsia" w:hAnsiTheme="majorHAnsi" w:cstheme="majorBidi"/>
          <w:color w:val="595959" w:themeColor="text1" w:themeTint="A6"/>
          <w:sz w:val="20"/>
        </w:rPr>
      </w:pPr>
      <w:bookmarkStart w:id="116" w:name="_Toc386709918"/>
      <w:bookmarkStart w:id="117" w:name="_Toc392494640"/>
      <w:bookmarkStart w:id="118" w:name="_Toc392503883"/>
      <w:bookmarkStart w:id="119" w:name="_Toc409685810"/>
      <w:bookmarkStart w:id="120" w:name="_Toc412625748"/>
      <w:bookmarkStart w:id="121" w:name="_Toc414019478"/>
      <w:bookmarkStart w:id="122" w:name="_Toc414019485"/>
      <w:r>
        <w:rPr>
          <w:rFonts w:asciiTheme="majorHAnsi" w:eastAsiaTheme="majorEastAsia" w:hAnsiTheme="majorHAnsi" w:cstheme="majorBidi"/>
          <w:color w:val="595959" w:themeColor="text1" w:themeTint="A6"/>
          <w:sz w:val="20"/>
        </w:rPr>
        <w:t xml:space="preserve">Map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4</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Areas suitable for the establishment of </w:t>
      </w:r>
      <w:r>
        <w:rPr>
          <w:rFonts w:asciiTheme="majorHAnsi" w:eastAsiaTheme="majorEastAsia" w:hAnsiTheme="majorHAnsi" w:cstheme="majorBidi"/>
          <w:i/>
          <w:color w:val="595959" w:themeColor="text1" w:themeTint="A6"/>
          <w:sz w:val="20"/>
        </w:rPr>
        <w:t>Phytophthora ramorum</w:t>
      </w:r>
      <w:r>
        <w:rPr>
          <w:rFonts w:asciiTheme="majorHAnsi" w:eastAsiaTheme="majorEastAsia" w:hAnsiTheme="majorHAnsi" w:cstheme="majorBidi"/>
          <w:color w:val="595959" w:themeColor="text1" w:themeTint="A6"/>
          <w:sz w:val="20"/>
        </w:rPr>
        <w:t xml:space="preserve"> in Australia</w:t>
      </w:r>
      <w:bookmarkEnd w:id="116"/>
      <w:bookmarkEnd w:id="117"/>
      <w:bookmarkEnd w:id="118"/>
      <w:bookmarkEnd w:id="119"/>
      <w:bookmarkEnd w:id="120"/>
      <w:bookmarkEnd w:id="121"/>
      <w:bookmarkEnd w:id="122"/>
    </w:p>
    <w:p w:rsidR="00E94405" w:rsidRDefault="00A11609">
      <w:pPr>
        <w:pStyle w:val="AQISText"/>
        <w:jc w:val="center"/>
      </w:pPr>
      <w:r>
        <w:rPr>
          <w:noProof/>
        </w:rPr>
        <w:drawing>
          <wp:inline distT="0" distB="0" distL="0" distR="0">
            <wp:extent cx="4058679" cy="3528690"/>
            <wp:effectExtent l="19050" t="0" r="0" b="0"/>
            <wp:docPr id="14" name="Picture 14" descr="G:\SOD\Map P. ramorum 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D\Map P. ramorum dist.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61" cy="3533369"/>
                    </a:xfrm>
                    <a:prstGeom prst="rect">
                      <a:avLst/>
                    </a:prstGeom>
                    <a:noFill/>
                    <a:ln>
                      <a:noFill/>
                    </a:ln>
                  </pic:spPr>
                </pic:pic>
              </a:graphicData>
            </a:graphic>
          </wp:inline>
        </w:drawing>
      </w:r>
    </w:p>
    <w:p w:rsidR="00E94405" w:rsidRDefault="00A11609">
      <w:pPr>
        <w:pStyle w:val="FigureTableNoteSource"/>
      </w:pPr>
      <w:r>
        <w:t>Source: Ireland et al. 2013</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Climate is an important factor that affects the establishment of </w:t>
      </w:r>
      <w:r>
        <w:rPr>
          <w:rFonts w:ascii="Cambria" w:hAnsi="Cambria"/>
          <w:i/>
          <w:iCs/>
        </w:rPr>
        <w:t>P. ramorum</w:t>
      </w:r>
      <w:r>
        <w:rPr>
          <w:rFonts w:ascii="Cambria" w:hAnsi="Cambria"/>
        </w:rPr>
        <w:t xml:space="preserve">. The pathogen is regarded as a cool temperate organism (Kliejunas 2000). Optimum temperature for growth of </w:t>
      </w:r>
      <w:r>
        <w:rPr>
          <w:rFonts w:ascii="Cambria" w:hAnsi="Cambria"/>
          <w:i/>
          <w:iCs/>
        </w:rPr>
        <w:t xml:space="preserve">P. ramorum </w:t>
      </w:r>
      <w:r>
        <w:rPr>
          <w:rFonts w:ascii="Cambria" w:hAnsi="Cambria"/>
        </w:rPr>
        <w:t xml:space="preserve">is around 20 degrees Celsius with a minimum growth temperature of 2 degrees Celsius and a maximum growth temperature of 26–30 degrees Celsius (Werres </w:t>
      </w:r>
      <w:r>
        <w:rPr>
          <w:rFonts w:ascii="Cambria" w:hAnsi="Cambria"/>
          <w:iCs/>
        </w:rPr>
        <w:t>et al</w:t>
      </w:r>
      <w:r>
        <w:rPr>
          <w:rFonts w:ascii="Cambria" w:hAnsi="Cambria"/>
        </w:rPr>
        <w:t xml:space="preserve">. 2001). Infection does not occur below 10 degrees Celsius and above 30 degrees Celsius. Such conditions exist in parts of Australia; therefore, if introduced, these </w:t>
      </w:r>
      <w:r>
        <w:rPr>
          <w:rFonts w:ascii="Cambria" w:hAnsi="Cambria"/>
          <w:i/>
          <w:iCs/>
        </w:rPr>
        <w:t xml:space="preserve">Phytophthora </w:t>
      </w:r>
      <w:r>
        <w:rPr>
          <w:rFonts w:ascii="Cambria" w:hAnsi="Cambria"/>
        </w:rPr>
        <w:t>species are likely to establish 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Moisture is an essential factor in the survival and sporulation of </w:t>
      </w:r>
      <w:r>
        <w:rPr>
          <w:rFonts w:ascii="Cambria" w:hAnsi="Cambria"/>
          <w:i/>
          <w:iCs/>
        </w:rPr>
        <w:t>P. ramorum</w:t>
      </w:r>
      <w:r>
        <w:rPr>
          <w:rFonts w:ascii="Cambria" w:hAnsi="Cambria"/>
        </w:rPr>
        <w:t xml:space="preserve">. The duration, frequency and timing of rain events, during the winter months, plays a key role in inoculum production and the infection cycle (Davidson </w:t>
      </w:r>
      <w:r>
        <w:rPr>
          <w:rFonts w:ascii="Cambria" w:hAnsi="Cambria"/>
          <w:iCs/>
        </w:rPr>
        <w:t>et al</w:t>
      </w:r>
      <w:r>
        <w:rPr>
          <w:rFonts w:ascii="Cambria" w:hAnsi="Cambria"/>
        </w:rPr>
        <w:t xml:space="preserve">. 2008). The infection of foliar tissue requires cool temperatures and free water. Infection of </w:t>
      </w:r>
      <w:r>
        <w:rPr>
          <w:rFonts w:ascii="Cambria" w:hAnsi="Cambria"/>
          <w:i/>
          <w:iCs/>
        </w:rPr>
        <w:t>Umbellularia californica</w:t>
      </w:r>
      <w:r>
        <w:rPr>
          <w:rFonts w:ascii="Cambria" w:hAnsi="Cambria"/>
        </w:rPr>
        <w:t xml:space="preserve"> leaves was highest at 18 degrees Celsius and required a minimum of six to 12 hours of free water (Garbelotto </w:t>
      </w:r>
      <w:r>
        <w:rPr>
          <w:rFonts w:ascii="Cambria" w:hAnsi="Cambria"/>
          <w:iCs/>
        </w:rPr>
        <w:t>et al</w:t>
      </w:r>
      <w:r>
        <w:rPr>
          <w:rFonts w:ascii="Cambria" w:hAnsi="Cambria"/>
        </w:rPr>
        <w:t xml:space="preserve">. 2003). Sporangia formed on infected tissues are able to survive a range of temperatures between 0 degrees Celsius and 25 degrees Celsius (Turner </w:t>
      </w:r>
      <w:r>
        <w:rPr>
          <w:rFonts w:ascii="Cambria" w:hAnsi="Cambria"/>
          <w:iCs/>
        </w:rPr>
        <w:t>et al.</w:t>
      </w:r>
      <w:r>
        <w:rPr>
          <w:rFonts w:ascii="Cambria" w:hAnsi="Cambria"/>
        </w:rPr>
        <w:t xml:space="preserve"> 2005; Turner &amp; Jennings 2008). These conditions exist in parts of Australia; therefore, </w:t>
      </w:r>
      <w:r>
        <w:rPr>
          <w:rFonts w:ascii="Cambria" w:hAnsi="Cambria"/>
          <w:i/>
          <w:iCs/>
        </w:rPr>
        <w:t xml:space="preserve">P. ramorum </w:t>
      </w:r>
      <w:r>
        <w:rPr>
          <w:rFonts w:ascii="Cambria" w:hAnsi="Cambria"/>
        </w:rPr>
        <w:t xml:space="preserve">may establish in areas of Australia where suitable environmental conditions are available. </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i/>
          <w:iCs/>
          <w:szCs w:val="22"/>
        </w:rPr>
        <w:t xml:space="preserve">Phytophthora ramorum </w:t>
      </w:r>
      <w:r>
        <w:rPr>
          <w:rFonts w:ascii="Cambria" w:hAnsi="Cambria"/>
          <w:szCs w:val="22"/>
        </w:rPr>
        <w:t xml:space="preserve">requires a moist environment to actively grow and reproduce (Tjosvold </w:t>
      </w:r>
      <w:r>
        <w:rPr>
          <w:rFonts w:ascii="Cambria" w:hAnsi="Cambria"/>
          <w:iCs/>
          <w:szCs w:val="22"/>
        </w:rPr>
        <w:t>et al</w:t>
      </w:r>
      <w:r>
        <w:rPr>
          <w:rFonts w:ascii="Cambria" w:hAnsi="Cambria"/>
          <w:szCs w:val="22"/>
        </w:rPr>
        <w:t>. 2005). Wet conditions are required for spore production, successful infection and subsequent establishment. These conditions exist in parts of Australia.</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lastRenderedPageBreak/>
        <w:t xml:space="preserve">The current distribution of </w:t>
      </w:r>
      <w:r>
        <w:rPr>
          <w:rFonts w:ascii="Cambria" w:hAnsi="Cambria"/>
          <w:i/>
          <w:iCs/>
          <w:szCs w:val="22"/>
        </w:rPr>
        <w:t xml:space="preserve">P. ramorum </w:t>
      </w:r>
      <w:r>
        <w:rPr>
          <w:rFonts w:ascii="Cambria" w:hAnsi="Cambria"/>
          <w:szCs w:val="22"/>
        </w:rPr>
        <w:t xml:space="preserve">indicates that it survives well in the Mediterranean coastal fog belts of California (Rizzo </w:t>
      </w:r>
      <w:r>
        <w:rPr>
          <w:rFonts w:ascii="Cambria" w:hAnsi="Cambria"/>
          <w:iCs/>
          <w:szCs w:val="22"/>
        </w:rPr>
        <w:t>et al.</w:t>
      </w:r>
      <w:r>
        <w:rPr>
          <w:rFonts w:ascii="Cambria" w:hAnsi="Cambria"/>
          <w:i/>
          <w:iCs/>
          <w:szCs w:val="22"/>
        </w:rPr>
        <w:t xml:space="preserve"> </w:t>
      </w:r>
      <w:r>
        <w:rPr>
          <w:rFonts w:ascii="Cambria" w:hAnsi="Cambria"/>
          <w:szCs w:val="22"/>
        </w:rPr>
        <w:t xml:space="preserve">2002b), as well as in the temperate oceanic climate of Cornwall and Wales in the south-west of England (Brasier </w:t>
      </w:r>
      <w:r>
        <w:rPr>
          <w:rFonts w:ascii="Cambria" w:hAnsi="Cambria"/>
          <w:iCs/>
          <w:szCs w:val="22"/>
        </w:rPr>
        <w:t>et al.</w:t>
      </w:r>
      <w:r>
        <w:rPr>
          <w:rFonts w:ascii="Cambria" w:hAnsi="Cambria"/>
          <w:i/>
          <w:iCs/>
          <w:szCs w:val="22"/>
        </w:rPr>
        <w:t xml:space="preserve"> </w:t>
      </w:r>
      <w:r>
        <w:rPr>
          <w:rFonts w:ascii="Cambria" w:hAnsi="Cambria"/>
          <w:szCs w:val="22"/>
        </w:rPr>
        <w:t>2004c). Such environmental conditions exist in parts of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is moderately adaptable (Sansford </w:t>
      </w:r>
      <w:r>
        <w:rPr>
          <w:rFonts w:ascii="Cambria" w:hAnsi="Cambria"/>
          <w:iCs/>
        </w:rPr>
        <w:t>et al</w:t>
      </w:r>
      <w:r>
        <w:rPr>
          <w:rFonts w:ascii="Cambria" w:hAnsi="Cambria"/>
        </w:rPr>
        <w:t xml:space="preserve">. 2009). The different lineages of the pathogen in Europe and the USA indicate that </w:t>
      </w:r>
      <w:r>
        <w:rPr>
          <w:rFonts w:ascii="Cambria" w:hAnsi="Cambria"/>
          <w:i/>
          <w:iCs/>
        </w:rPr>
        <w:t xml:space="preserve">P. ramorum </w:t>
      </w:r>
      <w:r>
        <w:rPr>
          <w:rFonts w:ascii="Cambria" w:hAnsi="Cambria"/>
        </w:rPr>
        <w:t>could readily evolve. The ability to adapt would be enhanced by sexual reproduction, but even in the absence of sexual reproduction, genetic recombination may occur through somatic hybridization (Brasier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Small populations of </w:t>
      </w:r>
      <w:r>
        <w:rPr>
          <w:rFonts w:ascii="Cambria" w:hAnsi="Cambria"/>
          <w:i/>
          <w:iCs/>
        </w:rPr>
        <w:t xml:space="preserve">P. ramorum </w:t>
      </w:r>
      <w:r>
        <w:rPr>
          <w:rFonts w:ascii="Cambria" w:hAnsi="Cambria"/>
        </w:rPr>
        <w:t xml:space="preserve">are likely to establish in Australia. The repeated findings of </w:t>
      </w:r>
      <w:r>
        <w:rPr>
          <w:rFonts w:ascii="Cambria" w:hAnsi="Cambria"/>
          <w:i/>
          <w:iCs/>
        </w:rPr>
        <w:t xml:space="preserve">P. ramorum </w:t>
      </w:r>
      <w:r>
        <w:rPr>
          <w:rFonts w:ascii="Cambria" w:hAnsi="Cambria"/>
        </w:rPr>
        <w:t xml:space="preserve">in </w:t>
      </w:r>
      <w:r>
        <w:rPr>
          <w:rFonts w:ascii="Cambria" w:hAnsi="Cambria"/>
          <w:i/>
        </w:rPr>
        <w:t xml:space="preserve">Rhododendron </w:t>
      </w:r>
      <w:r>
        <w:rPr>
          <w:rFonts w:ascii="Cambria" w:hAnsi="Cambria"/>
        </w:rPr>
        <w:t>species in parks in Europe support the view that small populations can become established and survive if the climate is suitable and susceptible plants are available.</w:t>
      </w:r>
    </w:p>
    <w:p w:rsidR="00E94405" w:rsidRDefault="00A11609">
      <w:pPr>
        <w:pStyle w:val="Heading4"/>
        <w:spacing w:before="200"/>
        <w:rPr>
          <w:i/>
        </w:rPr>
      </w:pPr>
      <w:r>
        <w:rPr>
          <w:i/>
        </w:rPr>
        <w:t>The reproductive strategy and survival of the pest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Phytophthora</w:t>
      </w:r>
      <w:r>
        <w:rPr>
          <w:rFonts w:ascii="Cambria" w:hAnsi="Cambria"/>
        </w:rPr>
        <w:t xml:space="preserve"> species are capable of reproducing sexually and asexually. Sexual reproduction can be homothallic (</w:t>
      </w:r>
      <w:r>
        <w:rPr>
          <w:rFonts w:ascii="Cambria" w:hAnsi="Cambria"/>
          <w:i/>
          <w:iCs/>
        </w:rPr>
        <w:t xml:space="preserve">P. kernoviae, P. nemorosa </w:t>
      </w:r>
      <w:r>
        <w:rPr>
          <w:rFonts w:ascii="Cambria" w:hAnsi="Cambria"/>
        </w:rPr>
        <w:t xml:space="preserve">and </w:t>
      </w:r>
      <w:r>
        <w:rPr>
          <w:rFonts w:ascii="Cambria" w:hAnsi="Cambria"/>
          <w:i/>
          <w:iCs/>
        </w:rPr>
        <w:t>P. pseudosyringae</w:t>
      </w:r>
      <w:r>
        <w:rPr>
          <w:rFonts w:ascii="Cambria" w:hAnsi="Cambria"/>
        </w:rPr>
        <w:t>) or heterothallic (</w:t>
      </w:r>
      <w:r>
        <w:rPr>
          <w:rFonts w:ascii="Cambria" w:hAnsi="Cambria"/>
          <w:i/>
          <w:iCs/>
        </w:rPr>
        <w:t>P. ramorum</w:t>
      </w:r>
      <w:r>
        <w:rPr>
          <w:rFonts w:ascii="Cambria" w:hAnsi="Cambria"/>
        </w:rPr>
        <w:t xml:space="preserve">). During the asexual life cycle, </w:t>
      </w:r>
      <w:r>
        <w:rPr>
          <w:rFonts w:ascii="Cambria" w:hAnsi="Cambria"/>
          <w:i/>
          <w:iCs/>
        </w:rPr>
        <w:t>Phytophthora</w:t>
      </w:r>
      <w:r>
        <w:rPr>
          <w:rFonts w:ascii="Cambria" w:hAnsi="Cambria"/>
        </w:rPr>
        <w:t xml:space="preserve"> species are able to differentiate into different life stages including mycelium, sporangium, zoospore and chlamydospores (Savidor </w:t>
      </w:r>
      <w:r>
        <w:rPr>
          <w:rFonts w:ascii="Cambria" w:hAnsi="Cambria"/>
          <w:iCs/>
        </w:rPr>
        <w:t>et al</w:t>
      </w:r>
      <w:r>
        <w:rPr>
          <w:rFonts w:ascii="Cambria" w:hAnsi="Cambria"/>
        </w:rPr>
        <w:t>.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has a flexible and adaptive reproductive strategy that most likely would favour establishment.</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i/>
          <w:iCs/>
          <w:szCs w:val="22"/>
        </w:rPr>
        <w:t xml:space="preserve">Phytophthora ramorum </w:t>
      </w:r>
      <w:r>
        <w:rPr>
          <w:rFonts w:ascii="Cambria" w:hAnsi="Cambria"/>
          <w:szCs w:val="22"/>
        </w:rPr>
        <w:t xml:space="preserve">produces vegetative hyphae and four types of spores: sporangia, zoospores, chlamydospores (asexually formed resting spores) and oospores (sexually formed resting spores). All spore types, except oospores, are found in nature (Davidson </w:t>
      </w:r>
      <w:r>
        <w:rPr>
          <w:rFonts w:ascii="Cambria" w:hAnsi="Cambria"/>
          <w:iCs/>
          <w:szCs w:val="22"/>
        </w:rPr>
        <w:t xml:space="preserve">et al. </w:t>
      </w:r>
      <w:r>
        <w:rPr>
          <w:rFonts w:ascii="Cambria" w:hAnsi="Cambria"/>
          <w:szCs w:val="22"/>
        </w:rPr>
        <w:t xml:space="preserve">2003b; Parke </w:t>
      </w:r>
      <w:r>
        <w:rPr>
          <w:rFonts w:ascii="Cambria" w:hAnsi="Cambria"/>
          <w:iCs/>
          <w:szCs w:val="22"/>
        </w:rPr>
        <w:t xml:space="preserve">et al. </w:t>
      </w:r>
      <w:r>
        <w:rPr>
          <w:rFonts w:ascii="Cambria" w:hAnsi="Cambria"/>
          <w:szCs w:val="22"/>
        </w:rPr>
        <w:t xml:space="preserve">2002a; Werres </w:t>
      </w:r>
      <w:r>
        <w:rPr>
          <w:rFonts w:ascii="Cambria" w:hAnsi="Cambria"/>
          <w:iCs/>
          <w:szCs w:val="22"/>
        </w:rPr>
        <w:t>et al</w:t>
      </w:r>
      <w:r>
        <w:rPr>
          <w:rFonts w:ascii="Cambria" w:hAnsi="Cambria"/>
          <w:szCs w:val="22"/>
        </w:rPr>
        <w:t>. 2001).</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Sporangia and zoospores develop on the surface of susceptible leaves and twigs following prolonged wetting. Sporangia can germinate directly or produce motile zoospores that initiate infection. Chlamydospores are </w:t>
      </w:r>
      <w:r>
        <w:rPr>
          <w:rFonts w:ascii="Cambria" w:hAnsi="Cambria"/>
        </w:rPr>
        <w:t>the primary survival stage of the pathogen and</w:t>
      </w:r>
      <w:r>
        <w:rPr>
          <w:rFonts w:ascii="Cambria" w:hAnsi="Cambria"/>
          <w:szCs w:val="22"/>
        </w:rPr>
        <w:t xml:space="preserve"> are produced in infected leaves, shoots and bark, phloem and xylem tissues (Parke </w:t>
      </w:r>
      <w:r>
        <w:rPr>
          <w:rFonts w:ascii="Cambria" w:hAnsi="Cambria"/>
          <w:iCs/>
          <w:szCs w:val="22"/>
        </w:rPr>
        <w:t>et al.</w:t>
      </w:r>
      <w:r>
        <w:rPr>
          <w:rFonts w:ascii="Cambria" w:hAnsi="Cambria"/>
          <w:i/>
          <w:iCs/>
          <w:szCs w:val="22"/>
        </w:rPr>
        <w:t xml:space="preserve"> </w:t>
      </w:r>
      <w:r>
        <w:rPr>
          <w:rFonts w:ascii="Cambria" w:hAnsi="Cambria"/>
          <w:szCs w:val="22"/>
        </w:rPr>
        <w:t>2008). The asexual life cycle is responsible for rapid multiplication and establishment of the pathogen in the field.</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i/>
          <w:iCs/>
          <w:szCs w:val="22"/>
        </w:rPr>
        <w:t xml:space="preserve">Phytophthora ramorum </w:t>
      </w:r>
      <w:r>
        <w:rPr>
          <w:rFonts w:ascii="Cambria" w:hAnsi="Cambria"/>
          <w:szCs w:val="22"/>
        </w:rPr>
        <w:t xml:space="preserve">is a heterothallic species that requires two mating types A1 or A2 (Werres </w:t>
      </w:r>
      <w:r>
        <w:rPr>
          <w:rFonts w:ascii="Cambria" w:hAnsi="Cambria"/>
          <w:iCs/>
          <w:szCs w:val="22"/>
        </w:rPr>
        <w:t>et al.</w:t>
      </w:r>
      <w:r>
        <w:rPr>
          <w:rFonts w:ascii="Cambria" w:hAnsi="Cambria"/>
          <w:i/>
          <w:iCs/>
          <w:szCs w:val="22"/>
        </w:rPr>
        <w:t xml:space="preserve"> </w:t>
      </w:r>
      <w:r>
        <w:rPr>
          <w:rFonts w:ascii="Cambria" w:hAnsi="Cambria"/>
          <w:szCs w:val="22"/>
        </w:rPr>
        <w:t xml:space="preserve">2001; Werres &amp; Kaminski 2005) to reproduce sexually. The A1 mating type is found predominantly in Europe and the A2 predominantly in the USA (Ivors </w:t>
      </w:r>
      <w:r>
        <w:rPr>
          <w:rFonts w:ascii="Cambria" w:hAnsi="Cambria"/>
          <w:iCs/>
          <w:szCs w:val="22"/>
        </w:rPr>
        <w:t>et al.</w:t>
      </w:r>
      <w:r>
        <w:rPr>
          <w:rFonts w:ascii="Cambria" w:hAnsi="Cambria"/>
          <w:i/>
          <w:iCs/>
          <w:szCs w:val="22"/>
        </w:rPr>
        <w:t xml:space="preserve"> </w:t>
      </w:r>
      <w:r>
        <w:rPr>
          <w:rFonts w:ascii="Cambria" w:hAnsi="Cambria"/>
          <w:szCs w:val="22"/>
        </w:rPr>
        <w:t xml:space="preserve">2004). However, recently a few A2 mating types have been found in Europe and a limited number of A1 mating types have been identified in nursery stock in the USA and Canada (Hansen </w:t>
      </w:r>
      <w:r>
        <w:rPr>
          <w:rFonts w:ascii="Cambria" w:hAnsi="Cambria"/>
          <w:iCs/>
          <w:szCs w:val="22"/>
        </w:rPr>
        <w:t>et al.</w:t>
      </w:r>
      <w:r>
        <w:rPr>
          <w:rFonts w:ascii="Cambria" w:hAnsi="Cambria"/>
          <w:i/>
          <w:iCs/>
          <w:szCs w:val="22"/>
        </w:rPr>
        <w:t xml:space="preserve"> </w:t>
      </w:r>
      <w:r>
        <w:rPr>
          <w:rFonts w:ascii="Cambria" w:hAnsi="Cambria"/>
          <w:szCs w:val="22"/>
        </w:rPr>
        <w:t>2003b; Werres &amp; De Merlier 2003).</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Oospores have so far not been detected in nature, but in the laboratory oospores can be produced in </w:t>
      </w:r>
      <w:r>
        <w:rPr>
          <w:rFonts w:ascii="Cambria" w:hAnsi="Cambria"/>
          <w:i/>
          <w:szCs w:val="22"/>
        </w:rPr>
        <w:t>Rhododendron</w:t>
      </w:r>
      <w:r>
        <w:rPr>
          <w:rFonts w:ascii="Cambria" w:hAnsi="Cambria"/>
          <w:szCs w:val="22"/>
        </w:rPr>
        <w:t xml:space="preserve"> stems (Werres &amp; Zielke 2003) and </w:t>
      </w:r>
      <w:r>
        <w:rPr>
          <w:rFonts w:ascii="Cambria" w:hAnsi="Cambria"/>
          <w:i/>
          <w:szCs w:val="22"/>
        </w:rPr>
        <w:t>in vitro</w:t>
      </w:r>
      <w:r>
        <w:rPr>
          <w:rFonts w:ascii="Cambria" w:hAnsi="Cambria"/>
          <w:szCs w:val="22"/>
        </w:rPr>
        <w:t xml:space="preserve"> (Hansen </w:t>
      </w:r>
      <w:r>
        <w:rPr>
          <w:rFonts w:ascii="Cambria" w:hAnsi="Cambria"/>
          <w:iCs/>
          <w:szCs w:val="22"/>
        </w:rPr>
        <w:t>et al</w:t>
      </w:r>
      <w:r>
        <w:rPr>
          <w:rFonts w:ascii="Cambria" w:hAnsi="Cambria"/>
          <w:szCs w:val="22"/>
        </w:rPr>
        <w:t xml:space="preserve">. 2003a). The production of oospores could favour establishment since oospores are likely to facilitate long-term survival. The production of oospores may also result in sexual reproduction, allowing genetic recombination to occur and to create new, potentially more virulent strains capable of exploiting new habitats and host species (Tjosvold </w:t>
      </w:r>
      <w:r>
        <w:rPr>
          <w:rFonts w:ascii="Cambria" w:hAnsi="Cambria"/>
          <w:iCs/>
          <w:szCs w:val="22"/>
        </w:rPr>
        <w:t>et al</w:t>
      </w:r>
      <w:r>
        <w:rPr>
          <w:rFonts w:ascii="Cambria" w:hAnsi="Cambria"/>
          <w:szCs w:val="22"/>
        </w:rPr>
        <w:t xml:space="preserve">. 2005). </w:t>
      </w:r>
    </w:p>
    <w:p w:rsidR="00E94405" w:rsidRDefault="00A11609">
      <w:pPr>
        <w:pStyle w:val="ListBullet"/>
        <w:tabs>
          <w:tab w:val="clear" w:pos="360"/>
          <w:tab w:val="num" w:pos="284"/>
        </w:tabs>
        <w:spacing w:line="269" w:lineRule="auto"/>
        <w:ind w:left="284" w:hanging="284"/>
        <w:rPr>
          <w:rFonts w:ascii="Cambria" w:hAnsi="Cambria" w:cs="TimesNewRomanPSMT"/>
        </w:rPr>
      </w:pPr>
      <w:r>
        <w:rPr>
          <w:rFonts w:ascii="Cambria" w:hAnsi="Cambria"/>
        </w:rPr>
        <w:lastRenderedPageBreak/>
        <w:t xml:space="preserve">Differences in aggressiveness, growth rate, colony type, and sporangia morphology have been observed between the different lineages; however, DNA profiling studies have provided evidence that the European and North American isolates represent distinct populations of </w:t>
      </w:r>
      <w:r>
        <w:rPr>
          <w:rFonts w:ascii="Cambria" w:hAnsi="Cambria"/>
          <w:i/>
          <w:iCs/>
        </w:rPr>
        <w:t>P. ramorum</w:t>
      </w:r>
      <w:r>
        <w:rPr>
          <w:rFonts w:ascii="Cambria" w:hAnsi="Cambria"/>
        </w:rPr>
        <w:t xml:space="preserve">, and not distinct species (Ivors </w:t>
      </w:r>
      <w:r>
        <w:rPr>
          <w:rFonts w:ascii="Cambria" w:hAnsi="Cambria"/>
          <w:iCs/>
        </w:rPr>
        <w:t xml:space="preserve">et al. </w:t>
      </w:r>
      <w:r>
        <w:rPr>
          <w:rFonts w:ascii="Cambria" w:hAnsi="Cambria"/>
        </w:rPr>
        <w:t xml:space="preserve">2004; 2006; Martin 2008; Grünwald </w:t>
      </w:r>
      <w:r>
        <w:rPr>
          <w:rFonts w:ascii="Cambria" w:hAnsi="Cambria"/>
          <w:iCs/>
        </w:rPr>
        <w:t xml:space="preserve">et al. </w:t>
      </w:r>
      <w:r>
        <w:rPr>
          <w:rFonts w:ascii="Cambria" w:hAnsi="Cambria"/>
        </w:rPr>
        <w:t>2008b).</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managed environment in nurseries, garden centres and private gardens are all favourable for the establishment and survival of </w:t>
      </w:r>
      <w:r>
        <w:rPr>
          <w:rFonts w:ascii="Cambria" w:hAnsi="Cambria"/>
          <w:i/>
          <w:iCs/>
        </w:rPr>
        <w:t>P. ramorum</w:t>
      </w:r>
      <w:r>
        <w:rPr>
          <w:rFonts w:ascii="Cambria" w:hAnsi="Cambria"/>
          <w:iCs/>
        </w:rPr>
        <w:t>,</w:t>
      </w:r>
      <w:r>
        <w:rPr>
          <w:rFonts w:ascii="Cambria" w:hAnsi="Cambria"/>
          <w:i/>
          <w:iCs/>
        </w:rPr>
        <w:t xml:space="preserve"> </w:t>
      </w:r>
      <w:r>
        <w:rPr>
          <w:rFonts w:ascii="Cambria" w:hAnsi="Cambria"/>
        </w:rPr>
        <w:t xml:space="preserve">as host plants are abundantly available. The plants are closely placed and sprinkler irrigation favours the pathogen’s multiplication and local dispersal. </w:t>
      </w:r>
      <w:r>
        <w:rPr>
          <w:rFonts w:ascii="Cambria" w:hAnsi="Cambria"/>
          <w:i/>
          <w:iCs/>
        </w:rPr>
        <w:t xml:space="preserve">Phytophthora ramorum </w:t>
      </w:r>
      <w:r>
        <w:rPr>
          <w:rFonts w:ascii="Cambria" w:hAnsi="Cambria"/>
        </w:rPr>
        <w:t xml:space="preserve">requires moist conditions, and nursery environments provide ideal conditions through dense canopies and irrigation (Dart </w:t>
      </w:r>
      <w:r>
        <w:rPr>
          <w:rFonts w:ascii="Cambria" w:hAnsi="Cambria"/>
          <w:iCs/>
        </w:rPr>
        <w:t>et al</w:t>
      </w:r>
      <w:r>
        <w:rPr>
          <w:rFonts w:ascii="Cambria" w:hAnsi="Cambria"/>
        </w:rPr>
        <w:t xml:space="preserve">. 2007; Schwingle </w:t>
      </w:r>
      <w:r>
        <w:rPr>
          <w:rFonts w:ascii="Cambria" w:hAnsi="Cambria"/>
          <w:iCs/>
        </w:rPr>
        <w:t>et al</w:t>
      </w:r>
      <w:r>
        <w:rPr>
          <w:rFonts w:ascii="Cambria" w:hAnsi="Cambria"/>
        </w:rPr>
        <w:t xml:space="preserve">. 2007). Nursery trade networks, which are common between Australian nurseries, favour a wider establishment of </w:t>
      </w:r>
      <w:r>
        <w:rPr>
          <w:rFonts w:ascii="Cambria" w:hAnsi="Cambria"/>
          <w:i/>
          <w:iCs/>
        </w:rPr>
        <w:t>P. ramorum</w:t>
      </w:r>
      <w:r>
        <w:rPr>
          <w:rFonts w:ascii="Cambria" w:hAnsi="Cambria"/>
        </w:rPr>
        <w:t xml:space="preserve">.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has an aerial </w:t>
      </w:r>
      <w:r>
        <w:rPr>
          <w:rFonts w:ascii="Cambria" w:hAnsi="Cambria"/>
          <w:color w:val="000000" w:themeColor="text1"/>
        </w:rPr>
        <w:t xml:space="preserve">phase (Sansford et al. 2009) as well as a soil phase (Shishkoff 2007). During the soil phase, </w:t>
      </w:r>
      <w:r>
        <w:rPr>
          <w:rFonts w:ascii="Cambria" w:hAnsi="Cambria"/>
          <w:i/>
          <w:iCs/>
          <w:color w:val="000000" w:themeColor="text1"/>
        </w:rPr>
        <w:t xml:space="preserve">P. ramorum </w:t>
      </w:r>
      <w:r>
        <w:rPr>
          <w:rFonts w:ascii="Cambria" w:hAnsi="Cambria"/>
          <w:color w:val="000000" w:themeColor="text1"/>
        </w:rPr>
        <w:t>can survive for</w:t>
      </w:r>
      <w:r>
        <w:rPr>
          <w:rFonts w:ascii="Cambria" w:hAnsi="Cambria"/>
        </w:rPr>
        <w:t xml:space="preserve"> long periods of time in the soil and leaf litter; therefore, once introduced into nursery networks, gardens and parks, establishment of </w:t>
      </w:r>
      <w:r>
        <w:rPr>
          <w:rFonts w:ascii="Cambria" w:hAnsi="Cambria"/>
          <w:i/>
          <w:iCs/>
        </w:rPr>
        <w:t xml:space="preserve">P. ramorum </w:t>
      </w:r>
      <w:r>
        <w:rPr>
          <w:rFonts w:ascii="Cambria" w:hAnsi="Cambria"/>
        </w:rPr>
        <w:t>is favoured by the soil-borne phase</w:t>
      </w:r>
      <w:r>
        <w:rPr>
          <w:rFonts w:ascii="Cambria" w:hAnsi="Cambria"/>
          <w:i/>
        </w:rPr>
        <w:t>. Phytophthora</w:t>
      </w:r>
      <w:r>
        <w:rPr>
          <w:rFonts w:ascii="Cambria" w:hAnsi="Cambria"/>
          <w:i/>
          <w:iCs/>
        </w:rPr>
        <w:t xml:space="preserve"> ramorum </w:t>
      </w:r>
      <w:r>
        <w:rPr>
          <w:rFonts w:ascii="Cambria" w:hAnsi="Cambria"/>
        </w:rPr>
        <w:t xml:space="preserve">can survive at least three years in parks in the UK and 1.5 years in soil in the Netherlands (Sansford </w:t>
      </w:r>
      <w:r>
        <w:rPr>
          <w:rFonts w:ascii="Cambria" w:hAnsi="Cambria"/>
          <w:iCs/>
        </w:rPr>
        <w:t>et al.</w:t>
      </w:r>
      <w:r>
        <w:rPr>
          <w:rFonts w:ascii="Cambria" w:hAnsi="Cambria"/>
          <w:i/>
          <w:iCs/>
        </w:rPr>
        <w:t xml:space="preserve"> </w:t>
      </w:r>
      <w:r>
        <w:rPr>
          <w:rFonts w:ascii="Cambria" w:hAnsi="Cambria"/>
        </w:rPr>
        <w:t xml:space="preserve">2009). </w:t>
      </w:r>
      <w:r>
        <w:rPr>
          <w:rFonts w:ascii="Cambria" w:hAnsi="Cambria"/>
          <w:i/>
          <w:iCs/>
        </w:rPr>
        <w:t xml:space="preserve">Phytophthora kernoviae </w:t>
      </w:r>
      <w:r>
        <w:rPr>
          <w:rFonts w:ascii="Cambria" w:hAnsi="Cambria"/>
        </w:rPr>
        <w:t>can persist for at least a year in leaf litter (Sansford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Phytophthora</w:t>
      </w:r>
      <w:r>
        <w:rPr>
          <w:rFonts w:ascii="Cambria" w:hAnsi="Cambria"/>
        </w:rPr>
        <w:t xml:space="preserve"> species (</w:t>
      </w:r>
      <w:r>
        <w:rPr>
          <w:rFonts w:ascii="Cambria" w:hAnsi="Cambria"/>
          <w:i/>
          <w:iCs/>
        </w:rPr>
        <w:t>P. kernoviae</w:t>
      </w:r>
      <w:r>
        <w:rPr>
          <w:rFonts w:ascii="Cambria" w:hAnsi="Cambria"/>
          <w:iCs/>
        </w:rPr>
        <w:t>,</w:t>
      </w:r>
      <w:r>
        <w:rPr>
          <w:rFonts w:ascii="Cambria" w:hAnsi="Cambria"/>
          <w:i/>
          <w:iCs/>
        </w:rPr>
        <w:t xml:space="preserve"> P</w:t>
      </w:r>
      <w:r>
        <w:rPr>
          <w:rFonts w:ascii="Cambria" w:hAnsi="Cambria"/>
        </w:rPr>
        <w:t xml:space="preserve">. </w:t>
      </w:r>
      <w:r>
        <w:rPr>
          <w:rFonts w:ascii="Cambria" w:hAnsi="Cambria"/>
          <w:i/>
          <w:iCs/>
        </w:rPr>
        <w:t>nemorosa</w:t>
      </w:r>
      <w:r>
        <w:rPr>
          <w:rFonts w:ascii="Cambria" w:hAnsi="Cambria"/>
          <w:iCs/>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 xml:space="preserve">) have successfully established in areas outside their original distribution. These </w:t>
      </w:r>
      <w:r>
        <w:rPr>
          <w:rFonts w:ascii="Cambria" w:hAnsi="Cambria"/>
          <w:i/>
          <w:iCs/>
        </w:rPr>
        <w:t xml:space="preserve">Phytophthora </w:t>
      </w:r>
      <w:r>
        <w:rPr>
          <w:rFonts w:ascii="Cambria" w:hAnsi="Cambria"/>
        </w:rPr>
        <w:t xml:space="preserve">species have demonstrated their ability to colonise new hosts and to produce high amounts of inoculum. Furthermore, host material and suitable climate conditions are available in parts of Australia; therefore, these </w:t>
      </w:r>
      <w:r>
        <w:rPr>
          <w:rFonts w:ascii="Cambria" w:hAnsi="Cambria"/>
          <w:i/>
          <w:iCs/>
        </w:rPr>
        <w:t xml:space="preserve">Phytophthora </w:t>
      </w:r>
      <w:r>
        <w:rPr>
          <w:rFonts w:ascii="Cambria" w:hAnsi="Cambria"/>
        </w:rPr>
        <w:t xml:space="preserve">species may establish in Australia after entry with nursery stock.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Cs/>
        </w:rPr>
        <w:t>Chlamydospores of</w:t>
      </w:r>
      <w:r>
        <w:rPr>
          <w:rFonts w:ascii="Cambria" w:hAnsi="Cambria"/>
        </w:rPr>
        <w:t xml:space="preserve"> </w:t>
      </w:r>
      <w:r>
        <w:rPr>
          <w:rFonts w:ascii="Cambria" w:hAnsi="Cambria"/>
          <w:i/>
        </w:rPr>
        <w:t xml:space="preserve">P. ramorum </w:t>
      </w:r>
      <w:r>
        <w:rPr>
          <w:rFonts w:ascii="Cambria" w:hAnsi="Cambria"/>
        </w:rPr>
        <w:t xml:space="preserve">have been observed in/on leaves (Tooley et al. 2004; Davidson et al. 2005), twigs, stems (Pogoda &amp; Werres 2004; Lewis &amp; Parke 2006; Parke et al. 2007a, b) and fruit (Moralejo et al. 2006). Chlamydospores in potting medium, sand and soil are long-lived at moderate temperatures (Colburn et al. 2005; Linderman &amp; Davis 2006a; Fichtner et al. 2007a; Shishkoff 2007). Studies demonstrate that temperatures of 37.5–40 degrees Celsius are lethal to </w:t>
      </w:r>
      <w:r>
        <w:rPr>
          <w:rFonts w:ascii="Cambria" w:hAnsi="Cambria"/>
          <w:i/>
        </w:rPr>
        <w:t>P. ramorum</w:t>
      </w:r>
      <w:r>
        <w:rPr>
          <w:rFonts w:ascii="Cambria" w:hAnsi="Cambria"/>
        </w:rPr>
        <w:t xml:space="preserve"> hyphae within several hours and temperatures of 42.5–50 degrees Celsius are lethal within a matter of minutes (Browning et al. 2008); however, such extreme temperatures will not occur in nature.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survival of </w:t>
      </w:r>
      <w:r>
        <w:rPr>
          <w:rFonts w:ascii="Cambria" w:hAnsi="Cambria"/>
          <w:i/>
        </w:rPr>
        <w:t>P. ramorum</w:t>
      </w:r>
      <w:r>
        <w:rPr>
          <w:rFonts w:ascii="Cambria" w:hAnsi="Cambria"/>
        </w:rPr>
        <w:t xml:space="preserve"> at extreme temperatures is likely to occur in colonised plant tissues—attached leaves and stems, and decomposing leaves in contact with soil. When </w:t>
      </w:r>
      <w:r>
        <w:rPr>
          <w:rFonts w:ascii="Cambria" w:hAnsi="Cambria"/>
          <w:i/>
        </w:rPr>
        <w:t>P. ramorum</w:t>
      </w:r>
      <w:r>
        <w:rPr>
          <w:rFonts w:ascii="Cambria" w:hAnsi="Cambria"/>
        </w:rPr>
        <w:t xml:space="preserve"> was present in infected </w:t>
      </w:r>
      <w:r>
        <w:rPr>
          <w:rFonts w:ascii="Cambria" w:hAnsi="Cambria"/>
          <w:i/>
        </w:rPr>
        <w:t>Rhododendron</w:t>
      </w:r>
      <w:r>
        <w:rPr>
          <w:rFonts w:ascii="Cambria" w:hAnsi="Cambria"/>
        </w:rPr>
        <w:t xml:space="preserve"> leaves, in the form of chlamydospores and perhaps hyphae, survival at 35 degrees Celsius declined within two days, with no survival observed by the fourth day (Tooley et al.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Temperature and moisture are crucial factors that determine the survival and sporulation of most pathogens, including </w:t>
      </w:r>
      <w:r>
        <w:rPr>
          <w:rFonts w:ascii="Cambria" w:hAnsi="Cambria"/>
          <w:i/>
          <w:iCs/>
        </w:rPr>
        <w:t xml:space="preserve">Phytophthora </w:t>
      </w:r>
      <w:r>
        <w:rPr>
          <w:rFonts w:ascii="Cambria" w:hAnsi="Cambria"/>
        </w:rPr>
        <w:t xml:space="preserve">species (Erwin &amp; Ribeiro 1996). </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Bay laurel trees play a crucial role in the reproduction and survival of </w:t>
      </w:r>
      <w:r>
        <w:rPr>
          <w:rFonts w:ascii="Cambria" w:hAnsi="Cambria"/>
          <w:i/>
          <w:iCs/>
          <w:szCs w:val="22"/>
        </w:rPr>
        <w:t xml:space="preserve">P. ramorum </w:t>
      </w:r>
      <w:r>
        <w:rPr>
          <w:rFonts w:ascii="Cambria" w:hAnsi="Cambria"/>
          <w:szCs w:val="22"/>
        </w:rPr>
        <w:t xml:space="preserve">in coastal California forests by supporting sporulation during the rainy season and by providing a means for the pathogen to survive the dry, Mediterranean summer (Davidson et al. 2011). Foliar hosts present in Australia will not only support </w:t>
      </w:r>
      <w:r>
        <w:rPr>
          <w:rFonts w:ascii="Cambria" w:hAnsi="Cambria"/>
          <w:szCs w:val="22"/>
        </w:rPr>
        <w:lastRenderedPageBreak/>
        <w:t>sporulation during the rainy season but will also provide a means of survival during the dry season.</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Newly established populations of </w:t>
      </w:r>
      <w:r>
        <w:rPr>
          <w:rFonts w:ascii="Cambria" w:hAnsi="Cambria"/>
          <w:i/>
          <w:iCs/>
        </w:rPr>
        <w:t xml:space="preserve">Phytophthora </w:t>
      </w:r>
      <w:r>
        <w:rPr>
          <w:rFonts w:ascii="Cambria" w:hAnsi="Cambria"/>
        </w:rPr>
        <w:t xml:space="preserve">species may go undetected for years; for example, </w:t>
      </w:r>
      <w:r>
        <w:rPr>
          <w:rFonts w:ascii="Cambria" w:hAnsi="Cambria"/>
          <w:i/>
          <w:iCs/>
        </w:rPr>
        <w:t xml:space="preserve">P. ramorum </w:t>
      </w:r>
      <w:r>
        <w:rPr>
          <w:rFonts w:ascii="Cambria" w:hAnsi="Cambria"/>
        </w:rPr>
        <w:t xml:space="preserve">was first noted in California in 1995 (Garbelotto </w:t>
      </w:r>
      <w:r>
        <w:rPr>
          <w:rFonts w:ascii="Cambria" w:hAnsi="Cambria"/>
          <w:iCs/>
        </w:rPr>
        <w:t>et al.</w:t>
      </w:r>
      <w:r>
        <w:rPr>
          <w:rFonts w:ascii="Cambria" w:hAnsi="Cambria"/>
          <w:i/>
          <w:iCs/>
        </w:rPr>
        <w:t xml:space="preserve"> </w:t>
      </w:r>
      <w:r>
        <w:rPr>
          <w:rFonts w:ascii="Cambria" w:hAnsi="Cambria"/>
        </w:rPr>
        <w:t>2001) but researchers suggest that the pathogen was introduced at least five years before the first detection (Rizzo &amp; Garbelotto 2003).</w:t>
      </w:r>
    </w:p>
    <w:p w:rsidR="00E94405" w:rsidRDefault="00A11609">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Likelihood of spread</w:t>
      </w:r>
    </w:p>
    <w:p w:rsidR="00E94405" w:rsidRDefault="00A11609">
      <w:pPr>
        <w:pStyle w:val="AQISNum"/>
        <w:spacing w:before="200" w:line="276" w:lineRule="auto"/>
        <w:rPr>
          <w:rFonts w:ascii="Cambria" w:hAnsi="Cambria"/>
          <w:szCs w:val="22"/>
        </w:rPr>
      </w:pPr>
      <w:r>
        <w:rPr>
          <w:rFonts w:ascii="Cambria" w:hAnsi="Cambria"/>
          <w:szCs w:val="22"/>
        </w:rPr>
        <w:t xml:space="preserve">The likelihood that the </w:t>
      </w:r>
      <w:r>
        <w:rPr>
          <w:rFonts w:ascii="Cambria" w:hAnsi="Cambria"/>
          <w:i/>
          <w:iCs/>
          <w:szCs w:val="22"/>
        </w:rPr>
        <w:t xml:space="preserve">Phytophthora </w:t>
      </w:r>
      <w:r>
        <w:rPr>
          <w:rFonts w:ascii="Cambria" w:hAnsi="Cambria"/>
          <w:iCs/>
          <w:szCs w:val="22"/>
        </w:rPr>
        <w:t>species</w:t>
      </w:r>
      <w:r>
        <w:rPr>
          <w:rFonts w:ascii="Cambria" w:hAnsi="Cambria"/>
          <w:szCs w:val="22"/>
        </w:rPr>
        <w:t xml:space="preserve">, having entered on </w:t>
      </w:r>
      <w:r>
        <w:rPr>
          <w:rFonts w:ascii="Cambria" w:hAnsi="Cambria"/>
          <w:color w:val="000000"/>
          <w:szCs w:val="22"/>
        </w:rPr>
        <w:t>n</w:t>
      </w:r>
      <w:r>
        <w:rPr>
          <w:rFonts w:ascii="Cambria" w:hAnsi="Cambria"/>
          <w:szCs w:val="22"/>
        </w:rPr>
        <w:t xml:space="preserve">ursery stock (including ornamental plants and propagative material) and established, will spread in Australia, based on a comparison of those factors in the source and destination areas considered pertinent to the expansion of the geographic distribution of the pest is </w:t>
      </w:r>
      <w:r>
        <w:rPr>
          <w:rFonts w:ascii="Cambria" w:hAnsi="Cambria"/>
          <w:b/>
          <w:bCs/>
          <w:szCs w:val="22"/>
        </w:rPr>
        <w:t>HIGH</w:t>
      </w:r>
      <w:r>
        <w:rPr>
          <w:rFonts w:ascii="Cambria" w:hAnsi="Cambria"/>
          <w:szCs w:val="22"/>
        </w:rPr>
        <w:t>.</w:t>
      </w:r>
    </w:p>
    <w:p w:rsidR="00E94405" w:rsidRDefault="00A11609">
      <w:pPr>
        <w:pStyle w:val="Heading4"/>
        <w:spacing w:before="120"/>
        <w:rPr>
          <w:i/>
        </w:rPr>
      </w:pPr>
      <w:r>
        <w:rPr>
          <w:i/>
        </w:rPr>
        <w:t>The suitability of the natural or managed environment for natural spread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 xml:space="preserve">Phytophthora ramorum </w:t>
      </w:r>
      <w:r>
        <w:rPr>
          <w:rFonts w:ascii="Cambria" w:hAnsi="Cambria"/>
        </w:rPr>
        <w:t xml:space="preserve">is exotic and has spread from an unknown area to Europe and the USA (Ivors </w:t>
      </w:r>
      <w:r>
        <w:rPr>
          <w:rFonts w:ascii="Cambria" w:hAnsi="Cambria"/>
          <w:iCs/>
        </w:rPr>
        <w:t>et al</w:t>
      </w:r>
      <w:r>
        <w:rPr>
          <w:rFonts w:ascii="Cambria" w:hAnsi="Cambria"/>
        </w:rPr>
        <w:t xml:space="preserve">. 2006; Brasier 2007; Mascheretti </w:t>
      </w:r>
      <w:r>
        <w:rPr>
          <w:rFonts w:ascii="Cambria" w:hAnsi="Cambria"/>
          <w:iCs/>
        </w:rPr>
        <w:t>et al</w:t>
      </w:r>
      <w:r>
        <w:rPr>
          <w:rFonts w:ascii="Cambria" w:hAnsi="Cambria"/>
        </w:rPr>
        <w:t xml:space="preserve">. 2008), indicating that the pathogen is able to spread naturally.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was first discovered in Germany and the Netherlands (Werres </w:t>
      </w:r>
      <w:r>
        <w:rPr>
          <w:rFonts w:ascii="Cambria" w:hAnsi="Cambria"/>
          <w:iCs/>
        </w:rPr>
        <w:t>et al</w:t>
      </w:r>
      <w:r>
        <w:rPr>
          <w:rFonts w:ascii="Cambria" w:hAnsi="Cambria"/>
        </w:rPr>
        <w:t xml:space="preserve">. 2001) and then, shortly after, in the USA (Rizzo </w:t>
      </w:r>
      <w:r>
        <w:rPr>
          <w:rFonts w:ascii="Cambria" w:hAnsi="Cambria"/>
          <w:iCs/>
        </w:rPr>
        <w:t>et al.</w:t>
      </w:r>
      <w:r>
        <w:rPr>
          <w:rFonts w:ascii="Cambria" w:hAnsi="Cambria"/>
        </w:rPr>
        <w:t xml:space="preserve"> 2002b). Since then, </w:t>
      </w:r>
      <w:r>
        <w:rPr>
          <w:rFonts w:ascii="Cambria" w:hAnsi="Cambria"/>
          <w:i/>
          <w:iCs/>
        </w:rPr>
        <w:t xml:space="preserve">P. ramorum </w:t>
      </w:r>
      <w:r>
        <w:rPr>
          <w:rFonts w:ascii="Cambria" w:hAnsi="Cambria"/>
        </w:rPr>
        <w:t xml:space="preserve">has spread throughout Europe, the USA and Canada. There are similarities in the natural and urban environments of these areas with those in Australia, which suggests that </w:t>
      </w:r>
      <w:r>
        <w:rPr>
          <w:rFonts w:ascii="Cambria" w:hAnsi="Cambria"/>
          <w:i/>
          <w:iCs/>
        </w:rPr>
        <w:t xml:space="preserve">P. ramorum </w:t>
      </w:r>
      <w:r>
        <w:rPr>
          <w:rFonts w:ascii="Cambria" w:hAnsi="Cambria"/>
        </w:rPr>
        <w:t>could spread 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Host plants that support the spread of </w:t>
      </w:r>
      <w:r>
        <w:rPr>
          <w:rFonts w:ascii="Cambria" w:hAnsi="Cambria"/>
          <w:i/>
          <w:iCs/>
        </w:rPr>
        <w:t xml:space="preserve">P. ramorum </w:t>
      </w:r>
      <w:r>
        <w:rPr>
          <w:rFonts w:ascii="Cambria" w:hAnsi="Cambria"/>
        </w:rPr>
        <w:t xml:space="preserve">are widespread in cities, towns and horticultural production areas throughout Australia and in the natural environment. For example, </w:t>
      </w:r>
      <w:r>
        <w:rPr>
          <w:rFonts w:ascii="Cambria" w:hAnsi="Cambria"/>
          <w:i/>
        </w:rPr>
        <w:t xml:space="preserve">Eucalyptus </w:t>
      </w:r>
      <w:r>
        <w:rPr>
          <w:rFonts w:ascii="Cambria" w:hAnsi="Cambria"/>
        </w:rPr>
        <w:t xml:space="preserve">hosts are widespread in Australia. Foliar hosts, including many Ericaceae, play a particularly important role in the production of infectious sporangia and the development of epidemics (Garbelotto </w:t>
      </w:r>
      <w:r>
        <w:rPr>
          <w:rFonts w:ascii="Cambria" w:hAnsi="Cambria"/>
          <w:iCs/>
        </w:rPr>
        <w:t>et al</w:t>
      </w:r>
      <w:r>
        <w:rPr>
          <w:rFonts w:ascii="Cambria" w:hAnsi="Cambria"/>
        </w:rPr>
        <w:t xml:space="preserve">. 2003; Rizzo &amp; Garbelotto 2003; Tooley </w:t>
      </w:r>
      <w:r>
        <w:rPr>
          <w:rFonts w:ascii="Cambria" w:hAnsi="Cambria"/>
          <w:iCs/>
        </w:rPr>
        <w:t>et al</w:t>
      </w:r>
      <w:r>
        <w:rPr>
          <w:rFonts w:ascii="Cambria" w:hAnsi="Cambria"/>
        </w:rPr>
        <w:t>. 2004). Foliar hosts also support the development of chlamydospores, the primary survival stage of the pathogen.</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managed environment in nurseries, garden centres and private gardens are all favourable for the spread of </w:t>
      </w:r>
      <w:r>
        <w:rPr>
          <w:rFonts w:ascii="Cambria" w:hAnsi="Cambria"/>
          <w:i/>
          <w:iCs/>
        </w:rPr>
        <w:t>P. ramorum</w:t>
      </w:r>
      <w:r>
        <w:rPr>
          <w:rFonts w:ascii="Cambria" w:hAnsi="Cambria"/>
        </w:rPr>
        <w:t xml:space="preserve"> as host plants are abundantly available. The plants are closely placed and sprinkler irrigation favours pathogen multiplication and local spread. </w:t>
      </w:r>
      <w:r>
        <w:rPr>
          <w:rFonts w:ascii="Cambria" w:hAnsi="Cambria"/>
          <w:i/>
          <w:iCs/>
        </w:rPr>
        <w:t>Phytophthora ramorum</w:t>
      </w:r>
      <w:r>
        <w:rPr>
          <w:rFonts w:ascii="Cambria" w:hAnsi="Cambria"/>
        </w:rPr>
        <w:t xml:space="preserve"> requires moist conditions and nursery environments provide these ideal conditions through dense canopies and irrigation (Dart </w:t>
      </w:r>
      <w:r>
        <w:rPr>
          <w:rFonts w:ascii="Cambria" w:hAnsi="Cambria"/>
          <w:iCs/>
        </w:rPr>
        <w:t>et al</w:t>
      </w:r>
      <w:r>
        <w:rPr>
          <w:rFonts w:ascii="Cambria" w:hAnsi="Cambria"/>
        </w:rPr>
        <w:t xml:space="preserve">. 2007; Schwingle </w:t>
      </w:r>
      <w:r>
        <w:rPr>
          <w:rFonts w:ascii="Cambria" w:hAnsi="Cambria"/>
          <w:iCs/>
        </w:rPr>
        <w:t>et al</w:t>
      </w:r>
      <w:r>
        <w:rPr>
          <w:rFonts w:ascii="Cambria" w:hAnsi="Cambria"/>
        </w:rPr>
        <w:t xml:space="preserve">. 2007). Nursery trade networks, which are common between Australian nurseries, favour a wider spread of </w:t>
      </w:r>
      <w:r>
        <w:rPr>
          <w:rFonts w:ascii="Cambria" w:hAnsi="Cambria"/>
          <w:i/>
          <w:iCs/>
        </w:rPr>
        <w:t>P. ramorum</w:t>
      </w:r>
      <w:r>
        <w:rPr>
          <w:rFonts w:ascii="Cambria" w:hAnsi="Cambria"/>
        </w:rPr>
        <w:t xml:space="preserve">.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needs a susceptible foliar host for inoculum build up and suitable climatic conditions in order to infect and initiate lesions on stems of trees. Stem infections have been reported only in forests where bay laurel or </w:t>
      </w:r>
      <w:r>
        <w:rPr>
          <w:rFonts w:ascii="Cambria" w:hAnsi="Cambria"/>
          <w:i/>
          <w:iCs/>
        </w:rPr>
        <w:t xml:space="preserve">Rhododendron ponticum </w:t>
      </w:r>
      <w:r>
        <w:rPr>
          <w:rFonts w:ascii="Cambria" w:hAnsi="Cambria"/>
        </w:rPr>
        <w:t xml:space="preserve">is a significant understorey species. Due to high susceptibility and the ability to support high levels of sporulation, </w:t>
      </w:r>
      <w:r>
        <w:rPr>
          <w:rFonts w:ascii="Cambria" w:hAnsi="Cambria"/>
          <w:i/>
          <w:iCs/>
        </w:rPr>
        <w:t xml:space="preserve">R. ponticum </w:t>
      </w:r>
      <w:r>
        <w:rPr>
          <w:rFonts w:ascii="Cambria" w:hAnsi="Cambria"/>
        </w:rPr>
        <w:t xml:space="preserve">plays a key role in the spread of </w:t>
      </w:r>
      <w:r>
        <w:rPr>
          <w:rFonts w:ascii="Cambria" w:hAnsi="Cambria"/>
          <w:i/>
          <w:iCs/>
        </w:rPr>
        <w:t xml:space="preserve">P. ramorum </w:t>
      </w:r>
      <w:r>
        <w:rPr>
          <w:rFonts w:ascii="Cambria" w:hAnsi="Cambria"/>
        </w:rPr>
        <w:t xml:space="preserve">into natural and semi-natural environments and the subsequent spread to trees (Webber 2008). </w:t>
      </w:r>
      <w:r>
        <w:rPr>
          <w:rFonts w:ascii="Cambria" w:hAnsi="Cambria"/>
          <w:i/>
          <w:iCs/>
        </w:rPr>
        <w:t>Arbutus unedo</w:t>
      </w:r>
      <w:r>
        <w:rPr>
          <w:rFonts w:ascii="Cambria" w:hAnsi="Cambria"/>
        </w:rPr>
        <w:t xml:space="preserve">, </w:t>
      </w:r>
      <w:r>
        <w:rPr>
          <w:rFonts w:ascii="Cambria" w:hAnsi="Cambria"/>
          <w:i/>
          <w:iCs/>
        </w:rPr>
        <w:t>Quercus ilex</w:t>
      </w:r>
      <w:r>
        <w:rPr>
          <w:rFonts w:ascii="Cambria" w:hAnsi="Cambria"/>
        </w:rPr>
        <w:t xml:space="preserve">, </w:t>
      </w:r>
      <w:r>
        <w:rPr>
          <w:rFonts w:ascii="Cambria" w:hAnsi="Cambria"/>
          <w:i/>
          <w:iCs/>
        </w:rPr>
        <w:t>Rhamnus alaternus</w:t>
      </w:r>
      <w:r>
        <w:rPr>
          <w:rFonts w:ascii="Cambria" w:hAnsi="Cambria"/>
        </w:rPr>
        <w:t xml:space="preserve">, </w:t>
      </w:r>
      <w:r>
        <w:rPr>
          <w:rFonts w:ascii="Cambria" w:hAnsi="Cambria"/>
          <w:i/>
          <w:iCs/>
        </w:rPr>
        <w:t xml:space="preserve">Vaccinium </w:t>
      </w:r>
      <w:r>
        <w:rPr>
          <w:rFonts w:ascii="Cambria" w:hAnsi="Cambria"/>
        </w:rPr>
        <w:t>species</w:t>
      </w:r>
      <w:r>
        <w:rPr>
          <w:rFonts w:ascii="Cambria" w:hAnsi="Cambria"/>
          <w:i/>
          <w:iCs/>
        </w:rPr>
        <w:t xml:space="preserve"> </w:t>
      </w:r>
      <w:r>
        <w:rPr>
          <w:rFonts w:ascii="Cambria" w:hAnsi="Cambria"/>
        </w:rPr>
        <w:t xml:space="preserve">and </w:t>
      </w:r>
      <w:r>
        <w:rPr>
          <w:rFonts w:ascii="Cambria" w:hAnsi="Cambria"/>
          <w:i/>
          <w:iCs/>
        </w:rPr>
        <w:t xml:space="preserve">Viburnum tinus </w:t>
      </w:r>
      <w:r>
        <w:rPr>
          <w:rFonts w:ascii="Cambria" w:hAnsi="Cambria"/>
        </w:rPr>
        <w:t xml:space="preserve">also support abundant sporulation and might enable the spread of </w:t>
      </w:r>
      <w:r>
        <w:rPr>
          <w:rFonts w:ascii="Cambria" w:hAnsi="Cambria"/>
          <w:i/>
          <w:iCs/>
        </w:rPr>
        <w:t xml:space="preserve">P. ramorum </w:t>
      </w:r>
      <w:r>
        <w:rPr>
          <w:rFonts w:ascii="Cambria" w:hAnsi="Cambria"/>
        </w:rPr>
        <w:t>to trees (Goheen &amp; Frankel 2009).</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lastRenderedPageBreak/>
        <w:t xml:space="preserve">After establishment, </w:t>
      </w:r>
      <w:r>
        <w:rPr>
          <w:rFonts w:ascii="Cambria" w:hAnsi="Cambria"/>
          <w:i/>
          <w:iCs/>
        </w:rPr>
        <w:t>P. ramorum</w:t>
      </w:r>
      <w:r>
        <w:rPr>
          <w:rFonts w:ascii="Cambria" w:hAnsi="Cambria"/>
        </w:rPr>
        <w:t xml:space="preserve"> can spread both independently and in association with infected nursery stock. Independent spread is facilitated by the production of spores on infected tissues (Hansen </w:t>
      </w:r>
      <w:r>
        <w:rPr>
          <w:rFonts w:ascii="Cambria" w:hAnsi="Cambria"/>
          <w:iCs/>
        </w:rPr>
        <w:t>et al</w:t>
      </w:r>
      <w:r>
        <w:rPr>
          <w:rFonts w:ascii="Cambria" w:hAnsi="Cambria"/>
        </w:rPr>
        <w:t xml:space="preserve">. 2008), which become air-borne during rain and could spread through air currents (Davidson </w:t>
      </w:r>
      <w:r>
        <w:rPr>
          <w:rFonts w:ascii="Cambria" w:hAnsi="Cambria"/>
          <w:iCs/>
        </w:rPr>
        <w:t>et al</w:t>
      </w:r>
      <w:r>
        <w:rPr>
          <w:rFonts w:ascii="Cambria" w:hAnsi="Cambria"/>
        </w:rPr>
        <w:t xml:space="preserve">. 2002a; Judelson &amp; Blanco 2005). This natural dispersal could play a major role in spreading the pathogen within a plant and from plant to plant (Davidson </w:t>
      </w:r>
      <w:r>
        <w:rPr>
          <w:rFonts w:ascii="Cambria" w:hAnsi="Cambria"/>
          <w:iCs/>
        </w:rPr>
        <w:t>et al</w:t>
      </w:r>
      <w:r>
        <w:rPr>
          <w:rFonts w:ascii="Cambria" w:hAnsi="Cambria"/>
        </w:rPr>
        <w:t>. 2002a; Judelson &amp; Blanco 2005).</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Phytophthora ramorum</w:t>
      </w:r>
      <w:r>
        <w:rPr>
          <w:rFonts w:ascii="Cambria" w:hAnsi="Cambria"/>
        </w:rPr>
        <w:t xml:space="preserve">, and the other </w:t>
      </w:r>
      <w:r>
        <w:rPr>
          <w:rFonts w:ascii="Cambria" w:hAnsi="Cambria"/>
          <w:i/>
        </w:rPr>
        <w:t xml:space="preserve">Phytophthora </w:t>
      </w:r>
      <w:r>
        <w:rPr>
          <w:rFonts w:ascii="Cambria" w:hAnsi="Cambria"/>
        </w:rPr>
        <w:t xml:space="preserve">species under review, produce caduceus sporangia, an adaptation evolved for aerial dispersal (Erwin &amp; Ribeiro 1996). The natural spread of </w:t>
      </w:r>
      <w:r>
        <w:rPr>
          <w:rFonts w:ascii="Cambria" w:hAnsi="Cambria"/>
          <w:i/>
          <w:iCs/>
        </w:rPr>
        <w:t xml:space="preserve">P. ramorum </w:t>
      </w:r>
      <w:r>
        <w:rPr>
          <w:rFonts w:ascii="Cambria" w:hAnsi="Cambria"/>
        </w:rPr>
        <w:t xml:space="preserve">will depend on a number of factors including spore production, spore dispersal, pathogen survival, host availability and climatic conditions (Sansford </w:t>
      </w:r>
      <w:r>
        <w:rPr>
          <w:rFonts w:ascii="Cambria" w:hAnsi="Cambria"/>
          <w:iCs/>
        </w:rPr>
        <w:t>et al.</w:t>
      </w:r>
      <w:r>
        <w:rPr>
          <w:rFonts w:ascii="Cambria" w:hAnsi="Cambria"/>
          <w:i/>
          <w:iCs/>
        </w:rPr>
        <w:t xml:space="preserve"> </w:t>
      </w:r>
      <w:r>
        <w:rPr>
          <w:rFonts w:ascii="Cambria" w:hAnsi="Cambria"/>
        </w:rPr>
        <w:t xml:space="preserve">2009). The natural spread of </w:t>
      </w:r>
      <w:r>
        <w:rPr>
          <w:rFonts w:ascii="Cambria" w:hAnsi="Cambria"/>
          <w:i/>
          <w:iCs/>
        </w:rPr>
        <w:t xml:space="preserve">P. ramorum </w:t>
      </w:r>
      <w:r>
        <w:rPr>
          <w:rFonts w:ascii="Cambria" w:hAnsi="Cambria"/>
        </w:rPr>
        <w:t xml:space="preserve">includes the movement of water (rain, runoff, streams, rivers and irrigation water), animals and aerial dissemination (of sporangia, zoospores and possibly chlamydospores). Strong winds, during heavy rains may disseminate the detached sporangia over great distances (Hansen </w:t>
      </w:r>
      <w:r>
        <w:rPr>
          <w:rFonts w:ascii="Cambria" w:hAnsi="Cambria"/>
          <w:iCs/>
        </w:rPr>
        <w:t>et al</w:t>
      </w:r>
      <w:r>
        <w:rPr>
          <w:rFonts w:ascii="Cambria" w:hAnsi="Cambria"/>
        </w:rPr>
        <w:t xml:space="preserve">. 2002; Rizzo </w:t>
      </w:r>
      <w:r>
        <w:rPr>
          <w:rFonts w:ascii="Cambria" w:hAnsi="Cambria"/>
          <w:iCs/>
        </w:rPr>
        <w:t>et al</w:t>
      </w:r>
      <w:r>
        <w:rPr>
          <w:rFonts w:ascii="Cambria" w:hAnsi="Cambria"/>
        </w:rPr>
        <w:t>. 2005)</w:t>
      </w:r>
      <w:r>
        <w:rPr>
          <w:rFonts w:ascii="Cambria" w:hAnsi="Cambria"/>
          <w:i/>
          <w:iCs/>
        </w:rPr>
        <w:t>.</w:t>
      </w:r>
      <w:r>
        <w:rPr>
          <w:rFonts w:ascii="Cambria" w:hAnsi="Cambria"/>
        </w:rPr>
        <w:t xml:space="preserve">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Different dispersal mechanisms may lead to short or long distance dispersal. Typical dispersal distances by rain-splash are in the order of up to 10–20 meters depending on the topography and the plant community structure (Chastagner </w:t>
      </w:r>
      <w:r>
        <w:rPr>
          <w:rFonts w:ascii="Cambria" w:hAnsi="Cambria"/>
          <w:iCs/>
        </w:rPr>
        <w:t>et al</w:t>
      </w:r>
      <w:r>
        <w:rPr>
          <w:rFonts w:ascii="Cambria" w:hAnsi="Cambria"/>
        </w:rPr>
        <w:t xml:space="preserve">. 2008; Mascheretti </w:t>
      </w:r>
      <w:r>
        <w:rPr>
          <w:rFonts w:ascii="Cambria" w:hAnsi="Cambria"/>
          <w:iCs/>
        </w:rPr>
        <w:t>et al</w:t>
      </w:r>
      <w:r>
        <w:rPr>
          <w:rFonts w:ascii="Cambria" w:hAnsi="Cambria"/>
        </w:rPr>
        <w:t xml:space="preserve">. 2008). In parts of Australia, where climate events are favourable and there is an abundance of continuous hosts, natural spread could be significantly more rapid. </w:t>
      </w:r>
      <w:r>
        <w:rPr>
          <w:rFonts w:ascii="Cambria" w:hAnsi="Cambria"/>
          <w:i/>
          <w:iCs/>
        </w:rPr>
        <w:t>Phytophthora ramorum</w:t>
      </w:r>
      <w:r>
        <w:rPr>
          <w:rFonts w:ascii="Cambria" w:hAnsi="Cambria"/>
        </w:rPr>
        <w:t xml:space="preserve"> propagules (sporangia, zoospores) disperse 10 meters and can disperse up to 25 meters in wind-driven rain (Davidson </w:t>
      </w:r>
      <w:r>
        <w:rPr>
          <w:rFonts w:ascii="Cambria" w:hAnsi="Cambria"/>
          <w:iCs/>
        </w:rPr>
        <w:t>et al.</w:t>
      </w:r>
      <w:r>
        <w:rPr>
          <w:rFonts w:ascii="Cambria" w:hAnsi="Cambria"/>
          <w:i/>
          <w:iCs/>
        </w:rPr>
        <w:t xml:space="preserve"> </w:t>
      </w:r>
      <w:r>
        <w:rPr>
          <w:rFonts w:ascii="Cambria" w:hAnsi="Cambria"/>
          <w:iCs/>
        </w:rPr>
        <w:t>2002a;</w:t>
      </w:r>
      <w:r>
        <w:rPr>
          <w:rStyle w:val="CommentReference"/>
          <w:rFonts w:ascii="Cambria" w:hAnsi="Cambria"/>
          <w:color w:val="000000"/>
          <w:sz w:val="22"/>
          <w:szCs w:val="22"/>
        </w:rPr>
        <w:t xml:space="preserve"> </w:t>
      </w:r>
      <w:r>
        <w:rPr>
          <w:rFonts w:ascii="Cambria" w:hAnsi="Cambria"/>
        </w:rPr>
        <w:t xml:space="preserve">Rizzo </w:t>
      </w:r>
      <w:r>
        <w:rPr>
          <w:rFonts w:ascii="Cambria" w:hAnsi="Cambria"/>
          <w:iCs/>
        </w:rPr>
        <w:t>et al</w:t>
      </w:r>
      <w:r>
        <w:rPr>
          <w:rFonts w:ascii="Cambria" w:hAnsi="Cambria"/>
        </w:rPr>
        <w:t xml:space="preserve">. 2005). In Oregon, about half of the new </w:t>
      </w:r>
      <w:r>
        <w:rPr>
          <w:rFonts w:ascii="Cambria" w:hAnsi="Cambria"/>
          <w:i/>
        </w:rPr>
        <w:t xml:space="preserve">Phytophthora </w:t>
      </w:r>
      <w:r>
        <w:rPr>
          <w:rFonts w:ascii="Cambria" w:hAnsi="Cambria"/>
        </w:rPr>
        <w:t xml:space="preserve">infections each year occur within 100 meters of trees killed the previous year, but long distance dispersal up to 3 kilometers may occur in storm winds (Rizzo </w:t>
      </w:r>
      <w:r>
        <w:rPr>
          <w:rFonts w:ascii="Cambria" w:hAnsi="Cambria"/>
          <w:iCs/>
        </w:rPr>
        <w:t>et al</w:t>
      </w:r>
      <w:r>
        <w:rPr>
          <w:rFonts w:ascii="Cambria" w:hAnsi="Cambria"/>
        </w:rPr>
        <w:t xml:space="preserve">. 2005).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Short distance spread of </w:t>
      </w:r>
      <w:r>
        <w:rPr>
          <w:rFonts w:ascii="Cambria" w:hAnsi="Cambria"/>
          <w:i/>
          <w:iCs/>
        </w:rPr>
        <w:t>Phytophthora</w:t>
      </w:r>
      <w:r>
        <w:rPr>
          <w:rFonts w:ascii="Cambria" w:hAnsi="Cambria"/>
        </w:rPr>
        <w:t xml:space="preserve"> occurs on a yearly basis and is normally within a few kilometres, but long distance spread (through infected nursery stock) occasionally occurs, and seems to be linked to favourable weather conditions for the pathogen (EFSA 2011).</w:t>
      </w:r>
    </w:p>
    <w:p w:rsidR="00E94405" w:rsidRDefault="00A11609">
      <w:pPr>
        <w:pStyle w:val="AQISNum"/>
        <w:numPr>
          <w:ilvl w:val="1"/>
          <w:numId w:val="31"/>
        </w:numPr>
        <w:tabs>
          <w:tab w:val="clear" w:pos="644"/>
          <w:tab w:val="num" w:pos="840"/>
        </w:tabs>
        <w:spacing w:before="120" w:after="120" w:line="269" w:lineRule="auto"/>
        <w:ind w:left="840" w:hanging="480"/>
        <w:rPr>
          <w:rFonts w:ascii="Cambria" w:hAnsi="Cambria"/>
          <w:szCs w:val="22"/>
        </w:rPr>
      </w:pPr>
      <w:r>
        <w:rPr>
          <w:rFonts w:ascii="Cambria" w:hAnsi="Cambria"/>
          <w:szCs w:val="22"/>
        </w:rPr>
        <w:t xml:space="preserve">In nurseries, spread is linked to water-borne spread (Garbelotto &amp; Rizzo 2005), and is often limited to adjacent plants. </w:t>
      </w:r>
      <w:r>
        <w:rPr>
          <w:rFonts w:ascii="Cambria" w:hAnsi="Cambria"/>
          <w:i/>
          <w:iCs/>
          <w:szCs w:val="22"/>
        </w:rPr>
        <w:t xml:space="preserve">Phytophthora ramorum </w:t>
      </w:r>
      <w:r>
        <w:rPr>
          <w:rFonts w:ascii="Cambria" w:hAnsi="Cambria"/>
          <w:szCs w:val="22"/>
        </w:rPr>
        <w:t>requires moisture to complete its life cycle; wet environments in the nursery setting favour spore production, dispersal, germination and infection. Therefore, the humid conditions in nurseries that allow moisture to remain on plant leaves and stems, will favour the spread of the pathogen.</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Medium distance movement of sporangia is linked to turbulent movement, only occurring in the presence of winds strong enough to pick up sporangia (Mascheretti </w:t>
      </w:r>
      <w:r>
        <w:rPr>
          <w:rFonts w:ascii="Cambria" w:hAnsi="Cambria"/>
          <w:iCs/>
          <w:szCs w:val="22"/>
        </w:rPr>
        <w:t>et al</w:t>
      </w:r>
      <w:r>
        <w:rPr>
          <w:rFonts w:ascii="Cambria" w:hAnsi="Cambria"/>
          <w:szCs w:val="22"/>
        </w:rPr>
        <w:t xml:space="preserve">. 2008). Sporangia can be spread from 1–5 kilometers from the source (Mascheretti </w:t>
      </w:r>
      <w:r>
        <w:rPr>
          <w:rFonts w:ascii="Cambria" w:hAnsi="Cambria"/>
          <w:iCs/>
          <w:szCs w:val="22"/>
        </w:rPr>
        <w:t>et al</w:t>
      </w:r>
      <w:r>
        <w:rPr>
          <w:rFonts w:ascii="Cambria" w:hAnsi="Cambria"/>
          <w:szCs w:val="22"/>
        </w:rPr>
        <w:t>.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Infected nursery stock is unlikely to be grown in isolation; therefore providing a greater opportunity for the spread of </w:t>
      </w:r>
      <w:r>
        <w:rPr>
          <w:rFonts w:ascii="Cambria" w:hAnsi="Cambria"/>
          <w:i/>
          <w:iCs/>
        </w:rPr>
        <w:t xml:space="preserve">Phytophthora </w:t>
      </w:r>
      <w:r>
        <w:rPr>
          <w:rFonts w:ascii="Cambria" w:hAnsi="Cambria"/>
        </w:rPr>
        <w:t xml:space="preserve">species to other plants. The production of sporangia on infected tissues (Hansen </w:t>
      </w:r>
      <w:r>
        <w:rPr>
          <w:rFonts w:ascii="Cambria" w:hAnsi="Cambria"/>
          <w:iCs/>
        </w:rPr>
        <w:t>et al</w:t>
      </w:r>
      <w:r>
        <w:rPr>
          <w:rFonts w:ascii="Cambria" w:hAnsi="Cambria"/>
        </w:rPr>
        <w:t xml:space="preserve">. 2008) serves as the primary inoculum, spreading the pathogen to healthy leaves and shoots under appropriate environmental conditions (Hüberli </w:t>
      </w:r>
      <w:r>
        <w:rPr>
          <w:rFonts w:ascii="Cambria" w:hAnsi="Cambria"/>
          <w:iCs/>
        </w:rPr>
        <w:t>et al</w:t>
      </w:r>
      <w:r>
        <w:rPr>
          <w:rFonts w:ascii="Cambria" w:hAnsi="Cambria"/>
        </w:rPr>
        <w:t>. 2003a). However, sporangia may not survive long distance transport due to desiccation (Ristaino &amp; Gumpertz 2000).</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Asymptomatic</w:t>
      </w:r>
      <w:r>
        <w:rPr>
          <w:rFonts w:ascii="Cambria" w:hAnsi="Cambria"/>
          <w:i/>
          <w:iCs/>
        </w:rPr>
        <w:t xml:space="preserve"> </w:t>
      </w:r>
      <w:r>
        <w:rPr>
          <w:rFonts w:ascii="Cambria" w:hAnsi="Cambria"/>
        </w:rPr>
        <w:t xml:space="preserve">roots of infected </w:t>
      </w:r>
      <w:r>
        <w:rPr>
          <w:rFonts w:ascii="Cambria" w:hAnsi="Cambria"/>
          <w:i/>
        </w:rPr>
        <w:t xml:space="preserve">Rhododendron </w:t>
      </w:r>
      <w:r>
        <w:rPr>
          <w:rFonts w:ascii="Cambria" w:hAnsi="Cambria"/>
        </w:rPr>
        <w:t xml:space="preserve">species harbour chlamydospores of </w:t>
      </w:r>
      <w:r>
        <w:rPr>
          <w:rFonts w:ascii="Cambria" w:hAnsi="Cambria"/>
          <w:i/>
          <w:iCs/>
        </w:rPr>
        <w:t>P. ramorum</w:t>
      </w:r>
      <w:r>
        <w:rPr>
          <w:rFonts w:ascii="Cambria" w:hAnsi="Cambria"/>
        </w:rPr>
        <w:t xml:space="preserve"> (Riedel </w:t>
      </w:r>
      <w:r>
        <w:rPr>
          <w:rFonts w:ascii="Cambria" w:hAnsi="Cambria"/>
          <w:iCs/>
        </w:rPr>
        <w:t>et al</w:t>
      </w:r>
      <w:r>
        <w:rPr>
          <w:rFonts w:ascii="Cambria" w:hAnsi="Cambria"/>
        </w:rPr>
        <w:t xml:space="preserve">. 2009). Both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are capable of sporangial production on </w:t>
      </w:r>
      <w:r>
        <w:rPr>
          <w:rFonts w:ascii="Cambria" w:hAnsi="Cambria"/>
          <w:iCs/>
        </w:rPr>
        <w:t>asymptomatic</w:t>
      </w:r>
      <w:r>
        <w:rPr>
          <w:rFonts w:ascii="Cambria" w:hAnsi="Cambria"/>
          <w:i/>
          <w:iCs/>
        </w:rPr>
        <w:t xml:space="preserve"> </w:t>
      </w:r>
      <w:r>
        <w:rPr>
          <w:rFonts w:ascii="Cambria" w:hAnsi="Cambria"/>
        </w:rPr>
        <w:t xml:space="preserve">infected leaves and fruits of a range of hosts including </w:t>
      </w:r>
      <w:r>
        <w:rPr>
          <w:rFonts w:ascii="Cambria" w:hAnsi="Cambria"/>
          <w:i/>
          <w:iCs/>
        </w:rPr>
        <w:lastRenderedPageBreak/>
        <w:t>Crataegus, Laurus, Quercus, Rhododendron</w:t>
      </w:r>
      <w:r>
        <w:rPr>
          <w:rFonts w:ascii="Cambria" w:hAnsi="Cambria"/>
        </w:rPr>
        <w:t xml:space="preserve">, </w:t>
      </w:r>
      <w:r>
        <w:rPr>
          <w:rFonts w:ascii="Cambria" w:hAnsi="Cambria"/>
          <w:i/>
          <w:iCs/>
        </w:rPr>
        <w:t xml:space="preserve">Rosa </w:t>
      </w:r>
      <w:r>
        <w:rPr>
          <w:rFonts w:ascii="Cambria" w:hAnsi="Cambria"/>
        </w:rPr>
        <w:t xml:space="preserve">and </w:t>
      </w:r>
      <w:r>
        <w:rPr>
          <w:rFonts w:ascii="Cambria" w:hAnsi="Cambria"/>
          <w:i/>
          <w:iCs/>
        </w:rPr>
        <w:t xml:space="preserve">Smilax </w:t>
      </w:r>
      <w:r>
        <w:rPr>
          <w:rFonts w:ascii="Cambria" w:hAnsi="Cambria"/>
        </w:rPr>
        <w:t xml:space="preserve">(Denman </w:t>
      </w:r>
      <w:r>
        <w:rPr>
          <w:rFonts w:ascii="Cambria" w:hAnsi="Cambria"/>
          <w:iCs/>
        </w:rPr>
        <w:t>et al</w:t>
      </w:r>
      <w:r>
        <w:rPr>
          <w:rFonts w:ascii="Cambria" w:hAnsi="Cambria"/>
        </w:rPr>
        <w:t>. 2008). Therefore, visually healthy plants may harbour a sporulating pathogen in the roots or foliage and bare-rooted shipping stock will help spread the pathogen into new areas.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Genotypes of </w:t>
      </w:r>
      <w:r>
        <w:rPr>
          <w:rFonts w:ascii="Cambria" w:hAnsi="Cambria"/>
          <w:i/>
          <w:iCs/>
        </w:rPr>
        <w:t xml:space="preserve">P. ramorum </w:t>
      </w:r>
      <w:r>
        <w:rPr>
          <w:rFonts w:ascii="Cambria" w:hAnsi="Cambria"/>
        </w:rPr>
        <w:t xml:space="preserve">have been spread via the nursery stock trade from Europe to North America (Goss </w:t>
      </w:r>
      <w:r>
        <w:rPr>
          <w:rFonts w:ascii="Cambria" w:hAnsi="Cambria"/>
          <w:iCs/>
        </w:rPr>
        <w:t>et al</w:t>
      </w:r>
      <w:r>
        <w:rPr>
          <w:rFonts w:ascii="Cambria" w:hAnsi="Cambria"/>
        </w:rPr>
        <w:t xml:space="preserve">. 2011). In Canadian nurseries, the NA1, NA2 and EU1 genotypes have been found. NA2 is the most common lineage whereas NA1 is rare. In addition, the EU1 lineage is frequently detected in Canada (Goss </w:t>
      </w:r>
      <w:r>
        <w:rPr>
          <w:rFonts w:ascii="Cambria" w:hAnsi="Cambria"/>
          <w:iCs/>
        </w:rPr>
        <w:t>et al</w:t>
      </w:r>
      <w:r>
        <w:rPr>
          <w:rFonts w:ascii="Cambria" w:hAnsi="Cambria"/>
        </w:rPr>
        <w:t xml:space="preserve">. 2011) indicating that EU1 has spread from Europe to North America (Goss </w:t>
      </w:r>
      <w:r>
        <w:rPr>
          <w:rFonts w:ascii="Cambria" w:hAnsi="Cambria"/>
          <w:iCs/>
        </w:rPr>
        <w:t>et al</w:t>
      </w:r>
      <w:r>
        <w:rPr>
          <w:rFonts w:ascii="Cambria" w:hAnsi="Cambria"/>
        </w:rPr>
        <w:t>. 2011).</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rapid spread of </w:t>
      </w:r>
      <w:r>
        <w:rPr>
          <w:rFonts w:ascii="Cambria" w:hAnsi="Cambria"/>
          <w:i/>
          <w:iCs/>
        </w:rPr>
        <w:t xml:space="preserve">P. ramorum </w:t>
      </w:r>
      <w:r>
        <w:rPr>
          <w:rFonts w:ascii="Cambria" w:hAnsi="Cambria"/>
        </w:rPr>
        <w:t xml:space="preserve">during the early 2000s, in Europe and in the USA is related to the movement of infected nursery stock from infested regions into new areas (Brasier 2007; Cave et al. 2008; Alexander 2012). Similarly, </w:t>
      </w:r>
      <w:r>
        <w:rPr>
          <w:rFonts w:ascii="Cambria" w:hAnsi="Cambria"/>
          <w:i/>
          <w:iCs/>
        </w:rPr>
        <w:t xml:space="preserve">P. ramorum </w:t>
      </w:r>
      <w:r>
        <w:rPr>
          <w:rFonts w:ascii="Cambria" w:hAnsi="Cambria"/>
        </w:rPr>
        <w:t>will spread within Australia, if it is established.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Certain hosts play an important role in the spread of </w:t>
      </w:r>
      <w:r>
        <w:rPr>
          <w:rFonts w:ascii="Cambria" w:hAnsi="Cambria"/>
          <w:i/>
        </w:rPr>
        <w:t xml:space="preserve">P. ramorum </w:t>
      </w:r>
      <w:r>
        <w:rPr>
          <w:rFonts w:ascii="Cambria" w:hAnsi="Cambria"/>
        </w:rPr>
        <w:t xml:space="preserve">in the ecosystem. </w:t>
      </w:r>
      <w:r>
        <w:rPr>
          <w:rFonts w:ascii="Cambria" w:hAnsi="Cambria"/>
          <w:i/>
        </w:rPr>
        <w:t xml:space="preserve">Phytophthora ramorum </w:t>
      </w:r>
      <w:r>
        <w:rPr>
          <w:rFonts w:ascii="Cambria" w:hAnsi="Cambria"/>
        </w:rPr>
        <w:t>sporulates</w:t>
      </w:r>
      <w:r>
        <w:rPr>
          <w:rFonts w:ascii="Cambria" w:hAnsi="Cambria"/>
          <w:i/>
        </w:rPr>
        <w:t xml:space="preserve"> </w:t>
      </w:r>
      <w:r>
        <w:rPr>
          <w:rFonts w:ascii="Cambria" w:hAnsi="Cambria"/>
        </w:rPr>
        <w:t xml:space="preserve">(production of deciduous sporangia) profusely during favourable conditions on bay laurel trees, with less abundant sporulation on other hosts such as tanoak twigs and redwood needles. The presence of bay laurel (a preferred sporulating host) plays an important role in the epidemiology. For example, the presence of infected bay laurel leaves is strongly correlated with stem cankers on </w:t>
      </w:r>
      <w:r>
        <w:rPr>
          <w:rFonts w:ascii="Cambria" w:hAnsi="Cambria"/>
          <w:i/>
        </w:rPr>
        <w:t>Quercus agrifolia</w:t>
      </w:r>
      <w:r>
        <w:rPr>
          <w:rFonts w:ascii="Cambria" w:hAnsi="Cambria"/>
        </w:rPr>
        <w:t xml:space="preserve"> (Kelly &amp; Meentemeyer 2002; Rizzo &amp; Garbelotto 2003); therefore, foliar infections of bay laurel generally lead to infection of oaks in Californian forests (Rizzo &amp; Garbelotto 2003). Foliar hosts (supporting spore build up) are present in natural and urban environments of Australia, which suggests that </w:t>
      </w:r>
      <w:r>
        <w:rPr>
          <w:rFonts w:ascii="Cambria" w:hAnsi="Cambria"/>
          <w:i/>
          <w:iCs/>
        </w:rPr>
        <w:t>P. ramorum</w:t>
      </w:r>
      <w:r>
        <w:rPr>
          <w:rFonts w:ascii="Cambria" w:hAnsi="Cambria"/>
        </w:rPr>
        <w:t xml:space="preserve"> could spread in Australia.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presence of a foliar host that can support massive spore build up increases the disease intensity, resulting in the spread of the pathogen to other hosts growing in close proximity. For example, in Californian forests of tanoak and bay laurel trees, the high mortality of tanoaks caused by </w:t>
      </w:r>
      <w:r>
        <w:rPr>
          <w:rFonts w:ascii="Cambria" w:hAnsi="Cambria"/>
          <w:i/>
        </w:rPr>
        <w:t>P. ramorum</w:t>
      </w:r>
      <w:r>
        <w:rPr>
          <w:rFonts w:ascii="Cambria" w:hAnsi="Cambria"/>
        </w:rPr>
        <w:t xml:space="preserve"> is increased with the presence of bay laurels (Cobb </w:t>
      </w:r>
      <w:r>
        <w:rPr>
          <w:rFonts w:ascii="Cambria" w:hAnsi="Cambria"/>
          <w:iCs/>
        </w:rPr>
        <w:t>et al</w:t>
      </w:r>
      <w:r>
        <w:rPr>
          <w:rFonts w:ascii="Cambria" w:hAnsi="Cambria"/>
        </w:rPr>
        <w:t xml:space="preserve">. 2010). Bay laurels, while not lethally affected by </w:t>
      </w:r>
      <w:r>
        <w:rPr>
          <w:rFonts w:ascii="Cambria" w:hAnsi="Cambria"/>
          <w:i/>
        </w:rPr>
        <w:t>P. ramorum</w:t>
      </w:r>
      <w:r>
        <w:rPr>
          <w:rFonts w:ascii="Cambria" w:hAnsi="Cambria"/>
        </w:rPr>
        <w:t xml:space="preserve">, support sporulation during the rainy season and provide a means for the pathogen to survive the dry Mediterranean summer (DiLeo </w:t>
      </w:r>
      <w:r>
        <w:rPr>
          <w:rFonts w:ascii="Cambria" w:hAnsi="Cambria"/>
          <w:iCs/>
        </w:rPr>
        <w:t>et al</w:t>
      </w:r>
      <w:r>
        <w:rPr>
          <w:rFonts w:ascii="Cambria" w:hAnsi="Cambria"/>
        </w:rPr>
        <w:t xml:space="preserve">. 2009). A shift in species composition is likely to lead to an increased production of inoculum (Cobb </w:t>
      </w:r>
      <w:r>
        <w:rPr>
          <w:rFonts w:ascii="Cambria" w:hAnsi="Cambria"/>
          <w:iCs/>
        </w:rPr>
        <w:t>et al</w:t>
      </w:r>
      <w:r>
        <w:rPr>
          <w:rFonts w:ascii="Cambria" w:hAnsi="Cambria"/>
        </w:rPr>
        <w:t>. 2010).</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Increased abundance and density of a reservoir host that supports high sporulation will increase the probability of </w:t>
      </w:r>
      <w:r>
        <w:rPr>
          <w:rFonts w:ascii="Cambria" w:hAnsi="Cambria"/>
          <w:i/>
          <w:iCs/>
        </w:rPr>
        <w:t xml:space="preserve">P. ramorum </w:t>
      </w:r>
      <w:r>
        <w:rPr>
          <w:rFonts w:ascii="Cambria" w:hAnsi="Cambria"/>
        </w:rPr>
        <w:t xml:space="preserve">occurrence. A similar relationship with bay laurel was noted for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(Maloney </w:t>
      </w:r>
      <w:r>
        <w:rPr>
          <w:rFonts w:ascii="Cambria" w:hAnsi="Cambria"/>
          <w:iCs/>
        </w:rPr>
        <w:t>et al</w:t>
      </w:r>
      <w:r>
        <w:rPr>
          <w:rFonts w:ascii="Cambria" w:hAnsi="Cambria"/>
        </w:rPr>
        <w:t xml:space="preserve">. 2005; Murphy &amp; Rizzo 2006; Wickland &amp; Rizzo 2006). While the probabilities of all three pathogens increases with more bay laurels present, they differ in their responses to various climatic variables, including rain and temperature (Murphy </w:t>
      </w:r>
      <w:r>
        <w:rPr>
          <w:rFonts w:ascii="Cambria" w:hAnsi="Cambria"/>
          <w:iCs/>
        </w:rPr>
        <w:t>et al</w:t>
      </w:r>
      <w:r>
        <w:rPr>
          <w:rFonts w:ascii="Cambria" w:hAnsi="Cambria"/>
        </w:rPr>
        <w:t>.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 ecosystems in parts of Australia where </w:t>
      </w:r>
      <w:r>
        <w:rPr>
          <w:rFonts w:ascii="Cambria" w:hAnsi="Cambria"/>
          <w:i/>
        </w:rPr>
        <w:t>Rhododendron</w:t>
      </w:r>
      <w:r>
        <w:rPr>
          <w:rFonts w:ascii="Cambria" w:hAnsi="Cambria"/>
        </w:rPr>
        <w:t xml:space="preserve"> is less abundant or absent, other plant species may take on the equivalent role and support abundant sporulation by </w:t>
      </w:r>
      <w:r>
        <w:rPr>
          <w:rFonts w:ascii="Cambria" w:hAnsi="Cambria"/>
          <w:i/>
          <w:iCs/>
        </w:rPr>
        <w:t>P. ramorum</w:t>
      </w:r>
      <w:r>
        <w:rPr>
          <w:rFonts w:ascii="Cambria" w:hAnsi="Cambria"/>
        </w:rPr>
        <w:t xml:space="preserve">. Several species other than </w:t>
      </w:r>
      <w:r>
        <w:rPr>
          <w:rFonts w:ascii="Cambria" w:hAnsi="Cambria"/>
          <w:i/>
        </w:rPr>
        <w:t>Rhododendron</w:t>
      </w:r>
      <w:r>
        <w:rPr>
          <w:rFonts w:ascii="Cambria" w:hAnsi="Cambria"/>
        </w:rPr>
        <w:t xml:space="preserve"> have the potential to support moderate to high levels of sporulation (Moralejo et al. 2006). Species of </w:t>
      </w:r>
      <w:r>
        <w:rPr>
          <w:rFonts w:ascii="Cambria" w:hAnsi="Cambria"/>
          <w:i/>
          <w:iCs/>
        </w:rPr>
        <w:t xml:space="preserve">Vaccinium </w:t>
      </w:r>
      <w:r>
        <w:rPr>
          <w:rFonts w:ascii="Cambria" w:hAnsi="Cambria"/>
          <w:iCs/>
        </w:rPr>
        <w:t xml:space="preserve">also </w:t>
      </w:r>
      <w:r>
        <w:rPr>
          <w:rFonts w:ascii="Cambria" w:hAnsi="Cambria"/>
        </w:rPr>
        <w:t xml:space="preserve">support high levels of sporulation similar to those observed on bay laurel (Webber 2008); therefore, the presence of such hosts will help spread </w:t>
      </w:r>
      <w:r>
        <w:rPr>
          <w:rFonts w:ascii="Cambria" w:hAnsi="Cambria"/>
          <w:i/>
        </w:rPr>
        <w:t xml:space="preserve">P. ramorum </w:t>
      </w:r>
      <w:r>
        <w:rPr>
          <w:rFonts w:ascii="Cambria" w:hAnsi="Cambria"/>
        </w:rPr>
        <w:t>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current knowledge of the host range of </w:t>
      </w:r>
      <w:r>
        <w:rPr>
          <w:rFonts w:ascii="Cambria" w:hAnsi="Cambria"/>
          <w:i/>
          <w:iCs/>
        </w:rPr>
        <w:t xml:space="preserve">P. ramorum </w:t>
      </w:r>
      <w:r>
        <w:rPr>
          <w:rFonts w:ascii="Cambria" w:hAnsi="Cambria"/>
          <w:iCs/>
        </w:rPr>
        <w:t xml:space="preserve">based on </w:t>
      </w:r>
      <w:r>
        <w:rPr>
          <w:rFonts w:ascii="Cambria" w:hAnsi="Cambria"/>
        </w:rPr>
        <w:t>naturally infected plants and inoculation studies suggests that the Australian flora will be highly susceptible to the pathogen, both in natural and landscaped areas.</w:t>
      </w:r>
    </w:p>
    <w:p w:rsidR="00E94405" w:rsidRDefault="00A11609">
      <w:pPr>
        <w:pStyle w:val="Heading4"/>
        <w:spacing w:before="200"/>
        <w:rPr>
          <w:i/>
        </w:rPr>
      </w:pPr>
      <w:r>
        <w:rPr>
          <w:i/>
        </w:rPr>
        <w:lastRenderedPageBreak/>
        <w:t>Presence of natural barriers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w:t>
      </w:r>
      <w:r>
        <w:rPr>
          <w:rFonts w:ascii="Cambria" w:hAnsi="Cambria"/>
          <w:i/>
        </w:rPr>
        <w:t>hytophthora</w:t>
      </w:r>
      <w:r>
        <w:rPr>
          <w:rFonts w:ascii="Cambria" w:hAnsi="Cambria"/>
          <w:i/>
          <w:iCs/>
        </w:rPr>
        <w:t xml:space="preserve"> ramorum </w:t>
      </w:r>
      <w:r>
        <w:rPr>
          <w:rFonts w:ascii="Cambria" w:hAnsi="Cambria"/>
        </w:rPr>
        <w:t xml:space="preserve">has the potential for natural and human mediated spread. Natural spread of </w:t>
      </w:r>
      <w:r>
        <w:rPr>
          <w:rFonts w:ascii="Cambria" w:hAnsi="Cambria"/>
          <w:i/>
          <w:iCs/>
        </w:rPr>
        <w:t xml:space="preserve">P. ramorum </w:t>
      </w:r>
      <w:r>
        <w:rPr>
          <w:rFonts w:ascii="Cambria" w:hAnsi="Cambria"/>
        </w:rPr>
        <w:t xml:space="preserve">is through air-borne inoculum (Davidson </w:t>
      </w:r>
      <w:r>
        <w:rPr>
          <w:rFonts w:ascii="Cambria" w:hAnsi="Cambria"/>
          <w:iCs/>
        </w:rPr>
        <w:t>et al</w:t>
      </w:r>
      <w:r>
        <w:rPr>
          <w:rFonts w:ascii="Cambria" w:hAnsi="Cambria"/>
        </w:rPr>
        <w:t xml:space="preserve">. 2005). Sporangia are primarily dispersed short distances by rain-splash; therefore, its rate of non-facilitated spread may generally be limited (Moralejo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Hansen 2008). However, strong winds during heavy rains may disseminate the detached sporangia over greater distances (Hansen </w:t>
      </w:r>
      <w:r>
        <w:rPr>
          <w:rFonts w:ascii="Cambria" w:hAnsi="Cambria"/>
          <w:iCs/>
        </w:rPr>
        <w:t>et al</w:t>
      </w:r>
      <w:r>
        <w:rPr>
          <w:rFonts w:ascii="Cambria" w:hAnsi="Cambria"/>
        </w:rPr>
        <w:t xml:space="preserve">. 2002; Rizzo </w:t>
      </w:r>
      <w:r>
        <w:rPr>
          <w:rFonts w:ascii="Cambria" w:hAnsi="Cambria"/>
          <w:iCs/>
        </w:rPr>
        <w:t>et al</w:t>
      </w:r>
      <w:r>
        <w:rPr>
          <w:rFonts w:ascii="Cambria" w:hAnsi="Cambria"/>
        </w:rPr>
        <w:t>. 2005)</w:t>
      </w:r>
      <w:r>
        <w:rPr>
          <w:rFonts w:ascii="Cambria" w:hAnsi="Cambria"/>
          <w:i/>
          <w:iCs/>
        </w:rPr>
        <w: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Hosts of </w:t>
      </w:r>
      <w:r>
        <w:rPr>
          <w:rFonts w:ascii="Cambria" w:hAnsi="Cambria"/>
          <w:i/>
          <w:iCs/>
        </w:rPr>
        <w:t xml:space="preserve">P. ramorum </w:t>
      </w:r>
      <w:r>
        <w:rPr>
          <w:rFonts w:ascii="Cambria" w:hAnsi="Cambria"/>
        </w:rPr>
        <w:t xml:space="preserve">are present in many parts of Australia. Host plants that support the spread of </w:t>
      </w:r>
      <w:r>
        <w:rPr>
          <w:rFonts w:ascii="Cambria" w:hAnsi="Cambria"/>
          <w:i/>
          <w:iCs/>
        </w:rPr>
        <w:t>P. ramorum</w:t>
      </w:r>
      <w:r>
        <w:rPr>
          <w:rFonts w:ascii="Cambria" w:hAnsi="Cambria"/>
        </w:rPr>
        <w:t xml:space="preserve"> are widespread in cities, towns and horticultural production areas throughout Australia and in the natural environment. Hosts include</w:t>
      </w:r>
      <w:r>
        <w:rPr>
          <w:rFonts w:ascii="Cambria" w:hAnsi="Cambria"/>
          <w:i/>
          <w:iCs/>
        </w:rPr>
        <w:t xml:space="preserve"> </w:t>
      </w:r>
      <w:r>
        <w:rPr>
          <w:rFonts w:ascii="Cambria" w:hAnsi="Cambria"/>
        </w:rPr>
        <w:t>important nursery and landscape species including</w:t>
      </w:r>
      <w:r>
        <w:rPr>
          <w:rFonts w:ascii="Cambria" w:hAnsi="Cambria"/>
          <w:i/>
          <w:iCs/>
        </w:rPr>
        <w:t xml:space="preserve"> Arbutus, Calluna</w:t>
      </w:r>
      <w:r>
        <w:rPr>
          <w:rFonts w:ascii="Cambria" w:hAnsi="Cambria"/>
        </w:rPr>
        <w:t xml:space="preserve">, </w:t>
      </w:r>
      <w:r>
        <w:rPr>
          <w:rFonts w:ascii="Cambria" w:hAnsi="Cambria"/>
          <w:i/>
          <w:iCs/>
        </w:rPr>
        <w:t>Camellia, Choisya, Cornus, Garrya, Ilex, Griselinia, Hamamelis</w:t>
      </w:r>
      <w:r>
        <w:rPr>
          <w:rFonts w:ascii="Cambria" w:hAnsi="Cambria"/>
        </w:rPr>
        <w:t xml:space="preserve">, </w:t>
      </w:r>
      <w:r>
        <w:rPr>
          <w:rFonts w:ascii="Cambria" w:hAnsi="Cambria"/>
          <w:i/>
          <w:iCs/>
        </w:rPr>
        <w:t>Kalmia, Laurus</w:t>
      </w:r>
      <w:r>
        <w:rPr>
          <w:rFonts w:ascii="Cambria" w:hAnsi="Cambria"/>
        </w:rPr>
        <w:t xml:space="preserve">, </w:t>
      </w:r>
      <w:r>
        <w:rPr>
          <w:rFonts w:ascii="Cambria" w:hAnsi="Cambria"/>
          <w:i/>
          <w:iCs/>
        </w:rPr>
        <w:t>Leucothoe, Lonicera</w:t>
      </w:r>
      <w:r>
        <w:rPr>
          <w:rFonts w:ascii="Cambria" w:hAnsi="Cambria"/>
        </w:rPr>
        <w:t xml:space="preserve">, </w:t>
      </w:r>
      <w:r>
        <w:rPr>
          <w:rFonts w:ascii="Cambria" w:hAnsi="Cambria"/>
          <w:i/>
          <w:iCs/>
        </w:rPr>
        <w:t>Magnolia, Michelia, Osmanthus, Parrotia, Photinia, Pieris, Rhododendron, Ribes, Syringa</w:t>
      </w:r>
      <w:r>
        <w:rPr>
          <w:rFonts w:ascii="Cambria" w:hAnsi="Cambria"/>
          <w:iCs/>
        </w:rPr>
        <w:t>,</w:t>
      </w:r>
      <w:r>
        <w:rPr>
          <w:rFonts w:ascii="Cambria" w:hAnsi="Cambria"/>
          <w:i/>
          <w:iCs/>
        </w:rPr>
        <w:t xml:space="preserve"> Taxus</w:t>
      </w:r>
      <w:r>
        <w:rPr>
          <w:rFonts w:ascii="Cambria" w:hAnsi="Cambria"/>
        </w:rPr>
        <w:t xml:space="preserve">, </w:t>
      </w:r>
      <w:r>
        <w:rPr>
          <w:rFonts w:ascii="Cambria" w:hAnsi="Cambria"/>
          <w:i/>
          <w:iCs/>
        </w:rPr>
        <w:t>Umbellularia</w:t>
      </w:r>
      <w:r>
        <w:rPr>
          <w:rFonts w:ascii="Cambria" w:hAnsi="Cambria"/>
        </w:rPr>
        <w:t xml:space="preserve">, </w:t>
      </w:r>
      <w:r>
        <w:rPr>
          <w:rFonts w:ascii="Cambria" w:hAnsi="Cambria"/>
          <w:i/>
          <w:iCs/>
        </w:rPr>
        <w:t xml:space="preserve">Vaccinium </w:t>
      </w:r>
      <w:r>
        <w:rPr>
          <w:rFonts w:ascii="Cambria" w:hAnsi="Cambria"/>
        </w:rPr>
        <w:t xml:space="preserve">and </w:t>
      </w:r>
      <w:r>
        <w:rPr>
          <w:rFonts w:ascii="Cambria" w:hAnsi="Cambria"/>
          <w:i/>
          <w:iCs/>
        </w:rPr>
        <w:t>Viburnum</w:t>
      </w:r>
      <w:r>
        <w:rPr>
          <w:rFonts w:ascii="Cambria" w:hAnsi="Cambria"/>
        </w:rPr>
        <w:t xml:space="preserve"> (Werres </w:t>
      </w:r>
      <w:r>
        <w:rPr>
          <w:rFonts w:ascii="Cambria" w:hAnsi="Cambria"/>
          <w:iCs/>
        </w:rPr>
        <w:t>et al.</w:t>
      </w:r>
      <w:r>
        <w:rPr>
          <w:rFonts w:ascii="Cambria" w:hAnsi="Cambria"/>
        </w:rPr>
        <w:t xml:space="preserve"> 2001; Tooley </w:t>
      </w:r>
      <w:r>
        <w:rPr>
          <w:rFonts w:ascii="Cambria" w:hAnsi="Cambria"/>
          <w:iCs/>
        </w:rPr>
        <w:t>et al.</w:t>
      </w:r>
      <w:r>
        <w:rPr>
          <w:rFonts w:ascii="Cambria" w:hAnsi="Cambria"/>
          <w:i/>
          <w:iCs/>
        </w:rPr>
        <w:t xml:space="preserve"> </w:t>
      </w:r>
      <w:r>
        <w:rPr>
          <w:rFonts w:ascii="Cambria" w:hAnsi="Cambria"/>
        </w:rPr>
        <w:t xml:space="preserve">2004; Lane </w:t>
      </w:r>
      <w:r>
        <w:rPr>
          <w:rFonts w:ascii="Cambria" w:hAnsi="Cambria"/>
          <w:iCs/>
        </w:rPr>
        <w:t xml:space="preserve">et al. </w:t>
      </w:r>
      <w:r>
        <w:rPr>
          <w:rFonts w:ascii="Cambria" w:hAnsi="Cambria"/>
        </w:rPr>
        <w:t>2007)</w:t>
      </w:r>
      <w:r>
        <w:rPr>
          <w:rFonts w:ascii="Cambria" w:hAnsi="Cambria"/>
          <w:i/>
          <w:iCs/>
        </w:rPr>
        <w:t xml:space="preserve">. </w:t>
      </w:r>
      <w:r>
        <w:rPr>
          <w:rFonts w:ascii="Cambria" w:hAnsi="Cambria"/>
        </w:rPr>
        <w:t>Natural barriers such as arid areas, mountain ranges, climatic differentials and possible long distances between suitable hosts in parts of Australia, may prevent long-range natural spread of this pathogen.</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Cs/>
        </w:rPr>
        <w:t xml:space="preserve">The </w:t>
      </w:r>
      <w:r>
        <w:rPr>
          <w:rFonts w:ascii="Cambria" w:hAnsi="Cambria"/>
          <w:i/>
          <w:iCs/>
        </w:rPr>
        <w:t xml:space="preserve">Phytophthora </w:t>
      </w:r>
      <w:r>
        <w:rPr>
          <w:rFonts w:ascii="Cambria" w:hAnsi="Cambria"/>
          <w:iCs/>
        </w:rPr>
        <w:t>species</w:t>
      </w:r>
      <w:r>
        <w:rPr>
          <w:rFonts w:ascii="Cambria" w:hAnsi="Cambria"/>
          <w:i/>
          <w:iCs/>
        </w:rPr>
        <w:t xml:space="preserve"> </w:t>
      </w:r>
      <w:r>
        <w:rPr>
          <w:rFonts w:ascii="Cambria" w:hAnsi="Cambria"/>
        </w:rPr>
        <w:t xml:space="preserve">would be climatically limited by temperature for growth and moisture requirements for zoosporic infection. For example, the temperature thresholds (minimum, optimum and maximum) for </w:t>
      </w:r>
      <w:r>
        <w:rPr>
          <w:rFonts w:ascii="Cambria" w:hAnsi="Cambria"/>
          <w:i/>
          <w:iCs/>
        </w:rPr>
        <w:t xml:space="preserve">P. kernoviae </w:t>
      </w:r>
      <w:r>
        <w:rPr>
          <w:rFonts w:ascii="Cambria" w:hAnsi="Cambria"/>
        </w:rPr>
        <w:t xml:space="preserve">infections are 3 degrees Celsius, 18 degrees Celsius, and 26 degrees Celsius, respectively (Brasier </w:t>
      </w:r>
      <w:r>
        <w:rPr>
          <w:rFonts w:ascii="Cambria" w:hAnsi="Cambria"/>
          <w:iCs/>
        </w:rPr>
        <w:t>et al</w:t>
      </w:r>
      <w:r>
        <w:rPr>
          <w:rFonts w:ascii="Cambria" w:hAnsi="Cambria"/>
        </w:rPr>
        <w:t xml:space="preserve">. 2005). Similarly, </w:t>
      </w:r>
      <w:r>
        <w:rPr>
          <w:rFonts w:ascii="Cambria" w:hAnsi="Cambria"/>
          <w:i/>
        </w:rPr>
        <w:t>Phytophthora</w:t>
      </w:r>
      <w:r>
        <w:rPr>
          <w:rFonts w:ascii="Cambria" w:hAnsi="Cambria"/>
          <w:i/>
          <w:iCs/>
        </w:rPr>
        <w:t xml:space="preserve"> ramorum </w:t>
      </w:r>
      <w:r>
        <w:rPr>
          <w:rFonts w:ascii="Cambria" w:hAnsi="Cambria"/>
        </w:rPr>
        <w:t xml:space="preserve">has an optimum temperature range of 18–25 degrees Celsius for pathogen growth (Werres </w:t>
      </w:r>
      <w:r>
        <w:rPr>
          <w:rFonts w:ascii="Cambria" w:hAnsi="Cambria"/>
          <w:iCs/>
        </w:rPr>
        <w:t>et al</w:t>
      </w:r>
      <w:r>
        <w:rPr>
          <w:rFonts w:ascii="Cambria" w:hAnsi="Cambria"/>
        </w:rPr>
        <w:t>.</w:t>
      </w:r>
      <w:r>
        <w:rPr>
          <w:rFonts w:ascii="Cambria" w:hAnsi="Cambria"/>
          <w:i/>
          <w:iCs/>
        </w:rPr>
        <w:t xml:space="preserve"> </w:t>
      </w:r>
      <w:r>
        <w:rPr>
          <w:rFonts w:ascii="Cambria" w:hAnsi="Cambria"/>
        </w:rPr>
        <w:t xml:space="preserve">2001) and requires moisture for at least 12 hours for infection to occur (Hüberli </w:t>
      </w:r>
      <w:r>
        <w:rPr>
          <w:rFonts w:ascii="Cambria" w:hAnsi="Cambria"/>
          <w:iCs/>
        </w:rPr>
        <w:t>et al</w:t>
      </w:r>
      <w:r>
        <w:rPr>
          <w:rFonts w:ascii="Cambria" w:hAnsi="Cambria"/>
        </w:rPr>
        <w:t xml:space="preserve">. 2003a). </w:t>
      </w:r>
      <w:r>
        <w:rPr>
          <w:rFonts w:ascii="Cambria" w:hAnsi="Cambria"/>
          <w:i/>
        </w:rPr>
        <w:t xml:space="preserve">Phytophthora ramorum </w:t>
      </w:r>
      <w:r>
        <w:rPr>
          <w:rFonts w:ascii="Cambria" w:hAnsi="Cambria"/>
        </w:rPr>
        <w:t xml:space="preserve">infection of foliar tissue requires cool temperatures and free water; for example, infection of bay laurel leaves was highest at 18 degrees Celsius, and required a minimum of six to 12 hours of free water (Garbelotto </w:t>
      </w:r>
      <w:r>
        <w:rPr>
          <w:rFonts w:ascii="Cambria" w:hAnsi="Cambria"/>
          <w:iCs/>
        </w:rPr>
        <w:t>et al</w:t>
      </w:r>
      <w:r>
        <w:rPr>
          <w:rFonts w:ascii="Cambria" w:hAnsi="Cambria"/>
        </w:rPr>
        <w:t>. 2003)</w:t>
      </w:r>
      <w:r>
        <w:rPr>
          <w:rFonts w:ascii="Cambria" w:hAnsi="Cambria"/>
          <w:i/>
        </w:rPr>
        <w:t xml:space="preserve">.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w:t>
      </w:r>
      <w:r>
        <w:rPr>
          <w:rFonts w:ascii="Cambria" w:hAnsi="Cambria"/>
        </w:rPr>
        <w:t>species (</w:t>
      </w:r>
      <w:r>
        <w:rPr>
          <w:rFonts w:ascii="Cambria" w:hAnsi="Cambria"/>
          <w:i/>
          <w:iCs/>
        </w:rPr>
        <w:t xml:space="preserve">P. kernoviae, P. nemorosa, P. pseudosyringae </w:t>
      </w:r>
      <w:r>
        <w:rPr>
          <w:rFonts w:ascii="Cambria" w:hAnsi="Cambria"/>
        </w:rPr>
        <w:t xml:space="preserve">and </w:t>
      </w:r>
      <w:r>
        <w:rPr>
          <w:rFonts w:ascii="Cambria" w:hAnsi="Cambria"/>
          <w:i/>
          <w:iCs/>
        </w:rPr>
        <w:t>P. ramorum</w:t>
      </w:r>
      <w:r>
        <w:rPr>
          <w:rFonts w:ascii="Cambria" w:hAnsi="Cambria"/>
        </w:rPr>
        <w:t>)</w:t>
      </w:r>
      <w:r>
        <w:rPr>
          <w:rFonts w:ascii="Cambria" w:hAnsi="Cambria"/>
          <w:i/>
          <w:iCs/>
        </w:rPr>
        <w:t xml:space="preserve"> </w:t>
      </w:r>
      <w:r>
        <w:rPr>
          <w:rFonts w:ascii="Cambria" w:hAnsi="Cambria"/>
        </w:rPr>
        <w:t xml:space="preserve">occupy similar host and geographical ranges as well as the same forest communities and ornamental nurseries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however, they differ in their specific ecological niches (Murphy </w:t>
      </w:r>
      <w:r>
        <w:rPr>
          <w:rFonts w:ascii="Cambria" w:hAnsi="Cambria"/>
          <w:iCs/>
        </w:rPr>
        <w:t>et al</w:t>
      </w:r>
      <w:r>
        <w:rPr>
          <w:rFonts w:ascii="Cambria" w:hAnsi="Cambria"/>
        </w:rPr>
        <w:t xml:space="preserve">. 2008). Therefore, the spatial distribution of different ecological niches may affect the natural spread of these pathogens.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w:t>
      </w:r>
      <w:r>
        <w:rPr>
          <w:rFonts w:ascii="Cambria" w:hAnsi="Cambria"/>
        </w:rPr>
        <w:t>species presence is highly related to forest structure and climate (Murphy et al. 2008). For example, in North America, while the probability of these pathogens increases with more bay laurel hosts present, the pathogens differ in their responses to various climatic variables, including rain and temperature (Murphy et al. 2008).</w:t>
      </w:r>
    </w:p>
    <w:p w:rsidR="00E94405" w:rsidRDefault="00A11609">
      <w:pPr>
        <w:pStyle w:val="AQISNum"/>
        <w:numPr>
          <w:ilvl w:val="1"/>
          <w:numId w:val="31"/>
        </w:numPr>
        <w:tabs>
          <w:tab w:val="clear" w:pos="644"/>
          <w:tab w:val="num" w:pos="840"/>
        </w:tabs>
        <w:spacing w:before="120" w:after="120" w:line="269" w:lineRule="auto"/>
        <w:ind w:left="839" w:hanging="482"/>
        <w:rPr>
          <w:rFonts w:ascii="Cambria" w:hAnsi="Cambria"/>
          <w:szCs w:val="22"/>
        </w:rPr>
      </w:pPr>
      <w:r>
        <w:rPr>
          <w:rFonts w:ascii="Cambria" w:hAnsi="Cambria"/>
          <w:szCs w:val="22"/>
        </w:rPr>
        <w:t xml:space="preserve">The presence of foliar hosts; for example, bay laurel, combined with higher winter or spring rain and higher minimum annual temperatures, are conditions more suitable for </w:t>
      </w:r>
      <w:r>
        <w:rPr>
          <w:rFonts w:ascii="Cambria" w:hAnsi="Cambria"/>
          <w:i/>
          <w:szCs w:val="22"/>
        </w:rPr>
        <w:t xml:space="preserve">P. ramorum. </w:t>
      </w:r>
      <w:r>
        <w:rPr>
          <w:rFonts w:ascii="Cambria" w:hAnsi="Cambria"/>
          <w:szCs w:val="22"/>
        </w:rPr>
        <w:t xml:space="preserve">Similarly, the abundance of foliar hosts, lower annual maximum temperature or lower annual minimum temperature and higher winter rain areas will support the spread of </w:t>
      </w:r>
      <w:r>
        <w:rPr>
          <w:rFonts w:ascii="Cambria" w:hAnsi="Cambria"/>
          <w:i/>
          <w:szCs w:val="22"/>
        </w:rPr>
        <w:t>P. nemorosa</w:t>
      </w:r>
      <w:r>
        <w:rPr>
          <w:rFonts w:ascii="Cambria" w:hAnsi="Cambria"/>
          <w:szCs w:val="22"/>
        </w:rPr>
        <w:t xml:space="preserve">. </w:t>
      </w:r>
      <w:r>
        <w:rPr>
          <w:rFonts w:ascii="Cambria" w:hAnsi="Cambria"/>
          <w:i/>
          <w:szCs w:val="22"/>
        </w:rPr>
        <w:t xml:space="preserve">Phytophthora pseudosyringae </w:t>
      </w:r>
      <w:r>
        <w:rPr>
          <w:rFonts w:ascii="Cambria" w:hAnsi="Cambria"/>
          <w:szCs w:val="22"/>
        </w:rPr>
        <w:t xml:space="preserve">is associated with drier plant communities such as </w:t>
      </w:r>
      <w:r>
        <w:rPr>
          <w:rFonts w:ascii="Cambria" w:eastAsia="TimesNewRomanPSMT" w:hAnsi="Cambria"/>
          <w:szCs w:val="22"/>
        </w:rPr>
        <w:t>coastal live oak forest types (Murphy et al. 2008).</w:t>
      </w:r>
    </w:p>
    <w:p w:rsidR="00E94405" w:rsidRDefault="00A11609">
      <w:pPr>
        <w:pStyle w:val="AQISNum"/>
        <w:numPr>
          <w:ilvl w:val="1"/>
          <w:numId w:val="31"/>
        </w:numPr>
        <w:tabs>
          <w:tab w:val="clear" w:pos="644"/>
          <w:tab w:val="num" w:pos="840"/>
        </w:tabs>
        <w:autoSpaceDE w:val="0"/>
        <w:autoSpaceDN w:val="0"/>
        <w:adjustRightInd w:val="0"/>
        <w:spacing w:before="120" w:after="120" w:line="269" w:lineRule="auto"/>
        <w:ind w:left="840" w:hanging="480"/>
        <w:rPr>
          <w:rFonts w:ascii="Cambria" w:hAnsi="Cambria"/>
          <w:szCs w:val="22"/>
        </w:rPr>
      </w:pPr>
      <w:r>
        <w:rPr>
          <w:rFonts w:ascii="Cambria" w:hAnsi="Cambria"/>
          <w:szCs w:val="22"/>
        </w:rPr>
        <w:t xml:space="preserve">The abundance and presence of foliar hosts, which support high levels of sporulation, increases the occurrence of </w:t>
      </w:r>
      <w:r>
        <w:rPr>
          <w:rFonts w:ascii="Cambria" w:hAnsi="Cambria"/>
          <w:i/>
          <w:iCs/>
          <w:szCs w:val="22"/>
        </w:rPr>
        <w:t xml:space="preserve">P. nemorosa, P. pseudosyringae </w:t>
      </w:r>
      <w:r>
        <w:rPr>
          <w:rFonts w:ascii="Cambria" w:hAnsi="Cambria"/>
          <w:szCs w:val="22"/>
        </w:rPr>
        <w:t xml:space="preserve">and </w:t>
      </w:r>
      <w:r>
        <w:rPr>
          <w:rFonts w:ascii="Cambria" w:hAnsi="Cambria"/>
          <w:i/>
          <w:iCs/>
          <w:szCs w:val="22"/>
        </w:rPr>
        <w:t xml:space="preserve">P. ramorum </w:t>
      </w:r>
      <w:r>
        <w:rPr>
          <w:rFonts w:ascii="Cambria" w:hAnsi="Cambria"/>
          <w:iCs/>
          <w:szCs w:val="22"/>
        </w:rPr>
        <w:t>(</w:t>
      </w:r>
      <w:r>
        <w:rPr>
          <w:rFonts w:ascii="Cambria" w:eastAsia="TimesNewRomanPSMT" w:hAnsi="Cambria"/>
          <w:szCs w:val="22"/>
        </w:rPr>
        <w:t xml:space="preserve">Maloney et al. 2005; Murphy &amp; Rizzo 2006; Wickland &amp; Rizzo 2006).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lastRenderedPageBreak/>
        <w:t xml:space="preserve">Indirect and direct evidence (Davidson et al. 2005; Mascheretti et al. 2008) indicates that the natural dispersal of </w:t>
      </w:r>
      <w:r>
        <w:rPr>
          <w:rFonts w:ascii="Cambria" w:hAnsi="Cambria"/>
          <w:i/>
        </w:rPr>
        <w:t xml:space="preserve">Phytophthora ramorum </w:t>
      </w:r>
      <w:r>
        <w:rPr>
          <w:rFonts w:ascii="Cambria" w:hAnsi="Cambria"/>
        </w:rPr>
        <w:t>is mostly at a relatively small scale (1–10 meters); however, infection only occurs when water is present on plant surfaces, indicating that zoospore release is a necessary step in the infection process. The optimum temperature for the infection process is reported to be 20 degrees Celsius (Garbelotto et al. 2003; Davidson et al. 2005; Hayden et al. 2008).</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Long-distance dispersal of </w:t>
      </w:r>
      <w:r>
        <w:rPr>
          <w:rFonts w:ascii="Cambria" w:hAnsi="Cambria"/>
          <w:i/>
        </w:rPr>
        <w:t xml:space="preserve">P. ramorum </w:t>
      </w:r>
      <w:r>
        <w:rPr>
          <w:rFonts w:ascii="Cambria" w:hAnsi="Cambria"/>
        </w:rPr>
        <w:t xml:space="preserve">by natural means includes movement by aerial dissemination (of sporangia, zoospores and possibly chlamydospores) through wind driven rain and turbulent air. Such long-distance spread could transport the pathogen up to several kilometres away; for example, this type of dissemination is considered to be responsible for the spread of the </w:t>
      </w:r>
      <w:bookmarkStart w:id="123" w:name="OLE_LINK3"/>
      <w:bookmarkStart w:id="124" w:name="OLE_LINK4"/>
      <w:r>
        <w:rPr>
          <w:rFonts w:ascii="Cambria" w:hAnsi="Cambria"/>
        </w:rPr>
        <w:t>A2 mating type of the North American clonal lineage (NA1)</w:t>
      </w:r>
      <w:bookmarkEnd w:id="123"/>
      <w:bookmarkEnd w:id="124"/>
      <w:r>
        <w:rPr>
          <w:rFonts w:ascii="Cambria" w:hAnsi="Cambria"/>
        </w:rPr>
        <w:t xml:space="preserve"> in California and Oregon (Hansen 2008).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However, the frequency of such long-distance dispersal events via wind-driven rain or turbulent air will most likely depend on the frequency of storm events, the amount of infected plants at the source, and the presence of hosts at the sites where inoculum is deposited. Most infections outside nurseries have been attributed to human-mediated movement of infected plants (Jeger et al. 2007). There is evidence for natural spread from nurseries to nearby (within 1 kilometer) semi-natural environments (Jeger et al. 2007). The large sporangia can be picked up by strong winds and deposited 1–3 kilometers from the source (Mascheretti </w:t>
      </w:r>
      <w:r>
        <w:rPr>
          <w:rFonts w:ascii="Cambria" w:hAnsi="Cambria"/>
          <w:iCs/>
        </w:rPr>
        <w:t>et al</w:t>
      </w:r>
      <w:r>
        <w:rPr>
          <w:rFonts w:ascii="Cambria" w:hAnsi="Cambria"/>
        </w:rPr>
        <w:t>. 2008).</w:t>
      </w:r>
    </w:p>
    <w:p w:rsidR="00E94405" w:rsidRDefault="00A11609">
      <w:pPr>
        <w:pStyle w:val="Heading4"/>
        <w:spacing w:before="200"/>
        <w:rPr>
          <w:i/>
        </w:rPr>
      </w:pPr>
      <w:r>
        <w:rPr>
          <w:i/>
        </w:rPr>
        <w:t>Potential for movement with commodities or conveyances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Human-mediated movement of plants and plant products is considered the primary mode for the introduction of plant pathogens. Species of the genus </w:t>
      </w:r>
      <w:r>
        <w:rPr>
          <w:rFonts w:ascii="Cambria" w:hAnsi="Cambria"/>
          <w:i/>
          <w:iCs/>
        </w:rPr>
        <w:t>Phytophthora</w:t>
      </w:r>
      <w:r>
        <w:rPr>
          <w:rFonts w:ascii="Cambria" w:hAnsi="Cambria"/>
        </w:rPr>
        <w:t xml:space="preserve"> are commonly spread in this way and have caused severe epidemics in silviculture, horticulture as well as natural systems all over the world. As visual symptoms may not be present, and in the absence of specific testing regimes, infected nursery stock could easily be moved into new areas. The introduction of infected plant material establishes the pathogen in new areas and unregulated movement will accelerate the spread of these pathogens.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Phytophthora ramorum</w:t>
      </w:r>
      <w:r>
        <w:rPr>
          <w:rFonts w:ascii="Cambria" w:hAnsi="Cambria"/>
        </w:rPr>
        <w:t xml:space="preserve"> has the potential to spread from its point of introduction to new areas within Australia by natural means (short distance spread by wind, water, soil) and human mediated activities (long distance spread via trade in nursery stock). Asymptomatic infections may remain undetected and therefore, trade in nursery stock will help spread </w:t>
      </w:r>
      <w:r>
        <w:rPr>
          <w:rFonts w:ascii="Cambria" w:hAnsi="Cambria"/>
          <w:i/>
          <w:iCs/>
        </w:rPr>
        <w:t xml:space="preserve">P. ramorum </w:t>
      </w:r>
      <w:r>
        <w:rPr>
          <w:rFonts w:ascii="Cambria" w:hAnsi="Cambria"/>
        </w:rPr>
        <w:t xml:space="preserve">in Australia.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Australian nursery and garden industry is represented in all states and territories of Australia (Map 5). This industry is spread over a wide area, with the greatest volume of production (82 percent) concentrated in the eastern states (New South Wales 35.7 percent, Queensland 28.4 percent and Victoria 17.9 percent) (IBIS World 2008). If imported infected host material is distributed throughout these nurseries, this will help spread </w:t>
      </w:r>
      <w:r>
        <w:rPr>
          <w:rFonts w:ascii="Cambria" w:hAnsi="Cambria"/>
          <w:i/>
          <w:iCs/>
        </w:rPr>
        <w:t xml:space="preserve">P. ramorum </w:t>
      </w:r>
      <w:r>
        <w:rPr>
          <w:rFonts w:ascii="Cambria" w:hAnsi="Cambria"/>
        </w:rPr>
        <w:t>throughout Australia.</w:t>
      </w:r>
    </w:p>
    <w:p w:rsidR="00E94405" w:rsidRDefault="00A11609">
      <w:pPr>
        <w:pStyle w:val="Caption"/>
        <w:keepLines/>
        <w:rPr>
          <w:rFonts w:asciiTheme="majorHAnsi" w:eastAsiaTheme="majorEastAsia" w:hAnsiTheme="majorHAnsi" w:cstheme="majorBidi"/>
          <w:color w:val="595959" w:themeColor="text1" w:themeTint="A6"/>
          <w:sz w:val="20"/>
        </w:rPr>
      </w:pPr>
      <w:bookmarkStart w:id="125" w:name="_Toc409685811"/>
      <w:bookmarkStart w:id="126" w:name="_Toc412625749"/>
      <w:bookmarkStart w:id="127" w:name="_Toc414019479"/>
      <w:bookmarkStart w:id="128" w:name="_Toc414019486"/>
      <w:r>
        <w:rPr>
          <w:rFonts w:asciiTheme="majorHAnsi" w:eastAsiaTheme="majorEastAsia" w:hAnsiTheme="majorHAnsi" w:cstheme="majorBidi"/>
          <w:color w:val="595959" w:themeColor="text1" w:themeTint="A6"/>
          <w:sz w:val="20"/>
        </w:rPr>
        <w:lastRenderedPageBreak/>
        <w:t xml:space="preserve">Map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5</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Distribution of the nursery and garden industry in Australia</w:t>
      </w:r>
      <w:bookmarkEnd w:id="125"/>
      <w:bookmarkEnd w:id="126"/>
      <w:bookmarkEnd w:id="127"/>
      <w:bookmarkEnd w:id="128"/>
    </w:p>
    <w:p w:rsidR="00E94405" w:rsidRDefault="00A11609">
      <w:pPr>
        <w:pStyle w:val="ListBullet"/>
        <w:numPr>
          <w:ilvl w:val="0"/>
          <w:numId w:val="0"/>
        </w:numPr>
        <w:jc w:val="center"/>
      </w:pPr>
      <w:r>
        <w:rPr>
          <w:noProof/>
        </w:rPr>
        <w:drawing>
          <wp:inline distT="0" distB="0" distL="0" distR="0">
            <wp:extent cx="3922300" cy="3413549"/>
            <wp:effectExtent l="19050" t="0" r="2000"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srcRect/>
                    <a:stretch>
                      <a:fillRect/>
                    </a:stretch>
                  </pic:blipFill>
                  <pic:spPr bwMode="auto">
                    <a:xfrm>
                      <a:off x="0" y="0"/>
                      <a:ext cx="3923472" cy="3414569"/>
                    </a:xfrm>
                    <a:prstGeom prst="rect">
                      <a:avLst/>
                    </a:prstGeom>
                    <a:noFill/>
                    <a:ln w="9525">
                      <a:noFill/>
                      <a:miter lim="800000"/>
                      <a:headEnd/>
                      <a:tailEnd/>
                    </a:ln>
                  </pic:spPr>
                </pic:pic>
              </a:graphicData>
            </a:graphic>
          </wp:inline>
        </w:drawing>
      </w:r>
    </w:p>
    <w:p w:rsidR="00E94405" w:rsidRDefault="00A11609">
      <w:pPr>
        <w:pStyle w:val="FigureTableNoteSource"/>
      </w:pPr>
      <w:r>
        <w:t>Source: Australian Natural Resources Atlas, Commonwealth of Australia (2001)</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Genotypes of </w:t>
      </w:r>
      <w:r>
        <w:rPr>
          <w:rFonts w:ascii="Cambria" w:hAnsi="Cambria"/>
          <w:i/>
          <w:iCs/>
        </w:rPr>
        <w:t xml:space="preserve">P. ramorum </w:t>
      </w:r>
      <w:r>
        <w:rPr>
          <w:rFonts w:ascii="Cambria" w:hAnsi="Cambria"/>
        </w:rPr>
        <w:t xml:space="preserve">have been spread via nursery stock trade from Europe to North America (Goss </w:t>
      </w:r>
      <w:r>
        <w:rPr>
          <w:rFonts w:ascii="Cambria" w:hAnsi="Cambria"/>
          <w:iCs/>
        </w:rPr>
        <w:t>et al</w:t>
      </w:r>
      <w:r>
        <w:rPr>
          <w:rFonts w:ascii="Cambria" w:hAnsi="Cambria"/>
        </w:rPr>
        <w:t xml:space="preserve">. 2011). In Canadian nurseries, the clonal lineages NA1, NA2 and EU1 have been found. NA2 is the most common lineage whereas NA1 is rare. In addition, the EU1 lineage is frequently detected in Canada (Goss </w:t>
      </w:r>
      <w:r>
        <w:rPr>
          <w:rFonts w:ascii="Cambria" w:hAnsi="Cambria"/>
          <w:iCs/>
        </w:rPr>
        <w:t>et al</w:t>
      </w:r>
      <w:r>
        <w:rPr>
          <w:rFonts w:ascii="Cambria" w:hAnsi="Cambria"/>
        </w:rPr>
        <w:t xml:space="preserve">. 2011), indicating that EU1 has spread from Europe to North America (Goss </w:t>
      </w:r>
      <w:r>
        <w:rPr>
          <w:rFonts w:ascii="Cambria" w:hAnsi="Cambria"/>
          <w:iCs/>
        </w:rPr>
        <w:t>et al</w:t>
      </w:r>
      <w:r>
        <w:rPr>
          <w:rFonts w:ascii="Cambria" w:hAnsi="Cambria"/>
        </w:rPr>
        <w:t>. 2011). Therefore, the pathogen has the ability to spread with nursery stock within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rapid spread of </w:t>
      </w:r>
      <w:r>
        <w:rPr>
          <w:rFonts w:ascii="Cambria" w:hAnsi="Cambria"/>
          <w:i/>
          <w:iCs/>
        </w:rPr>
        <w:t xml:space="preserve">P. ramorum </w:t>
      </w:r>
      <w:r>
        <w:rPr>
          <w:rFonts w:ascii="Cambria" w:hAnsi="Cambria"/>
        </w:rPr>
        <w:t xml:space="preserve">during the early 2000s, in Europe and in the USA, is related to the movement of infected nursery stock from infested regions into new areas (Brasier 2007; Cave et al. 2008; Alexander 2012); therefore, trade in nursery stock will help spread </w:t>
      </w:r>
      <w:r>
        <w:rPr>
          <w:rFonts w:ascii="Cambria" w:hAnsi="Cambria"/>
          <w:i/>
          <w:iCs/>
        </w:rPr>
        <w:t xml:space="preserve">P. ramorum </w:t>
      </w:r>
      <w:r>
        <w:rPr>
          <w:rFonts w:ascii="Cambria" w:hAnsi="Cambria"/>
        </w:rPr>
        <w:t>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increased trade of plants among (and within) countries has led to new opportunities for plant pathogens to be moved to new areas or countries (Sansford </w:t>
      </w:r>
      <w:r>
        <w:rPr>
          <w:rFonts w:ascii="Cambria" w:hAnsi="Cambria"/>
          <w:iCs/>
        </w:rPr>
        <w:t>et al</w:t>
      </w:r>
      <w:r>
        <w:rPr>
          <w:rFonts w:ascii="Cambria" w:hAnsi="Cambria"/>
        </w:rPr>
        <w:t xml:space="preserve">. 2009; Dehnen-Schmutz </w:t>
      </w:r>
      <w:r>
        <w:rPr>
          <w:rFonts w:ascii="Cambria" w:hAnsi="Cambria"/>
          <w:iCs/>
        </w:rPr>
        <w:t>et al</w:t>
      </w:r>
      <w:r>
        <w:rPr>
          <w:rFonts w:ascii="Cambria" w:hAnsi="Cambria"/>
        </w:rPr>
        <w:t xml:space="preserve">. 2010; Webber 2010; Wingfield </w:t>
      </w:r>
      <w:r>
        <w:rPr>
          <w:rFonts w:ascii="Cambria" w:hAnsi="Cambria"/>
          <w:iCs/>
        </w:rPr>
        <w:t>et al</w:t>
      </w:r>
      <w:r>
        <w:rPr>
          <w:rFonts w:ascii="Cambria" w:hAnsi="Cambria"/>
        </w:rPr>
        <w:t xml:space="preserve">. 2010; Stenlid </w:t>
      </w:r>
      <w:r>
        <w:rPr>
          <w:rFonts w:ascii="Cambria" w:hAnsi="Cambria"/>
          <w:iCs/>
        </w:rPr>
        <w:t>et al</w:t>
      </w:r>
      <w:r>
        <w:rPr>
          <w:rFonts w:ascii="Cambria" w:hAnsi="Cambria"/>
        </w:rPr>
        <w:t xml:space="preserve">. 2011). </w:t>
      </w:r>
      <w:r>
        <w:rPr>
          <w:rFonts w:ascii="Cambria" w:hAnsi="Cambria"/>
          <w:shd w:val="clear" w:color="auto" w:fill="FFFFFF"/>
        </w:rPr>
        <w:t xml:space="preserve">In Europe, </w:t>
      </w:r>
      <w:r>
        <w:rPr>
          <w:rFonts w:ascii="Cambria" w:hAnsi="Cambria"/>
          <w:i/>
          <w:iCs/>
          <w:shd w:val="clear" w:color="auto" w:fill="FFFFFF"/>
        </w:rPr>
        <w:t xml:space="preserve">P. ramorum </w:t>
      </w:r>
      <w:r>
        <w:rPr>
          <w:rFonts w:ascii="Cambria" w:hAnsi="Cambria"/>
          <w:shd w:val="clear" w:color="auto" w:fill="FFFFFF"/>
        </w:rPr>
        <w:t xml:space="preserve">has spread to many countries, primarily on nursery plants of </w:t>
      </w:r>
      <w:r>
        <w:rPr>
          <w:rFonts w:ascii="Cambria" w:hAnsi="Cambria"/>
          <w:i/>
          <w:iCs/>
          <w:shd w:val="clear" w:color="auto" w:fill="FFFFFF"/>
        </w:rPr>
        <w:t xml:space="preserve">Camellia japonica, Kalmia latifolia, Leucothoe </w:t>
      </w:r>
      <w:r>
        <w:rPr>
          <w:rFonts w:ascii="Cambria" w:hAnsi="Cambria"/>
          <w:shd w:val="clear" w:color="auto" w:fill="FFFFFF"/>
        </w:rPr>
        <w:t>species,</w:t>
      </w:r>
      <w:r>
        <w:rPr>
          <w:rFonts w:ascii="Cambria" w:hAnsi="Cambria"/>
          <w:i/>
          <w:iCs/>
          <w:shd w:val="clear" w:color="auto" w:fill="FFFFFF"/>
        </w:rPr>
        <w:t xml:space="preserve"> Pieris formosa </w:t>
      </w:r>
      <w:r>
        <w:rPr>
          <w:rFonts w:ascii="Cambria" w:hAnsi="Cambria"/>
          <w:shd w:val="clear" w:color="auto" w:fill="FFFFFF"/>
        </w:rPr>
        <w:t xml:space="preserve">var. </w:t>
      </w:r>
      <w:r>
        <w:rPr>
          <w:rFonts w:ascii="Cambria" w:hAnsi="Cambria"/>
          <w:i/>
          <w:iCs/>
          <w:shd w:val="clear" w:color="auto" w:fill="FFFFFF"/>
        </w:rPr>
        <w:t>forrestii, Pieris japonica, Rhododendron, Syringa vulgaris,</w:t>
      </w:r>
      <w:r>
        <w:rPr>
          <w:rFonts w:ascii="Cambria" w:hAnsi="Cambria"/>
          <w:shd w:val="clear" w:color="auto" w:fill="FFFFFF"/>
        </w:rPr>
        <w:t xml:space="preserve"> </w:t>
      </w:r>
      <w:r>
        <w:rPr>
          <w:rFonts w:ascii="Cambria" w:hAnsi="Cambria"/>
          <w:i/>
          <w:iCs/>
          <w:shd w:val="clear" w:color="auto" w:fill="FFFFFF"/>
        </w:rPr>
        <w:t xml:space="preserve">Taxus baccata </w:t>
      </w:r>
      <w:r>
        <w:rPr>
          <w:rFonts w:ascii="Cambria" w:hAnsi="Cambria"/>
          <w:shd w:val="clear" w:color="auto" w:fill="FFFFFF"/>
        </w:rPr>
        <w:t xml:space="preserve">and </w:t>
      </w:r>
      <w:r>
        <w:rPr>
          <w:rFonts w:ascii="Cambria" w:hAnsi="Cambria"/>
          <w:i/>
          <w:iCs/>
          <w:shd w:val="clear" w:color="auto" w:fill="FFFFFF"/>
        </w:rPr>
        <w:t xml:space="preserve">Viburnum </w:t>
      </w:r>
      <w:r>
        <w:rPr>
          <w:rFonts w:ascii="Cambria" w:hAnsi="Cambria"/>
          <w:shd w:val="clear" w:color="auto" w:fill="FFFFFF"/>
        </w:rPr>
        <w:t xml:space="preserve">species (Werres &amp; De Merlier 2003; Husson </w:t>
      </w:r>
      <w:r>
        <w:rPr>
          <w:rFonts w:ascii="Cambria" w:hAnsi="Cambria"/>
          <w:iCs/>
          <w:shd w:val="clear" w:color="auto" w:fill="FFFFFF"/>
        </w:rPr>
        <w:t>et al</w:t>
      </w:r>
      <w:r>
        <w:rPr>
          <w:rFonts w:ascii="Cambria" w:hAnsi="Cambria"/>
          <w:shd w:val="clear" w:color="auto" w:fill="FFFFFF"/>
        </w:rPr>
        <w:t>. 2007)</w:t>
      </w:r>
      <w:r>
        <w:rPr>
          <w:rFonts w:ascii="Cambria" w:hAnsi="Cambria"/>
          <w:i/>
          <w:iCs/>
          <w:shd w:val="clear" w:color="auto" w:fill="FFFFFF"/>
        </w:rPr>
        <w:t>.</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Phytophthora ramorum</w:t>
      </w:r>
      <w:r>
        <w:rPr>
          <w:rFonts w:ascii="Cambria" w:hAnsi="Cambria"/>
        </w:rPr>
        <w:t xml:space="preserve"> can also spread by animal vectors; snails, shore fly larvae and fungus gnat larvae are known carriers of fungal propagules including chlamydospores and sporangia (Hyder </w:t>
      </w:r>
      <w:r>
        <w:rPr>
          <w:rFonts w:ascii="Cambria" w:hAnsi="Cambria"/>
          <w:iCs/>
        </w:rPr>
        <w:t>et al</w:t>
      </w:r>
      <w:r>
        <w:rPr>
          <w:rFonts w:ascii="Cambria" w:hAnsi="Cambria"/>
        </w:rPr>
        <w:t>. 2009).</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w:t>
      </w:r>
      <w:r>
        <w:rPr>
          <w:rFonts w:ascii="Cambria" w:hAnsi="Cambria"/>
        </w:rPr>
        <w:t xml:space="preserve">species are capable of surviving for several months in the soil. For example, </w:t>
      </w:r>
      <w:r>
        <w:rPr>
          <w:rFonts w:ascii="Cambria" w:hAnsi="Cambria"/>
          <w:i/>
          <w:iCs/>
        </w:rPr>
        <w:t>P. ramorum</w:t>
      </w:r>
      <w:r>
        <w:rPr>
          <w:rFonts w:ascii="Cambria" w:hAnsi="Cambria"/>
        </w:rPr>
        <w:t xml:space="preserve"> can survive for at least 8–11 months in soil or potting media (Shishkoff 2007). Chlamydospores germinate and form sporangia near roots and infected root tips can be seen covered with sporangia (Shishkoff 2007). </w:t>
      </w:r>
      <w:r>
        <w:rPr>
          <w:rFonts w:ascii="Cambria" w:hAnsi="Cambria"/>
          <w:i/>
        </w:rPr>
        <w:t>Phytophthora kernoviae</w:t>
      </w:r>
      <w:r>
        <w:rPr>
          <w:rFonts w:ascii="Cambria" w:hAnsi="Cambria"/>
        </w:rPr>
        <w:t xml:space="preserve"> is not known to produce </w:t>
      </w:r>
      <w:r>
        <w:rPr>
          <w:rFonts w:ascii="Cambria" w:hAnsi="Cambria"/>
        </w:rPr>
        <w:lastRenderedPageBreak/>
        <w:t xml:space="preserve">chlamydospores; the propagule most likely involved in soil infestation will be oospores (Widmer 2010). Therefore, the movement of contaminated soil, growing media or debris, particularly around nursery, garden and landscape developments, will help spread </w:t>
      </w:r>
      <w:r>
        <w:rPr>
          <w:rFonts w:ascii="Cambria" w:hAnsi="Cambria"/>
          <w:i/>
          <w:iCs/>
        </w:rPr>
        <w:t xml:space="preserve">Phytophthora </w:t>
      </w:r>
      <w:r>
        <w:rPr>
          <w:rFonts w:ascii="Cambria" w:hAnsi="Cambria"/>
        </w:rPr>
        <w:t xml:space="preserve">species in Australia.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has also been detected in rivers and streams near outbreak sites. In California, </w:t>
      </w:r>
      <w:r>
        <w:rPr>
          <w:rFonts w:ascii="Cambria" w:hAnsi="Cambria"/>
          <w:i/>
          <w:iCs/>
        </w:rPr>
        <w:t>P. ramorum</w:t>
      </w:r>
      <w:r>
        <w:rPr>
          <w:rFonts w:ascii="Cambria" w:hAnsi="Cambria"/>
        </w:rPr>
        <w:t xml:space="preserve"> has been recovered in streams at sites 8 kilometers downstream of known infestations and at sites with no prior known forest infestations (Davidson </w:t>
      </w:r>
      <w:r>
        <w:rPr>
          <w:rFonts w:ascii="Cambria" w:hAnsi="Cambria"/>
          <w:iCs/>
        </w:rPr>
        <w:t>et al</w:t>
      </w:r>
      <w:r>
        <w:rPr>
          <w:rFonts w:ascii="Cambria" w:hAnsi="Cambria"/>
        </w:rPr>
        <w:t xml:space="preserve">. 2005; Murphy &amp; Rizzo 2005; Murphy </w:t>
      </w:r>
      <w:r>
        <w:rPr>
          <w:rFonts w:ascii="Cambria" w:hAnsi="Cambria"/>
          <w:iCs/>
        </w:rPr>
        <w:t>et al</w:t>
      </w:r>
      <w:r>
        <w:rPr>
          <w:rFonts w:ascii="Cambria" w:hAnsi="Cambria"/>
        </w:rPr>
        <w:t>. 2006). Therefore, irrigation from infected sources could also spread the pathogen.</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Contaminated footwear is another potentially significant source of pathogen spread, particularly in areas of public access</w:t>
      </w:r>
      <w:r>
        <w:rPr>
          <w:rFonts w:ascii="Cambria" w:hAnsi="Cambria"/>
          <w:i/>
        </w:rPr>
        <w:t>. Phytophthora</w:t>
      </w:r>
      <w:r>
        <w:rPr>
          <w:rFonts w:ascii="Cambria" w:hAnsi="Cambria"/>
          <w:i/>
          <w:iCs/>
        </w:rPr>
        <w:t xml:space="preserve"> ramorum </w:t>
      </w:r>
      <w:r>
        <w:rPr>
          <w:rFonts w:ascii="Cambria" w:hAnsi="Cambria"/>
        </w:rPr>
        <w:t xml:space="preserve">has been detected seasonally from soil on hiking trails and from soil on hikers’ boots (Davidson </w:t>
      </w:r>
      <w:r>
        <w:rPr>
          <w:rFonts w:ascii="Cambria" w:hAnsi="Cambria"/>
          <w:iCs/>
        </w:rPr>
        <w:t xml:space="preserve">et al. </w:t>
      </w:r>
      <w:r>
        <w:rPr>
          <w:rFonts w:ascii="Cambria" w:hAnsi="Cambria"/>
        </w:rPr>
        <w:t xml:space="preserve">2002a; 2005; Tjosvold </w:t>
      </w:r>
      <w:r>
        <w:rPr>
          <w:rFonts w:ascii="Cambria" w:hAnsi="Cambria"/>
          <w:iCs/>
        </w:rPr>
        <w:t>et al.</w:t>
      </w:r>
      <w:r>
        <w:rPr>
          <w:rFonts w:ascii="Cambria" w:hAnsi="Cambria"/>
          <w:i/>
          <w:iCs/>
        </w:rPr>
        <w:t xml:space="preserve"> </w:t>
      </w:r>
      <w:r>
        <w:rPr>
          <w:rFonts w:ascii="Cambria" w:hAnsi="Cambria"/>
        </w:rPr>
        <w:t xml:space="preserve">2002). Spores of </w:t>
      </w:r>
      <w:r>
        <w:rPr>
          <w:rFonts w:ascii="Cambria" w:hAnsi="Cambria"/>
          <w:i/>
          <w:iCs/>
        </w:rPr>
        <w:t xml:space="preserve">P. ramorum </w:t>
      </w:r>
      <w:r>
        <w:rPr>
          <w:rFonts w:ascii="Cambria" w:hAnsi="Cambria"/>
        </w:rPr>
        <w:t xml:space="preserve">have also been detected on the tyres of mountain bikes and vehicles used on dirt roads or trails in infested areas (Davidson &amp; Shaw 2003). Subsequent movement to other natural areas by these visitors will help spread </w:t>
      </w:r>
      <w:r>
        <w:rPr>
          <w:rFonts w:ascii="Cambria" w:hAnsi="Cambria"/>
          <w:i/>
          <w:iCs/>
        </w:rPr>
        <w:t xml:space="preserve">P. ramorum </w:t>
      </w:r>
      <w:r>
        <w:rPr>
          <w:rFonts w:ascii="Cambria" w:hAnsi="Cambria"/>
        </w:rPr>
        <w:t xml:space="preserve">into new areas (Brasier </w:t>
      </w:r>
      <w:r>
        <w:rPr>
          <w:rFonts w:ascii="Cambria" w:hAnsi="Cambria"/>
          <w:iCs/>
        </w:rPr>
        <w:t>et al</w:t>
      </w:r>
      <w:r>
        <w:rPr>
          <w:rFonts w:ascii="Cambria" w:hAnsi="Cambria"/>
        </w:rPr>
        <w:t>. 2007).</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Numerous hosts of </w:t>
      </w:r>
      <w:r>
        <w:rPr>
          <w:rFonts w:ascii="Cambria" w:hAnsi="Cambria"/>
          <w:i/>
          <w:iCs/>
        </w:rPr>
        <w:t xml:space="preserve">P. ramorum </w:t>
      </w:r>
      <w:r>
        <w:rPr>
          <w:rFonts w:ascii="Cambria" w:hAnsi="Cambria"/>
        </w:rPr>
        <w:t xml:space="preserve">are popular for cut flower production, including </w:t>
      </w:r>
      <w:r>
        <w:rPr>
          <w:rFonts w:ascii="Cambria" w:hAnsi="Cambria"/>
          <w:i/>
          <w:iCs/>
        </w:rPr>
        <w:t xml:space="preserve">Acer </w:t>
      </w:r>
      <w:r>
        <w:rPr>
          <w:rFonts w:ascii="Cambria" w:hAnsi="Cambria"/>
          <w:iCs/>
        </w:rPr>
        <w:t>species</w:t>
      </w:r>
      <w:r>
        <w:rPr>
          <w:rFonts w:ascii="Cambria" w:hAnsi="Cambria"/>
          <w:i/>
          <w:iCs/>
        </w:rPr>
        <w:t xml:space="preserve">, Camellia </w:t>
      </w:r>
      <w:r>
        <w:rPr>
          <w:rFonts w:ascii="Cambria" w:hAnsi="Cambria"/>
          <w:iCs/>
        </w:rPr>
        <w:t>species</w:t>
      </w:r>
      <w:r>
        <w:rPr>
          <w:rFonts w:ascii="Cambria" w:hAnsi="Cambria"/>
          <w:i/>
          <w:iCs/>
        </w:rPr>
        <w:t xml:space="preserve">, Hamamelis </w:t>
      </w:r>
      <w:r>
        <w:rPr>
          <w:rFonts w:ascii="Cambria" w:hAnsi="Cambria"/>
          <w:iCs/>
        </w:rPr>
        <w:t>species</w:t>
      </w:r>
      <w:r>
        <w:rPr>
          <w:rFonts w:ascii="Cambria" w:hAnsi="Cambria"/>
          <w:i/>
          <w:iCs/>
        </w:rPr>
        <w:t xml:space="preserve">, Kalmia </w:t>
      </w:r>
      <w:r>
        <w:rPr>
          <w:rFonts w:ascii="Cambria" w:hAnsi="Cambria"/>
          <w:iCs/>
        </w:rPr>
        <w:t>species</w:t>
      </w:r>
      <w:r>
        <w:rPr>
          <w:rFonts w:ascii="Cambria" w:hAnsi="Cambria"/>
          <w:i/>
          <w:iCs/>
        </w:rPr>
        <w:t xml:space="preserve">, Pieris </w:t>
      </w:r>
      <w:r>
        <w:rPr>
          <w:rFonts w:ascii="Cambria" w:hAnsi="Cambria"/>
          <w:iCs/>
        </w:rPr>
        <w:t>species</w:t>
      </w:r>
      <w:r>
        <w:rPr>
          <w:rFonts w:ascii="Cambria" w:hAnsi="Cambria"/>
          <w:i/>
          <w:iCs/>
        </w:rPr>
        <w:t xml:space="preserve">, Rhododendron </w:t>
      </w:r>
      <w:r>
        <w:rPr>
          <w:rFonts w:ascii="Cambria" w:hAnsi="Cambria"/>
          <w:iCs/>
        </w:rPr>
        <w:t>species</w:t>
      </w:r>
      <w:r>
        <w:rPr>
          <w:rFonts w:ascii="Cambria" w:hAnsi="Cambria"/>
          <w:i/>
          <w:iCs/>
        </w:rPr>
        <w:t xml:space="preserve"> </w:t>
      </w:r>
      <w:r>
        <w:rPr>
          <w:rFonts w:ascii="Cambria" w:hAnsi="Cambria"/>
        </w:rPr>
        <w:t xml:space="preserve">and </w:t>
      </w:r>
      <w:r>
        <w:rPr>
          <w:rFonts w:ascii="Cambria" w:hAnsi="Cambria"/>
          <w:i/>
          <w:iCs/>
        </w:rPr>
        <w:t xml:space="preserve">Syringa </w:t>
      </w:r>
      <w:r>
        <w:rPr>
          <w:rFonts w:ascii="Cambria" w:hAnsi="Cambria"/>
          <w:iCs/>
        </w:rPr>
        <w:t>species</w:t>
      </w:r>
      <w:r>
        <w:rPr>
          <w:rFonts w:ascii="Cambria" w:hAnsi="Cambria"/>
        </w:rPr>
        <w:t xml:space="preserve">; therefore, </w:t>
      </w:r>
      <w:r>
        <w:rPr>
          <w:rFonts w:ascii="Cambria" w:hAnsi="Cambria"/>
          <w:i/>
          <w:iCs/>
        </w:rPr>
        <w:t xml:space="preserve">P. ramorum </w:t>
      </w:r>
      <w:r>
        <w:rPr>
          <w:rFonts w:ascii="Cambria" w:hAnsi="Cambria"/>
        </w:rPr>
        <w:t>could spread with trade in cut flower and branches for decorations from infested areas within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 the absence of statutory control there is a high probability that </w:t>
      </w:r>
      <w:r>
        <w:rPr>
          <w:rFonts w:ascii="Cambria" w:hAnsi="Cambria"/>
          <w:i/>
          <w:iCs/>
        </w:rPr>
        <w:t xml:space="preserve">Phytophthora </w:t>
      </w:r>
      <w:r>
        <w:rPr>
          <w:rFonts w:ascii="Cambria" w:hAnsi="Cambria"/>
        </w:rPr>
        <w:t xml:space="preserve">species will spread quickly in Australia through the trade of host plants for planting. Spread from nurseries into the environment will be facilitated by the planting of infected plants. Planting of infected propagative material will bring the </w:t>
      </w:r>
      <w:r>
        <w:rPr>
          <w:rFonts w:ascii="Cambria" w:hAnsi="Cambria"/>
          <w:i/>
        </w:rPr>
        <w:t xml:space="preserve">Phytophthora </w:t>
      </w:r>
      <w:r>
        <w:rPr>
          <w:rFonts w:ascii="Cambria" w:hAnsi="Cambria"/>
        </w:rPr>
        <w:t>species under review into the environment. Climatic conditions, such as those found in propagation houses, may be sufficient for its survival and spread.</w:t>
      </w:r>
    </w:p>
    <w:p w:rsidR="00E94405" w:rsidRDefault="00A11609">
      <w:pPr>
        <w:pStyle w:val="Heading4"/>
        <w:spacing w:before="200"/>
        <w:rPr>
          <w:i/>
        </w:rPr>
      </w:pPr>
      <w:r>
        <w:rPr>
          <w:i/>
        </w:rPr>
        <w:t>Potential natural enemies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is not known to have any natural enemies that could hamper its spread. </w:t>
      </w:r>
    </w:p>
    <w:p w:rsidR="00E94405" w:rsidRDefault="00A11609">
      <w:pPr>
        <w:pStyle w:val="Heading3"/>
        <w:keepLines/>
        <w:numPr>
          <w:ilvl w:val="2"/>
          <w:numId w:val="21"/>
        </w:numPr>
        <w:tabs>
          <w:tab w:val="clear" w:pos="720"/>
        </w:tabs>
        <w:spacing w:before="200" w:after="200"/>
        <w:ind w:left="357" w:hanging="357"/>
        <w:rPr>
          <w:sz w:val="24"/>
        </w:rPr>
      </w:pPr>
      <w:r>
        <w:rPr>
          <w:rFonts w:ascii="Calibri" w:hAnsi="Calibri" w:cstheme="minorBidi"/>
          <w:sz w:val="24"/>
          <w:szCs w:val="22"/>
        </w:rPr>
        <w:t>Overall likelihood of entry, establishment and spread</w:t>
      </w:r>
    </w:p>
    <w:p w:rsidR="00E94405" w:rsidRDefault="00A11609">
      <w:pPr>
        <w:spacing w:before="200" w:line="269" w:lineRule="auto"/>
        <w:rPr>
          <w:rFonts w:ascii="Cambria" w:hAnsi="Cambria"/>
        </w:rPr>
      </w:pPr>
      <w:r>
        <w:rPr>
          <w:rFonts w:ascii="Cambria" w:hAnsi="Cambria"/>
        </w:rPr>
        <w:t>The overall likelihood of entry, establishment and spread is determined by combining the likelihoods of entry, of establishment and of spread using the matrix of ‘rules’ for combining qualitative likelihoods shown in Table 3.</w:t>
      </w:r>
    </w:p>
    <w:p w:rsidR="00E94405" w:rsidRDefault="00A11609">
      <w:pPr>
        <w:pStyle w:val="ListBullet"/>
        <w:tabs>
          <w:tab w:val="clear" w:pos="360"/>
          <w:tab w:val="num" w:pos="284"/>
        </w:tabs>
        <w:spacing w:before="200" w:after="200" w:line="269" w:lineRule="auto"/>
        <w:ind w:left="284" w:hanging="284"/>
        <w:rPr>
          <w:rFonts w:ascii="Cambria" w:hAnsi="Cambria"/>
          <w:b/>
        </w:rPr>
      </w:pPr>
      <w:r>
        <w:rPr>
          <w:rFonts w:ascii="Cambria" w:hAnsi="Cambria"/>
          <w:color w:val="000000"/>
        </w:rPr>
        <w:t xml:space="preserve">The likelihood that the </w:t>
      </w:r>
      <w:r>
        <w:rPr>
          <w:rFonts w:ascii="Cambria" w:hAnsi="Cambria"/>
          <w:i/>
          <w:color w:val="000000"/>
        </w:rPr>
        <w:t xml:space="preserve">Phytophthora </w:t>
      </w:r>
      <w:r>
        <w:rPr>
          <w:rFonts w:ascii="Cambria" w:hAnsi="Cambria"/>
          <w:color w:val="000000"/>
        </w:rPr>
        <w:t xml:space="preserve">species will enter Australia </w:t>
      </w:r>
      <w:r>
        <w:rPr>
          <w:rFonts w:ascii="Cambria" w:hAnsi="Cambria"/>
        </w:rPr>
        <w:t xml:space="preserve">on </w:t>
      </w:r>
      <w:r>
        <w:rPr>
          <w:rFonts w:ascii="Cambria" w:hAnsi="Cambria"/>
          <w:color w:val="000000"/>
        </w:rPr>
        <w:t>n</w:t>
      </w:r>
      <w:r>
        <w:rPr>
          <w:rFonts w:ascii="Cambria" w:hAnsi="Cambria"/>
        </w:rPr>
        <w:t xml:space="preserve">ursery stock (including ornamental plants and propagative material) </w:t>
      </w:r>
      <w:r>
        <w:rPr>
          <w:rFonts w:ascii="Cambria" w:hAnsi="Cambria"/>
          <w:color w:val="000000"/>
        </w:rPr>
        <w:t xml:space="preserve">from countries where this pathogen is known to occur, </w:t>
      </w:r>
      <w:r>
        <w:rPr>
          <w:rFonts w:ascii="Cambria" w:hAnsi="Cambria"/>
        </w:rPr>
        <w:t>be distributed in a viable state to susceptible hosts, establish in that area and subsequently spread within Australia</w:t>
      </w:r>
      <w:r>
        <w:rPr>
          <w:rFonts w:ascii="Cambria" w:hAnsi="Cambria"/>
          <w:color w:val="000000"/>
        </w:rPr>
        <w:t xml:space="preserve"> is </w:t>
      </w:r>
      <w:r>
        <w:rPr>
          <w:rFonts w:ascii="Cambria" w:hAnsi="Cambria"/>
          <w:b/>
          <w:color w:val="000000"/>
        </w:rPr>
        <w:t>HIGH</w:t>
      </w:r>
      <w:r>
        <w:rPr>
          <w:rFonts w:ascii="Cambria" w:hAnsi="Cambria"/>
          <w:color w:val="000000"/>
        </w:rPr>
        <w:t>.</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Consequences</w:t>
      </w:r>
    </w:p>
    <w:p w:rsidR="00E94405" w:rsidRDefault="00A11609">
      <w:pPr>
        <w:spacing w:before="200"/>
        <w:rPr>
          <w:rFonts w:ascii="Cambria" w:hAnsi="Cambria"/>
        </w:rPr>
      </w:pPr>
      <w:r>
        <w:rPr>
          <w:rFonts w:ascii="Cambria" w:hAnsi="Cambria"/>
        </w:rPr>
        <w:t xml:space="preserve">The potential consequences of the introduction and spread of the </w:t>
      </w:r>
      <w:r>
        <w:rPr>
          <w:rFonts w:ascii="Cambria" w:hAnsi="Cambria"/>
          <w:i/>
        </w:rPr>
        <w:t xml:space="preserve">Phytophthora </w:t>
      </w:r>
      <w:r>
        <w:rPr>
          <w:rFonts w:ascii="Cambria" w:hAnsi="Cambria"/>
        </w:rPr>
        <w:t xml:space="preserve">species in Australia have been estimated according to the methods described in Table 4. The introduction of these </w:t>
      </w:r>
      <w:r>
        <w:rPr>
          <w:rFonts w:ascii="Cambria" w:hAnsi="Cambria"/>
          <w:i/>
          <w:iCs/>
        </w:rPr>
        <w:t>Phytophthora</w:t>
      </w:r>
      <w:r>
        <w:rPr>
          <w:rFonts w:ascii="Cambria" w:hAnsi="Cambria"/>
        </w:rPr>
        <w:t xml:space="preserve"> </w:t>
      </w:r>
      <w:r>
        <w:rPr>
          <w:rFonts w:ascii="Cambria" w:hAnsi="Cambria"/>
          <w:iCs/>
        </w:rPr>
        <w:t>species</w:t>
      </w:r>
      <w:r>
        <w:rPr>
          <w:rFonts w:ascii="Cambria" w:hAnsi="Cambria"/>
        </w:rPr>
        <w:t xml:space="preserve"> will have unacceptable economic consequences in Australia as </w:t>
      </w:r>
      <w:r>
        <w:rPr>
          <w:rFonts w:ascii="Cambria" w:hAnsi="Cambria"/>
        </w:rPr>
        <w:lastRenderedPageBreak/>
        <w:t xml:space="preserve">they will cause a variety of direct and indirect economic impacts. In assessing the potential impact of </w:t>
      </w:r>
      <w:r>
        <w:rPr>
          <w:rFonts w:ascii="Cambria" w:hAnsi="Cambria"/>
          <w:i/>
          <w:iCs/>
        </w:rPr>
        <w:t>Phytophthora</w:t>
      </w:r>
      <w:r>
        <w:rPr>
          <w:rFonts w:ascii="Cambria" w:hAnsi="Cambria"/>
        </w:rPr>
        <w:t xml:space="preserve"> </w:t>
      </w:r>
      <w:r>
        <w:rPr>
          <w:rFonts w:ascii="Cambria" w:hAnsi="Cambria"/>
          <w:iCs/>
        </w:rPr>
        <w:t xml:space="preserve">species </w:t>
      </w:r>
      <w:r>
        <w:rPr>
          <w:rFonts w:ascii="Cambria" w:hAnsi="Cambria"/>
        </w:rPr>
        <w:t>in Australia, the economic losses caused by these pathogens in Europe and the USA were considered.</w:t>
      </w:r>
    </w:p>
    <w:p w:rsidR="00E94405" w:rsidRDefault="00A11609">
      <w:pPr>
        <w:spacing w:before="200"/>
        <w:rPr>
          <w:rFonts w:ascii="Cambria" w:hAnsi="Cambria"/>
        </w:rPr>
      </w:pPr>
      <w:r>
        <w:rPr>
          <w:rFonts w:ascii="Cambria" w:hAnsi="Cambria"/>
        </w:rPr>
        <w:t>Reasoning for these ratings is provided below:</w:t>
      </w:r>
    </w:p>
    <w:tbl>
      <w:tblPr>
        <w:tblW w:w="4806" w:type="pct"/>
        <w:tblInd w:w="108" w:type="dxa"/>
        <w:tblBorders>
          <w:top w:val="single" w:sz="4" w:space="0" w:color="auto"/>
          <w:bottom w:val="single" w:sz="4" w:space="0" w:color="auto"/>
        </w:tblBorders>
        <w:tblLook w:val="04A0"/>
      </w:tblPr>
      <w:tblGrid>
        <w:gridCol w:w="1701"/>
        <w:gridCol w:w="7225"/>
      </w:tblGrid>
      <w:tr w:rsidR="00E94405">
        <w:trPr>
          <w:tblHeader/>
        </w:trPr>
        <w:tc>
          <w:tcPr>
            <w:tcW w:w="953" w:type="pct"/>
          </w:tcPr>
          <w:p w:rsidR="00E94405" w:rsidRDefault="00A11609">
            <w:pPr>
              <w:pStyle w:val="TableHeading"/>
              <w:rPr>
                <w:rFonts w:ascii="Cambria" w:hAnsi="Cambria"/>
              </w:rPr>
            </w:pPr>
            <w:r>
              <w:rPr>
                <w:rFonts w:ascii="Cambria" w:hAnsi="Cambria"/>
              </w:rPr>
              <w:t>Criterion</w:t>
            </w:r>
          </w:p>
        </w:tc>
        <w:tc>
          <w:tcPr>
            <w:tcW w:w="4047" w:type="pct"/>
          </w:tcPr>
          <w:p w:rsidR="00E94405" w:rsidRDefault="00A11609">
            <w:pPr>
              <w:pStyle w:val="TableHeading"/>
              <w:rPr>
                <w:rFonts w:ascii="Cambria" w:hAnsi="Cambria"/>
              </w:rPr>
            </w:pPr>
            <w:r>
              <w:rPr>
                <w:rFonts w:ascii="Cambria" w:hAnsi="Cambria"/>
              </w:rPr>
              <w:t>Estimate and rationale</w:t>
            </w:r>
          </w:p>
        </w:tc>
      </w:tr>
      <w:tr w:rsidR="00E94405">
        <w:tc>
          <w:tcPr>
            <w:tcW w:w="5000" w:type="pct"/>
            <w:gridSpan w:val="2"/>
          </w:tcPr>
          <w:p w:rsidR="00E94405" w:rsidRDefault="00A11609">
            <w:pPr>
              <w:pStyle w:val="TableText"/>
              <w:rPr>
                <w:rFonts w:ascii="Cambria" w:hAnsi="Cambria"/>
              </w:rPr>
            </w:pPr>
            <w:r>
              <w:rPr>
                <w:rFonts w:ascii="Cambria" w:hAnsi="Cambria"/>
              </w:rPr>
              <w:t>Direct</w:t>
            </w:r>
          </w:p>
        </w:tc>
      </w:tr>
      <w:tr w:rsidR="00E94405">
        <w:tc>
          <w:tcPr>
            <w:tcW w:w="953" w:type="pct"/>
          </w:tcPr>
          <w:p w:rsidR="00E94405" w:rsidRDefault="00A11609">
            <w:pPr>
              <w:pStyle w:val="TableText"/>
              <w:rPr>
                <w:rFonts w:ascii="Cambria" w:hAnsi="Cambria"/>
              </w:rPr>
            </w:pPr>
            <w:r>
              <w:rPr>
                <w:rFonts w:ascii="Cambria" w:hAnsi="Cambria"/>
              </w:rPr>
              <w:t>Plant life or health</w:t>
            </w:r>
          </w:p>
        </w:tc>
        <w:tc>
          <w:tcPr>
            <w:tcW w:w="4047" w:type="pct"/>
          </w:tcPr>
          <w:p w:rsidR="00E94405" w:rsidRDefault="00A11609">
            <w:pPr>
              <w:pStyle w:val="TableText"/>
              <w:rPr>
                <w:rFonts w:ascii="Cambria" w:hAnsi="Cambria"/>
              </w:rPr>
            </w:pPr>
            <w:r>
              <w:rPr>
                <w:rFonts w:ascii="Cambria" w:hAnsi="Cambria"/>
              </w:rPr>
              <w:t>E – Significant at the regional level</w:t>
            </w:r>
          </w:p>
          <w:p w:rsidR="00E94405" w:rsidRDefault="00A11609">
            <w:pPr>
              <w:pStyle w:val="TableText"/>
              <w:rPr>
                <w:rFonts w:ascii="Cambria" w:hAnsi="Cambria"/>
              </w:rPr>
            </w:pPr>
            <w:r>
              <w:rPr>
                <w:rFonts w:ascii="Cambria" w:hAnsi="Cambria" w:cs="Helvetica"/>
                <w:i/>
                <w:iCs/>
                <w:szCs w:val="18"/>
              </w:rPr>
              <w:t>Phytophthora ramorum</w:t>
            </w:r>
            <w:r>
              <w:rPr>
                <w:rFonts w:ascii="Cambria" w:hAnsi="Cambria" w:cs="Helvetica"/>
                <w:szCs w:val="18"/>
              </w:rPr>
              <w:t xml:space="preserve"> is one of the most destructive pathogens of oak and other host plants as it can destroy susceptible hosts within a short period of time (Rizzo </w:t>
            </w:r>
            <w:r>
              <w:rPr>
                <w:rFonts w:ascii="Cambria" w:hAnsi="Cambria" w:cs="Helvetica"/>
                <w:iCs/>
                <w:szCs w:val="18"/>
              </w:rPr>
              <w:t>et al</w:t>
            </w:r>
            <w:r>
              <w:rPr>
                <w:rFonts w:ascii="Cambria" w:hAnsi="Cambria" w:cs="Helvetica"/>
                <w:szCs w:val="18"/>
              </w:rPr>
              <w:t xml:space="preserve">. 2002b; Ivors </w:t>
            </w:r>
            <w:r>
              <w:rPr>
                <w:rFonts w:ascii="Cambria" w:hAnsi="Cambria" w:cs="Helvetica"/>
                <w:iCs/>
                <w:szCs w:val="18"/>
              </w:rPr>
              <w:t>et al</w:t>
            </w:r>
            <w:r>
              <w:rPr>
                <w:rFonts w:ascii="Cambria" w:hAnsi="Cambria" w:cs="Helvetica"/>
                <w:szCs w:val="18"/>
              </w:rPr>
              <w:t xml:space="preserve">. 2004). </w:t>
            </w:r>
            <w:r>
              <w:rPr>
                <w:rFonts w:ascii="Cambria" w:hAnsi="Cambria" w:cs="Helvetica"/>
                <w:i/>
                <w:iCs/>
                <w:szCs w:val="18"/>
              </w:rPr>
              <w:t xml:space="preserve">Phytophthora ramorum </w:t>
            </w:r>
            <w:r>
              <w:rPr>
                <w:rFonts w:ascii="Cambria" w:hAnsi="Cambria" w:cs="Helvetica"/>
                <w:szCs w:val="18"/>
              </w:rPr>
              <w:t>has the potential to cause economic consequences as it attacks hosts with significant commercial value, directly causes tree mortality and may cause market loss due to its presence and significant quarantine status.</w:t>
            </w:r>
          </w:p>
          <w:p w:rsidR="00E94405" w:rsidRDefault="00A11609">
            <w:pPr>
              <w:pStyle w:val="TableBullet"/>
              <w:ind w:left="284" w:hanging="284"/>
              <w:rPr>
                <w:rFonts w:ascii="Cambria" w:hAnsi="Cambria" w:cs="Helvetica"/>
                <w:szCs w:val="18"/>
              </w:rPr>
            </w:pPr>
            <w:r>
              <w:rPr>
                <w:rFonts w:ascii="Cambria" w:hAnsi="Cambria" w:cs="Helvetica"/>
                <w:i/>
                <w:iCs/>
                <w:szCs w:val="18"/>
              </w:rPr>
              <w:t xml:space="preserve">Phytophthora ramorum </w:t>
            </w:r>
            <w:r>
              <w:rPr>
                <w:rFonts w:ascii="Cambria" w:hAnsi="Cambria" w:cs="Helvetica"/>
                <w:szCs w:val="18"/>
              </w:rPr>
              <w:t xml:space="preserve">is capable of killing healthy mature oak, tan oak, Japanese larch, wild </w:t>
            </w:r>
            <w:r>
              <w:rPr>
                <w:rFonts w:ascii="Cambria" w:hAnsi="Cambria" w:cs="Helvetica"/>
                <w:i/>
                <w:szCs w:val="18"/>
              </w:rPr>
              <w:t xml:space="preserve">Rhododendron </w:t>
            </w:r>
            <w:r>
              <w:rPr>
                <w:rFonts w:ascii="Cambria" w:hAnsi="Cambria" w:cs="Helvetica"/>
                <w:szCs w:val="18"/>
              </w:rPr>
              <w:t xml:space="preserve">species, evergreen huckleberries and </w:t>
            </w:r>
            <w:r>
              <w:rPr>
                <w:rFonts w:ascii="Cambria" w:hAnsi="Cambria" w:cs="Helvetica"/>
                <w:i/>
                <w:iCs/>
                <w:szCs w:val="18"/>
              </w:rPr>
              <w:t xml:space="preserve">Viburnum </w:t>
            </w:r>
            <w:r>
              <w:rPr>
                <w:rFonts w:ascii="Cambria" w:hAnsi="Cambria" w:cs="Helvetica"/>
                <w:szCs w:val="18"/>
              </w:rPr>
              <w:t xml:space="preserve">species. Thousands of </w:t>
            </w:r>
            <w:r>
              <w:rPr>
                <w:rFonts w:ascii="Cambria" w:hAnsi="Cambria" w:cs="Helvetica"/>
                <w:i/>
                <w:iCs/>
                <w:szCs w:val="18"/>
              </w:rPr>
              <w:t>Lithocarpus</w:t>
            </w:r>
            <w:r>
              <w:rPr>
                <w:rFonts w:ascii="Cambria" w:hAnsi="Cambria" w:cs="Helvetica"/>
                <w:szCs w:val="18"/>
              </w:rPr>
              <w:t xml:space="preserve"> and </w:t>
            </w:r>
            <w:r>
              <w:rPr>
                <w:rFonts w:ascii="Cambria" w:hAnsi="Cambria" w:cs="Helvetica"/>
                <w:i/>
                <w:iCs/>
                <w:szCs w:val="18"/>
              </w:rPr>
              <w:t>Quercus</w:t>
            </w:r>
            <w:r>
              <w:rPr>
                <w:rFonts w:ascii="Cambria" w:hAnsi="Cambria" w:cs="Helvetica"/>
                <w:szCs w:val="18"/>
              </w:rPr>
              <w:t xml:space="preserve"> plants have been killed in California and Oregon (Rizzo </w:t>
            </w:r>
            <w:r>
              <w:rPr>
                <w:rFonts w:ascii="Cambria" w:hAnsi="Cambria" w:cs="Helvetica"/>
                <w:iCs/>
                <w:szCs w:val="18"/>
              </w:rPr>
              <w:t>et al</w:t>
            </w:r>
            <w:r>
              <w:rPr>
                <w:rFonts w:ascii="Cambria" w:hAnsi="Cambria" w:cs="Helvetica"/>
                <w:szCs w:val="18"/>
              </w:rPr>
              <w:t xml:space="preserve">. 2005). Direct mortality has also been recorded in </w:t>
            </w:r>
            <w:r>
              <w:rPr>
                <w:rFonts w:ascii="Cambria" w:hAnsi="Cambria" w:cs="Helvetica"/>
                <w:i/>
                <w:iCs/>
                <w:szCs w:val="18"/>
              </w:rPr>
              <w:t>Arbutus, Fagus, Rhododendron</w:t>
            </w:r>
            <w:r>
              <w:rPr>
                <w:rFonts w:ascii="Cambria" w:hAnsi="Cambria" w:cs="Helvetica"/>
                <w:szCs w:val="18"/>
              </w:rPr>
              <w:t xml:space="preserve"> and</w:t>
            </w:r>
            <w:r>
              <w:rPr>
                <w:rFonts w:ascii="Cambria" w:hAnsi="Cambria" w:cs="Helvetica"/>
                <w:i/>
                <w:iCs/>
                <w:szCs w:val="18"/>
              </w:rPr>
              <w:t xml:space="preserve"> Vaccinium</w:t>
            </w:r>
            <w:r>
              <w:rPr>
                <w:rFonts w:ascii="Cambria" w:hAnsi="Cambria" w:cs="Helvetica"/>
                <w:szCs w:val="18"/>
              </w:rPr>
              <w:t>. This pathogen also causes tip dieback on several hosts, and disfiguring leaf spots on several common nursery species, thereby rendering the plants unmarketable.</w:t>
            </w:r>
          </w:p>
          <w:p w:rsidR="00E94405" w:rsidRDefault="00A11609">
            <w:pPr>
              <w:pStyle w:val="TableBullet"/>
              <w:ind w:left="284" w:hanging="284"/>
              <w:rPr>
                <w:rFonts w:ascii="Cambria" w:hAnsi="Cambria"/>
              </w:rPr>
            </w:pPr>
            <w:r>
              <w:rPr>
                <w:rFonts w:ascii="Cambria" w:hAnsi="Cambria" w:cs="Helvetica"/>
                <w:iCs/>
                <w:szCs w:val="18"/>
              </w:rPr>
              <w:t>Susceptible</w:t>
            </w:r>
            <w:r>
              <w:rPr>
                <w:rFonts w:ascii="Cambria" w:hAnsi="Cambria" w:cs="Helvetica"/>
                <w:szCs w:val="18"/>
              </w:rPr>
              <w:t xml:space="preserve"> hosts include plants of importance to the nursery industry with amenity value in parks and gardens (</w:t>
            </w:r>
            <w:r>
              <w:rPr>
                <w:rFonts w:ascii="Cambria" w:hAnsi="Cambria" w:cs="Helvetica"/>
                <w:i/>
                <w:iCs/>
                <w:szCs w:val="18"/>
              </w:rPr>
              <w:t>Acer, Quercus, Pieris,</w:t>
            </w:r>
            <w:r>
              <w:rPr>
                <w:rFonts w:ascii="Cambria" w:hAnsi="Cambria" w:cs="Helvetica"/>
                <w:szCs w:val="18"/>
              </w:rPr>
              <w:t xml:space="preserve"> </w:t>
            </w:r>
            <w:r>
              <w:rPr>
                <w:rFonts w:ascii="Cambria" w:hAnsi="Cambria" w:cs="Helvetica"/>
                <w:i/>
                <w:iCs/>
                <w:szCs w:val="18"/>
              </w:rPr>
              <w:t>Prunus, Rosa</w:t>
            </w:r>
            <w:r>
              <w:rPr>
                <w:rFonts w:ascii="Cambria" w:hAnsi="Cambria" w:cs="Helvetica"/>
                <w:szCs w:val="18"/>
              </w:rPr>
              <w:t>) some of which are of both key epidemiological importance and highly prized</w:t>
            </w:r>
            <w:r>
              <w:rPr>
                <w:rFonts w:ascii="Cambria" w:hAnsi="Cambria" w:cs="Helvetica"/>
                <w:i/>
                <w:iCs/>
                <w:szCs w:val="18"/>
              </w:rPr>
              <w:t xml:space="preserve"> </w:t>
            </w:r>
            <w:r>
              <w:rPr>
                <w:rFonts w:ascii="Cambria" w:hAnsi="Cambria" w:cs="Helvetica"/>
                <w:szCs w:val="18"/>
              </w:rPr>
              <w:t>ornamentals (</w:t>
            </w:r>
            <w:r>
              <w:rPr>
                <w:rFonts w:ascii="Cambria" w:hAnsi="Cambria" w:cs="Helvetica"/>
                <w:i/>
                <w:iCs/>
                <w:szCs w:val="18"/>
              </w:rPr>
              <w:t>Camellia, Rhododendron, Viburnum</w:t>
            </w:r>
            <w:r>
              <w:rPr>
                <w:rFonts w:ascii="Cambria" w:hAnsi="Cambria" w:cs="Helvetica"/>
                <w:szCs w:val="18"/>
              </w:rPr>
              <w:t>).</w:t>
            </w:r>
          </w:p>
          <w:p w:rsidR="00E94405" w:rsidRDefault="00A11609">
            <w:pPr>
              <w:pStyle w:val="TableBullet"/>
              <w:ind w:left="284" w:hanging="284"/>
              <w:rPr>
                <w:rFonts w:ascii="Cambria" w:hAnsi="Cambria"/>
              </w:rPr>
            </w:pPr>
            <w:r>
              <w:rPr>
                <w:rFonts w:ascii="Cambria" w:hAnsi="Cambria" w:cs="Helvetica"/>
                <w:szCs w:val="18"/>
              </w:rPr>
              <w:t>Adverse effects on the health of trees of historic importance in town streetscapes, cemeteries, churchyards (</w:t>
            </w:r>
            <w:r>
              <w:rPr>
                <w:rFonts w:ascii="Cambria" w:hAnsi="Cambria" w:cs="Helvetica"/>
                <w:i/>
                <w:iCs/>
                <w:szCs w:val="18"/>
              </w:rPr>
              <w:t>Taxus</w:t>
            </w:r>
            <w:r>
              <w:rPr>
                <w:rFonts w:ascii="Cambria" w:hAnsi="Cambria" w:cs="Helvetica"/>
                <w:szCs w:val="18"/>
              </w:rPr>
              <w:t>) and orchard crops (</w:t>
            </w:r>
            <w:r>
              <w:rPr>
                <w:rFonts w:ascii="Cambria" w:hAnsi="Cambria" w:cs="Helvetica"/>
                <w:i/>
                <w:iCs/>
                <w:szCs w:val="18"/>
              </w:rPr>
              <w:t>Castanea</w:t>
            </w:r>
            <w:r>
              <w:rPr>
                <w:rFonts w:ascii="Cambria" w:hAnsi="Cambria" w:cs="Helvetica"/>
                <w:szCs w:val="18"/>
              </w:rPr>
              <w:t>) may occur.</w:t>
            </w:r>
            <w:r>
              <w:rPr>
                <w:rFonts w:ascii="Cambria" w:hAnsi="Cambria" w:cs="Helvetica"/>
                <w:i/>
                <w:iCs/>
                <w:szCs w:val="18"/>
              </w:rPr>
              <w:t xml:space="preserve"> Castanea sativa</w:t>
            </w:r>
            <w:r>
              <w:rPr>
                <w:rFonts w:ascii="Cambria" w:hAnsi="Cambria" w:cs="Helvetica"/>
                <w:szCs w:val="18"/>
              </w:rPr>
              <w:t xml:space="preserve"> is valuable in the commercial production of sweet chestnuts and gourmet mushrooms. Hosts include plants occurring in plantation and native forests which are the primary species on which the Australian timber industry is based (</w:t>
            </w:r>
            <w:r>
              <w:rPr>
                <w:rFonts w:ascii="Cambria" w:hAnsi="Cambria" w:cs="Helvetica"/>
                <w:i/>
                <w:iCs/>
                <w:szCs w:val="18"/>
              </w:rPr>
              <w:t>Eucalyptus, Pinus</w:t>
            </w:r>
            <w:r>
              <w:rPr>
                <w:rFonts w:ascii="Cambria" w:hAnsi="Cambria" w:cs="Helvetica"/>
                <w:szCs w:val="18"/>
              </w:rPr>
              <w:t>).</w:t>
            </w:r>
          </w:p>
          <w:p w:rsidR="00E94405" w:rsidRDefault="00A11609">
            <w:pPr>
              <w:pStyle w:val="TableBullet"/>
              <w:ind w:left="284" w:hanging="284"/>
              <w:rPr>
                <w:rFonts w:ascii="Cambria" w:hAnsi="Cambria"/>
              </w:rPr>
            </w:pPr>
            <w:r>
              <w:rPr>
                <w:rFonts w:ascii="Cambria" w:hAnsi="Cambria" w:cs="Helvetica"/>
                <w:szCs w:val="18"/>
              </w:rPr>
              <w:t>The economic impact on plant life or health may depend on the extent of symptom expression on Australian species of commercial value. Evidence to date suggests that direct host mortality may be restricted to canker hosts in Fagaceae, and shoot dieback hosts in Ericaceae and Pinaceae. In hosts belonging to other families, twig and leaf infections are more common, enhancing the spread of the pathogen, but resulting mainly in yield reductions and enhanced susceptibility to other stresses.</w:t>
            </w:r>
          </w:p>
        </w:tc>
      </w:tr>
      <w:tr w:rsidR="00E94405">
        <w:tc>
          <w:tcPr>
            <w:tcW w:w="953" w:type="pct"/>
          </w:tcPr>
          <w:p w:rsidR="00E94405" w:rsidRDefault="00A11609">
            <w:pPr>
              <w:pStyle w:val="TableText"/>
              <w:rPr>
                <w:rFonts w:ascii="Cambria" w:hAnsi="Cambria"/>
              </w:rPr>
            </w:pPr>
            <w:r>
              <w:rPr>
                <w:rFonts w:ascii="Cambria" w:hAnsi="Cambria"/>
              </w:rPr>
              <w:t>Other aspects of the environment</w:t>
            </w:r>
          </w:p>
        </w:tc>
        <w:tc>
          <w:tcPr>
            <w:tcW w:w="4047" w:type="pct"/>
          </w:tcPr>
          <w:p w:rsidR="00E94405" w:rsidRDefault="00A11609">
            <w:pPr>
              <w:pStyle w:val="TableText"/>
              <w:rPr>
                <w:rFonts w:ascii="Cambria" w:hAnsi="Cambria"/>
              </w:rPr>
            </w:pPr>
            <w:r>
              <w:rPr>
                <w:rFonts w:ascii="Cambria" w:hAnsi="Cambria"/>
              </w:rPr>
              <w:t>E –Significant at regional level</w:t>
            </w:r>
          </w:p>
          <w:p w:rsidR="00E94405" w:rsidRDefault="00A11609">
            <w:pPr>
              <w:pStyle w:val="TableText"/>
              <w:rPr>
                <w:rFonts w:ascii="Cambria" w:hAnsi="Cambria" w:cs="Helvetica"/>
                <w:color w:val="000000" w:themeColor="text1"/>
                <w:szCs w:val="18"/>
              </w:rPr>
            </w:pPr>
            <w:r>
              <w:rPr>
                <w:rFonts w:ascii="Cambria" w:hAnsi="Cambria" w:cs="Helvetica"/>
                <w:color w:val="000000" w:themeColor="text1"/>
                <w:szCs w:val="18"/>
              </w:rPr>
              <w:t>Heavy loss of oaks, or related susceptible genera, could result in significant ecological effects, including changes in forest composition, loss of wildlife, reduced food and habitat availability, increased soil erosion and a significant increase in fuel loads in heavily populated urban-forest interfaces.</w:t>
            </w:r>
          </w:p>
          <w:p w:rsidR="00E94405" w:rsidRDefault="00A11609">
            <w:pPr>
              <w:pStyle w:val="TableBullet"/>
              <w:ind w:left="284" w:hanging="284"/>
              <w:rPr>
                <w:rFonts w:ascii="Cambria" w:hAnsi="Cambria" w:cs="Helvetica"/>
                <w:color w:val="000000" w:themeColor="text1"/>
                <w:szCs w:val="18"/>
              </w:rPr>
            </w:pPr>
            <w:r>
              <w:rPr>
                <w:rFonts w:ascii="Cambria" w:hAnsi="Cambria" w:cs="Helvetica"/>
                <w:color w:val="000000" w:themeColor="text1"/>
                <w:szCs w:val="18"/>
              </w:rPr>
              <w:t xml:space="preserve">Loss of dominant trees and a reduction in cover may reduce the habitat for wildlife (Cave </w:t>
            </w:r>
            <w:r>
              <w:rPr>
                <w:rFonts w:ascii="Cambria" w:hAnsi="Cambria" w:cs="Helvetica"/>
                <w:iCs/>
                <w:color w:val="000000" w:themeColor="text1"/>
                <w:szCs w:val="18"/>
              </w:rPr>
              <w:t>et al</w:t>
            </w:r>
            <w:r>
              <w:rPr>
                <w:rFonts w:ascii="Cambria" w:hAnsi="Cambria" w:cs="Helvetica"/>
                <w:color w:val="000000" w:themeColor="text1"/>
                <w:szCs w:val="18"/>
              </w:rPr>
              <w:t>. 2005) and enhance weed invasion and erosion (CABI 2014). Such complex interactions are also likely in Australian sclerophyll communities, and will complicate the management of Australian ecosystems for the delivery of multiple services.</w:t>
            </w:r>
          </w:p>
          <w:p w:rsidR="00E94405" w:rsidRDefault="00A11609">
            <w:pPr>
              <w:pStyle w:val="TableBullet"/>
              <w:ind w:left="284" w:hanging="284"/>
              <w:rPr>
                <w:rFonts w:ascii="Cambria" w:hAnsi="Cambria" w:cs="Helvetica"/>
                <w:color w:val="000000" w:themeColor="text1"/>
                <w:szCs w:val="18"/>
              </w:rPr>
            </w:pPr>
            <w:r>
              <w:rPr>
                <w:rFonts w:ascii="Cambria" w:hAnsi="Cambria" w:cs="Helvetica"/>
                <w:color w:val="000000" w:themeColor="text1"/>
                <w:szCs w:val="18"/>
              </w:rPr>
              <w:t xml:space="preserve">There is a relationship between </w:t>
            </w:r>
            <w:r>
              <w:rPr>
                <w:rFonts w:ascii="Cambria" w:hAnsi="Cambria" w:cs="Helvetica"/>
                <w:i/>
                <w:iCs/>
                <w:color w:val="000000" w:themeColor="text1"/>
                <w:szCs w:val="18"/>
              </w:rPr>
              <w:t xml:space="preserve">P. ramorum </w:t>
            </w:r>
            <w:r>
              <w:rPr>
                <w:rFonts w:ascii="Cambria" w:hAnsi="Cambria" w:cs="Helvetica"/>
                <w:color w:val="000000" w:themeColor="text1"/>
                <w:szCs w:val="18"/>
              </w:rPr>
              <w:t xml:space="preserve">and fire in forests in the Mediterranean regions of the USA. Foliar moisture contents of infected tanoak is lower (Kuljian &amp; Varner 2010) and the decrease in moisture content increases the risk of canopy fires (Kuljian &amp; Varner 2010). In addition to moisture decreases in the foliage, there is an increase in deadwood and fuels (Metz </w:t>
            </w:r>
            <w:r>
              <w:rPr>
                <w:rFonts w:ascii="Cambria" w:hAnsi="Cambria" w:cs="Helvetica"/>
                <w:iCs/>
                <w:color w:val="000000" w:themeColor="text1"/>
                <w:szCs w:val="18"/>
              </w:rPr>
              <w:t>et al</w:t>
            </w:r>
            <w:r>
              <w:rPr>
                <w:rFonts w:ascii="Cambria" w:hAnsi="Cambria" w:cs="Helvetica"/>
                <w:color w:val="000000" w:themeColor="text1"/>
                <w:szCs w:val="18"/>
              </w:rPr>
              <w:t xml:space="preserve">. 2010; 2011). It is likely that similar conclusions can be drawn for the effect on fire risk of a </w:t>
            </w:r>
            <w:r>
              <w:rPr>
                <w:rFonts w:ascii="Cambria" w:hAnsi="Cambria" w:cs="Helvetica"/>
                <w:i/>
                <w:iCs/>
                <w:color w:val="000000" w:themeColor="text1"/>
                <w:szCs w:val="18"/>
              </w:rPr>
              <w:t xml:space="preserve">P. ramorum </w:t>
            </w:r>
            <w:r>
              <w:rPr>
                <w:rFonts w:ascii="Cambria" w:hAnsi="Cambria" w:cs="Helvetica"/>
                <w:color w:val="000000" w:themeColor="text1"/>
                <w:szCs w:val="18"/>
              </w:rPr>
              <w:t xml:space="preserve">outbreak in the Mediterranean, where forests and shrublands are already particularly vulnerable to </w:t>
            </w:r>
            <w:r>
              <w:rPr>
                <w:rFonts w:ascii="Cambria" w:hAnsi="Cambria" w:cs="Helvetica"/>
                <w:color w:val="000000" w:themeColor="text1"/>
                <w:szCs w:val="18"/>
              </w:rPr>
              <w:lastRenderedPageBreak/>
              <w:t>fires.</w:t>
            </w:r>
          </w:p>
          <w:p w:rsidR="00E94405" w:rsidRDefault="00A11609">
            <w:pPr>
              <w:pStyle w:val="TableBullet"/>
              <w:ind w:left="284" w:hanging="284"/>
              <w:rPr>
                <w:rFonts w:ascii="Cambria" w:hAnsi="Cambria"/>
              </w:rPr>
            </w:pPr>
            <w:r>
              <w:rPr>
                <w:rFonts w:ascii="Cambria" w:hAnsi="Cambria" w:cs="Helvetica"/>
                <w:color w:val="000000" w:themeColor="text1"/>
                <w:szCs w:val="18"/>
              </w:rPr>
              <w:t xml:space="preserve">The implications of </w:t>
            </w:r>
            <w:r>
              <w:rPr>
                <w:rFonts w:ascii="Cambria" w:hAnsi="Cambria" w:cs="Helvetica"/>
                <w:i/>
                <w:color w:val="000000" w:themeColor="text1"/>
                <w:szCs w:val="18"/>
              </w:rPr>
              <w:t>P. ramorum</w:t>
            </w:r>
            <w:r>
              <w:rPr>
                <w:rFonts w:ascii="Cambria" w:hAnsi="Cambria" w:cs="Helvetica"/>
                <w:color w:val="000000" w:themeColor="text1"/>
                <w:szCs w:val="18"/>
              </w:rPr>
              <w:t xml:space="preserve"> on natural ecosystems, agriculture and horticulture may potentially be far worse than that currently posed by </w:t>
            </w:r>
            <w:r>
              <w:rPr>
                <w:rFonts w:ascii="Cambria" w:hAnsi="Cambria" w:cs="Helvetica"/>
                <w:i/>
                <w:color w:val="000000" w:themeColor="text1"/>
                <w:szCs w:val="18"/>
              </w:rPr>
              <w:t>P. cinnamomi</w:t>
            </w:r>
            <w:r>
              <w:rPr>
                <w:rFonts w:ascii="Cambria" w:hAnsi="Cambria" w:cs="Helvetica"/>
                <w:color w:val="000000" w:themeColor="text1"/>
                <w:szCs w:val="18"/>
              </w:rPr>
              <w:t xml:space="preserve"> (O’Gara et al. 2005).</w:t>
            </w:r>
          </w:p>
        </w:tc>
      </w:tr>
      <w:tr w:rsidR="00E94405">
        <w:tc>
          <w:tcPr>
            <w:tcW w:w="5000" w:type="pct"/>
            <w:gridSpan w:val="2"/>
          </w:tcPr>
          <w:p w:rsidR="00E94405" w:rsidRDefault="00A11609">
            <w:pPr>
              <w:pStyle w:val="TableHeading"/>
              <w:rPr>
                <w:rFonts w:ascii="Cambria" w:hAnsi="Cambria"/>
              </w:rPr>
            </w:pPr>
            <w:r>
              <w:rPr>
                <w:rFonts w:ascii="Cambria" w:hAnsi="Cambria"/>
              </w:rPr>
              <w:lastRenderedPageBreak/>
              <w:t>Indirect</w:t>
            </w:r>
          </w:p>
        </w:tc>
      </w:tr>
      <w:tr w:rsidR="00E94405">
        <w:tc>
          <w:tcPr>
            <w:tcW w:w="953" w:type="pct"/>
          </w:tcPr>
          <w:p w:rsidR="00E94405" w:rsidRDefault="00A11609">
            <w:pPr>
              <w:pStyle w:val="TableText"/>
              <w:rPr>
                <w:rFonts w:ascii="Cambria" w:hAnsi="Cambria"/>
              </w:rPr>
            </w:pPr>
            <w:r>
              <w:rPr>
                <w:rFonts w:ascii="Cambria" w:hAnsi="Cambria"/>
              </w:rPr>
              <w:t>Eradication, control, etc.</w:t>
            </w:r>
          </w:p>
        </w:tc>
        <w:tc>
          <w:tcPr>
            <w:tcW w:w="4047" w:type="pct"/>
          </w:tcPr>
          <w:p w:rsidR="00E94405" w:rsidRDefault="00A11609">
            <w:pPr>
              <w:pStyle w:val="TableText"/>
              <w:rPr>
                <w:rFonts w:ascii="Cambria" w:hAnsi="Cambria"/>
              </w:rPr>
            </w:pPr>
            <w:r>
              <w:rPr>
                <w:rFonts w:ascii="Cambria" w:hAnsi="Cambria"/>
              </w:rPr>
              <w:t>E – Significant at the regional level</w:t>
            </w:r>
          </w:p>
          <w:p w:rsidR="00E94405" w:rsidRDefault="00A11609">
            <w:pPr>
              <w:pStyle w:val="TableText"/>
              <w:rPr>
                <w:rFonts w:ascii="Cambria" w:hAnsi="Cambria"/>
              </w:rPr>
            </w:pPr>
            <w:r>
              <w:rPr>
                <w:rFonts w:ascii="Cambria" w:hAnsi="Cambria" w:cs="Helvetica"/>
                <w:szCs w:val="18"/>
              </w:rPr>
              <w:t xml:space="preserve">The combination of human induced introductions (Mascheretti </w:t>
            </w:r>
            <w:r>
              <w:rPr>
                <w:rFonts w:ascii="Cambria" w:hAnsi="Cambria" w:cs="Helvetica"/>
                <w:iCs/>
                <w:szCs w:val="18"/>
              </w:rPr>
              <w:t>et al</w:t>
            </w:r>
            <w:r>
              <w:rPr>
                <w:rFonts w:ascii="Cambria" w:hAnsi="Cambria" w:cs="Helvetica"/>
                <w:szCs w:val="18"/>
              </w:rPr>
              <w:t xml:space="preserve">. 2009), potential human-mediated spread (Cushman &amp; Meentemeyer 2008) and natural spread (Mascheretti </w:t>
            </w:r>
            <w:r>
              <w:rPr>
                <w:rFonts w:ascii="Cambria" w:hAnsi="Cambria" w:cs="Helvetica"/>
                <w:iCs/>
                <w:szCs w:val="18"/>
              </w:rPr>
              <w:t>et al</w:t>
            </w:r>
            <w:r>
              <w:rPr>
                <w:rFonts w:ascii="Cambria" w:hAnsi="Cambria" w:cs="Helvetica"/>
                <w:szCs w:val="18"/>
              </w:rPr>
              <w:t xml:space="preserve">. 2008; Davis </w:t>
            </w:r>
            <w:r>
              <w:rPr>
                <w:rFonts w:ascii="Cambria" w:hAnsi="Cambria" w:cs="Helvetica"/>
                <w:iCs/>
                <w:szCs w:val="18"/>
              </w:rPr>
              <w:t>et al</w:t>
            </w:r>
            <w:r>
              <w:rPr>
                <w:rFonts w:ascii="Cambria" w:hAnsi="Cambria" w:cs="Helvetica"/>
                <w:szCs w:val="18"/>
              </w:rPr>
              <w:t xml:space="preserve">. 2010) at the 10 meter to 5 kilometer scale makes this a difficult pathogen to eradicate once introduced into the wild (Prospero </w:t>
            </w:r>
            <w:r>
              <w:rPr>
                <w:rFonts w:ascii="Cambria" w:hAnsi="Cambria" w:cs="Helvetica"/>
                <w:iCs/>
                <w:szCs w:val="18"/>
              </w:rPr>
              <w:t>et al</w:t>
            </w:r>
            <w:r>
              <w:rPr>
                <w:rFonts w:ascii="Cambria" w:hAnsi="Cambria" w:cs="Helvetica"/>
                <w:szCs w:val="18"/>
              </w:rPr>
              <w:t>. 2007).</w:t>
            </w:r>
          </w:p>
          <w:p w:rsidR="00E94405" w:rsidRDefault="00A11609">
            <w:pPr>
              <w:pStyle w:val="TableBullet"/>
              <w:ind w:left="284" w:hanging="284"/>
              <w:rPr>
                <w:rFonts w:ascii="Cambria" w:hAnsi="Cambria" w:cs="Helvetica"/>
                <w:szCs w:val="18"/>
              </w:rPr>
            </w:pPr>
            <w:r>
              <w:rPr>
                <w:rFonts w:ascii="Cambria" w:hAnsi="Cambria" w:cs="Helvetica"/>
                <w:szCs w:val="18"/>
              </w:rPr>
              <w:t>Programs to minimise the impact of this pathogen in landscapes are likely to be costly and include the removal or pruning of affected and unaffected hosts, clear cutting, burning, disposal of infected plant material, herbicide treatment of cut stumps and broadcast burning to consume the litter layer (Goheen et al. 2006a).</w:t>
            </w:r>
          </w:p>
          <w:p w:rsidR="00E94405" w:rsidRDefault="00A11609">
            <w:pPr>
              <w:pStyle w:val="TableBullet"/>
              <w:ind w:left="284" w:hanging="284"/>
              <w:rPr>
                <w:rFonts w:ascii="Cambria" w:hAnsi="Cambria"/>
              </w:rPr>
            </w:pPr>
            <w:r>
              <w:rPr>
                <w:rFonts w:ascii="Cambria" w:hAnsi="Cambria" w:cs="Helvetica"/>
                <w:szCs w:val="18"/>
              </w:rPr>
              <w:t xml:space="preserve">Control measures may require treatments of green waste, stream water and prevention of movements of soil (Rizzo </w:t>
            </w:r>
            <w:r>
              <w:rPr>
                <w:rFonts w:ascii="Cambria" w:hAnsi="Cambria" w:cs="Helvetica"/>
                <w:iCs/>
                <w:szCs w:val="18"/>
              </w:rPr>
              <w:t>et al</w:t>
            </w:r>
            <w:r>
              <w:rPr>
                <w:rFonts w:ascii="Cambria" w:hAnsi="Cambria" w:cs="Helvetica"/>
                <w:szCs w:val="18"/>
              </w:rPr>
              <w:t xml:space="preserve">. 2005). Appropriate disposal of </w:t>
            </w:r>
            <w:r>
              <w:rPr>
                <w:rFonts w:ascii="Cambria" w:hAnsi="Cambria" w:cs="Helvetica"/>
                <w:i/>
                <w:iCs/>
                <w:szCs w:val="18"/>
              </w:rPr>
              <w:t>P. ramorum</w:t>
            </w:r>
            <w:r>
              <w:rPr>
                <w:rFonts w:ascii="Cambria" w:hAnsi="Cambria" w:cs="Helvetica"/>
                <w:szCs w:val="18"/>
              </w:rPr>
              <w:t xml:space="preserve"> infected green waste is considered a major economic issue for quarantined counties in California (Cave et al. 2005). The need for management and precautionary and sanitary practises and regulations to prevent the further spread of the pathogen—such as washing of vehicles, closure of roads, and public education campaigns—in countries where the pathogen is established has imposed a significant cost burden on industry and government (CABI 2014). In addition, implementation of extensive disease surveillance and sampling programs may be required to ensure the early detection and to contain further spreading of the pathogen once it has established in the landscape, as in the USA (Goheen et al. 2006a).</w:t>
            </w:r>
          </w:p>
        </w:tc>
      </w:tr>
      <w:tr w:rsidR="00E94405">
        <w:tc>
          <w:tcPr>
            <w:tcW w:w="953" w:type="pct"/>
          </w:tcPr>
          <w:p w:rsidR="00E94405" w:rsidRDefault="00A11609">
            <w:pPr>
              <w:pStyle w:val="TableText"/>
              <w:rPr>
                <w:rFonts w:ascii="Cambria" w:hAnsi="Cambria"/>
              </w:rPr>
            </w:pPr>
            <w:r>
              <w:rPr>
                <w:rFonts w:ascii="Cambria" w:hAnsi="Cambria"/>
              </w:rPr>
              <w:t>Domestic trade</w:t>
            </w:r>
          </w:p>
        </w:tc>
        <w:tc>
          <w:tcPr>
            <w:tcW w:w="4047" w:type="pct"/>
          </w:tcPr>
          <w:p w:rsidR="00E94405" w:rsidRDefault="00A11609">
            <w:pPr>
              <w:pStyle w:val="TableText"/>
              <w:rPr>
                <w:rFonts w:ascii="Cambria" w:hAnsi="Cambria"/>
              </w:rPr>
            </w:pPr>
            <w:r>
              <w:rPr>
                <w:rFonts w:ascii="Cambria" w:hAnsi="Cambria"/>
              </w:rPr>
              <w:t>E – Significant at the regional level</w:t>
            </w:r>
          </w:p>
          <w:p w:rsidR="00E94405" w:rsidRDefault="00A11609">
            <w:pPr>
              <w:pStyle w:val="TableBullet"/>
              <w:ind w:left="284" w:hanging="284"/>
              <w:rPr>
                <w:rFonts w:ascii="Cambria" w:hAnsi="Cambria" w:cs="Helvetica"/>
                <w:szCs w:val="18"/>
              </w:rPr>
            </w:pPr>
            <w:r>
              <w:rPr>
                <w:rFonts w:ascii="Cambria" w:hAnsi="Cambria" w:cs="Helvetica"/>
                <w:szCs w:val="18"/>
              </w:rPr>
              <w:t xml:space="preserve">The presence of </w:t>
            </w:r>
            <w:r>
              <w:rPr>
                <w:rFonts w:ascii="Cambria" w:hAnsi="Cambria" w:cs="Helvetica"/>
                <w:i/>
                <w:iCs/>
                <w:szCs w:val="18"/>
              </w:rPr>
              <w:t xml:space="preserve">P. ramorum </w:t>
            </w:r>
            <w:r>
              <w:rPr>
                <w:rFonts w:ascii="Cambria" w:hAnsi="Cambria" w:cs="Helvetica"/>
                <w:szCs w:val="18"/>
              </w:rPr>
              <w:t>is likely to result in domestic movement restrictions for host plants. Interstate restrictions on nursery stock may lead to a loss of markets, which would be likely to require industry adjustment.</w:t>
            </w:r>
          </w:p>
          <w:p w:rsidR="00E94405" w:rsidRDefault="00A11609">
            <w:pPr>
              <w:pStyle w:val="TableBullet"/>
              <w:ind w:left="284" w:hanging="284"/>
              <w:rPr>
                <w:rFonts w:ascii="Cambria" w:hAnsi="Cambria"/>
              </w:rPr>
            </w:pPr>
            <w:r>
              <w:rPr>
                <w:rFonts w:ascii="Cambria" w:hAnsi="Cambria" w:cs="Helvetica"/>
                <w:szCs w:val="18"/>
              </w:rPr>
              <w:t xml:space="preserve">Stringent controls on domestic trade would be required if </w:t>
            </w:r>
            <w:r>
              <w:rPr>
                <w:rFonts w:ascii="Cambria" w:hAnsi="Cambria" w:cs="Helvetica"/>
                <w:i/>
                <w:iCs/>
                <w:szCs w:val="18"/>
              </w:rPr>
              <w:t>P. ramorum</w:t>
            </w:r>
            <w:r>
              <w:rPr>
                <w:rFonts w:ascii="Cambria" w:hAnsi="Cambria" w:cs="Helvetica"/>
                <w:szCs w:val="18"/>
              </w:rPr>
              <w:t xml:space="preserve"> became established in Australia. Restrictions might apply to domestic trade in nursery stock, forest products and other commodities.</w:t>
            </w:r>
          </w:p>
        </w:tc>
      </w:tr>
      <w:tr w:rsidR="00E94405">
        <w:tc>
          <w:tcPr>
            <w:tcW w:w="953" w:type="pct"/>
          </w:tcPr>
          <w:p w:rsidR="00E94405" w:rsidRDefault="00A11609">
            <w:pPr>
              <w:pStyle w:val="TableText"/>
              <w:rPr>
                <w:rFonts w:ascii="Cambria" w:hAnsi="Cambria"/>
              </w:rPr>
            </w:pPr>
            <w:r>
              <w:rPr>
                <w:rFonts w:ascii="Cambria" w:hAnsi="Cambria"/>
              </w:rPr>
              <w:t>International trade</w:t>
            </w:r>
          </w:p>
        </w:tc>
        <w:tc>
          <w:tcPr>
            <w:tcW w:w="4047" w:type="pct"/>
          </w:tcPr>
          <w:p w:rsidR="00E94405" w:rsidRDefault="00A11609">
            <w:pPr>
              <w:pStyle w:val="TableText"/>
              <w:rPr>
                <w:rFonts w:ascii="Cambria" w:hAnsi="Cambria"/>
              </w:rPr>
            </w:pPr>
            <w:r>
              <w:rPr>
                <w:rFonts w:ascii="Cambria" w:hAnsi="Cambria"/>
              </w:rPr>
              <w:t>E – Significant at the regional level</w:t>
            </w:r>
          </w:p>
          <w:p w:rsidR="00E94405" w:rsidRDefault="00A11609">
            <w:pPr>
              <w:pStyle w:val="TableBullet"/>
              <w:ind w:left="284" w:hanging="284"/>
              <w:rPr>
                <w:rFonts w:ascii="Cambria" w:hAnsi="Cambria" w:cs="Helvetica"/>
                <w:szCs w:val="18"/>
              </w:rPr>
            </w:pPr>
            <w:r>
              <w:rPr>
                <w:rFonts w:ascii="Cambria" w:hAnsi="Cambria" w:cs="Helvetica"/>
                <w:szCs w:val="18"/>
              </w:rPr>
              <w:t xml:space="preserve">Because of the threat </w:t>
            </w:r>
            <w:r>
              <w:rPr>
                <w:rFonts w:ascii="Cambria" w:hAnsi="Cambria" w:cs="Helvetica"/>
                <w:i/>
                <w:szCs w:val="18"/>
              </w:rPr>
              <w:t>P. ramorum</w:t>
            </w:r>
            <w:r>
              <w:rPr>
                <w:rFonts w:ascii="Cambria" w:hAnsi="Cambria" w:cs="Helvetica"/>
                <w:szCs w:val="18"/>
              </w:rPr>
              <w:t xml:space="preserve"> poses to oak-dominated forests throughout North America, many state governments have reacted strongly to the possible introduction of the pathogen via the nursery trade.</w:t>
            </w:r>
          </w:p>
          <w:p w:rsidR="00E94405" w:rsidRDefault="00A11609">
            <w:pPr>
              <w:pStyle w:val="TableBullet"/>
              <w:ind w:left="284" w:hanging="284"/>
              <w:rPr>
                <w:rFonts w:ascii="Cambria" w:hAnsi="Cambria"/>
              </w:rPr>
            </w:pPr>
            <w:r>
              <w:rPr>
                <w:rFonts w:ascii="Cambria" w:hAnsi="Cambria" w:cs="Helvetica"/>
                <w:szCs w:val="18"/>
              </w:rPr>
              <w:t xml:space="preserve">If </w:t>
            </w:r>
            <w:r>
              <w:rPr>
                <w:rFonts w:ascii="Cambria" w:hAnsi="Cambria" w:cs="Helvetica"/>
                <w:i/>
                <w:iCs/>
                <w:szCs w:val="18"/>
              </w:rPr>
              <w:t xml:space="preserve">P. ramorum </w:t>
            </w:r>
            <w:r>
              <w:rPr>
                <w:rFonts w:ascii="Cambria" w:hAnsi="Cambria" w:cs="Helvetica"/>
                <w:iCs/>
                <w:szCs w:val="18"/>
              </w:rPr>
              <w:t xml:space="preserve">established in </w:t>
            </w:r>
            <w:r>
              <w:rPr>
                <w:rFonts w:ascii="Cambria" w:hAnsi="Cambria" w:cs="Helvetica"/>
                <w:szCs w:val="18"/>
              </w:rPr>
              <w:t>Australia</w:t>
            </w:r>
            <w:r>
              <w:rPr>
                <w:rFonts w:ascii="Cambria" w:hAnsi="Cambria" w:cs="Helvetica"/>
                <w:iCs/>
                <w:szCs w:val="18"/>
              </w:rPr>
              <w:t>,</w:t>
            </w:r>
            <w:r>
              <w:rPr>
                <w:rFonts w:ascii="Cambria" w:hAnsi="Cambria" w:cs="Helvetica"/>
                <w:i/>
                <w:iCs/>
                <w:szCs w:val="18"/>
              </w:rPr>
              <w:t xml:space="preserve"> </w:t>
            </w:r>
            <w:r>
              <w:rPr>
                <w:rFonts w:ascii="Cambria" w:hAnsi="Cambria" w:cs="Helvetica"/>
                <w:iCs/>
                <w:szCs w:val="18"/>
              </w:rPr>
              <w:t>r</w:t>
            </w:r>
            <w:r>
              <w:rPr>
                <w:rFonts w:ascii="Cambria" w:hAnsi="Cambria" w:cs="Helvetica"/>
                <w:szCs w:val="18"/>
              </w:rPr>
              <w:t xml:space="preserve">estrictions on Australian exports of nursery stock would be anticipated. At least 68 countries, including South Korea, Canada, Mexico, Taiwan and New Zealand, have established quarantine policies and protocols against plant materials from areas known to have the pathogen (Sansford et al. 2009). Establishment of </w:t>
            </w:r>
            <w:r>
              <w:rPr>
                <w:rFonts w:ascii="Cambria" w:hAnsi="Cambria" w:cs="Helvetica"/>
                <w:i/>
                <w:iCs/>
                <w:szCs w:val="18"/>
              </w:rPr>
              <w:t>P. ramorum</w:t>
            </w:r>
            <w:r>
              <w:rPr>
                <w:rFonts w:ascii="Cambria" w:hAnsi="Cambria" w:cs="Helvetica"/>
                <w:szCs w:val="18"/>
              </w:rPr>
              <w:t xml:space="preserve"> in Australia may therefore reduce access to international markets and result in additional requirements to achieve phytosanitary conformity that will impose a cost burden.</w:t>
            </w:r>
          </w:p>
        </w:tc>
      </w:tr>
      <w:tr w:rsidR="00E94405">
        <w:tc>
          <w:tcPr>
            <w:tcW w:w="953" w:type="pct"/>
          </w:tcPr>
          <w:p w:rsidR="00E94405" w:rsidRDefault="00A11609">
            <w:pPr>
              <w:pStyle w:val="TableText"/>
              <w:rPr>
                <w:rFonts w:ascii="Cambria" w:hAnsi="Cambria"/>
              </w:rPr>
            </w:pPr>
            <w:r>
              <w:rPr>
                <w:rFonts w:ascii="Cambria" w:hAnsi="Cambria"/>
              </w:rPr>
              <w:t>Environmental and non-commercial</w:t>
            </w:r>
          </w:p>
        </w:tc>
        <w:tc>
          <w:tcPr>
            <w:tcW w:w="4047" w:type="pct"/>
          </w:tcPr>
          <w:p w:rsidR="00E94405" w:rsidRDefault="00A11609">
            <w:pPr>
              <w:pStyle w:val="TableText"/>
              <w:rPr>
                <w:rFonts w:ascii="Cambria" w:hAnsi="Cambria"/>
              </w:rPr>
            </w:pPr>
            <w:r>
              <w:rPr>
                <w:rFonts w:ascii="Cambria" w:hAnsi="Cambria"/>
              </w:rPr>
              <w:t>E – Significant at the regional level</w:t>
            </w:r>
          </w:p>
          <w:p w:rsidR="00E94405" w:rsidRDefault="00A11609">
            <w:pPr>
              <w:pStyle w:val="TableBullet"/>
              <w:ind w:left="284" w:hanging="284"/>
              <w:rPr>
                <w:rFonts w:ascii="Cambria" w:hAnsi="Cambria" w:cs="Helvetica"/>
                <w:szCs w:val="18"/>
              </w:rPr>
            </w:pPr>
            <w:r>
              <w:rPr>
                <w:rFonts w:ascii="Cambria" w:hAnsi="Cambria" w:cs="Helvetica"/>
                <w:szCs w:val="18"/>
              </w:rPr>
              <w:t xml:space="preserve">Death or dieback of host plants and restrictions on access to infested areas will impact negatively on the aesthetic, recreational and tourism value of town parks and natural recreation areas, and may impact on other activities. Native Americans are concerned that the effect of </w:t>
            </w:r>
            <w:r>
              <w:rPr>
                <w:rFonts w:ascii="Cambria" w:hAnsi="Cambria" w:cs="Helvetica"/>
                <w:i/>
                <w:iCs/>
                <w:szCs w:val="18"/>
              </w:rPr>
              <w:t xml:space="preserve">P. ramorum </w:t>
            </w:r>
            <w:r>
              <w:rPr>
                <w:rFonts w:ascii="Cambria" w:hAnsi="Cambria" w:cs="Helvetica"/>
                <w:szCs w:val="18"/>
              </w:rPr>
              <w:t xml:space="preserve">on natural ecosystems may impact negatively on their traditional uses and values (Goheen </w:t>
            </w:r>
            <w:r>
              <w:rPr>
                <w:rFonts w:ascii="Cambria" w:hAnsi="Cambria" w:cs="Helvetica"/>
                <w:iCs/>
                <w:szCs w:val="18"/>
              </w:rPr>
              <w:t>et al</w:t>
            </w:r>
            <w:r>
              <w:rPr>
                <w:rFonts w:ascii="Cambria" w:hAnsi="Cambria" w:cs="Helvetica"/>
                <w:szCs w:val="18"/>
              </w:rPr>
              <w:t>. 2006a) which may also be true for indigenous Australians.</w:t>
            </w:r>
          </w:p>
          <w:p w:rsidR="00E94405" w:rsidRDefault="00A11609">
            <w:pPr>
              <w:pStyle w:val="TableBullet"/>
              <w:ind w:left="284" w:hanging="284"/>
              <w:rPr>
                <w:rFonts w:ascii="Cambria" w:hAnsi="Cambria"/>
              </w:rPr>
            </w:pPr>
            <w:r>
              <w:rPr>
                <w:rFonts w:ascii="Cambria" w:hAnsi="Cambria" w:cs="Helvetica"/>
                <w:szCs w:val="18"/>
              </w:rPr>
              <w:lastRenderedPageBreak/>
              <w:t xml:space="preserve">The control measures currently available are severe, and most (for example, host removal) are damaging to the urban and natural landscapes to which they are applied (Rizzo </w:t>
            </w:r>
            <w:r>
              <w:rPr>
                <w:rFonts w:ascii="Cambria" w:hAnsi="Cambria" w:cs="Helvetica"/>
                <w:iCs/>
                <w:szCs w:val="18"/>
              </w:rPr>
              <w:t>et al</w:t>
            </w:r>
            <w:r>
              <w:rPr>
                <w:rFonts w:ascii="Cambria" w:hAnsi="Cambria" w:cs="Helvetica"/>
                <w:szCs w:val="18"/>
              </w:rPr>
              <w:t xml:space="preserve">. 2005). Copper sulphate, copper hydroxide and mancozeb fungicides which may be used to control the pathogen (Cave </w:t>
            </w:r>
            <w:r>
              <w:rPr>
                <w:rFonts w:ascii="Cambria" w:hAnsi="Cambria" w:cs="Helvetica"/>
                <w:iCs/>
                <w:szCs w:val="18"/>
              </w:rPr>
              <w:t>et al</w:t>
            </w:r>
            <w:r>
              <w:rPr>
                <w:rFonts w:ascii="Cambria" w:hAnsi="Cambria" w:cs="Helvetica"/>
                <w:szCs w:val="18"/>
              </w:rPr>
              <w:t>. 2005) can have undesirable environmental consequences and exert selection pressures towards resistant isolates if applied at broad scales.</w:t>
            </w:r>
          </w:p>
        </w:tc>
      </w:tr>
    </w:tbl>
    <w:p w:rsidR="00E94405" w:rsidRDefault="00A11609">
      <w:pPr>
        <w:spacing w:before="200"/>
        <w:rPr>
          <w:rFonts w:ascii="Cambria" w:hAnsi="Cambria"/>
          <w:b/>
        </w:rPr>
      </w:pPr>
      <w:r>
        <w:rPr>
          <w:rFonts w:ascii="Cambria" w:hAnsi="Cambria"/>
        </w:rPr>
        <w:lastRenderedPageBreak/>
        <w:t xml:space="preserve">Based on the decision rules described in Table 5, that is, where the potential consequences of a pest with respect to all criteria have an impact of ‘E’, the overall consequences are estimated to be </w:t>
      </w:r>
      <w:r>
        <w:rPr>
          <w:rFonts w:ascii="Cambria" w:hAnsi="Cambria"/>
          <w:b/>
        </w:rPr>
        <w:t>HIGH</w:t>
      </w:r>
      <w:r>
        <w:rPr>
          <w:rFonts w:ascii="Cambria" w:hAnsi="Cambria"/>
        </w:rPr>
        <w:t xml:space="preserve">. </w:t>
      </w:r>
    </w:p>
    <w:p w:rsidR="00E94405" w:rsidRDefault="00A11609">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Unrestricted risk estimate</w:t>
      </w:r>
    </w:p>
    <w:p w:rsidR="00E94405" w:rsidRDefault="00A11609">
      <w:pPr>
        <w:spacing w:before="200"/>
        <w:rPr>
          <w:rFonts w:ascii="Cambria" w:hAnsi="Cambria"/>
        </w:rPr>
      </w:pPr>
      <w:r>
        <w:rPr>
          <w:rFonts w:ascii="Cambria" w:hAnsi="Cambria"/>
        </w:rPr>
        <w:t>Unrestricted risk is the result of combining the likelihoods of entry, establishment and spread with the outcome of overall consequences. Likelihood and consequences are combined using the risk estimation matrix shown in Table 6.</w:t>
      </w:r>
    </w:p>
    <w:tbl>
      <w:tblPr>
        <w:tblW w:w="4809" w:type="pct"/>
        <w:tblInd w:w="108" w:type="dxa"/>
        <w:tblBorders>
          <w:top w:val="single" w:sz="4" w:space="0" w:color="auto"/>
          <w:bottom w:val="single" w:sz="4" w:space="0" w:color="auto"/>
        </w:tblBorders>
        <w:tblLook w:val="04A0"/>
      </w:tblPr>
      <w:tblGrid>
        <w:gridCol w:w="6259"/>
        <w:gridCol w:w="2672"/>
      </w:tblGrid>
      <w:tr w:rsidR="00E94405">
        <w:tc>
          <w:tcPr>
            <w:tcW w:w="5000" w:type="pct"/>
            <w:gridSpan w:val="2"/>
          </w:tcPr>
          <w:p w:rsidR="00E94405" w:rsidRDefault="00A11609">
            <w:pPr>
              <w:pStyle w:val="TableHeading"/>
              <w:rPr>
                <w:rFonts w:ascii="Cambria" w:hAnsi="Cambria"/>
              </w:rPr>
            </w:pPr>
            <w:r>
              <w:rPr>
                <w:rFonts w:ascii="Cambria" w:hAnsi="Cambria"/>
              </w:rPr>
              <w:t xml:space="preserve">Unrestricted risk estimate for </w:t>
            </w:r>
            <w:r>
              <w:rPr>
                <w:rFonts w:ascii="Cambria" w:hAnsi="Cambria"/>
                <w:i/>
              </w:rPr>
              <w:t xml:space="preserve">Phytophthora </w:t>
            </w:r>
            <w:r>
              <w:rPr>
                <w:rFonts w:ascii="Cambria" w:hAnsi="Cambria"/>
                <w:i/>
                <w:iCs/>
              </w:rPr>
              <w:t>ramorum</w:t>
            </w:r>
          </w:p>
        </w:tc>
      </w:tr>
      <w:tr w:rsidR="00E94405">
        <w:tc>
          <w:tcPr>
            <w:tcW w:w="3504" w:type="pct"/>
          </w:tcPr>
          <w:p w:rsidR="00E94405" w:rsidRDefault="00A11609">
            <w:pPr>
              <w:pStyle w:val="TableText"/>
              <w:rPr>
                <w:rFonts w:ascii="Cambria" w:hAnsi="Cambria"/>
              </w:rPr>
            </w:pPr>
            <w:r>
              <w:rPr>
                <w:rFonts w:ascii="Cambria" w:hAnsi="Cambria"/>
              </w:rPr>
              <w:t>Overall likelihood of entry, establishment and spread</w:t>
            </w:r>
          </w:p>
        </w:tc>
        <w:tc>
          <w:tcPr>
            <w:tcW w:w="1496" w:type="pct"/>
          </w:tcPr>
          <w:p w:rsidR="00E94405" w:rsidRDefault="00A11609">
            <w:pPr>
              <w:pStyle w:val="TableText"/>
              <w:rPr>
                <w:rFonts w:ascii="Cambria" w:hAnsi="Cambria"/>
              </w:rPr>
            </w:pPr>
            <w:r>
              <w:rPr>
                <w:rFonts w:ascii="Cambria" w:hAnsi="Cambria"/>
              </w:rPr>
              <w:t>HIGH</w:t>
            </w:r>
          </w:p>
        </w:tc>
      </w:tr>
      <w:tr w:rsidR="00E94405">
        <w:tc>
          <w:tcPr>
            <w:tcW w:w="3504" w:type="pct"/>
          </w:tcPr>
          <w:p w:rsidR="00E94405" w:rsidRDefault="00A11609">
            <w:pPr>
              <w:pStyle w:val="TableText"/>
              <w:rPr>
                <w:rFonts w:ascii="Cambria" w:hAnsi="Cambria"/>
              </w:rPr>
            </w:pPr>
            <w:r>
              <w:rPr>
                <w:rFonts w:ascii="Cambria" w:hAnsi="Cambria"/>
              </w:rPr>
              <w:t>Consequences</w:t>
            </w:r>
          </w:p>
        </w:tc>
        <w:tc>
          <w:tcPr>
            <w:tcW w:w="1496" w:type="pct"/>
          </w:tcPr>
          <w:p w:rsidR="00E94405" w:rsidRDefault="00A11609">
            <w:pPr>
              <w:pStyle w:val="TableText"/>
              <w:rPr>
                <w:rFonts w:ascii="Cambria" w:hAnsi="Cambria"/>
              </w:rPr>
            </w:pPr>
            <w:r>
              <w:rPr>
                <w:rFonts w:ascii="Cambria" w:hAnsi="Cambria"/>
              </w:rPr>
              <w:t>HIGH</w:t>
            </w:r>
          </w:p>
        </w:tc>
      </w:tr>
      <w:tr w:rsidR="00E94405">
        <w:tc>
          <w:tcPr>
            <w:tcW w:w="3504" w:type="pct"/>
          </w:tcPr>
          <w:p w:rsidR="00E94405" w:rsidRDefault="00A11609">
            <w:pPr>
              <w:pStyle w:val="TableText"/>
              <w:rPr>
                <w:rFonts w:ascii="Cambria" w:hAnsi="Cambria"/>
              </w:rPr>
            </w:pPr>
            <w:r>
              <w:rPr>
                <w:rFonts w:ascii="Cambria" w:hAnsi="Cambria"/>
              </w:rPr>
              <w:t>Unrestricted risk</w:t>
            </w:r>
          </w:p>
        </w:tc>
        <w:tc>
          <w:tcPr>
            <w:tcW w:w="1496" w:type="pct"/>
          </w:tcPr>
          <w:p w:rsidR="00E94405" w:rsidRDefault="00A11609">
            <w:pPr>
              <w:pStyle w:val="TableText"/>
              <w:rPr>
                <w:rFonts w:ascii="Cambria" w:hAnsi="Cambria"/>
              </w:rPr>
            </w:pPr>
            <w:r>
              <w:rPr>
                <w:rFonts w:ascii="Cambria" w:hAnsi="Cambria"/>
              </w:rPr>
              <w:t>HIGH</w:t>
            </w:r>
          </w:p>
        </w:tc>
      </w:tr>
    </w:tbl>
    <w:p w:rsidR="00E94405" w:rsidRDefault="00A11609">
      <w:pPr>
        <w:spacing w:before="200"/>
        <w:rPr>
          <w:rFonts w:ascii="Cambria" w:hAnsi="Cambria"/>
        </w:rPr>
      </w:pPr>
      <w:r>
        <w:rPr>
          <w:rFonts w:ascii="Cambria" w:hAnsi="Cambria"/>
        </w:rPr>
        <w:t xml:space="preserve">As indicated, the unrestricted risk estimate for </w:t>
      </w:r>
      <w:r>
        <w:rPr>
          <w:rFonts w:ascii="Cambria" w:hAnsi="Cambria"/>
          <w:iCs/>
        </w:rPr>
        <w:t xml:space="preserve">the </w:t>
      </w:r>
      <w:r>
        <w:rPr>
          <w:rFonts w:ascii="Cambria" w:hAnsi="Cambria"/>
          <w:i/>
          <w:iCs/>
        </w:rPr>
        <w:t xml:space="preserve">Phytophthora </w:t>
      </w:r>
      <w:r>
        <w:rPr>
          <w:rFonts w:ascii="Cambria" w:hAnsi="Cambria"/>
          <w:iCs/>
        </w:rPr>
        <w:t>species</w:t>
      </w:r>
      <w:r>
        <w:rPr>
          <w:rFonts w:ascii="Cambria" w:hAnsi="Cambria"/>
          <w:i/>
        </w:rPr>
        <w:t xml:space="preserve"> </w:t>
      </w:r>
      <w:r>
        <w:rPr>
          <w:rFonts w:ascii="Cambria" w:hAnsi="Cambria"/>
        </w:rPr>
        <w:t xml:space="preserve">has been assessed as ‘high’, which is above Australia’s ALOP. Therefore, specific risk management measures are required for </w:t>
      </w:r>
      <w:r>
        <w:rPr>
          <w:rFonts w:ascii="Cambria" w:hAnsi="Cambria"/>
          <w:iCs/>
        </w:rPr>
        <w:t xml:space="preserve">these </w:t>
      </w:r>
      <w:r>
        <w:rPr>
          <w:rFonts w:ascii="Cambria" w:hAnsi="Cambria"/>
          <w:i/>
          <w:iCs/>
        </w:rPr>
        <w:t xml:space="preserve">Phytophthora </w:t>
      </w:r>
      <w:r>
        <w:rPr>
          <w:rFonts w:ascii="Cambria" w:hAnsi="Cambria"/>
          <w:iCs/>
        </w:rPr>
        <w:t>species</w:t>
      </w:r>
      <w:r>
        <w:rPr>
          <w:rFonts w:ascii="Cambria" w:hAnsi="Cambria"/>
        </w:rPr>
        <w:t>.</w:t>
      </w:r>
      <w:bookmarkStart w:id="129" w:name="_Toc384197753"/>
      <w:bookmarkStart w:id="130" w:name="_Toc384209841"/>
      <w:bookmarkStart w:id="131" w:name="_Toc384275085"/>
      <w:bookmarkStart w:id="132" w:name="_Toc385508245"/>
      <w:bookmarkStart w:id="133" w:name="_Toc388949928"/>
    </w:p>
    <w:p w:rsidR="00E94405" w:rsidRDefault="00E94405">
      <w:pPr>
        <w:spacing w:before="200"/>
        <w:rPr>
          <w:rFonts w:ascii="Calibri" w:hAnsi="Calibri"/>
          <w:b/>
          <w:bCs/>
          <w:szCs w:val="18"/>
        </w:rPr>
      </w:pPr>
    </w:p>
    <w:p w:rsidR="00E94405" w:rsidRDefault="00E94405">
      <w:pPr>
        <w:pStyle w:val="Caption"/>
        <w:sectPr w:rsidR="00E94405">
          <w:headerReference w:type="default" r:id="rId38"/>
          <w:pgSz w:w="11906" w:h="16838"/>
          <w:pgMar w:top="1418" w:right="1418" w:bottom="1418" w:left="1418" w:header="567" w:footer="283" w:gutter="0"/>
          <w:cols w:space="708"/>
          <w:docGrid w:linePitch="360"/>
        </w:sectPr>
      </w:pPr>
    </w:p>
    <w:p w:rsidR="00E94405" w:rsidRDefault="00A11609">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134" w:name="_Toc414019452"/>
      <w:bookmarkEnd w:id="129"/>
      <w:bookmarkEnd w:id="130"/>
      <w:bookmarkEnd w:id="131"/>
      <w:bookmarkEnd w:id="132"/>
      <w:bookmarkEnd w:id="133"/>
      <w:r>
        <w:rPr>
          <w:rFonts w:eastAsiaTheme="majorEastAsia" w:cstheme="majorBidi"/>
          <w:b/>
          <w:color w:val="D52B1E"/>
          <w:sz w:val="34"/>
        </w:rPr>
        <w:lastRenderedPageBreak/>
        <w:t>Pest risk management</w:t>
      </w:r>
      <w:bookmarkEnd w:id="134"/>
    </w:p>
    <w:p w:rsidR="00E94405" w:rsidRDefault="00A11609">
      <w:pPr>
        <w:spacing w:before="200"/>
        <w:rPr>
          <w:rFonts w:ascii="Cambria" w:hAnsi="Cambria"/>
        </w:rPr>
      </w:pPr>
      <w:r>
        <w:rPr>
          <w:rFonts w:ascii="Cambria" w:hAnsi="Cambria"/>
        </w:rPr>
        <w:t>Phytosanitary measures to prevent the introduction and spread of quarantine pests may include any combination of measures including pre- or post-harvest treatments, inspection at various points, surveillance, official control or certification. A measure or combination of measures may be applied at any one or more points along the continuum between the point of origin and the final destination. Pest risk management explores options that can be implemented (i) in the exporting country, (ii) at the point of entry or (iii) within the importing country. The ultimate goal is to prevent the introduction of identified quarantine pests in the PRA area.</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135" w:name="_Toc414019453"/>
      <w:r>
        <w:rPr>
          <w:rFonts w:eastAsiaTheme="majorEastAsia" w:cstheme="majorBidi"/>
          <w:color w:val="773141"/>
          <w:sz w:val="28"/>
        </w:rPr>
        <w:t>Existing risk mitigation measures</w:t>
      </w:r>
      <w:bookmarkEnd w:id="135"/>
    </w:p>
    <w:p w:rsidR="00E94405" w:rsidRDefault="00A11609">
      <w:pPr>
        <w:spacing w:before="200"/>
        <w:rPr>
          <w:rFonts w:ascii="Cambria" w:hAnsi="Cambria"/>
        </w:rPr>
      </w:pPr>
      <w:r>
        <w:rPr>
          <w:rFonts w:ascii="Cambria" w:hAnsi="Cambria"/>
        </w:rPr>
        <w:t xml:space="preserve">Currently, there are two separate sets of conditions that apply to </w:t>
      </w:r>
      <w:r>
        <w:rPr>
          <w:rFonts w:ascii="Cambria" w:hAnsi="Cambria"/>
          <w:i/>
        </w:rPr>
        <w:t xml:space="preserve">Phytophthora ramorum </w:t>
      </w:r>
      <w:r>
        <w:rPr>
          <w:rFonts w:ascii="Cambria" w:hAnsi="Cambria"/>
        </w:rPr>
        <w:t xml:space="preserve">host propagative material: conditions for sourcing propagative material from (1) </w:t>
      </w:r>
      <w:r>
        <w:rPr>
          <w:rFonts w:ascii="Cambria" w:hAnsi="Cambria"/>
          <w:i/>
        </w:rPr>
        <w:t>Phytophthora</w:t>
      </w:r>
      <w:r>
        <w:rPr>
          <w:rFonts w:ascii="Cambria" w:hAnsi="Cambria"/>
        </w:rPr>
        <w:t xml:space="preserve"> </w:t>
      </w:r>
      <w:r>
        <w:rPr>
          <w:rFonts w:ascii="Cambria" w:hAnsi="Cambria"/>
          <w:i/>
        </w:rPr>
        <w:t>ramorum</w:t>
      </w:r>
      <w:r>
        <w:rPr>
          <w:rFonts w:ascii="Cambria" w:hAnsi="Cambria"/>
        </w:rPr>
        <w:t xml:space="preserve"> countries and (2) non-</w:t>
      </w:r>
      <w:r>
        <w:rPr>
          <w:rFonts w:ascii="Cambria" w:hAnsi="Cambria"/>
          <w:i/>
        </w:rPr>
        <w:t>Phytophthora</w:t>
      </w:r>
      <w:r>
        <w:rPr>
          <w:rFonts w:ascii="Cambria" w:hAnsi="Cambria"/>
        </w:rPr>
        <w:t xml:space="preserve"> </w:t>
      </w:r>
      <w:r>
        <w:rPr>
          <w:rFonts w:ascii="Cambria" w:hAnsi="Cambria"/>
          <w:i/>
        </w:rPr>
        <w:t>ramorum</w:t>
      </w:r>
      <w:r>
        <w:rPr>
          <w:rFonts w:ascii="Cambria" w:hAnsi="Cambria"/>
        </w:rPr>
        <w:t xml:space="preserve"> countries. Australia’s existing risk management for </w:t>
      </w:r>
      <w:r>
        <w:rPr>
          <w:rFonts w:ascii="Cambria" w:hAnsi="Cambria"/>
          <w:i/>
        </w:rPr>
        <w:t xml:space="preserve">Phytophthora </w:t>
      </w:r>
      <w:r>
        <w:rPr>
          <w:rFonts w:ascii="Cambria" w:hAnsi="Cambria"/>
        </w:rPr>
        <w:t xml:space="preserve">host propagative material from all sources is based on tiered safeguards. That is, if one mitigating measure fails, other safeguards exist to ensure that the risk is progressively reduced and managed. </w:t>
      </w:r>
    </w:p>
    <w:p w:rsidR="00E94405" w:rsidRDefault="00A11609">
      <w:pPr>
        <w:pStyle w:val="Caption"/>
        <w:keepNext w:val="0"/>
        <w:rPr>
          <w:rFonts w:asciiTheme="majorHAnsi" w:eastAsiaTheme="majorEastAsia" w:hAnsiTheme="majorHAnsi" w:cstheme="majorBidi"/>
          <w:color w:val="595959" w:themeColor="text1" w:themeTint="A6"/>
          <w:sz w:val="20"/>
        </w:rPr>
      </w:pPr>
      <w:bookmarkStart w:id="136" w:name="_Toc388949929"/>
      <w:bookmarkStart w:id="137" w:name="_Toc414019480"/>
      <w:r>
        <w:rPr>
          <w:rFonts w:asciiTheme="majorHAnsi" w:eastAsiaTheme="majorEastAsia" w:hAnsiTheme="majorHAnsi" w:cstheme="majorBidi"/>
          <w:color w:val="595959" w:themeColor="text1" w:themeTint="A6"/>
          <w:sz w:val="20"/>
        </w:rPr>
        <w:t xml:space="preserve">Table </w:t>
      </w:r>
      <w:r w:rsidR="000D37BE">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0D37BE">
        <w:rPr>
          <w:rFonts w:asciiTheme="majorHAnsi" w:eastAsiaTheme="majorEastAsia" w:hAnsiTheme="majorHAnsi" w:cstheme="majorBidi"/>
          <w:color w:val="595959" w:themeColor="text1" w:themeTint="A6"/>
          <w:sz w:val="20"/>
        </w:rPr>
        <w:fldChar w:fldCharType="separate"/>
      </w:r>
      <w:r>
        <w:rPr>
          <w:rFonts w:asciiTheme="majorHAnsi" w:eastAsiaTheme="majorEastAsia" w:hAnsiTheme="majorHAnsi" w:cstheme="majorBidi"/>
          <w:color w:val="595959" w:themeColor="text1" w:themeTint="A6"/>
          <w:sz w:val="20"/>
        </w:rPr>
        <w:t>8</w:t>
      </w:r>
      <w:r w:rsidR="000D37BE">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Summary of existing risk mitigation measures for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w:t>
      </w:r>
      <w:r>
        <w:rPr>
          <w:rFonts w:asciiTheme="majorHAnsi" w:eastAsiaTheme="majorEastAsia" w:hAnsiTheme="majorHAnsi" w:cstheme="majorBidi"/>
          <w:i/>
          <w:color w:val="595959" w:themeColor="text1" w:themeTint="A6"/>
          <w:sz w:val="20"/>
        </w:rPr>
        <w:t>ramorum</w:t>
      </w:r>
      <w:r>
        <w:rPr>
          <w:rFonts w:asciiTheme="majorHAnsi" w:eastAsiaTheme="majorEastAsia" w:hAnsiTheme="majorHAnsi" w:cstheme="majorBidi"/>
          <w:color w:val="595959" w:themeColor="text1" w:themeTint="A6"/>
          <w:sz w:val="20"/>
        </w:rPr>
        <w:t xml:space="preserve"> host propagative material</w:t>
      </w:r>
      <w:bookmarkEnd w:id="136"/>
      <w:bookmarkEnd w:id="137"/>
    </w:p>
    <w:tbl>
      <w:tblPr>
        <w:tblW w:w="0" w:type="auto"/>
        <w:tblInd w:w="108" w:type="dxa"/>
        <w:tblBorders>
          <w:top w:val="single" w:sz="4" w:space="0" w:color="auto"/>
          <w:bottom w:val="single" w:sz="4" w:space="0" w:color="auto"/>
        </w:tblBorders>
        <w:tblLayout w:type="fixed"/>
        <w:tblLook w:val="04A0"/>
      </w:tblPr>
      <w:tblGrid>
        <w:gridCol w:w="3826"/>
        <w:gridCol w:w="1784"/>
        <w:gridCol w:w="1784"/>
        <w:gridCol w:w="1784"/>
      </w:tblGrid>
      <w:tr w:rsidR="00E94405">
        <w:tc>
          <w:tcPr>
            <w:tcW w:w="3826" w:type="dxa"/>
          </w:tcPr>
          <w:p w:rsidR="00E94405" w:rsidRDefault="00A11609">
            <w:pPr>
              <w:pStyle w:val="TableHeading"/>
              <w:rPr>
                <w:rFonts w:ascii="Cambria" w:hAnsi="Cambria"/>
                <w:szCs w:val="18"/>
              </w:rPr>
            </w:pPr>
            <w:r>
              <w:rPr>
                <w:rFonts w:ascii="Cambria" w:hAnsi="Cambria"/>
                <w:szCs w:val="18"/>
              </w:rPr>
              <w:t>Existing conditions</w:t>
            </w:r>
          </w:p>
        </w:tc>
        <w:tc>
          <w:tcPr>
            <w:tcW w:w="1784" w:type="dxa"/>
          </w:tcPr>
          <w:p w:rsidR="00E94405" w:rsidRDefault="00A11609">
            <w:pPr>
              <w:pStyle w:val="TableHeading"/>
              <w:rPr>
                <w:rFonts w:ascii="Cambria" w:hAnsi="Cambria"/>
                <w:szCs w:val="18"/>
              </w:rPr>
            </w:pPr>
            <w:r>
              <w:rPr>
                <w:rFonts w:ascii="Cambria" w:hAnsi="Cambria"/>
                <w:szCs w:val="18"/>
              </w:rPr>
              <w:t>Bare-rooted plants</w:t>
            </w:r>
          </w:p>
        </w:tc>
        <w:tc>
          <w:tcPr>
            <w:tcW w:w="1784" w:type="dxa"/>
          </w:tcPr>
          <w:p w:rsidR="00E94405" w:rsidRDefault="00A11609">
            <w:pPr>
              <w:pStyle w:val="TableHeading"/>
              <w:jc w:val="center"/>
              <w:rPr>
                <w:rFonts w:ascii="Cambria" w:hAnsi="Cambria"/>
                <w:szCs w:val="18"/>
              </w:rPr>
            </w:pPr>
            <w:r>
              <w:rPr>
                <w:rFonts w:ascii="Cambria" w:hAnsi="Cambria"/>
                <w:szCs w:val="18"/>
              </w:rPr>
              <w:t>Dormant cuttings (a)</w:t>
            </w:r>
          </w:p>
        </w:tc>
        <w:tc>
          <w:tcPr>
            <w:tcW w:w="1784" w:type="dxa"/>
          </w:tcPr>
          <w:p w:rsidR="00E94405" w:rsidRDefault="00A11609">
            <w:pPr>
              <w:pStyle w:val="TableHeading"/>
              <w:jc w:val="center"/>
              <w:rPr>
                <w:rFonts w:ascii="Cambria" w:hAnsi="Cambria"/>
                <w:szCs w:val="18"/>
              </w:rPr>
            </w:pPr>
            <w:r>
              <w:rPr>
                <w:rFonts w:ascii="Cambria" w:hAnsi="Cambria"/>
                <w:szCs w:val="18"/>
              </w:rPr>
              <w:t>Tissue cultures</w:t>
            </w:r>
          </w:p>
        </w:tc>
      </w:tr>
      <w:tr w:rsidR="00E94405">
        <w:tc>
          <w:tcPr>
            <w:tcW w:w="9178" w:type="dxa"/>
            <w:gridSpan w:val="4"/>
          </w:tcPr>
          <w:p w:rsidR="00E94405" w:rsidRDefault="00A11609">
            <w:pPr>
              <w:pStyle w:val="TableText"/>
              <w:rPr>
                <w:rFonts w:ascii="Cambria" w:hAnsi="Cambria"/>
                <w:szCs w:val="18"/>
              </w:rPr>
            </w:pPr>
            <w:r>
              <w:rPr>
                <w:rFonts w:ascii="Cambria" w:hAnsi="Cambria"/>
                <w:b/>
                <w:i/>
                <w:szCs w:val="18"/>
              </w:rPr>
              <w:t>Phytophthora ramorum</w:t>
            </w:r>
            <w:r>
              <w:rPr>
                <w:rFonts w:ascii="Cambria" w:hAnsi="Cambria"/>
                <w:b/>
                <w:szCs w:val="18"/>
              </w:rPr>
              <w:t xml:space="preserve"> countries</w:t>
            </w:r>
          </w:p>
        </w:tc>
      </w:tr>
      <w:tr w:rsidR="00E94405">
        <w:tc>
          <w:tcPr>
            <w:tcW w:w="3826" w:type="dxa"/>
          </w:tcPr>
          <w:p w:rsidR="00E94405" w:rsidRDefault="00A11609">
            <w:pPr>
              <w:pStyle w:val="TableText"/>
              <w:rPr>
                <w:rFonts w:ascii="Cambria" w:hAnsi="Cambria"/>
                <w:szCs w:val="18"/>
                <w:vertAlign w:val="superscript"/>
              </w:rPr>
            </w:pPr>
            <w:r>
              <w:rPr>
                <w:rFonts w:ascii="Cambria" w:hAnsi="Cambria"/>
                <w:szCs w:val="18"/>
              </w:rPr>
              <w:t>Import permit is required</w:t>
            </w:r>
          </w:p>
        </w:tc>
        <w:tc>
          <w:tcPr>
            <w:tcW w:w="1784" w:type="dxa"/>
          </w:tcPr>
          <w:p w:rsidR="00E94405" w:rsidRDefault="00A11609">
            <w:pPr>
              <w:pStyle w:val="TableText"/>
              <w:jc w:val="center"/>
              <w:rPr>
                <w:rFonts w:ascii="Cambria" w:hAnsi="Cambria"/>
                <w:szCs w:val="18"/>
              </w:rPr>
            </w:pPr>
            <w:r>
              <w:rPr>
                <w:rFonts w:ascii="Cambria" w:hAnsi="Cambria"/>
                <w:szCs w:val="18"/>
              </w:rPr>
              <w:t>-</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r w:rsidR="00E94405">
        <w:tc>
          <w:tcPr>
            <w:tcW w:w="3826" w:type="dxa"/>
          </w:tcPr>
          <w:p w:rsidR="00E94405" w:rsidRDefault="00A11609">
            <w:pPr>
              <w:pStyle w:val="TableText"/>
              <w:rPr>
                <w:rFonts w:ascii="Cambria" w:hAnsi="Cambria"/>
                <w:szCs w:val="18"/>
                <w:vertAlign w:val="superscript"/>
              </w:rPr>
            </w:pPr>
            <w:r>
              <w:rPr>
                <w:rFonts w:ascii="Cambria" w:hAnsi="Cambria"/>
                <w:szCs w:val="18"/>
              </w:rPr>
              <w:t>Mandatory on-arrival inspection</w:t>
            </w:r>
          </w:p>
        </w:tc>
        <w:tc>
          <w:tcPr>
            <w:tcW w:w="1784" w:type="dxa"/>
          </w:tcPr>
          <w:p w:rsidR="00E94405" w:rsidRDefault="00A11609">
            <w:pPr>
              <w:pStyle w:val="TableText"/>
              <w:jc w:val="center"/>
              <w:rPr>
                <w:rFonts w:ascii="Cambria" w:hAnsi="Cambria"/>
                <w:szCs w:val="18"/>
              </w:rPr>
            </w:pPr>
            <w:r>
              <w:rPr>
                <w:rFonts w:ascii="Cambria" w:hAnsi="Cambria"/>
                <w:szCs w:val="18"/>
              </w:rPr>
              <w:t>-</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r w:rsidR="00E94405">
        <w:tc>
          <w:tcPr>
            <w:tcW w:w="3826" w:type="dxa"/>
          </w:tcPr>
          <w:p w:rsidR="00E94405" w:rsidRDefault="00A11609">
            <w:pPr>
              <w:pStyle w:val="TableText"/>
              <w:rPr>
                <w:rFonts w:ascii="Cambria" w:hAnsi="Cambria"/>
                <w:szCs w:val="18"/>
                <w:vertAlign w:val="superscript"/>
              </w:rPr>
            </w:pPr>
            <w:r>
              <w:rPr>
                <w:rFonts w:ascii="Cambria" w:hAnsi="Cambria"/>
                <w:szCs w:val="18"/>
              </w:rPr>
              <w:t>Mandatory methyl-bromide fumigation</w:t>
            </w:r>
            <w:r>
              <w:rPr>
                <w:rFonts w:ascii="Cambria" w:hAnsi="Cambria"/>
                <w:b/>
                <w:szCs w:val="18"/>
              </w:rPr>
              <w:t>(b)</w:t>
            </w:r>
          </w:p>
        </w:tc>
        <w:tc>
          <w:tcPr>
            <w:tcW w:w="1784" w:type="dxa"/>
          </w:tcPr>
          <w:p w:rsidR="00E94405" w:rsidRDefault="00A11609">
            <w:pPr>
              <w:pStyle w:val="TableText"/>
              <w:jc w:val="center"/>
              <w:rPr>
                <w:rFonts w:ascii="Cambria" w:hAnsi="Cambria"/>
                <w:szCs w:val="18"/>
              </w:rPr>
            </w:pPr>
            <w:r>
              <w:rPr>
                <w:rFonts w:ascii="Cambria" w:hAnsi="Cambria"/>
                <w:szCs w:val="18"/>
              </w:rPr>
              <w:t>-</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No</w:t>
            </w:r>
          </w:p>
        </w:tc>
      </w:tr>
      <w:tr w:rsidR="00E94405">
        <w:tc>
          <w:tcPr>
            <w:tcW w:w="3826" w:type="dxa"/>
          </w:tcPr>
          <w:p w:rsidR="00E94405" w:rsidRDefault="00A11609">
            <w:pPr>
              <w:pStyle w:val="TableText"/>
              <w:rPr>
                <w:rFonts w:ascii="Cambria" w:hAnsi="Cambria"/>
                <w:b/>
                <w:szCs w:val="18"/>
                <w:vertAlign w:val="superscript"/>
              </w:rPr>
            </w:pPr>
            <w:r>
              <w:rPr>
                <w:rFonts w:ascii="Cambria" w:hAnsi="Cambria"/>
                <w:szCs w:val="18"/>
              </w:rPr>
              <w:t xml:space="preserve">Mandatory surface sterilization </w:t>
            </w:r>
            <w:r>
              <w:rPr>
                <w:rFonts w:ascii="Cambria" w:hAnsi="Cambria"/>
                <w:b/>
                <w:szCs w:val="18"/>
              </w:rPr>
              <w:t>(c)</w:t>
            </w:r>
          </w:p>
        </w:tc>
        <w:tc>
          <w:tcPr>
            <w:tcW w:w="1784" w:type="dxa"/>
          </w:tcPr>
          <w:p w:rsidR="00E94405" w:rsidRDefault="00A11609">
            <w:pPr>
              <w:pStyle w:val="TableText"/>
              <w:jc w:val="center"/>
              <w:rPr>
                <w:rFonts w:ascii="Cambria" w:hAnsi="Cambria"/>
                <w:szCs w:val="18"/>
              </w:rPr>
            </w:pPr>
            <w:r>
              <w:rPr>
                <w:rFonts w:ascii="Cambria" w:hAnsi="Cambria"/>
                <w:szCs w:val="18"/>
              </w:rPr>
              <w:t>-</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No</w:t>
            </w:r>
          </w:p>
        </w:tc>
      </w:tr>
      <w:tr w:rsidR="00E94405">
        <w:tc>
          <w:tcPr>
            <w:tcW w:w="3826" w:type="dxa"/>
          </w:tcPr>
          <w:p w:rsidR="00E94405" w:rsidRDefault="00A11609">
            <w:pPr>
              <w:pStyle w:val="TableText"/>
              <w:rPr>
                <w:rFonts w:ascii="Cambria" w:hAnsi="Cambria"/>
                <w:szCs w:val="18"/>
              </w:rPr>
            </w:pPr>
            <w:r>
              <w:rPr>
                <w:rFonts w:ascii="Cambria" w:hAnsi="Cambria"/>
                <w:szCs w:val="18"/>
              </w:rPr>
              <w:t xml:space="preserve">Mandatory growth in PEQ </w:t>
            </w:r>
            <w:r>
              <w:rPr>
                <w:rFonts w:ascii="Cambria" w:hAnsi="Cambria"/>
                <w:b/>
                <w:szCs w:val="18"/>
              </w:rPr>
              <w:t>(d)</w:t>
            </w:r>
          </w:p>
        </w:tc>
        <w:tc>
          <w:tcPr>
            <w:tcW w:w="1784" w:type="dxa"/>
          </w:tcPr>
          <w:p w:rsidR="00E94405" w:rsidRDefault="00A11609">
            <w:pPr>
              <w:pStyle w:val="TableText"/>
              <w:jc w:val="center"/>
              <w:rPr>
                <w:rFonts w:ascii="Cambria" w:hAnsi="Cambria"/>
                <w:szCs w:val="18"/>
              </w:rPr>
            </w:pPr>
            <w:r>
              <w:rPr>
                <w:rFonts w:ascii="Cambria" w:hAnsi="Cambria"/>
                <w:szCs w:val="18"/>
              </w:rPr>
              <w:t>-</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r w:rsidR="00E94405">
        <w:tc>
          <w:tcPr>
            <w:tcW w:w="9178" w:type="dxa"/>
            <w:gridSpan w:val="4"/>
          </w:tcPr>
          <w:p w:rsidR="00E94405" w:rsidRDefault="00A11609">
            <w:pPr>
              <w:pStyle w:val="TableText"/>
              <w:rPr>
                <w:rFonts w:ascii="Cambria" w:hAnsi="Cambria"/>
                <w:szCs w:val="18"/>
              </w:rPr>
            </w:pPr>
            <w:r>
              <w:rPr>
                <w:rFonts w:ascii="Cambria" w:hAnsi="Cambria"/>
                <w:b/>
                <w:szCs w:val="18"/>
              </w:rPr>
              <w:t>Non-</w:t>
            </w:r>
            <w:r>
              <w:rPr>
                <w:rFonts w:ascii="Cambria" w:hAnsi="Cambria"/>
                <w:b/>
                <w:i/>
                <w:szCs w:val="18"/>
              </w:rPr>
              <w:t>Phytophthora ramorum</w:t>
            </w:r>
            <w:r>
              <w:rPr>
                <w:rFonts w:ascii="Cambria" w:hAnsi="Cambria"/>
                <w:b/>
                <w:szCs w:val="18"/>
              </w:rPr>
              <w:t xml:space="preserve"> countries</w:t>
            </w:r>
          </w:p>
        </w:tc>
      </w:tr>
      <w:tr w:rsidR="00E94405">
        <w:tc>
          <w:tcPr>
            <w:tcW w:w="3826" w:type="dxa"/>
          </w:tcPr>
          <w:p w:rsidR="00E94405" w:rsidRDefault="00A11609">
            <w:pPr>
              <w:pStyle w:val="TableText"/>
              <w:rPr>
                <w:rFonts w:ascii="Cambria" w:hAnsi="Cambria"/>
                <w:szCs w:val="18"/>
                <w:vertAlign w:val="superscript"/>
              </w:rPr>
            </w:pPr>
            <w:r>
              <w:rPr>
                <w:rFonts w:ascii="Cambria" w:hAnsi="Cambria"/>
                <w:szCs w:val="18"/>
              </w:rPr>
              <w:t>Import permit is required</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r w:rsidR="00E94405">
        <w:tc>
          <w:tcPr>
            <w:tcW w:w="3826" w:type="dxa"/>
          </w:tcPr>
          <w:p w:rsidR="00E94405" w:rsidRDefault="00A11609">
            <w:pPr>
              <w:pStyle w:val="TableText"/>
              <w:rPr>
                <w:rFonts w:ascii="Cambria" w:hAnsi="Cambria"/>
                <w:szCs w:val="18"/>
              </w:rPr>
            </w:pPr>
            <w:r>
              <w:rPr>
                <w:rFonts w:ascii="Cambria" w:hAnsi="Cambria"/>
                <w:szCs w:val="18"/>
              </w:rPr>
              <w:t xml:space="preserve">Additional declaration </w:t>
            </w:r>
            <w:r>
              <w:rPr>
                <w:rFonts w:ascii="Cambria" w:hAnsi="Cambria"/>
                <w:b/>
                <w:szCs w:val="18"/>
              </w:rPr>
              <w:t>(e)</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r w:rsidR="00E94405">
        <w:tc>
          <w:tcPr>
            <w:tcW w:w="3826" w:type="dxa"/>
          </w:tcPr>
          <w:p w:rsidR="00E94405" w:rsidRDefault="00A11609">
            <w:pPr>
              <w:pStyle w:val="TableText"/>
              <w:rPr>
                <w:rFonts w:ascii="Cambria" w:hAnsi="Cambria"/>
                <w:szCs w:val="18"/>
                <w:vertAlign w:val="superscript"/>
              </w:rPr>
            </w:pPr>
            <w:r>
              <w:rPr>
                <w:rFonts w:ascii="Cambria" w:hAnsi="Cambria"/>
                <w:szCs w:val="18"/>
              </w:rPr>
              <w:t>Mandatory on-arrival inspection</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r w:rsidR="00E94405">
        <w:tc>
          <w:tcPr>
            <w:tcW w:w="3826" w:type="dxa"/>
          </w:tcPr>
          <w:p w:rsidR="00E94405" w:rsidRDefault="00A11609">
            <w:pPr>
              <w:pStyle w:val="TableText"/>
              <w:rPr>
                <w:rFonts w:ascii="Cambria" w:hAnsi="Cambria"/>
                <w:szCs w:val="18"/>
                <w:vertAlign w:val="superscript"/>
              </w:rPr>
            </w:pPr>
            <w:r>
              <w:rPr>
                <w:rFonts w:ascii="Cambria" w:hAnsi="Cambria"/>
                <w:szCs w:val="18"/>
              </w:rPr>
              <w:t>Mandatory methyl-bromide fumigation</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No</w:t>
            </w:r>
          </w:p>
        </w:tc>
      </w:tr>
      <w:tr w:rsidR="00E94405">
        <w:tc>
          <w:tcPr>
            <w:tcW w:w="3826" w:type="dxa"/>
          </w:tcPr>
          <w:p w:rsidR="00E94405" w:rsidRDefault="00A11609">
            <w:pPr>
              <w:pStyle w:val="TableText"/>
              <w:rPr>
                <w:rFonts w:ascii="Cambria" w:hAnsi="Cambria"/>
                <w:szCs w:val="18"/>
              </w:rPr>
            </w:pPr>
            <w:r>
              <w:rPr>
                <w:rFonts w:ascii="Cambria" w:hAnsi="Cambria"/>
                <w:szCs w:val="18"/>
              </w:rPr>
              <w:t xml:space="preserve">Mandatory growth in PEQ </w:t>
            </w:r>
            <w:r>
              <w:rPr>
                <w:rFonts w:ascii="Cambria" w:hAnsi="Cambria"/>
                <w:b/>
                <w:szCs w:val="18"/>
              </w:rPr>
              <w:t>(f)</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c>
          <w:tcPr>
            <w:tcW w:w="1784" w:type="dxa"/>
          </w:tcPr>
          <w:p w:rsidR="00E94405" w:rsidRDefault="00A11609">
            <w:pPr>
              <w:pStyle w:val="TableText"/>
              <w:jc w:val="center"/>
              <w:rPr>
                <w:rFonts w:ascii="Cambria" w:hAnsi="Cambria"/>
                <w:szCs w:val="18"/>
              </w:rPr>
            </w:pPr>
            <w:r>
              <w:rPr>
                <w:rFonts w:ascii="Cambria" w:hAnsi="Cambria"/>
                <w:szCs w:val="18"/>
              </w:rPr>
              <w:t>Yes</w:t>
            </w:r>
          </w:p>
        </w:tc>
      </w:tr>
    </w:tbl>
    <w:p w:rsidR="00E94405" w:rsidRDefault="00A11609">
      <w:pPr>
        <w:pStyle w:val="FigureTableNoteSource"/>
      </w:pPr>
      <w:r>
        <w:rPr>
          <w:b/>
        </w:rPr>
        <w:t>(a)</w:t>
      </w:r>
      <w:r>
        <w:t xml:space="preserve"> Unrooted dormant hardwood budwood or cuttings of a limited number of genera are permitted. </w:t>
      </w:r>
      <w:r>
        <w:rPr>
          <w:b/>
        </w:rPr>
        <w:t>(b)</w:t>
      </w:r>
      <w:r>
        <w:t xml:space="preserve"> Imported dormant cuttings are subject to mandatory methyl-bromide fumigation (T9060). </w:t>
      </w:r>
      <w:r>
        <w:rPr>
          <w:b/>
        </w:rPr>
        <w:t>(c)</w:t>
      </w:r>
      <w:r>
        <w:t xml:space="preserve"> Imported dormant cuttings are surface sterilised with Sodium hypochlorite (T9374). </w:t>
      </w:r>
      <w:r>
        <w:rPr>
          <w:b/>
        </w:rPr>
        <w:t>(d)</w:t>
      </w:r>
      <w:r>
        <w:t xml:space="preserve"> Dormant cuttings from all sources are grown in closed PEQ facilities and are subject to pathogen screening. Tissue cultures (microplantlets) from all sources are grown in closed PEQ facilities and subject to pathogen screening. </w:t>
      </w:r>
      <w:r>
        <w:rPr>
          <w:b/>
        </w:rPr>
        <w:t>(e)</w:t>
      </w:r>
      <w:r>
        <w:t xml:space="preserve"> Propagative material accompanies an official government Phytosanitary Certificate with an additional declaration that ‘Sudden Oak Death (</w:t>
      </w:r>
      <w:r>
        <w:rPr>
          <w:i/>
        </w:rPr>
        <w:t>Phytophthora</w:t>
      </w:r>
      <w:r>
        <w:t xml:space="preserve"> </w:t>
      </w:r>
      <w:r>
        <w:rPr>
          <w:i/>
        </w:rPr>
        <w:t>ramorum</w:t>
      </w:r>
      <w:r>
        <w:t>) is not known to occur in [insert country of origin]’.</w:t>
      </w:r>
    </w:p>
    <w:p w:rsidR="00E94405" w:rsidRDefault="00A11609">
      <w:pPr>
        <w:pStyle w:val="FigureTableNoteSource"/>
      </w:pPr>
      <w:r>
        <w:rPr>
          <w:b/>
        </w:rPr>
        <w:t>(f)</w:t>
      </w:r>
      <w:r>
        <w:t xml:space="preserve"> Propagative material from non-</w:t>
      </w:r>
      <w:r>
        <w:rPr>
          <w:i/>
        </w:rPr>
        <w:t>Phytophthora</w:t>
      </w:r>
      <w:r>
        <w:t xml:space="preserve"> </w:t>
      </w:r>
      <w:r>
        <w:rPr>
          <w:i/>
        </w:rPr>
        <w:t>ramorum</w:t>
      </w:r>
      <w:r>
        <w:t xml:space="preserve"> countries is grown in closed PEQ facilities and is subject to pathogen screening.</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138" w:name="_Toc414019454"/>
      <w:r>
        <w:rPr>
          <w:rFonts w:eastAsiaTheme="majorEastAsia" w:cstheme="majorBidi"/>
          <w:color w:val="773141"/>
          <w:sz w:val="28"/>
        </w:rPr>
        <w:lastRenderedPageBreak/>
        <w:t>Review of existing risk mitigation measures</w:t>
      </w:r>
      <w:bookmarkEnd w:id="138"/>
    </w:p>
    <w:p w:rsidR="00E94405" w:rsidRDefault="00A11609">
      <w:pPr>
        <w:spacing w:before="200"/>
        <w:rPr>
          <w:rFonts w:ascii="Cambria" w:hAnsi="Cambria"/>
        </w:rPr>
      </w:pPr>
      <w:r>
        <w:rPr>
          <w:rFonts w:ascii="Cambria" w:hAnsi="Cambria"/>
        </w:rPr>
        <w:t xml:space="preserve">As part of the review, the department has updated the natural host list of </w:t>
      </w:r>
      <w:r>
        <w:rPr>
          <w:rFonts w:ascii="Cambria" w:hAnsi="Cambria"/>
          <w:i/>
        </w:rPr>
        <w:t>Phytophthora kernoviae, Phytophthora nemorosa</w:t>
      </w:r>
      <w:r>
        <w:rPr>
          <w:rFonts w:ascii="Cambria" w:hAnsi="Cambria"/>
        </w:rPr>
        <w:t>,</w:t>
      </w:r>
      <w:r>
        <w:rPr>
          <w:rFonts w:ascii="Cambria" w:hAnsi="Cambria"/>
          <w:i/>
        </w:rPr>
        <w:t xml:space="preserve"> Phytophthora pseudosyringae </w:t>
      </w:r>
      <w:r>
        <w:rPr>
          <w:rFonts w:ascii="Cambria" w:hAnsi="Cambria"/>
        </w:rPr>
        <w:t xml:space="preserve">and </w:t>
      </w:r>
      <w:r>
        <w:rPr>
          <w:rFonts w:ascii="Cambria" w:hAnsi="Cambria"/>
          <w:i/>
        </w:rPr>
        <w:t>Phytophthora ramorum</w:t>
      </w:r>
      <w:r>
        <w:rPr>
          <w:rFonts w:ascii="Cambria" w:hAnsi="Cambria"/>
        </w:rPr>
        <w:t>.</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39" w:name="_Toc386635009"/>
      <w:r>
        <w:rPr>
          <w:rFonts w:ascii="Calibri" w:hAnsi="Calibri" w:cstheme="minorBidi"/>
          <w:sz w:val="24"/>
          <w:szCs w:val="22"/>
        </w:rPr>
        <w:t>Regulatory approach—the pathogen</w:t>
      </w:r>
      <w:bookmarkEnd w:id="139"/>
    </w:p>
    <w:p w:rsidR="00E94405" w:rsidRDefault="00A11609">
      <w:pPr>
        <w:spacing w:before="200"/>
        <w:rPr>
          <w:rFonts w:ascii="Cambria" w:hAnsi="Cambria"/>
        </w:rPr>
      </w:pPr>
      <w:r>
        <w:rPr>
          <w:rFonts w:ascii="Cambria" w:hAnsi="Cambria"/>
        </w:rPr>
        <w:t xml:space="preserve">The existing policy to regulate </w:t>
      </w:r>
      <w:r>
        <w:rPr>
          <w:rFonts w:ascii="Cambria" w:hAnsi="Cambria"/>
          <w:i/>
          <w:iCs/>
        </w:rPr>
        <w:t>P. ramorum</w:t>
      </w:r>
      <w:r>
        <w:rPr>
          <w:rFonts w:ascii="Cambria" w:hAnsi="Cambria"/>
        </w:rPr>
        <w:t xml:space="preserve"> associated with forest and ornamental plants is proposed to continue.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The International Plant Protection Convention (IPPC) of the Food and Agriculture Organization of the United Nations (FAO) and the World Trade Organisation (WTO) have recognised the phytosanitary concerns related to the expanding world trade. Consequently, international protocols to control the process of trade were setup. The aim of the protocols was to reduce the likelihood of the accidental introduction of pests into new areas.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department acknowledges that under the current international phytosanitary framework, led by the Secretariat of the IPPC and required by the WTO SPS Agreement, there is no process by which phytosanitary measures can be imposed against an unidentifiable cause. Consequently, international plant health protocols are list-based, allowing regulation of only named organisms; however, it is possible to regulate at the genus level provided the organism is identified as being unique (FAO 2013a). On-going research in response to </w:t>
      </w:r>
      <w:r>
        <w:rPr>
          <w:rFonts w:ascii="Cambria" w:hAnsi="Cambria"/>
          <w:i/>
          <w:iCs/>
        </w:rPr>
        <w:t xml:space="preserve">P. ramorum </w:t>
      </w:r>
      <w:r>
        <w:rPr>
          <w:rFonts w:ascii="Cambria" w:hAnsi="Cambria"/>
        </w:rPr>
        <w:t xml:space="preserve">has resulted in, and may result in, the identification of new </w:t>
      </w:r>
      <w:r>
        <w:rPr>
          <w:rFonts w:ascii="Cambria" w:hAnsi="Cambria"/>
          <w:i/>
          <w:iCs/>
        </w:rPr>
        <w:t xml:space="preserve">Phytophthora </w:t>
      </w:r>
      <w:r>
        <w:rPr>
          <w:rFonts w:ascii="Cambria" w:hAnsi="Cambria"/>
        </w:rPr>
        <w:t xml:space="preserve">species in the ecosystem. Therefore, if an unknown </w:t>
      </w:r>
      <w:r>
        <w:rPr>
          <w:rFonts w:ascii="Cambria" w:hAnsi="Cambria"/>
          <w:i/>
          <w:iCs/>
        </w:rPr>
        <w:t xml:space="preserve">Phytophthora </w:t>
      </w:r>
      <w:r>
        <w:rPr>
          <w:rFonts w:ascii="Cambria" w:hAnsi="Cambria"/>
        </w:rPr>
        <w:t>is identified that is economically important, emergency measures may be imposed.</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0" w:name="_Toc386635010"/>
      <w:r>
        <w:rPr>
          <w:rFonts w:ascii="Calibri" w:hAnsi="Calibri" w:cstheme="minorBidi"/>
          <w:sz w:val="24"/>
          <w:szCs w:val="22"/>
        </w:rPr>
        <w:t>Regulatory approach—the host</w:t>
      </w:r>
      <w:bookmarkEnd w:id="140"/>
    </w:p>
    <w:p w:rsidR="00E94405" w:rsidRDefault="00A11609">
      <w:pPr>
        <w:spacing w:before="200"/>
        <w:rPr>
          <w:rFonts w:ascii="Cambria" w:hAnsi="Cambria"/>
        </w:rPr>
      </w:pPr>
      <w:r>
        <w:rPr>
          <w:rFonts w:ascii="Cambria" w:hAnsi="Cambria"/>
        </w:rPr>
        <w:t xml:space="preserve">The existing policy to regulate all species that belong to a genus that includes a natural host of </w:t>
      </w:r>
      <w:r>
        <w:rPr>
          <w:rFonts w:ascii="Cambria" w:hAnsi="Cambria"/>
          <w:i/>
          <w:iCs/>
        </w:rPr>
        <w:t>P. ramorum</w:t>
      </w:r>
      <w:r>
        <w:rPr>
          <w:rFonts w:ascii="Cambria" w:hAnsi="Cambria"/>
        </w:rPr>
        <w:t xml:space="preserve"> is proposed to continue.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All susceptible species are not yet known; therefore, the department considers that all species within a regulated genus are considered to pose a similar potential quarantine risk to Australia, until otherwise demonstrated as meeting Australia’s ALOP.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The department considers that the list of genera for regulation may not include all known natural hosts as these are continually being identified. The host list may therefore be amended from time to time to reflect these additions; and amendments will be notified on the department’s import conditions database (</w:t>
      </w:r>
      <w:hyperlink r:id="rId39" w:history="1">
        <w:r>
          <w:rPr>
            <w:rStyle w:val="Hyperlink"/>
            <w:rFonts w:ascii="Cambria" w:hAnsi="Cambria"/>
          </w:rPr>
          <w:t>http://www.agriculture.gov.au/biosecurity/import/icon-icd</w:t>
        </w:r>
      </w:hyperlink>
      <w:r>
        <w:rPr>
          <w:rFonts w:ascii="Cambria" w:hAnsi="Cambria"/>
        </w:rPr>
        <w:t xml:space="preserve">).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department acknowledges that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 and</w:t>
      </w:r>
      <w:r>
        <w:rPr>
          <w:rFonts w:ascii="Cambria" w:hAnsi="Cambria"/>
          <w:i/>
          <w:iCs/>
        </w:rPr>
        <w:t xml:space="preserve"> P. pseudosyringae </w:t>
      </w:r>
      <w:r>
        <w:rPr>
          <w:rFonts w:ascii="Cambria" w:hAnsi="Cambria"/>
        </w:rPr>
        <w:t xml:space="preserve">have multiple overlapping hosts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and symptoms produced on shared hosts are indistinguishable to </w:t>
      </w:r>
      <w:r>
        <w:rPr>
          <w:rFonts w:ascii="Cambria" w:hAnsi="Cambria"/>
          <w:i/>
          <w:iCs/>
        </w:rPr>
        <w:t>P. ramorum</w:t>
      </w:r>
      <w:r>
        <w:rPr>
          <w:rFonts w:ascii="Cambria" w:hAnsi="Cambria"/>
        </w:rPr>
        <w:t xml:space="preserve">. However, there may be a few hosts specific to one of the </w:t>
      </w:r>
      <w:r>
        <w:rPr>
          <w:rFonts w:ascii="Cambria" w:hAnsi="Cambria"/>
          <w:i/>
          <w:iCs/>
        </w:rPr>
        <w:t xml:space="preserve">Phytophthora </w:t>
      </w:r>
      <w:r>
        <w:rPr>
          <w:rFonts w:ascii="Cambria" w:hAnsi="Cambria"/>
        </w:rPr>
        <w:t xml:space="preserve">species other than </w:t>
      </w:r>
      <w:r>
        <w:rPr>
          <w:rFonts w:ascii="Cambria" w:hAnsi="Cambria"/>
          <w:i/>
        </w:rPr>
        <w:t>P. ramorum</w:t>
      </w:r>
      <w:r>
        <w:rPr>
          <w:rFonts w:ascii="Cambria" w:hAnsi="Cambria"/>
        </w:rPr>
        <w:t xml:space="preserve"> under review. For example, </w:t>
      </w:r>
      <w:r>
        <w:rPr>
          <w:rFonts w:ascii="Cambria" w:hAnsi="Cambria"/>
          <w:i/>
          <w:iCs/>
        </w:rPr>
        <w:t>Annona cherimola</w:t>
      </w:r>
      <w:r>
        <w:rPr>
          <w:rFonts w:ascii="Cambria" w:hAnsi="Cambria"/>
        </w:rPr>
        <w:t xml:space="preserve"> (custard apple) is only known as a host of </w:t>
      </w:r>
      <w:r>
        <w:rPr>
          <w:rFonts w:ascii="Cambria" w:hAnsi="Cambria"/>
          <w:i/>
        </w:rPr>
        <w:t>P. kernoviae</w:t>
      </w:r>
      <w:r>
        <w:rPr>
          <w:rFonts w:ascii="Cambria" w:hAnsi="Cambria"/>
        </w:rPr>
        <w:t>. It is therefore proposed that natural host lists are updated accordingly.</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department considers that the isolation of </w:t>
      </w:r>
      <w:r>
        <w:rPr>
          <w:rFonts w:ascii="Cambria" w:hAnsi="Cambria"/>
          <w:i/>
        </w:rPr>
        <w:t xml:space="preserve">P. ramorum </w:t>
      </w:r>
      <w:r>
        <w:rPr>
          <w:rFonts w:ascii="Cambria" w:hAnsi="Cambria"/>
        </w:rPr>
        <w:t xml:space="preserve">from tree species in the field that were previously identified as potential hosts in artificial inoculations (Brasier et al. 2004b), but later found to be natural hosts, highlights the importance of identifying potential hosts from disease-free countries. </w:t>
      </w:r>
      <w:r>
        <w:rPr>
          <w:rFonts w:ascii="Cambria" w:hAnsi="Cambria"/>
          <w:i/>
        </w:rPr>
        <w:t>Rhododendron</w:t>
      </w:r>
      <w:r>
        <w:rPr>
          <w:rFonts w:ascii="Cambria" w:hAnsi="Cambria"/>
        </w:rPr>
        <w:t xml:space="preserve"> is a known host of multiple </w:t>
      </w:r>
      <w:r>
        <w:rPr>
          <w:rFonts w:ascii="Cambria" w:hAnsi="Cambria"/>
          <w:i/>
        </w:rPr>
        <w:t>Phytophthora</w:t>
      </w:r>
      <w:r>
        <w:rPr>
          <w:rFonts w:ascii="Cambria" w:hAnsi="Cambria"/>
        </w:rPr>
        <w:t xml:space="preserve"> species </w:t>
      </w:r>
      <w:r>
        <w:rPr>
          <w:rFonts w:ascii="Cambria" w:hAnsi="Cambria"/>
        </w:rPr>
        <w:lastRenderedPageBreak/>
        <w:t xml:space="preserve">including </w:t>
      </w:r>
      <w:r>
        <w:rPr>
          <w:rFonts w:ascii="Cambria" w:hAnsi="Cambria"/>
          <w:i/>
        </w:rPr>
        <w:t xml:space="preserve">P. ramorum </w:t>
      </w:r>
      <w:r>
        <w:rPr>
          <w:rFonts w:ascii="Cambria" w:hAnsi="Cambria"/>
        </w:rPr>
        <w:t>and</w:t>
      </w:r>
      <w:r>
        <w:rPr>
          <w:rFonts w:ascii="Cambria" w:hAnsi="Cambria"/>
          <w:i/>
        </w:rPr>
        <w:t xml:space="preserve"> P. kernoviae</w:t>
      </w:r>
      <w:r>
        <w:rPr>
          <w:rFonts w:ascii="Cambria" w:hAnsi="Cambria"/>
        </w:rPr>
        <w:t>.</w:t>
      </w:r>
      <w:r>
        <w:rPr>
          <w:rFonts w:ascii="Cambria" w:hAnsi="Cambria"/>
          <w:i/>
        </w:rPr>
        <w:t xml:space="preserve"> </w:t>
      </w:r>
      <w:r>
        <w:rPr>
          <w:rFonts w:ascii="Cambria" w:hAnsi="Cambria"/>
        </w:rPr>
        <w:t xml:space="preserve">Symptomless foliar infections were observed on </w:t>
      </w:r>
      <w:r>
        <w:rPr>
          <w:rFonts w:ascii="Cambria" w:hAnsi="Cambria"/>
          <w:i/>
        </w:rPr>
        <w:t>Rhododendron macrophyllum</w:t>
      </w:r>
      <w:r>
        <w:rPr>
          <w:rFonts w:ascii="Cambria" w:hAnsi="Cambria"/>
        </w:rPr>
        <w:t xml:space="preserve"> and </w:t>
      </w:r>
      <w:r>
        <w:rPr>
          <w:rFonts w:ascii="Cambria" w:hAnsi="Cambria"/>
          <w:i/>
        </w:rPr>
        <w:t>Rhododendron occidentale</w:t>
      </w:r>
      <w:r>
        <w:rPr>
          <w:rFonts w:ascii="Cambria" w:hAnsi="Cambria"/>
        </w:rPr>
        <w:t xml:space="preserve"> when exposed to </w:t>
      </w:r>
      <w:r>
        <w:rPr>
          <w:rFonts w:ascii="Cambria" w:hAnsi="Cambria"/>
          <w:i/>
        </w:rPr>
        <w:t>P. kernoviae</w:t>
      </w:r>
      <w:r>
        <w:rPr>
          <w:rFonts w:ascii="Cambria" w:hAnsi="Cambria"/>
        </w:rPr>
        <w:t xml:space="preserve"> (Fichtner </w:t>
      </w:r>
      <w:r>
        <w:rPr>
          <w:rFonts w:ascii="Cambria" w:hAnsi="Cambria"/>
          <w:iCs/>
        </w:rPr>
        <w:t>et al</w:t>
      </w:r>
      <w:r>
        <w:rPr>
          <w:rFonts w:ascii="Cambria" w:hAnsi="Cambria"/>
        </w:rPr>
        <w:t xml:space="preserve">. 2011). Knowledge of potential hosts and therefore, carriers of the pathogen, will provide data to develop robust quarantine systems to prevent the inadvertent introduction of </w:t>
      </w:r>
      <w:r>
        <w:rPr>
          <w:rFonts w:ascii="Cambria" w:hAnsi="Cambria"/>
          <w:i/>
          <w:iCs/>
        </w:rPr>
        <w:t xml:space="preserve">Phytophthora </w:t>
      </w:r>
      <w:r>
        <w:rPr>
          <w:rFonts w:ascii="Cambria" w:hAnsi="Cambria"/>
          <w:iCs/>
        </w:rPr>
        <w:t xml:space="preserve">species </w:t>
      </w:r>
      <w:r>
        <w:rPr>
          <w:rFonts w:ascii="Cambria" w:hAnsi="Cambria"/>
        </w:rPr>
        <w:t>into Australia.</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Propagative material from non-</w:t>
      </w:r>
      <w:r>
        <w:rPr>
          <w:rFonts w:ascii="Calibri" w:hAnsi="Calibri" w:cstheme="minorBidi"/>
          <w:i/>
          <w:sz w:val="24"/>
          <w:szCs w:val="22"/>
        </w:rPr>
        <w:t>Phytophthora ramorum</w:t>
      </w:r>
      <w:r>
        <w:rPr>
          <w:rFonts w:ascii="Calibri" w:hAnsi="Calibri" w:cstheme="minorBidi"/>
          <w:sz w:val="24"/>
          <w:szCs w:val="22"/>
        </w:rPr>
        <w:t xml:space="preserve"> countries</w:t>
      </w:r>
    </w:p>
    <w:p w:rsidR="00E94405" w:rsidRDefault="00A11609">
      <w:pPr>
        <w:spacing w:before="200"/>
        <w:rPr>
          <w:rFonts w:ascii="Cambria" w:hAnsi="Cambria"/>
        </w:rPr>
      </w:pPr>
      <w:r>
        <w:rPr>
          <w:rFonts w:ascii="Cambria" w:hAnsi="Cambria"/>
        </w:rPr>
        <w:t xml:space="preserve">Existing conditions (including Phytosanitary Certification with an additional declaration of country freedom, on arrival inspection, treatment and growth in the PEQ) for </w:t>
      </w:r>
      <w:r>
        <w:rPr>
          <w:rFonts w:ascii="Cambria" w:hAnsi="Cambria"/>
          <w:i/>
        </w:rPr>
        <w:t xml:space="preserve">Phytophthora ramorum </w:t>
      </w:r>
      <w:r>
        <w:rPr>
          <w:rFonts w:ascii="Cambria" w:hAnsi="Cambria"/>
        </w:rPr>
        <w:t>host propagative material (tissue cultures, dormant hardwood cuttings, budwood and bare-rooted plants) from non-</w:t>
      </w:r>
      <w:r>
        <w:rPr>
          <w:rFonts w:ascii="Cambria" w:hAnsi="Cambria"/>
          <w:i/>
        </w:rPr>
        <w:t xml:space="preserve">Phytophthora ramorum </w:t>
      </w:r>
      <w:r>
        <w:rPr>
          <w:rFonts w:ascii="Cambria" w:hAnsi="Cambria"/>
        </w:rPr>
        <w:t xml:space="preserve">countries is proposed to continue. It is proposed that the other </w:t>
      </w:r>
      <w:r>
        <w:rPr>
          <w:rFonts w:ascii="Cambria" w:hAnsi="Cambria"/>
          <w:i/>
        </w:rPr>
        <w:t xml:space="preserve">Phytophthora </w:t>
      </w:r>
      <w:r>
        <w:rPr>
          <w:rFonts w:ascii="Cambria" w:hAnsi="Cambria"/>
        </w:rPr>
        <w:t xml:space="preserve">species, </w:t>
      </w:r>
      <w:r>
        <w:rPr>
          <w:rFonts w:ascii="Cambria" w:hAnsi="Cambria"/>
          <w:i/>
        </w:rPr>
        <w:t>Phytophthora kernoviae, Phytophthora nemorosa</w:t>
      </w:r>
      <w:r>
        <w:rPr>
          <w:rFonts w:ascii="Cambria" w:hAnsi="Cambria"/>
        </w:rPr>
        <w:t xml:space="preserve"> and</w:t>
      </w:r>
      <w:r>
        <w:rPr>
          <w:rFonts w:ascii="Cambria" w:hAnsi="Cambria"/>
          <w:i/>
        </w:rPr>
        <w:t xml:space="preserve"> Phytophthora pseudosyringae</w:t>
      </w:r>
      <w:r>
        <w:rPr>
          <w:rFonts w:ascii="Cambria" w:hAnsi="Cambria"/>
        </w:rPr>
        <w:t>, should also be included in the additional declaration.</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 xml:space="preserve">Propagative material from </w:t>
      </w:r>
      <w:r>
        <w:rPr>
          <w:rFonts w:ascii="Calibri" w:hAnsi="Calibri" w:cstheme="minorBidi"/>
          <w:i/>
          <w:sz w:val="24"/>
          <w:szCs w:val="22"/>
        </w:rPr>
        <w:t>Phytophthora ramorum</w:t>
      </w:r>
      <w:r>
        <w:rPr>
          <w:rFonts w:ascii="Calibri" w:hAnsi="Calibri" w:cstheme="minorBidi"/>
          <w:sz w:val="24"/>
          <w:szCs w:val="22"/>
        </w:rPr>
        <w:t xml:space="preserve"> countries</w:t>
      </w:r>
    </w:p>
    <w:p w:rsidR="00E94405" w:rsidRDefault="00A11609">
      <w:pPr>
        <w:spacing w:before="200"/>
        <w:rPr>
          <w:rFonts w:ascii="Cambria" w:hAnsi="Cambria"/>
        </w:rPr>
      </w:pPr>
      <w:r>
        <w:rPr>
          <w:rFonts w:ascii="Cambria" w:hAnsi="Cambria"/>
        </w:rPr>
        <w:t xml:space="preserve">The importation of all rooted plants of hosts of </w:t>
      </w:r>
      <w:r>
        <w:rPr>
          <w:rFonts w:ascii="Cambria" w:hAnsi="Cambria"/>
          <w:i/>
        </w:rPr>
        <w:t xml:space="preserve">Phytophthora ramorum </w:t>
      </w:r>
      <w:r>
        <w:rPr>
          <w:rFonts w:ascii="Cambria" w:hAnsi="Cambria"/>
        </w:rPr>
        <w:t>is prohibited from all countries where this pathogen is known to occur.</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1" w:name="_Toc386635011"/>
      <w:r>
        <w:rPr>
          <w:rFonts w:ascii="Calibri" w:hAnsi="Calibri" w:cstheme="minorBidi"/>
          <w:sz w:val="24"/>
          <w:szCs w:val="22"/>
        </w:rPr>
        <w:t>Regulatory approach—form of propagative material</w:t>
      </w:r>
      <w:bookmarkEnd w:id="141"/>
    </w:p>
    <w:p w:rsidR="00E94405" w:rsidRDefault="00A11609">
      <w:pPr>
        <w:spacing w:before="200"/>
        <w:rPr>
          <w:rFonts w:ascii="Cambria" w:hAnsi="Cambria"/>
        </w:rPr>
      </w:pPr>
      <w:r>
        <w:rPr>
          <w:rFonts w:ascii="Cambria" w:hAnsi="Cambria"/>
        </w:rPr>
        <w:t xml:space="preserve">Between 2002 and 2013, Australia restricted all imports of </w:t>
      </w:r>
      <w:r>
        <w:rPr>
          <w:rFonts w:ascii="Cambria" w:hAnsi="Cambria"/>
          <w:i/>
          <w:iCs/>
        </w:rPr>
        <w:t xml:space="preserve">P. ramorum </w:t>
      </w:r>
      <w:r>
        <w:rPr>
          <w:rFonts w:ascii="Cambria" w:hAnsi="Cambria"/>
        </w:rPr>
        <w:t>hosts to tissue cultures (microplantlets) only from countries where this pathogen is established.</w:t>
      </w:r>
    </w:p>
    <w:p w:rsidR="00E94405" w:rsidRDefault="00A11609">
      <w:pPr>
        <w:pStyle w:val="Heading4"/>
        <w:spacing w:before="120"/>
        <w:rPr>
          <w:i/>
        </w:rPr>
      </w:pPr>
      <w:r>
        <w:rPr>
          <w:i/>
        </w:rPr>
        <w:t>Tissue cultures (microplantlets)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Industry generally supported this policy and accepted the measures above as </w:t>
      </w:r>
      <w:r>
        <w:rPr>
          <w:rFonts w:ascii="Cambria" w:hAnsi="Cambria"/>
          <w:i/>
          <w:iCs/>
        </w:rPr>
        <w:t xml:space="preserve">P. ramorum </w:t>
      </w:r>
      <w:r>
        <w:rPr>
          <w:rFonts w:ascii="Cambria" w:hAnsi="Cambria"/>
        </w:rPr>
        <w:t>was newly described, epidemiology was unknown and no reliable detection method was available; and economic consequences of the pathogen were high.</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Micropropagation of plants from an apical meristem has been used as a reliable method of eliminating pathogens and represents an inherently lower risk than other forms of nursery stock (budwood, cuttings and live plants). The non-detection of </w:t>
      </w:r>
      <w:r>
        <w:rPr>
          <w:rFonts w:ascii="Cambria" w:hAnsi="Cambria"/>
          <w:i/>
        </w:rPr>
        <w:t xml:space="preserve">P. ramorum </w:t>
      </w:r>
      <w:r>
        <w:rPr>
          <w:rFonts w:ascii="Cambria" w:hAnsi="Cambria"/>
        </w:rPr>
        <w:t>in tissue cultures imported into Australia demonstrated that this import pathway is low risk and is therefore supported to continue.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However, restricting the imports of host material to tissue cultures effectively prohibited imports of host material that cannot be easily propagated through tissue culture from countries where </w:t>
      </w:r>
      <w:r>
        <w:rPr>
          <w:rFonts w:ascii="Cambria" w:hAnsi="Cambria"/>
          <w:i/>
          <w:iCs/>
        </w:rPr>
        <w:t xml:space="preserve">P. ramorum </w:t>
      </w:r>
      <w:r>
        <w:rPr>
          <w:rFonts w:ascii="Cambria" w:hAnsi="Cambria"/>
        </w:rPr>
        <w:t>is present.</w:t>
      </w:r>
    </w:p>
    <w:p w:rsidR="00E94405" w:rsidRDefault="00A11609">
      <w:pPr>
        <w:pStyle w:val="Heading4"/>
        <w:spacing w:before="200"/>
        <w:rPr>
          <w:i/>
        </w:rPr>
      </w:pPr>
      <w:r>
        <w:rPr>
          <w:i/>
        </w:rPr>
        <w:t>Dormant hardwood cutting material and budwood</w:t>
      </w:r>
    </w:p>
    <w:p w:rsidR="00E94405" w:rsidRDefault="00A11609">
      <w:pPr>
        <w:spacing w:before="200" w:line="269" w:lineRule="auto"/>
        <w:rPr>
          <w:rFonts w:ascii="Cambria" w:hAnsi="Cambria"/>
        </w:rPr>
      </w:pPr>
      <w:r>
        <w:rPr>
          <w:rFonts w:ascii="Cambria" w:hAnsi="Cambria"/>
        </w:rPr>
        <w:t xml:space="preserve">In 2013, dormant hardwood cutting material or budwood of host propagative material of 13 genera that are difficult to tissue culture were allowed from countries where </w:t>
      </w:r>
      <w:r>
        <w:rPr>
          <w:rFonts w:ascii="Cambria" w:hAnsi="Cambria"/>
          <w:i/>
          <w:iCs/>
        </w:rPr>
        <w:t xml:space="preserve">P. ramorum </w:t>
      </w:r>
      <w:r>
        <w:rPr>
          <w:rFonts w:ascii="Cambria" w:hAnsi="Cambria"/>
        </w:rPr>
        <w:t>is known to occur.</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Currently there is no age limit on cuttings and budwood of </w:t>
      </w:r>
      <w:r>
        <w:rPr>
          <w:rFonts w:ascii="Cambria" w:hAnsi="Cambria"/>
          <w:i/>
        </w:rPr>
        <w:t>P. ramorum</w:t>
      </w:r>
      <w:r>
        <w:rPr>
          <w:rFonts w:ascii="Cambria" w:hAnsi="Cambria"/>
        </w:rPr>
        <w:t xml:space="preserve"> host material. It is proposed that imported cuttings and budwood be restricted to one-year-old dormant cuttings.</w:t>
      </w:r>
    </w:p>
    <w:p w:rsidR="00E94405" w:rsidRDefault="00A11609">
      <w:pPr>
        <w:pStyle w:val="AQISNum"/>
        <w:numPr>
          <w:ilvl w:val="1"/>
          <w:numId w:val="33"/>
        </w:numPr>
        <w:tabs>
          <w:tab w:val="clear" w:pos="1440"/>
          <w:tab w:val="num" w:pos="851"/>
        </w:tabs>
        <w:spacing w:before="120" w:after="120" w:line="269" w:lineRule="auto"/>
        <w:ind w:left="851" w:hanging="425"/>
        <w:rPr>
          <w:rFonts w:ascii="Cambria" w:hAnsi="Cambria"/>
          <w:szCs w:val="22"/>
        </w:rPr>
      </w:pPr>
      <w:r>
        <w:rPr>
          <w:rFonts w:ascii="Cambria" w:hAnsi="Cambria"/>
          <w:szCs w:val="22"/>
        </w:rPr>
        <w:lastRenderedPageBreak/>
        <w:t>Restricting cuttings to one-year-old material increases the likelihood of pathogen detection as symptoms are more obvious on young tissue.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Restricting imports to tissue cultures, dormant hardwood cutting material and budwood may still be trade restrictive. Consequently, the department proposes to allow imports of one-year-old bare-rooted plants without foliage with additional risk mitigation measures.</w:t>
      </w:r>
    </w:p>
    <w:p w:rsidR="00E94405" w:rsidRDefault="00A11609">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Mandatory on arrival inspection (dormant cuttings, budwood, tissue cultures)</w:t>
      </w:r>
    </w:p>
    <w:p w:rsidR="00E94405" w:rsidRDefault="00A11609">
      <w:pPr>
        <w:spacing w:before="200" w:line="269" w:lineRule="auto"/>
        <w:rPr>
          <w:rFonts w:ascii="Cambria" w:hAnsi="Cambria"/>
        </w:rPr>
      </w:pPr>
      <w:r>
        <w:rPr>
          <w:rFonts w:ascii="Cambria" w:hAnsi="Cambria"/>
        </w:rPr>
        <w:t xml:space="preserve">The existing requirement for mandatory on-arrival inspection of imported propagative material (cuttings, budwood) to verify freedom from disease symptoms, live insects, soil and other extraneous contaminants of quarantine concern is proposed to continue. </w:t>
      </w:r>
    </w:p>
    <w:p w:rsidR="00E94405" w:rsidRDefault="00A11609">
      <w:pPr>
        <w:spacing w:before="200" w:line="269" w:lineRule="auto"/>
        <w:rPr>
          <w:rFonts w:ascii="Cambria" w:hAnsi="Cambria"/>
        </w:rPr>
      </w:pPr>
      <w:r>
        <w:rPr>
          <w:rFonts w:ascii="Cambria" w:hAnsi="Cambria" w:cs="Verdana"/>
          <w:b/>
          <w:bCs/>
        </w:rPr>
        <w:t>Freedom from disease symptoms</w:t>
      </w:r>
      <w:r>
        <w:rPr>
          <w:rFonts w:ascii="Cambria" w:hAnsi="Cambria"/>
          <w:b/>
        </w:rPr>
        <w:t xml:space="preserve"> </w:t>
      </w:r>
      <w:r>
        <w:rPr>
          <w:rFonts w:ascii="Cambria" w:hAnsi="Cambria"/>
        </w:rPr>
        <w:t xml:space="preserve">will be adequate for the detection of visible symptoms caused by </w:t>
      </w:r>
      <w:r>
        <w:rPr>
          <w:rFonts w:ascii="Cambria" w:hAnsi="Cambria"/>
          <w:i/>
        </w:rPr>
        <w:t xml:space="preserve">Phytophthora </w:t>
      </w:r>
      <w:r>
        <w:rPr>
          <w:rFonts w:ascii="Cambria" w:hAnsi="Cambria"/>
        </w:rPr>
        <w:t xml:space="preserve">species; therefore, existing mandatory on arrival inspection to verify freedom from disease symptoms is proposed to continue. </w:t>
      </w:r>
    </w:p>
    <w:p w:rsidR="00E94405" w:rsidRDefault="00A11609">
      <w:pPr>
        <w:spacing w:before="200" w:line="269" w:lineRule="auto"/>
        <w:rPr>
          <w:rFonts w:ascii="Cambria" w:hAnsi="Cambria"/>
        </w:rPr>
      </w:pPr>
      <w:r>
        <w:rPr>
          <w:rFonts w:ascii="Cambria" w:hAnsi="Cambria"/>
        </w:rPr>
        <w:t xml:space="preserve">The leaf, shoot or stem symptoms are not unique to </w:t>
      </w:r>
      <w:r>
        <w:rPr>
          <w:rFonts w:ascii="Cambria" w:hAnsi="Cambria"/>
          <w:i/>
          <w:iCs/>
        </w:rPr>
        <w:t>P. ramorum</w:t>
      </w:r>
      <w:r>
        <w:rPr>
          <w:rFonts w:ascii="Cambria" w:hAnsi="Cambria"/>
        </w:rPr>
        <w:t xml:space="preserve">, and therefore, the pathogen can be difficult to identify. Infected plants may be easily missed since similar symptoms can be caused by other plant pathogens. For example, in </w:t>
      </w:r>
      <w:r>
        <w:rPr>
          <w:rFonts w:ascii="Cambria" w:hAnsi="Cambria"/>
          <w:i/>
        </w:rPr>
        <w:t>Rhododendron</w:t>
      </w:r>
      <w:r>
        <w:rPr>
          <w:rFonts w:ascii="Cambria" w:hAnsi="Cambria"/>
        </w:rPr>
        <w:t xml:space="preserve">, infected leaves are easily overlooked and are therefore not always easy to observe. </w:t>
      </w:r>
      <w:r>
        <w:rPr>
          <w:rFonts w:ascii="Cambria" w:hAnsi="Cambria"/>
          <w:i/>
        </w:rPr>
        <w:t>Phytophthora</w:t>
      </w:r>
      <w:r>
        <w:rPr>
          <w:rFonts w:ascii="Cambria" w:hAnsi="Cambria"/>
          <w:i/>
          <w:iCs/>
        </w:rPr>
        <w:t xml:space="preserve"> ramorum </w:t>
      </w:r>
      <w:r>
        <w:rPr>
          <w:rFonts w:ascii="Cambria" w:hAnsi="Cambria"/>
        </w:rPr>
        <w:t xml:space="preserve">chlamydospores are found in asymptomatic roots of </w:t>
      </w:r>
      <w:r>
        <w:rPr>
          <w:rFonts w:ascii="Cambria" w:hAnsi="Cambria"/>
          <w:i/>
        </w:rPr>
        <w:t>Rhododendron</w:t>
      </w:r>
      <w:r>
        <w:rPr>
          <w:rFonts w:ascii="Cambria" w:hAnsi="Cambria"/>
        </w:rPr>
        <w:t xml:space="preserve"> (Sundheim </w:t>
      </w:r>
      <w:r>
        <w:rPr>
          <w:rFonts w:ascii="Cambria" w:hAnsi="Cambria"/>
          <w:i/>
        </w:rPr>
        <w:t xml:space="preserve">et al. </w:t>
      </w:r>
      <w:r>
        <w:rPr>
          <w:rFonts w:ascii="Cambria" w:hAnsi="Cambria"/>
        </w:rPr>
        <w:t xml:space="preserve">2009) and sporulation from naturally infected but asymptomatic foliage is reported (Denman </w:t>
      </w:r>
      <w:r>
        <w:rPr>
          <w:rFonts w:ascii="Cambria" w:hAnsi="Cambria"/>
          <w:iCs/>
        </w:rPr>
        <w:t>et al.</w:t>
      </w:r>
      <w:r>
        <w:rPr>
          <w:rFonts w:ascii="Cambria" w:hAnsi="Cambria"/>
          <w:i/>
          <w:iCs/>
        </w:rPr>
        <w:t xml:space="preserve"> </w:t>
      </w:r>
      <w:r>
        <w:rPr>
          <w:rFonts w:ascii="Cambria" w:hAnsi="Cambria"/>
        </w:rPr>
        <w:t xml:space="preserve">2008). Symptoms of </w:t>
      </w:r>
      <w:r>
        <w:rPr>
          <w:rFonts w:ascii="Cambria" w:hAnsi="Cambria"/>
          <w:i/>
          <w:iCs/>
        </w:rPr>
        <w:t xml:space="preserve">P. ramorum </w:t>
      </w:r>
      <w:r>
        <w:rPr>
          <w:rFonts w:ascii="Cambria" w:hAnsi="Cambria"/>
        </w:rPr>
        <w:t xml:space="preserve">may also be masked by the use of fungicides that suppress disease development without eradicating the pathogen (Tjosvold </w:t>
      </w:r>
      <w:r>
        <w:rPr>
          <w:rFonts w:ascii="Cambria" w:hAnsi="Cambria"/>
          <w:iCs/>
        </w:rPr>
        <w:t>et al</w:t>
      </w:r>
      <w:r>
        <w:rPr>
          <w:rFonts w:ascii="Cambria" w:hAnsi="Cambria"/>
        </w:rPr>
        <w:t>. 2005).</w:t>
      </w:r>
    </w:p>
    <w:p w:rsidR="00E94405" w:rsidRDefault="00A11609">
      <w:pPr>
        <w:spacing w:before="200" w:line="269" w:lineRule="auto"/>
        <w:rPr>
          <w:rFonts w:ascii="Cambria" w:hAnsi="Cambria"/>
        </w:rPr>
      </w:pPr>
      <w:r>
        <w:rPr>
          <w:rFonts w:ascii="Cambria" w:hAnsi="Cambria"/>
        </w:rPr>
        <w:t xml:space="preserve">There are concerns that latent infections might go undetected (Cave </w:t>
      </w:r>
      <w:r>
        <w:rPr>
          <w:rFonts w:ascii="Cambria" w:hAnsi="Cambria"/>
          <w:iCs/>
        </w:rPr>
        <w:t>et al</w:t>
      </w:r>
      <w:r>
        <w:rPr>
          <w:rFonts w:ascii="Cambria" w:hAnsi="Cambria"/>
        </w:rPr>
        <w:t xml:space="preserve">. 2008). The duration of latent infections depends on the host species involved and may not be detected at the time of inspection. The symptomless nature of these pathogens indicate that visually healthy plants may harbour a sporulating pathogen in the roots or the foliage, in other words, visual inspection alone may be insufficient. </w:t>
      </w:r>
      <w:r>
        <w:rPr>
          <w:rFonts w:ascii="Cambria" w:hAnsi="Cambria"/>
          <w:i/>
          <w:iCs/>
        </w:rPr>
        <w:t xml:space="preserve">Phytophthora ramorum </w:t>
      </w:r>
      <w:r>
        <w:rPr>
          <w:rFonts w:ascii="Cambria" w:hAnsi="Cambria"/>
        </w:rPr>
        <w:t xml:space="preserve">and </w:t>
      </w:r>
      <w:r>
        <w:rPr>
          <w:rFonts w:ascii="Cambria" w:hAnsi="Cambria"/>
          <w:i/>
          <w:iCs/>
        </w:rPr>
        <w:t>P. kernoviae</w:t>
      </w:r>
      <w:r>
        <w:rPr>
          <w:rFonts w:ascii="Cambria" w:hAnsi="Cambria"/>
        </w:rPr>
        <w:t xml:space="preserve"> are known to cause latent infections on certain hosts and are capable of producing spores without producing any symptoms (Denman </w:t>
      </w:r>
      <w:r>
        <w:rPr>
          <w:rFonts w:ascii="Cambria" w:hAnsi="Cambria"/>
          <w:iCs/>
        </w:rPr>
        <w:t>et al</w:t>
      </w:r>
      <w:r>
        <w:rPr>
          <w:rFonts w:ascii="Cambria" w:hAnsi="Cambria"/>
        </w:rPr>
        <w:t>. 2008; Vettraino</w:t>
      </w:r>
      <w:r>
        <w:rPr>
          <w:rFonts w:ascii="Cambria" w:hAnsi="Cambria"/>
          <w:iCs/>
        </w:rPr>
        <w:t xml:space="preserve"> et al</w:t>
      </w:r>
      <w:r>
        <w:rPr>
          <w:rFonts w:ascii="Cambria" w:hAnsi="Cambria"/>
        </w:rPr>
        <w:t xml:space="preserve">. 2009). Reliance solely on on-arrival visual inspection therefore does not adequately mitigate the risk of </w:t>
      </w:r>
      <w:r>
        <w:rPr>
          <w:rFonts w:ascii="Cambria" w:hAnsi="Cambria"/>
          <w:i/>
        </w:rPr>
        <w:t xml:space="preserve">Phytophthora </w:t>
      </w:r>
      <w:r>
        <w:rPr>
          <w:rFonts w:ascii="Cambria" w:hAnsi="Cambria"/>
        </w:rPr>
        <w:t>species entering Australia on cuttings and budwood. Therefore, additional risk management measures are required for these pathogens.</w:t>
      </w:r>
    </w:p>
    <w:p w:rsidR="00E94405" w:rsidRDefault="00A11609">
      <w:pPr>
        <w:spacing w:before="200" w:line="269" w:lineRule="auto"/>
        <w:rPr>
          <w:rFonts w:ascii="Cambria" w:hAnsi="Cambria"/>
        </w:rPr>
      </w:pPr>
      <w:r>
        <w:rPr>
          <w:rFonts w:ascii="Cambria" w:hAnsi="Cambria" w:cs="Verdana"/>
          <w:b/>
          <w:bCs/>
        </w:rPr>
        <w:t>Freedom from soil and extraneous material</w:t>
      </w:r>
      <w:r>
        <w:rPr>
          <w:rFonts w:ascii="Cambria" w:hAnsi="Cambria"/>
          <w:b/>
        </w:rPr>
        <w:t xml:space="preserve"> </w:t>
      </w:r>
      <w:r>
        <w:rPr>
          <w:rFonts w:ascii="Cambria" w:hAnsi="Cambria"/>
        </w:rPr>
        <w:t xml:space="preserve">will be adequate to mitigate the risk of soil-borne pathogens. The </w:t>
      </w:r>
      <w:r>
        <w:rPr>
          <w:rFonts w:ascii="Cambria" w:hAnsi="Cambria"/>
          <w:i/>
          <w:iCs/>
        </w:rPr>
        <w:t xml:space="preserve">Phytophthora </w:t>
      </w:r>
      <w:r>
        <w:rPr>
          <w:rFonts w:ascii="Cambria" w:hAnsi="Cambria"/>
        </w:rPr>
        <w:t xml:space="preserve">species under review are known to survive in the soil; for example, </w:t>
      </w:r>
      <w:r>
        <w:rPr>
          <w:rFonts w:ascii="Cambria" w:hAnsi="Cambria"/>
          <w:i/>
          <w:iCs/>
        </w:rPr>
        <w:t>Phytophthora ramorum</w:t>
      </w:r>
      <w:r>
        <w:rPr>
          <w:rFonts w:ascii="Cambria" w:hAnsi="Cambria"/>
        </w:rPr>
        <w:t xml:space="preserve"> can survive for at least 8–11 months in soil (Shishkoff 2007). Soil contaminated with sporangia, oospores or chlamydospores provide a pathway for the introduction and spread of the pathogen into Australia (Hansen </w:t>
      </w:r>
      <w:r>
        <w:rPr>
          <w:rFonts w:ascii="Cambria" w:hAnsi="Cambria"/>
          <w:iCs/>
        </w:rPr>
        <w:t>et al</w:t>
      </w:r>
      <w:r>
        <w:rPr>
          <w:rFonts w:ascii="Cambria" w:hAnsi="Cambria"/>
        </w:rPr>
        <w:t xml:space="preserve">. 2000). Therefore, it is proposed that the requirement for imported propagative material to be free from soil and other extraneous contamination of quarantine concern be maintained, in-line with general nursery stock import conditions, to prevent the potential introduction of soil-borne pests. Although not directly related to the commodity itself, there are many plant pests that can be found in the soil which are able to remain viable in that environment for several years. These pests can be spread by the movement of contaminated soil. </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2" w:name="_Toc386635013"/>
      <w:r>
        <w:rPr>
          <w:rFonts w:ascii="Calibri" w:hAnsi="Calibri" w:cstheme="minorBidi"/>
          <w:sz w:val="24"/>
          <w:szCs w:val="22"/>
        </w:rPr>
        <w:lastRenderedPageBreak/>
        <w:t>Mandatory on arrival treatment for cuttings and budwood</w:t>
      </w:r>
      <w:bookmarkEnd w:id="142"/>
    </w:p>
    <w:p w:rsidR="00E94405" w:rsidRDefault="00A11609">
      <w:pPr>
        <w:spacing w:before="200" w:line="269" w:lineRule="auto"/>
        <w:rPr>
          <w:rFonts w:ascii="Cambria" w:hAnsi="Cambria"/>
        </w:rPr>
      </w:pPr>
      <w:r>
        <w:rPr>
          <w:rFonts w:ascii="Cambria" w:hAnsi="Cambria"/>
        </w:rPr>
        <w:t>The existing requirement for mandatory on-arrival fumigation (T9060) of imported cuttings and budwood is proposed to continue. However, insecticidal dip is proposed as an alternative to mandatory methyl bromide fumigation.</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3" w:name="_Toc386635014"/>
      <w:r>
        <w:rPr>
          <w:rFonts w:ascii="Calibri" w:hAnsi="Calibri" w:cstheme="minorBidi"/>
          <w:sz w:val="24"/>
          <w:szCs w:val="22"/>
        </w:rPr>
        <w:t>Mandatory growth in closed PEQ</w:t>
      </w:r>
      <w:bookmarkEnd w:id="143"/>
    </w:p>
    <w:p w:rsidR="00E94405" w:rsidRDefault="00A11609">
      <w:pPr>
        <w:spacing w:before="200" w:line="269" w:lineRule="auto"/>
        <w:rPr>
          <w:rFonts w:ascii="Cambria" w:hAnsi="Cambria"/>
        </w:rPr>
      </w:pPr>
      <w:r>
        <w:rPr>
          <w:rFonts w:ascii="Cambria" w:hAnsi="Cambria"/>
        </w:rPr>
        <w:t xml:space="preserve">The existing requirement for growth in a PEQ facility is an appropriate phytosanitary measure for the safe introduction of </w:t>
      </w:r>
      <w:r>
        <w:rPr>
          <w:rFonts w:ascii="Cambria" w:hAnsi="Cambria"/>
          <w:i/>
          <w:iCs/>
        </w:rPr>
        <w:t xml:space="preserve">Phytophthora </w:t>
      </w:r>
      <w:r>
        <w:rPr>
          <w:rFonts w:ascii="Cambria" w:hAnsi="Cambria"/>
        </w:rPr>
        <w:t xml:space="preserve">host propagative material (tissue cultures, dormant cuttings and budwood). Therefore, the existing requirement for mandatory growth under </w:t>
      </w:r>
      <w:r>
        <w:rPr>
          <w:rFonts w:ascii="Cambria" w:hAnsi="Cambria"/>
          <w:bCs/>
        </w:rPr>
        <w:t>closed</w:t>
      </w:r>
      <w:r>
        <w:rPr>
          <w:rFonts w:ascii="Cambria" w:hAnsi="Cambria"/>
        </w:rPr>
        <w:t xml:space="preserve"> quarantine, at a government PEQ facility for pathogen screening is supported; however, the department considers that the growth period in the PEQ facilities requires further improvements.</w:t>
      </w:r>
    </w:p>
    <w:p w:rsidR="00E94405" w:rsidRDefault="00A11609">
      <w:pPr>
        <w:pStyle w:val="Heading4"/>
        <w:spacing w:before="120"/>
        <w:rPr>
          <w:i/>
        </w:rPr>
      </w:pPr>
      <w:r>
        <w:rPr>
          <w:i/>
        </w:rPr>
        <w:t>Tissue cultures (microplantlets)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Tissue cultures currently require mandatory growth in PEQ for a minimum of 12 months for passive pathogen screening (PEQ periods may vary for tissue culture SOD hosts due to other high risk pathogens). Therefore, the existing requirement for mandatory growth of tissue cultures under </w:t>
      </w:r>
      <w:r>
        <w:rPr>
          <w:rFonts w:ascii="Cambria" w:hAnsi="Cambria"/>
          <w:bCs/>
        </w:rPr>
        <w:t>closed</w:t>
      </w:r>
      <w:r>
        <w:rPr>
          <w:rFonts w:ascii="Cambria" w:hAnsi="Cambria"/>
        </w:rPr>
        <w:t xml:space="preserve"> quarantine, at a government PEQ facility for pathogen screening is supported and it is proposed that visual inspection should be supplemented with molecular tests including a generic </w:t>
      </w:r>
      <w:r>
        <w:rPr>
          <w:rFonts w:ascii="Cambria" w:hAnsi="Cambria"/>
          <w:i/>
        </w:rPr>
        <w:t>Phytophthora</w:t>
      </w:r>
      <w:r>
        <w:rPr>
          <w:rFonts w:ascii="Cambria" w:hAnsi="Cambria"/>
        </w:rPr>
        <w:t xml:space="preserve"> PCR test.</w:t>
      </w:r>
    </w:p>
    <w:p w:rsidR="00E94405" w:rsidRDefault="00A11609">
      <w:pPr>
        <w:pStyle w:val="AQISNum"/>
        <w:numPr>
          <w:ilvl w:val="1"/>
          <w:numId w:val="33"/>
        </w:numPr>
        <w:tabs>
          <w:tab w:val="clear" w:pos="1440"/>
          <w:tab w:val="num" w:pos="851"/>
        </w:tabs>
        <w:spacing w:before="120" w:after="120" w:line="269" w:lineRule="auto"/>
        <w:ind w:left="851" w:hanging="425"/>
        <w:rPr>
          <w:rFonts w:ascii="Cambria" w:hAnsi="Cambria"/>
          <w:szCs w:val="22"/>
        </w:rPr>
      </w:pPr>
      <w:r>
        <w:rPr>
          <w:rFonts w:ascii="Cambria" w:hAnsi="Cambria"/>
          <w:szCs w:val="22"/>
        </w:rPr>
        <w:t xml:space="preserve">Micropropagation (tissue cultures) is a powerful tool for the propagation and sanitary improvement of many woody plant species. Movement of planting material </w:t>
      </w:r>
      <w:r>
        <w:rPr>
          <w:rFonts w:ascii="Cambria" w:hAnsi="Cambria"/>
          <w:i/>
          <w:szCs w:val="22"/>
        </w:rPr>
        <w:t>in</w:t>
      </w:r>
      <w:r>
        <w:rPr>
          <w:rFonts w:ascii="Cambria" w:hAnsi="Cambria"/>
          <w:szCs w:val="22"/>
        </w:rPr>
        <w:t xml:space="preserve"> </w:t>
      </w:r>
      <w:r>
        <w:rPr>
          <w:rFonts w:ascii="Cambria" w:hAnsi="Cambria"/>
          <w:i/>
          <w:szCs w:val="22"/>
        </w:rPr>
        <w:t xml:space="preserve">vitro </w:t>
      </w:r>
      <w:r>
        <w:rPr>
          <w:rFonts w:ascii="Cambria" w:hAnsi="Cambria"/>
          <w:szCs w:val="22"/>
        </w:rPr>
        <w:t xml:space="preserve">cultures is the safest method, as </w:t>
      </w:r>
      <w:r>
        <w:rPr>
          <w:rFonts w:ascii="Cambria" w:hAnsi="Cambria"/>
          <w:i/>
          <w:szCs w:val="22"/>
        </w:rPr>
        <w:t>in</w:t>
      </w:r>
      <w:r>
        <w:rPr>
          <w:rFonts w:ascii="Cambria" w:hAnsi="Cambria"/>
          <w:szCs w:val="22"/>
        </w:rPr>
        <w:t xml:space="preserve"> </w:t>
      </w:r>
      <w:r>
        <w:rPr>
          <w:rFonts w:ascii="Cambria" w:hAnsi="Cambria"/>
          <w:i/>
          <w:szCs w:val="22"/>
        </w:rPr>
        <w:t xml:space="preserve">vitro </w:t>
      </w:r>
      <w:r>
        <w:rPr>
          <w:rFonts w:ascii="Cambria" w:hAnsi="Cambria"/>
          <w:szCs w:val="22"/>
        </w:rPr>
        <w:t>techniques (tissue cultures) are effective in eliminating many pathogens.</w:t>
      </w:r>
    </w:p>
    <w:p w:rsidR="00E94405" w:rsidRDefault="00A11609">
      <w:pPr>
        <w:pStyle w:val="Heading4"/>
        <w:spacing w:before="120"/>
        <w:rPr>
          <w:i/>
        </w:rPr>
      </w:pPr>
      <w:r>
        <w:rPr>
          <w:i/>
        </w:rPr>
        <w:t>Cuttings and budwood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Cuttings and budwood are currently required to be grown in PEQ for 24 months. The department considers that this requirement should be revised and that the growth time in PEQ could be reduced by the introduction of several safeguards including cultural and molecular techniques.</w:t>
      </w:r>
    </w:p>
    <w:p w:rsidR="00E94405" w:rsidRDefault="00A11609">
      <w:pPr>
        <w:pStyle w:val="AQISNum"/>
        <w:numPr>
          <w:ilvl w:val="1"/>
          <w:numId w:val="33"/>
        </w:numPr>
        <w:tabs>
          <w:tab w:val="clear" w:pos="1440"/>
          <w:tab w:val="num" w:pos="851"/>
        </w:tabs>
        <w:spacing w:before="120" w:after="120" w:line="269" w:lineRule="auto"/>
        <w:ind w:left="851" w:hanging="425"/>
        <w:rPr>
          <w:rFonts w:ascii="Cambria" w:hAnsi="Cambria"/>
          <w:szCs w:val="22"/>
        </w:rPr>
      </w:pPr>
      <w:r>
        <w:rPr>
          <w:rFonts w:ascii="Cambria" w:hAnsi="Cambria"/>
          <w:szCs w:val="22"/>
        </w:rPr>
        <w:t xml:space="preserve">In naturally-infected </w:t>
      </w:r>
      <w:r>
        <w:rPr>
          <w:rFonts w:ascii="Cambria" w:hAnsi="Cambria"/>
          <w:i/>
          <w:iCs/>
          <w:szCs w:val="22"/>
        </w:rPr>
        <w:t>Quercus</w:t>
      </w:r>
      <w:r>
        <w:rPr>
          <w:rFonts w:ascii="Cambria" w:hAnsi="Cambria"/>
          <w:szCs w:val="22"/>
        </w:rPr>
        <w:t xml:space="preserve"> and </w:t>
      </w:r>
      <w:r>
        <w:rPr>
          <w:rFonts w:ascii="Cambria" w:hAnsi="Cambria"/>
          <w:i/>
          <w:iCs/>
          <w:szCs w:val="22"/>
        </w:rPr>
        <w:t>Lithocarpus</w:t>
      </w:r>
      <w:r>
        <w:rPr>
          <w:rFonts w:ascii="Cambria" w:hAnsi="Cambria"/>
          <w:szCs w:val="22"/>
        </w:rPr>
        <w:t xml:space="preserve"> Californian forests, the apparent latent period may range from less than one year to two or more years (Swiecki &amp; Berhardt 2010). In contrast, other reports suggest that there </w:t>
      </w:r>
      <w:r>
        <w:rPr>
          <w:rFonts w:ascii="Cambria" w:hAnsi="Cambria"/>
          <w:iCs/>
          <w:szCs w:val="22"/>
        </w:rPr>
        <w:t>i</w:t>
      </w:r>
      <w:r>
        <w:rPr>
          <w:rFonts w:ascii="Cambria" w:hAnsi="Cambria"/>
          <w:szCs w:val="22"/>
        </w:rPr>
        <w:t>s lit</w:t>
      </w:r>
      <w:r>
        <w:rPr>
          <w:rFonts w:ascii="Cambria" w:hAnsi="Cambria"/>
          <w:iCs/>
          <w:szCs w:val="22"/>
        </w:rPr>
        <w:t>tle evidenc</w:t>
      </w:r>
      <w:r>
        <w:rPr>
          <w:rFonts w:ascii="Cambria" w:hAnsi="Cambria"/>
          <w:szCs w:val="22"/>
        </w:rPr>
        <w:t xml:space="preserve">e for latency of infection; for example, under controlled environments, lesions were present within five days in </w:t>
      </w:r>
      <w:r>
        <w:rPr>
          <w:rFonts w:ascii="Cambria" w:hAnsi="Cambria"/>
          <w:i/>
          <w:iCs/>
          <w:szCs w:val="22"/>
        </w:rPr>
        <w:t>Rhododendron</w:t>
      </w:r>
      <w:r>
        <w:rPr>
          <w:rFonts w:ascii="Cambria" w:hAnsi="Cambria"/>
          <w:szCs w:val="22"/>
        </w:rPr>
        <w:t xml:space="preserve"> leaves (DEFRA 2004).</w:t>
      </w:r>
    </w:p>
    <w:p w:rsidR="00E94405" w:rsidRDefault="00A11609">
      <w:pPr>
        <w:pStyle w:val="AQISNum"/>
        <w:numPr>
          <w:ilvl w:val="1"/>
          <w:numId w:val="33"/>
        </w:numPr>
        <w:tabs>
          <w:tab w:val="clear" w:pos="1440"/>
          <w:tab w:val="num" w:pos="851"/>
        </w:tabs>
        <w:spacing w:before="120" w:after="120" w:line="269" w:lineRule="auto"/>
        <w:ind w:left="851" w:hanging="425"/>
        <w:rPr>
          <w:rFonts w:ascii="Cambria" w:hAnsi="Cambria"/>
          <w:szCs w:val="22"/>
        </w:rPr>
      </w:pPr>
      <w:r>
        <w:rPr>
          <w:rFonts w:ascii="Cambria" w:hAnsi="Cambria"/>
          <w:i/>
          <w:szCs w:val="22"/>
        </w:rPr>
        <w:t xml:space="preserve">Phytophthora ramorum </w:t>
      </w:r>
      <w:r>
        <w:rPr>
          <w:rFonts w:ascii="Cambria" w:hAnsi="Cambria"/>
          <w:szCs w:val="22"/>
        </w:rPr>
        <w:t>symptoms are expressed within three months of active growth of the pathogen (de Hoop 2002</w:t>
      </w:r>
      <w:r>
        <w:rPr>
          <w:rFonts w:ascii="Cambria" w:hAnsi="Cambria"/>
          <w:iCs/>
          <w:szCs w:val="22"/>
        </w:rPr>
        <w:t>); however,</w:t>
      </w:r>
      <w:r>
        <w:rPr>
          <w:rFonts w:ascii="Cambria" w:hAnsi="Cambria"/>
          <w:szCs w:val="22"/>
        </w:rPr>
        <w:t xml:space="preserve"> if fungicides are used it may take three to six months for chemical activity to subside and for the growth of </w:t>
      </w:r>
      <w:r>
        <w:rPr>
          <w:rFonts w:ascii="Cambria" w:hAnsi="Cambria"/>
          <w:i/>
          <w:iCs/>
          <w:szCs w:val="22"/>
        </w:rPr>
        <w:t>Phytophthora</w:t>
      </w:r>
      <w:r>
        <w:rPr>
          <w:rFonts w:ascii="Cambria" w:hAnsi="Cambria"/>
          <w:szCs w:val="22"/>
        </w:rPr>
        <w:t xml:space="preserve"> to resume within infected plants (Goheen </w:t>
      </w:r>
      <w:r>
        <w:rPr>
          <w:rFonts w:ascii="Cambria" w:hAnsi="Cambria"/>
          <w:iCs/>
          <w:szCs w:val="22"/>
        </w:rPr>
        <w:t>et al</w:t>
      </w:r>
      <w:r>
        <w:rPr>
          <w:rFonts w:ascii="Cambria" w:hAnsi="Cambria"/>
          <w:szCs w:val="22"/>
        </w:rPr>
        <w:t>. 2006b).</w:t>
      </w:r>
    </w:p>
    <w:p w:rsidR="00E94405" w:rsidRDefault="00A11609">
      <w:pPr>
        <w:pStyle w:val="AQISNum"/>
        <w:numPr>
          <w:ilvl w:val="1"/>
          <w:numId w:val="33"/>
        </w:numPr>
        <w:tabs>
          <w:tab w:val="clear" w:pos="1440"/>
          <w:tab w:val="num" w:pos="851"/>
        </w:tabs>
        <w:spacing w:before="120" w:after="120" w:line="269" w:lineRule="auto"/>
        <w:ind w:left="851" w:hanging="425"/>
        <w:rPr>
          <w:rFonts w:ascii="Cambria" w:hAnsi="Cambria"/>
          <w:iCs/>
          <w:szCs w:val="22"/>
        </w:rPr>
      </w:pPr>
      <w:r>
        <w:rPr>
          <w:rFonts w:ascii="Cambria" w:hAnsi="Cambria"/>
          <w:iCs/>
          <w:szCs w:val="22"/>
        </w:rPr>
        <w:t>Under controlled environments, asymptomatic infection and sporulation endured for at least eight to ten days</w:t>
      </w:r>
      <w:r>
        <w:rPr>
          <w:rFonts w:ascii="Cambria" w:hAnsi="Cambria"/>
          <w:szCs w:val="22"/>
        </w:rPr>
        <w:t xml:space="preserve"> (Denman </w:t>
      </w:r>
      <w:r>
        <w:rPr>
          <w:rFonts w:ascii="Cambria" w:hAnsi="Cambria"/>
          <w:iCs/>
          <w:szCs w:val="22"/>
        </w:rPr>
        <w:t>et al</w:t>
      </w:r>
      <w:r>
        <w:rPr>
          <w:rFonts w:ascii="Cambria" w:hAnsi="Cambria"/>
          <w:szCs w:val="22"/>
        </w:rPr>
        <w:t>. 2008).</w:t>
      </w:r>
    </w:p>
    <w:p w:rsidR="00E94405" w:rsidRDefault="00A11609">
      <w:pPr>
        <w:pStyle w:val="AQISNum"/>
        <w:numPr>
          <w:ilvl w:val="0"/>
          <w:numId w:val="32"/>
        </w:numPr>
        <w:spacing w:before="120" w:after="120" w:line="269" w:lineRule="auto"/>
        <w:rPr>
          <w:rFonts w:ascii="Cambria" w:hAnsi="Cambria"/>
          <w:szCs w:val="22"/>
        </w:rPr>
      </w:pPr>
      <w:r>
        <w:rPr>
          <w:rFonts w:ascii="Cambria" w:hAnsi="Cambria"/>
          <w:szCs w:val="22"/>
        </w:rPr>
        <w:t>Based on these observations it is proposed that the PEQ growth period could be reduced to 15 months.</w:t>
      </w:r>
    </w:p>
    <w:p w:rsidR="00E94405" w:rsidRDefault="00A11609">
      <w:pPr>
        <w:pStyle w:val="Heading2"/>
        <w:numPr>
          <w:ilvl w:val="1"/>
          <w:numId w:val="21"/>
        </w:numPr>
        <w:tabs>
          <w:tab w:val="clear" w:pos="576"/>
        </w:tabs>
        <w:spacing w:before="200" w:after="120"/>
        <w:ind w:left="709" w:hanging="709"/>
        <w:rPr>
          <w:rFonts w:eastAsiaTheme="majorEastAsia" w:cstheme="majorBidi"/>
          <w:color w:val="773141"/>
          <w:sz w:val="28"/>
        </w:rPr>
      </w:pPr>
      <w:bookmarkStart w:id="144" w:name="_Toc414019455"/>
      <w:r>
        <w:rPr>
          <w:rFonts w:eastAsiaTheme="majorEastAsia" w:cstheme="majorBidi"/>
          <w:color w:val="773141"/>
          <w:sz w:val="28"/>
        </w:rPr>
        <w:lastRenderedPageBreak/>
        <w:t xml:space="preserve">Proposed risk mitigation measures for propagative material from </w:t>
      </w:r>
      <w:r>
        <w:rPr>
          <w:rFonts w:eastAsiaTheme="majorEastAsia" w:cstheme="majorBidi"/>
          <w:i/>
          <w:color w:val="773141"/>
          <w:sz w:val="28"/>
        </w:rPr>
        <w:t xml:space="preserve">Phytophthora ramorum, P. kernoviae, P.nemerosa </w:t>
      </w:r>
      <w:r>
        <w:rPr>
          <w:rFonts w:eastAsiaTheme="majorEastAsia" w:cstheme="majorBidi"/>
          <w:color w:val="773141"/>
          <w:sz w:val="28"/>
        </w:rPr>
        <w:t xml:space="preserve">and </w:t>
      </w:r>
      <w:r>
        <w:rPr>
          <w:rFonts w:eastAsiaTheme="majorEastAsia" w:cstheme="majorBidi"/>
          <w:i/>
          <w:color w:val="773141"/>
          <w:sz w:val="28"/>
        </w:rPr>
        <w:t>P. pseudosyringae</w:t>
      </w:r>
      <w:r>
        <w:rPr>
          <w:rFonts w:eastAsiaTheme="majorEastAsia" w:cstheme="majorBidi"/>
          <w:color w:val="773141"/>
          <w:sz w:val="28"/>
        </w:rPr>
        <w:t xml:space="preserve"> countries</w:t>
      </w:r>
      <w:bookmarkEnd w:id="144"/>
    </w:p>
    <w:p w:rsidR="00E94405" w:rsidRDefault="00A11609">
      <w:pPr>
        <w:spacing w:before="200"/>
        <w:rPr>
          <w:rFonts w:ascii="Cambria" w:hAnsi="Cambria"/>
          <w:snapToGrid w:val="0"/>
        </w:rPr>
      </w:pPr>
      <w:r>
        <w:rPr>
          <w:rFonts w:ascii="Cambria" w:hAnsi="Cambria"/>
        </w:rPr>
        <w:t xml:space="preserve">The current review proposes pro-active testing and a reduction in the growth period in PEQ. The current review also proposes to allow bare-rooted plants from countries where these </w:t>
      </w:r>
      <w:r>
        <w:rPr>
          <w:rFonts w:ascii="Cambria" w:hAnsi="Cambria"/>
          <w:i/>
        </w:rPr>
        <w:t xml:space="preserve">Phytophthora </w:t>
      </w:r>
      <w:r>
        <w:rPr>
          <w:rFonts w:ascii="Cambria" w:hAnsi="Cambria"/>
        </w:rPr>
        <w:t xml:space="preserve">species are known to occur. Proposed testing procedures </w:t>
      </w:r>
      <w:r>
        <w:rPr>
          <w:rFonts w:ascii="Cambria" w:hAnsi="Cambria"/>
          <w:snapToGrid w:val="0"/>
        </w:rPr>
        <w:t xml:space="preserve">are based on active testing for all four </w:t>
      </w:r>
      <w:r>
        <w:rPr>
          <w:rFonts w:ascii="Cambria" w:hAnsi="Cambria"/>
          <w:i/>
          <w:iCs/>
          <w:snapToGrid w:val="0"/>
        </w:rPr>
        <w:t xml:space="preserve">Phytophthora </w:t>
      </w:r>
      <w:r>
        <w:rPr>
          <w:rFonts w:ascii="Cambria" w:hAnsi="Cambria"/>
        </w:rPr>
        <w:t>species</w:t>
      </w:r>
      <w:r>
        <w:rPr>
          <w:rFonts w:ascii="Cambria" w:hAnsi="Cambria"/>
          <w:snapToGrid w:val="0"/>
        </w:rPr>
        <w:t xml:space="preserve"> using modern molecular techniques. This approach allows imported propagative material to be screened for a minimum period of 15 months in PEQ instead of the current 24 months.</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Regulatory approach—the host</w:t>
      </w:r>
    </w:p>
    <w:p w:rsidR="00E94405" w:rsidRDefault="00A11609">
      <w:pPr>
        <w:spacing w:before="200"/>
        <w:rPr>
          <w:rFonts w:ascii="Cambria" w:hAnsi="Cambria"/>
        </w:rPr>
      </w:pPr>
      <w:r>
        <w:rPr>
          <w:rFonts w:ascii="Cambria" w:hAnsi="Cambria"/>
        </w:rPr>
        <w:t xml:space="preserve">This review proposes that the regulations be lifted for experimental hosts of </w:t>
      </w:r>
      <w:r>
        <w:rPr>
          <w:rFonts w:ascii="Cambria" w:hAnsi="Cambria"/>
          <w:i/>
        </w:rPr>
        <w:t>Phytophthora ramorum</w:t>
      </w:r>
      <w:r>
        <w:rPr>
          <w:rFonts w:ascii="Cambria" w:hAnsi="Cambria"/>
        </w:rPr>
        <w:t>.</w:t>
      </w:r>
    </w:p>
    <w:p w:rsidR="00E94405" w:rsidRDefault="00A11609">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Tissue cultures (microplantlets)</w:t>
      </w:r>
    </w:p>
    <w:p w:rsidR="00E94405" w:rsidRDefault="00A11609">
      <w:pPr>
        <w:spacing w:before="200"/>
        <w:rPr>
          <w:rFonts w:ascii="Cambria" w:hAnsi="Cambria"/>
        </w:rPr>
      </w:pPr>
      <w:r>
        <w:rPr>
          <w:rFonts w:ascii="Cambria" w:hAnsi="Cambria"/>
        </w:rPr>
        <w:t>The existing policy requirements of mandatory on-arrival inspection and growth in a PEQ facility are supported in this review. It is proposed that imported tissue cultures be well rooted prior to arrival as this helps in their establishment out of agar into the growth media.</w:t>
      </w:r>
    </w:p>
    <w:p w:rsidR="00E94405" w:rsidRDefault="00A11609">
      <w:pPr>
        <w:pStyle w:val="Heading4"/>
        <w:spacing w:before="120"/>
        <w:rPr>
          <w:i/>
        </w:rPr>
      </w:pPr>
      <w:r>
        <w:rPr>
          <w:i/>
        </w:rPr>
        <w:t>Mandatory on-arrival inspection</w:t>
      </w:r>
    </w:p>
    <w:p w:rsidR="00E94405" w:rsidRDefault="00A11609">
      <w:pPr>
        <w:spacing w:before="200"/>
        <w:rPr>
          <w:rFonts w:ascii="Cambria" w:hAnsi="Cambria"/>
        </w:rPr>
      </w:pPr>
      <w:r>
        <w:rPr>
          <w:rFonts w:ascii="Cambria" w:hAnsi="Cambria"/>
        </w:rPr>
        <w:t>Imported tissue cultures must be subjected to mandatory on-arrival inspection to verify freedom from disease symptoms, live insects, soil and other extraneous contaminants of quarantine concern.</w:t>
      </w:r>
    </w:p>
    <w:p w:rsidR="00E94405" w:rsidRDefault="00A11609">
      <w:pPr>
        <w:pStyle w:val="Heading4"/>
        <w:spacing w:before="120"/>
        <w:rPr>
          <w:i/>
        </w:rPr>
      </w:pPr>
      <w:r>
        <w:rPr>
          <w:i/>
        </w:rPr>
        <w:t>Mandatory growth in PEQ facilities</w:t>
      </w:r>
    </w:p>
    <w:p w:rsidR="00E94405" w:rsidRDefault="00A11609">
      <w:pPr>
        <w:spacing w:before="200"/>
        <w:rPr>
          <w:rFonts w:ascii="Cambria" w:hAnsi="Cambria"/>
        </w:rPr>
      </w:pPr>
      <w:r>
        <w:rPr>
          <w:rFonts w:ascii="Cambria" w:hAnsi="Cambria"/>
        </w:rPr>
        <w:t>The imported tissue cultures must be grown in a closed government PEQ facility for a minimum of 12 months; with pathogen screening/testing. Tissue cultures must be grown in closed government PEQ facilities for a period of observation, and until the required pathogen screening/testing is completed.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Appropriate environmental conditions (temperature and humidity) are important for symptom expression; therefore, it is proposed that tissue cultures be grown in mist beds/fog for the first six weeks at 19–25 degrees Celsius to favour symptom expression for all four </w:t>
      </w:r>
      <w:r>
        <w:rPr>
          <w:rFonts w:ascii="Cambria" w:hAnsi="Cambria"/>
          <w:i/>
        </w:rPr>
        <w:t>Phytophthora</w:t>
      </w:r>
      <w:r>
        <w:rPr>
          <w:rFonts w:ascii="Cambria" w:hAnsi="Cambria"/>
        </w:rPr>
        <w:t xml:space="preserve"> pathogens.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Phytophthora ramorum</w:t>
      </w:r>
      <w:r>
        <w:rPr>
          <w:rFonts w:ascii="Cambria" w:hAnsi="Cambria"/>
        </w:rPr>
        <w:t xml:space="preserve"> and </w:t>
      </w:r>
      <w:r>
        <w:rPr>
          <w:rFonts w:ascii="Cambria" w:hAnsi="Cambria"/>
          <w:i/>
        </w:rPr>
        <w:t>P. kernoviae</w:t>
      </w:r>
      <w:r>
        <w:rPr>
          <w:rFonts w:ascii="Cambria" w:hAnsi="Cambria"/>
        </w:rPr>
        <w:t xml:space="preserve"> are known to cause latent infections on certain hosts and are capable of producing spores without producing any symptoms (Denman et al. 2008; Vettraino et al. 2009). Under controlled environments, latent infection and sporulation endure for at least eight days, and can be as long as 22 days (Denman et al. 2008). However, in naturally-infected </w:t>
      </w:r>
      <w:r>
        <w:rPr>
          <w:rFonts w:ascii="Cambria" w:hAnsi="Cambria"/>
          <w:i/>
        </w:rPr>
        <w:t>Quercus</w:t>
      </w:r>
      <w:r>
        <w:rPr>
          <w:rFonts w:ascii="Cambria" w:hAnsi="Cambria"/>
        </w:rPr>
        <w:t xml:space="preserve"> and </w:t>
      </w:r>
      <w:r>
        <w:rPr>
          <w:rFonts w:ascii="Cambria" w:hAnsi="Cambria"/>
          <w:i/>
        </w:rPr>
        <w:t>Lithocarpus</w:t>
      </w:r>
      <w:r>
        <w:rPr>
          <w:rFonts w:ascii="Cambria" w:hAnsi="Cambria"/>
        </w:rPr>
        <w:t xml:space="preserve"> in Californian forests (mature trees) the apparent latent period may range from less than one year to two or more years (Swiecki &amp; Bernhardt 2006).</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Under a controlled environment, the time period between infection and appearance of symptoms of </w:t>
      </w:r>
      <w:r>
        <w:rPr>
          <w:rFonts w:ascii="Cambria" w:hAnsi="Cambria"/>
          <w:i/>
        </w:rPr>
        <w:t xml:space="preserve">P. ramorum </w:t>
      </w:r>
      <w:r>
        <w:rPr>
          <w:rFonts w:ascii="Cambria" w:hAnsi="Cambria"/>
        </w:rPr>
        <w:t xml:space="preserve">decreases with increasing temperatures (DEFRA 2004). The </w:t>
      </w:r>
      <w:r>
        <w:rPr>
          <w:rFonts w:ascii="Cambria" w:hAnsi="Cambria"/>
        </w:rPr>
        <w:lastRenderedPageBreak/>
        <w:t xml:space="preserve">symptoms appeared within five days at 25 degrees Celsius after inoculation (DEFRA 2004); therefore, growing tissue cultures for the first six weeks at 19–25 degrees Celsius will assist with disease expression and pathogen detection.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It is proposed that during the PEQ growth period, tissue culture plantlets are subjected to visual inspection and molecular testing. Although visual assessment is an </w:t>
      </w:r>
      <w:r>
        <w:rPr>
          <w:rFonts w:ascii="Cambria" w:hAnsi="Cambria"/>
          <w:snapToGrid w:val="0"/>
        </w:rPr>
        <w:t>important</w:t>
      </w:r>
      <w:r>
        <w:rPr>
          <w:rFonts w:ascii="Cambria" w:hAnsi="Cambria"/>
        </w:rPr>
        <w:t xml:space="preserve"> method for screening pathogens, tissue cultures may be infected and not produce any obvious disease symptoms due to cultivar susceptibility, environmental conditions or other plant related factors.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The proposed pathogen testing during growth in PEQ will include </w:t>
      </w:r>
      <w:r>
        <w:rPr>
          <w:rFonts w:ascii="Cambria" w:hAnsi="Cambria"/>
          <w:snapToGrid w:val="0"/>
        </w:rPr>
        <w:t xml:space="preserve">active testing for </w:t>
      </w:r>
      <w:r>
        <w:rPr>
          <w:rFonts w:ascii="Cambria" w:hAnsi="Cambria"/>
          <w:i/>
          <w:iCs/>
          <w:snapToGrid w:val="0"/>
        </w:rPr>
        <w:t xml:space="preserve">Phytophthora </w:t>
      </w:r>
      <w:r>
        <w:rPr>
          <w:rFonts w:ascii="Cambria" w:hAnsi="Cambria"/>
          <w:snapToGrid w:val="0"/>
        </w:rPr>
        <w:t xml:space="preserve">species using </w:t>
      </w:r>
      <w:r>
        <w:rPr>
          <w:rFonts w:ascii="Cambria" w:hAnsi="Cambria"/>
        </w:rPr>
        <w:t>molecular</w:t>
      </w:r>
      <w:r>
        <w:rPr>
          <w:rFonts w:ascii="Cambria" w:hAnsi="Cambria"/>
          <w:snapToGrid w:val="0"/>
        </w:rPr>
        <w:t xml:space="preserve"> tests including, but not limited to, PCR. It is proposed that generic </w:t>
      </w:r>
      <w:r>
        <w:rPr>
          <w:rFonts w:ascii="Cambria" w:hAnsi="Cambria"/>
          <w:i/>
          <w:iCs/>
          <w:snapToGrid w:val="0"/>
        </w:rPr>
        <w:t xml:space="preserve">Phytophthora </w:t>
      </w:r>
      <w:r>
        <w:rPr>
          <w:rFonts w:ascii="Cambria" w:hAnsi="Cambria"/>
          <w:snapToGrid w:val="0"/>
        </w:rPr>
        <w:t xml:space="preserve">PCR of leaf tissues for each plant be carried out to verify freedom from </w:t>
      </w:r>
      <w:r>
        <w:rPr>
          <w:rFonts w:ascii="Cambria" w:hAnsi="Cambria"/>
          <w:i/>
          <w:iCs/>
          <w:snapToGrid w:val="0"/>
        </w:rPr>
        <w:t xml:space="preserve">Phytophthora </w:t>
      </w:r>
      <w:r>
        <w:rPr>
          <w:rFonts w:ascii="Cambria" w:hAnsi="Cambria"/>
          <w:snapToGrid w:val="0"/>
        </w:rPr>
        <w:t>species.</w:t>
      </w:r>
    </w:p>
    <w:p w:rsidR="00E94405" w:rsidRDefault="00A11609">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Dormant cuttings and budwood</w:t>
      </w:r>
    </w:p>
    <w:p w:rsidR="00E94405" w:rsidRDefault="00A11609">
      <w:pPr>
        <w:spacing w:before="200" w:line="269" w:lineRule="auto"/>
        <w:rPr>
          <w:rFonts w:ascii="Cambria" w:hAnsi="Cambria"/>
          <w:snapToGrid w:val="0"/>
        </w:rPr>
      </w:pPr>
      <w:r>
        <w:rPr>
          <w:rFonts w:ascii="Cambria" w:hAnsi="Cambria"/>
        </w:rPr>
        <w:t xml:space="preserve">This review proposes that the existing conditions (mandatory on-arrival inspection, fumigation, culturing, sodium hypochlorite treatment and growth in the PEQ facility) for 13 genera currently allowed entry into Australia be extended to all natural hosts of </w:t>
      </w:r>
      <w:r>
        <w:rPr>
          <w:rFonts w:ascii="Cambria" w:hAnsi="Cambria"/>
          <w:i/>
        </w:rPr>
        <w:t xml:space="preserve">Phytophthora </w:t>
      </w:r>
      <w:r>
        <w:rPr>
          <w:rFonts w:ascii="Cambria" w:hAnsi="Cambria"/>
        </w:rPr>
        <w:t xml:space="preserve">species under review. </w:t>
      </w:r>
    </w:p>
    <w:p w:rsidR="00E94405" w:rsidRDefault="00A11609">
      <w:pPr>
        <w:spacing w:before="200" w:line="269" w:lineRule="auto"/>
        <w:rPr>
          <w:rFonts w:ascii="Cambria" w:hAnsi="Cambria"/>
        </w:rPr>
      </w:pPr>
      <w:r>
        <w:rPr>
          <w:rFonts w:ascii="Cambria" w:hAnsi="Cambria"/>
        </w:rPr>
        <w:t>It is proposed that imported cuttings and budwood should be of one-year-old only. Cuttings should also be imported during October to February from the Northern Hemisphere. If this does not occur there may be delays in the release of planting material because the growth period may be too short to obtain sufficient material to conduct the required testing. The imported dormant cuttings must be subjected to the following conditions.</w:t>
      </w:r>
    </w:p>
    <w:p w:rsidR="00E94405" w:rsidRDefault="00A11609">
      <w:pPr>
        <w:pStyle w:val="Heading4"/>
        <w:spacing w:before="120"/>
        <w:rPr>
          <w:i/>
        </w:rPr>
      </w:pPr>
      <w:r>
        <w:rPr>
          <w:i/>
        </w:rPr>
        <w:t>Mandatory on-arrival inspection</w:t>
      </w:r>
    </w:p>
    <w:p w:rsidR="00E94405" w:rsidRDefault="00A11609">
      <w:pPr>
        <w:spacing w:before="200" w:line="269" w:lineRule="auto"/>
        <w:rPr>
          <w:rFonts w:ascii="Cambria" w:hAnsi="Cambria"/>
        </w:rPr>
      </w:pPr>
      <w:r>
        <w:rPr>
          <w:rFonts w:ascii="Cambria" w:hAnsi="Cambria"/>
        </w:rPr>
        <w:t>Imported dormant cuttings must be subjected to mandatory on-arrival inspection to verify freedom from disease symptoms, live insects, soil and other extraneous contaminants of quarantine concern.</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Cs/>
        </w:rPr>
        <w:t xml:space="preserve">The </w:t>
      </w:r>
      <w:r>
        <w:rPr>
          <w:rFonts w:ascii="Cambria" w:hAnsi="Cambria"/>
          <w:i/>
          <w:iCs/>
        </w:rPr>
        <w:t xml:space="preserve">Phytophthora </w:t>
      </w:r>
      <w:r>
        <w:rPr>
          <w:rFonts w:ascii="Cambria" w:hAnsi="Cambria"/>
        </w:rPr>
        <w:t xml:space="preserve">species under review are known to survive in the soil; for example, </w:t>
      </w:r>
      <w:r>
        <w:rPr>
          <w:rFonts w:ascii="Cambria" w:hAnsi="Cambria"/>
          <w:i/>
          <w:iCs/>
        </w:rPr>
        <w:t>Phytophthora ramorum</w:t>
      </w:r>
      <w:r>
        <w:rPr>
          <w:rFonts w:ascii="Cambria" w:hAnsi="Cambria"/>
        </w:rPr>
        <w:t xml:space="preserve"> can survive for at least 8–11 months in soil (Shishkoff 2007). Soil contaminated with sporangia, oospores or chlamydospores provide a pathway for the introduction and spread of the pathogen (Hansen </w:t>
      </w:r>
      <w:r>
        <w:rPr>
          <w:rFonts w:ascii="Cambria" w:hAnsi="Cambria"/>
          <w:iCs/>
        </w:rPr>
        <w:t>et al</w:t>
      </w:r>
      <w:r>
        <w:rPr>
          <w:rFonts w:ascii="Cambria" w:hAnsi="Cambria"/>
        </w:rPr>
        <w:t>. 2000); therefore, dormant cuttings or budwood should be free from soil.</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Mandatory on-arrival inspection will be effective to detect pathogens producing obvious disease symptoms; however, </w:t>
      </w:r>
      <w:r>
        <w:rPr>
          <w:rFonts w:ascii="Cambria" w:hAnsi="Cambria"/>
          <w:i/>
          <w:iCs/>
        </w:rPr>
        <w:t xml:space="preserve">P. ramorum </w:t>
      </w:r>
      <w:r>
        <w:rPr>
          <w:rFonts w:ascii="Cambria" w:hAnsi="Cambria"/>
        </w:rPr>
        <w:t xml:space="preserve">and </w:t>
      </w:r>
      <w:r>
        <w:rPr>
          <w:rFonts w:ascii="Cambria" w:hAnsi="Cambria"/>
          <w:i/>
          <w:iCs/>
        </w:rPr>
        <w:t>P. kernoviae</w:t>
      </w:r>
      <w:r>
        <w:rPr>
          <w:rFonts w:ascii="Cambria" w:hAnsi="Cambria"/>
        </w:rPr>
        <w:t xml:space="preserve"> are known to cause latent infections on certain hosts and are capable of producing spores without producing any symptoms (Denman </w:t>
      </w:r>
      <w:r>
        <w:rPr>
          <w:rFonts w:ascii="Cambria" w:hAnsi="Cambria"/>
          <w:iCs/>
        </w:rPr>
        <w:t>et al</w:t>
      </w:r>
      <w:r>
        <w:rPr>
          <w:rFonts w:ascii="Cambria" w:hAnsi="Cambria"/>
        </w:rPr>
        <w:t>. 2008; Vettraino</w:t>
      </w:r>
      <w:r>
        <w:rPr>
          <w:rFonts w:ascii="Cambria" w:hAnsi="Cambria"/>
          <w:i/>
          <w:iCs/>
        </w:rPr>
        <w:t xml:space="preserve"> </w:t>
      </w:r>
      <w:r>
        <w:rPr>
          <w:rFonts w:ascii="Cambria" w:hAnsi="Cambria"/>
          <w:iCs/>
        </w:rPr>
        <w:t>et al</w:t>
      </w:r>
      <w:r>
        <w:rPr>
          <w:rFonts w:ascii="Cambria" w:hAnsi="Cambria"/>
        </w:rPr>
        <w:t>. 2009). The symptomless nature of these pathogens indicates that visually healthy plants may harbour a sporulating pathogen; therefore, visual inspection alone may be insufficient.</w:t>
      </w:r>
    </w:p>
    <w:p w:rsidR="00E94405" w:rsidRDefault="00A11609">
      <w:pPr>
        <w:spacing w:before="200"/>
        <w:rPr>
          <w:rFonts w:ascii="Cambria" w:hAnsi="Cambria"/>
        </w:rPr>
      </w:pPr>
      <w:r>
        <w:rPr>
          <w:rFonts w:ascii="Cambria" w:hAnsi="Cambria"/>
        </w:rPr>
        <w:t xml:space="preserve">Reliance solely on on-arrival visual inspection therefore does not adequately mitigate the risk of </w:t>
      </w:r>
      <w:r>
        <w:rPr>
          <w:rFonts w:ascii="Cambria" w:hAnsi="Cambria"/>
          <w:i/>
        </w:rPr>
        <w:t xml:space="preserve">Phytophthora </w:t>
      </w:r>
      <w:r>
        <w:rPr>
          <w:rFonts w:ascii="Cambria" w:hAnsi="Cambria"/>
        </w:rPr>
        <w:t>species entering Australia on dormant cuttings. Therefore, additional risk management measures are required for dormant cuttings.</w:t>
      </w:r>
    </w:p>
    <w:p w:rsidR="00E94405" w:rsidRDefault="00A11609">
      <w:pPr>
        <w:pStyle w:val="Heading4"/>
        <w:spacing w:before="120"/>
        <w:rPr>
          <w:i/>
        </w:rPr>
      </w:pPr>
      <w:r>
        <w:rPr>
          <w:i/>
        </w:rPr>
        <w:lastRenderedPageBreak/>
        <w:t>Mandatory on-arrival treatment</w:t>
      </w:r>
    </w:p>
    <w:p w:rsidR="00E94405" w:rsidRDefault="00A11609">
      <w:pPr>
        <w:spacing w:before="200"/>
        <w:rPr>
          <w:rFonts w:ascii="Cambria" w:hAnsi="Cambria"/>
        </w:rPr>
      </w:pPr>
      <w:r>
        <w:rPr>
          <w:rFonts w:ascii="Cambria" w:hAnsi="Cambria"/>
        </w:rPr>
        <w:t xml:space="preserve">Imported dormant cuttings must be subjected to mandatory on-arrival methyl bromide fumigation or insecticidal dip. </w:t>
      </w:r>
    </w:p>
    <w:p w:rsidR="00E94405" w:rsidRDefault="00A11609">
      <w:pPr>
        <w:pStyle w:val="Heading4"/>
        <w:spacing w:before="120"/>
        <w:rPr>
          <w:i/>
        </w:rPr>
      </w:pPr>
      <w:r>
        <w:rPr>
          <w:i/>
        </w:rPr>
        <w:t xml:space="preserve">Mandatory culturing on-arrival </w:t>
      </w:r>
    </w:p>
    <w:p w:rsidR="00E94405" w:rsidRDefault="00A11609">
      <w:pPr>
        <w:pStyle w:val="Heading4"/>
        <w:spacing w:before="120"/>
        <w:rPr>
          <w:rFonts w:ascii="Cambria" w:hAnsi="Cambria"/>
          <w:b w:val="0"/>
          <w:bCs w:val="0"/>
          <w:iCs w:val="0"/>
        </w:rPr>
      </w:pPr>
      <w:r>
        <w:rPr>
          <w:rFonts w:ascii="Cambria" w:hAnsi="Cambria"/>
          <w:b w:val="0"/>
          <w:bCs w:val="0"/>
          <w:iCs w:val="0"/>
        </w:rPr>
        <w:t>It is recommended that following the mandatory methyl bromide fumigation or insecticidal dip, macerated buds from dormant cuttings be cultured to detect fungal pathogens. This broad spectrum culturing test is useful to screen imported dormant cuttings for fungal pathogens.</w:t>
      </w:r>
    </w:p>
    <w:p w:rsidR="00E94405" w:rsidRDefault="00A11609">
      <w:pPr>
        <w:pStyle w:val="Heading4"/>
        <w:spacing w:before="120"/>
        <w:rPr>
          <w:i/>
        </w:rPr>
      </w:pPr>
      <w:r>
        <w:rPr>
          <w:i/>
        </w:rPr>
        <w:t>Mandatory molecular testing</w:t>
      </w:r>
    </w:p>
    <w:p w:rsidR="00E94405" w:rsidRDefault="00A11609">
      <w:pPr>
        <w:spacing w:before="200"/>
        <w:rPr>
          <w:rFonts w:ascii="Cambria" w:hAnsi="Cambria"/>
        </w:rPr>
      </w:pPr>
      <w:r>
        <w:rPr>
          <w:rFonts w:ascii="Cambria" w:hAnsi="Cambria"/>
        </w:rPr>
        <w:t xml:space="preserve">It is proposed that stem tissues from imported cuttings and budwood must be removed and subjected to mandatory generic </w:t>
      </w:r>
      <w:r>
        <w:rPr>
          <w:rFonts w:ascii="Cambria" w:hAnsi="Cambria"/>
          <w:i/>
          <w:iCs/>
        </w:rPr>
        <w:t xml:space="preserve">Phytophthora </w:t>
      </w:r>
      <w:r>
        <w:rPr>
          <w:rFonts w:ascii="Cambria" w:hAnsi="Cambria"/>
        </w:rPr>
        <w:t xml:space="preserve">PCR. The </w:t>
      </w:r>
      <w:r>
        <w:rPr>
          <w:rFonts w:ascii="Cambria" w:hAnsi="Cambria"/>
          <w:i/>
          <w:iCs/>
        </w:rPr>
        <w:t xml:space="preserve">Phytophthora </w:t>
      </w:r>
      <w:r>
        <w:rPr>
          <w:rFonts w:ascii="Cambria" w:hAnsi="Cambria"/>
        </w:rPr>
        <w:t xml:space="preserve">species under review have a significant aerial component of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xml:space="preserve">. 2012). Therefore, pre-screening for </w:t>
      </w:r>
      <w:r>
        <w:rPr>
          <w:rFonts w:ascii="Cambria" w:hAnsi="Cambria"/>
          <w:i/>
        </w:rPr>
        <w:t xml:space="preserve">Phytophthora </w:t>
      </w:r>
      <w:r>
        <w:rPr>
          <w:rFonts w:ascii="Cambria" w:hAnsi="Cambria"/>
        </w:rPr>
        <w:t>species will minimise the risk of introducing these pathogens into the PEQ production system.</w:t>
      </w:r>
    </w:p>
    <w:p w:rsidR="00E94405" w:rsidRDefault="00A11609">
      <w:pPr>
        <w:pStyle w:val="Heading4"/>
        <w:spacing w:before="120"/>
        <w:rPr>
          <w:i/>
        </w:rPr>
      </w:pPr>
      <w:r>
        <w:rPr>
          <w:i/>
        </w:rPr>
        <w:t>Mandatory sodium hypochlorite treatment</w:t>
      </w:r>
    </w:p>
    <w:p w:rsidR="00E94405" w:rsidRDefault="00A11609">
      <w:pPr>
        <w:spacing w:before="200"/>
        <w:rPr>
          <w:rFonts w:ascii="Cambria" w:hAnsi="Cambria"/>
        </w:rPr>
      </w:pPr>
      <w:r>
        <w:rPr>
          <w:rFonts w:ascii="Cambria" w:hAnsi="Cambria"/>
        </w:rPr>
        <w:t>Imported dormant cuttings must be subjected to sodium hypochlorite treatment (1% NaOCl for five minutes) for surface sterilisation (T9474).</w:t>
      </w:r>
    </w:p>
    <w:p w:rsidR="00E94405" w:rsidRDefault="00A11609">
      <w:pPr>
        <w:pStyle w:val="Heading4"/>
        <w:spacing w:before="120"/>
        <w:rPr>
          <w:i/>
        </w:rPr>
      </w:pPr>
      <w:r>
        <w:rPr>
          <w:i/>
        </w:rPr>
        <w:t>Mandatory growth in PEQ facilities</w:t>
      </w:r>
    </w:p>
    <w:p w:rsidR="00E94405" w:rsidRDefault="00A11609">
      <w:pPr>
        <w:spacing w:before="200"/>
        <w:rPr>
          <w:rFonts w:ascii="Cambria" w:hAnsi="Cambria"/>
        </w:rPr>
      </w:pPr>
      <w:r>
        <w:rPr>
          <w:rFonts w:ascii="Cambria" w:hAnsi="Cambria"/>
        </w:rPr>
        <w:t xml:space="preserve">It is proposed that imported cuttings be grown in a closed government PEQ facility for a minimum period of 15 months instead of 24 months. The purpose of growth in PEQ facilities is to screen imported propagative material for </w:t>
      </w:r>
      <w:r>
        <w:rPr>
          <w:rFonts w:ascii="Cambria" w:hAnsi="Cambria"/>
          <w:i/>
        </w:rPr>
        <w:t>Phytophthora</w:t>
      </w:r>
      <w:r>
        <w:rPr>
          <w:rFonts w:ascii="Cambria" w:hAnsi="Cambria"/>
        </w:rPr>
        <w:t xml:space="preserve"> species in order to prevent the introduction of these pathogens into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Appropriate environmental conditions (temperature and humidity) are important for symptom expression; therefore, it is proposed that dormant cuttings be grown in mist beds/fog for the first six weeks at 19–25 degrees Celsius to favour symptom expression for all four </w:t>
      </w:r>
      <w:r>
        <w:rPr>
          <w:rFonts w:ascii="Cambria" w:hAnsi="Cambria"/>
          <w:i/>
        </w:rPr>
        <w:t>Phytophthora</w:t>
      </w:r>
      <w:r>
        <w:rPr>
          <w:rFonts w:ascii="Cambria" w:hAnsi="Cambria"/>
        </w:rPr>
        <w:t xml:space="preserve"> pathogens.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Phytophthora ramorum</w:t>
      </w:r>
      <w:r>
        <w:rPr>
          <w:rFonts w:ascii="Cambria" w:hAnsi="Cambria"/>
        </w:rPr>
        <w:t xml:space="preserve"> and </w:t>
      </w:r>
      <w:r>
        <w:rPr>
          <w:rFonts w:ascii="Cambria" w:hAnsi="Cambria"/>
          <w:i/>
        </w:rPr>
        <w:t>P. kernoviae</w:t>
      </w:r>
      <w:r>
        <w:rPr>
          <w:rFonts w:ascii="Cambria" w:hAnsi="Cambria"/>
        </w:rPr>
        <w:t xml:space="preserve"> are known to cause latent infections on certain hosts and are capable of producing spores without producing any symptoms (Denman et al. 2008; Vettraino et al. 2009). Under controlled environments, latent infection and sporulation endure for at least eight days, and can be as long as 22 days (Denman et al. 2008). However, in naturally-infected </w:t>
      </w:r>
      <w:r>
        <w:rPr>
          <w:rFonts w:ascii="Cambria" w:hAnsi="Cambria"/>
          <w:i/>
        </w:rPr>
        <w:t>Quercus</w:t>
      </w:r>
      <w:r>
        <w:rPr>
          <w:rFonts w:ascii="Cambria" w:hAnsi="Cambria"/>
        </w:rPr>
        <w:t xml:space="preserve"> and </w:t>
      </w:r>
      <w:r>
        <w:rPr>
          <w:rFonts w:ascii="Cambria" w:hAnsi="Cambria"/>
          <w:i/>
        </w:rPr>
        <w:t>Lithocarpus</w:t>
      </w:r>
      <w:r>
        <w:rPr>
          <w:rFonts w:ascii="Cambria" w:hAnsi="Cambria"/>
        </w:rPr>
        <w:t xml:space="preserve"> in Californian forests (mature trees) the apparent latent period may range from less than one year to two or more years (Swiecki &amp; Bernhardt 2006).</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Under a controlled environment, the time period between infection and appearance of symptoms of </w:t>
      </w:r>
      <w:r>
        <w:rPr>
          <w:rFonts w:ascii="Cambria" w:hAnsi="Cambria"/>
          <w:i/>
        </w:rPr>
        <w:t xml:space="preserve">P. ramorum </w:t>
      </w:r>
      <w:r>
        <w:rPr>
          <w:rFonts w:ascii="Cambria" w:hAnsi="Cambria"/>
        </w:rPr>
        <w:t>decreases with increasing temperatures (DEFRA 2004). The symptoms appeared within five days at 25 degrees Celsius (DEFRA 2004); therefore, growing dormant cuttings for the first six weeks at 19–25 degrees Celsius will assist with disease expression and pathogen detection.</w:t>
      </w:r>
    </w:p>
    <w:p w:rsidR="00E94405" w:rsidRDefault="00A11609">
      <w:pPr>
        <w:pStyle w:val="ListBullet"/>
        <w:tabs>
          <w:tab w:val="clear" w:pos="360"/>
          <w:tab w:val="num" w:pos="284"/>
        </w:tabs>
        <w:spacing w:before="200" w:line="269" w:lineRule="auto"/>
        <w:ind w:left="284" w:hanging="284"/>
        <w:rPr>
          <w:rFonts w:ascii="Cambria" w:hAnsi="Cambria"/>
        </w:rPr>
      </w:pPr>
      <w:r>
        <w:rPr>
          <w:rFonts w:ascii="Cambria" w:hAnsi="Cambria"/>
        </w:rPr>
        <w:t xml:space="preserve">It is proposed that during the PEQ growth period, plants are subjected to visual inspection and molecular testing. Although visual assessment is an important method for screening </w:t>
      </w:r>
      <w:r>
        <w:rPr>
          <w:rFonts w:ascii="Cambria" w:hAnsi="Cambria"/>
        </w:rPr>
        <w:lastRenderedPageBreak/>
        <w:t>pathogens, dormant cuttings may be infected and not produce any obvious disease symptoms due to cultivar susceptibility, environmental conditions or other plant related factors.</w:t>
      </w:r>
    </w:p>
    <w:p w:rsidR="00E94405" w:rsidRDefault="00A11609">
      <w:pPr>
        <w:pStyle w:val="ListBullet"/>
        <w:tabs>
          <w:tab w:val="clear" w:pos="360"/>
          <w:tab w:val="num" w:pos="284"/>
        </w:tabs>
        <w:spacing w:before="200" w:line="269" w:lineRule="auto"/>
        <w:ind w:left="284" w:hanging="284"/>
        <w:rPr>
          <w:rFonts w:ascii="Cambria" w:hAnsi="Cambria"/>
          <w:snapToGrid w:val="0"/>
        </w:rPr>
      </w:pPr>
      <w:r>
        <w:rPr>
          <w:rFonts w:ascii="Cambria" w:hAnsi="Cambria"/>
        </w:rPr>
        <w:t xml:space="preserve">The proposed pathogen testing during growth in PEQ will include </w:t>
      </w:r>
      <w:r>
        <w:rPr>
          <w:rFonts w:ascii="Cambria" w:hAnsi="Cambria"/>
          <w:snapToGrid w:val="0"/>
        </w:rPr>
        <w:t xml:space="preserve">active testing for </w:t>
      </w:r>
      <w:r>
        <w:rPr>
          <w:rFonts w:ascii="Cambria" w:hAnsi="Cambria"/>
          <w:i/>
          <w:iCs/>
          <w:snapToGrid w:val="0"/>
        </w:rPr>
        <w:t xml:space="preserve">Phytophthora </w:t>
      </w:r>
      <w:r>
        <w:rPr>
          <w:rFonts w:ascii="Cambria" w:hAnsi="Cambria"/>
          <w:snapToGrid w:val="0"/>
        </w:rPr>
        <w:t xml:space="preserve">species using molecular tests including, but not limited to, PCR. It is proposed that generic </w:t>
      </w:r>
      <w:r>
        <w:rPr>
          <w:rFonts w:ascii="Cambria" w:hAnsi="Cambria"/>
          <w:i/>
          <w:iCs/>
          <w:snapToGrid w:val="0"/>
        </w:rPr>
        <w:t xml:space="preserve">Phytophthora </w:t>
      </w:r>
      <w:r>
        <w:rPr>
          <w:rFonts w:ascii="Cambria" w:hAnsi="Cambria"/>
          <w:snapToGrid w:val="0"/>
        </w:rPr>
        <w:t xml:space="preserve">PCR of leaf tissues for each plant be carried out. If </w:t>
      </w:r>
      <w:r>
        <w:rPr>
          <w:rFonts w:ascii="Cambria" w:hAnsi="Cambria"/>
          <w:i/>
          <w:iCs/>
          <w:snapToGrid w:val="0"/>
        </w:rPr>
        <w:t xml:space="preserve">Phytophthora </w:t>
      </w:r>
      <w:r>
        <w:rPr>
          <w:rFonts w:ascii="Cambria" w:hAnsi="Cambria"/>
          <w:snapToGrid w:val="0"/>
        </w:rPr>
        <w:t xml:space="preserve">species are detected then additional identification or </w:t>
      </w:r>
      <w:r>
        <w:rPr>
          <w:rFonts w:ascii="Cambria" w:hAnsi="Cambria"/>
        </w:rPr>
        <w:t>molecular testing should be carried out</w:t>
      </w:r>
      <w:r>
        <w:rPr>
          <w:rFonts w:ascii="Cambria" w:hAnsi="Cambria"/>
          <w:snapToGrid w:val="0"/>
        </w:rPr>
        <w:t>.</w:t>
      </w:r>
    </w:p>
    <w:p w:rsidR="00E94405" w:rsidRDefault="00A11609">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Bare-rooted plants</w:t>
      </w:r>
    </w:p>
    <w:p w:rsidR="00E94405" w:rsidRDefault="00A11609">
      <w:pPr>
        <w:spacing w:before="200"/>
        <w:rPr>
          <w:rFonts w:ascii="Cambria" w:hAnsi="Cambria"/>
        </w:rPr>
      </w:pPr>
      <w:r>
        <w:rPr>
          <w:rFonts w:ascii="Cambria" w:hAnsi="Cambria"/>
        </w:rPr>
        <w:t>It is proposed that only one-year-old bare-rooted plants be permitted. Bare-rooted plants (a maximum of ten/cultivar) should be imported during October to February from the Northern Hemisphere. If this does not occur there may be delays in the release of planting material because the growth period may be too short to obtain sufficient material to conduct the required testing.</w:t>
      </w:r>
    </w:p>
    <w:p w:rsidR="00E94405" w:rsidRDefault="00A11609">
      <w:pPr>
        <w:pStyle w:val="Heading4"/>
        <w:spacing w:before="120"/>
        <w:rPr>
          <w:i/>
        </w:rPr>
      </w:pPr>
      <w:r>
        <w:rPr>
          <w:i/>
        </w:rPr>
        <w:t>Phytosanitary Certificate</w:t>
      </w:r>
    </w:p>
    <w:p w:rsidR="00E94405" w:rsidRDefault="00A11609">
      <w:pPr>
        <w:spacing w:before="200"/>
        <w:rPr>
          <w:rFonts w:ascii="Cambria" w:hAnsi="Cambria"/>
        </w:rPr>
      </w:pPr>
      <w:r>
        <w:rPr>
          <w:rFonts w:ascii="Cambria" w:hAnsi="Cambria"/>
        </w:rPr>
        <w:t xml:space="preserve">It is proposed that bare-rooted plants must be accompanied by </w:t>
      </w:r>
      <w:r>
        <w:rPr>
          <w:rFonts w:ascii="Cambria" w:hAnsi="Cambria" w:cs="Helvetica"/>
        </w:rPr>
        <w:t xml:space="preserve">an official government Phytosanitary Certificate with an additional declaration that the rooted cuttings have been inspected by the NPPO </w:t>
      </w:r>
      <w:r>
        <w:rPr>
          <w:rFonts w:ascii="Cambria" w:hAnsi="Cambria"/>
        </w:rPr>
        <w:t>and found free of obvious disease symptoms (</w:t>
      </w:r>
      <w:r>
        <w:rPr>
          <w:rFonts w:ascii="Cambria" w:hAnsi="Cambria"/>
          <w:i/>
        </w:rPr>
        <w:t xml:space="preserve">Phytophthora </w:t>
      </w:r>
      <w:r>
        <w:rPr>
          <w:rFonts w:ascii="Cambria" w:hAnsi="Cambria"/>
        </w:rPr>
        <w:t>species).</w:t>
      </w:r>
    </w:p>
    <w:p w:rsidR="00E94405" w:rsidRDefault="00A11609">
      <w:pPr>
        <w:pStyle w:val="Heading4"/>
        <w:spacing w:before="120"/>
        <w:rPr>
          <w:i/>
        </w:rPr>
      </w:pPr>
      <w:r>
        <w:rPr>
          <w:i/>
        </w:rPr>
        <w:t>Mandatory on-arrival inspection</w:t>
      </w:r>
    </w:p>
    <w:p w:rsidR="00E94405" w:rsidRDefault="00A11609">
      <w:pPr>
        <w:spacing w:before="200"/>
        <w:rPr>
          <w:rFonts w:ascii="Cambria" w:hAnsi="Cambria"/>
        </w:rPr>
      </w:pPr>
      <w:r>
        <w:rPr>
          <w:rFonts w:ascii="Cambria" w:hAnsi="Cambria"/>
        </w:rPr>
        <w:t xml:space="preserve">It is proposed that imported bare-rooted plants without foliage must be subjected to mandatory on-arrival inspection to </w:t>
      </w:r>
      <w:r>
        <w:rPr>
          <w:rFonts w:ascii="Cambria" w:hAnsi="Cambria" w:cs="Helvetica"/>
        </w:rPr>
        <w:t>verify</w:t>
      </w:r>
      <w:r>
        <w:rPr>
          <w:rFonts w:ascii="Cambria" w:hAnsi="Cambria"/>
        </w:rPr>
        <w:t xml:space="preserve"> freedom from disease symptoms, live insects, soil and other extraneous contaminants of quarantine concern.</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Cs/>
        </w:rPr>
        <w:t xml:space="preserve">The </w:t>
      </w:r>
      <w:r>
        <w:rPr>
          <w:rFonts w:ascii="Cambria" w:hAnsi="Cambria"/>
          <w:i/>
          <w:iCs/>
        </w:rPr>
        <w:t xml:space="preserve">Phytophthora </w:t>
      </w:r>
      <w:r>
        <w:rPr>
          <w:rFonts w:ascii="Cambria" w:hAnsi="Cambria"/>
        </w:rPr>
        <w:t xml:space="preserve">species under review are known to survive in the soil; for example, </w:t>
      </w:r>
      <w:r>
        <w:rPr>
          <w:rFonts w:ascii="Cambria" w:hAnsi="Cambria"/>
          <w:i/>
          <w:iCs/>
        </w:rPr>
        <w:t>P. ramorum</w:t>
      </w:r>
      <w:r>
        <w:rPr>
          <w:rFonts w:ascii="Cambria" w:hAnsi="Cambria"/>
        </w:rPr>
        <w:t xml:space="preserve"> can survive for at least 8–11 months in soil (Shishkoff 2007). Soil contaminated with sporangia, oospores or chlamydospores can provide a pathway for the introduction and spread of the pathogen (Hansen </w:t>
      </w:r>
      <w:r>
        <w:rPr>
          <w:rFonts w:ascii="Cambria" w:hAnsi="Cambria"/>
          <w:iCs/>
        </w:rPr>
        <w:t>et al</w:t>
      </w:r>
      <w:r>
        <w:rPr>
          <w:rFonts w:ascii="Cambria" w:hAnsi="Cambria"/>
        </w:rPr>
        <w:t>. 2000); therefore, bare-rooted plants should be free from soil.</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Mandatory on-arrival inspection will be effective to detect pathogens producing obvious disease symptoms; however, </w:t>
      </w:r>
      <w:r>
        <w:rPr>
          <w:rFonts w:ascii="Cambria" w:hAnsi="Cambria"/>
          <w:i/>
          <w:iCs/>
        </w:rPr>
        <w:t xml:space="preserve">P. ramorum </w:t>
      </w:r>
      <w:r>
        <w:rPr>
          <w:rFonts w:ascii="Cambria" w:hAnsi="Cambria"/>
        </w:rPr>
        <w:t xml:space="preserve">and </w:t>
      </w:r>
      <w:r>
        <w:rPr>
          <w:rFonts w:ascii="Cambria" w:hAnsi="Cambria"/>
          <w:i/>
          <w:iCs/>
        </w:rPr>
        <w:t>P. kernoviae</w:t>
      </w:r>
      <w:r>
        <w:rPr>
          <w:rFonts w:ascii="Cambria" w:hAnsi="Cambria"/>
        </w:rPr>
        <w:t xml:space="preserve"> are known to cause latent infection on certain hosts and are capable of producing spores without producing any symptoms (Denman </w:t>
      </w:r>
      <w:r>
        <w:rPr>
          <w:rFonts w:ascii="Cambria" w:hAnsi="Cambria"/>
          <w:iCs/>
        </w:rPr>
        <w:t>et al</w:t>
      </w:r>
      <w:r>
        <w:rPr>
          <w:rFonts w:ascii="Cambria" w:hAnsi="Cambria"/>
        </w:rPr>
        <w:t>. 2008; Vettraino</w:t>
      </w:r>
      <w:r>
        <w:rPr>
          <w:rFonts w:ascii="Cambria" w:hAnsi="Cambria"/>
          <w:iCs/>
        </w:rPr>
        <w:t xml:space="preserve"> et al</w:t>
      </w:r>
      <w:r>
        <w:rPr>
          <w:rFonts w:ascii="Cambria" w:hAnsi="Cambria"/>
        </w:rPr>
        <w:t>. 2009).</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Cs/>
        </w:rPr>
        <w:t xml:space="preserve">The </w:t>
      </w:r>
      <w:r>
        <w:rPr>
          <w:rFonts w:ascii="Cambria" w:hAnsi="Cambria"/>
          <w:i/>
          <w:iCs/>
        </w:rPr>
        <w:t xml:space="preserve">Phytophthora </w:t>
      </w:r>
      <w:r>
        <w:rPr>
          <w:rFonts w:ascii="Cambria" w:hAnsi="Cambria"/>
        </w:rPr>
        <w:t xml:space="preserve">species under review are known to survive in infected foliage and roots (Fichtner </w:t>
      </w:r>
      <w:r>
        <w:rPr>
          <w:rFonts w:ascii="Cambria" w:hAnsi="Cambria"/>
          <w:iCs/>
        </w:rPr>
        <w:t>et al</w:t>
      </w:r>
      <w:r>
        <w:rPr>
          <w:rFonts w:ascii="Cambria" w:hAnsi="Cambria"/>
        </w:rPr>
        <w:t xml:space="preserve">. 2011). It is reported that </w:t>
      </w:r>
      <w:r>
        <w:rPr>
          <w:rFonts w:ascii="Cambria" w:hAnsi="Cambria"/>
          <w:iCs/>
        </w:rPr>
        <w:t>asymptomatic</w:t>
      </w:r>
      <w:r>
        <w:rPr>
          <w:rFonts w:ascii="Cambria" w:hAnsi="Cambria"/>
          <w:i/>
          <w:iCs/>
        </w:rPr>
        <w:t xml:space="preserve"> </w:t>
      </w:r>
      <w:r>
        <w:rPr>
          <w:rFonts w:ascii="Cambria" w:hAnsi="Cambria"/>
        </w:rPr>
        <w:t xml:space="preserve">roots of infected </w:t>
      </w:r>
      <w:r>
        <w:rPr>
          <w:rFonts w:ascii="Cambria" w:hAnsi="Cambria"/>
          <w:i/>
          <w:iCs/>
        </w:rPr>
        <w:t xml:space="preserve">Rhododendron </w:t>
      </w:r>
      <w:r>
        <w:rPr>
          <w:rFonts w:ascii="Cambria" w:hAnsi="Cambria"/>
          <w:iCs/>
        </w:rPr>
        <w:t>s</w:t>
      </w:r>
      <w:r>
        <w:rPr>
          <w:rFonts w:ascii="Cambria" w:hAnsi="Cambria"/>
        </w:rPr>
        <w:t xml:space="preserve">pecies harbour chlamydospores of </w:t>
      </w:r>
      <w:r>
        <w:rPr>
          <w:rFonts w:ascii="Cambria" w:hAnsi="Cambria"/>
          <w:i/>
          <w:iCs/>
        </w:rPr>
        <w:t>P. ramorum</w:t>
      </w:r>
      <w:r>
        <w:rPr>
          <w:rFonts w:ascii="Cambria" w:hAnsi="Cambria"/>
        </w:rPr>
        <w:t xml:space="preserve"> (Riedel </w:t>
      </w:r>
      <w:r>
        <w:rPr>
          <w:rFonts w:ascii="Cambria" w:hAnsi="Cambria"/>
          <w:iCs/>
        </w:rPr>
        <w:t>et al</w:t>
      </w:r>
      <w:r>
        <w:rPr>
          <w:rFonts w:ascii="Cambria" w:hAnsi="Cambria"/>
        </w:rPr>
        <w:t xml:space="preserve">. 2009). These studies indicate that visually healthy plants may harbour a sporulating pathogen in the roots, in other words, visual inspection alone may be inadequate. </w:t>
      </w:r>
    </w:p>
    <w:p w:rsidR="00E94405" w:rsidRDefault="00A11609">
      <w:pPr>
        <w:spacing w:before="200"/>
        <w:rPr>
          <w:rFonts w:ascii="Cambria" w:hAnsi="Cambria"/>
        </w:rPr>
      </w:pPr>
      <w:r>
        <w:rPr>
          <w:rFonts w:ascii="Cambria" w:hAnsi="Cambria"/>
        </w:rPr>
        <w:t xml:space="preserve">Reliance solely on on-arrival visual inspection therefore does not adequately mitigate the risk of </w:t>
      </w:r>
      <w:r>
        <w:rPr>
          <w:rFonts w:ascii="Cambria" w:hAnsi="Cambria"/>
          <w:i/>
        </w:rPr>
        <w:t xml:space="preserve">Phytophthora </w:t>
      </w:r>
      <w:r>
        <w:rPr>
          <w:rFonts w:ascii="Cambria" w:hAnsi="Cambria"/>
        </w:rPr>
        <w:t>species entering Australia on bare-rooted plants. Additional risk management measures are required for these pathogens.</w:t>
      </w:r>
    </w:p>
    <w:p w:rsidR="00E94405" w:rsidRDefault="00A11609">
      <w:pPr>
        <w:pStyle w:val="Heading4"/>
        <w:spacing w:before="120"/>
        <w:rPr>
          <w:i/>
        </w:rPr>
      </w:pPr>
      <w:r>
        <w:rPr>
          <w:i/>
        </w:rPr>
        <w:lastRenderedPageBreak/>
        <w:t>Mandatory on-arrival treatment</w:t>
      </w:r>
    </w:p>
    <w:p w:rsidR="00E94405" w:rsidRDefault="00A11609">
      <w:pPr>
        <w:spacing w:before="200"/>
        <w:rPr>
          <w:rFonts w:ascii="Cambria" w:hAnsi="Cambria"/>
        </w:rPr>
      </w:pPr>
      <w:r>
        <w:rPr>
          <w:rFonts w:ascii="Cambria" w:hAnsi="Cambria"/>
        </w:rPr>
        <w:t xml:space="preserve">Imported bare-rooted plants must be subjected to mandatory on-arrival methyl bromide fumigation or insecticidal dip. </w:t>
      </w:r>
    </w:p>
    <w:p w:rsidR="00E94405" w:rsidRDefault="00A11609">
      <w:pPr>
        <w:pStyle w:val="Heading4"/>
        <w:spacing w:before="120"/>
        <w:rPr>
          <w:i/>
        </w:rPr>
      </w:pPr>
      <w:r>
        <w:rPr>
          <w:i/>
        </w:rPr>
        <w:t xml:space="preserve">Mandatory culturing on-arrival </w:t>
      </w:r>
    </w:p>
    <w:p w:rsidR="00E94405" w:rsidRDefault="00A11609">
      <w:pPr>
        <w:pStyle w:val="Heading4"/>
        <w:spacing w:before="120"/>
        <w:rPr>
          <w:rFonts w:ascii="Cambria" w:hAnsi="Cambria"/>
          <w:b w:val="0"/>
          <w:bCs w:val="0"/>
          <w:iCs w:val="0"/>
        </w:rPr>
      </w:pPr>
      <w:r>
        <w:rPr>
          <w:rFonts w:ascii="Cambria" w:hAnsi="Cambria"/>
          <w:b w:val="0"/>
          <w:bCs w:val="0"/>
          <w:iCs w:val="0"/>
        </w:rPr>
        <w:t>It is recommended that following the mandatory methyl bromide fumigation or insecticidal dip, macerated buds from bare-rooted plants be cultured to detect fungal pathogens. This broad spectrum culturing test is useful to screen imported bare-rooted plants for fungal pathogens.</w:t>
      </w:r>
    </w:p>
    <w:p w:rsidR="00E94405" w:rsidRDefault="00A11609">
      <w:pPr>
        <w:pStyle w:val="Heading4"/>
        <w:spacing w:before="120"/>
        <w:rPr>
          <w:i/>
        </w:rPr>
      </w:pPr>
      <w:r>
        <w:rPr>
          <w:i/>
        </w:rPr>
        <w:t>Mandatory molecular testing on-arrival</w:t>
      </w:r>
    </w:p>
    <w:p w:rsidR="00E94405" w:rsidRDefault="00A11609">
      <w:pPr>
        <w:spacing w:before="200"/>
        <w:rPr>
          <w:rFonts w:ascii="Cambria" w:hAnsi="Cambria"/>
        </w:rPr>
      </w:pPr>
      <w:r>
        <w:rPr>
          <w:rFonts w:ascii="Cambria" w:hAnsi="Cambria"/>
        </w:rPr>
        <w:t xml:space="preserve">It is proposed that plant tissues from imported bare-rooted plants must be removed and subjected to a mandatory generic </w:t>
      </w:r>
      <w:r>
        <w:rPr>
          <w:rFonts w:ascii="Cambria" w:hAnsi="Cambria"/>
          <w:i/>
          <w:iCs/>
        </w:rPr>
        <w:t xml:space="preserve">Phytophthora </w:t>
      </w:r>
      <w:r>
        <w:rPr>
          <w:rFonts w:ascii="Cambria" w:hAnsi="Cambria"/>
        </w:rPr>
        <w:t xml:space="preserve">PCR testing on arrival to verify freedom from pathogens. </w:t>
      </w:r>
      <w:r>
        <w:rPr>
          <w:rFonts w:ascii="Cambria" w:hAnsi="Cambria"/>
          <w:snapToGrid w:val="0"/>
        </w:rPr>
        <w:t xml:space="preserve">If </w:t>
      </w:r>
      <w:r>
        <w:rPr>
          <w:rFonts w:ascii="Cambria" w:hAnsi="Cambria"/>
          <w:i/>
          <w:iCs/>
          <w:snapToGrid w:val="0"/>
        </w:rPr>
        <w:t xml:space="preserve">Phytophthora </w:t>
      </w:r>
      <w:r>
        <w:rPr>
          <w:rFonts w:ascii="Cambria" w:hAnsi="Cambria"/>
          <w:snapToGrid w:val="0"/>
        </w:rPr>
        <w:t xml:space="preserve">species are detected then </w:t>
      </w:r>
      <w:r>
        <w:rPr>
          <w:rFonts w:ascii="Cambria" w:hAnsi="Cambria"/>
        </w:rPr>
        <w:t>specific PCR tests should be carried out.</w:t>
      </w:r>
    </w:p>
    <w:p w:rsidR="00E94405" w:rsidRDefault="00A11609">
      <w:pPr>
        <w:spacing w:before="200"/>
        <w:rPr>
          <w:rFonts w:ascii="Cambria" w:hAnsi="Cambria"/>
        </w:rPr>
      </w:pPr>
      <w:r>
        <w:rPr>
          <w:rFonts w:ascii="Cambria" w:hAnsi="Cambria"/>
          <w:iCs/>
        </w:rPr>
        <w:t xml:space="preserve">The </w:t>
      </w:r>
      <w:r>
        <w:rPr>
          <w:rFonts w:ascii="Cambria" w:hAnsi="Cambria"/>
          <w:i/>
          <w:iCs/>
        </w:rPr>
        <w:t xml:space="preserve">Phytophthora </w:t>
      </w:r>
      <w:r>
        <w:rPr>
          <w:rFonts w:ascii="Cambria" w:hAnsi="Cambria"/>
        </w:rPr>
        <w:t xml:space="preserve">species under review are known to survive in infected roots without producing any symptoms (Fichtner </w:t>
      </w:r>
      <w:r>
        <w:rPr>
          <w:rFonts w:ascii="Cambria" w:hAnsi="Cambria"/>
          <w:iCs/>
        </w:rPr>
        <w:t>et al</w:t>
      </w:r>
      <w:r>
        <w:rPr>
          <w:rFonts w:ascii="Cambria" w:hAnsi="Cambria"/>
        </w:rPr>
        <w:t xml:space="preserve">. 2007a, b; 2011). Therefore, pre-screening for </w:t>
      </w:r>
      <w:r>
        <w:rPr>
          <w:rFonts w:ascii="Cambria" w:hAnsi="Cambria"/>
          <w:i/>
        </w:rPr>
        <w:t xml:space="preserve">Phytophthora </w:t>
      </w:r>
      <w:r>
        <w:rPr>
          <w:rFonts w:ascii="Cambria" w:hAnsi="Cambria"/>
        </w:rPr>
        <w:t>species will minimise the risk of introducing these pathogens into the PEQ production system.</w:t>
      </w:r>
    </w:p>
    <w:p w:rsidR="00E94405" w:rsidRDefault="00A11609">
      <w:pPr>
        <w:pStyle w:val="Heading4"/>
        <w:spacing w:before="120"/>
        <w:rPr>
          <w:i/>
        </w:rPr>
      </w:pPr>
      <w:r>
        <w:rPr>
          <w:i/>
        </w:rPr>
        <w:t>Mandatory sodium hypochlorite treatment</w:t>
      </w:r>
    </w:p>
    <w:p w:rsidR="00E94405" w:rsidRDefault="00A11609">
      <w:pPr>
        <w:spacing w:before="200"/>
        <w:rPr>
          <w:rFonts w:ascii="Cambria" w:hAnsi="Cambria"/>
        </w:rPr>
      </w:pPr>
      <w:r>
        <w:rPr>
          <w:rFonts w:ascii="Cambria" w:hAnsi="Cambria"/>
        </w:rPr>
        <w:t>It is proposed that bare-rooted plants be subjected to a sodium hypochlorite treatment (1% NaOCl for five minutes) for surface sterilisation. Treatment with sodium hypochlorite should be undertaken after the results of the PCR.</w:t>
      </w:r>
    </w:p>
    <w:p w:rsidR="00E94405" w:rsidRDefault="00A11609">
      <w:pPr>
        <w:pStyle w:val="Heading4"/>
        <w:spacing w:before="120"/>
        <w:rPr>
          <w:i/>
        </w:rPr>
      </w:pPr>
      <w:r>
        <w:rPr>
          <w:i/>
        </w:rPr>
        <w:t>Mandatory growth in PEQ facilities</w:t>
      </w:r>
    </w:p>
    <w:p w:rsidR="00E94405" w:rsidRDefault="00A11609">
      <w:pPr>
        <w:spacing w:before="200"/>
        <w:rPr>
          <w:rFonts w:ascii="Cambria" w:hAnsi="Cambria"/>
        </w:rPr>
      </w:pPr>
      <w:r>
        <w:rPr>
          <w:rFonts w:ascii="Cambria" w:hAnsi="Cambria"/>
        </w:rPr>
        <w:t xml:space="preserve">It is proposed that imported bare-rooted plants be grown in a closed government PEQ facility for a minimum period of 15 months. The purpose of growth in PEQ facilities is to screen imported propagative material for </w:t>
      </w:r>
      <w:r>
        <w:rPr>
          <w:rFonts w:ascii="Cambria" w:hAnsi="Cambria"/>
          <w:i/>
          <w:iCs/>
        </w:rPr>
        <w:t xml:space="preserve">Phytophthora </w:t>
      </w:r>
      <w:r>
        <w:rPr>
          <w:rFonts w:ascii="Cambria" w:hAnsi="Cambria"/>
        </w:rPr>
        <w:t xml:space="preserve">species in order to prevent the introduction of these pathogens into Australia.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Appropriate environmental conditions (temperature and humidity) are important for symptom expression; therefore, it is proposed that bare-rooted plants are grown in mist beds/fog for the first six weeks at 19–25 degrees Celsius to favour symptom expression for all four </w:t>
      </w:r>
      <w:r>
        <w:rPr>
          <w:rFonts w:ascii="Cambria" w:hAnsi="Cambria"/>
          <w:i/>
        </w:rPr>
        <w:t>Phytophthora</w:t>
      </w:r>
      <w:r>
        <w:rPr>
          <w:rFonts w:ascii="Cambria" w:hAnsi="Cambria"/>
        </w:rPr>
        <w:t xml:space="preserve"> pathogens.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i/>
        </w:rPr>
        <w:t>Phytophthora ramorum</w:t>
      </w:r>
      <w:r>
        <w:rPr>
          <w:rFonts w:ascii="Cambria" w:hAnsi="Cambria"/>
        </w:rPr>
        <w:t xml:space="preserve"> and </w:t>
      </w:r>
      <w:r>
        <w:rPr>
          <w:rFonts w:ascii="Cambria" w:hAnsi="Cambria"/>
          <w:i/>
        </w:rPr>
        <w:t>P. kernoviae</w:t>
      </w:r>
      <w:r>
        <w:rPr>
          <w:rFonts w:ascii="Cambria" w:hAnsi="Cambria"/>
        </w:rPr>
        <w:t xml:space="preserve"> are known to cause latent infections on certain hosts and are capable of producing spores without producing any symptoms (Denman et al. 2008; Vettraino et al. 2009). Under controlled environments, latent infection and sporulation endure for at least eight days, and can be as long as 22 days (Denman et al. 2008). However, in naturally-infected </w:t>
      </w:r>
      <w:r>
        <w:rPr>
          <w:rFonts w:ascii="Cambria" w:hAnsi="Cambria"/>
          <w:i/>
        </w:rPr>
        <w:t>Quercus</w:t>
      </w:r>
      <w:r>
        <w:rPr>
          <w:rFonts w:ascii="Cambria" w:hAnsi="Cambria"/>
        </w:rPr>
        <w:t xml:space="preserve"> and </w:t>
      </w:r>
      <w:r>
        <w:rPr>
          <w:rFonts w:ascii="Cambria" w:hAnsi="Cambria"/>
          <w:i/>
        </w:rPr>
        <w:t>Lithocarpus</w:t>
      </w:r>
      <w:r>
        <w:rPr>
          <w:rFonts w:ascii="Cambria" w:hAnsi="Cambria"/>
        </w:rPr>
        <w:t xml:space="preserve"> in Californian forests (mature trees) the apparent latent period may range from less than one year to two or more years (Swiecki &amp; Bernhardt 2006).</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Under a controlled environment the time period between infection and appearance of symptoms of </w:t>
      </w:r>
      <w:r>
        <w:rPr>
          <w:rFonts w:ascii="Cambria" w:hAnsi="Cambria"/>
          <w:i/>
        </w:rPr>
        <w:t xml:space="preserve">P. ramorum </w:t>
      </w:r>
      <w:r>
        <w:rPr>
          <w:rFonts w:ascii="Cambria" w:hAnsi="Cambria"/>
        </w:rPr>
        <w:t xml:space="preserve">decreases with increasing temperatures (DEFRA 2004). The symptoms appeared within five days at 25 degrees Celsius after inoculation (DEFRA 2004); </w:t>
      </w:r>
      <w:r>
        <w:rPr>
          <w:rFonts w:ascii="Cambria" w:hAnsi="Cambria"/>
        </w:rPr>
        <w:lastRenderedPageBreak/>
        <w:t xml:space="preserve">therefore, growing bare-rooted plants for the first six weeks at 19–25 degrees Celsius will assist with disease expression and pathogen detection. </w:t>
      </w:r>
    </w:p>
    <w:p w:rsidR="00E94405" w:rsidRDefault="00A11609">
      <w:pPr>
        <w:pStyle w:val="ListBullet"/>
        <w:tabs>
          <w:tab w:val="clear" w:pos="360"/>
          <w:tab w:val="num" w:pos="284"/>
        </w:tabs>
        <w:spacing w:before="200" w:line="269" w:lineRule="auto"/>
        <w:ind w:left="284" w:hanging="284"/>
        <w:rPr>
          <w:rFonts w:ascii="Cambria" w:hAnsi="Cambria"/>
        </w:rPr>
      </w:pPr>
      <w:r>
        <w:rPr>
          <w:rFonts w:ascii="Cambria" w:hAnsi="Cambria"/>
        </w:rPr>
        <w:t xml:space="preserve">It is proposed that during the PEQ growth period, plants are subjected to visual inspection, culturing and molecular testing. Although visual assessment is an important method for screening pathogens, bare-rooted plants may be </w:t>
      </w:r>
      <w:r>
        <w:rPr>
          <w:rFonts w:ascii="Cambria" w:hAnsi="Cambria"/>
          <w:snapToGrid w:val="0"/>
        </w:rPr>
        <w:t>infected</w:t>
      </w:r>
      <w:r>
        <w:rPr>
          <w:rFonts w:ascii="Cambria" w:hAnsi="Cambria"/>
        </w:rPr>
        <w:t xml:space="preserve"> and not produce any obvious disease symptoms due to cultivar susceptibility, environmental conditions or other plant related factors. </w:t>
      </w:r>
    </w:p>
    <w:p w:rsidR="00E94405" w:rsidRDefault="00A11609">
      <w:pPr>
        <w:pStyle w:val="ListBullet"/>
        <w:tabs>
          <w:tab w:val="clear" w:pos="360"/>
          <w:tab w:val="num" w:pos="284"/>
        </w:tabs>
        <w:spacing w:before="200" w:line="269" w:lineRule="auto"/>
        <w:ind w:left="284" w:hanging="284"/>
        <w:rPr>
          <w:rFonts w:ascii="Cambria" w:hAnsi="Cambria"/>
        </w:rPr>
      </w:pPr>
      <w:r>
        <w:rPr>
          <w:rFonts w:ascii="Cambria" w:hAnsi="Cambria"/>
        </w:rPr>
        <w:t xml:space="preserve">The proposed pathogen testing during growth in PEQ will include </w:t>
      </w:r>
      <w:r>
        <w:rPr>
          <w:rFonts w:ascii="Cambria" w:hAnsi="Cambria"/>
          <w:snapToGrid w:val="0"/>
        </w:rPr>
        <w:t xml:space="preserve">active testing for </w:t>
      </w:r>
      <w:r>
        <w:rPr>
          <w:rFonts w:ascii="Cambria" w:hAnsi="Cambria"/>
          <w:i/>
          <w:iCs/>
          <w:snapToGrid w:val="0"/>
        </w:rPr>
        <w:t xml:space="preserve">Phytophthora </w:t>
      </w:r>
      <w:r>
        <w:rPr>
          <w:rFonts w:ascii="Cambria" w:hAnsi="Cambria"/>
          <w:snapToGrid w:val="0"/>
        </w:rPr>
        <w:t xml:space="preserve">species using molecular tests including, but not limited to, PCR. It is proposed that generic </w:t>
      </w:r>
      <w:r>
        <w:rPr>
          <w:rFonts w:ascii="Cambria" w:hAnsi="Cambria"/>
          <w:i/>
          <w:iCs/>
          <w:snapToGrid w:val="0"/>
        </w:rPr>
        <w:t xml:space="preserve">Phytophthora </w:t>
      </w:r>
      <w:r>
        <w:rPr>
          <w:rFonts w:ascii="Cambria" w:hAnsi="Cambria"/>
          <w:snapToGrid w:val="0"/>
        </w:rPr>
        <w:t xml:space="preserve">PCR testing of leaf tissues for each plant be carried out. If </w:t>
      </w:r>
      <w:r>
        <w:rPr>
          <w:rFonts w:ascii="Cambria" w:hAnsi="Cambria"/>
          <w:i/>
          <w:iCs/>
          <w:snapToGrid w:val="0"/>
        </w:rPr>
        <w:t xml:space="preserve">Phytophthora </w:t>
      </w:r>
      <w:r>
        <w:rPr>
          <w:rFonts w:ascii="Cambria" w:hAnsi="Cambria"/>
          <w:snapToGrid w:val="0"/>
        </w:rPr>
        <w:t xml:space="preserve">species are detected then additional identification or </w:t>
      </w:r>
      <w:r>
        <w:rPr>
          <w:rFonts w:ascii="Cambria" w:hAnsi="Cambria"/>
        </w:rPr>
        <w:t>molecular testing should be carried out.</w:t>
      </w:r>
    </w:p>
    <w:p w:rsidR="00E94405" w:rsidRDefault="00A11609">
      <w:pPr>
        <w:pStyle w:val="ListBullet"/>
        <w:numPr>
          <w:ilvl w:val="0"/>
          <w:numId w:val="0"/>
        </w:numPr>
        <w:spacing w:before="200" w:line="269" w:lineRule="auto"/>
        <w:rPr>
          <w:rFonts w:ascii="Cambria" w:hAnsi="Cambria"/>
          <w:i/>
        </w:rPr>
      </w:pPr>
      <w:r>
        <w:rPr>
          <w:rFonts w:ascii="Cambria" w:hAnsi="Cambria"/>
        </w:rPr>
        <w:t xml:space="preserve">A summary of the proposed risk management measures for bare-rooted plants, dormant cuttings and tissue cultures from </w:t>
      </w:r>
      <w:r>
        <w:rPr>
          <w:rFonts w:ascii="Cambria" w:hAnsi="Cambria"/>
          <w:i/>
        </w:rPr>
        <w:t xml:space="preserve">Phytophthora ramorum, P. kernoviae, P. nemerosa </w:t>
      </w:r>
      <w:r>
        <w:rPr>
          <w:rFonts w:ascii="Cambria" w:hAnsi="Cambria"/>
        </w:rPr>
        <w:t xml:space="preserve">and </w:t>
      </w:r>
      <w:r>
        <w:rPr>
          <w:rFonts w:ascii="Cambria" w:hAnsi="Cambria"/>
          <w:i/>
        </w:rPr>
        <w:t>P. pseudosyringae</w:t>
      </w:r>
      <w:r>
        <w:rPr>
          <w:rFonts w:ascii="Cambria" w:hAnsi="Cambria"/>
        </w:rPr>
        <w:t xml:space="preserve"> countries is provided in Table 9.</w:t>
      </w:r>
    </w:p>
    <w:p w:rsidR="00E94405" w:rsidRDefault="00E94405">
      <w:pPr>
        <w:pStyle w:val="Caption"/>
        <w:keepLines/>
        <w:rPr>
          <w:rFonts w:asciiTheme="majorHAnsi" w:eastAsiaTheme="majorEastAsia" w:hAnsiTheme="majorHAnsi" w:cstheme="majorBidi"/>
          <w:color w:val="595959" w:themeColor="text1" w:themeTint="A6"/>
          <w:sz w:val="20"/>
        </w:rPr>
      </w:pPr>
    </w:p>
    <w:p w:rsidR="00E94405" w:rsidRDefault="00A11609">
      <w:pPr>
        <w:pStyle w:val="Caption"/>
        <w:keepLines/>
        <w:rPr>
          <w:rFonts w:asciiTheme="majorHAnsi" w:eastAsiaTheme="majorEastAsia" w:hAnsiTheme="majorHAnsi" w:cstheme="majorBidi"/>
          <w:color w:val="595959" w:themeColor="text1" w:themeTint="A6"/>
          <w:sz w:val="20"/>
        </w:rPr>
      </w:pPr>
      <w:bookmarkStart w:id="145" w:name="_Toc414019481"/>
      <w:r>
        <w:rPr>
          <w:rFonts w:asciiTheme="majorHAnsi" w:eastAsiaTheme="majorEastAsia" w:hAnsiTheme="majorHAnsi" w:cstheme="majorBidi"/>
          <w:color w:val="595959" w:themeColor="text1" w:themeTint="A6"/>
          <w:sz w:val="20"/>
        </w:rPr>
        <w:t xml:space="preserve">Table 9 Proposed risk mitigation measures for propagative material from </w:t>
      </w:r>
      <w:r>
        <w:rPr>
          <w:rFonts w:asciiTheme="majorHAnsi" w:eastAsiaTheme="majorEastAsia" w:hAnsiTheme="majorHAnsi" w:cstheme="majorBidi"/>
          <w:i/>
          <w:color w:val="595959" w:themeColor="text1" w:themeTint="A6"/>
          <w:sz w:val="20"/>
        </w:rPr>
        <w:t xml:space="preserve">Phytophthora ramorum, P. kernoviae, P. nemerosa </w:t>
      </w:r>
      <w:r>
        <w:rPr>
          <w:rFonts w:asciiTheme="majorHAnsi" w:eastAsiaTheme="majorEastAsia" w:hAnsiTheme="majorHAnsi" w:cstheme="majorBidi"/>
          <w:color w:val="595959" w:themeColor="text1" w:themeTint="A6"/>
          <w:sz w:val="20"/>
        </w:rPr>
        <w:t xml:space="preserve">and </w:t>
      </w:r>
      <w:r>
        <w:rPr>
          <w:rFonts w:asciiTheme="majorHAnsi" w:eastAsiaTheme="majorEastAsia" w:hAnsiTheme="majorHAnsi" w:cstheme="majorBidi"/>
          <w:i/>
          <w:color w:val="595959" w:themeColor="text1" w:themeTint="A6"/>
          <w:sz w:val="20"/>
        </w:rPr>
        <w:t>P. pseudosyringae</w:t>
      </w:r>
      <w:r>
        <w:rPr>
          <w:rFonts w:asciiTheme="majorHAnsi" w:eastAsiaTheme="majorEastAsia" w:hAnsiTheme="majorHAnsi" w:cstheme="majorBidi"/>
          <w:color w:val="595959" w:themeColor="text1" w:themeTint="A6"/>
          <w:sz w:val="20"/>
        </w:rPr>
        <w:t xml:space="preserve"> countries</w:t>
      </w:r>
      <w:bookmarkEnd w:id="145"/>
    </w:p>
    <w:tbl>
      <w:tblPr>
        <w:tblW w:w="8470" w:type="dxa"/>
        <w:tblInd w:w="2" w:type="dxa"/>
        <w:tblBorders>
          <w:top w:val="single" w:sz="4" w:space="0" w:color="auto"/>
          <w:bottom w:val="single" w:sz="4" w:space="0" w:color="auto"/>
        </w:tblBorders>
        <w:tblLayout w:type="fixed"/>
        <w:tblLook w:val="01E0"/>
      </w:tblPr>
      <w:tblGrid>
        <w:gridCol w:w="2800"/>
        <w:gridCol w:w="1842"/>
        <w:gridCol w:w="1985"/>
        <w:gridCol w:w="1843"/>
      </w:tblGrid>
      <w:tr w:rsidR="00E94405">
        <w:trPr>
          <w:cantSplit/>
          <w:trHeight w:val="308"/>
          <w:tblHeader/>
        </w:trPr>
        <w:tc>
          <w:tcPr>
            <w:tcW w:w="2800" w:type="dxa"/>
            <w:vMerge w:val="restart"/>
            <w:shd w:val="clear" w:color="auto" w:fill="auto"/>
          </w:tcPr>
          <w:p w:rsidR="00E94405" w:rsidRDefault="00A11609" w:rsidP="00667FFD">
            <w:pPr>
              <w:spacing w:beforeLines="40" w:after="40" w:line="280" w:lineRule="atLeast"/>
              <w:jc w:val="center"/>
              <w:rPr>
                <w:rFonts w:asciiTheme="majorHAnsi" w:hAnsiTheme="majorHAnsi" w:cs="Arial"/>
                <w:b/>
                <w:bCs/>
                <w:sz w:val="18"/>
                <w:szCs w:val="18"/>
              </w:rPr>
            </w:pPr>
            <w:r>
              <w:rPr>
                <w:rFonts w:asciiTheme="majorHAnsi" w:hAnsiTheme="majorHAnsi" w:cs="Arial"/>
                <w:b/>
                <w:bCs/>
                <w:sz w:val="18"/>
                <w:szCs w:val="18"/>
              </w:rPr>
              <w:t>Proposed measures</w:t>
            </w:r>
          </w:p>
        </w:tc>
        <w:tc>
          <w:tcPr>
            <w:tcW w:w="5670" w:type="dxa"/>
            <w:gridSpan w:val="3"/>
            <w:shd w:val="clear" w:color="auto" w:fill="auto"/>
          </w:tcPr>
          <w:p w:rsidR="00E94405" w:rsidRDefault="00A11609" w:rsidP="00667FFD">
            <w:pPr>
              <w:spacing w:beforeLines="40" w:after="40" w:line="280" w:lineRule="atLeast"/>
              <w:jc w:val="center"/>
              <w:rPr>
                <w:rFonts w:asciiTheme="majorHAnsi" w:hAnsiTheme="majorHAnsi" w:cs="Arial"/>
                <w:b/>
                <w:bCs/>
                <w:sz w:val="18"/>
                <w:szCs w:val="18"/>
              </w:rPr>
            </w:pPr>
            <w:r>
              <w:rPr>
                <w:rFonts w:asciiTheme="majorHAnsi" w:hAnsiTheme="majorHAnsi" w:cs="Arial"/>
                <w:b/>
                <w:bCs/>
                <w:sz w:val="18"/>
                <w:szCs w:val="18"/>
              </w:rPr>
              <w:t>Commodity</w:t>
            </w:r>
          </w:p>
        </w:tc>
      </w:tr>
      <w:tr w:rsidR="00E94405">
        <w:trPr>
          <w:cantSplit/>
          <w:trHeight w:val="308"/>
          <w:tblHeader/>
        </w:trPr>
        <w:tc>
          <w:tcPr>
            <w:tcW w:w="2800" w:type="dxa"/>
            <w:vMerge/>
            <w:shd w:val="clear" w:color="auto" w:fill="auto"/>
          </w:tcPr>
          <w:p w:rsidR="00E94405" w:rsidRDefault="00E94405" w:rsidP="00667FFD">
            <w:pPr>
              <w:spacing w:beforeLines="40" w:after="40" w:line="280" w:lineRule="atLeast"/>
              <w:jc w:val="center"/>
              <w:rPr>
                <w:rFonts w:asciiTheme="majorHAnsi" w:hAnsiTheme="majorHAnsi" w:cs="Arial"/>
                <w:b/>
                <w:bCs/>
                <w:sz w:val="18"/>
                <w:szCs w:val="18"/>
              </w:rPr>
            </w:pPr>
          </w:p>
        </w:tc>
        <w:tc>
          <w:tcPr>
            <w:tcW w:w="1842" w:type="dxa"/>
            <w:shd w:val="clear" w:color="auto" w:fill="auto"/>
          </w:tcPr>
          <w:p w:rsidR="00E94405" w:rsidRDefault="00A11609" w:rsidP="00667FFD">
            <w:pPr>
              <w:spacing w:beforeLines="40" w:after="40" w:line="280" w:lineRule="atLeast"/>
              <w:jc w:val="center"/>
              <w:rPr>
                <w:rFonts w:asciiTheme="majorHAnsi" w:hAnsiTheme="majorHAnsi" w:cs="Arial"/>
                <w:b/>
                <w:bCs/>
                <w:sz w:val="18"/>
                <w:szCs w:val="18"/>
              </w:rPr>
            </w:pPr>
            <w:r>
              <w:rPr>
                <w:rFonts w:asciiTheme="majorHAnsi" w:hAnsiTheme="majorHAnsi" w:cs="Arial"/>
                <w:b/>
                <w:bCs/>
                <w:sz w:val="18"/>
                <w:szCs w:val="18"/>
              </w:rPr>
              <w:t>Bare-rooted plants</w:t>
            </w:r>
          </w:p>
        </w:tc>
        <w:tc>
          <w:tcPr>
            <w:tcW w:w="1985" w:type="dxa"/>
            <w:shd w:val="clear" w:color="auto" w:fill="auto"/>
          </w:tcPr>
          <w:p w:rsidR="00E94405" w:rsidRDefault="00A11609" w:rsidP="00667FFD">
            <w:pPr>
              <w:spacing w:beforeLines="40" w:after="40" w:line="280" w:lineRule="atLeast"/>
              <w:jc w:val="center"/>
              <w:rPr>
                <w:rFonts w:asciiTheme="majorHAnsi" w:hAnsiTheme="majorHAnsi" w:cs="Arial"/>
                <w:b/>
                <w:bCs/>
                <w:sz w:val="18"/>
                <w:szCs w:val="18"/>
              </w:rPr>
            </w:pPr>
            <w:r>
              <w:rPr>
                <w:rFonts w:asciiTheme="majorHAnsi" w:hAnsiTheme="majorHAnsi" w:cs="Arial"/>
                <w:b/>
                <w:bCs/>
                <w:sz w:val="18"/>
                <w:szCs w:val="18"/>
              </w:rPr>
              <w:t>Dormant cuttings</w:t>
            </w:r>
          </w:p>
        </w:tc>
        <w:tc>
          <w:tcPr>
            <w:tcW w:w="1843" w:type="dxa"/>
            <w:shd w:val="clear" w:color="auto" w:fill="auto"/>
          </w:tcPr>
          <w:p w:rsidR="00E94405" w:rsidRDefault="00A11609" w:rsidP="00667FFD">
            <w:pPr>
              <w:spacing w:beforeLines="40" w:after="40" w:line="280" w:lineRule="atLeast"/>
              <w:jc w:val="center"/>
              <w:rPr>
                <w:rFonts w:asciiTheme="majorHAnsi" w:hAnsiTheme="majorHAnsi" w:cs="Arial"/>
                <w:b/>
                <w:bCs/>
                <w:sz w:val="18"/>
                <w:szCs w:val="18"/>
              </w:rPr>
            </w:pPr>
            <w:r>
              <w:rPr>
                <w:rFonts w:asciiTheme="majorHAnsi" w:hAnsiTheme="majorHAnsi" w:cs="Arial"/>
                <w:b/>
                <w:bCs/>
                <w:sz w:val="18"/>
                <w:szCs w:val="18"/>
              </w:rPr>
              <w:t>Tissue cultures</w:t>
            </w:r>
          </w:p>
        </w:tc>
      </w:tr>
      <w:tr w:rsidR="00E94405">
        <w:tc>
          <w:tcPr>
            <w:tcW w:w="8470" w:type="dxa"/>
            <w:gridSpan w:val="4"/>
          </w:tcPr>
          <w:p w:rsidR="00E94405" w:rsidRDefault="00A11609" w:rsidP="00667FFD">
            <w:pPr>
              <w:spacing w:beforeLines="40" w:after="40" w:line="240" w:lineRule="atLeast"/>
              <w:rPr>
                <w:rFonts w:asciiTheme="majorHAnsi" w:hAnsiTheme="majorHAnsi" w:cs="Arial"/>
                <w:b/>
                <w:sz w:val="18"/>
                <w:szCs w:val="18"/>
              </w:rPr>
            </w:pPr>
            <w:r>
              <w:rPr>
                <w:rFonts w:asciiTheme="majorHAnsi" w:hAnsiTheme="majorHAnsi" w:cs="Helvetica"/>
                <w:b/>
                <w:sz w:val="18"/>
                <w:szCs w:val="18"/>
              </w:rPr>
              <w:t>On-arrival measures</w:t>
            </w:r>
          </w:p>
        </w:tc>
      </w:tr>
      <w:tr w:rsidR="00E94405">
        <w:tc>
          <w:tcPr>
            <w:tcW w:w="2800" w:type="dxa"/>
          </w:tcPr>
          <w:p w:rsidR="00E94405" w:rsidRDefault="00A11609" w:rsidP="00667FFD">
            <w:pPr>
              <w:spacing w:beforeLines="40" w:after="40" w:line="240" w:lineRule="atLeast"/>
              <w:rPr>
                <w:rFonts w:asciiTheme="majorHAnsi" w:hAnsiTheme="majorHAnsi" w:cs="Helvetica"/>
                <w:sz w:val="18"/>
                <w:szCs w:val="18"/>
              </w:rPr>
            </w:pPr>
            <w:r>
              <w:rPr>
                <w:rFonts w:asciiTheme="majorHAnsi" w:hAnsiTheme="majorHAnsi" w:cs="Helvetica"/>
                <w:sz w:val="18"/>
                <w:szCs w:val="18"/>
              </w:rPr>
              <w:t>Phytosanitary certificate</w:t>
            </w:r>
          </w:p>
        </w:tc>
        <w:tc>
          <w:tcPr>
            <w:tcW w:w="1842"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b/>
                <w:sz w:val="18"/>
                <w:szCs w:val="18"/>
              </w:rPr>
              <w:t xml:space="preserve">Yes </w:t>
            </w:r>
            <w:r>
              <w:rPr>
                <w:rFonts w:asciiTheme="majorHAnsi" w:hAnsiTheme="majorHAnsi" w:cs="Arial"/>
                <w:sz w:val="18"/>
                <w:szCs w:val="18"/>
              </w:rPr>
              <w:t>(Additional declaration that inspected by NPPO and found free of obvious disease symptoms)</w:t>
            </w:r>
          </w:p>
        </w:tc>
        <w:tc>
          <w:tcPr>
            <w:tcW w:w="1985"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sz w:val="18"/>
                <w:szCs w:val="18"/>
              </w:rPr>
              <w:t>Not specified</w:t>
            </w:r>
          </w:p>
        </w:tc>
        <w:tc>
          <w:tcPr>
            <w:tcW w:w="1843"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sz w:val="18"/>
                <w:szCs w:val="18"/>
              </w:rPr>
              <w:t>Not specified</w:t>
            </w:r>
          </w:p>
        </w:tc>
      </w:tr>
      <w:tr w:rsidR="00E94405">
        <w:tc>
          <w:tcPr>
            <w:tcW w:w="2800" w:type="dxa"/>
          </w:tcPr>
          <w:p w:rsidR="00E94405" w:rsidRDefault="00A11609" w:rsidP="00667FFD">
            <w:pPr>
              <w:spacing w:beforeLines="40" w:after="40" w:line="240" w:lineRule="atLeast"/>
              <w:rPr>
                <w:rFonts w:asciiTheme="majorHAnsi" w:hAnsiTheme="majorHAnsi" w:cs="Helvetica"/>
                <w:sz w:val="18"/>
                <w:szCs w:val="18"/>
              </w:rPr>
            </w:pPr>
            <w:r>
              <w:rPr>
                <w:rFonts w:asciiTheme="majorHAnsi" w:hAnsiTheme="majorHAnsi" w:cs="Helvetica"/>
                <w:sz w:val="18"/>
                <w:szCs w:val="18"/>
              </w:rPr>
              <w:t>On-arrival inspection</w:t>
            </w:r>
          </w:p>
        </w:tc>
        <w:tc>
          <w:tcPr>
            <w:tcW w:w="1842"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985"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843"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r>
      <w:tr w:rsidR="00E94405">
        <w:tc>
          <w:tcPr>
            <w:tcW w:w="2800" w:type="dxa"/>
          </w:tcPr>
          <w:p w:rsidR="00E94405" w:rsidRDefault="00A11609" w:rsidP="00667FFD">
            <w:pPr>
              <w:spacing w:beforeLines="40" w:after="40" w:line="240" w:lineRule="atLeast"/>
              <w:rPr>
                <w:rFonts w:asciiTheme="majorHAnsi" w:hAnsiTheme="majorHAnsi" w:cs="Helvetica"/>
                <w:iCs/>
                <w:sz w:val="18"/>
                <w:szCs w:val="18"/>
              </w:rPr>
            </w:pPr>
            <w:r>
              <w:rPr>
                <w:rFonts w:asciiTheme="majorHAnsi" w:hAnsiTheme="majorHAnsi" w:cs="Helvetica"/>
                <w:iCs/>
                <w:sz w:val="18"/>
                <w:szCs w:val="18"/>
              </w:rPr>
              <w:t>Methyl bromide fumigation or insecticidal dip</w:t>
            </w:r>
          </w:p>
        </w:tc>
        <w:tc>
          <w:tcPr>
            <w:tcW w:w="1842"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985"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843"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sz w:val="18"/>
                <w:szCs w:val="18"/>
              </w:rPr>
              <w:t>No</w:t>
            </w:r>
          </w:p>
        </w:tc>
      </w:tr>
      <w:tr w:rsidR="00E94405">
        <w:tc>
          <w:tcPr>
            <w:tcW w:w="2800" w:type="dxa"/>
          </w:tcPr>
          <w:p w:rsidR="00E94405" w:rsidRDefault="00A11609" w:rsidP="00667FFD">
            <w:pPr>
              <w:spacing w:beforeLines="40" w:after="40" w:line="240" w:lineRule="atLeast"/>
              <w:rPr>
                <w:rFonts w:asciiTheme="majorHAnsi" w:hAnsiTheme="majorHAnsi" w:cs="Helvetica"/>
                <w:iCs/>
                <w:sz w:val="18"/>
                <w:szCs w:val="18"/>
              </w:rPr>
            </w:pPr>
            <w:r>
              <w:rPr>
                <w:rFonts w:asciiTheme="majorHAnsi" w:hAnsiTheme="majorHAnsi" w:cs="Helvetica"/>
                <w:iCs/>
                <w:sz w:val="18"/>
                <w:szCs w:val="18"/>
              </w:rPr>
              <w:t>Culturing</w:t>
            </w:r>
          </w:p>
        </w:tc>
        <w:tc>
          <w:tcPr>
            <w:tcW w:w="1842"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985"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843"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sz w:val="18"/>
                <w:szCs w:val="18"/>
              </w:rPr>
              <w:t>No</w:t>
            </w:r>
          </w:p>
        </w:tc>
      </w:tr>
      <w:tr w:rsidR="00E94405">
        <w:tc>
          <w:tcPr>
            <w:tcW w:w="2800" w:type="dxa"/>
          </w:tcPr>
          <w:p w:rsidR="00E94405" w:rsidRDefault="00A11609" w:rsidP="00667FFD">
            <w:pPr>
              <w:spacing w:beforeLines="40" w:after="40" w:line="240" w:lineRule="atLeast"/>
              <w:rPr>
                <w:rFonts w:asciiTheme="majorHAnsi" w:hAnsiTheme="majorHAnsi" w:cs="Helvetica"/>
                <w:iCs/>
                <w:sz w:val="18"/>
                <w:szCs w:val="18"/>
              </w:rPr>
            </w:pPr>
            <w:r>
              <w:rPr>
                <w:rFonts w:asciiTheme="majorHAnsi" w:hAnsiTheme="majorHAnsi" w:cs="Helvetica"/>
                <w:iCs/>
                <w:sz w:val="18"/>
                <w:szCs w:val="18"/>
              </w:rPr>
              <w:t xml:space="preserve">On-arrival molecular testing </w:t>
            </w:r>
          </w:p>
        </w:tc>
        <w:tc>
          <w:tcPr>
            <w:tcW w:w="1842"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b/>
                <w:sz w:val="18"/>
                <w:szCs w:val="18"/>
              </w:rPr>
              <w:t>Yes</w:t>
            </w:r>
            <w:r>
              <w:rPr>
                <w:rFonts w:asciiTheme="majorHAnsi" w:hAnsiTheme="majorHAnsi" w:cs="Arial"/>
                <w:sz w:val="18"/>
                <w:szCs w:val="18"/>
              </w:rPr>
              <w:t xml:space="preserve"> (Generic PCR)</w:t>
            </w:r>
          </w:p>
        </w:tc>
        <w:tc>
          <w:tcPr>
            <w:tcW w:w="1985"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b/>
                <w:sz w:val="18"/>
                <w:szCs w:val="18"/>
              </w:rPr>
              <w:t>Yes</w:t>
            </w:r>
            <w:r>
              <w:rPr>
                <w:rFonts w:asciiTheme="majorHAnsi" w:hAnsiTheme="majorHAnsi" w:cs="Arial"/>
                <w:sz w:val="18"/>
                <w:szCs w:val="18"/>
              </w:rPr>
              <w:t xml:space="preserve"> (Generic PCR)</w:t>
            </w:r>
          </w:p>
        </w:tc>
        <w:tc>
          <w:tcPr>
            <w:tcW w:w="1843"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sz w:val="18"/>
                <w:szCs w:val="18"/>
              </w:rPr>
              <w:t>No</w:t>
            </w:r>
          </w:p>
        </w:tc>
      </w:tr>
      <w:tr w:rsidR="00E94405">
        <w:tc>
          <w:tcPr>
            <w:tcW w:w="2800" w:type="dxa"/>
          </w:tcPr>
          <w:p w:rsidR="00E94405" w:rsidRDefault="00A11609" w:rsidP="00667FFD">
            <w:pPr>
              <w:spacing w:beforeLines="40" w:after="40" w:line="240" w:lineRule="atLeast"/>
              <w:rPr>
                <w:rFonts w:asciiTheme="majorHAnsi" w:hAnsiTheme="majorHAnsi" w:cs="Helvetica"/>
                <w:iCs/>
                <w:sz w:val="18"/>
                <w:szCs w:val="18"/>
              </w:rPr>
            </w:pPr>
            <w:r>
              <w:rPr>
                <w:rFonts w:asciiTheme="majorHAnsi" w:hAnsiTheme="majorHAnsi" w:cs="Helvetica"/>
                <w:iCs/>
                <w:sz w:val="18"/>
                <w:szCs w:val="18"/>
              </w:rPr>
              <w:t>Sodium hypochlorite treatment</w:t>
            </w:r>
          </w:p>
        </w:tc>
        <w:tc>
          <w:tcPr>
            <w:tcW w:w="1842"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985" w:type="dxa"/>
          </w:tcPr>
          <w:p w:rsidR="00E94405" w:rsidRDefault="00A11609" w:rsidP="00667FFD">
            <w:pPr>
              <w:spacing w:beforeLines="40" w:after="40" w:line="240" w:lineRule="atLeast"/>
              <w:jc w:val="center"/>
              <w:rPr>
                <w:rFonts w:asciiTheme="majorHAnsi" w:hAnsiTheme="majorHAnsi" w:cs="Arial"/>
                <w:b/>
                <w:sz w:val="18"/>
                <w:szCs w:val="18"/>
              </w:rPr>
            </w:pPr>
            <w:r>
              <w:rPr>
                <w:rFonts w:asciiTheme="majorHAnsi" w:hAnsiTheme="majorHAnsi" w:cs="Arial"/>
                <w:b/>
                <w:sz w:val="18"/>
                <w:szCs w:val="18"/>
              </w:rPr>
              <w:t>Yes</w:t>
            </w:r>
          </w:p>
        </w:tc>
        <w:tc>
          <w:tcPr>
            <w:tcW w:w="1843"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sz w:val="18"/>
                <w:szCs w:val="18"/>
              </w:rPr>
              <w:t>No</w:t>
            </w:r>
          </w:p>
        </w:tc>
      </w:tr>
      <w:tr w:rsidR="00E94405">
        <w:tc>
          <w:tcPr>
            <w:tcW w:w="2800" w:type="dxa"/>
          </w:tcPr>
          <w:p w:rsidR="00E94405" w:rsidRDefault="00A11609" w:rsidP="00667FFD">
            <w:pPr>
              <w:spacing w:beforeLines="40" w:after="40" w:line="240" w:lineRule="atLeast"/>
              <w:rPr>
                <w:rFonts w:asciiTheme="majorHAnsi" w:hAnsiTheme="majorHAnsi" w:cs="Helvetica"/>
                <w:iCs/>
                <w:sz w:val="18"/>
                <w:szCs w:val="18"/>
              </w:rPr>
            </w:pPr>
            <w:r>
              <w:rPr>
                <w:rFonts w:asciiTheme="majorHAnsi" w:hAnsiTheme="majorHAnsi" w:cs="Helvetica"/>
                <w:iCs/>
                <w:sz w:val="18"/>
                <w:szCs w:val="18"/>
              </w:rPr>
              <w:t>Mandatory growth in PEQ</w:t>
            </w:r>
          </w:p>
        </w:tc>
        <w:tc>
          <w:tcPr>
            <w:tcW w:w="1842"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b/>
                <w:sz w:val="18"/>
                <w:szCs w:val="18"/>
              </w:rPr>
              <w:t>Yes</w:t>
            </w:r>
            <w:r>
              <w:rPr>
                <w:rFonts w:asciiTheme="majorHAnsi" w:hAnsiTheme="majorHAnsi" w:cs="Arial"/>
                <w:sz w:val="18"/>
                <w:szCs w:val="18"/>
              </w:rPr>
              <w:t xml:space="preserve"> (minimum 15 months)</w:t>
            </w:r>
          </w:p>
        </w:tc>
        <w:tc>
          <w:tcPr>
            <w:tcW w:w="1985"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b/>
                <w:sz w:val="18"/>
                <w:szCs w:val="18"/>
              </w:rPr>
              <w:t>Yes</w:t>
            </w:r>
            <w:r>
              <w:rPr>
                <w:rFonts w:asciiTheme="majorHAnsi" w:hAnsiTheme="majorHAnsi" w:cs="Arial"/>
                <w:sz w:val="18"/>
                <w:szCs w:val="18"/>
              </w:rPr>
              <w:t xml:space="preserve"> (minimum 15 months)</w:t>
            </w:r>
          </w:p>
        </w:tc>
        <w:tc>
          <w:tcPr>
            <w:tcW w:w="1843" w:type="dxa"/>
          </w:tcPr>
          <w:p w:rsidR="00E94405" w:rsidRDefault="00A11609" w:rsidP="00667FFD">
            <w:pPr>
              <w:spacing w:beforeLines="40" w:after="40" w:line="240" w:lineRule="atLeast"/>
              <w:jc w:val="center"/>
              <w:rPr>
                <w:rFonts w:asciiTheme="majorHAnsi" w:hAnsiTheme="majorHAnsi" w:cs="Arial"/>
                <w:sz w:val="18"/>
                <w:szCs w:val="18"/>
              </w:rPr>
            </w:pPr>
            <w:r>
              <w:rPr>
                <w:rFonts w:asciiTheme="majorHAnsi" w:hAnsiTheme="majorHAnsi" w:cs="Arial"/>
                <w:b/>
                <w:sz w:val="18"/>
                <w:szCs w:val="18"/>
              </w:rPr>
              <w:t>Yes</w:t>
            </w:r>
            <w:r>
              <w:rPr>
                <w:rFonts w:asciiTheme="majorHAnsi" w:hAnsiTheme="majorHAnsi" w:cs="Arial"/>
                <w:sz w:val="18"/>
                <w:szCs w:val="18"/>
              </w:rPr>
              <w:t xml:space="preserve"> (minimum 12 months)</w:t>
            </w:r>
          </w:p>
        </w:tc>
      </w:tr>
      <w:tr w:rsidR="00E94405">
        <w:tc>
          <w:tcPr>
            <w:tcW w:w="2800" w:type="dxa"/>
          </w:tcPr>
          <w:p w:rsidR="00E94405" w:rsidRDefault="00A11609" w:rsidP="00667FFD">
            <w:pPr>
              <w:spacing w:beforeLines="40" w:after="40" w:line="240" w:lineRule="atLeast"/>
              <w:rPr>
                <w:rFonts w:asciiTheme="majorHAnsi" w:hAnsiTheme="majorHAnsi" w:cs="Helvetica"/>
                <w:sz w:val="18"/>
                <w:szCs w:val="18"/>
              </w:rPr>
            </w:pPr>
            <w:r>
              <w:rPr>
                <w:rFonts w:asciiTheme="majorHAnsi" w:hAnsiTheme="majorHAnsi" w:cs="Helvetica"/>
                <w:sz w:val="18"/>
                <w:szCs w:val="18"/>
              </w:rPr>
              <w:t>Visual inspection during PEQ</w:t>
            </w:r>
          </w:p>
        </w:tc>
        <w:tc>
          <w:tcPr>
            <w:tcW w:w="1842" w:type="dxa"/>
          </w:tcPr>
          <w:p w:rsidR="00E94405" w:rsidRDefault="00A11609" w:rsidP="00667FFD">
            <w:pPr>
              <w:spacing w:beforeLines="40" w:after="40" w:line="240" w:lineRule="atLeast"/>
              <w:jc w:val="center"/>
              <w:rPr>
                <w:rFonts w:asciiTheme="majorHAnsi" w:hAnsiTheme="majorHAnsi" w:cs="Helvetica"/>
                <w:b/>
                <w:sz w:val="18"/>
                <w:szCs w:val="18"/>
              </w:rPr>
            </w:pPr>
            <w:r>
              <w:rPr>
                <w:rFonts w:asciiTheme="majorHAnsi" w:hAnsiTheme="majorHAnsi" w:cs="Helvetica"/>
                <w:b/>
                <w:sz w:val="18"/>
                <w:szCs w:val="18"/>
              </w:rPr>
              <w:t xml:space="preserve">Yes </w:t>
            </w:r>
          </w:p>
        </w:tc>
        <w:tc>
          <w:tcPr>
            <w:tcW w:w="1985" w:type="dxa"/>
          </w:tcPr>
          <w:p w:rsidR="00E94405" w:rsidRDefault="00A11609" w:rsidP="00667FFD">
            <w:pPr>
              <w:spacing w:beforeLines="40" w:after="40" w:line="240" w:lineRule="atLeast"/>
              <w:jc w:val="center"/>
              <w:rPr>
                <w:rFonts w:asciiTheme="majorHAnsi" w:hAnsiTheme="majorHAnsi" w:cs="Helvetica"/>
                <w:b/>
                <w:sz w:val="18"/>
                <w:szCs w:val="18"/>
              </w:rPr>
            </w:pPr>
            <w:r>
              <w:rPr>
                <w:rFonts w:asciiTheme="majorHAnsi" w:hAnsiTheme="majorHAnsi" w:cs="Helvetica"/>
                <w:b/>
                <w:sz w:val="18"/>
                <w:szCs w:val="18"/>
              </w:rPr>
              <w:t>Yes</w:t>
            </w:r>
          </w:p>
        </w:tc>
        <w:tc>
          <w:tcPr>
            <w:tcW w:w="1843" w:type="dxa"/>
          </w:tcPr>
          <w:p w:rsidR="00E94405" w:rsidRDefault="00A11609" w:rsidP="00667FFD">
            <w:pPr>
              <w:spacing w:beforeLines="40" w:after="40" w:line="240" w:lineRule="atLeast"/>
              <w:jc w:val="center"/>
              <w:rPr>
                <w:rFonts w:asciiTheme="majorHAnsi" w:hAnsiTheme="majorHAnsi" w:cs="Helvetica"/>
                <w:b/>
                <w:sz w:val="18"/>
                <w:szCs w:val="18"/>
              </w:rPr>
            </w:pPr>
            <w:r>
              <w:rPr>
                <w:rFonts w:asciiTheme="majorHAnsi" w:hAnsiTheme="majorHAnsi" w:cs="Arial"/>
                <w:b/>
                <w:sz w:val="18"/>
                <w:szCs w:val="18"/>
              </w:rPr>
              <w:t>Yes</w:t>
            </w:r>
          </w:p>
        </w:tc>
      </w:tr>
      <w:tr w:rsidR="00E94405">
        <w:tc>
          <w:tcPr>
            <w:tcW w:w="2800" w:type="dxa"/>
          </w:tcPr>
          <w:p w:rsidR="00E94405" w:rsidRDefault="00A11609" w:rsidP="00667FFD">
            <w:pPr>
              <w:spacing w:beforeLines="40" w:after="40" w:line="240" w:lineRule="atLeast"/>
              <w:rPr>
                <w:rFonts w:asciiTheme="majorHAnsi" w:hAnsiTheme="majorHAnsi" w:cs="Helvetica"/>
                <w:sz w:val="18"/>
                <w:szCs w:val="18"/>
              </w:rPr>
            </w:pPr>
            <w:r>
              <w:rPr>
                <w:rFonts w:asciiTheme="majorHAnsi" w:hAnsiTheme="majorHAnsi" w:cs="Helvetica"/>
                <w:sz w:val="18"/>
                <w:szCs w:val="18"/>
              </w:rPr>
              <w:t xml:space="preserve">Molecular testing during PEQ </w:t>
            </w:r>
          </w:p>
        </w:tc>
        <w:tc>
          <w:tcPr>
            <w:tcW w:w="1842" w:type="dxa"/>
          </w:tcPr>
          <w:p w:rsidR="00E94405" w:rsidRDefault="00A11609" w:rsidP="00667FFD">
            <w:pPr>
              <w:spacing w:beforeLines="40" w:after="40" w:line="240" w:lineRule="atLeast"/>
              <w:jc w:val="center"/>
              <w:rPr>
                <w:rFonts w:asciiTheme="majorHAnsi" w:hAnsiTheme="majorHAnsi" w:cs="Helvetica"/>
                <w:sz w:val="18"/>
                <w:szCs w:val="18"/>
              </w:rPr>
            </w:pPr>
            <w:r>
              <w:rPr>
                <w:rFonts w:asciiTheme="majorHAnsi" w:hAnsiTheme="majorHAnsi" w:cs="Helvetica"/>
                <w:b/>
                <w:sz w:val="18"/>
                <w:szCs w:val="18"/>
              </w:rPr>
              <w:t>Yes</w:t>
            </w:r>
            <w:r>
              <w:rPr>
                <w:rFonts w:asciiTheme="majorHAnsi" w:hAnsiTheme="majorHAnsi" w:cs="Helvetica"/>
                <w:sz w:val="18"/>
                <w:szCs w:val="18"/>
              </w:rPr>
              <w:t xml:space="preserve"> (Generic PCR)</w:t>
            </w:r>
          </w:p>
        </w:tc>
        <w:tc>
          <w:tcPr>
            <w:tcW w:w="1985" w:type="dxa"/>
          </w:tcPr>
          <w:p w:rsidR="00E94405" w:rsidRDefault="00A11609" w:rsidP="00667FFD">
            <w:pPr>
              <w:spacing w:beforeLines="40" w:after="40" w:line="240" w:lineRule="atLeast"/>
              <w:jc w:val="center"/>
              <w:rPr>
                <w:rFonts w:asciiTheme="majorHAnsi" w:hAnsiTheme="majorHAnsi" w:cs="Helvetica"/>
                <w:sz w:val="18"/>
                <w:szCs w:val="18"/>
              </w:rPr>
            </w:pPr>
            <w:r>
              <w:rPr>
                <w:rFonts w:asciiTheme="majorHAnsi" w:hAnsiTheme="majorHAnsi" w:cs="Helvetica"/>
                <w:b/>
                <w:sz w:val="18"/>
                <w:szCs w:val="18"/>
              </w:rPr>
              <w:t>Yes</w:t>
            </w:r>
            <w:r>
              <w:rPr>
                <w:rFonts w:asciiTheme="majorHAnsi" w:hAnsiTheme="majorHAnsi" w:cs="Helvetica"/>
                <w:sz w:val="18"/>
                <w:szCs w:val="18"/>
              </w:rPr>
              <w:t xml:space="preserve"> (Generic PCR)</w:t>
            </w:r>
          </w:p>
        </w:tc>
        <w:tc>
          <w:tcPr>
            <w:tcW w:w="1843" w:type="dxa"/>
          </w:tcPr>
          <w:p w:rsidR="00E94405" w:rsidRDefault="00A11609" w:rsidP="00667FFD">
            <w:pPr>
              <w:spacing w:beforeLines="40" w:after="40" w:line="240" w:lineRule="atLeast"/>
              <w:jc w:val="center"/>
              <w:rPr>
                <w:rFonts w:asciiTheme="majorHAnsi" w:hAnsiTheme="majorHAnsi" w:cs="Helvetica"/>
                <w:sz w:val="18"/>
                <w:szCs w:val="18"/>
              </w:rPr>
            </w:pPr>
            <w:r>
              <w:rPr>
                <w:rFonts w:asciiTheme="majorHAnsi" w:hAnsiTheme="majorHAnsi" w:cs="Arial"/>
                <w:b/>
                <w:sz w:val="18"/>
                <w:szCs w:val="18"/>
              </w:rPr>
              <w:t xml:space="preserve">Yes </w:t>
            </w:r>
            <w:r>
              <w:rPr>
                <w:rFonts w:asciiTheme="majorHAnsi" w:hAnsiTheme="majorHAnsi" w:cs="Arial"/>
                <w:sz w:val="18"/>
                <w:szCs w:val="18"/>
              </w:rPr>
              <w:t>(Generic PCR)</w:t>
            </w:r>
          </w:p>
        </w:tc>
      </w:tr>
    </w:tbl>
    <w:p w:rsidR="00E94405" w:rsidRDefault="00E94405">
      <w:pPr>
        <w:pStyle w:val="ListBullet"/>
        <w:numPr>
          <w:ilvl w:val="0"/>
          <w:numId w:val="0"/>
        </w:numPr>
        <w:spacing w:before="200" w:line="269" w:lineRule="auto"/>
        <w:rPr>
          <w:rFonts w:ascii="Cambria" w:hAnsi="Cambria"/>
        </w:rPr>
      </w:pP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146" w:name="_Toc414019456"/>
      <w:r>
        <w:rPr>
          <w:rFonts w:eastAsiaTheme="majorEastAsia" w:cstheme="majorBidi"/>
          <w:color w:val="773141"/>
          <w:sz w:val="28"/>
        </w:rPr>
        <w:lastRenderedPageBreak/>
        <w:t>Consideration of alternative measures</w:t>
      </w:r>
      <w:bookmarkEnd w:id="146"/>
    </w:p>
    <w:p w:rsidR="00E94405" w:rsidRDefault="00A11609">
      <w:pPr>
        <w:spacing w:before="200"/>
        <w:rPr>
          <w:rFonts w:ascii="Cambria" w:hAnsi="Cambria"/>
        </w:rPr>
      </w:pPr>
      <w:r>
        <w:rPr>
          <w:rFonts w:ascii="Cambria" w:hAnsi="Cambria"/>
        </w:rPr>
        <w:t xml:space="preserve">Consistent with the principle of equivalence detailed in ISPM 11: </w:t>
      </w:r>
      <w:r>
        <w:rPr>
          <w:rFonts w:ascii="Cambria" w:hAnsi="Cambria"/>
          <w:i/>
        </w:rPr>
        <w:t>Pest risk analysis for quarantine pests</w:t>
      </w:r>
      <w:r>
        <w:rPr>
          <w:rFonts w:ascii="Cambria" w:hAnsi="Cambria"/>
        </w:rPr>
        <w:t xml:space="preserve"> (FAO 2013b), the department will consider any alternative measure proposed by the exporting NPPO, providing that it achieves Australia’s ALOP. Evaluation of such measures or treatments will require a technical submission from the exporting NPPO that details the proposed treatments or measures, including data from suitable treatment trials to demonstrate efficacy.</w:t>
      </w:r>
    </w:p>
    <w:p w:rsidR="00E94405" w:rsidRDefault="00A11609">
      <w:pPr>
        <w:spacing w:before="200"/>
        <w:rPr>
          <w:rFonts w:ascii="Cambria" w:hAnsi="Cambria"/>
        </w:rPr>
      </w:pPr>
      <w:r>
        <w:rPr>
          <w:rFonts w:ascii="Cambria" w:hAnsi="Cambria"/>
        </w:rPr>
        <w:t>A number of risk mitigation measures designed to protect and minimise the risks of exotic pests under International Plant Protection Convention (IPPC) standards (</w:t>
      </w:r>
      <w:hyperlink r:id="rId40" w:history="1">
        <w:r>
          <w:rPr>
            <w:rStyle w:val="Hyperlink"/>
            <w:rFonts w:ascii="Cambria" w:hAnsi="Cambria"/>
          </w:rPr>
          <w:t>www.ippc.int/IPP/En/default.jsp</w:t>
        </w:r>
      </w:hyperlink>
      <w:r>
        <w:rPr>
          <w:rFonts w:ascii="Cambria" w:hAnsi="Cambria"/>
        </w:rPr>
        <w:t xml:space="preserve">) are considered below. </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7" w:name="_Toc386635002"/>
      <w:r>
        <w:rPr>
          <w:rFonts w:ascii="Calibri" w:hAnsi="Calibri" w:cstheme="minorBidi"/>
          <w:sz w:val="24"/>
          <w:szCs w:val="22"/>
        </w:rPr>
        <w:t>Sourcing propagative material from pest free areas</w:t>
      </w:r>
      <w:bookmarkEnd w:id="147"/>
    </w:p>
    <w:p w:rsidR="00E94405" w:rsidRDefault="00A11609">
      <w:pPr>
        <w:spacing w:before="200"/>
        <w:rPr>
          <w:rFonts w:ascii="Cambria" w:hAnsi="Cambria"/>
        </w:rPr>
      </w:pPr>
      <w:r>
        <w:rPr>
          <w:rFonts w:ascii="Cambria" w:hAnsi="Cambria"/>
        </w:rPr>
        <w:t>The establishment and use of a pest free area by a NPPO provides assurance that specific pathogens are not present in the production area for plant products being exported. This facilitates entry into the importing country, for the commodity, without the need for an application of additional phytosanitary measures, when certain requirements are met.</w:t>
      </w:r>
    </w:p>
    <w:p w:rsidR="00E94405" w:rsidRDefault="00A11609">
      <w:pPr>
        <w:spacing w:before="200"/>
        <w:rPr>
          <w:rFonts w:ascii="Cambria" w:hAnsi="Cambria"/>
        </w:rPr>
      </w:pPr>
      <w:r>
        <w:rPr>
          <w:rFonts w:ascii="Cambria" w:hAnsi="Cambria"/>
        </w:rPr>
        <w:t xml:space="preserve">Area freedom is a measure that might be applied to manage the risk posed by </w:t>
      </w:r>
      <w:r>
        <w:rPr>
          <w:rFonts w:ascii="Cambria" w:hAnsi="Cambria"/>
          <w:i/>
          <w:iCs/>
        </w:rPr>
        <w:t xml:space="preserve">Phytophthora </w:t>
      </w:r>
      <w:r>
        <w:rPr>
          <w:rFonts w:ascii="Cambria" w:hAnsi="Cambria"/>
        </w:rPr>
        <w:t xml:space="preserve">species associated with propagative material imported into Australia. The requirements for establishing pest free </w:t>
      </w:r>
      <w:r>
        <w:rPr>
          <w:rFonts w:ascii="Cambria" w:hAnsi="Cambria" w:cs="TimesNewRoman"/>
          <w:lang w:eastAsia="zh-CN"/>
        </w:rPr>
        <w:t>areas</w:t>
      </w:r>
      <w:r>
        <w:rPr>
          <w:rFonts w:ascii="Cambria" w:hAnsi="Cambria"/>
        </w:rPr>
        <w:t xml:space="preserve"> or pest free places of production are set out in ISPM No. 4: </w:t>
      </w:r>
      <w:r>
        <w:rPr>
          <w:rFonts w:ascii="Cambria" w:hAnsi="Cambria"/>
          <w:i/>
          <w:iCs/>
        </w:rPr>
        <w:t>Establishment of pest free areas</w:t>
      </w:r>
      <w:r>
        <w:rPr>
          <w:rFonts w:ascii="Cambria" w:hAnsi="Cambria"/>
        </w:rPr>
        <w:t xml:space="preserve"> (FAO 1995) and ISPM No. 10: </w:t>
      </w:r>
      <w:r>
        <w:rPr>
          <w:rFonts w:ascii="Cambria" w:hAnsi="Cambria"/>
          <w:i/>
          <w:iCs/>
        </w:rPr>
        <w:t>Requirements for the establishment of pest free places of production and pest free production sites</w:t>
      </w:r>
      <w:r>
        <w:rPr>
          <w:rFonts w:ascii="Cambria" w:hAnsi="Cambria"/>
        </w:rPr>
        <w:t xml:space="preserve"> (FAO 1999).</w:t>
      </w:r>
    </w:p>
    <w:p w:rsidR="00E94405" w:rsidRDefault="00A11609">
      <w:pPr>
        <w:spacing w:before="200"/>
        <w:rPr>
          <w:rFonts w:ascii="Cambria" w:hAnsi="Cambria"/>
        </w:rPr>
      </w:pPr>
      <w:r>
        <w:rPr>
          <w:rFonts w:ascii="Cambria" w:hAnsi="Cambria"/>
          <w:i/>
          <w:iCs/>
        </w:rPr>
        <w:t xml:space="preserve">Phytophthora ramorum </w:t>
      </w:r>
      <w:r>
        <w:rPr>
          <w:rFonts w:ascii="Cambria" w:hAnsi="Cambria"/>
        </w:rPr>
        <w:t xml:space="preserve">has been detected in plants originating in an area in which, in accordance with the relevant ISPM No. 4, there is an official statement that </w:t>
      </w:r>
      <w:r>
        <w:rPr>
          <w:rFonts w:ascii="Cambria" w:hAnsi="Cambria"/>
          <w:i/>
          <w:iCs/>
        </w:rPr>
        <w:t xml:space="preserve">P. ramorum </w:t>
      </w:r>
      <w:r>
        <w:rPr>
          <w:rFonts w:ascii="Cambria" w:hAnsi="Cambria"/>
        </w:rPr>
        <w:t xml:space="preserve">does not occur (Sundheim </w:t>
      </w:r>
      <w:r>
        <w:rPr>
          <w:rFonts w:ascii="Cambria" w:hAnsi="Cambria"/>
          <w:iCs/>
        </w:rPr>
        <w:t>et al</w:t>
      </w:r>
      <w:r>
        <w:rPr>
          <w:rFonts w:ascii="Cambria" w:hAnsi="Cambria"/>
        </w:rPr>
        <w:t>. 2009); therefore, the department does not consider that imports based on pest free area or place of production declaration are a viable option.</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8" w:name="_Toc386635003"/>
      <w:r>
        <w:rPr>
          <w:rFonts w:ascii="Calibri" w:hAnsi="Calibri" w:cstheme="minorBidi"/>
          <w:sz w:val="24"/>
          <w:szCs w:val="22"/>
        </w:rPr>
        <w:t>Inspection and certification</w:t>
      </w:r>
      <w:bookmarkEnd w:id="148"/>
    </w:p>
    <w:p w:rsidR="00E94405" w:rsidRDefault="00A11609">
      <w:pPr>
        <w:spacing w:before="200"/>
        <w:rPr>
          <w:rFonts w:ascii="Cambria" w:hAnsi="Cambria"/>
        </w:rPr>
      </w:pPr>
      <w:r>
        <w:rPr>
          <w:rFonts w:ascii="Cambria" w:hAnsi="Cambria" w:cs="TimesNewRoman"/>
          <w:lang w:eastAsia="zh-CN"/>
        </w:rPr>
        <w:t xml:space="preserve">The exporting </w:t>
      </w:r>
      <w:r>
        <w:rPr>
          <w:rFonts w:ascii="Cambria" w:hAnsi="Cambria"/>
        </w:rPr>
        <w:t>country</w:t>
      </w:r>
      <w:r>
        <w:rPr>
          <w:rFonts w:ascii="Cambria" w:hAnsi="Cambria" w:cs="TimesNewRoman"/>
          <w:lang w:eastAsia="zh-CN"/>
        </w:rPr>
        <w:t xml:space="preserve"> may be asked to inspect the shipment and certify that the shipment is free from regulated pests before export.</w:t>
      </w:r>
      <w:r>
        <w:rPr>
          <w:rFonts w:ascii="Cambria" w:eastAsia="SimSun" w:hAnsi="Cambria" w:cs="TimesNewRoman"/>
          <w:lang w:eastAsia="zh-CN"/>
        </w:rPr>
        <w:t xml:space="preserve"> </w:t>
      </w:r>
      <w:r>
        <w:rPr>
          <w:rFonts w:ascii="Cambria" w:hAnsi="Cambria" w:cs="TimesNewRoman"/>
          <w:lang w:eastAsia="zh-CN"/>
        </w:rPr>
        <w:t xml:space="preserve">This is a practical measure for visible pests or for pests which produce visible symptoms on plants. The importing country may specify that production of the commodity be undertaken under an officially monitored certification scheme to ensure stock is free from pests. This inspection is conducted in accordance with </w:t>
      </w:r>
      <w:r>
        <w:rPr>
          <w:rFonts w:ascii="Cambria" w:hAnsi="Cambria"/>
        </w:rPr>
        <w:t xml:space="preserve">ISPM 23: </w:t>
      </w:r>
      <w:r>
        <w:rPr>
          <w:rFonts w:ascii="Cambria" w:hAnsi="Cambria"/>
          <w:i/>
        </w:rPr>
        <w:t>Guidelines for inspection</w:t>
      </w:r>
      <w:r>
        <w:rPr>
          <w:rFonts w:ascii="Cambria" w:hAnsi="Cambria"/>
        </w:rPr>
        <w:t xml:space="preserve">, which describes procedures for the inspection of consignments of plants, plant products and other regulated articles at import and export. </w:t>
      </w:r>
    </w:p>
    <w:p w:rsidR="00E94405" w:rsidRDefault="00A11609">
      <w:pPr>
        <w:spacing w:before="200"/>
        <w:rPr>
          <w:rFonts w:ascii="Cambria" w:hAnsi="Cambria"/>
        </w:rPr>
      </w:pPr>
      <w:r>
        <w:rPr>
          <w:rFonts w:ascii="Cambria" w:hAnsi="Cambria"/>
        </w:rPr>
        <w:t xml:space="preserve">Phytosanitary certification is used to attest that consignments meet the phytosanitary requirements of the importing country and are conducted in accordance with ISPM 12: </w:t>
      </w:r>
      <w:r>
        <w:rPr>
          <w:rFonts w:ascii="Cambria" w:hAnsi="Cambria"/>
          <w:i/>
          <w:iCs/>
        </w:rPr>
        <w:t>Phytosanitary Certificates.</w:t>
      </w:r>
      <w:r>
        <w:rPr>
          <w:rFonts w:ascii="Cambria" w:hAnsi="Cambria"/>
        </w:rPr>
        <w:t xml:space="preserve"> Phytosanitary certification contributes to the protection of plants, habitats and ecosystems in the importing countries. Phytosanitary certification also facilitates international trade in plants, plant products and other regulated articles by providing internationally agreed documentation and procedures. </w:t>
      </w:r>
    </w:p>
    <w:p w:rsidR="00E94405" w:rsidRDefault="00A11609">
      <w:pPr>
        <w:spacing w:before="200"/>
        <w:rPr>
          <w:rFonts w:ascii="Cambria" w:hAnsi="Cambria"/>
        </w:rPr>
      </w:pPr>
      <w:r>
        <w:rPr>
          <w:rFonts w:ascii="Cambria" w:hAnsi="Cambria"/>
        </w:rPr>
        <w:lastRenderedPageBreak/>
        <w:t xml:space="preserve">Pre-export inspection and certification is not a suitable option to manage the risk posed by the importation of </w:t>
      </w:r>
      <w:r>
        <w:rPr>
          <w:rFonts w:ascii="Cambria" w:hAnsi="Cambria"/>
          <w:i/>
          <w:iCs/>
        </w:rPr>
        <w:t xml:space="preserve">Phytophthora </w:t>
      </w:r>
      <w:r>
        <w:rPr>
          <w:rFonts w:ascii="Cambria" w:hAnsi="Cambria"/>
        </w:rPr>
        <w:t xml:space="preserve">species host propagative material. Certain hosts may be infected but remain symptomless (Denman </w:t>
      </w:r>
      <w:r>
        <w:rPr>
          <w:rFonts w:ascii="Cambria" w:hAnsi="Cambria"/>
          <w:iCs/>
        </w:rPr>
        <w:t>et al</w:t>
      </w:r>
      <w:r>
        <w:rPr>
          <w:rFonts w:ascii="Cambria" w:hAnsi="Cambria"/>
        </w:rPr>
        <w:t xml:space="preserve">. 2008) and the assessment of the health of planting stock for quarantine certification is normally a visual process. Studies have demonstrated that sporangial production by both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occurs on </w:t>
      </w:r>
      <w:r>
        <w:rPr>
          <w:rFonts w:ascii="Cambria" w:hAnsi="Cambria"/>
          <w:iCs/>
        </w:rPr>
        <w:t>asymptomatic</w:t>
      </w:r>
      <w:r>
        <w:rPr>
          <w:rFonts w:ascii="Cambria" w:hAnsi="Cambria"/>
          <w:i/>
          <w:iCs/>
        </w:rPr>
        <w:t xml:space="preserve"> </w:t>
      </w:r>
      <w:r>
        <w:rPr>
          <w:rFonts w:ascii="Cambria" w:hAnsi="Cambria"/>
        </w:rPr>
        <w:t xml:space="preserve">infected leaves and fruits of a range of hosts including </w:t>
      </w:r>
      <w:r>
        <w:rPr>
          <w:rFonts w:ascii="Cambria" w:hAnsi="Cambria"/>
          <w:i/>
          <w:iCs/>
        </w:rPr>
        <w:t xml:space="preserve">Crataegus, Laurus, Quercus, </w:t>
      </w:r>
      <w:r>
        <w:rPr>
          <w:rFonts w:ascii="Cambria" w:hAnsi="Cambria"/>
          <w:i/>
        </w:rPr>
        <w:t>Rhododendron</w:t>
      </w:r>
      <w:r>
        <w:rPr>
          <w:rFonts w:ascii="Cambria" w:hAnsi="Cambria"/>
        </w:rPr>
        <w:t xml:space="preserve">, </w:t>
      </w:r>
      <w:r>
        <w:rPr>
          <w:rFonts w:ascii="Cambria" w:hAnsi="Cambria"/>
          <w:i/>
          <w:iCs/>
        </w:rPr>
        <w:t xml:space="preserve">Rosa </w:t>
      </w:r>
      <w:r>
        <w:rPr>
          <w:rFonts w:ascii="Cambria" w:hAnsi="Cambria"/>
          <w:iCs/>
        </w:rPr>
        <w:t xml:space="preserve">and </w:t>
      </w:r>
      <w:r>
        <w:rPr>
          <w:rFonts w:ascii="Cambria" w:hAnsi="Cambria"/>
          <w:i/>
          <w:iCs/>
        </w:rPr>
        <w:t xml:space="preserve">Smilax </w:t>
      </w:r>
      <w:r>
        <w:rPr>
          <w:rFonts w:ascii="Cambria" w:hAnsi="Cambria"/>
          <w:iCs/>
        </w:rPr>
        <w:t>species</w:t>
      </w:r>
      <w:r>
        <w:rPr>
          <w:rFonts w:ascii="Cambria" w:hAnsi="Cambria"/>
          <w:i/>
          <w:iCs/>
        </w:rPr>
        <w:t xml:space="preserve"> </w:t>
      </w:r>
      <w:r>
        <w:rPr>
          <w:rFonts w:ascii="Cambria" w:hAnsi="Cambria"/>
        </w:rPr>
        <w:t xml:space="preserve">(Moralejo </w:t>
      </w:r>
      <w:r>
        <w:rPr>
          <w:rFonts w:ascii="Cambria" w:hAnsi="Cambria"/>
          <w:iCs/>
        </w:rPr>
        <w:t>et al</w:t>
      </w:r>
      <w:r>
        <w:rPr>
          <w:rFonts w:ascii="Cambria" w:hAnsi="Cambria"/>
        </w:rPr>
        <w:t xml:space="preserve">. 2007; Riedel </w:t>
      </w:r>
      <w:r>
        <w:rPr>
          <w:rFonts w:ascii="Cambria" w:hAnsi="Cambria"/>
          <w:iCs/>
        </w:rPr>
        <w:t>et al</w:t>
      </w:r>
      <w:r>
        <w:rPr>
          <w:rFonts w:ascii="Cambria" w:hAnsi="Cambria"/>
        </w:rPr>
        <w:t>. 2009).</w:t>
      </w:r>
      <w:r>
        <w:rPr>
          <w:rFonts w:ascii="Cambria" w:hAnsi="Cambria"/>
          <w:i/>
          <w:iCs/>
        </w:rPr>
        <w:t xml:space="preserve"> </w:t>
      </w:r>
      <w:r>
        <w:rPr>
          <w:rFonts w:ascii="Cambria" w:hAnsi="Cambria"/>
        </w:rPr>
        <w:t xml:space="preserve">Visually healthy plants may harbour a sporulating pathogen in the roots; therefore, visual inspection alone may be inadequate. </w:t>
      </w:r>
    </w:p>
    <w:p w:rsidR="00E94405" w:rsidRDefault="00A11609">
      <w:pPr>
        <w:spacing w:before="200"/>
        <w:rPr>
          <w:rFonts w:ascii="Cambria" w:hAnsi="Cambria"/>
        </w:rPr>
      </w:pPr>
      <w:r>
        <w:rPr>
          <w:rFonts w:ascii="Cambria" w:hAnsi="Cambria"/>
        </w:rPr>
        <w:t xml:space="preserve">Recent studies have demonstrated that both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cause asymptomatic root infections in </w:t>
      </w:r>
      <w:r>
        <w:rPr>
          <w:rFonts w:ascii="Cambria" w:hAnsi="Cambria"/>
          <w:i/>
        </w:rPr>
        <w:t>Rhododendron</w:t>
      </w:r>
      <w:r>
        <w:rPr>
          <w:rFonts w:ascii="Cambria" w:hAnsi="Cambria"/>
        </w:rPr>
        <w:t xml:space="preserve"> (Fichtner </w:t>
      </w:r>
      <w:r>
        <w:rPr>
          <w:rFonts w:ascii="Cambria" w:hAnsi="Cambria"/>
          <w:iCs/>
        </w:rPr>
        <w:t>et al</w:t>
      </w:r>
      <w:r>
        <w:rPr>
          <w:rFonts w:ascii="Cambria" w:hAnsi="Cambria"/>
        </w:rPr>
        <w:t xml:space="preserve">. 2011). The production of asymptomatic root infections by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is of pivotal concern because such infections can be missed at the pre-export phytosanitary inspection. Asymptomatic root infections offer a hidden pathway of pathogen transmission via containerised nursery plants being distributed over large geographic areas. This is supported by the detection of </w:t>
      </w:r>
      <w:r>
        <w:rPr>
          <w:rFonts w:ascii="Cambria" w:hAnsi="Cambria"/>
          <w:i/>
          <w:iCs/>
        </w:rPr>
        <w:t xml:space="preserve">P. ramorum </w:t>
      </w:r>
      <w:r>
        <w:rPr>
          <w:rFonts w:ascii="Cambria" w:hAnsi="Cambria"/>
        </w:rPr>
        <w:t xml:space="preserve">in consignments that were visually inspected and certified by an exporting country as free from </w:t>
      </w:r>
      <w:r>
        <w:rPr>
          <w:rFonts w:ascii="Cambria" w:hAnsi="Cambria"/>
          <w:i/>
          <w:iCs/>
        </w:rPr>
        <w:t xml:space="preserve">P. ramorum </w:t>
      </w:r>
      <w:r>
        <w:rPr>
          <w:rFonts w:ascii="Cambria" w:hAnsi="Cambria"/>
        </w:rPr>
        <w:t xml:space="preserve">(Sundheim </w:t>
      </w:r>
      <w:r>
        <w:rPr>
          <w:rFonts w:ascii="Cambria" w:hAnsi="Cambria"/>
          <w:iCs/>
        </w:rPr>
        <w:t>et al</w:t>
      </w:r>
      <w:r>
        <w:rPr>
          <w:rFonts w:ascii="Cambria" w:hAnsi="Cambria"/>
        </w:rPr>
        <w:t xml:space="preserve">. 2009). For this reason, inspection and certification of propagative material from countries where these pathogens are known to occur is not considered an appropriate measure to mitigate the risk posed by </w:t>
      </w:r>
      <w:r>
        <w:rPr>
          <w:rFonts w:ascii="Cambria" w:hAnsi="Cambria"/>
          <w:i/>
          <w:iCs/>
        </w:rPr>
        <w:t xml:space="preserve">Phytophthora </w:t>
      </w:r>
      <w:r>
        <w:rPr>
          <w:rFonts w:ascii="Cambria" w:hAnsi="Cambria"/>
        </w:rPr>
        <w:t>species.</w:t>
      </w:r>
    </w:p>
    <w:p w:rsidR="00E94405" w:rsidRDefault="00A11609">
      <w:pPr>
        <w:spacing w:before="200"/>
        <w:rPr>
          <w:rFonts w:ascii="Cambria" w:hAnsi="Cambria"/>
        </w:rPr>
      </w:pPr>
      <w:r>
        <w:rPr>
          <w:rFonts w:ascii="Cambria" w:hAnsi="Cambria"/>
        </w:rPr>
        <w:t xml:space="preserve">Standard nursery practices use prophylactic treatments with fungicides to suppress the occurrence of </w:t>
      </w:r>
      <w:r>
        <w:rPr>
          <w:rFonts w:ascii="Cambria" w:hAnsi="Cambria"/>
          <w:i/>
          <w:iCs/>
        </w:rPr>
        <w:t xml:space="preserve">Phytophthora </w:t>
      </w:r>
      <w:r>
        <w:rPr>
          <w:rFonts w:ascii="Cambria" w:hAnsi="Cambria"/>
        </w:rPr>
        <w:t xml:space="preserve">and other foliar fungal diseases; therefore, during pre-export survey or inspection only </w:t>
      </w:r>
      <w:r>
        <w:rPr>
          <w:rFonts w:ascii="Cambria" w:hAnsi="Cambria"/>
          <w:i/>
          <w:iCs/>
        </w:rPr>
        <w:t xml:space="preserve">Phytophthora </w:t>
      </w:r>
      <w:r>
        <w:rPr>
          <w:rFonts w:ascii="Cambria" w:hAnsi="Cambria"/>
        </w:rPr>
        <w:t xml:space="preserve">species not affected by fungicides or that escaped fungicide applications will be detected. Additionally, species causing infections that are asymptomatic would likely be overlooked. The detection of </w:t>
      </w:r>
      <w:r>
        <w:rPr>
          <w:rFonts w:ascii="Cambria" w:hAnsi="Cambria"/>
          <w:i/>
          <w:iCs/>
        </w:rPr>
        <w:t xml:space="preserve">P. ramorum </w:t>
      </w:r>
      <w:r>
        <w:rPr>
          <w:rFonts w:ascii="Cambria" w:hAnsi="Cambria"/>
        </w:rPr>
        <w:t xml:space="preserve">in Norway in consignments that had previously been found free of the pathogen by at least two visual inspections at the place of production during official inspections support these assumptions (Sundheim </w:t>
      </w:r>
      <w:r>
        <w:rPr>
          <w:rFonts w:ascii="Cambria" w:hAnsi="Cambria"/>
          <w:iCs/>
        </w:rPr>
        <w:t>et al</w:t>
      </w:r>
      <w:r>
        <w:rPr>
          <w:rFonts w:ascii="Cambria" w:hAnsi="Cambria"/>
        </w:rPr>
        <w:t xml:space="preserve">. 2009). Therefore, visual inspection is not considered an appropriate measure to mitigate the risk posed by </w:t>
      </w:r>
      <w:r>
        <w:rPr>
          <w:rFonts w:ascii="Cambria" w:hAnsi="Cambria"/>
          <w:i/>
          <w:iCs/>
        </w:rPr>
        <w:t xml:space="preserve">Phytophthora </w:t>
      </w:r>
      <w:r>
        <w:rPr>
          <w:rFonts w:ascii="Cambria" w:hAnsi="Cambria"/>
        </w:rPr>
        <w:t>species under review.</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49" w:name="_Toc386635004"/>
      <w:r>
        <w:rPr>
          <w:rFonts w:ascii="Calibri" w:hAnsi="Calibri" w:cstheme="minorBidi"/>
          <w:sz w:val="24"/>
          <w:szCs w:val="22"/>
        </w:rPr>
        <w:t>Phytosanitary treatment for quarantinable pests</w:t>
      </w:r>
      <w:bookmarkEnd w:id="149"/>
    </w:p>
    <w:p w:rsidR="00E94405" w:rsidRDefault="00A11609">
      <w:pPr>
        <w:spacing w:before="200"/>
        <w:rPr>
          <w:rFonts w:ascii="Cambria" w:hAnsi="Cambria"/>
        </w:rPr>
      </w:pPr>
      <w:r>
        <w:rPr>
          <w:rFonts w:ascii="Cambria" w:hAnsi="Cambria"/>
        </w:rPr>
        <w:t xml:space="preserve">The importing country may specify chemical or physical treatments that must be applied to the consignment before it may be imported. The requirement or application of phytosanitary treatments to regulated articles is a phytosanitary measure used by contracting parties to prevent the introduction and spread of regulated pests. ISPM 28: </w:t>
      </w:r>
      <w:r>
        <w:rPr>
          <w:rFonts w:ascii="Cambria" w:hAnsi="Cambria"/>
          <w:i/>
        </w:rPr>
        <w:t xml:space="preserve">Phytosanitary treatments for regulated pests </w:t>
      </w:r>
      <w:r>
        <w:rPr>
          <w:rFonts w:ascii="Cambria" w:hAnsi="Cambria"/>
        </w:rPr>
        <w:t>provide guidelines on the use of treatments to manage pest risk.</w:t>
      </w:r>
    </w:p>
    <w:p w:rsidR="00E94405" w:rsidRDefault="00A11609">
      <w:pPr>
        <w:spacing w:before="200"/>
        <w:rPr>
          <w:rFonts w:ascii="Cambria" w:hAnsi="Cambria"/>
        </w:rPr>
      </w:pPr>
      <w:r>
        <w:rPr>
          <w:rFonts w:ascii="Cambria" w:hAnsi="Cambria"/>
          <w:i/>
          <w:iCs/>
        </w:rPr>
        <w:t xml:space="preserve">Phytophthora </w:t>
      </w:r>
      <w:r>
        <w:rPr>
          <w:rFonts w:ascii="Cambria" w:hAnsi="Cambria"/>
        </w:rPr>
        <w:t xml:space="preserve">species are, in general, difficult to control. Suppressive measures include sanitation, disinfection, and the use of fungicides and fumigants. Various treatments have been tested to determine efficacy in eradicating </w:t>
      </w:r>
      <w:r>
        <w:rPr>
          <w:rFonts w:ascii="Cambria" w:hAnsi="Cambria"/>
          <w:i/>
          <w:iCs/>
        </w:rPr>
        <w:t>P. ramorum</w:t>
      </w:r>
      <w:r>
        <w:rPr>
          <w:rFonts w:ascii="Cambria" w:hAnsi="Cambria"/>
        </w:rPr>
        <w:t xml:space="preserve"> from infested plant material. No treatment can guarantee the removal of </w:t>
      </w:r>
      <w:r>
        <w:rPr>
          <w:rFonts w:ascii="Cambria" w:hAnsi="Cambria"/>
          <w:i/>
          <w:iCs/>
        </w:rPr>
        <w:t>P. ramorum</w:t>
      </w:r>
      <w:r>
        <w:rPr>
          <w:rFonts w:ascii="Cambria" w:hAnsi="Cambria"/>
        </w:rPr>
        <w:t xml:space="preserve"> from consignments, with the exception of heat treatments (Garbelotto 2003; Swain </w:t>
      </w:r>
      <w:r>
        <w:rPr>
          <w:rFonts w:ascii="Cambria" w:hAnsi="Cambria"/>
          <w:iCs/>
        </w:rPr>
        <w:t>et al</w:t>
      </w:r>
      <w:r>
        <w:rPr>
          <w:rFonts w:ascii="Cambria" w:hAnsi="Cambria"/>
        </w:rPr>
        <w:t xml:space="preserve">. 2002; 2006; Aveskamp &amp; Wingelaar 2005), which were considered an effective option for sanitising </w:t>
      </w:r>
      <w:r>
        <w:rPr>
          <w:rFonts w:ascii="Cambria" w:hAnsi="Cambria"/>
          <w:i/>
          <w:iCs/>
        </w:rPr>
        <w:t>P. ramorum</w:t>
      </w:r>
      <w:r>
        <w:rPr>
          <w:rFonts w:ascii="Cambria" w:hAnsi="Cambria"/>
        </w:rPr>
        <w:t xml:space="preserve"> plant material; however, this kind of heat treatment can only be applied to non-living commodities. The use of fungicides may lower infection rates but will also reduce the efficacy of detection in consignments. These assumptions have been supported by the detection of </w:t>
      </w:r>
      <w:r>
        <w:rPr>
          <w:rFonts w:ascii="Cambria" w:hAnsi="Cambria"/>
          <w:i/>
          <w:iCs/>
        </w:rPr>
        <w:t xml:space="preserve">P. ramorum </w:t>
      </w:r>
      <w:r>
        <w:rPr>
          <w:rFonts w:ascii="Cambria" w:hAnsi="Cambria"/>
        </w:rPr>
        <w:t xml:space="preserve">in consignments that were treated to eradicate </w:t>
      </w:r>
      <w:r>
        <w:rPr>
          <w:rFonts w:ascii="Cambria" w:hAnsi="Cambria"/>
          <w:i/>
          <w:iCs/>
        </w:rPr>
        <w:t xml:space="preserve">P. ramorum </w:t>
      </w:r>
      <w:r>
        <w:rPr>
          <w:rFonts w:ascii="Cambria" w:hAnsi="Cambria"/>
        </w:rPr>
        <w:t xml:space="preserve">after the detection of symptoms. For this reason, the removal of </w:t>
      </w:r>
      <w:r>
        <w:rPr>
          <w:rFonts w:ascii="Cambria" w:hAnsi="Cambria"/>
          <w:i/>
          <w:iCs/>
        </w:rPr>
        <w:lastRenderedPageBreak/>
        <w:t xml:space="preserve">P. ramorum </w:t>
      </w:r>
      <w:r>
        <w:rPr>
          <w:rFonts w:ascii="Cambria" w:hAnsi="Cambria"/>
        </w:rPr>
        <w:t>from a consignment by a treatment is not considered an appropriate measure to mitigate the risk.</w:t>
      </w:r>
    </w:p>
    <w:p w:rsidR="00E94405" w:rsidRDefault="00A11609">
      <w:pPr>
        <w:spacing w:before="200"/>
        <w:rPr>
          <w:rFonts w:ascii="Cambria" w:hAnsi="Cambria"/>
        </w:rPr>
      </w:pPr>
      <w:r>
        <w:rPr>
          <w:rFonts w:ascii="Cambria" w:hAnsi="Cambria"/>
        </w:rPr>
        <w:t xml:space="preserve">Fungicidal treatments in nursery stock against </w:t>
      </w:r>
      <w:r>
        <w:rPr>
          <w:rFonts w:ascii="Cambria" w:hAnsi="Cambria"/>
          <w:i/>
          <w:iCs/>
        </w:rPr>
        <w:t xml:space="preserve">Phytophthora </w:t>
      </w:r>
      <w:r>
        <w:rPr>
          <w:rFonts w:ascii="Cambria" w:hAnsi="Cambria"/>
        </w:rPr>
        <w:t xml:space="preserve">species with metalaxyl–M (Ridomil Gold Granulate), propamicarb (Previcur N) and fosetyl aluminium (Aliette 80 WG) are more effective as ‘protectants’ than as ‘curatives’, and they will not remove the pathogen from already infested plants (Tjosvold </w:t>
      </w:r>
      <w:r>
        <w:rPr>
          <w:rFonts w:ascii="Cambria" w:hAnsi="Cambria"/>
          <w:iCs/>
        </w:rPr>
        <w:t xml:space="preserve">et al. </w:t>
      </w:r>
      <w:r>
        <w:rPr>
          <w:rFonts w:ascii="Cambria" w:hAnsi="Cambria"/>
        </w:rPr>
        <w:t>2005).</w:t>
      </w:r>
    </w:p>
    <w:p w:rsidR="00E94405" w:rsidRDefault="00A11609">
      <w:pPr>
        <w:spacing w:before="200"/>
        <w:rPr>
          <w:rFonts w:ascii="Cambria" w:hAnsi="Cambria"/>
        </w:rPr>
      </w:pPr>
      <w:r>
        <w:rPr>
          <w:rFonts w:ascii="Cambria" w:hAnsi="Cambria"/>
        </w:rPr>
        <w:t xml:space="preserve">Heat treatments of propagative material may be used to remove </w:t>
      </w:r>
      <w:r>
        <w:rPr>
          <w:rFonts w:ascii="Cambria" w:hAnsi="Cambria"/>
          <w:i/>
        </w:rPr>
        <w:t xml:space="preserve">Phytophthora </w:t>
      </w:r>
      <w:r>
        <w:rPr>
          <w:rFonts w:ascii="Cambria" w:hAnsi="Cambria"/>
        </w:rPr>
        <w:t xml:space="preserve">species. However, studies indicate that </w:t>
      </w:r>
      <w:r>
        <w:rPr>
          <w:rFonts w:ascii="Cambria" w:hAnsi="Cambria"/>
          <w:i/>
        </w:rPr>
        <w:t xml:space="preserve">Phytophthora ramorum </w:t>
      </w:r>
      <w:r>
        <w:rPr>
          <w:rFonts w:ascii="Cambria" w:hAnsi="Cambria"/>
        </w:rPr>
        <w:t xml:space="preserve">can be highly heat tolerant as the fungus was isolated from infected material after keeping it at 55 degrees Celsius for up to one week (Harnik et al. 2004). The pathogen was then not recovered after two weeks at that temperature (Harnik et al. 2004). Wet heat (steam) is more effective than dry heat treatment. For example, aerated steam pasteurisation at 50 degrees Celsius or higher for 30 minutes eradicated </w:t>
      </w:r>
      <w:r>
        <w:rPr>
          <w:rFonts w:ascii="Cambria" w:hAnsi="Cambria"/>
          <w:i/>
          <w:iCs/>
        </w:rPr>
        <w:t xml:space="preserve">P. ramorum </w:t>
      </w:r>
      <w:r>
        <w:rPr>
          <w:rFonts w:ascii="Cambria" w:hAnsi="Cambria"/>
        </w:rPr>
        <w:t xml:space="preserve">as well as other pathogens from infested soil-free potting media and contaminated containers, without destroying the containers (Linderman &amp; Davis 2006b). </w:t>
      </w:r>
    </w:p>
    <w:p w:rsidR="00E94405" w:rsidRDefault="00A11609">
      <w:pPr>
        <w:spacing w:before="200"/>
        <w:rPr>
          <w:rFonts w:ascii="Cambria" w:hAnsi="Cambria"/>
        </w:rPr>
      </w:pPr>
      <w:r>
        <w:rPr>
          <w:rFonts w:ascii="Cambria" w:hAnsi="Cambria"/>
        </w:rPr>
        <w:t xml:space="preserve">Further studies indicated that a 30 minute dry heat treatment at 60 degrees Celsius was required to completely kill </w:t>
      </w:r>
      <w:r>
        <w:rPr>
          <w:rFonts w:ascii="Cambria" w:hAnsi="Cambria"/>
          <w:i/>
          <w:iCs/>
        </w:rPr>
        <w:t>P. ramorum</w:t>
      </w:r>
      <w:r>
        <w:rPr>
          <w:rFonts w:ascii="Cambria" w:hAnsi="Cambria"/>
        </w:rPr>
        <w:t xml:space="preserve"> (Turner et al. 2006); however, after a 20 minute dry heat treatment at 55 degrees Celsius, </w:t>
      </w:r>
      <w:r>
        <w:rPr>
          <w:rFonts w:ascii="Cambria" w:hAnsi="Cambria"/>
          <w:i/>
        </w:rPr>
        <w:t>Camellia, Rhododendron</w:t>
      </w:r>
      <w:r>
        <w:rPr>
          <w:rFonts w:ascii="Cambria" w:hAnsi="Cambria"/>
        </w:rPr>
        <w:t xml:space="preserve"> and</w:t>
      </w:r>
      <w:r>
        <w:rPr>
          <w:rFonts w:ascii="Cambria" w:hAnsi="Cambria"/>
          <w:i/>
        </w:rPr>
        <w:t xml:space="preserve"> Viburnum </w:t>
      </w:r>
      <w:r>
        <w:rPr>
          <w:rFonts w:ascii="Cambria" w:hAnsi="Cambria"/>
        </w:rPr>
        <w:t>plants were completely killed. Therefore, this is not a viable option for nursery stock.</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50" w:name="_Toc386635005"/>
      <w:r>
        <w:rPr>
          <w:rFonts w:ascii="Calibri" w:hAnsi="Calibri" w:cstheme="minorBidi"/>
          <w:sz w:val="24"/>
          <w:szCs w:val="22"/>
        </w:rPr>
        <w:t>Specified conditions for preparation of the consignment</w:t>
      </w:r>
      <w:bookmarkEnd w:id="150"/>
    </w:p>
    <w:p w:rsidR="00E94405" w:rsidRDefault="00A11609">
      <w:pPr>
        <w:spacing w:before="200"/>
        <w:rPr>
          <w:rFonts w:ascii="Cambria" w:hAnsi="Cambria"/>
        </w:rPr>
      </w:pPr>
      <w:r>
        <w:rPr>
          <w:rFonts w:ascii="Cambria" w:hAnsi="Cambria"/>
        </w:rPr>
        <w:t xml:space="preserve">The importing country may specify steps that must be followed in order to prepare the consignment for shipment. These conditions can include plants being required to have been produced from parent material that has been tested to be free of </w:t>
      </w:r>
      <w:r>
        <w:rPr>
          <w:rFonts w:ascii="Cambria" w:hAnsi="Cambria"/>
          <w:i/>
        </w:rPr>
        <w:t>P. ramorum</w:t>
      </w:r>
      <w:r>
        <w:rPr>
          <w:rFonts w:ascii="Cambria" w:hAnsi="Cambria"/>
        </w:rPr>
        <w:t>.</w:t>
      </w:r>
    </w:p>
    <w:p w:rsidR="00E94405" w:rsidRDefault="00A11609">
      <w:pPr>
        <w:spacing w:before="200"/>
        <w:rPr>
          <w:rFonts w:ascii="Cambria" w:hAnsi="Cambria"/>
        </w:rPr>
      </w:pPr>
      <w:r>
        <w:rPr>
          <w:rFonts w:ascii="Cambria" w:hAnsi="Cambria"/>
        </w:rPr>
        <w:t xml:space="preserve">Since the identification of </w:t>
      </w:r>
      <w:r>
        <w:rPr>
          <w:rFonts w:ascii="Cambria" w:hAnsi="Cambria"/>
          <w:i/>
        </w:rPr>
        <w:t xml:space="preserve">P. ramorum </w:t>
      </w:r>
      <w:r>
        <w:rPr>
          <w:rFonts w:ascii="Cambria" w:hAnsi="Cambria"/>
        </w:rPr>
        <w:t xml:space="preserve">as the casual organism of sudden oak death, Australia restricted the importation of </w:t>
      </w:r>
      <w:r>
        <w:rPr>
          <w:rFonts w:ascii="Cambria" w:hAnsi="Cambria"/>
          <w:i/>
        </w:rPr>
        <w:t>P. ramorum</w:t>
      </w:r>
      <w:r>
        <w:rPr>
          <w:rFonts w:ascii="Cambria" w:hAnsi="Cambria"/>
        </w:rPr>
        <w:t xml:space="preserve"> host propagative material from countries where this pathogen is known to occur to tissue cultures (microplantlets) and a small number as dormant cuttings and budwood. However, propagative material from countries where </w:t>
      </w:r>
      <w:r>
        <w:rPr>
          <w:rFonts w:ascii="Cambria" w:hAnsi="Cambria"/>
          <w:i/>
        </w:rPr>
        <w:t xml:space="preserve">P. ramorum </w:t>
      </w:r>
      <w:r>
        <w:rPr>
          <w:rFonts w:ascii="Cambria" w:hAnsi="Cambria"/>
        </w:rPr>
        <w:t>is not known to occur is allowed entry as tissue cultures and bare-rooted plants.</w:t>
      </w:r>
    </w:p>
    <w:p w:rsidR="00E94405" w:rsidRDefault="00A11609">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51" w:name="_Toc386635006"/>
      <w:r>
        <w:rPr>
          <w:rFonts w:ascii="Calibri" w:hAnsi="Calibri" w:cstheme="minorBidi"/>
          <w:sz w:val="24"/>
          <w:szCs w:val="22"/>
        </w:rPr>
        <w:t>Pre-entry or post-entry quarantine</w:t>
      </w:r>
      <w:bookmarkEnd w:id="151"/>
    </w:p>
    <w:p w:rsidR="00E94405" w:rsidRDefault="00A11609">
      <w:pPr>
        <w:spacing w:before="200"/>
        <w:rPr>
          <w:rFonts w:ascii="Cambria" w:hAnsi="Cambria"/>
        </w:rPr>
      </w:pPr>
      <w:r>
        <w:rPr>
          <w:rFonts w:ascii="Cambria" w:hAnsi="Cambria"/>
        </w:rPr>
        <w:t>The importing country may define certain control conditions, inspection and possible treatment of shipments upon their entry into the country.</w:t>
      </w:r>
    </w:p>
    <w:p w:rsidR="00E94405" w:rsidRDefault="00A11609">
      <w:pPr>
        <w:spacing w:before="200"/>
      </w:pPr>
      <w:r>
        <w:rPr>
          <w:rFonts w:ascii="Cambria" w:hAnsi="Cambria"/>
        </w:rPr>
        <w:t xml:space="preserve">Growth in PEQ of host propagative material can help avoid the introduction of </w:t>
      </w:r>
      <w:r>
        <w:rPr>
          <w:rFonts w:ascii="Cambria" w:hAnsi="Cambria"/>
          <w:i/>
          <w:iCs/>
        </w:rPr>
        <w:t xml:space="preserve">Phytophthora </w:t>
      </w:r>
      <w:r>
        <w:rPr>
          <w:rFonts w:ascii="Cambria" w:hAnsi="Cambria"/>
        </w:rPr>
        <w:t xml:space="preserve">species into the importing country. Imports of </w:t>
      </w:r>
      <w:r>
        <w:rPr>
          <w:rFonts w:ascii="Cambria" w:hAnsi="Cambria"/>
          <w:i/>
          <w:iCs/>
        </w:rPr>
        <w:t xml:space="preserve">Phytophthora </w:t>
      </w:r>
      <w:r>
        <w:rPr>
          <w:rFonts w:ascii="Cambria" w:hAnsi="Cambria"/>
        </w:rPr>
        <w:t>species host propagative material constitutes a high risk which justifies Australia’s strict post-entry quarantine procedures. Therefore, it is suggested that imported propagative material must be grown in a closed government PEQ facility for visual observation of disease symptoms and pathogen screening, until the required pathogen screening/testing is completed</w:t>
      </w:r>
      <w:r>
        <w:t>.</w:t>
      </w:r>
    </w:p>
    <w:p w:rsidR="00E94405" w:rsidRDefault="00E94405">
      <w:pPr>
        <w:spacing w:before="200"/>
      </w:pPr>
    </w:p>
    <w:p w:rsidR="00E94405" w:rsidRDefault="00E94405">
      <w:pPr>
        <w:spacing w:before="200"/>
        <w:sectPr w:rsidR="00E94405">
          <w:headerReference w:type="default" r:id="rId41"/>
          <w:pgSz w:w="11906" w:h="16838"/>
          <w:pgMar w:top="1418" w:right="1418" w:bottom="1418" w:left="1418" w:header="567" w:footer="283" w:gutter="0"/>
          <w:cols w:space="708"/>
          <w:docGrid w:linePitch="360"/>
        </w:sectPr>
      </w:pPr>
    </w:p>
    <w:p w:rsidR="00E94405" w:rsidRDefault="00A11609">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152" w:name="_Toc414019457"/>
      <w:r>
        <w:rPr>
          <w:rFonts w:eastAsiaTheme="majorEastAsia" w:cstheme="majorBidi"/>
          <w:b/>
          <w:color w:val="D52B1E"/>
          <w:sz w:val="34"/>
        </w:rPr>
        <w:lastRenderedPageBreak/>
        <w:t>Conclusion</w:t>
      </w:r>
      <w:bookmarkEnd w:id="152"/>
    </w:p>
    <w:p w:rsidR="00E94405" w:rsidRDefault="00A11609">
      <w:pPr>
        <w:spacing w:before="200"/>
        <w:rPr>
          <w:rFonts w:ascii="Cambria" w:hAnsi="Cambria"/>
        </w:rPr>
      </w:pPr>
      <w:r>
        <w:rPr>
          <w:rFonts w:ascii="Cambria" w:hAnsi="Cambria"/>
        </w:rPr>
        <w:t xml:space="preserve">The findings of this draft review of policy are based on a comprehensive analysis of the scientific literature. In addition to </w:t>
      </w:r>
      <w:r>
        <w:rPr>
          <w:rFonts w:ascii="Cambria" w:hAnsi="Cambria"/>
          <w:i/>
        </w:rPr>
        <w:t>Phytophthora ramorum</w:t>
      </w:r>
      <w:r>
        <w:rPr>
          <w:rFonts w:ascii="Cambria" w:hAnsi="Cambria"/>
        </w:rPr>
        <w:t>, this review considers the recently identified</w:t>
      </w:r>
      <w:r>
        <w:rPr>
          <w:rFonts w:ascii="Cambria" w:hAnsi="Cambria"/>
          <w:i/>
          <w:iCs/>
        </w:rPr>
        <w:t xml:space="preserve"> P. 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iCs/>
        </w:rPr>
        <w:t>.</w:t>
      </w:r>
      <w:r>
        <w:rPr>
          <w:rFonts w:ascii="Cambria" w:hAnsi="Cambria"/>
        </w:rPr>
        <w:t xml:space="preserve"> This review updated the host list and assessed the biosecurity risks associated with the </w:t>
      </w:r>
      <w:r>
        <w:rPr>
          <w:rFonts w:ascii="Cambria" w:hAnsi="Cambria"/>
          <w:i/>
        </w:rPr>
        <w:t xml:space="preserve">Phytophthora </w:t>
      </w:r>
      <w:r>
        <w:rPr>
          <w:rFonts w:ascii="Cambria" w:hAnsi="Cambria"/>
        </w:rPr>
        <w:t xml:space="preserve">species under review. Based on this review, the department has proposed several changes to the existing host list of </w:t>
      </w:r>
      <w:r>
        <w:rPr>
          <w:rFonts w:ascii="Cambria" w:hAnsi="Cambria"/>
          <w:i/>
        </w:rPr>
        <w:t>Phytophthora ramorum</w:t>
      </w:r>
      <w:r>
        <w:rPr>
          <w:rFonts w:ascii="Cambria" w:hAnsi="Cambria"/>
        </w:rPr>
        <w:t>. The changes include the: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addition of several new host genera to the natural host list of </w:t>
      </w:r>
      <w:r>
        <w:rPr>
          <w:rFonts w:ascii="Cambria" w:hAnsi="Cambria"/>
          <w:i/>
        </w:rPr>
        <w:t>Phytophthora ramorum</w:t>
      </w:r>
      <w:r>
        <w:rPr>
          <w:rFonts w:ascii="Cambria" w:hAnsi="Cambria"/>
        </w:rPr>
        <w:t xml:space="preserve">, and also for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rPr>
        <w:t>;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removal of experimental host genera from the regulated host list.</w:t>
      </w:r>
    </w:p>
    <w:p w:rsidR="00E94405" w:rsidRDefault="00A11609">
      <w:pPr>
        <w:spacing w:before="200"/>
        <w:rPr>
          <w:rFonts w:ascii="Cambria" w:hAnsi="Cambria"/>
        </w:rPr>
      </w:pPr>
      <w:r>
        <w:rPr>
          <w:rFonts w:ascii="Cambria" w:hAnsi="Cambria"/>
        </w:rPr>
        <w:t>Based on this review, the department evaluated the appropriateness of the existing risk mitigation measures and proposes several changes to the existing policy. Major changes proposed to the existing policy are: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reducing the PEQ growth period for cuttings and budwood from 24 months to 15 months with visual screening and active testing for all four </w:t>
      </w:r>
      <w:r>
        <w:rPr>
          <w:rFonts w:ascii="Cambria" w:hAnsi="Cambria"/>
          <w:i/>
        </w:rPr>
        <w:t xml:space="preserve">Phytophthora </w:t>
      </w:r>
      <w:r>
        <w:rPr>
          <w:rFonts w:ascii="Cambria" w:hAnsi="Cambria"/>
        </w:rPr>
        <w:t xml:space="preserve">species using molecular techniques including, but not limited to, PCR; and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allowing the importation of bare-rooted plants. On arrival, the bare-rooted plants will be subjected to inspection, fumigation, culturing and molecular testing (generic </w:t>
      </w:r>
      <w:r>
        <w:rPr>
          <w:rFonts w:ascii="Cambria" w:hAnsi="Cambria"/>
          <w:i/>
        </w:rPr>
        <w:t>Phytophthora</w:t>
      </w:r>
      <w:r>
        <w:rPr>
          <w:rFonts w:ascii="Cambria" w:hAnsi="Cambria"/>
        </w:rPr>
        <w:t xml:space="preserve"> PCR) to screen for </w:t>
      </w:r>
      <w:r>
        <w:rPr>
          <w:rFonts w:ascii="Cambria" w:hAnsi="Cambria"/>
          <w:i/>
        </w:rPr>
        <w:t>Phytophthora</w:t>
      </w:r>
      <w:r>
        <w:rPr>
          <w:rFonts w:ascii="Cambria" w:hAnsi="Cambria"/>
        </w:rPr>
        <w:t xml:space="preserve"> species, and sodium hypochlorite treatment. This will be followed by 15 months growth in PEQ with visual inspection and molecular testing including, but not limited to, PCR.</w:t>
      </w:r>
    </w:p>
    <w:p w:rsidR="00E94405" w:rsidRDefault="00A11609">
      <w:pPr>
        <w:spacing w:before="200"/>
        <w:rPr>
          <w:rFonts w:ascii="Cambria" w:hAnsi="Cambria"/>
        </w:rPr>
      </w:pPr>
      <w:r>
        <w:rPr>
          <w:rFonts w:ascii="Cambria" w:hAnsi="Cambria"/>
        </w:rPr>
        <w:t xml:space="preserve">The ultimate goal of Australia’s phytosanitary measures is to protect plant health and prevent the introduction of identified quarantine pests and pathogens associated with plant propagative material. The department considers that the risk management measures proposed in this draft review of policy will be adequate to mitigate the risks posed by the </w:t>
      </w:r>
      <w:r>
        <w:rPr>
          <w:rFonts w:ascii="Cambria" w:hAnsi="Cambria"/>
          <w:i/>
        </w:rPr>
        <w:t>Phytophthora</w:t>
      </w:r>
      <w:r>
        <w:rPr>
          <w:rFonts w:ascii="Cambria" w:hAnsi="Cambria"/>
        </w:rPr>
        <w:t xml:space="preserve"> species under review. The proposed risk management measures for </w:t>
      </w:r>
      <w:r>
        <w:rPr>
          <w:rFonts w:ascii="Cambria" w:hAnsi="Cambria"/>
          <w:i/>
        </w:rPr>
        <w:t>Phytophthora</w:t>
      </w:r>
      <w:r>
        <w:rPr>
          <w:rFonts w:ascii="Cambria" w:hAnsi="Cambria"/>
        </w:rPr>
        <w:t xml:space="preserve"> species host propagative material from countries where </w:t>
      </w:r>
      <w:r>
        <w:rPr>
          <w:rFonts w:ascii="Cambria" w:hAnsi="Cambria"/>
          <w:i/>
        </w:rPr>
        <w:t xml:space="preserve">P. ramorum,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rPr>
        <w:t xml:space="preserve"> are known to occur are summarised below.</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153" w:name="_Toc414019458"/>
      <w:r>
        <w:rPr>
          <w:rFonts w:eastAsiaTheme="majorEastAsia" w:cstheme="majorBidi"/>
          <w:color w:val="773141"/>
          <w:sz w:val="28"/>
        </w:rPr>
        <w:t>Tissue cultures</w:t>
      </w:r>
      <w:bookmarkEnd w:id="153"/>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Mandatory on-arrival inspection;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Growth in PEQ for a minimum 12 months with pathogen screening (visual inspection, culturing and molecular testing including, but not limited to, PCR).</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154" w:name="_Toc414019459"/>
      <w:r>
        <w:rPr>
          <w:rFonts w:eastAsiaTheme="majorEastAsia" w:cstheme="majorBidi"/>
          <w:color w:val="773141"/>
          <w:sz w:val="28"/>
        </w:rPr>
        <w:t>Dormant cuttings and budwood (one-year-old only)</w:t>
      </w:r>
      <w:bookmarkEnd w:id="154"/>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Mandatory on-arrival inspection, fumigation and culturing to screen for </w:t>
      </w:r>
      <w:r>
        <w:rPr>
          <w:rFonts w:ascii="Cambria" w:hAnsi="Cambria"/>
          <w:i/>
        </w:rPr>
        <w:t>Phytophthora</w:t>
      </w:r>
      <w:r>
        <w:rPr>
          <w:rFonts w:ascii="Cambria" w:hAnsi="Cambria"/>
        </w:rPr>
        <w:t xml:space="preserve"> species, molecular testing (generic </w:t>
      </w:r>
      <w:r>
        <w:rPr>
          <w:rFonts w:ascii="Cambria" w:hAnsi="Cambria"/>
          <w:i/>
        </w:rPr>
        <w:t>Phytophthora</w:t>
      </w:r>
      <w:r>
        <w:rPr>
          <w:rFonts w:ascii="Cambria" w:hAnsi="Cambria"/>
        </w:rPr>
        <w:t xml:space="preserve"> PCR) and sodium hypochlorite treatment;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Growth in PEQ for 15 months with pathogen screening (visual inspection and molecular testing including, but not limited to, PCR).</w:t>
      </w:r>
    </w:p>
    <w:p w:rsidR="00E94405" w:rsidRDefault="00A11609">
      <w:pPr>
        <w:pStyle w:val="Heading2"/>
        <w:numPr>
          <w:ilvl w:val="1"/>
          <w:numId w:val="21"/>
        </w:numPr>
        <w:tabs>
          <w:tab w:val="clear" w:pos="576"/>
        </w:tabs>
        <w:spacing w:before="200" w:after="120"/>
        <w:ind w:left="357" w:hanging="357"/>
        <w:rPr>
          <w:rFonts w:eastAsiaTheme="majorEastAsia" w:cstheme="majorBidi"/>
          <w:color w:val="773141"/>
          <w:sz w:val="28"/>
        </w:rPr>
      </w:pPr>
      <w:bookmarkStart w:id="155" w:name="_Toc414019460"/>
      <w:r>
        <w:rPr>
          <w:rFonts w:eastAsiaTheme="majorEastAsia" w:cstheme="majorBidi"/>
          <w:color w:val="773141"/>
          <w:sz w:val="28"/>
        </w:rPr>
        <w:lastRenderedPageBreak/>
        <w:t>Bare-rooted plants (one-year-old only)</w:t>
      </w:r>
      <w:bookmarkEnd w:id="155"/>
    </w:p>
    <w:p w:rsidR="00E94405" w:rsidRDefault="00A11609">
      <w:pPr>
        <w:pStyle w:val="ListBullet"/>
        <w:tabs>
          <w:tab w:val="clear" w:pos="360"/>
          <w:tab w:val="num" w:pos="284"/>
        </w:tabs>
        <w:spacing w:line="269" w:lineRule="auto"/>
        <w:ind w:left="284" w:hanging="284"/>
        <w:rPr>
          <w:rFonts w:ascii="Cambria" w:hAnsi="Cambria"/>
          <w:b/>
        </w:rPr>
      </w:pPr>
      <w:r>
        <w:rPr>
          <w:rFonts w:ascii="Cambria" w:hAnsi="Cambria"/>
        </w:rPr>
        <w:t xml:space="preserve">Mandatory on-arrival inspection, fumigation and culturing to screen for </w:t>
      </w:r>
      <w:r>
        <w:rPr>
          <w:rFonts w:ascii="Cambria" w:hAnsi="Cambria"/>
          <w:i/>
        </w:rPr>
        <w:t>Phytophthora</w:t>
      </w:r>
      <w:r>
        <w:rPr>
          <w:rFonts w:ascii="Cambria" w:hAnsi="Cambria"/>
        </w:rPr>
        <w:t xml:space="preserve"> species, molecular testing (generic </w:t>
      </w:r>
      <w:r>
        <w:rPr>
          <w:rFonts w:ascii="Cambria" w:hAnsi="Cambria"/>
          <w:i/>
        </w:rPr>
        <w:t>Phytophthora</w:t>
      </w:r>
      <w:r>
        <w:rPr>
          <w:rFonts w:ascii="Cambria" w:hAnsi="Cambria"/>
        </w:rPr>
        <w:t xml:space="preserve"> PCR) and sodium hypochlorite treatment; and</w:t>
      </w:r>
    </w:p>
    <w:p w:rsidR="00E94405" w:rsidRDefault="00A11609">
      <w:pPr>
        <w:pStyle w:val="ListBullet"/>
        <w:tabs>
          <w:tab w:val="clear" w:pos="360"/>
          <w:tab w:val="num" w:pos="284"/>
        </w:tabs>
        <w:spacing w:line="269" w:lineRule="auto"/>
        <w:ind w:left="284" w:hanging="284"/>
        <w:rPr>
          <w:rFonts w:ascii="Cambria" w:hAnsi="Cambria"/>
          <w:b/>
        </w:rPr>
      </w:pPr>
      <w:r>
        <w:rPr>
          <w:rFonts w:ascii="Cambria" w:hAnsi="Cambria"/>
        </w:rPr>
        <w:t>Growth in PEQ for 15 months with pathogen screening (visual inspection and molecular testing including, but not limited to, PCR).</w:t>
      </w:r>
    </w:p>
    <w:p w:rsidR="00E94405" w:rsidRDefault="00A11609">
      <w:pPr>
        <w:spacing w:before="200"/>
        <w:rPr>
          <w:rFonts w:ascii="Cambria" w:hAnsi="Cambria"/>
        </w:rPr>
      </w:pPr>
      <w:r>
        <w:rPr>
          <w:rFonts w:ascii="Cambria" w:hAnsi="Cambria"/>
        </w:rPr>
        <w:t>In the interim, some of the proposed changes have been adopted and the department’s Import CONditions database (ICON) has been updated accordingly.</w:t>
      </w:r>
    </w:p>
    <w:p w:rsidR="00E94405" w:rsidRDefault="00E94405">
      <w:pPr>
        <w:spacing w:before="200"/>
        <w:rPr>
          <w:rFonts w:ascii="Cambria" w:hAnsi="Cambria"/>
        </w:rPr>
      </w:pPr>
    </w:p>
    <w:p w:rsidR="00E94405" w:rsidRDefault="00E94405">
      <w:pPr>
        <w:rPr>
          <w:rFonts w:ascii="Cambria" w:hAnsi="Cambria"/>
        </w:rPr>
        <w:sectPr w:rsidR="00E94405">
          <w:headerReference w:type="default" r:id="rId42"/>
          <w:pgSz w:w="11906" w:h="16838"/>
          <w:pgMar w:top="1418" w:right="1418" w:bottom="1418" w:left="1418" w:header="567" w:footer="283" w:gutter="0"/>
          <w:cols w:space="708"/>
          <w:docGrid w:linePitch="360"/>
        </w:sectPr>
      </w:pPr>
    </w:p>
    <w:p w:rsidR="00E94405" w:rsidRDefault="00A11609">
      <w:pPr>
        <w:pStyle w:val="Heading1nonumbers"/>
        <w:rPr>
          <w:lang w:val="en-AU"/>
        </w:rPr>
      </w:pPr>
      <w:bookmarkStart w:id="156" w:name="_Toc392488735"/>
      <w:bookmarkStart w:id="157" w:name="_Toc414019461"/>
      <w:r>
        <w:rPr>
          <w:lang w:val="en-AU"/>
        </w:rPr>
        <w:lastRenderedPageBreak/>
        <w:t xml:space="preserve">Appendix A: Natural hosts of </w:t>
      </w:r>
      <w:r>
        <w:rPr>
          <w:i/>
          <w:lang w:val="en-AU"/>
        </w:rPr>
        <w:t>Phytophthora</w:t>
      </w:r>
      <w:r>
        <w:rPr>
          <w:lang w:val="en-AU"/>
        </w:rPr>
        <w:t xml:space="preserve"> species and their status in Australia</w:t>
      </w:r>
      <w:bookmarkEnd w:id="156"/>
      <w:bookmarkEnd w:id="157"/>
    </w:p>
    <w:p w:rsidR="00E94405" w:rsidRDefault="00A11609">
      <w:pPr>
        <w:spacing w:before="200"/>
        <w:rPr>
          <w:rFonts w:ascii="Cambria" w:hAnsi="Cambria" w:cs="Arial"/>
          <w:sz w:val="20"/>
          <w:szCs w:val="20"/>
        </w:rPr>
      </w:pPr>
      <w:r>
        <w:rPr>
          <w:rFonts w:ascii="Cambria" w:hAnsi="Cambria" w:cs="Arial"/>
          <w:sz w:val="20"/>
          <w:szCs w:val="20"/>
        </w:rPr>
        <w:t xml:space="preserve">Unless specified, the hosts listed in the table are </w:t>
      </w:r>
      <w:r>
        <w:rPr>
          <w:rFonts w:ascii="Cambria" w:hAnsi="Cambria" w:cs="Arial"/>
          <w:i/>
          <w:sz w:val="20"/>
          <w:szCs w:val="20"/>
        </w:rPr>
        <w:t>P. ramorum</w:t>
      </w:r>
      <w:r>
        <w:rPr>
          <w:rFonts w:ascii="Cambria" w:hAnsi="Cambria" w:cs="Arial"/>
          <w:sz w:val="20"/>
          <w:szCs w:val="20"/>
        </w:rPr>
        <w:t xml:space="preserve"> hosts. The host ranges of </w:t>
      </w:r>
      <w:r>
        <w:rPr>
          <w:rFonts w:ascii="Cambria" w:hAnsi="Cambria" w:cs="Arial"/>
          <w:i/>
          <w:sz w:val="20"/>
          <w:szCs w:val="20"/>
        </w:rPr>
        <w:t>P. ramorum,</w:t>
      </w:r>
      <w:r>
        <w:rPr>
          <w:rFonts w:ascii="Cambria" w:hAnsi="Cambria" w:cs="Arial"/>
          <w:sz w:val="20"/>
          <w:szCs w:val="20"/>
        </w:rPr>
        <w:t xml:space="preserve"> </w:t>
      </w:r>
      <w:r>
        <w:rPr>
          <w:rFonts w:ascii="Cambria" w:hAnsi="Cambria" w:cs="Arial"/>
          <w:i/>
          <w:iCs/>
          <w:sz w:val="20"/>
          <w:szCs w:val="20"/>
        </w:rPr>
        <w:t>P. kernoviae</w:t>
      </w:r>
      <w:r>
        <w:rPr>
          <w:rFonts w:ascii="Cambria" w:hAnsi="Cambria" w:cs="Arial"/>
          <w:sz w:val="20"/>
          <w:szCs w:val="20"/>
        </w:rPr>
        <w:t xml:space="preserve">, </w:t>
      </w:r>
      <w:r>
        <w:rPr>
          <w:rFonts w:ascii="Cambria" w:hAnsi="Cambria" w:cs="Arial"/>
          <w:i/>
          <w:iCs/>
          <w:sz w:val="20"/>
          <w:szCs w:val="20"/>
        </w:rPr>
        <w:t xml:space="preserve">P. nemorosa </w:t>
      </w:r>
      <w:r>
        <w:rPr>
          <w:rFonts w:ascii="Cambria" w:hAnsi="Cambria" w:cs="Arial"/>
          <w:sz w:val="20"/>
          <w:szCs w:val="20"/>
        </w:rPr>
        <w:t xml:space="preserve">and </w:t>
      </w:r>
      <w:r>
        <w:rPr>
          <w:rFonts w:ascii="Cambria" w:hAnsi="Cambria" w:cs="Arial"/>
          <w:i/>
          <w:iCs/>
          <w:sz w:val="20"/>
          <w:szCs w:val="20"/>
        </w:rPr>
        <w:t>P. pseudosyringae</w:t>
      </w:r>
      <w:r>
        <w:rPr>
          <w:rFonts w:ascii="Cambria" w:hAnsi="Cambria" w:cs="Arial"/>
          <w:iCs/>
          <w:sz w:val="20"/>
          <w:szCs w:val="20"/>
        </w:rPr>
        <w:t xml:space="preserve"> overlap and therefore, some of the </w:t>
      </w:r>
      <w:r>
        <w:rPr>
          <w:rFonts w:ascii="Cambria" w:hAnsi="Cambria" w:cs="Arial"/>
          <w:sz w:val="20"/>
          <w:szCs w:val="20"/>
        </w:rPr>
        <w:t xml:space="preserve">hosts </w:t>
      </w:r>
      <w:r>
        <w:rPr>
          <w:rFonts w:ascii="Cambria" w:hAnsi="Cambria" w:cs="Arial"/>
          <w:iCs/>
          <w:sz w:val="20"/>
          <w:szCs w:val="20"/>
        </w:rPr>
        <w:t>listed</w:t>
      </w:r>
      <w:r>
        <w:rPr>
          <w:rFonts w:ascii="Cambria" w:hAnsi="Cambria" w:cs="Arial"/>
          <w:sz w:val="20"/>
          <w:szCs w:val="20"/>
        </w:rPr>
        <w:t xml:space="preserve"> may also be susceptible to these other </w:t>
      </w:r>
      <w:r>
        <w:rPr>
          <w:rFonts w:ascii="Cambria" w:hAnsi="Cambria" w:cs="Arial"/>
          <w:i/>
          <w:sz w:val="20"/>
          <w:szCs w:val="20"/>
        </w:rPr>
        <w:t>Phytophthora</w:t>
      </w:r>
      <w:r>
        <w:rPr>
          <w:rFonts w:ascii="Cambria" w:hAnsi="Cambria" w:cs="Arial"/>
          <w:sz w:val="20"/>
          <w:szCs w:val="20"/>
        </w:rPr>
        <w:t xml:space="preserve"> species. Some hosts are only known to be susceptible to </w:t>
      </w:r>
      <w:r>
        <w:rPr>
          <w:rFonts w:ascii="Cambria" w:hAnsi="Cambria" w:cs="Arial"/>
          <w:i/>
          <w:iCs/>
          <w:sz w:val="20"/>
          <w:szCs w:val="20"/>
        </w:rPr>
        <w:t>P. kernoviae</w:t>
      </w:r>
      <w:r>
        <w:rPr>
          <w:rFonts w:ascii="Cambria" w:hAnsi="Cambria" w:cs="Arial"/>
          <w:sz w:val="20"/>
          <w:szCs w:val="20"/>
        </w:rPr>
        <w:t xml:space="preserve">, </w:t>
      </w:r>
      <w:r>
        <w:rPr>
          <w:rFonts w:ascii="Cambria" w:hAnsi="Cambria" w:cs="Arial"/>
          <w:i/>
          <w:iCs/>
          <w:sz w:val="20"/>
          <w:szCs w:val="20"/>
        </w:rPr>
        <w:t xml:space="preserve">P. nemorosa </w:t>
      </w:r>
      <w:r>
        <w:rPr>
          <w:rFonts w:ascii="Cambria" w:hAnsi="Cambria" w:cs="Arial"/>
          <w:sz w:val="20"/>
          <w:szCs w:val="20"/>
        </w:rPr>
        <w:t xml:space="preserve">or </w:t>
      </w:r>
      <w:r>
        <w:rPr>
          <w:rFonts w:ascii="Cambria" w:hAnsi="Cambria" w:cs="Arial"/>
          <w:i/>
          <w:iCs/>
          <w:sz w:val="20"/>
          <w:szCs w:val="20"/>
        </w:rPr>
        <w:t>P. pseudosyringae</w:t>
      </w:r>
      <w:r>
        <w:rPr>
          <w:rFonts w:ascii="Cambria" w:hAnsi="Cambria" w:cs="Arial"/>
          <w:sz w:val="20"/>
          <w:szCs w:val="20"/>
        </w:rPr>
        <w:t xml:space="preserve"> and this is indicated in the table. The geographical distribution of the natural hosts of </w:t>
      </w:r>
      <w:r>
        <w:rPr>
          <w:rFonts w:ascii="Cambria" w:hAnsi="Cambria" w:cs="Arial"/>
          <w:i/>
          <w:sz w:val="20"/>
          <w:szCs w:val="20"/>
        </w:rPr>
        <w:t xml:space="preserve">Phytophthora </w:t>
      </w:r>
      <w:r>
        <w:rPr>
          <w:rFonts w:ascii="Cambria" w:hAnsi="Cambria" w:cs="Arial"/>
          <w:sz w:val="20"/>
          <w:szCs w:val="20"/>
        </w:rPr>
        <w:t>species in the Australian environment is provided (source: Australia’s Virtual Herbarium 2014, unless otherwise specified).</w:t>
      </w:r>
    </w:p>
    <w:tbl>
      <w:tblPr>
        <w:tblW w:w="4923" w:type="pct"/>
        <w:tblBorders>
          <w:top w:val="single" w:sz="4" w:space="0" w:color="auto"/>
          <w:bottom w:val="single" w:sz="4" w:space="0" w:color="auto"/>
          <w:insideH w:val="single" w:sz="4" w:space="0" w:color="D9D9D9" w:themeColor="background1" w:themeShade="D9"/>
        </w:tblBorders>
        <w:tblLook w:val="04A0"/>
      </w:tblPr>
      <w:tblGrid>
        <w:gridCol w:w="3939"/>
        <w:gridCol w:w="3685"/>
        <w:gridCol w:w="3116"/>
        <w:gridCol w:w="3259"/>
      </w:tblGrid>
      <w:tr w:rsidR="00E94405">
        <w:trPr>
          <w:tblHeader/>
        </w:trPr>
        <w:tc>
          <w:tcPr>
            <w:tcW w:w="1407" w:type="pct"/>
            <w:tcBorders>
              <w:bottom w:val="nil"/>
            </w:tcBorders>
          </w:tcPr>
          <w:p w:rsidR="00E94405" w:rsidRDefault="00A11609">
            <w:pPr>
              <w:pStyle w:val="TableHeading"/>
              <w:rPr>
                <w:rFonts w:ascii="Cambria" w:hAnsi="Cambria"/>
                <w:szCs w:val="18"/>
              </w:rPr>
            </w:pPr>
            <w:r>
              <w:rPr>
                <w:rFonts w:ascii="Cambria" w:hAnsi="Cambria"/>
                <w:szCs w:val="18"/>
              </w:rPr>
              <w:t>Scientific name/common name(s)</w:t>
            </w:r>
          </w:p>
        </w:tc>
        <w:tc>
          <w:tcPr>
            <w:tcW w:w="1316" w:type="pct"/>
            <w:tcBorders>
              <w:bottom w:val="nil"/>
            </w:tcBorders>
          </w:tcPr>
          <w:p w:rsidR="00E94405" w:rsidRDefault="00A11609">
            <w:pPr>
              <w:pStyle w:val="TableHeading"/>
              <w:rPr>
                <w:rFonts w:ascii="Cambria" w:hAnsi="Cambria"/>
                <w:szCs w:val="18"/>
              </w:rPr>
            </w:pPr>
            <w:r>
              <w:rPr>
                <w:rFonts w:ascii="Cambria" w:hAnsi="Cambria"/>
                <w:szCs w:val="18"/>
              </w:rPr>
              <w:t>Synonym(s)</w:t>
            </w:r>
          </w:p>
        </w:tc>
        <w:tc>
          <w:tcPr>
            <w:tcW w:w="1113" w:type="pct"/>
            <w:tcBorders>
              <w:bottom w:val="nil"/>
            </w:tcBorders>
          </w:tcPr>
          <w:p w:rsidR="00E94405" w:rsidRDefault="00A11609">
            <w:pPr>
              <w:pStyle w:val="TableHeading"/>
              <w:rPr>
                <w:rFonts w:ascii="Cambria" w:hAnsi="Cambria"/>
                <w:szCs w:val="18"/>
              </w:rPr>
            </w:pPr>
            <w:r>
              <w:rPr>
                <w:rFonts w:ascii="Cambria" w:hAnsi="Cambria"/>
                <w:szCs w:val="18"/>
              </w:rPr>
              <w:t xml:space="preserve">Reference </w:t>
            </w:r>
          </w:p>
        </w:tc>
        <w:tc>
          <w:tcPr>
            <w:tcW w:w="1164" w:type="pct"/>
            <w:tcBorders>
              <w:bottom w:val="nil"/>
            </w:tcBorders>
          </w:tcPr>
          <w:p w:rsidR="00E94405" w:rsidRDefault="00A11609">
            <w:pPr>
              <w:pStyle w:val="TableHeading"/>
              <w:rPr>
                <w:rFonts w:ascii="Cambria" w:hAnsi="Cambria"/>
                <w:szCs w:val="18"/>
              </w:rPr>
            </w:pPr>
            <w:r>
              <w:rPr>
                <w:rFonts w:ascii="Cambria" w:hAnsi="Cambria"/>
                <w:szCs w:val="18"/>
              </w:rPr>
              <w:t>Presence in Australia</w:t>
            </w:r>
          </w:p>
        </w:tc>
      </w:tr>
      <w:tr w:rsidR="00E94405">
        <w:tc>
          <w:tcPr>
            <w:tcW w:w="1407" w:type="pct"/>
            <w:tcBorders>
              <w:top w:val="nil"/>
              <w:left w:val="nil"/>
              <w:bottom w:val="single" w:sz="8" w:space="0" w:color="D9D9D9" w:themeColor="background1" w:themeShade="D9"/>
              <w:right w:val="nil"/>
            </w:tcBorders>
          </w:tcPr>
          <w:p w:rsidR="00E94405" w:rsidRDefault="00A11609">
            <w:pPr>
              <w:spacing w:before="60" w:after="60"/>
              <w:ind w:left="-2"/>
              <w:rPr>
                <w:rFonts w:ascii="Cambria" w:hAnsi="Cambria" w:cs="Helvetica"/>
                <w:sz w:val="18"/>
                <w:szCs w:val="18"/>
              </w:rPr>
            </w:pP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concolor</w:t>
            </w:r>
            <w:r>
              <w:rPr>
                <w:rFonts w:ascii="Cambria" w:hAnsi="Cambria" w:cs="Helvetica"/>
                <w:sz w:val="18"/>
                <w:szCs w:val="18"/>
              </w:rPr>
              <w:t xml:space="preserve"> (Gordon &amp; Glend.) Lindl. ex Hildebr. [Pinaceae] – White fir</w:t>
            </w:r>
          </w:p>
        </w:tc>
        <w:tc>
          <w:tcPr>
            <w:tcW w:w="1316" w:type="pct"/>
            <w:tcBorders>
              <w:top w:val="nil"/>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Picea concolor</w:t>
            </w:r>
            <w:r>
              <w:rPr>
                <w:rFonts w:ascii="Cambria" w:hAnsi="Cambria" w:cs="Helvetica"/>
                <w:sz w:val="18"/>
                <w:szCs w:val="18"/>
              </w:rPr>
              <w:t xml:space="preserve"> Gordon</w:t>
            </w:r>
          </w:p>
        </w:tc>
        <w:tc>
          <w:tcPr>
            <w:tcW w:w="1113" w:type="pct"/>
            <w:tcBorders>
              <w:top w:val="nil"/>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color w:val="000000"/>
                <w:sz w:val="18"/>
                <w:szCs w:val="18"/>
              </w:rPr>
              <w:t xml:space="preserve">Cave </w:t>
            </w:r>
            <w:r>
              <w:rPr>
                <w:rFonts w:ascii="Cambria" w:hAnsi="Cambria" w:cs="Helvetica"/>
                <w:iCs/>
                <w:color w:val="000000"/>
                <w:sz w:val="18"/>
                <w:szCs w:val="18"/>
              </w:rPr>
              <w:t>et al.</w:t>
            </w:r>
            <w:r>
              <w:rPr>
                <w:rFonts w:ascii="Cambria" w:hAnsi="Cambria" w:cs="Helvetica"/>
                <w:color w:val="000000"/>
                <w:sz w:val="18"/>
                <w:szCs w:val="18"/>
              </w:rPr>
              <w:t xml:space="preserve"> 2008; Sansford </w:t>
            </w:r>
            <w:r>
              <w:rPr>
                <w:rFonts w:ascii="Cambria" w:hAnsi="Cambria" w:cs="Helvetica"/>
                <w:iCs/>
                <w:color w:val="000000"/>
                <w:sz w:val="18"/>
                <w:szCs w:val="18"/>
              </w:rPr>
              <w:t>et al</w:t>
            </w:r>
            <w:r>
              <w:rPr>
                <w:rFonts w:ascii="Cambria" w:hAnsi="Cambria" w:cs="Helvetica"/>
                <w:color w:val="000000"/>
                <w:sz w:val="18"/>
                <w:szCs w:val="18"/>
              </w:rPr>
              <w:t>. 2009</w:t>
            </w:r>
          </w:p>
        </w:tc>
        <w:tc>
          <w:tcPr>
            <w:tcW w:w="1164" w:type="pct"/>
            <w:tcBorders>
              <w:top w:val="nil"/>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ind w:left="-2"/>
              <w:rPr>
                <w:rFonts w:ascii="Cambria" w:hAnsi="Cambria" w:cs="Helvetica"/>
                <w:sz w:val="18"/>
                <w:szCs w:val="18"/>
              </w:rPr>
            </w:pP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grandis</w:t>
            </w:r>
            <w:r>
              <w:rPr>
                <w:rFonts w:ascii="Cambria" w:hAnsi="Cambria" w:cs="Helvetica"/>
                <w:sz w:val="18"/>
                <w:szCs w:val="18"/>
              </w:rPr>
              <w:t xml:space="preserve"> (Douglas ex D. Don) Lindl. [Pinaceae] – Grand fir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Picea grandis</w:t>
            </w:r>
            <w:r>
              <w:rPr>
                <w:rFonts w:ascii="Cambria" w:hAnsi="Cambria" w:cs="Helvetica"/>
                <w:sz w:val="18"/>
                <w:szCs w:val="18"/>
              </w:rPr>
              <w:t xml:space="preserve"> (Douglas ex D. Don) Loudon, </w:t>
            </w: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grandis</w:t>
            </w:r>
            <w:r>
              <w:rPr>
                <w:rFonts w:ascii="Cambria" w:hAnsi="Cambria" w:cs="Helvetica"/>
                <w:sz w:val="18"/>
                <w:szCs w:val="18"/>
              </w:rPr>
              <w:t xml:space="preserve"> (Douglas ex D. Don) Lindl. ssp. </w:t>
            </w:r>
            <w:r>
              <w:rPr>
                <w:rFonts w:ascii="Cambria" w:hAnsi="Cambria" w:cs="Helvetica"/>
                <w:i/>
                <w:iCs/>
                <w:sz w:val="18"/>
                <w:szCs w:val="18"/>
              </w:rPr>
              <w:t>idahoensis</w:t>
            </w:r>
            <w:r>
              <w:rPr>
                <w:rFonts w:ascii="Cambria" w:hAnsi="Cambria" w:cs="Helvetica"/>
                <w:sz w:val="18"/>
                <w:szCs w:val="18"/>
              </w:rPr>
              <w:t xml:space="preserve"> (Silba) Silba, </w:t>
            </w: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grandis</w:t>
            </w:r>
            <w:r>
              <w:rPr>
                <w:rFonts w:ascii="Cambria" w:hAnsi="Cambria" w:cs="Helvetica"/>
                <w:sz w:val="18"/>
                <w:szCs w:val="18"/>
              </w:rPr>
              <w:t xml:space="preserve"> (Douglas ex D. Don) Lindl. var. </w:t>
            </w:r>
            <w:r>
              <w:rPr>
                <w:rFonts w:ascii="Cambria" w:hAnsi="Cambria" w:cs="Helvetica"/>
                <w:i/>
                <w:sz w:val="18"/>
                <w:szCs w:val="18"/>
              </w:rPr>
              <w:t>g</w:t>
            </w:r>
            <w:r>
              <w:rPr>
                <w:rFonts w:ascii="Cambria" w:hAnsi="Cambria" w:cs="Helvetica"/>
                <w:i/>
                <w:iCs/>
                <w:sz w:val="18"/>
                <w:szCs w:val="18"/>
              </w:rPr>
              <w:t>randis, Abies</w:t>
            </w:r>
            <w:r>
              <w:rPr>
                <w:rFonts w:ascii="Cambria" w:hAnsi="Cambria" w:cs="Helvetica"/>
                <w:sz w:val="18"/>
                <w:szCs w:val="18"/>
              </w:rPr>
              <w:t xml:space="preserve"> </w:t>
            </w:r>
            <w:r>
              <w:rPr>
                <w:rFonts w:ascii="Cambria" w:hAnsi="Cambria" w:cs="Helvetica"/>
                <w:i/>
                <w:iCs/>
                <w:sz w:val="18"/>
                <w:szCs w:val="18"/>
              </w:rPr>
              <w:t>grandis</w:t>
            </w:r>
            <w:r>
              <w:rPr>
                <w:rFonts w:ascii="Cambria" w:hAnsi="Cambria" w:cs="Helvetica"/>
                <w:sz w:val="18"/>
                <w:szCs w:val="18"/>
              </w:rPr>
              <w:t xml:space="preserve"> (Douglas ex D. Don) Lindl. var. </w:t>
            </w:r>
            <w:r>
              <w:rPr>
                <w:rFonts w:ascii="Cambria" w:hAnsi="Cambria" w:cs="Helvetica"/>
                <w:i/>
                <w:iCs/>
                <w:sz w:val="18"/>
                <w:szCs w:val="18"/>
              </w:rPr>
              <w:t>idahoensis</w:t>
            </w:r>
            <w:r>
              <w:rPr>
                <w:rFonts w:ascii="Cambria" w:hAnsi="Cambria" w:cs="Helvetica"/>
                <w:sz w:val="18"/>
                <w:szCs w:val="18"/>
              </w:rPr>
              <w:t xml:space="preserve"> Silba, </w:t>
            </w: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grandis</w:t>
            </w:r>
            <w:r>
              <w:rPr>
                <w:rFonts w:ascii="Cambria" w:hAnsi="Cambria" w:cs="Helvetica"/>
                <w:sz w:val="18"/>
                <w:szCs w:val="18"/>
              </w:rPr>
              <w:t xml:space="preserve"> (Douglas ex D. Don) Lindl. f. </w:t>
            </w:r>
            <w:r>
              <w:rPr>
                <w:rFonts w:ascii="Cambria" w:hAnsi="Cambria" w:cs="Helvetica"/>
                <w:i/>
                <w:iCs/>
                <w:sz w:val="18"/>
                <w:szCs w:val="18"/>
              </w:rPr>
              <w:t>johnsonii</w:t>
            </w:r>
            <w:r>
              <w:rPr>
                <w:rFonts w:ascii="Cambria" w:hAnsi="Cambria" w:cs="Helvetica"/>
                <w:sz w:val="18"/>
                <w:szCs w:val="18"/>
              </w:rPr>
              <w:t xml:space="preserve"> O.V. Matthews), </w:t>
            </w:r>
            <w:r>
              <w:rPr>
                <w:rFonts w:ascii="Cambria" w:hAnsi="Cambria" w:cs="Helvetica"/>
                <w:i/>
                <w:iCs/>
                <w:sz w:val="18"/>
                <w:szCs w:val="18"/>
              </w:rPr>
              <w:t>Pinus grandis</w:t>
            </w:r>
            <w:r>
              <w:rPr>
                <w:rFonts w:ascii="Cambria" w:hAnsi="Cambria" w:cs="Helvetica"/>
                <w:sz w:val="18"/>
                <w:szCs w:val="18"/>
              </w:rPr>
              <w:t xml:space="preserve"> Douglas ex D. Don (basionym)</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2008</w:t>
            </w:r>
            <w:r>
              <w:rPr>
                <w:rFonts w:ascii="Cambria" w:hAnsi="Cambria" w:cs="Helvetica"/>
                <w:color w:val="000000"/>
                <w:sz w:val="18"/>
                <w:szCs w:val="18"/>
              </w:rPr>
              <w:t xml:space="preserve">; </w:t>
            </w:r>
            <w:r>
              <w:rPr>
                <w:rFonts w:ascii="Cambria" w:hAnsi="Cambria" w:cs="Helvetica"/>
                <w:sz w:val="18"/>
                <w:szCs w:val="18"/>
              </w:rPr>
              <w:t xml:space="preserve">Riley </w:t>
            </w:r>
            <w:r>
              <w:rPr>
                <w:rFonts w:ascii="Cambria" w:hAnsi="Cambria" w:cs="Helvetica"/>
                <w:iCs/>
                <w:sz w:val="18"/>
                <w:szCs w:val="18"/>
              </w:rPr>
              <w:t>et al.</w:t>
            </w:r>
            <w:r>
              <w:rPr>
                <w:rFonts w:ascii="Cambria" w:hAnsi="Cambria" w:cs="Helvetica"/>
                <w:sz w:val="18"/>
                <w:szCs w:val="18"/>
              </w:rPr>
              <w:t xml:space="preserve"> 2011</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magnifica</w:t>
            </w:r>
            <w:r>
              <w:rPr>
                <w:rFonts w:ascii="Cambria" w:hAnsi="Cambria" w:cs="Helvetica"/>
                <w:sz w:val="18"/>
                <w:szCs w:val="18"/>
              </w:rPr>
              <w:t xml:space="preserve"> A. Murray [Pinaceae] – California red fir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Chastagner &amp; Riley 2010</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highlight w:val="yellow"/>
              </w:rPr>
            </w:pPr>
            <w:r>
              <w:rPr>
                <w:rFonts w:ascii="Cambria" w:hAnsi="Cambria" w:cs="Helvetica"/>
                <w:i/>
                <w:iCs/>
                <w:sz w:val="18"/>
                <w:szCs w:val="18"/>
              </w:rPr>
              <w:t>Abies</w:t>
            </w:r>
            <w:r>
              <w:rPr>
                <w:rFonts w:ascii="Cambria" w:hAnsi="Cambria" w:cs="Helvetica"/>
                <w:sz w:val="18"/>
                <w:szCs w:val="18"/>
              </w:rPr>
              <w:t xml:space="preserve"> </w:t>
            </w:r>
            <w:r>
              <w:rPr>
                <w:rFonts w:ascii="Cambria" w:hAnsi="Cambria" w:cs="Helvetica"/>
                <w:i/>
                <w:iCs/>
                <w:sz w:val="18"/>
                <w:szCs w:val="18"/>
              </w:rPr>
              <w:t>procera</w:t>
            </w:r>
            <w:r>
              <w:rPr>
                <w:rFonts w:ascii="Cambria" w:hAnsi="Cambria" w:cs="Helvetica"/>
                <w:sz w:val="18"/>
                <w:szCs w:val="18"/>
              </w:rPr>
              <w:t xml:space="preserve"> Rehder [Pinaceae] – Noble fir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highlight w:val="yellow"/>
              </w:rPr>
            </w:pPr>
            <w:r>
              <w:rPr>
                <w:rFonts w:ascii="Cambria" w:hAnsi="Cambria" w:cs="Helvetica"/>
                <w:i/>
                <w:iCs/>
                <w:sz w:val="18"/>
                <w:szCs w:val="18"/>
              </w:rPr>
              <w:t>Abies nobilis</w:t>
            </w:r>
            <w:r>
              <w:rPr>
                <w:rFonts w:ascii="Cambria" w:hAnsi="Cambria" w:cs="Helvetica"/>
                <w:sz w:val="18"/>
                <w:szCs w:val="18"/>
              </w:rPr>
              <w:t xml:space="preserve"> (Douglas ex D. Don) Lindl.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highlight w:val="yellow"/>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Acer</w:t>
            </w:r>
            <w:r>
              <w:rPr>
                <w:rFonts w:ascii="Cambria" w:hAnsi="Cambria" w:cs="Helvetica"/>
                <w:sz w:val="18"/>
                <w:szCs w:val="18"/>
              </w:rPr>
              <w:t xml:space="preserve"> </w:t>
            </w:r>
            <w:r>
              <w:rPr>
                <w:rFonts w:ascii="Cambria" w:hAnsi="Cambria" w:cs="Helvetica"/>
                <w:i/>
                <w:iCs/>
                <w:sz w:val="18"/>
                <w:szCs w:val="18"/>
              </w:rPr>
              <w:t>circinatum</w:t>
            </w:r>
            <w:r>
              <w:rPr>
                <w:rFonts w:ascii="Cambria" w:hAnsi="Cambria" w:cs="Helvetica"/>
                <w:sz w:val="18"/>
                <w:szCs w:val="18"/>
              </w:rPr>
              <w:t xml:space="preserve"> Pursh [Aceraceae] – Vine maple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theme="minorHAnsi"/>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ind w:right="-108"/>
              <w:jc w:val="left"/>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Acer davidii</w:t>
            </w:r>
            <w:r>
              <w:rPr>
                <w:rFonts w:ascii="Cambria" w:hAnsi="Cambria" w:cs="Helvetica"/>
                <w:sz w:val="18"/>
                <w:szCs w:val="18"/>
              </w:rPr>
              <w:t xml:space="preserve"> Franch. [Aceraceae] – Striped bark maple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i/>
                <w:iCs/>
                <w:sz w:val="18"/>
                <w:szCs w:val="18"/>
              </w:rPr>
              <w:t>Acer grosseri</w:t>
            </w:r>
            <w:r>
              <w:rPr>
                <w:rFonts w:ascii="Cambria" w:hAnsi="Cambria" w:cs="Helvetica"/>
                <w:sz w:val="18"/>
                <w:szCs w:val="18"/>
              </w:rPr>
              <w:t xml:space="preserve"> Pax, </w:t>
            </w:r>
            <w:r>
              <w:rPr>
                <w:rFonts w:ascii="Cambria" w:hAnsi="Cambria" w:cs="Helvetica"/>
                <w:i/>
                <w:iCs/>
                <w:sz w:val="18"/>
                <w:szCs w:val="18"/>
              </w:rPr>
              <w:t>Acer hersii</w:t>
            </w:r>
            <w:r>
              <w:rPr>
                <w:rFonts w:ascii="Cambria" w:hAnsi="Cambria" w:cs="Helvetica"/>
                <w:sz w:val="18"/>
                <w:szCs w:val="18"/>
              </w:rPr>
              <w:t xml:space="preserve"> Rehder</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Acer laevigatum</w:t>
            </w:r>
            <w:r>
              <w:rPr>
                <w:rFonts w:ascii="Cambria" w:hAnsi="Cambria" w:cs="Helvetica"/>
                <w:sz w:val="18"/>
                <w:szCs w:val="18"/>
              </w:rPr>
              <w:t xml:space="preserve"> Wall. [Aceraceae] – Evergreen maple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i/>
                <w:iCs/>
                <w:sz w:val="18"/>
                <w:szCs w:val="18"/>
              </w:rPr>
              <w:t>Acer dimorphifolium</w:t>
            </w:r>
            <w:r>
              <w:rPr>
                <w:rFonts w:ascii="Cambria" w:hAnsi="Cambria" w:cs="Helvetica"/>
                <w:sz w:val="18"/>
                <w:szCs w:val="18"/>
              </w:rPr>
              <w:t xml:space="preserve"> F. P. Metcalf, </w:t>
            </w:r>
            <w:r>
              <w:rPr>
                <w:rFonts w:ascii="Cambria" w:hAnsi="Cambria" w:cs="Helvetica"/>
                <w:i/>
                <w:iCs/>
                <w:sz w:val="18"/>
                <w:szCs w:val="18"/>
              </w:rPr>
              <w:t>Acer salweenense</w:t>
            </w:r>
            <w:r>
              <w:rPr>
                <w:rFonts w:ascii="Cambria" w:hAnsi="Cambria" w:cs="Helvetica"/>
                <w:sz w:val="18"/>
                <w:szCs w:val="18"/>
              </w:rPr>
              <w:t xml:space="preserve"> W. W. Sm.</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Acer</w:t>
            </w:r>
            <w:r>
              <w:rPr>
                <w:rFonts w:ascii="Cambria" w:hAnsi="Cambria" w:cs="Helvetica"/>
                <w:sz w:val="18"/>
                <w:szCs w:val="18"/>
              </w:rPr>
              <w:t xml:space="preserve"> </w:t>
            </w:r>
            <w:r>
              <w:rPr>
                <w:rFonts w:ascii="Cambria" w:hAnsi="Cambria" w:cs="Helvetica"/>
                <w:i/>
                <w:iCs/>
                <w:sz w:val="18"/>
                <w:szCs w:val="18"/>
              </w:rPr>
              <w:t>macrophyllum</w:t>
            </w:r>
            <w:r>
              <w:rPr>
                <w:rFonts w:ascii="Cambria" w:hAnsi="Cambria" w:cs="Helvetica"/>
                <w:sz w:val="18"/>
                <w:szCs w:val="18"/>
              </w:rPr>
              <w:t xml:space="preserve"> Pursh [Aceraceae] – Bigleaf maple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theme="minorHAnsi"/>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Scianna </w:t>
            </w:r>
            <w:r>
              <w:rPr>
                <w:rFonts w:ascii="Cambria" w:hAnsi="Cambria" w:cs="Helvetica"/>
                <w:iCs/>
                <w:sz w:val="18"/>
                <w:szCs w:val="18"/>
              </w:rPr>
              <w:t>et al</w:t>
            </w:r>
            <w:r>
              <w:rPr>
                <w:rFonts w:ascii="Cambria" w:hAnsi="Cambria"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Acer</w:t>
            </w:r>
            <w:r>
              <w:rPr>
                <w:rFonts w:ascii="Cambria" w:hAnsi="Cambria" w:cs="Helvetica"/>
                <w:sz w:val="18"/>
                <w:szCs w:val="18"/>
              </w:rPr>
              <w:t xml:space="preserve"> </w:t>
            </w:r>
            <w:r>
              <w:rPr>
                <w:rFonts w:ascii="Cambria" w:hAnsi="Cambria" w:cs="Helvetica"/>
                <w:i/>
                <w:iCs/>
                <w:sz w:val="18"/>
                <w:szCs w:val="18"/>
              </w:rPr>
              <w:t>pseudoplatanus</w:t>
            </w:r>
            <w:r>
              <w:rPr>
                <w:rFonts w:ascii="Cambria" w:hAnsi="Cambria" w:cs="Helvetica"/>
                <w:sz w:val="18"/>
                <w:szCs w:val="18"/>
              </w:rPr>
              <w:t xml:space="preserve"> L. [Aceraceae] – Sycamore </w:t>
            </w:r>
            <w:r>
              <w:rPr>
                <w:rFonts w:ascii="Cambria" w:hAnsi="Cambria" w:cs="Helvetica"/>
                <w:sz w:val="18"/>
                <w:szCs w:val="18"/>
              </w:rPr>
              <w:lastRenderedPageBreak/>
              <w:t>maple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theme="minorHAnsi"/>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SA, NSW, VIC,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lastRenderedPageBreak/>
              <w:t>Adiantum jordanii</w:t>
            </w:r>
            <w:r>
              <w:rPr>
                <w:rFonts w:ascii="Cambria" w:hAnsi="Cambria" w:cs="Helvetica"/>
                <w:sz w:val="18"/>
                <w:szCs w:val="18"/>
              </w:rPr>
              <w:t xml:space="preserve"> Mueller [Pteridaceae] – California maiden hair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pStyle w:val="AQISText"/>
              <w:spacing w:before="60" w:after="60" w:line="240" w:lineRule="auto"/>
              <w:jc w:val="left"/>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Vettraino </w:t>
            </w:r>
            <w:r>
              <w:rPr>
                <w:rFonts w:ascii="Cambria" w:hAnsi="Cambria" w:cs="Helvetica"/>
                <w:iCs/>
                <w:sz w:val="18"/>
                <w:szCs w:val="18"/>
              </w:rPr>
              <w:t>et al.</w:t>
            </w:r>
            <w:r>
              <w:rPr>
                <w:rFonts w:ascii="Cambria" w:hAnsi="Cambria" w:cs="Helvetica"/>
                <w:sz w:val="18"/>
                <w:szCs w:val="18"/>
              </w:rPr>
              <w:t xml:space="preserve"> 2006a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Adiantum pedatum</w:t>
            </w:r>
            <w:r>
              <w:rPr>
                <w:rFonts w:ascii="Cambria" w:hAnsi="Cambria" w:cs="Helvetica"/>
                <w:sz w:val="18"/>
                <w:szCs w:val="18"/>
              </w:rPr>
              <w:t xml:space="preserve"> L.</w:t>
            </w:r>
            <w:r>
              <w:rPr>
                <w:rFonts w:ascii="Cambria" w:hAnsi="Cambria" w:cs="Helvetica"/>
                <w:b/>
                <w:bCs/>
                <w:sz w:val="18"/>
                <w:szCs w:val="18"/>
              </w:rPr>
              <w:t xml:space="preserve"> </w:t>
            </w:r>
            <w:r>
              <w:rPr>
                <w:rFonts w:ascii="Cambria" w:hAnsi="Cambria" w:cs="Helvetica"/>
                <w:sz w:val="18"/>
                <w:szCs w:val="18"/>
              </w:rPr>
              <w:t>[Pteridaceae] – Northern Maidenhair Fern, Five-finger Fern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Adiantum</w:t>
            </w:r>
            <w:r>
              <w:rPr>
                <w:rFonts w:ascii="Cambria" w:hAnsi="Cambria" w:cs="Helvetica"/>
                <w:sz w:val="18"/>
                <w:szCs w:val="18"/>
              </w:rPr>
              <w:t xml:space="preserve"> </w:t>
            </w:r>
            <w:r>
              <w:rPr>
                <w:rFonts w:ascii="Cambria" w:hAnsi="Cambria" w:cs="Helvetica"/>
                <w:i/>
                <w:iCs/>
                <w:sz w:val="18"/>
                <w:szCs w:val="18"/>
              </w:rPr>
              <w:t>aleuticum</w:t>
            </w:r>
            <w:r>
              <w:rPr>
                <w:rFonts w:ascii="Cambria" w:hAnsi="Cambria" w:cs="Helvetica"/>
                <w:sz w:val="18"/>
                <w:szCs w:val="18"/>
              </w:rPr>
              <w:t xml:space="preserve"> (Rupr.) C.A. Paris, </w:t>
            </w:r>
            <w:r>
              <w:rPr>
                <w:rFonts w:ascii="Cambria" w:hAnsi="Cambria" w:cs="Helvetica"/>
                <w:i/>
                <w:iCs/>
                <w:sz w:val="18"/>
                <w:szCs w:val="18"/>
              </w:rPr>
              <w:t>Adiantum boreale</w:t>
            </w:r>
            <w:r>
              <w:rPr>
                <w:rFonts w:ascii="Cambria" w:hAnsi="Cambria" w:cs="Helvetica"/>
                <w:sz w:val="18"/>
                <w:szCs w:val="18"/>
              </w:rPr>
              <w:t xml:space="preserve"> C. Presl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Vettraino </w:t>
            </w:r>
            <w:r>
              <w:rPr>
                <w:rFonts w:ascii="Cambria" w:hAnsi="Cambria" w:cs="Helvetica"/>
                <w:iCs/>
                <w:sz w:val="18"/>
                <w:szCs w:val="18"/>
              </w:rPr>
              <w:t>et al.</w:t>
            </w:r>
            <w:r>
              <w:rPr>
                <w:rFonts w:ascii="Cambria" w:hAnsi="Cambria" w:cs="Helvetica"/>
                <w:sz w:val="18"/>
                <w:szCs w:val="18"/>
              </w:rPr>
              <w:t xml:space="preserve"> 2006a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Aesculus californica</w:t>
            </w:r>
            <w:r>
              <w:rPr>
                <w:rFonts w:ascii="Cambria" w:hAnsi="Cambria" w:cs="Helvetica"/>
                <w:sz w:val="18"/>
                <w:szCs w:val="18"/>
              </w:rPr>
              <w:t xml:space="preserve"> (Spach) Nutt. [Hippocastanaceae] – California buckeye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Calothyrsus californica</w:t>
            </w:r>
            <w:r>
              <w:rPr>
                <w:rFonts w:ascii="Cambria" w:hAnsi="Cambria" w:cs="Helvetica"/>
                <w:sz w:val="18"/>
                <w:szCs w:val="18"/>
              </w:rPr>
              <w:t xml:space="preserve"> Spach</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w:t>
            </w:r>
            <w:r>
              <w:rPr>
                <w:rFonts w:ascii="Cambria" w:hAnsi="Cambria" w:cs="Helvetica"/>
                <w:iCs/>
                <w:sz w:val="18"/>
                <w:szCs w:val="18"/>
              </w:rPr>
              <w:t>et al.</w:t>
            </w:r>
            <w:r>
              <w:rPr>
                <w:rFonts w:ascii="Cambria" w:hAnsi="Cambria" w:cs="Helvetica"/>
                <w:sz w:val="18"/>
                <w:szCs w:val="18"/>
              </w:rPr>
              <w:t xml:space="preserve"> 2003; Scianna </w:t>
            </w:r>
            <w:r>
              <w:rPr>
                <w:rFonts w:ascii="Cambria" w:hAnsi="Cambria" w:cs="Helvetica"/>
                <w:iCs/>
                <w:sz w:val="18"/>
                <w:szCs w:val="18"/>
              </w:rPr>
              <w:t>et al</w:t>
            </w:r>
            <w:r>
              <w:rPr>
                <w:rFonts w:ascii="Cambria" w:hAnsi="Cambria"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Aesculus hippocastanum</w:t>
            </w:r>
            <w:r>
              <w:rPr>
                <w:rFonts w:ascii="Cambria" w:hAnsi="Cambria" w:cs="Helvetica"/>
                <w:sz w:val="18"/>
                <w:szCs w:val="18"/>
              </w:rPr>
              <w:t xml:space="preserve"> L. [Hippocastanaceae] – Horse chestnut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Aesculus hippocastanum</w:t>
            </w:r>
            <w:r>
              <w:rPr>
                <w:rFonts w:ascii="Cambria" w:hAnsi="Cambria" w:cs="Helvetica"/>
                <w:sz w:val="18"/>
                <w:szCs w:val="18"/>
              </w:rPr>
              <w:t xml:space="preserve"> f. </w:t>
            </w:r>
            <w:r>
              <w:rPr>
                <w:rFonts w:ascii="Cambria" w:hAnsi="Cambria" w:cs="Helvetica"/>
                <w:i/>
                <w:iCs/>
                <w:sz w:val="18"/>
                <w:szCs w:val="18"/>
              </w:rPr>
              <w:t>memmingeri</w:t>
            </w:r>
            <w:r>
              <w:rPr>
                <w:rFonts w:ascii="Cambria" w:hAnsi="Cambria" w:cs="Helvetica"/>
                <w:sz w:val="18"/>
                <w:szCs w:val="18"/>
              </w:rPr>
              <w:t xml:space="preserve"> (K. Koch) Schelle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SA, NSW, 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Alnus glutinosa</w:t>
            </w:r>
            <w:r>
              <w:rPr>
                <w:rFonts w:ascii="Cambria" w:hAnsi="Cambria" w:cs="Helvetica"/>
                <w:sz w:val="18"/>
                <w:szCs w:val="18"/>
              </w:rPr>
              <w:t xml:space="preserve"> (L.) Gaertn. [Betulaceae] (L.) Lam.) – European alder (Note: </w:t>
            </w:r>
            <w:r>
              <w:rPr>
                <w:rFonts w:ascii="Cambria" w:hAnsi="Cambria"/>
                <w:sz w:val="18"/>
                <w:szCs w:val="18"/>
              </w:rPr>
              <w:t xml:space="preserve">Only reported as a host of </w:t>
            </w:r>
            <w:r>
              <w:rPr>
                <w:rFonts w:ascii="Cambria" w:hAnsi="Cambria"/>
                <w:i/>
                <w:sz w:val="18"/>
                <w:szCs w:val="18"/>
              </w:rPr>
              <w:t>Phytophthora pseudosyringae</w:t>
            </w:r>
            <w:r>
              <w:rPr>
                <w:rFonts w:ascii="Cambria" w:hAnsi="Cambria"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Alnus barbata</w:t>
            </w:r>
            <w:r>
              <w:rPr>
                <w:rFonts w:ascii="Cambria" w:hAnsi="Cambria" w:cs="Helvetica"/>
                <w:sz w:val="18"/>
                <w:szCs w:val="18"/>
              </w:rPr>
              <w:t xml:space="preserve"> C. A. Mey, </w:t>
            </w:r>
            <w:r>
              <w:rPr>
                <w:rFonts w:ascii="Cambria" w:hAnsi="Cambria" w:cs="Helvetica"/>
                <w:i/>
                <w:sz w:val="18"/>
                <w:szCs w:val="18"/>
              </w:rPr>
              <w:t>Alnus glutinosa</w:t>
            </w:r>
            <w:r>
              <w:rPr>
                <w:rFonts w:ascii="Cambria" w:hAnsi="Cambria" w:cs="Helvetica"/>
                <w:sz w:val="18"/>
                <w:szCs w:val="18"/>
              </w:rPr>
              <w:t xml:space="preserve"> subsp. </w:t>
            </w:r>
            <w:r>
              <w:rPr>
                <w:rFonts w:ascii="Cambria" w:hAnsi="Cambria" w:cs="Helvetica"/>
                <w:i/>
                <w:sz w:val="18"/>
                <w:szCs w:val="18"/>
              </w:rPr>
              <w:t>barbata</w:t>
            </w:r>
            <w:r>
              <w:rPr>
                <w:rFonts w:ascii="Cambria" w:hAnsi="Cambria" w:cs="Helvetica"/>
                <w:sz w:val="18"/>
                <w:szCs w:val="18"/>
              </w:rPr>
              <w:t xml:space="preserve"> (C. A. Mey.) Yalt., </w:t>
            </w:r>
            <w:r>
              <w:rPr>
                <w:rFonts w:ascii="Cambria" w:hAnsi="Cambria" w:cs="Helvetica"/>
                <w:i/>
                <w:sz w:val="18"/>
                <w:szCs w:val="18"/>
              </w:rPr>
              <w:t>Alnus glutinosa</w:t>
            </w:r>
            <w:r>
              <w:rPr>
                <w:rFonts w:ascii="Cambria" w:hAnsi="Cambria" w:cs="Helvetica"/>
                <w:sz w:val="18"/>
                <w:szCs w:val="18"/>
              </w:rPr>
              <w:t xml:space="preserve"> var. </w:t>
            </w:r>
            <w:r>
              <w:rPr>
                <w:rFonts w:ascii="Cambria" w:hAnsi="Cambria" w:cs="Helvetica"/>
                <w:i/>
                <w:sz w:val="18"/>
                <w:szCs w:val="18"/>
              </w:rPr>
              <w:t>barbata</w:t>
            </w:r>
            <w:r>
              <w:rPr>
                <w:rFonts w:ascii="Cambria" w:hAnsi="Cambria" w:cs="Helvetica"/>
                <w:sz w:val="18"/>
                <w:szCs w:val="18"/>
              </w:rPr>
              <w:t xml:space="preserve"> (C. A. Mey.) Ledeb., </w:t>
            </w:r>
            <w:r>
              <w:rPr>
                <w:rFonts w:ascii="Cambria" w:hAnsi="Cambria" w:cs="Helvetica"/>
                <w:i/>
                <w:sz w:val="18"/>
                <w:szCs w:val="18"/>
              </w:rPr>
              <w:t>Betula alnus</w:t>
            </w:r>
            <w:r>
              <w:rPr>
                <w:rFonts w:ascii="Cambria" w:hAnsi="Cambria" w:cs="Helvetica"/>
                <w:sz w:val="18"/>
                <w:szCs w:val="18"/>
              </w:rPr>
              <w:t xml:space="preserve"> L., </w:t>
            </w:r>
            <w:r>
              <w:rPr>
                <w:rFonts w:ascii="Cambria" w:hAnsi="Cambria" w:cs="Helvetica"/>
                <w:i/>
                <w:sz w:val="18"/>
                <w:szCs w:val="18"/>
              </w:rPr>
              <w:t>Betula alnus</w:t>
            </w:r>
            <w:r>
              <w:rPr>
                <w:rFonts w:ascii="Cambria" w:hAnsi="Cambria" w:cs="Helvetica"/>
                <w:sz w:val="18"/>
                <w:szCs w:val="18"/>
              </w:rPr>
              <w:t xml:space="preserve"> var. </w:t>
            </w:r>
            <w:r>
              <w:rPr>
                <w:rFonts w:ascii="Cambria" w:hAnsi="Cambria" w:cs="Helvetica"/>
                <w:i/>
                <w:sz w:val="18"/>
                <w:szCs w:val="18"/>
              </w:rPr>
              <w:t>glutinosa</w:t>
            </w:r>
            <w:r>
              <w:rPr>
                <w:rFonts w:ascii="Cambria" w:hAnsi="Cambria" w:cs="Helvetica"/>
                <w:sz w:val="18"/>
                <w:szCs w:val="18"/>
              </w:rPr>
              <w:t xml:space="preserve"> L., </w:t>
            </w:r>
            <w:r>
              <w:rPr>
                <w:rFonts w:ascii="Cambria" w:hAnsi="Cambria" w:cs="Helvetica"/>
                <w:i/>
                <w:sz w:val="18"/>
                <w:szCs w:val="18"/>
              </w:rPr>
              <w:t>Betula glutinosa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Jung et al.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NSW, ACT,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Annona cherimola</w:t>
            </w:r>
            <w:r>
              <w:rPr>
                <w:rFonts w:ascii="Cambria" w:hAnsi="Cambria" w:cs="Helvetica"/>
                <w:sz w:val="18"/>
                <w:szCs w:val="18"/>
              </w:rPr>
              <w:t xml:space="preserve"> Mill. [Annonaceae] – Cherimoya, Custard apple (Note: </w:t>
            </w:r>
            <w:r>
              <w:rPr>
                <w:sz w:val="18"/>
                <w:szCs w:val="18"/>
              </w:rPr>
              <w:t xml:space="preserve">Only reported as a host of </w:t>
            </w:r>
            <w:r>
              <w:rPr>
                <w:i/>
                <w:sz w:val="18"/>
                <w:szCs w:val="18"/>
              </w:rPr>
              <w:t>Phytophthora kernoviae</w:t>
            </w:r>
            <w:r>
              <w:rPr>
                <w:rFonts w:ascii="Cambria" w:hAnsi="Cambria"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Annona pubescens</w:t>
            </w:r>
            <w:r>
              <w:rPr>
                <w:rFonts w:ascii="Cambria" w:hAnsi="Cambria" w:cs="Helvetica"/>
                <w:sz w:val="18"/>
                <w:szCs w:val="18"/>
              </w:rPr>
              <w:t xml:space="preserve"> Salisb., </w:t>
            </w:r>
            <w:r>
              <w:rPr>
                <w:rFonts w:ascii="Cambria" w:hAnsi="Cambria" w:cs="Helvetica"/>
                <w:i/>
                <w:sz w:val="18"/>
                <w:szCs w:val="18"/>
              </w:rPr>
              <w:t>Annona tripetala</w:t>
            </w:r>
            <w:r>
              <w:rPr>
                <w:rFonts w:ascii="Cambria" w:hAnsi="Cambria" w:cs="Helvetica"/>
                <w:sz w:val="18"/>
                <w:szCs w:val="18"/>
              </w:rPr>
              <w:t xml:space="preserve"> Aiton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Ramsfield et al. 2009; EPPO 2013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Arbutus menziesii</w:t>
            </w:r>
            <w:r>
              <w:rPr>
                <w:rFonts w:ascii="Cambria" w:hAnsi="Cambria" w:cs="Helvetica"/>
                <w:sz w:val="18"/>
                <w:szCs w:val="18"/>
              </w:rPr>
              <w:t xml:space="preserve"> Pursh [Aracaceae] – Madrone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pStyle w:val="AQISText"/>
              <w:spacing w:before="60" w:after="60" w:line="240" w:lineRule="auto"/>
              <w:jc w:val="left"/>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Maloney et al. 2002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Arbutus unedo</w:t>
            </w:r>
            <w:r>
              <w:rPr>
                <w:rFonts w:ascii="Cambria" w:hAnsi="Cambria" w:cs="Helvetica"/>
                <w:sz w:val="18"/>
                <w:szCs w:val="18"/>
              </w:rPr>
              <w:t xml:space="preserve"> L. [Aracaceae] – Strawberry tree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SA, NSW, VIC, TAS,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columbiana</w:t>
            </w:r>
            <w:r>
              <w:rPr>
                <w:rFonts w:ascii="Cambria" w:hAnsi="Cambria" w:cs="Helvetica"/>
                <w:sz w:val="18"/>
                <w:szCs w:val="18"/>
              </w:rPr>
              <w:t xml:space="preserve"> Piper [Ericaceae] – Hairy manzanita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columbiana</w:t>
            </w:r>
            <w:r>
              <w:rPr>
                <w:rFonts w:ascii="Cambria" w:hAnsi="Cambria" w:cs="Helvetica"/>
                <w:sz w:val="18"/>
                <w:szCs w:val="18"/>
              </w:rPr>
              <w:t xml:space="preserve"> Piper var. </w:t>
            </w:r>
            <w:r>
              <w:rPr>
                <w:rFonts w:ascii="Cambria" w:hAnsi="Cambria" w:cs="Helvetica"/>
                <w:i/>
                <w:iCs/>
                <w:sz w:val="18"/>
                <w:szCs w:val="18"/>
              </w:rPr>
              <w:t>tracyi</w:t>
            </w:r>
            <w:r>
              <w:rPr>
                <w:rFonts w:ascii="Cambria" w:hAnsi="Cambria" w:cs="Helvetica"/>
                <w:sz w:val="18"/>
                <w:szCs w:val="18"/>
              </w:rPr>
              <w:t xml:space="preserve"> Eastwood,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tracyi</w:t>
            </w:r>
            <w:r>
              <w:rPr>
                <w:rFonts w:ascii="Cambria" w:hAnsi="Cambria" w:cs="Helvetica"/>
                <w:sz w:val="18"/>
                <w:szCs w:val="18"/>
              </w:rPr>
              <w:t xml:space="preserve"> (Eastwood) J.E. Adams ex McMinn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Hansen </w:t>
            </w:r>
            <w:r>
              <w:rPr>
                <w:rFonts w:ascii="Cambria" w:hAnsi="Cambria" w:cs="Helvetica"/>
                <w:iCs/>
                <w:sz w:val="18"/>
                <w:szCs w:val="18"/>
              </w:rPr>
              <w:t>et al</w:t>
            </w:r>
            <w:r>
              <w:rPr>
                <w:rFonts w:ascii="Cambria" w:hAnsi="Cambria" w:cs="Helvetica"/>
                <w:sz w:val="18"/>
                <w:szCs w:val="18"/>
              </w:rPr>
              <w:t>. 2003a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manzanita</w:t>
            </w:r>
            <w:r>
              <w:rPr>
                <w:rFonts w:ascii="Cambria" w:hAnsi="Cambria" w:cs="Helvetica"/>
                <w:sz w:val="18"/>
                <w:szCs w:val="18"/>
              </w:rPr>
              <w:t xml:space="preserve"> Parry [Ericaceae] – Whiteleaf manzanita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pStyle w:val="AQISText"/>
              <w:spacing w:before="60" w:after="60" w:line="240" w:lineRule="auto"/>
              <w:jc w:val="left"/>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w:t>
            </w:r>
            <w:r>
              <w:rPr>
                <w:rFonts w:ascii="Cambria" w:hAnsi="Cambria" w:cs="Helvetica"/>
                <w:iCs/>
                <w:sz w:val="18"/>
                <w:szCs w:val="18"/>
              </w:rPr>
              <w:t>et al.</w:t>
            </w:r>
            <w:r>
              <w:rPr>
                <w:rFonts w:ascii="Cambria" w:hAnsi="Cambria" w:cs="Helvetica"/>
                <w:sz w:val="18"/>
                <w:szCs w:val="18"/>
              </w:rPr>
              <w:t xml:space="preserve"> 2003; Scianna </w:t>
            </w:r>
            <w:r>
              <w:rPr>
                <w:rFonts w:ascii="Cambria" w:hAnsi="Cambria" w:cs="Helvetica"/>
                <w:iCs/>
                <w:sz w:val="18"/>
                <w:szCs w:val="18"/>
              </w:rPr>
              <w:t>et al</w:t>
            </w:r>
            <w:r>
              <w:rPr>
                <w:rFonts w:ascii="Cambria" w:hAnsi="Cambria" w:cs="Helvetica"/>
                <w:sz w:val="18"/>
                <w:szCs w:val="18"/>
              </w:rPr>
              <w:t xml:space="preserve">. 2003; Cave </w:t>
            </w:r>
            <w:r>
              <w:rPr>
                <w:rFonts w:ascii="Cambria" w:hAnsi="Cambria" w:cs="Helvetica"/>
                <w:iCs/>
                <w:sz w:val="18"/>
                <w:szCs w:val="18"/>
              </w:rPr>
              <w:t>et al.</w:t>
            </w:r>
            <w:r>
              <w:rPr>
                <w:rFonts w:ascii="Cambria" w:hAnsi="Cambria"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[Ericaceae] – Kinnikinnick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adenotricha</w:t>
            </w:r>
            <w:r>
              <w:rPr>
                <w:rFonts w:ascii="Cambria" w:hAnsi="Cambria" w:cs="Helvetica"/>
                <w:sz w:val="18"/>
                <w:szCs w:val="18"/>
              </w:rPr>
              <w:t xml:space="preserve"> (Fernald &amp; J.F. Macbr.) Á. Löve &amp; D. Löve &amp; Kapoor,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ssp. </w:t>
            </w:r>
            <w:r>
              <w:rPr>
                <w:rFonts w:ascii="Cambria" w:hAnsi="Cambria" w:cs="Helvetica"/>
                <w:i/>
                <w:iCs/>
                <w:sz w:val="18"/>
                <w:szCs w:val="18"/>
              </w:rPr>
              <w:t>adenotricha</w:t>
            </w:r>
            <w:r>
              <w:rPr>
                <w:rFonts w:ascii="Cambria" w:hAnsi="Cambria" w:cs="Helvetica"/>
                <w:sz w:val="18"/>
                <w:szCs w:val="18"/>
              </w:rPr>
              <w:t xml:space="preserve"> (Fernald &amp; J.F. Macbr.) Calder &amp; </w:t>
            </w:r>
            <w:r>
              <w:rPr>
                <w:rFonts w:ascii="Cambria" w:hAnsi="Cambria" w:cs="Helvetica"/>
                <w:sz w:val="18"/>
                <w:szCs w:val="18"/>
              </w:rPr>
              <w:lastRenderedPageBreak/>
              <w:t xml:space="preserve">Roy L. Taylor,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ssp. </w:t>
            </w:r>
            <w:r>
              <w:rPr>
                <w:rFonts w:ascii="Cambria" w:hAnsi="Cambria" w:cs="Helvetica"/>
                <w:i/>
                <w:iCs/>
                <w:sz w:val="18"/>
                <w:szCs w:val="18"/>
              </w:rPr>
              <w:t>coactilis</w:t>
            </w:r>
            <w:r>
              <w:rPr>
                <w:rFonts w:ascii="Cambria" w:hAnsi="Cambria" w:cs="Helvetica"/>
                <w:sz w:val="18"/>
                <w:szCs w:val="18"/>
              </w:rPr>
              <w:t xml:space="preserve"> (Fernald &amp; J.F. Macbr.) Á. Löve &amp; D. Löve &amp; Kapoor,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ssp. </w:t>
            </w:r>
            <w:r>
              <w:rPr>
                <w:rFonts w:ascii="Cambria" w:hAnsi="Cambria" w:cs="Helvetica"/>
                <w:i/>
                <w:iCs/>
                <w:sz w:val="18"/>
                <w:szCs w:val="18"/>
              </w:rPr>
              <w:t>longipilosa</w:t>
            </w:r>
            <w:r>
              <w:rPr>
                <w:rFonts w:ascii="Cambria" w:hAnsi="Cambria" w:cs="Helvetica"/>
                <w:sz w:val="18"/>
                <w:szCs w:val="18"/>
              </w:rPr>
              <w:t xml:space="preserve"> Packer &amp; Denford,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ssp. </w:t>
            </w:r>
            <w:r>
              <w:rPr>
                <w:rFonts w:ascii="Cambria" w:hAnsi="Cambria" w:cs="Helvetica"/>
                <w:i/>
                <w:iCs/>
                <w:sz w:val="18"/>
                <w:szCs w:val="18"/>
              </w:rPr>
              <w:t>monoensis</w:t>
            </w:r>
            <w:r>
              <w:rPr>
                <w:rFonts w:ascii="Cambria" w:hAnsi="Cambria" w:cs="Helvetica"/>
                <w:sz w:val="18"/>
                <w:szCs w:val="18"/>
              </w:rPr>
              <w:t xml:space="preserve"> J.B. Roof,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ssp. </w:t>
            </w:r>
            <w:r>
              <w:rPr>
                <w:rFonts w:ascii="Cambria" w:hAnsi="Cambria" w:cs="Helvetica"/>
                <w:i/>
                <w:iCs/>
                <w:sz w:val="18"/>
                <w:szCs w:val="18"/>
              </w:rPr>
              <w:t>stipitata</w:t>
            </w:r>
            <w:r>
              <w:rPr>
                <w:rFonts w:ascii="Cambria" w:hAnsi="Cambria" w:cs="Helvetica"/>
                <w:sz w:val="18"/>
                <w:szCs w:val="18"/>
              </w:rPr>
              <w:t xml:space="preserve"> Packer &amp; Denford,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adenotricha</w:t>
            </w:r>
            <w:r>
              <w:rPr>
                <w:rFonts w:ascii="Cambria" w:hAnsi="Cambria" w:cs="Helvetica"/>
                <w:sz w:val="18"/>
                <w:szCs w:val="18"/>
              </w:rPr>
              <w:t xml:space="preserve"> Fernald &amp; J.F. Macbr.,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coactilis</w:t>
            </w:r>
            <w:r>
              <w:rPr>
                <w:rFonts w:ascii="Cambria" w:hAnsi="Cambria" w:cs="Helvetica"/>
                <w:sz w:val="18"/>
                <w:szCs w:val="18"/>
              </w:rPr>
              <w:t xml:space="preserve"> Fernald &amp; J.F. Macbr.,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leobreweri</w:t>
            </w:r>
            <w:r>
              <w:rPr>
                <w:rFonts w:ascii="Cambria" w:hAnsi="Cambria" w:cs="Helvetica"/>
                <w:sz w:val="18"/>
                <w:szCs w:val="18"/>
              </w:rPr>
              <w:t xml:space="preserve"> J.B. Roof,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marinensis</w:t>
            </w:r>
            <w:r>
              <w:rPr>
                <w:rFonts w:ascii="Cambria" w:hAnsi="Cambria" w:cs="Helvetica"/>
                <w:sz w:val="18"/>
                <w:szCs w:val="18"/>
              </w:rPr>
              <w:t xml:space="preserve"> J.B. Roof,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pacifica</w:t>
            </w:r>
            <w:r>
              <w:rPr>
                <w:rFonts w:ascii="Cambria" w:hAnsi="Cambria" w:cs="Helvetica"/>
                <w:sz w:val="18"/>
                <w:szCs w:val="18"/>
              </w:rPr>
              <w:t xml:space="preserve"> Hultén,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stipitata</w:t>
            </w:r>
            <w:r>
              <w:rPr>
                <w:rFonts w:ascii="Cambria" w:hAnsi="Cambria" w:cs="Helvetica"/>
                <w:sz w:val="18"/>
                <w:szCs w:val="18"/>
              </w:rPr>
              <w:t xml:space="preserve"> (Packer &amp; Denford) Dorn, </w:t>
            </w:r>
            <w:r>
              <w:rPr>
                <w:rFonts w:ascii="Cambria" w:hAnsi="Cambria" w:cs="Helvetica"/>
                <w:i/>
                <w:iCs/>
                <w:sz w:val="18"/>
                <w:szCs w:val="18"/>
              </w:rPr>
              <w:t>Arctostaphylos</w:t>
            </w:r>
            <w:r>
              <w:rPr>
                <w:rFonts w:ascii="Cambria" w:hAnsi="Cambria" w:cs="Helvetica"/>
                <w:sz w:val="18"/>
                <w:szCs w:val="18"/>
              </w:rPr>
              <w:t xml:space="preserve"> </w:t>
            </w:r>
            <w:r>
              <w:rPr>
                <w:rFonts w:ascii="Cambria" w:hAnsi="Cambria" w:cs="Helvetica"/>
                <w:i/>
                <w:iCs/>
                <w:sz w:val="18"/>
                <w:szCs w:val="18"/>
              </w:rPr>
              <w:t>uva-ursi</w:t>
            </w:r>
            <w:r>
              <w:rPr>
                <w:rFonts w:ascii="Cambria" w:hAnsi="Cambria" w:cs="Helvetica"/>
                <w:sz w:val="18"/>
                <w:szCs w:val="18"/>
              </w:rPr>
              <w:t xml:space="preserve"> (L.) Spreng. var. </w:t>
            </w:r>
            <w:r>
              <w:rPr>
                <w:rFonts w:ascii="Cambria" w:hAnsi="Cambria" w:cs="Helvetica"/>
                <w:i/>
                <w:iCs/>
                <w:sz w:val="18"/>
                <w:szCs w:val="18"/>
              </w:rPr>
              <w:t>suborbiculata</w:t>
            </w:r>
            <w:r>
              <w:rPr>
                <w:rFonts w:ascii="Cambria" w:hAnsi="Cambria" w:cs="Helvetica"/>
                <w:sz w:val="18"/>
                <w:szCs w:val="18"/>
              </w:rPr>
              <w:t xml:space="preserve"> W. Knight)</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lastRenderedPageBreak/>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Ardisia</w:t>
            </w:r>
            <w:r>
              <w:rPr>
                <w:rFonts w:ascii="Cambria" w:hAnsi="Cambria" w:cs="Helvetica"/>
                <w:sz w:val="18"/>
                <w:szCs w:val="18"/>
              </w:rPr>
              <w:t xml:space="preserve"> </w:t>
            </w:r>
            <w:r>
              <w:rPr>
                <w:rFonts w:ascii="Cambria" w:hAnsi="Cambria" w:cs="Helvetica"/>
                <w:i/>
                <w:iCs/>
                <w:sz w:val="18"/>
                <w:szCs w:val="18"/>
              </w:rPr>
              <w:t>japonica</w:t>
            </w:r>
            <w:r>
              <w:rPr>
                <w:rFonts w:ascii="Cambria" w:hAnsi="Cambria" w:cs="Helvetica"/>
                <w:sz w:val="18"/>
                <w:szCs w:val="18"/>
              </w:rPr>
              <w:t xml:space="preserve"> (Thunb.) Blume [Myrsinaceae] – Marlberry, Ardisia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Bladhia japonica</w:t>
            </w:r>
            <w:r>
              <w:rPr>
                <w:rFonts w:ascii="Cambria" w:hAnsi="Cambria" w:cs="Helvetica"/>
                <w:sz w:val="18"/>
                <w:szCs w:val="18"/>
              </w:rPr>
              <w:t xml:space="preserve"> Thunb.</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Berberis aquifolium </w:t>
            </w:r>
            <w:r>
              <w:rPr>
                <w:rFonts w:ascii="Cambria" w:hAnsi="Cambria" w:cs="Helvetica"/>
                <w:sz w:val="18"/>
                <w:szCs w:val="18"/>
              </w:rPr>
              <w:t>Pursh [Berberidaceae] – Holly leaved barberry, Oregon grape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Berberis diversifolia</w:t>
            </w:r>
            <w:r>
              <w:rPr>
                <w:rFonts w:ascii="Cambria" w:hAnsi="Cambria" w:cs="Helvetica"/>
                <w:sz w:val="18"/>
                <w:szCs w:val="18"/>
              </w:rPr>
              <w:t xml:space="preserve"> (Sweet) Steud, </w:t>
            </w:r>
            <w:r>
              <w:rPr>
                <w:rFonts w:ascii="Cambria" w:hAnsi="Cambria" w:cs="Helvetica"/>
                <w:i/>
                <w:iCs/>
                <w:sz w:val="18"/>
                <w:szCs w:val="18"/>
              </w:rPr>
              <w:t>Mahonia aquifolium</w:t>
            </w:r>
            <w:r>
              <w:rPr>
                <w:rFonts w:ascii="Cambria" w:hAnsi="Cambria" w:cs="Helvetica"/>
                <w:sz w:val="18"/>
                <w:szCs w:val="18"/>
              </w:rPr>
              <w:t xml:space="preserve"> (Pursh) Nutt., </w:t>
            </w:r>
            <w:r>
              <w:rPr>
                <w:rFonts w:ascii="Cambria" w:hAnsi="Cambria" w:cs="Helvetica"/>
                <w:i/>
                <w:iCs/>
                <w:sz w:val="18"/>
                <w:szCs w:val="18"/>
              </w:rPr>
              <w:t>Mahonia aquifolium</w:t>
            </w:r>
            <w:r>
              <w:rPr>
                <w:rFonts w:ascii="Cambria" w:hAnsi="Cambria" w:cs="Helvetica"/>
                <w:sz w:val="18"/>
                <w:szCs w:val="18"/>
              </w:rPr>
              <w:t xml:space="preserve"> subsp. </w:t>
            </w:r>
            <w:r>
              <w:rPr>
                <w:rFonts w:ascii="Cambria" w:hAnsi="Cambria" w:cs="Helvetica"/>
                <w:i/>
                <w:iCs/>
                <w:sz w:val="18"/>
                <w:szCs w:val="18"/>
              </w:rPr>
              <w:t>aquifolium</w:t>
            </w:r>
            <w:r>
              <w:rPr>
                <w:rFonts w:ascii="Cambria" w:hAnsi="Cambria" w:cs="Helvetica"/>
                <w:sz w:val="18"/>
                <w:szCs w:val="18"/>
              </w:rPr>
              <w:t xml:space="preserve">, </w:t>
            </w:r>
            <w:r>
              <w:rPr>
                <w:rFonts w:ascii="Cambria" w:hAnsi="Cambria" w:cs="Helvetica"/>
                <w:i/>
                <w:iCs/>
                <w:sz w:val="18"/>
                <w:szCs w:val="18"/>
              </w:rPr>
              <w:t>Mahonia diversifolia</w:t>
            </w:r>
            <w:r>
              <w:rPr>
                <w:rFonts w:ascii="Cambria" w:hAnsi="Cambria" w:cs="Helvetica"/>
                <w:sz w:val="18"/>
                <w:szCs w:val="18"/>
              </w:rPr>
              <w:t xml:space="preserve"> Sweet</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ACT, NSW, SA, TAS,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Berberis nervosa</w:t>
            </w:r>
            <w:r>
              <w:rPr>
                <w:rFonts w:ascii="Cambria" w:hAnsi="Cambria" w:cs="Helvetica"/>
                <w:sz w:val="18"/>
                <w:szCs w:val="18"/>
              </w:rPr>
              <w:t xml:space="preserve"> Pursh [Berberidaceae] – Cascades mahonia, Creeping Oregon grape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Mahonia nervosa</w:t>
            </w:r>
            <w:r>
              <w:rPr>
                <w:rFonts w:ascii="Cambria" w:hAnsi="Cambria" w:cs="Helvetica"/>
                <w:sz w:val="18"/>
                <w:szCs w:val="18"/>
              </w:rPr>
              <w:t xml:space="preserve"> (Pursh) Nutt.</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Betula</w:t>
            </w:r>
            <w:r>
              <w:rPr>
                <w:rFonts w:ascii="Cambria" w:hAnsi="Cambria" w:cs="Helvetica"/>
                <w:sz w:val="18"/>
                <w:szCs w:val="18"/>
              </w:rPr>
              <w:t xml:space="preserve"> </w:t>
            </w:r>
            <w:r>
              <w:rPr>
                <w:rFonts w:ascii="Cambria" w:hAnsi="Cambria" w:cs="Helvetica"/>
                <w:i/>
                <w:iCs/>
                <w:sz w:val="18"/>
                <w:szCs w:val="18"/>
              </w:rPr>
              <w:t>pendula</w:t>
            </w:r>
            <w:r>
              <w:rPr>
                <w:rFonts w:ascii="Cambria" w:hAnsi="Cambria" w:cs="Helvetica"/>
                <w:sz w:val="18"/>
                <w:szCs w:val="18"/>
              </w:rPr>
              <w:t xml:space="preserve"> Roth [Betulaceae] </w:t>
            </w:r>
            <w:r>
              <w:rPr>
                <w:rFonts w:ascii="Cambria" w:hAnsi="Cambria" w:cs="Helvetica"/>
                <w:i/>
                <w:iCs/>
                <w:sz w:val="18"/>
                <w:szCs w:val="18"/>
              </w:rPr>
              <w:t xml:space="preserve">– </w:t>
            </w:r>
            <w:r>
              <w:rPr>
                <w:rFonts w:ascii="Cambria" w:hAnsi="Cambria" w:cs="Helvetica"/>
                <w:sz w:val="18"/>
                <w:szCs w:val="18"/>
              </w:rPr>
              <w:t>European white birch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Betula</w:t>
            </w:r>
            <w:r>
              <w:rPr>
                <w:rFonts w:ascii="Cambria" w:hAnsi="Cambria" w:cs="Helvetica"/>
                <w:sz w:val="18"/>
                <w:szCs w:val="18"/>
              </w:rPr>
              <w:t xml:space="preserve"> </w:t>
            </w:r>
            <w:r>
              <w:rPr>
                <w:rFonts w:ascii="Cambria" w:hAnsi="Cambria" w:cs="Helvetica"/>
                <w:i/>
                <w:iCs/>
                <w:sz w:val="18"/>
                <w:szCs w:val="18"/>
              </w:rPr>
              <w:t>pendula</w:t>
            </w:r>
            <w:r>
              <w:rPr>
                <w:rFonts w:ascii="Cambria" w:hAnsi="Cambria" w:cs="Helvetica"/>
                <w:sz w:val="18"/>
                <w:szCs w:val="18"/>
              </w:rPr>
              <w:t xml:space="preserve"> Roth f. </w:t>
            </w:r>
            <w:r>
              <w:rPr>
                <w:rFonts w:ascii="Cambria" w:hAnsi="Cambria" w:cs="Helvetica"/>
                <w:i/>
                <w:iCs/>
                <w:sz w:val="18"/>
                <w:szCs w:val="18"/>
              </w:rPr>
              <w:t>dalecarlica</w:t>
            </w:r>
            <w:r>
              <w:rPr>
                <w:rFonts w:ascii="Cambria" w:hAnsi="Cambria" w:cs="Helvetica"/>
                <w:sz w:val="18"/>
                <w:szCs w:val="18"/>
              </w:rPr>
              <w:t xml:space="preserve"> (L. f.) C.K. Schneid, </w:t>
            </w:r>
            <w:r>
              <w:rPr>
                <w:rFonts w:ascii="Cambria" w:hAnsi="Cambria" w:cs="Helvetica"/>
                <w:i/>
                <w:iCs/>
                <w:sz w:val="18"/>
                <w:szCs w:val="18"/>
              </w:rPr>
              <w:t>Betula</w:t>
            </w:r>
            <w:r>
              <w:rPr>
                <w:rFonts w:ascii="Cambria" w:hAnsi="Cambria" w:cs="Helvetica"/>
                <w:sz w:val="18"/>
                <w:szCs w:val="18"/>
              </w:rPr>
              <w:t xml:space="preserve"> </w:t>
            </w:r>
            <w:r>
              <w:rPr>
                <w:rFonts w:ascii="Cambria" w:hAnsi="Cambria" w:cs="Helvetica"/>
                <w:i/>
                <w:iCs/>
                <w:sz w:val="18"/>
                <w:szCs w:val="18"/>
              </w:rPr>
              <w:t>verrucosa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TAS, ACT, VIC, NSW,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Calluna</w:t>
            </w:r>
            <w:r>
              <w:rPr>
                <w:rFonts w:ascii="Cambria" w:hAnsi="Cambria" w:cs="Helvetica"/>
                <w:sz w:val="18"/>
                <w:szCs w:val="18"/>
              </w:rPr>
              <w:t xml:space="preserve"> </w:t>
            </w:r>
            <w:r>
              <w:rPr>
                <w:rFonts w:ascii="Cambria" w:hAnsi="Cambria" w:cs="Helvetica"/>
                <w:i/>
                <w:iCs/>
                <w:sz w:val="18"/>
                <w:szCs w:val="18"/>
              </w:rPr>
              <w:t>vulgaris</w:t>
            </w:r>
            <w:r>
              <w:rPr>
                <w:rFonts w:ascii="Cambria" w:hAnsi="Cambria" w:cs="Helvetica"/>
                <w:sz w:val="18"/>
                <w:szCs w:val="18"/>
              </w:rPr>
              <w:t xml:space="preserve"> (L.) Hull [Ericaceae] – Heather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Cave et al. 2008; Sansford et al. 2009; Orlikowski &amp; Szkuta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TAS, ACT, NSW, Qld</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Calycanthus</w:t>
            </w:r>
            <w:r>
              <w:rPr>
                <w:rFonts w:ascii="Cambria" w:hAnsi="Cambria" w:cs="Helvetica"/>
                <w:sz w:val="18"/>
                <w:szCs w:val="18"/>
              </w:rPr>
              <w:t xml:space="preserve"> </w:t>
            </w:r>
            <w:r>
              <w:rPr>
                <w:rFonts w:ascii="Cambria" w:hAnsi="Cambria" w:cs="Helvetica"/>
                <w:i/>
                <w:iCs/>
                <w:sz w:val="18"/>
                <w:szCs w:val="18"/>
              </w:rPr>
              <w:t>occidentalis</w:t>
            </w:r>
            <w:r>
              <w:rPr>
                <w:rFonts w:ascii="Cambria" w:hAnsi="Cambria" w:cs="Helvetica"/>
                <w:sz w:val="18"/>
                <w:szCs w:val="18"/>
              </w:rPr>
              <w:t xml:space="preserve"> Hook. &amp; Arn. </w:t>
            </w:r>
            <w:r>
              <w:rPr>
                <w:rFonts w:ascii="Cambria" w:hAnsi="Cambria" w:cs="Helvetica"/>
                <w:sz w:val="18"/>
                <w:szCs w:val="18"/>
              </w:rPr>
              <w:lastRenderedPageBreak/>
              <w:t>[Calycanthaceae] – Western sweetshrub</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NSW,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lastRenderedPageBreak/>
              <w:t>Camellia japonica</w:t>
            </w:r>
            <w:r>
              <w:rPr>
                <w:rFonts w:ascii="Cambria" w:hAnsi="Cambria" w:cs="Helvetica"/>
                <w:iCs/>
                <w:sz w:val="18"/>
                <w:szCs w:val="18"/>
              </w:rPr>
              <w:t xml:space="preserve"> L.</w:t>
            </w:r>
            <w:r>
              <w:rPr>
                <w:rFonts w:ascii="Cambria" w:hAnsi="Cambria" w:cs="Helvetica"/>
                <w:i/>
                <w:iCs/>
                <w:sz w:val="18"/>
                <w:szCs w:val="18"/>
              </w:rPr>
              <w:t xml:space="preserve"> </w:t>
            </w:r>
            <w:r>
              <w:rPr>
                <w:rFonts w:ascii="Cambria" w:hAnsi="Cambria" w:cs="Helvetica"/>
                <w:sz w:val="18"/>
                <w:szCs w:val="18"/>
              </w:rPr>
              <w:t>[Theacae] – Camellia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sz w:val="18"/>
                <w:szCs w:val="18"/>
              </w:rPr>
              <w:t>Camellia hayaoi</w:t>
            </w:r>
            <w:r>
              <w:rPr>
                <w:rFonts w:ascii="Cambria" w:hAnsi="Cambria" w:cs="Helvetica"/>
                <w:sz w:val="18"/>
                <w:szCs w:val="18"/>
              </w:rPr>
              <w:t xml:space="preserve"> Yanagita ex Kusaka, </w:t>
            </w:r>
            <w:r>
              <w:rPr>
                <w:rFonts w:ascii="Cambria" w:hAnsi="Cambria" w:cs="Helvetica"/>
                <w:i/>
                <w:sz w:val="18"/>
                <w:szCs w:val="18"/>
              </w:rPr>
              <w:t>Camellia japonica</w:t>
            </w:r>
            <w:r>
              <w:rPr>
                <w:rFonts w:ascii="Cambria" w:hAnsi="Cambria" w:cs="Helvetica"/>
                <w:sz w:val="18"/>
                <w:szCs w:val="18"/>
              </w:rPr>
              <w:t xml:space="preserve"> var</w:t>
            </w:r>
            <w:r>
              <w:rPr>
                <w:rFonts w:ascii="Cambria" w:hAnsi="Cambria" w:cs="Helvetica"/>
                <w:i/>
                <w:sz w:val="18"/>
                <w:szCs w:val="18"/>
              </w:rPr>
              <w:t>. hortensis</w:t>
            </w:r>
            <w:r>
              <w:rPr>
                <w:rFonts w:ascii="Cambria" w:hAnsi="Cambria" w:cs="Helvetica"/>
                <w:sz w:val="18"/>
                <w:szCs w:val="18"/>
              </w:rPr>
              <w:t xml:space="preserve"> (Makino) Makino, </w:t>
            </w:r>
            <w:r>
              <w:rPr>
                <w:rFonts w:ascii="Cambria" w:hAnsi="Cambria" w:cs="Helvetica"/>
                <w:i/>
                <w:sz w:val="18"/>
                <w:szCs w:val="18"/>
              </w:rPr>
              <w:t>Camellia japonica</w:t>
            </w:r>
            <w:r>
              <w:rPr>
                <w:rFonts w:ascii="Cambria" w:hAnsi="Cambria" w:cs="Helvetica"/>
                <w:sz w:val="18"/>
                <w:szCs w:val="18"/>
              </w:rPr>
              <w:t xml:space="preserve"> var. </w:t>
            </w:r>
            <w:r>
              <w:rPr>
                <w:rFonts w:ascii="Cambria" w:hAnsi="Cambria" w:cs="Helvetica"/>
                <w:i/>
                <w:sz w:val="18"/>
                <w:szCs w:val="18"/>
              </w:rPr>
              <w:t>hozanensis</w:t>
            </w:r>
            <w:r>
              <w:rPr>
                <w:rFonts w:ascii="Cambria" w:hAnsi="Cambria" w:cs="Helvetica"/>
                <w:sz w:val="18"/>
                <w:szCs w:val="18"/>
              </w:rPr>
              <w:t xml:space="preserve"> (Hayata) Yamam, </w:t>
            </w:r>
            <w:r>
              <w:rPr>
                <w:rFonts w:ascii="Cambria" w:hAnsi="Cambria" w:cs="Helvetica"/>
                <w:i/>
                <w:sz w:val="18"/>
                <w:szCs w:val="18"/>
              </w:rPr>
              <w:t>Camellia japonica</w:t>
            </w:r>
            <w:r>
              <w:rPr>
                <w:rFonts w:ascii="Cambria" w:hAnsi="Cambria" w:cs="Helvetica"/>
                <w:sz w:val="18"/>
                <w:szCs w:val="18"/>
              </w:rPr>
              <w:t xml:space="preserve"> var. </w:t>
            </w:r>
            <w:r>
              <w:rPr>
                <w:rFonts w:ascii="Cambria" w:hAnsi="Cambria" w:cs="Helvetica"/>
                <w:i/>
                <w:sz w:val="18"/>
                <w:szCs w:val="18"/>
              </w:rPr>
              <w:t>macrocarpa</w:t>
            </w:r>
            <w:r>
              <w:rPr>
                <w:rFonts w:ascii="Cambria" w:hAnsi="Cambria" w:cs="Helvetica"/>
                <w:sz w:val="18"/>
                <w:szCs w:val="18"/>
              </w:rPr>
              <w:t xml:space="preserve"> Masam, </w:t>
            </w:r>
            <w:r>
              <w:rPr>
                <w:rFonts w:ascii="Cambria" w:hAnsi="Cambria" w:cs="Helvetica"/>
                <w:i/>
                <w:sz w:val="18"/>
                <w:szCs w:val="18"/>
              </w:rPr>
              <w:t>Camellia japonica</w:t>
            </w:r>
            <w:r>
              <w:rPr>
                <w:rFonts w:ascii="Cambria" w:hAnsi="Cambria" w:cs="Helvetica"/>
                <w:sz w:val="18"/>
                <w:szCs w:val="18"/>
              </w:rPr>
              <w:t xml:space="preserve"> var. </w:t>
            </w:r>
            <w:r>
              <w:rPr>
                <w:rFonts w:ascii="Cambria" w:hAnsi="Cambria" w:cs="Helvetica"/>
                <w:i/>
                <w:sz w:val="18"/>
                <w:szCs w:val="18"/>
              </w:rPr>
              <w:t>spontane</w:t>
            </w:r>
            <w:r>
              <w:rPr>
                <w:rFonts w:ascii="Cambria" w:hAnsi="Cambria" w:cs="Helvetica"/>
                <w:sz w:val="18"/>
                <w:szCs w:val="18"/>
              </w:rPr>
              <w:t xml:space="preserve">a (Makino) Makino, </w:t>
            </w:r>
            <w:r>
              <w:rPr>
                <w:rFonts w:ascii="Cambria" w:hAnsi="Cambria" w:cs="Helvetica"/>
                <w:i/>
                <w:sz w:val="18"/>
                <w:szCs w:val="18"/>
              </w:rPr>
              <w:t>Camellia rusticana</w:t>
            </w:r>
            <w:r>
              <w:rPr>
                <w:rFonts w:ascii="Cambria" w:hAnsi="Cambria" w:cs="Helvetica"/>
                <w:sz w:val="18"/>
                <w:szCs w:val="18"/>
              </w:rPr>
              <w:t xml:space="preserve"> Honda, </w:t>
            </w:r>
            <w:r>
              <w:rPr>
                <w:rFonts w:ascii="Cambria" w:hAnsi="Cambria" w:cs="Helvetica"/>
                <w:i/>
                <w:sz w:val="18"/>
                <w:szCs w:val="18"/>
              </w:rPr>
              <w:t>Thea japonica</w:t>
            </w:r>
            <w:r>
              <w:rPr>
                <w:rFonts w:ascii="Cambria" w:hAnsi="Cambria" w:cs="Helvetica"/>
                <w:sz w:val="18"/>
                <w:szCs w:val="18"/>
              </w:rPr>
              <w:t xml:space="preserve"> (L.) Baill) </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Pintos Varela </w:t>
            </w:r>
            <w:r>
              <w:rPr>
                <w:rFonts w:ascii="Cambria" w:hAnsi="Cambria" w:cs="Helvetica"/>
                <w:iCs/>
                <w:sz w:val="18"/>
                <w:szCs w:val="18"/>
              </w:rPr>
              <w:t>et al.</w:t>
            </w:r>
            <w:r>
              <w:rPr>
                <w:rFonts w:ascii="Cambria" w:hAnsi="Cambria" w:cs="Helvetica"/>
                <w:sz w:val="18"/>
                <w:szCs w:val="18"/>
              </w:rPr>
              <w:t xml:space="preserve">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VIC, NSW,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Camellia</w:t>
            </w:r>
            <w:r>
              <w:rPr>
                <w:rFonts w:ascii="Cambria" w:hAnsi="Cambria" w:cs="Helvetica"/>
                <w:sz w:val="18"/>
                <w:szCs w:val="18"/>
              </w:rPr>
              <w:t xml:space="preserve"> L. species [Theacae] – Camellia (all species, hybrids and cultivars)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i/>
                <w:iCs/>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Pintos Varela </w:t>
            </w:r>
            <w:r>
              <w:rPr>
                <w:rFonts w:ascii="Cambria" w:hAnsi="Cambria" w:cs="Helvetica"/>
                <w:iCs/>
                <w:sz w:val="18"/>
                <w:szCs w:val="18"/>
              </w:rPr>
              <w:t>et al.</w:t>
            </w:r>
            <w:r>
              <w:rPr>
                <w:rFonts w:ascii="Cambria" w:hAnsi="Cambria" w:cs="Helvetica"/>
                <w:sz w:val="18"/>
                <w:szCs w:val="18"/>
              </w:rPr>
              <w:t xml:space="preserve"> 2003; Beales </w:t>
            </w:r>
            <w:r>
              <w:rPr>
                <w:rFonts w:ascii="Cambria" w:hAnsi="Cambria" w:cs="Helvetica"/>
                <w:iCs/>
                <w:sz w:val="18"/>
                <w:szCs w:val="18"/>
              </w:rPr>
              <w:t>et al.</w:t>
            </w:r>
            <w:r>
              <w:rPr>
                <w:rFonts w:ascii="Cambria" w:hAnsi="Cambria" w:cs="Helvetica"/>
                <w:sz w:val="18"/>
                <w:szCs w:val="18"/>
              </w:rPr>
              <w:t xml:space="preserve"> 2004a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Qld, VIC, ACT, NSW,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Camellia reticulata</w:t>
            </w:r>
            <w:r>
              <w:rPr>
                <w:rFonts w:ascii="Cambria" w:hAnsi="Cambria" w:cs="Helvetica"/>
                <w:sz w:val="18"/>
                <w:szCs w:val="18"/>
              </w:rPr>
              <w:t xml:space="preserve"> Lindl. [Theacae] – Camellia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 </w:t>
            </w:r>
            <w:r>
              <w:rPr>
                <w:rFonts w:ascii="Cambria" w:hAnsi="Cambria" w:cs="Helvetica"/>
                <w:i/>
                <w:sz w:val="18"/>
                <w:szCs w:val="18"/>
              </w:rPr>
              <w:t xml:space="preserve">Camellia heterophylla </w:t>
            </w:r>
            <w:r>
              <w:rPr>
                <w:rFonts w:ascii="Cambria" w:hAnsi="Cambria" w:cs="Helvetica"/>
                <w:sz w:val="18"/>
                <w:szCs w:val="18"/>
              </w:rPr>
              <w:t xml:space="preserve">Hu, </w:t>
            </w:r>
            <w:r>
              <w:rPr>
                <w:rFonts w:ascii="Cambria" w:hAnsi="Cambria" w:cs="Helvetica"/>
                <w:i/>
                <w:sz w:val="18"/>
                <w:szCs w:val="18"/>
              </w:rPr>
              <w:t>Camellia pitardii</w:t>
            </w:r>
            <w:r>
              <w:rPr>
                <w:rFonts w:ascii="Cambria" w:hAnsi="Cambria" w:cs="Helvetica"/>
                <w:sz w:val="18"/>
                <w:szCs w:val="18"/>
              </w:rPr>
              <w:t xml:space="preserve"> var. </w:t>
            </w:r>
            <w:r>
              <w:rPr>
                <w:rFonts w:ascii="Cambria" w:hAnsi="Cambria" w:cs="Helvetica"/>
                <w:i/>
                <w:sz w:val="18"/>
                <w:szCs w:val="18"/>
              </w:rPr>
              <w:t>yunnanica</w:t>
            </w:r>
            <w:r>
              <w:rPr>
                <w:rFonts w:ascii="Cambria" w:hAnsi="Cambria" w:cs="Helvetica"/>
                <w:sz w:val="18"/>
                <w:szCs w:val="18"/>
              </w:rPr>
              <w:t xml:space="preserve"> Sealy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Parke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shd w:val="clear" w:color="auto" w:fill="FFFFFF"/>
              </w:rPr>
              <w:t xml:space="preserve">Camellia sasanqua </w:t>
            </w:r>
            <w:r>
              <w:rPr>
                <w:rFonts w:ascii="Cambria" w:hAnsi="Cambria" w:cs="Helvetica"/>
                <w:iCs/>
                <w:sz w:val="18"/>
                <w:szCs w:val="18"/>
                <w:shd w:val="clear" w:color="auto" w:fill="FFFFFF"/>
              </w:rPr>
              <w:t>Thunb.</w:t>
            </w:r>
            <w:r>
              <w:rPr>
                <w:rFonts w:ascii="Cambria" w:hAnsi="Cambria" w:cs="Helvetica"/>
                <w:i/>
                <w:iCs/>
                <w:sz w:val="18"/>
                <w:szCs w:val="18"/>
                <w:shd w:val="clear" w:color="auto" w:fill="FFFFFF"/>
              </w:rPr>
              <w:t xml:space="preserve"> </w:t>
            </w:r>
            <w:r>
              <w:rPr>
                <w:rFonts w:ascii="Cambria" w:hAnsi="Cambria" w:cs="Helvetica"/>
                <w:sz w:val="18"/>
                <w:szCs w:val="18"/>
              </w:rPr>
              <w:t>[Theacae] – Camellia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i/>
                <w:iCs/>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Parke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sz w:val="18"/>
                <w:szCs w:val="18"/>
              </w:rPr>
              <w:t>Camellia</w:t>
            </w:r>
            <w:r>
              <w:rPr>
                <w:rFonts w:ascii="Cambria" w:hAnsi="Cambria" w:cs="Helvetica"/>
                <w:sz w:val="18"/>
                <w:szCs w:val="18"/>
              </w:rPr>
              <w:t xml:space="preserve"> x </w:t>
            </w:r>
            <w:r>
              <w:rPr>
                <w:rFonts w:ascii="Cambria" w:hAnsi="Cambria" w:cs="Helvetica"/>
                <w:i/>
                <w:sz w:val="18"/>
                <w:szCs w:val="18"/>
              </w:rPr>
              <w:t>williamsii</w:t>
            </w:r>
            <w:r>
              <w:rPr>
                <w:rFonts w:ascii="Cambria" w:hAnsi="Cambria" w:cs="Helvetica"/>
                <w:sz w:val="18"/>
                <w:szCs w:val="18"/>
              </w:rPr>
              <w:t xml:space="preserve"> W. W. Sm. [Theacae] – Camellia hybrid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Parke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Carpinus betulus</w:t>
            </w:r>
            <w:r>
              <w:rPr>
                <w:rFonts w:ascii="Cambria" w:hAnsi="Cambria" w:cs="Helvetica"/>
                <w:sz w:val="18"/>
                <w:szCs w:val="18"/>
              </w:rPr>
              <w:t xml:space="preserve"> [</w:t>
            </w:r>
            <w:r>
              <w:rPr>
                <w:rFonts w:ascii="Cambria" w:hAnsi="Cambria" w:cs="Helvetica"/>
                <w:iCs/>
                <w:sz w:val="18"/>
                <w:szCs w:val="18"/>
              </w:rPr>
              <w:t>Betulaceae]</w:t>
            </w:r>
            <w:r>
              <w:rPr>
                <w:rFonts w:ascii="Cambria" w:hAnsi="Cambria" w:cs="Helvetica"/>
                <w:sz w:val="18"/>
                <w:szCs w:val="18"/>
              </w:rPr>
              <w:t xml:space="preserve"> – Hornbeam (Note: </w:t>
            </w:r>
            <w:r>
              <w:rPr>
                <w:rFonts w:ascii="Cambria" w:hAnsi="Cambria"/>
                <w:sz w:val="18"/>
                <w:szCs w:val="18"/>
              </w:rPr>
              <w:t xml:space="preserve">Only reported as a host of </w:t>
            </w:r>
            <w:r>
              <w:rPr>
                <w:rFonts w:ascii="Cambria" w:hAnsi="Cambria"/>
                <w:i/>
                <w:sz w:val="18"/>
                <w:szCs w:val="18"/>
              </w:rPr>
              <w:t>Phytophthora pseudosyringae</w:t>
            </w:r>
            <w:r>
              <w:rPr>
                <w:rFonts w:ascii="Cambria" w:hAnsi="Cambria" w:cs="Helvetica"/>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Carpinus betulus</w:t>
            </w:r>
            <w:r>
              <w:rPr>
                <w:rFonts w:ascii="Cambria" w:hAnsi="Cambria" w:cs="Helvetica"/>
                <w:sz w:val="18"/>
                <w:szCs w:val="18"/>
              </w:rPr>
              <w:t xml:space="preserve"> f. </w:t>
            </w:r>
            <w:r>
              <w:rPr>
                <w:rFonts w:ascii="Cambria" w:hAnsi="Cambria" w:cs="Helvetica"/>
                <w:i/>
                <w:sz w:val="18"/>
                <w:szCs w:val="18"/>
              </w:rPr>
              <w:t>pendula</w:t>
            </w:r>
            <w:r>
              <w:rPr>
                <w:rFonts w:ascii="Cambria" w:hAnsi="Cambria" w:cs="Helvetica"/>
                <w:sz w:val="18"/>
                <w:szCs w:val="18"/>
              </w:rPr>
              <w:t xml:space="preserve"> (H. Massé) G. Kirchn, </w:t>
            </w:r>
            <w:r>
              <w:rPr>
                <w:rFonts w:ascii="Cambria" w:hAnsi="Cambria" w:cs="Helvetica"/>
                <w:i/>
                <w:sz w:val="18"/>
                <w:szCs w:val="18"/>
              </w:rPr>
              <w:t>Carpinus caucasica</w:t>
            </w:r>
            <w:r>
              <w:rPr>
                <w:rFonts w:ascii="Cambria" w:hAnsi="Cambria" w:cs="Helvetica"/>
                <w:sz w:val="18"/>
                <w:szCs w:val="18"/>
              </w:rPr>
              <w:t xml:space="preserve"> Grossh.</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Goheen &amp; Frankel 2009; Denman et al. 2007</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Castanea sativa</w:t>
            </w:r>
            <w:r>
              <w:rPr>
                <w:rFonts w:ascii="Cambria" w:hAnsi="Cambria" w:cs="Helvetica"/>
                <w:sz w:val="18"/>
                <w:szCs w:val="18"/>
              </w:rPr>
              <w:t xml:space="preserve"> Mill. [Fagaceae] – European chestnut, Sweet chestnut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autoSpaceDE w:val="0"/>
              <w:autoSpaceDN w:val="0"/>
              <w:adjustRightInd w:val="0"/>
              <w:spacing w:before="60" w:after="60"/>
              <w:rPr>
                <w:rFonts w:ascii="Cambria" w:hAnsi="Cambria" w:cs="Helvetica"/>
                <w:sz w:val="18"/>
                <w:szCs w:val="18"/>
              </w:rPr>
            </w:pPr>
            <w:r>
              <w:rPr>
                <w:rFonts w:ascii="Cambria" w:hAnsi="Cambria" w:cs="Helvetica"/>
                <w:i/>
                <w:iCs/>
                <w:sz w:val="18"/>
                <w:szCs w:val="18"/>
              </w:rPr>
              <w:t>Castanea vesca</w:t>
            </w:r>
            <w:r>
              <w:rPr>
                <w:rFonts w:ascii="Cambria" w:hAnsi="Cambria" w:cs="Helvetica"/>
                <w:sz w:val="18"/>
                <w:szCs w:val="18"/>
              </w:rPr>
              <w:t xml:space="preserve"> Gaertn, </w:t>
            </w:r>
            <w:r>
              <w:rPr>
                <w:rFonts w:ascii="Cambria" w:hAnsi="Cambria" w:cs="Helvetica"/>
                <w:i/>
                <w:iCs/>
                <w:sz w:val="18"/>
                <w:szCs w:val="18"/>
              </w:rPr>
              <w:t>Castanea vulgaris</w:t>
            </w:r>
            <w:r>
              <w:rPr>
                <w:rFonts w:ascii="Cambria" w:hAnsi="Cambria" w:cs="Helvetica"/>
                <w:sz w:val="18"/>
                <w:szCs w:val="18"/>
              </w:rPr>
              <w:t xml:space="preserve"> Lam., </w:t>
            </w:r>
            <w:r>
              <w:rPr>
                <w:rFonts w:ascii="Cambria" w:hAnsi="Cambria" w:cs="Helvetica"/>
                <w:i/>
                <w:iCs/>
                <w:sz w:val="18"/>
                <w:szCs w:val="18"/>
              </w:rPr>
              <w:t>Fagus castanea</w:t>
            </w:r>
            <w:r>
              <w:rPr>
                <w:rFonts w:ascii="Cambria" w:hAnsi="Cambria" w:cs="Helvetica"/>
                <w:sz w:val="18"/>
                <w:szCs w:val="18"/>
              </w:rPr>
              <w:t xml:space="preserve"> L., </w:t>
            </w:r>
            <w:r>
              <w:rPr>
                <w:rFonts w:ascii="Cambria" w:hAnsi="Cambria" w:cs="Helvetica"/>
                <w:i/>
                <w:iCs/>
                <w:sz w:val="18"/>
                <w:szCs w:val="18"/>
              </w:rPr>
              <w:t>Fagus procera</w:t>
            </w:r>
            <w:r>
              <w:rPr>
                <w:rFonts w:ascii="Cambria" w:hAnsi="Cambria" w:cs="Helvetica"/>
                <w:sz w:val="18"/>
                <w:szCs w:val="18"/>
              </w:rPr>
              <w:t xml:space="preserve"> Salisb.</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autoSpaceDE w:val="0"/>
              <w:autoSpaceDN w:val="0"/>
              <w:adjustRightInd w:val="0"/>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autoSpaceDE w:val="0"/>
              <w:autoSpaceDN w:val="0"/>
              <w:adjustRightInd w:val="0"/>
              <w:spacing w:before="60" w:after="60"/>
              <w:rPr>
                <w:rFonts w:ascii="Cambria" w:hAnsi="Cambria" w:cs="Helvetica"/>
                <w:sz w:val="18"/>
                <w:szCs w:val="18"/>
              </w:rPr>
            </w:pPr>
            <w:r>
              <w:rPr>
                <w:rFonts w:ascii="Cambria" w:hAnsi="Cambria" w:cs="Helvetica"/>
                <w:sz w:val="18"/>
                <w:szCs w:val="18"/>
              </w:rPr>
              <w:t>ACT, NSW, VIC,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Castanopsis orthacantha</w:t>
            </w:r>
            <w:r>
              <w:rPr>
                <w:rFonts w:ascii="Cambria" w:hAnsi="Cambria" w:cs="Helvetica"/>
                <w:sz w:val="18"/>
                <w:szCs w:val="18"/>
              </w:rPr>
              <w:t xml:space="preserve"> Franchet [Fagaceae]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Ceanothus thyrsiflorus</w:t>
            </w:r>
            <w:r>
              <w:rPr>
                <w:rFonts w:ascii="Cambria" w:hAnsi="Cambria" w:cs="Helvetica"/>
                <w:sz w:val="18"/>
                <w:szCs w:val="18"/>
              </w:rPr>
              <w:t xml:space="preserve"> Eschsch. [Rhamnaceae] – Blue blossom, Californian lilac</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ACT, 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Cercis chinensis</w:t>
            </w:r>
            <w:r>
              <w:rPr>
                <w:rFonts w:ascii="Cambria" w:hAnsi="Cambria" w:cs="Helvetica"/>
                <w:sz w:val="18"/>
                <w:szCs w:val="18"/>
              </w:rPr>
              <w:t xml:space="preserve"> Bunge [Fabaceae] – Chinese redbud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Chamaecyparis lawsoniana</w:t>
            </w:r>
            <w:r>
              <w:rPr>
                <w:rFonts w:ascii="Cambria" w:hAnsi="Cambria" w:cs="Helvetica"/>
                <w:sz w:val="18"/>
                <w:szCs w:val="18"/>
              </w:rPr>
              <w:t xml:space="preserve"> (A. Murray) Parl. [Cupressaceae] – Lawson's cypress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Cupressus lawsoniana</w:t>
            </w:r>
            <w:r>
              <w:rPr>
                <w:rFonts w:ascii="Cambria" w:hAnsi="Cambria" w:cs="Helvetica"/>
                <w:sz w:val="18"/>
                <w:szCs w:val="18"/>
              </w:rPr>
              <w:t xml:space="preserve"> A. Murray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 Brasier &amp; Webber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ACT, SA,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Choisya ternata</w:t>
            </w:r>
            <w:r>
              <w:rPr>
                <w:rFonts w:ascii="Cambria" w:hAnsi="Cambria" w:cs="Helvetica"/>
                <w:sz w:val="18"/>
                <w:szCs w:val="18"/>
              </w:rPr>
              <w:t xml:space="preserve"> Kunth [Rutaceae] – Mexican-</w:t>
            </w:r>
            <w:r>
              <w:rPr>
                <w:rFonts w:ascii="Cambria" w:hAnsi="Cambria" w:cs="Helvetica"/>
                <w:sz w:val="18"/>
                <w:szCs w:val="18"/>
              </w:rPr>
              <w:lastRenderedPageBreak/>
              <w:t>orange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SA, NSW,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Cinnamomum camphora</w:t>
            </w:r>
            <w:r>
              <w:rPr>
                <w:rFonts w:ascii="Cambria" w:hAnsi="Cambria" w:cs="Helvetica"/>
                <w:sz w:val="18"/>
                <w:szCs w:val="18"/>
              </w:rPr>
              <w:t xml:space="preserve"> (L.) J.Presl [Lauraceae] – Camphor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Laurus camphora</w:t>
            </w:r>
            <w:r>
              <w:rPr>
                <w:rFonts w:ascii="Cambria" w:hAnsi="Cambria" w:cs="Helvetica"/>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COMTF 2012; Sansford </w:t>
            </w:r>
            <w:r>
              <w:rPr>
                <w:rFonts w:ascii="Cambria" w:hAnsi="Cambria" w:cs="Helvetica"/>
                <w:iCs/>
                <w:sz w:val="18"/>
                <w:szCs w:val="18"/>
              </w:rPr>
              <w:t>et al.</w:t>
            </w:r>
            <w:r>
              <w:rPr>
                <w:rFonts w:ascii="Cambria" w:hAnsi="Cambria" w:cs="Helvetica"/>
                <w:sz w:val="18"/>
                <w:szCs w:val="18"/>
              </w:rPr>
              <w:t xml:space="preserve"> 2009; Rooney-Latham et al. 2013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Qld, NSW, WA, VIC, ACT,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Clintonia andrewsiana</w:t>
            </w:r>
            <w:r>
              <w:rPr>
                <w:rFonts w:ascii="Cambria" w:hAnsi="Cambria" w:cs="Helvetica"/>
                <w:sz w:val="18"/>
                <w:szCs w:val="18"/>
              </w:rPr>
              <w:t xml:space="preserve"> Torr. [Liliaceae] – Andrew’s clintonia bead lily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Cornus capitata</w:t>
            </w:r>
            <w:r>
              <w:rPr>
                <w:rFonts w:ascii="Cambria" w:hAnsi="Cambria" w:cs="Helvetica"/>
                <w:sz w:val="18"/>
                <w:szCs w:val="18"/>
              </w:rPr>
              <w:t xml:space="preserve"> Wall. [Cornaceae] – Bentham’s dogwood, Bentham’s cornel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Benthamia fragifera</w:t>
            </w:r>
            <w:r>
              <w:rPr>
                <w:rFonts w:ascii="Cambria" w:hAnsi="Cambria" w:cs="Helvetica"/>
                <w:sz w:val="18"/>
                <w:szCs w:val="18"/>
              </w:rPr>
              <w:t xml:space="preserve"> Lindl., </w:t>
            </w:r>
            <w:r>
              <w:rPr>
                <w:rFonts w:ascii="Cambria" w:hAnsi="Cambria" w:cs="Helvetica"/>
                <w:i/>
                <w:iCs/>
                <w:sz w:val="18"/>
                <w:szCs w:val="18"/>
              </w:rPr>
              <w:t>Benthamidia capitata</w:t>
            </w:r>
            <w:r>
              <w:rPr>
                <w:rFonts w:ascii="Cambria" w:hAnsi="Cambria" w:cs="Helvetica"/>
                <w:sz w:val="18"/>
                <w:szCs w:val="18"/>
              </w:rPr>
              <w:t xml:space="preserve"> (Wall.) H. Hara, </w:t>
            </w:r>
            <w:r>
              <w:rPr>
                <w:rFonts w:ascii="Cambria" w:hAnsi="Cambria" w:cs="Helvetica"/>
                <w:i/>
                <w:iCs/>
                <w:sz w:val="18"/>
                <w:szCs w:val="18"/>
              </w:rPr>
              <w:t>Dendrobenthamia capitata</w:t>
            </w:r>
            <w:r>
              <w:rPr>
                <w:rFonts w:ascii="Cambria" w:hAnsi="Cambria" w:cs="Helvetica"/>
                <w:sz w:val="18"/>
                <w:szCs w:val="18"/>
              </w:rPr>
              <w:t xml:space="preserve"> (Wall.) Hutch.</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 NSW, ACT,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Cornus kousa</w:t>
            </w:r>
            <w:r>
              <w:rPr>
                <w:rFonts w:ascii="Cambria" w:hAnsi="Cambria" w:cs="Helvetica"/>
                <w:sz w:val="18"/>
                <w:szCs w:val="18"/>
              </w:rPr>
              <w:t xml:space="preserve"> Hance [Cornaceae] – Chinese dogwood, Japanese dogwood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Benthamia japonica</w:t>
            </w:r>
            <w:r>
              <w:rPr>
                <w:rFonts w:ascii="Cambria" w:hAnsi="Cambria" w:cs="Helvetica"/>
                <w:sz w:val="18"/>
                <w:szCs w:val="18"/>
              </w:rPr>
              <w:t xml:space="preserve"> Siebold &amp; Zucc., </w:t>
            </w:r>
            <w:r>
              <w:rPr>
                <w:rFonts w:ascii="Cambria" w:hAnsi="Cambria" w:cs="Helvetica"/>
                <w:i/>
                <w:iCs/>
                <w:sz w:val="18"/>
                <w:szCs w:val="18"/>
              </w:rPr>
              <w:t>Benthamidia</w:t>
            </w:r>
            <w:r>
              <w:rPr>
                <w:rFonts w:ascii="Cambria" w:hAnsi="Cambria" w:cs="Helvetica"/>
                <w:sz w:val="18"/>
                <w:szCs w:val="18"/>
              </w:rPr>
              <w:t xml:space="preserve"> </w:t>
            </w:r>
            <w:r>
              <w:rPr>
                <w:rFonts w:ascii="Cambria" w:hAnsi="Cambria" w:cs="Helvetica"/>
                <w:i/>
                <w:iCs/>
                <w:sz w:val="18"/>
                <w:szCs w:val="18"/>
              </w:rPr>
              <w:t>japonica</w:t>
            </w:r>
            <w:r>
              <w:rPr>
                <w:rFonts w:ascii="Cambria" w:hAnsi="Cambria" w:cs="Helvetica"/>
                <w:sz w:val="18"/>
                <w:szCs w:val="18"/>
              </w:rPr>
              <w:t xml:space="preserve"> (Siebold &amp; Zucc.) H. Hara, </w:t>
            </w:r>
            <w:r>
              <w:rPr>
                <w:rFonts w:ascii="Cambria" w:hAnsi="Cambria" w:cs="Helvetica"/>
                <w:i/>
                <w:iCs/>
                <w:sz w:val="18"/>
                <w:szCs w:val="18"/>
              </w:rPr>
              <w:t>Cornus kousa</w:t>
            </w:r>
            <w:r>
              <w:rPr>
                <w:rFonts w:ascii="Cambria" w:hAnsi="Cambria" w:cs="Helvetica"/>
                <w:sz w:val="18"/>
                <w:szCs w:val="18"/>
              </w:rPr>
              <w:t xml:space="preserve"> var. </w:t>
            </w:r>
            <w:r>
              <w:rPr>
                <w:rFonts w:ascii="Cambria" w:hAnsi="Cambria" w:cs="Helvetica"/>
                <w:i/>
                <w:iCs/>
                <w:sz w:val="18"/>
                <w:szCs w:val="18"/>
              </w:rPr>
              <w:t>chinensis</w:t>
            </w:r>
            <w:r>
              <w:rPr>
                <w:rFonts w:ascii="Cambria" w:hAnsi="Cambria" w:cs="Helvetica"/>
                <w:sz w:val="18"/>
                <w:szCs w:val="18"/>
              </w:rPr>
              <w:t xml:space="preserve"> Osborn, </w:t>
            </w:r>
            <w:r>
              <w:rPr>
                <w:rFonts w:ascii="Cambria" w:hAnsi="Cambria" w:cs="Helvetica"/>
                <w:i/>
                <w:iCs/>
                <w:sz w:val="18"/>
                <w:szCs w:val="18"/>
              </w:rPr>
              <w:t xml:space="preserve">Dendrobenthamia japonica </w:t>
            </w:r>
            <w:r>
              <w:rPr>
                <w:rFonts w:ascii="Cambria" w:hAnsi="Cambria" w:cs="Helvetica"/>
                <w:sz w:val="18"/>
                <w:szCs w:val="18"/>
              </w:rPr>
              <w:t xml:space="preserve">var. </w:t>
            </w:r>
            <w:r>
              <w:rPr>
                <w:rFonts w:ascii="Cambria" w:hAnsi="Cambria" w:cs="Helvetica"/>
                <w:i/>
                <w:iCs/>
                <w:sz w:val="18"/>
                <w:szCs w:val="18"/>
              </w:rPr>
              <w:t>chinensis</w:t>
            </w:r>
            <w:r>
              <w:rPr>
                <w:rFonts w:ascii="Cambria" w:hAnsi="Cambria" w:cs="Helvetica"/>
                <w:sz w:val="18"/>
                <w:szCs w:val="18"/>
              </w:rPr>
              <w:t xml:space="preserve"> (Osborn) W. P. Fang</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Cornus kousa</w:t>
            </w:r>
            <w:r>
              <w:rPr>
                <w:rFonts w:ascii="Cambria" w:hAnsi="Cambria" w:cs="Helvetica"/>
                <w:sz w:val="18"/>
                <w:szCs w:val="18"/>
              </w:rPr>
              <w:t xml:space="preserve"> x </w:t>
            </w:r>
            <w:r>
              <w:rPr>
                <w:rFonts w:ascii="Cambria" w:hAnsi="Cambria" w:cs="Helvetica"/>
                <w:i/>
                <w:iCs/>
                <w:sz w:val="18"/>
                <w:szCs w:val="18"/>
              </w:rPr>
              <w:t>Cornus capitata</w:t>
            </w:r>
            <w:r>
              <w:rPr>
                <w:rFonts w:ascii="Cambria" w:hAnsi="Cambria" w:cs="Helvetica"/>
                <w:sz w:val="18"/>
                <w:szCs w:val="18"/>
              </w:rPr>
              <w:t xml:space="preserve"> [Cornaceae] – Norman haddon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et al. 2009;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Cornus</w:t>
            </w:r>
            <w:r>
              <w:rPr>
                <w:rFonts w:ascii="Cambria" w:hAnsi="Cambria" w:cs="Helvetica"/>
                <w:sz w:val="18"/>
                <w:szCs w:val="18"/>
              </w:rPr>
              <w:t xml:space="preserve"> L. species [Cornaceae] – Cornel, Dogwood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 ACT, NSW,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Cornus nuttallii</w:t>
            </w:r>
            <w:r>
              <w:rPr>
                <w:rFonts w:ascii="Cambria" w:hAnsi="Cambria" w:cs="Helvetica"/>
                <w:sz w:val="18"/>
                <w:szCs w:val="18"/>
              </w:rPr>
              <w:t xml:space="preserve"> Audubon [Cornaceae] - Mountain dogwood, Pacific dogwood, Western dogwood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Corylopsis spicata</w:t>
            </w:r>
            <w:r>
              <w:rPr>
                <w:rFonts w:ascii="Cambria" w:hAnsi="Cambria" w:cs="Helvetica"/>
                <w:sz w:val="18"/>
                <w:szCs w:val="18"/>
              </w:rPr>
              <w:t xml:space="preserve"> Siebold &amp; Zucc. [Hamamelidaceae] – Spike winter hazel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Corylus cornuta</w:t>
            </w:r>
            <w:r>
              <w:rPr>
                <w:rFonts w:ascii="Cambria" w:hAnsi="Cambria" w:cs="Helvetica"/>
                <w:sz w:val="18"/>
                <w:szCs w:val="18"/>
              </w:rPr>
              <w:t xml:space="preserve"> Marshall [Betulaceae] – California hazelnut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Corylus rostrata</w:t>
            </w:r>
            <w:r>
              <w:rPr>
                <w:rFonts w:ascii="Cambria" w:hAnsi="Cambria" w:cs="Helvetica"/>
                <w:sz w:val="18"/>
                <w:szCs w:val="18"/>
              </w:rPr>
              <w:t xml:space="preserve"> Aiton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Cotoneaster</w:t>
            </w:r>
            <w:r>
              <w:rPr>
                <w:rFonts w:ascii="Cambria" w:hAnsi="Cambria" w:cs="Helvetica"/>
                <w:sz w:val="18"/>
                <w:szCs w:val="18"/>
              </w:rPr>
              <w:t xml:space="preserve"> Medik. species [Rosaceae] (Note: </w:t>
            </w:r>
            <w:r>
              <w:rPr>
                <w:rFonts w:ascii="Cambria" w:hAnsi="Cambria" w:cs="Helvetica"/>
                <w:i/>
                <w:iCs/>
                <w:sz w:val="18"/>
                <w:szCs w:val="18"/>
              </w:rPr>
              <w:t>Cotoneaster horizontalis</w:t>
            </w:r>
            <w:r>
              <w:rPr>
                <w:rFonts w:ascii="Cambria" w:hAnsi="Cambria" w:cs="Helvetica"/>
                <w:sz w:val="18"/>
                <w:szCs w:val="18"/>
              </w:rPr>
              <w:t xml:space="preserve"> and </w:t>
            </w:r>
            <w:r>
              <w:rPr>
                <w:rFonts w:ascii="Cambria" w:hAnsi="Cambria" w:cs="Helvetica"/>
                <w:i/>
                <w:iCs/>
                <w:sz w:val="18"/>
                <w:szCs w:val="18"/>
              </w:rPr>
              <w:t>C</w:t>
            </w:r>
            <w:r>
              <w:rPr>
                <w:rFonts w:ascii="Cambria" w:hAnsi="Cambria" w:cs="Helvetica"/>
                <w:sz w:val="18"/>
                <w:szCs w:val="18"/>
              </w:rPr>
              <w:t xml:space="preserve">. </w:t>
            </w:r>
            <w:r>
              <w:rPr>
                <w:rFonts w:ascii="Cambria" w:hAnsi="Cambria" w:cs="Helvetica"/>
                <w:i/>
                <w:iCs/>
                <w:sz w:val="18"/>
                <w:szCs w:val="18"/>
              </w:rPr>
              <w:t xml:space="preserve">dammeri </w:t>
            </w:r>
            <w:r>
              <w:rPr>
                <w:rFonts w:ascii="Cambria" w:hAnsi="Cambria" w:cs="Helvetica"/>
                <w:iCs/>
                <w:sz w:val="18"/>
                <w:szCs w:val="18"/>
              </w:rPr>
              <w:t>are reported as experimental hosts only (</w:t>
            </w:r>
            <w:r>
              <w:rPr>
                <w:rStyle w:val="authorname3"/>
                <w:rFonts w:ascii="Cambria" w:hAnsi="Cambria" w:cs="Helvetica"/>
                <w:b w:val="0"/>
                <w:sz w:val="18"/>
                <w:szCs w:val="18"/>
              </w:rPr>
              <w:t>Bulajić et al. 2010)</w:t>
            </w:r>
            <w:r>
              <w:rPr>
                <w:rFonts w:ascii="Cambria" w:hAnsi="Cambria"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SA, ACT, VIC, TAS, Qld,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Cydonia oblonga</w:t>
            </w:r>
            <w:r>
              <w:rPr>
                <w:rFonts w:ascii="Cambria" w:hAnsi="Cambria" w:cs="Helvetica"/>
                <w:sz w:val="18"/>
                <w:szCs w:val="18"/>
              </w:rPr>
              <w:t xml:space="preserve"> Mill.</w:t>
            </w:r>
            <w:r>
              <w:rPr>
                <w:rFonts w:ascii="Cambria" w:hAnsi="Cambria" w:cs="Helvetica"/>
                <w:i/>
                <w:iCs/>
                <w:sz w:val="18"/>
                <w:szCs w:val="18"/>
              </w:rPr>
              <w:t xml:space="preserve"> </w:t>
            </w:r>
            <w:r>
              <w:rPr>
                <w:rFonts w:ascii="Cambria" w:hAnsi="Cambria" w:cs="Helvetica"/>
                <w:sz w:val="18"/>
                <w:szCs w:val="18"/>
              </w:rPr>
              <w:t>[Rosaceae] – Quince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Cydonia vulgaris</w:t>
            </w:r>
            <w:r>
              <w:rPr>
                <w:rFonts w:ascii="Cambria" w:hAnsi="Cambria" w:cs="Helvetica"/>
                <w:sz w:val="18"/>
                <w:szCs w:val="18"/>
              </w:rPr>
              <w:t xml:space="preserve"> Pers., </w:t>
            </w:r>
            <w:r>
              <w:rPr>
                <w:rFonts w:ascii="Cambria" w:hAnsi="Cambria" w:cs="Helvetica"/>
                <w:i/>
                <w:iCs/>
                <w:sz w:val="18"/>
                <w:szCs w:val="18"/>
              </w:rPr>
              <w:t>Pyrus cydonia</w:t>
            </w:r>
            <w:r>
              <w:rPr>
                <w:rFonts w:ascii="Cambria" w:hAnsi="Cambria" w:cs="Helvetica"/>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NSW, Qld, VIC, ACT,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Daphniphyllum glaucescens</w:t>
            </w:r>
            <w:r>
              <w:rPr>
                <w:rFonts w:ascii="Cambria" w:hAnsi="Cambria" w:cs="Helvetica"/>
                <w:sz w:val="18"/>
                <w:szCs w:val="18"/>
              </w:rPr>
              <w:t xml:space="preserve"> Blume [Daphniphyllaceae]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Distylium myricoides</w:t>
            </w:r>
            <w:r>
              <w:rPr>
                <w:rFonts w:ascii="Cambria" w:hAnsi="Cambria" w:cs="Helvetica"/>
                <w:sz w:val="18"/>
                <w:szCs w:val="18"/>
              </w:rPr>
              <w:t xml:space="preserve"> Hemsl. [Hamamelidaceae] – Myrtle-leafed distylium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bCs/>
                <w:i/>
                <w:sz w:val="18"/>
                <w:szCs w:val="18"/>
              </w:rPr>
            </w:pPr>
            <w:r>
              <w:rPr>
                <w:rFonts w:ascii="Cambria" w:hAnsi="Cambria" w:cs="Helvetica"/>
                <w:i/>
                <w:iCs/>
                <w:sz w:val="18"/>
                <w:szCs w:val="18"/>
              </w:rPr>
              <w:t>Drimys winteri</w:t>
            </w:r>
            <w:r>
              <w:rPr>
                <w:rFonts w:ascii="Cambria" w:hAnsi="Cambria" w:cs="Helvetica"/>
                <w:sz w:val="18"/>
                <w:szCs w:val="18"/>
              </w:rPr>
              <w:t xml:space="preserve"> JR Forst. &amp; G. Forst. [Winteraceae] – Winter’s bark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Drimys</w:t>
            </w:r>
            <w:r>
              <w:rPr>
                <w:rFonts w:ascii="Cambria" w:hAnsi="Cambria" w:cs="Helvetica"/>
                <w:sz w:val="18"/>
                <w:szCs w:val="18"/>
              </w:rPr>
              <w:t xml:space="preserve"> </w:t>
            </w:r>
            <w:r>
              <w:rPr>
                <w:rFonts w:ascii="Cambria" w:hAnsi="Cambria" w:cs="Helvetica"/>
                <w:i/>
                <w:iCs/>
                <w:sz w:val="18"/>
                <w:szCs w:val="18"/>
              </w:rPr>
              <w:t>chilensis</w:t>
            </w:r>
            <w:r>
              <w:rPr>
                <w:rFonts w:ascii="Cambria" w:hAnsi="Cambria" w:cs="Helvetica"/>
                <w:sz w:val="18"/>
                <w:szCs w:val="18"/>
              </w:rPr>
              <w:t xml:space="preserve"> DC., </w:t>
            </w:r>
            <w:r>
              <w:rPr>
                <w:rFonts w:ascii="Cambria" w:hAnsi="Cambria" w:cs="Helvetica"/>
                <w:i/>
                <w:iCs/>
                <w:sz w:val="18"/>
                <w:szCs w:val="18"/>
              </w:rPr>
              <w:t>Drimys winteri</w:t>
            </w:r>
            <w:r>
              <w:rPr>
                <w:rFonts w:ascii="Cambria" w:hAnsi="Cambria" w:cs="Helvetica"/>
                <w:sz w:val="18"/>
                <w:szCs w:val="18"/>
              </w:rPr>
              <w:t xml:space="preserve"> var. </w:t>
            </w:r>
            <w:r>
              <w:rPr>
                <w:rFonts w:ascii="Cambria" w:hAnsi="Cambria" w:cs="Helvetica"/>
                <w:i/>
                <w:iCs/>
                <w:sz w:val="18"/>
                <w:szCs w:val="18"/>
              </w:rPr>
              <w:t>chilensis</w:t>
            </w:r>
            <w:r>
              <w:rPr>
                <w:rFonts w:ascii="Cambria" w:hAnsi="Cambria" w:cs="Helvetica"/>
                <w:sz w:val="18"/>
                <w:szCs w:val="18"/>
              </w:rPr>
              <w:t xml:space="preserve"> (DC.) A. Gray </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Dryopteris arguta</w:t>
            </w:r>
            <w:r>
              <w:rPr>
                <w:rFonts w:ascii="Cambria" w:hAnsi="Cambria" w:cs="Helvetica"/>
                <w:sz w:val="18"/>
                <w:szCs w:val="18"/>
              </w:rPr>
              <w:t xml:space="preserve"> (Kaulf.) Maxon [Dryopteridiaceae] – Californian wood fern, Coastal woodfern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Eucalyptus haemastoma</w:t>
            </w:r>
            <w:r>
              <w:rPr>
                <w:rFonts w:ascii="Cambria" w:hAnsi="Cambria" w:cs="Helvetica"/>
                <w:sz w:val="18"/>
                <w:szCs w:val="18"/>
              </w:rPr>
              <w:t xml:space="preserve"> Sm. [Myrtaceae] – Scribbly gum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NSW, ACT,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Euonymus kiautschovicus</w:t>
            </w:r>
            <w:r>
              <w:rPr>
                <w:rFonts w:ascii="Cambria" w:hAnsi="Cambria" w:cs="Helvetica"/>
                <w:sz w:val="18"/>
                <w:szCs w:val="18"/>
              </w:rPr>
              <w:t xml:space="preserve"> Loes [Celastraceae] – Spreading euonymus, Creeping strawberry bush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Euonymus</w:t>
            </w:r>
            <w:r>
              <w:rPr>
                <w:rFonts w:ascii="Cambria" w:hAnsi="Cambria" w:cs="Helvetica"/>
                <w:sz w:val="18"/>
                <w:szCs w:val="18"/>
              </w:rPr>
              <w:t xml:space="preserve"> </w:t>
            </w:r>
            <w:r>
              <w:rPr>
                <w:rFonts w:ascii="Cambria" w:hAnsi="Cambria" w:cs="Helvetica"/>
                <w:i/>
                <w:iCs/>
                <w:sz w:val="18"/>
                <w:szCs w:val="18"/>
              </w:rPr>
              <w:t>patens</w:t>
            </w:r>
            <w:r>
              <w:rPr>
                <w:rFonts w:ascii="Cambria" w:hAnsi="Cambria" w:cs="Helvetica"/>
                <w:sz w:val="18"/>
                <w:szCs w:val="18"/>
              </w:rPr>
              <w:t xml:space="preserve"> Rehder</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Fagus sylvatica</w:t>
            </w:r>
            <w:r>
              <w:rPr>
                <w:rFonts w:ascii="Cambria" w:hAnsi="Cambria" w:cs="Helvetica"/>
                <w:sz w:val="18"/>
                <w:szCs w:val="18"/>
              </w:rPr>
              <w:t xml:space="preserve"> L. [Fagaceae] – Beech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Fagus moesiaca</w:t>
            </w:r>
            <w:r>
              <w:rPr>
                <w:rFonts w:ascii="Cambria" w:hAnsi="Cambria" w:cs="Helvetica"/>
                <w:sz w:val="18"/>
                <w:szCs w:val="18"/>
              </w:rPr>
              <w:t xml:space="preserve"> (K. Malý) Czeczott, </w:t>
            </w:r>
            <w:r>
              <w:rPr>
                <w:rFonts w:ascii="Cambria" w:hAnsi="Cambria" w:cs="Helvetica"/>
                <w:i/>
                <w:iCs/>
                <w:sz w:val="18"/>
                <w:szCs w:val="18"/>
              </w:rPr>
              <w:t>Fagus orientalis</w:t>
            </w:r>
            <w:r>
              <w:rPr>
                <w:rFonts w:ascii="Cambria" w:hAnsi="Cambria" w:cs="Helvetica"/>
                <w:sz w:val="18"/>
                <w:szCs w:val="18"/>
              </w:rPr>
              <w:t xml:space="preserve"> Lipsky, </w:t>
            </w:r>
            <w:r>
              <w:rPr>
                <w:rFonts w:ascii="Cambria" w:hAnsi="Cambria" w:cs="Helvetica"/>
                <w:i/>
                <w:iCs/>
                <w:sz w:val="18"/>
                <w:szCs w:val="18"/>
              </w:rPr>
              <w:t>Fagus sylvatica</w:t>
            </w:r>
            <w:r>
              <w:rPr>
                <w:rFonts w:ascii="Cambria" w:hAnsi="Cambria" w:cs="Helvetica"/>
                <w:sz w:val="18"/>
                <w:szCs w:val="18"/>
              </w:rPr>
              <w:t xml:space="preserve"> var. </w:t>
            </w:r>
            <w:r>
              <w:rPr>
                <w:rFonts w:ascii="Cambria" w:hAnsi="Cambria" w:cs="Helvetica"/>
                <w:i/>
                <w:iCs/>
                <w:sz w:val="18"/>
                <w:szCs w:val="18"/>
              </w:rPr>
              <w:t>moesiaca</w:t>
            </w:r>
            <w:r>
              <w:rPr>
                <w:rFonts w:ascii="Cambria" w:hAnsi="Cambria" w:cs="Helvetica"/>
                <w:sz w:val="18"/>
                <w:szCs w:val="18"/>
              </w:rPr>
              <w:t xml:space="preserve"> K. Malý</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SA, ACT, TAS,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Frangula californica</w:t>
            </w:r>
            <w:r>
              <w:rPr>
                <w:rFonts w:ascii="Cambria" w:hAnsi="Cambria" w:cs="Helvetica"/>
                <w:sz w:val="18"/>
                <w:szCs w:val="18"/>
              </w:rPr>
              <w:t xml:space="preserve"> (Eschsch.) A. Gray [Rhamnaceae] – Californian coffeeberry, California buckthorn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Rhamnus californica</w:t>
            </w:r>
            <w:r>
              <w:rPr>
                <w:rFonts w:ascii="Cambria" w:hAnsi="Cambria" w:cs="Helvetica"/>
                <w:sz w:val="18"/>
                <w:szCs w:val="18"/>
              </w:rPr>
              <w:t xml:space="preserve"> Eschsch, </w:t>
            </w:r>
            <w:r>
              <w:rPr>
                <w:rFonts w:ascii="Cambria" w:hAnsi="Cambria" w:cs="Helvetica"/>
                <w:i/>
                <w:iCs/>
                <w:sz w:val="18"/>
                <w:szCs w:val="18"/>
              </w:rPr>
              <w:t>Rhamnus californica</w:t>
            </w:r>
            <w:r>
              <w:rPr>
                <w:rFonts w:ascii="Cambria" w:hAnsi="Cambria" w:cs="Helvetica"/>
                <w:sz w:val="18"/>
                <w:szCs w:val="18"/>
              </w:rPr>
              <w:t xml:space="preserve"> subsp. </w:t>
            </w:r>
            <w:r>
              <w:rPr>
                <w:rFonts w:ascii="Cambria" w:hAnsi="Cambria" w:cs="Helvetica"/>
                <w:i/>
                <w:iCs/>
                <w:sz w:val="18"/>
                <w:szCs w:val="18"/>
              </w:rPr>
              <w:t>occidentalis</w:t>
            </w:r>
            <w:r>
              <w:rPr>
                <w:rFonts w:ascii="Cambria" w:hAnsi="Cambria" w:cs="Helvetica"/>
                <w:sz w:val="18"/>
                <w:szCs w:val="18"/>
              </w:rPr>
              <w:t xml:space="preserve"> (JT Howell ex Greene) CB Wolf, </w:t>
            </w:r>
            <w:r>
              <w:rPr>
                <w:rFonts w:ascii="Cambria" w:hAnsi="Cambria" w:cs="Helvetica"/>
                <w:i/>
                <w:iCs/>
                <w:sz w:val="18"/>
                <w:szCs w:val="18"/>
              </w:rPr>
              <w:t>Rhamnus</w:t>
            </w:r>
            <w:r>
              <w:rPr>
                <w:rFonts w:ascii="Cambria" w:hAnsi="Cambria" w:cs="Helvetica"/>
                <w:sz w:val="18"/>
                <w:szCs w:val="18"/>
              </w:rPr>
              <w:t xml:space="preserve"> </w:t>
            </w:r>
            <w:r>
              <w:rPr>
                <w:rFonts w:ascii="Cambria" w:hAnsi="Cambria" w:cs="Helvetica"/>
                <w:i/>
                <w:iCs/>
                <w:sz w:val="18"/>
                <w:szCs w:val="18"/>
              </w:rPr>
              <w:t>occidentalis</w:t>
            </w:r>
            <w:r>
              <w:rPr>
                <w:rFonts w:ascii="Cambria" w:hAnsi="Cambria" w:cs="Helvetica"/>
                <w:sz w:val="18"/>
                <w:szCs w:val="18"/>
              </w:rPr>
              <w:t xml:space="preserve"> JT Howell ex Greene, </w:t>
            </w:r>
            <w:r>
              <w:rPr>
                <w:rFonts w:ascii="Cambria" w:hAnsi="Cambria" w:cs="Helvetica"/>
                <w:i/>
                <w:iCs/>
                <w:sz w:val="18"/>
                <w:szCs w:val="18"/>
              </w:rPr>
              <w:t>Rhamnus tomentella</w:t>
            </w:r>
            <w:r>
              <w:rPr>
                <w:rFonts w:ascii="Cambria" w:hAnsi="Cambria" w:cs="Helvetica"/>
                <w:sz w:val="18"/>
                <w:szCs w:val="18"/>
              </w:rPr>
              <w:t xml:space="preserve"> Benth, </w:t>
            </w:r>
            <w:r>
              <w:rPr>
                <w:rFonts w:ascii="Cambria" w:hAnsi="Cambria" w:cs="Helvetica"/>
                <w:i/>
                <w:iCs/>
                <w:sz w:val="18"/>
                <w:szCs w:val="18"/>
              </w:rPr>
              <w:t>Frangula californica</w:t>
            </w:r>
            <w:r>
              <w:rPr>
                <w:rFonts w:ascii="Cambria" w:hAnsi="Cambria" w:cs="Helvetica"/>
                <w:sz w:val="18"/>
                <w:szCs w:val="18"/>
              </w:rPr>
              <w:t xml:space="preserve"> (Eschsch.) A. Gray subsp. </w:t>
            </w:r>
            <w:r>
              <w:rPr>
                <w:rFonts w:ascii="Cambria" w:hAnsi="Cambria" w:cs="Helvetica"/>
                <w:i/>
                <w:iCs/>
                <w:sz w:val="18"/>
                <w:szCs w:val="18"/>
              </w:rPr>
              <w:t>tomentella</w:t>
            </w:r>
            <w:r>
              <w:rPr>
                <w:rFonts w:ascii="Cambria" w:hAnsi="Cambria" w:cs="Helvetica"/>
                <w:sz w:val="18"/>
                <w:szCs w:val="18"/>
              </w:rPr>
              <w:t xml:space="preserve"> (Benth.) Kartesz &amp; Gandhi, </w:t>
            </w:r>
            <w:r>
              <w:rPr>
                <w:rFonts w:ascii="Cambria" w:hAnsi="Cambria" w:cs="Helvetica"/>
                <w:i/>
                <w:iCs/>
                <w:sz w:val="18"/>
                <w:szCs w:val="18"/>
              </w:rPr>
              <w:t>Frangula californica</w:t>
            </w:r>
            <w:r>
              <w:rPr>
                <w:rFonts w:ascii="Cambria" w:hAnsi="Cambria" w:cs="Helvetica"/>
                <w:sz w:val="18"/>
                <w:szCs w:val="18"/>
              </w:rPr>
              <w:t xml:space="preserve"> (Eschsch.) A. Gray subsp. </w:t>
            </w:r>
            <w:r>
              <w:rPr>
                <w:rFonts w:ascii="Cambria" w:hAnsi="Cambria" w:cs="Helvetica"/>
                <w:i/>
                <w:iCs/>
                <w:sz w:val="18"/>
                <w:szCs w:val="18"/>
              </w:rPr>
              <w:t>occidentalis</w:t>
            </w:r>
            <w:r>
              <w:rPr>
                <w:rFonts w:ascii="Cambria" w:hAnsi="Cambria" w:cs="Helvetica"/>
                <w:sz w:val="18"/>
                <w:szCs w:val="18"/>
              </w:rPr>
              <w:t xml:space="preserve"> (JT Howell ex Greene) Kartesz &amp; Gandhi</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Goheen </w:t>
            </w:r>
            <w:r>
              <w:rPr>
                <w:rFonts w:ascii="Cambria" w:hAnsi="Cambria" w:cs="Helvetica"/>
                <w:iCs/>
                <w:sz w:val="18"/>
                <w:szCs w:val="18"/>
              </w:rPr>
              <w:t>et al</w:t>
            </w:r>
            <w:r>
              <w:rPr>
                <w:rFonts w:ascii="Cambria" w:hAnsi="Cambria" w:cs="Helvetica"/>
                <w:sz w:val="18"/>
                <w:szCs w:val="18"/>
              </w:rPr>
              <w:t xml:space="preserve">. 2006a; Garbelotto </w:t>
            </w:r>
            <w:r>
              <w:rPr>
                <w:rFonts w:ascii="Cambria" w:hAnsi="Cambria" w:cs="Helvetica"/>
                <w:iCs/>
                <w:sz w:val="18"/>
                <w:szCs w:val="18"/>
              </w:rPr>
              <w:t>et al.</w:t>
            </w:r>
            <w:r>
              <w:rPr>
                <w:rFonts w:ascii="Cambria" w:hAnsi="Cambria" w:cs="Helvetica"/>
                <w:sz w:val="18"/>
                <w:szCs w:val="18"/>
              </w:rPr>
              <w:t xml:space="preserve"> 2003;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Frangula purshiana</w:t>
            </w:r>
            <w:r>
              <w:rPr>
                <w:rFonts w:ascii="Cambria" w:hAnsi="Cambria" w:cs="Helvetica"/>
                <w:sz w:val="18"/>
                <w:szCs w:val="18"/>
              </w:rPr>
              <w:t xml:space="preserve"> (DC) JG Cooper [Rhamnaceae] – Cascara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Rhamnus purshiana</w:t>
            </w:r>
            <w:r>
              <w:rPr>
                <w:rFonts w:ascii="Cambria" w:hAnsi="Cambria" w:cs="Helvetica"/>
                <w:sz w:val="18"/>
                <w:szCs w:val="18"/>
              </w:rPr>
              <w:t xml:space="preserve"> DC.</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color w:val="000000"/>
                <w:sz w:val="18"/>
                <w:szCs w:val="18"/>
              </w:rPr>
              <w:t xml:space="preserve">Kliejunas 2003; </w:t>
            </w:r>
            <w:r>
              <w:rPr>
                <w:rFonts w:ascii="Cambria" w:hAnsi="Cambria" w:cs="Helvetica"/>
                <w:sz w:val="18"/>
                <w:szCs w:val="18"/>
              </w:rPr>
              <w:t xml:space="preserve">Vettraino </w:t>
            </w:r>
            <w:r>
              <w:rPr>
                <w:rFonts w:ascii="Cambria" w:hAnsi="Cambria" w:cs="Helvetica"/>
                <w:iCs/>
                <w:sz w:val="18"/>
                <w:szCs w:val="18"/>
              </w:rPr>
              <w:t>et al.</w:t>
            </w:r>
            <w:r>
              <w:rPr>
                <w:rFonts w:ascii="Cambria" w:hAnsi="Cambria" w:cs="Helvetica"/>
                <w:sz w:val="18"/>
                <w:szCs w:val="18"/>
              </w:rPr>
              <w:t xml:space="preserve"> 2006b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Fraxinus excelsior</w:t>
            </w:r>
            <w:r>
              <w:rPr>
                <w:rFonts w:ascii="Cambria" w:hAnsi="Cambria" w:cs="Helvetica"/>
                <w:sz w:val="18"/>
                <w:szCs w:val="18"/>
              </w:rPr>
              <w:t xml:space="preserve"> L. [Oleaceae] – Ash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Fraxinus excelsior </w:t>
            </w:r>
            <w:r>
              <w:rPr>
                <w:rFonts w:ascii="Cambria" w:hAnsi="Cambria" w:cs="Helvetica"/>
                <w:sz w:val="18"/>
                <w:szCs w:val="18"/>
              </w:rPr>
              <w:t xml:space="preserve">f. </w:t>
            </w:r>
            <w:r>
              <w:rPr>
                <w:rFonts w:ascii="Cambria" w:hAnsi="Cambria" w:cs="Helvetica"/>
                <w:i/>
                <w:sz w:val="18"/>
                <w:szCs w:val="18"/>
              </w:rPr>
              <w:t xml:space="preserve">aurea </w:t>
            </w:r>
            <w:r>
              <w:rPr>
                <w:rFonts w:ascii="Cambria" w:hAnsi="Cambria" w:cs="Helvetica"/>
                <w:sz w:val="18"/>
                <w:szCs w:val="18"/>
              </w:rPr>
              <w:t xml:space="preserve">(Pers.) Schelle, </w:t>
            </w:r>
            <w:r>
              <w:rPr>
                <w:rFonts w:ascii="Cambria" w:hAnsi="Cambria" w:cs="Helvetica"/>
                <w:i/>
                <w:iCs/>
                <w:sz w:val="18"/>
                <w:szCs w:val="18"/>
              </w:rPr>
              <w:t>Fraxinus excelsior</w:t>
            </w:r>
            <w:r>
              <w:rPr>
                <w:rFonts w:ascii="Cambria" w:hAnsi="Cambria" w:cs="Helvetica"/>
                <w:sz w:val="18"/>
                <w:szCs w:val="18"/>
              </w:rPr>
              <w:t xml:space="preserve"> var. </w:t>
            </w:r>
            <w:r>
              <w:rPr>
                <w:rFonts w:ascii="Cambria" w:hAnsi="Cambria" w:cs="Helvetica"/>
                <w:i/>
                <w:iCs/>
                <w:sz w:val="18"/>
                <w:szCs w:val="18"/>
              </w:rPr>
              <w:t>aurea</w:t>
            </w:r>
            <w:r>
              <w:rPr>
                <w:rFonts w:ascii="Cambria" w:hAnsi="Cambria" w:cs="Helvetica"/>
                <w:sz w:val="18"/>
                <w:szCs w:val="18"/>
              </w:rPr>
              <w:t xml:space="preserve"> Pers., </w:t>
            </w:r>
            <w:r>
              <w:rPr>
                <w:rFonts w:ascii="Cambria" w:hAnsi="Cambria" w:cs="Helvetica"/>
                <w:i/>
                <w:iCs/>
                <w:sz w:val="18"/>
                <w:szCs w:val="18"/>
              </w:rPr>
              <w:t>Fraxinus excelsior</w:t>
            </w:r>
            <w:r>
              <w:rPr>
                <w:rFonts w:ascii="Cambria" w:hAnsi="Cambria" w:cs="Helvetica"/>
                <w:sz w:val="18"/>
                <w:szCs w:val="18"/>
              </w:rPr>
              <w:t xml:space="preserve"> f. </w:t>
            </w:r>
            <w:r>
              <w:rPr>
                <w:rFonts w:ascii="Cambria" w:hAnsi="Cambria" w:cs="Helvetica"/>
                <w:i/>
                <w:iCs/>
                <w:sz w:val="18"/>
                <w:szCs w:val="18"/>
              </w:rPr>
              <w:t>aureopendula</w:t>
            </w:r>
            <w:r>
              <w:rPr>
                <w:rFonts w:ascii="Cambria" w:hAnsi="Cambria" w:cs="Helvetica"/>
                <w:sz w:val="18"/>
                <w:szCs w:val="18"/>
              </w:rPr>
              <w:t xml:space="preserve"> Rehder </w:t>
            </w:r>
            <w:r>
              <w:rPr>
                <w:rFonts w:ascii="Cambria" w:hAnsi="Cambria" w:cs="Helvetica"/>
                <w:i/>
                <w:iCs/>
                <w:sz w:val="18"/>
                <w:szCs w:val="18"/>
              </w:rPr>
              <w:t>Fraxinus</w:t>
            </w:r>
            <w:r>
              <w:rPr>
                <w:rFonts w:ascii="Cambria" w:hAnsi="Cambria" w:cs="Helvetica"/>
                <w:sz w:val="18"/>
                <w:szCs w:val="18"/>
              </w:rPr>
              <w:t xml:space="preserve"> </w:t>
            </w:r>
            <w:r>
              <w:rPr>
                <w:rFonts w:ascii="Cambria" w:hAnsi="Cambria" w:cs="Helvetica"/>
                <w:i/>
                <w:sz w:val="18"/>
                <w:szCs w:val="18"/>
              </w:rPr>
              <w:t>excelsior</w:t>
            </w:r>
            <w:r>
              <w:rPr>
                <w:rFonts w:ascii="Cambria" w:hAnsi="Cambria" w:cs="Helvetica"/>
                <w:sz w:val="18"/>
                <w:szCs w:val="18"/>
              </w:rPr>
              <w:t xml:space="preserve"> f. </w:t>
            </w:r>
            <w:r>
              <w:rPr>
                <w:rFonts w:ascii="Cambria" w:hAnsi="Cambria" w:cs="Helvetica"/>
                <w:i/>
                <w:iCs/>
                <w:sz w:val="18"/>
                <w:szCs w:val="18"/>
              </w:rPr>
              <w:t>diversifolia</w:t>
            </w:r>
            <w:r>
              <w:rPr>
                <w:rFonts w:ascii="Cambria" w:hAnsi="Cambria" w:cs="Helvetica"/>
                <w:sz w:val="18"/>
                <w:szCs w:val="18"/>
              </w:rPr>
              <w:t xml:space="preserve"> (Aiton) Lingelsh., </w:t>
            </w:r>
            <w:r>
              <w:rPr>
                <w:rFonts w:ascii="Cambria" w:hAnsi="Cambria" w:cs="Helvetica"/>
                <w:i/>
                <w:iCs/>
                <w:sz w:val="18"/>
                <w:szCs w:val="18"/>
              </w:rPr>
              <w:lastRenderedPageBreak/>
              <w:t>Fraxinus excelsior</w:t>
            </w:r>
            <w:r>
              <w:rPr>
                <w:rFonts w:ascii="Cambria" w:hAnsi="Cambria" w:cs="Helvetica"/>
                <w:sz w:val="18"/>
                <w:szCs w:val="18"/>
              </w:rPr>
              <w:t xml:space="preserve"> var. </w:t>
            </w:r>
            <w:r>
              <w:rPr>
                <w:rFonts w:ascii="Cambria" w:hAnsi="Cambria" w:cs="Helvetica"/>
                <w:i/>
                <w:iCs/>
                <w:sz w:val="18"/>
                <w:szCs w:val="18"/>
              </w:rPr>
              <w:t>diversifolia</w:t>
            </w:r>
            <w:r>
              <w:rPr>
                <w:rFonts w:ascii="Cambria" w:hAnsi="Cambria" w:cs="Helvetica"/>
                <w:sz w:val="18"/>
                <w:szCs w:val="18"/>
              </w:rPr>
              <w:t xml:space="preserve"> Aiton, </w:t>
            </w:r>
            <w:r>
              <w:rPr>
                <w:rFonts w:ascii="Cambria" w:hAnsi="Cambria" w:cs="Helvetica"/>
                <w:i/>
                <w:iCs/>
                <w:sz w:val="18"/>
                <w:szCs w:val="18"/>
              </w:rPr>
              <w:t>Fraxinus excelsior</w:t>
            </w:r>
            <w:r>
              <w:rPr>
                <w:rFonts w:ascii="Cambria" w:hAnsi="Cambria" w:cs="Helvetica"/>
                <w:sz w:val="18"/>
                <w:szCs w:val="18"/>
              </w:rPr>
              <w:t xml:space="preserve"> f. </w:t>
            </w:r>
            <w:r>
              <w:rPr>
                <w:rFonts w:ascii="Cambria" w:hAnsi="Cambria" w:cs="Helvetica"/>
                <w:i/>
                <w:iCs/>
                <w:sz w:val="18"/>
                <w:szCs w:val="18"/>
              </w:rPr>
              <w:t>pendula</w:t>
            </w:r>
            <w:r>
              <w:rPr>
                <w:rFonts w:ascii="Cambria" w:hAnsi="Cambria" w:cs="Helvetica"/>
                <w:sz w:val="18"/>
                <w:szCs w:val="18"/>
              </w:rPr>
              <w:t xml:space="preserve"> (Aiton) Schelle, </w:t>
            </w:r>
            <w:r>
              <w:rPr>
                <w:rFonts w:ascii="Cambria" w:hAnsi="Cambria" w:cs="Helvetica"/>
                <w:i/>
                <w:iCs/>
                <w:sz w:val="18"/>
                <w:szCs w:val="18"/>
              </w:rPr>
              <w:t>Fraxinus excelsior</w:t>
            </w:r>
            <w:r>
              <w:rPr>
                <w:rFonts w:ascii="Cambria" w:hAnsi="Cambria" w:cs="Helvetica"/>
                <w:sz w:val="18"/>
                <w:szCs w:val="18"/>
              </w:rPr>
              <w:t xml:space="preserve"> var. </w:t>
            </w:r>
            <w:r>
              <w:rPr>
                <w:rFonts w:ascii="Cambria" w:hAnsi="Cambria" w:cs="Helvetica"/>
                <w:i/>
                <w:sz w:val="18"/>
                <w:szCs w:val="18"/>
              </w:rPr>
              <w:t>pendula</w:t>
            </w:r>
            <w:r>
              <w:rPr>
                <w:rFonts w:ascii="Cambria" w:hAnsi="Cambria" w:cs="Helvetica"/>
                <w:sz w:val="18"/>
                <w:szCs w:val="18"/>
              </w:rPr>
              <w:t xml:space="preserve"> Aiton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lastRenderedPageBreak/>
              <w:t xml:space="preserve">Cave </w:t>
            </w:r>
            <w:r>
              <w:rPr>
                <w:rFonts w:ascii="Cambria" w:hAnsi="Cambria" w:cs="Helvetica"/>
                <w:iCs/>
                <w:sz w:val="18"/>
                <w:szCs w:val="18"/>
              </w:rPr>
              <w:t>et al.</w:t>
            </w:r>
            <w:r>
              <w:rPr>
                <w:rFonts w:ascii="Cambria" w:hAnsi="Cambria" w:cs="Helvetica"/>
                <w:sz w:val="18"/>
                <w:szCs w:val="18"/>
              </w:rPr>
              <w:t xml:space="preserve"> 2008; Sansford </w:t>
            </w:r>
            <w:r>
              <w:rPr>
                <w:rFonts w:ascii="Cambria" w:hAnsi="Cambria" w:cs="Helvetica"/>
                <w:iCs/>
                <w:sz w:val="18"/>
                <w:szCs w:val="18"/>
              </w:rPr>
              <w:t>et al.</w:t>
            </w:r>
            <w:r>
              <w:rPr>
                <w:rFonts w:ascii="Cambria" w:hAnsi="Cambria" w:cs="Helvetica"/>
                <w:sz w:val="18"/>
                <w:szCs w:val="18"/>
              </w:rPr>
              <w:t xml:space="preserve">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VIC, TAS, NSW, Qld</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Fraxinus latifolia</w:t>
            </w:r>
            <w:r>
              <w:rPr>
                <w:rFonts w:ascii="Cambria" w:hAnsi="Cambria" w:cs="Helvetica"/>
                <w:sz w:val="18"/>
                <w:szCs w:val="18"/>
              </w:rPr>
              <w:t xml:space="preserve"> Benth. [Oleaceae] – Oregon ash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Fraxinus oregona</w:t>
            </w:r>
            <w:r>
              <w:rPr>
                <w:rFonts w:ascii="Cambria" w:hAnsi="Cambria" w:cs="Helvetica"/>
                <w:sz w:val="18"/>
                <w:szCs w:val="18"/>
              </w:rPr>
              <w:t xml:space="preserve"> Nutt., </w:t>
            </w:r>
            <w:r>
              <w:rPr>
                <w:rFonts w:ascii="Cambria" w:hAnsi="Cambria" w:cs="Helvetica"/>
                <w:i/>
                <w:iCs/>
                <w:sz w:val="18"/>
                <w:szCs w:val="18"/>
              </w:rPr>
              <w:t>Fraxinus pennsylvanica</w:t>
            </w:r>
            <w:r>
              <w:rPr>
                <w:rFonts w:ascii="Cambria" w:hAnsi="Cambria" w:cs="Helvetica"/>
                <w:sz w:val="18"/>
                <w:szCs w:val="18"/>
              </w:rPr>
              <w:t xml:space="preserve"> subsp. </w:t>
            </w:r>
            <w:r>
              <w:rPr>
                <w:rFonts w:ascii="Cambria" w:hAnsi="Cambria" w:cs="Helvetica"/>
                <w:i/>
                <w:iCs/>
                <w:sz w:val="18"/>
                <w:szCs w:val="18"/>
              </w:rPr>
              <w:t>oregona</w:t>
            </w:r>
            <w:r>
              <w:rPr>
                <w:rFonts w:ascii="Cambria" w:hAnsi="Cambria" w:cs="Helvetica"/>
                <w:sz w:val="18"/>
                <w:szCs w:val="18"/>
              </w:rPr>
              <w:t xml:space="preserve"> (Nutt.) G. N. Mill.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Garrya elliptica</w:t>
            </w:r>
            <w:r>
              <w:rPr>
                <w:rFonts w:ascii="Cambria" w:hAnsi="Cambria" w:cs="Helvetica"/>
                <w:sz w:val="18"/>
                <w:szCs w:val="18"/>
              </w:rPr>
              <w:t xml:space="preserve"> Douglas ex Lindl. [Garryaceae] – Silk tassel bush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ACT, SA, NSW,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Gaultheria procumbens</w:t>
            </w:r>
            <w:r>
              <w:rPr>
                <w:rFonts w:ascii="Cambria" w:hAnsi="Cambria" w:cs="Helvetica"/>
                <w:sz w:val="18"/>
                <w:szCs w:val="18"/>
              </w:rPr>
              <w:t xml:space="preserve"> L. [Ericaceae] – Wintergreen, Checkerberry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Gaultheria shallon</w:t>
            </w:r>
            <w:r>
              <w:rPr>
                <w:rFonts w:ascii="Cambria" w:hAnsi="Cambria" w:cs="Helvetica"/>
                <w:sz w:val="18"/>
                <w:szCs w:val="18"/>
              </w:rPr>
              <w:t xml:space="preserve"> Pursh [Ericaceae] – Salal, Oregon wintergreen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Gevuina avellana </w:t>
            </w:r>
            <w:r>
              <w:rPr>
                <w:rFonts w:ascii="Cambria" w:hAnsi="Cambria" w:cs="Helvetica"/>
                <w:iCs/>
                <w:sz w:val="18"/>
                <w:szCs w:val="18"/>
              </w:rPr>
              <w:t>Molina</w:t>
            </w:r>
            <w:r>
              <w:rPr>
                <w:rFonts w:ascii="Cambria" w:hAnsi="Cambria" w:cs="Helvetica"/>
                <w:i/>
                <w:iCs/>
                <w:sz w:val="18"/>
                <w:szCs w:val="18"/>
              </w:rPr>
              <w:t xml:space="preserve"> </w:t>
            </w:r>
            <w:r>
              <w:rPr>
                <w:rFonts w:ascii="Cambria" w:hAnsi="Cambria" w:cs="Helvetica"/>
                <w:iCs/>
                <w:sz w:val="18"/>
                <w:szCs w:val="18"/>
              </w:rPr>
              <w:t xml:space="preserve">[Proteaceae] – Chilean wildnut, Avellana (Note: Only reported as a host of </w:t>
            </w:r>
            <w:r>
              <w:rPr>
                <w:rFonts w:ascii="Cambria" w:hAnsi="Cambria" w:cs="Helvetica"/>
                <w:i/>
                <w:iCs/>
                <w:sz w:val="18"/>
                <w:szCs w:val="18"/>
              </w:rPr>
              <w:t>Phytophthora kernoviae</w:t>
            </w:r>
            <w:r>
              <w:rPr>
                <w:rFonts w:ascii="Cambria" w:hAnsi="Cambria" w:cs="Helvetica"/>
                <w:iCs/>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sz w:val="18"/>
                <w:szCs w:val="18"/>
              </w:rPr>
            </w:pPr>
            <w:r>
              <w:rPr>
                <w:rFonts w:ascii="Cambria" w:hAnsi="Cambria" w:cs="Helvetica"/>
                <w:sz w:val="18"/>
                <w:szCs w:val="18"/>
              </w:rPr>
              <w:t>Hughes et al. 2005</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Cs/>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Griselinia littoralis</w:t>
            </w:r>
            <w:r>
              <w:rPr>
                <w:rFonts w:ascii="Cambria" w:hAnsi="Cambria" w:cs="Helvetica"/>
                <w:sz w:val="18"/>
                <w:szCs w:val="18"/>
              </w:rPr>
              <w:t xml:space="preserve"> (Raoul) Raoul [Cornaceae]– New Zealand privet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Pukateria littoralis</w:t>
            </w:r>
            <w:r>
              <w:rPr>
                <w:rFonts w:ascii="Cambria" w:hAnsi="Cambria" w:cs="Helvetica"/>
                <w:sz w:val="18"/>
                <w:szCs w:val="18"/>
              </w:rPr>
              <w:t xml:space="preserve"> Raoul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Giltrap et al. 2007;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TAS, NSW,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Hamamelis</w:t>
            </w:r>
            <w:r>
              <w:rPr>
                <w:rFonts w:ascii="Cambria" w:hAnsi="Cambria" w:cs="Helvetica"/>
                <w:sz w:val="18"/>
                <w:szCs w:val="18"/>
              </w:rPr>
              <w:t xml:space="preserve"> × </w:t>
            </w:r>
            <w:r>
              <w:rPr>
                <w:rFonts w:ascii="Cambria" w:hAnsi="Cambria" w:cs="Helvetica"/>
                <w:i/>
                <w:iCs/>
                <w:sz w:val="18"/>
                <w:szCs w:val="18"/>
              </w:rPr>
              <w:t>intermedia</w:t>
            </w:r>
            <w:r>
              <w:rPr>
                <w:rFonts w:ascii="Cambria" w:hAnsi="Cambria" w:cs="Helvetica"/>
                <w:sz w:val="18"/>
                <w:szCs w:val="18"/>
              </w:rPr>
              <w:t xml:space="preserve"> Rehder [Hamamelidaceae] (</w:t>
            </w:r>
            <w:r>
              <w:rPr>
                <w:rFonts w:ascii="Cambria" w:hAnsi="Cambria" w:cs="Helvetica"/>
                <w:i/>
                <w:iCs/>
                <w:sz w:val="18"/>
                <w:szCs w:val="18"/>
              </w:rPr>
              <w:t xml:space="preserve">H. mollis </w:t>
            </w:r>
            <w:r>
              <w:rPr>
                <w:rFonts w:ascii="Cambria" w:hAnsi="Cambria" w:cs="Helvetica"/>
                <w:sz w:val="18"/>
                <w:szCs w:val="18"/>
              </w:rPr>
              <w:t xml:space="preserve">x </w:t>
            </w:r>
            <w:r>
              <w:rPr>
                <w:rFonts w:ascii="Cambria" w:hAnsi="Cambria" w:cs="Helvetica"/>
                <w:i/>
                <w:iCs/>
                <w:sz w:val="18"/>
                <w:szCs w:val="18"/>
              </w:rPr>
              <w:t>H. japonica</w:t>
            </w:r>
            <w:r>
              <w:rPr>
                <w:rFonts w:ascii="Cambria" w:hAnsi="Cambria" w:cs="Helvetica"/>
                <w:sz w:val="18"/>
                <w:szCs w:val="18"/>
              </w:rPr>
              <w:t>) – Hybrid witch hazel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Hamamelis mollis</w:t>
            </w:r>
            <w:r>
              <w:rPr>
                <w:rFonts w:ascii="Cambria" w:hAnsi="Cambria" w:cs="Helvetica"/>
                <w:sz w:val="18"/>
                <w:szCs w:val="18"/>
              </w:rPr>
              <w:t xml:space="preserve"> Oliv.[Hamamelidaceae] – Chinese witch hazel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Hamamelis virginiana</w:t>
            </w:r>
            <w:r>
              <w:rPr>
                <w:rFonts w:ascii="Cambria" w:hAnsi="Cambria" w:cs="Helvetica"/>
                <w:sz w:val="18"/>
                <w:szCs w:val="18"/>
              </w:rPr>
              <w:t xml:space="preserve"> L. [Hamamelidaceae]– Virginian witch hazel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Hamamelis macrophylla</w:t>
            </w:r>
            <w:r>
              <w:rPr>
                <w:rFonts w:ascii="Cambria" w:hAnsi="Cambria" w:cs="Helvetica"/>
                <w:sz w:val="18"/>
                <w:szCs w:val="18"/>
              </w:rPr>
              <w:t xml:space="preserve"> Pursh, </w:t>
            </w:r>
            <w:r>
              <w:rPr>
                <w:rFonts w:ascii="Cambria" w:hAnsi="Cambria" w:cs="Helvetica"/>
                <w:i/>
                <w:iCs/>
                <w:sz w:val="18"/>
                <w:szCs w:val="18"/>
              </w:rPr>
              <w:t>Hamamelis mexicana</w:t>
            </w:r>
            <w:r>
              <w:rPr>
                <w:rFonts w:ascii="Cambria" w:hAnsi="Cambria" w:cs="Helvetica"/>
                <w:sz w:val="18"/>
                <w:szCs w:val="18"/>
              </w:rPr>
              <w:t xml:space="preserve"> Standl.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Giltrap </w:t>
            </w:r>
            <w:r>
              <w:rPr>
                <w:rFonts w:ascii="Cambria" w:hAnsi="Cambria" w:cs="Helvetica"/>
                <w:iCs/>
                <w:sz w:val="18"/>
                <w:szCs w:val="18"/>
              </w:rPr>
              <w:t>et al.</w:t>
            </w:r>
            <w:r>
              <w:rPr>
                <w:rFonts w:ascii="Cambria" w:hAnsi="Cambria" w:cs="Helvetica"/>
                <w:sz w:val="18"/>
                <w:szCs w:val="18"/>
              </w:rPr>
              <w:t xml:space="preserve">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Heteromeles arbutifolia</w:t>
            </w:r>
            <w:r>
              <w:rPr>
                <w:rFonts w:ascii="Cambria" w:hAnsi="Cambria" w:cs="Helvetica"/>
                <w:sz w:val="18"/>
                <w:szCs w:val="18"/>
              </w:rPr>
              <w:t xml:space="preserve"> (Lindl.) M. Roem. [Rosaceae]– California holly, Toyon, Christmasberry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iCs/>
                <w:sz w:val="18"/>
                <w:szCs w:val="18"/>
              </w:rPr>
              <w:t>Heteromeles salicifolia</w:t>
            </w:r>
            <w:r>
              <w:rPr>
                <w:rFonts w:ascii="Cambria" w:hAnsi="Cambria" w:cs="Helvetica"/>
                <w:sz w:val="18"/>
                <w:szCs w:val="18"/>
              </w:rPr>
              <w:t xml:space="preserve"> (C. Presl) Abrams, </w:t>
            </w:r>
            <w:r>
              <w:rPr>
                <w:rFonts w:ascii="Cambria" w:hAnsi="Cambria" w:cs="Helvetica"/>
                <w:i/>
                <w:iCs/>
                <w:sz w:val="18"/>
                <w:szCs w:val="18"/>
              </w:rPr>
              <w:t>Photinia arbutifolia</w:t>
            </w:r>
            <w:r>
              <w:rPr>
                <w:rFonts w:ascii="Cambria" w:hAnsi="Cambria" w:cs="Helvetica"/>
                <w:sz w:val="18"/>
                <w:szCs w:val="18"/>
              </w:rPr>
              <w:t xml:space="preserve"> Lindl., </w:t>
            </w:r>
            <w:r>
              <w:rPr>
                <w:rFonts w:ascii="Cambria" w:hAnsi="Cambria" w:cs="Helvetica"/>
                <w:i/>
                <w:iCs/>
                <w:sz w:val="18"/>
                <w:szCs w:val="18"/>
              </w:rPr>
              <w:t>Photinia salicifolia</w:t>
            </w:r>
            <w:r>
              <w:rPr>
                <w:rFonts w:ascii="Cambria" w:hAnsi="Cambria" w:cs="Helvetica"/>
                <w:sz w:val="18"/>
                <w:szCs w:val="18"/>
              </w:rPr>
              <w:t xml:space="preserve"> C. Presl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Garbelotto </w:t>
            </w:r>
            <w:r>
              <w:rPr>
                <w:rFonts w:ascii="Cambria" w:hAnsi="Cambria" w:cs="Helvetica"/>
                <w:iCs/>
                <w:sz w:val="18"/>
                <w:szCs w:val="18"/>
              </w:rPr>
              <w:t>et al</w:t>
            </w:r>
            <w:r>
              <w:rPr>
                <w:rFonts w:ascii="Cambria" w:hAnsi="Cambria" w:cs="Helvetica"/>
                <w:sz w:val="18"/>
                <w:szCs w:val="18"/>
              </w:rPr>
              <w:t xml:space="preserve">. 2003; </w:t>
            </w:r>
            <w:r>
              <w:rPr>
                <w:rFonts w:ascii="Cambria" w:hAnsi="Cambria" w:cs="Helvetica"/>
                <w:color w:val="000000"/>
                <w:sz w:val="18"/>
                <w:szCs w:val="18"/>
              </w:rPr>
              <w:t>Kliejunas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Hydrangea seemannii</w:t>
            </w:r>
            <w:r>
              <w:rPr>
                <w:rFonts w:ascii="Cambria" w:hAnsi="Cambria" w:cs="Helvetica"/>
                <w:sz w:val="18"/>
                <w:szCs w:val="18"/>
              </w:rPr>
              <w:t xml:space="preserve"> L. Riley [Hydrangeaceae] – Hydrangea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Ilex aquifolium</w:t>
            </w:r>
            <w:r>
              <w:rPr>
                <w:rFonts w:ascii="Cambria" w:hAnsi="Cambria" w:cs="Helvetica"/>
                <w:sz w:val="18"/>
                <w:szCs w:val="18"/>
              </w:rPr>
              <w:t xml:space="preserve"> L [Aquifoliaceae] – European holly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SA, NSW, TAS, VIC, 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Ilex latifolia</w:t>
            </w:r>
            <w:r>
              <w:rPr>
                <w:rFonts w:ascii="Cambria" w:hAnsi="Cambria" w:cs="Helvetica"/>
                <w:sz w:val="18"/>
                <w:szCs w:val="18"/>
              </w:rPr>
              <w:t xml:space="preserve"> Thunb. [Aquifoliaceae]– Tarajo holly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Ilex macrophylla</w:t>
            </w:r>
            <w:r>
              <w:rPr>
                <w:rFonts w:ascii="Cambria" w:hAnsi="Cambria" w:cs="Helvetica"/>
                <w:sz w:val="18"/>
                <w:szCs w:val="18"/>
              </w:rPr>
              <w:t xml:space="preserve"> Blume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Ilex purpurea</w:t>
            </w:r>
            <w:r>
              <w:rPr>
                <w:rFonts w:ascii="Cambria" w:hAnsi="Cambria" w:cs="Helvetica"/>
                <w:sz w:val="18"/>
                <w:szCs w:val="18"/>
              </w:rPr>
              <w:t xml:space="preserve"> Hassk [Aquifoliaceae] – Oriental holly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Ilex oldhamii </w:t>
            </w:r>
            <w:r>
              <w:rPr>
                <w:rFonts w:ascii="Cambria" w:hAnsi="Cambria" w:cs="Helvetica"/>
                <w:sz w:val="18"/>
                <w:szCs w:val="18"/>
              </w:rPr>
              <w:t xml:space="preserve">Miq., </w:t>
            </w:r>
            <w:r>
              <w:rPr>
                <w:rFonts w:ascii="Cambria" w:hAnsi="Cambria" w:cs="Helvetica"/>
                <w:i/>
                <w:iCs/>
                <w:sz w:val="18"/>
                <w:szCs w:val="18"/>
              </w:rPr>
              <w:t xml:space="preserve">Ilex purpurea </w:t>
            </w:r>
            <w:r>
              <w:rPr>
                <w:rFonts w:ascii="Cambria" w:hAnsi="Cambria" w:cs="Helvetica"/>
                <w:sz w:val="18"/>
                <w:szCs w:val="18"/>
              </w:rPr>
              <w:t xml:space="preserve">var. </w:t>
            </w:r>
            <w:r>
              <w:rPr>
                <w:rFonts w:ascii="Cambria" w:hAnsi="Cambria" w:cs="Helvetica"/>
                <w:i/>
                <w:iCs/>
                <w:sz w:val="18"/>
                <w:szCs w:val="18"/>
              </w:rPr>
              <w:t>oldhamii</w:t>
            </w:r>
            <w:r>
              <w:rPr>
                <w:rFonts w:ascii="Cambria" w:hAnsi="Cambria" w:cs="Helvetica"/>
                <w:sz w:val="18"/>
                <w:szCs w:val="18"/>
              </w:rPr>
              <w:t xml:space="preserve"> (Miq.) Loes.</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Illicium parviflorum</w:t>
            </w:r>
            <w:r>
              <w:rPr>
                <w:rFonts w:ascii="Cambria" w:hAnsi="Cambria" w:cs="Helvetica"/>
                <w:sz w:val="18"/>
                <w:szCs w:val="18"/>
              </w:rPr>
              <w:t xml:space="preserve"> Michx. ex Vent</w:t>
            </w:r>
            <w:r>
              <w:rPr>
                <w:rFonts w:ascii="Cambria" w:hAnsi="Cambria" w:cs="Helvetica"/>
                <w:i/>
                <w:iCs/>
                <w:sz w:val="18"/>
                <w:szCs w:val="18"/>
              </w:rPr>
              <w:t xml:space="preserve">. </w:t>
            </w:r>
            <w:r>
              <w:rPr>
                <w:rFonts w:ascii="Cambria" w:hAnsi="Cambria" w:cs="Helvetica"/>
                <w:sz w:val="18"/>
                <w:szCs w:val="18"/>
              </w:rPr>
              <w:t>[Schisandraceae] – Swamp star anise, Yellow anise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highlight w:val="lightGray"/>
              </w:rPr>
            </w:pPr>
            <w:r>
              <w:rPr>
                <w:rFonts w:ascii="Cambria" w:hAnsi="Cambria" w:cs="Helvetica"/>
                <w:i/>
                <w:iCs/>
                <w:sz w:val="18"/>
                <w:szCs w:val="18"/>
              </w:rPr>
              <w:t>Badianifera parviflora</w:t>
            </w:r>
            <w:r>
              <w:rPr>
                <w:rFonts w:ascii="Cambria" w:hAnsi="Cambria" w:cs="Helvetica"/>
                <w:sz w:val="18"/>
                <w:szCs w:val="18"/>
              </w:rPr>
              <w:t xml:space="preserve"> (Michx. ex Vent.) Kuntze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Kalmia angustifolia</w:t>
            </w:r>
            <w:r>
              <w:rPr>
                <w:rFonts w:ascii="Cambria" w:hAnsi="Cambria" w:cs="Helvetica"/>
                <w:sz w:val="18"/>
                <w:szCs w:val="18"/>
              </w:rPr>
              <w:t xml:space="preserve"> L. [Ericaceae] – Sheep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Kalmia carolina</w:t>
            </w:r>
            <w:r>
              <w:rPr>
                <w:rFonts w:ascii="Cambria" w:hAnsi="Cambria" w:cs="Helvetica"/>
                <w:sz w:val="18"/>
                <w:szCs w:val="18"/>
              </w:rPr>
              <w:t xml:space="preserve"> Small, </w:t>
            </w:r>
            <w:r>
              <w:rPr>
                <w:rFonts w:ascii="Cambria" w:hAnsi="Cambria" w:cs="Helvetica"/>
                <w:i/>
                <w:iCs/>
                <w:sz w:val="18"/>
                <w:szCs w:val="18"/>
              </w:rPr>
              <w:t xml:space="preserve">Kalmia intermedia </w:t>
            </w:r>
            <w:r>
              <w:rPr>
                <w:rFonts w:ascii="Cambria" w:hAnsi="Cambria" w:cs="Helvetica"/>
                <w:sz w:val="18"/>
                <w:szCs w:val="18"/>
              </w:rPr>
              <w:t xml:space="preserve">Lange, </w:t>
            </w:r>
            <w:r>
              <w:rPr>
                <w:rFonts w:ascii="Cambria" w:hAnsi="Cambria" w:cs="Helvetica"/>
                <w:i/>
                <w:iCs/>
                <w:sz w:val="18"/>
                <w:szCs w:val="18"/>
              </w:rPr>
              <w:t>Kalmia angustifolia</w:t>
            </w:r>
            <w:r>
              <w:rPr>
                <w:rFonts w:ascii="Cambria" w:hAnsi="Cambria" w:cs="Helvetica"/>
                <w:sz w:val="18"/>
                <w:szCs w:val="18"/>
              </w:rPr>
              <w:t xml:space="preserve"> L. var. </w:t>
            </w:r>
            <w:r>
              <w:rPr>
                <w:rFonts w:ascii="Cambria" w:hAnsi="Cambria" w:cs="Helvetica"/>
                <w:i/>
                <w:iCs/>
                <w:sz w:val="18"/>
                <w:szCs w:val="18"/>
              </w:rPr>
              <w:t>carolina</w:t>
            </w:r>
            <w:r>
              <w:rPr>
                <w:rFonts w:ascii="Cambria" w:hAnsi="Cambria" w:cs="Helvetica"/>
                <w:sz w:val="18"/>
                <w:szCs w:val="18"/>
              </w:rPr>
              <w:t xml:space="preserve"> (Small) Fernald</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Kalmia </w:t>
            </w:r>
            <w:r>
              <w:rPr>
                <w:rFonts w:ascii="Cambria" w:hAnsi="Cambria" w:cs="Helvetica"/>
                <w:iCs/>
                <w:sz w:val="18"/>
                <w:szCs w:val="18"/>
              </w:rPr>
              <w:t xml:space="preserve">L. </w:t>
            </w:r>
            <w:r>
              <w:rPr>
                <w:rFonts w:ascii="Cambria" w:hAnsi="Cambria" w:cs="Helvetica"/>
                <w:sz w:val="18"/>
                <w:szCs w:val="18"/>
              </w:rPr>
              <w:t>species [Ericaceae] –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highlight w:val="lightGray"/>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Kalmia latifolia</w:t>
            </w:r>
            <w:r>
              <w:rPr>
                <w:rFonts w:ascii="Cambria" w:hAnsi="Cambria" w:cs="Helvetica"/>
                <w:sz w:val="18"/>
                <w:szCs w:val="18"/>
              </w:rPr>
              <w:t xml:space="preserve"> L. [Ericaceae]– Mountain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Kalmia latifolia</w:t>
            </w:r>
            <w:r>
              <w:rPr>
                <w:rFonts w:ascii="Cambria" w:hAnsi="Cambria" w:cs="Helvetica"/>
                <w:sz w:val="18"/>
                <w:szCs w:val="18"/>
              </w:rPr>
              <w:t xml:space="preserve"> f. </w:t>
            </w:r>
            <w:r>
              <w:rPr>
                <w:rFonts w:ascii="Cambria" w:hAnsi="Cambria" w:cs="Helvetica"/>
                <w:i/>
                <w:iCs/>
                <w:sz w:val="18"/>
                <w:szCs w:val="18"/>
              </w:rPr>
              <w:t>myrtifolia</w:t>
            </w:r>
            <w:r>
              <w:rPr>
                <w:rFonts w:ascii="Cambria" w:hAnsi="Cambria" w:cs="Helvetica"/>
                <w:sz w:val="18"/>
                <w:szCs w:val="18"/>
              </w:rPr>
              <w:t xml:space="preserve"> (Bosse) K. Koch, </w:t>
            </w:r>
            <w:r>
              <w:rPr>
                <w:rFonts w:ascii="Cambria" w:hAnsi="Cambria" w:cs="Helvetica"/>
                <w:i/>
                <w:iCs/>
                <w:sz w:val="18"/>
                <w:szCs w:val="18"/>
              </w:rPr>
              <w:t>Kalmia latifolia</w:t>
            </w:r>
            <w:r>
              <w:rPr>
                <w:rFonts w:ascii="Cambria" w:hAnsi="Cambria" w:cs="Helvetica"/>
                <w:sz w:val="18"/>
                <w:szCs w:val="18"/>
              </w:rPr>
              <w:t xml:space="preserve"> var. </w:t>
            </w:r>
            <w:r>
              <w:rPr>
                <w:rFonts w:ascii="Cambria" w:hAnsi="Cambria" w:cs="Helvetica"/>
                <w:i/>
                <w:iCs/>
                <w:sz w:val="18"/>
                <w:szCs w:val="18"/>
              </w:rPr>
              <w:t>myrtifolia</w:t>
            </w:r>
            <w:r>
              <w:rPr>
                <w:rFonts w:ascii="Cambria" w:hAnsi="Cambria" w:cs="Helvetica"/>
                <w:sz w:val="18"/>
                <w:szCs w:val="18"/>
              </w:rPr>
              <w:t xml:space="preserve"> Bosse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Larix decidua</w:t>
            </w:r>
            <w:r>
              <w:rPr>
                <w:rFonts w:ascii="Cambria" w:hAnsi="Cambria" w:cs="Helvetica"/>
                <w:sz w:val="18"/>
                <w:szCs w:val="18"/>
              </w:rPr>
              <w:t xml:space="preserve"> Mill. [Pinaceae]– European larch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Larix europaea</w:t>
            </w:r>
            <w:r>
              <w:rPr>
                <w:rFonts w:ascii="Cambria" w:hAnsi="Cambria" w:cs="Helvetica"/>
                <w:sz w:val="18"/>
                <w:szCs w:val="18"/>
              </w:rPr>
              <w:t xml:space="preserve"> DC., </w:t>
            </w:r>
            <w:r>
              <w:rPr>
                <w:rFonts w:ascii="Cambria" w:hAnsi="Cambria" w:cs="Helvetica"/>
                <w:i/>
                <w:iCs/>
                <w:sz w:val="18"/>
                <w:szCs w:val="18"/>
              </w:rPr>
              <w:t>Pinus larix</w:t>
            </w:r>
            <w:r>
              <w:rPr>
                <w:rFonts w:ascii="Cambria" w:hAnsi="Cambria" w:cs="Helvetica"/>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 EPPO 2011;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Larix kaempferi</w:t>
            </w:r>
            <w:r>
              <w:rPr>
                <w:rFonts w:ascii="Cambria" w:hAnsi="Cambria" w:cs="Helvetica"/>
                <w:sz w:val="18"/>
                <w:szCs w:val="18"/>
              </w:rPr>
              <w:t xml:space="preserve"> (Lamb.) Carrière [Pinaceae] – Japanese larch, Larch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Abies leptolepis</w:t>
            </w:r>
            <w:r>
              <w:rPr>
                <w:rFonts w:ascii="Cambria" w:hAnsi="Cambria" w:cs="Helvetica"/>
                <w:sz w:val="18"/>
                <w:szCs w:val="18"/>
              </w:rPr>
              <w:t xml:space="preserve"> Siebold &amp; Zucc., </w:t>
            </w:r>
            <w:r>
              <w:rPr>
                <w:rFonts w:ascii="Cambria" w:hAnsi="Cambria" w:cs="Helvetica"/>
                <w:i/>
                <w:sz w:val="18"/>
                <w:szCs w:val="18"/>
              </w:rPr>
              <w:t>Larix japonica</w:t>
            </w:r>
            <w:r>
              <w:rPr>
                <w:rFonts w:ascii="Cambria" w:hAnsi="Cambria" w:cs="Helvetica"/>
                <w:sz w:val="18"/>
                <w:szCs w:val="18"/>
              </w:rPr>
              <w:t xml:space="preserve"> Carrière, </w:t>
            </w:r>
            <w:r>
              <w:rPr>
                <w:rFonts w:ascii="Cambria" w:hAnsi="Cambria" w:cs="Helvetica"/>
                <w:i/>
                <w:sz w:val="18"/>
                <w:szCs w:val="18"/>
              </w:rPr>
              <w:t>Larix kaempferi</w:t>
            </w:r>
            <w:r>
              <w:rPr>
                <w:rFonts w:ascii="Cambria" w:hAnsi="Cambria" w:cs="Helvetica"/>
                <w:sz w:val="18"/>
                <w:szCs w:val="18"/>
              </w:rPr>
              <w:t xml:space="preserve"> var. </w:t>
            </w:r>
            <w:r>
              <w:rPr>
                <w:rFonts w:ascii="Cambria" w:hAnsi="Cambria" w:cs="Helvetica"/>
                <w:i/>
                <w:sz w:val="18"/>
                <w:szCs w:val="18"/>
              </w:rPr>
              <w:t>pendula</w:t>
            </w:r>
            <w:r>
              <w:rPr>
                <w:rFonts w:ascii="Cambria" w:hAnsi="Cambria" w:cs="Helvetica"/>
                <w:sz w:val="18"/>
                <w:szCs w:val="18"/>
              </w:rPr>
              <w:t xml:space="preserve"> (Beissn.) C. K. Schneid., </w:t>
            </w:r>
            <w:r>
              <w:rPr>
                <w:rFonts w:ascii="Cambria" w:hAnsi="Cambria" w:cs="Helvetica"/>
                <w:i/>
                <w:sz w:val="18"/>
                <w:szCs w:val="18"/>
              </w:rPr>
              <w:t>Larix leptolepis</w:t>
            </w:r>
            <w:r>
              <w:rPr>
                <w:rFonts w:ascii="Cambria" w:hAnsi="Cambria" w:cs="Helvetica"/>
                <w:sz w:val="18"/>
                <w:szCs w:val="18"/>
              </w:rPr>
              <w:t xml:space="preserve"> (Siebold &amp; Zucc.) Gordon, </w:t>
            </w:r>
            <w:r>
              <w:rPr>
                <w:rFonts w:ascii="Cambria" w:hAnsi="Cambria" w:cs="Helvetica"/>
                <w:i/>
                <w:sz w:val="18"/>
                <w:szCs w:val="18"/>
              </w:rPr>
              <w:t>Larix leptolepis</w:t>
            </w:r>
            <w:r>
              <w:rPr>
                <w:rFonts w:ascii="Cambria" w:hAnsi="Cambria" w:cs="Helvetica"/>
                <w:sz w:val="18"/>
                <w:szCs w:val="18"/>
              </w:rPr>
              <w:t xml:space="preserve"> var. </w:t>
            </w:r>
            <w:r>
              <w:rPr>
                <w:rFonts w:ascii="Cambria" w:hAnsi="Cambria" w:cs="Helvetica"/>
                <w:i/>
                <w:sz w:val="18"/>
                <w:szCs w:val="18"/>
              </w:rPr>
              <w:t>murrayana</w:t>
            </w:r>
            <w:r>
              <w:rPr>
                <w:rFonts w:ascii="Cambria" w:hAnsi="Cambria" w:cs="Helvetica"/>
                <w:sz w:val="18"/>
                <w:szCs w:val="18"/>
              </w:rPr>
              <w:t xml:space="preserve"> Maxim, </w:t>
            </w:r>
            <w:r>
              <w:rPr>
                <w:rFonts w:ascii="Cambria" w:hAnsi="Cambria" w:cs="Helvetica"/>
                <w:i/>
                <w:sz w:val="18"/>
                <w:szCs w:val="18"/>
              </w:rPr>
              <w:t>Larix leptolepis</w:t>
            </w:r>
            <w:r>
              <w:rPr>
                <w:rFonts w:ascii="Cambria" w:hAnsi="Cambria" w:cs="Helvetica"/>
                <w:sz w:val="18"/>
                <w:szCs w:val="18"/>
              </w:rPr>
              <w:t xml:space="preserve"> f. </w:t>
            </w:r>
            <w:r>
              <w:rPr>
                <w:rFonts w:ascii="Cambria" w:hAnsi="Cambria" w:cs="Helvetica"/>
                <w:i/>
                <w:sz w:val="18"/>
                <w:szCs w:val="18"/>
              </w:rPr>
              <w:t>pendula</w:t>
            </w:r>
            <w:r>
              <w:rPr>
                <w:rFonts w:ascii="Cambria" w:hAnsi="Cambria" w:cs="Helvetica"/>
                <w:sz w:val="18"/>
                <w:szCs w:val="18"/>
              </w:rPr>
              <w:t xml:space="preserve"> (Beissn.) Rehder, </w:t>
            </w:r>
            <w:r>
              <w:rPr>
                <w:rFonts w:ascii="Cambria" w:hAnsi="Cambria" w:cs="Helvetica"/>
                <w:i/>
                <w:sz w:val="18"/>
                <w:szCs w:val="18"/>
              </w:rPr>
              <w:t>Larix leptolepis</w:t>
            </w:r>
            <w:r>
              <w:rPr>
                <w:rFonts w:ascii="Cambria" w:hAnsi="Cambria" w:cs="Helvetica"/>
                <w:sz w:val="18"/>
                <w:szCs w:val="18"/>
              </w:rPr>
              <w:t xml:space="preserve"> var. </w:t>
            </w:r>
            <w:r>
              <w:rPr>
                <w:rFonts w:ascii="Cambria" w:hAnsi="Cambria" w:cs="Helvetica"/>
                <w:i/>
                <w:sz w:val="18"/>
                <w:szCs w:val="18"/>
              </w:rPr>
              <w:t>pendula</w:t>
            </w:r>
            <w:r>
              <w:rPr>
                <w:rFonts w:ascii="Cambria" w:hAnsi="Cambria" w:cs="Helvetica"/>
                <w:sz w:val="18"/>
                <w:szCs w:val="18"/>
              </w:rPr>
              <w:t xml:space="preserve"> Beissn, </w:t>
            </w:r>
            <w:r>
              <w:rPr>
                <w:rFonts w:ascii="Cambria" w:hAnsi="Cambria" w:cs="Helvetica"/>
                <w:i/>
                <w:sz w:val="18"/>
                <w:szCs w:val="18"/>
              </w:rPr>
              <w:t>Pinus kaempferi</w:t>
            </w:r>
            <w:r>
              <w:rPr>
                <w:rFonts w:ascii="Cambria" w:hAnsi="Cambria" w:cs="Helvetica"/>
                <w:sz w:val="18"/>
                <w:szCs w:val="18"/>
              </w:rPr>
              <w:t xml:space="preserve"> Lamb., </w:t>
            </w:r>
            <w:r>
              <w:rPr>
                <w:rFonts w:ascii="Cambria" w:hAnsi="Cambria" w:cs="Helvetica"/>
                <w:i/>
                <w:sz w:val="18"/>
                <w:szCs w:val="18"/>
              </w:rPr>
              <w:t>Pseudolarix kaempferi</w:t>
            </w:r>
            <w:r>
              <w:rPr>
                <w:rFonts w:ascii="Cambria" w:hAnsi="Cambria" w:cs="Helvetica"/>
                <w:sz w:val="18"/>
                <w:szCs w:val="18"/>
              </w:rPr>
              <w:t xml:space="preserve"> (Lamb.) Gordon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Webber </w:t>
            </w:r>
            <w:r>
              <w:rPr>
                <w:rFonts w:ascii="Cambria" w:hAnsi="Cambria" w:cs="Helvetica"/>
                <w:iCs/>
                <w:sz w:val="18"/>
                <w:szCs w:val="18"/>
              </w:rPr>
              <w:t>et al.</w:t>
            </w:r>
            <w:r>
              <w:rPr>
                <w:rFonts w:ascii="Cambria" w:hAnsi="Cambria" w:cs="Helvetica"/>
                <w:sz w:val="18"/>
                <w:szCs w:val="18"/>
              </w:rPr>
              <w:t xml:space="preserve"> 2010a, b;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Larix x marschlinsii </w:t>
            </w:r>
            <w:r>
              <w:rPr>
                <w:rFonts w:ascii="Cambria" w:hAnsi="Cambria" w:cs="Helvetica"/>
                <w:sz w:val="18"/>
                <w:szCs w:val="18"/>
              </w:rPr>
              <w:t>Coaz [Pinaceae]– Hybrid larch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Larix x eurolepis </w:t>
            </w:r>
            <w:r>
              <w:rPr>
                <w:rFonts w:ascii="Cambria" w:hAnsi="Cambria" w:cs="Helvetica"/>
                <w:sz w:val="18"/>
                <w:szCs w:val="18"/>
              </w:rPr>
              <w:t>A. Henry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Laurus nobilis</w:t>
            </w:r>
            <w:r>
              <w:rPr>
                <w:rFonts w:ascii="Cambria" w:hAnsi="Cambria" w:cs="Helvetica"/>
                <w:sz w:val="18"/>
                <w:szCs w:val="18"/>
              </w:rPr>
              <w:t xml:space="preserve"> L. [Lauraceae] – Bay laurel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 SA, ACT, TAS, 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Leucothoe axillaris</w:t>
            </w:r>
            <w:r>
              <w:rPr>
                <w:rFonts w:ascii="Cambria" w:hAnsi="Cambria" w:cs="Helvetica"/>
                <w:sz w:val="18"/>
                <w:szCs w:val="18"/>
              </w:rPr>
              <w:t xml:space="preserve"> (Lam.) D. Don [Ericaceae] – Fetter-bush, Dog hobble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Andromeda axillaris</w:t>
            </w:r>
            <w:r>
              <w:rPr>
                <w:rFonts w:ascii="Cambria" w:hAnsi="Cambria" w:cs="Helvetica"/>
                <w:sz w:val="18"/>
                <w:szCs w:val="18"/>
              </w:rPr>
              <w:t xml:space="preserve"> Lam., </w:t>
            </w:r>
            <w:r>
              <w:rPr>
                <w:rFonts w:ascii="Cambria" w:hAnsi="Cambria" w:cs="Helvetica"/>
                <w:i/>
                <w:iCs/>
                <w:sz w:val="18"/>
                <w:szCs w:val="18"/>
              </w:rPr>
              <w:t>Andromeda catesbaei</w:t>
            </w:r>
            <w:r>
              <w:rPr>
                <w:rFonts w:ascii="Cambria" w:hAnsi="Cambria" w:cs="Helvetica"/>
                <w:sz w:val="18"/>
                <w:szCs w:val="18"/>
              </w:rPr>
              <w:t xml:space="preserve"> Walter, </w:t>
            </w:r>
            <w:r>
              <w:rPr>
                <w:rFonts w:ascii="Cambria" w:hAnsi="Cambria" w:cs="Helvetica"/>
                <w:i/>
                <w:iCs/>
                <w:sz w:val="18"/>
                <w:szCs w:val="18"/>
              </w:rPr>
              <w:t>Andromeda walteri</w:t>
            </w:r>
            <w:r>
              <w:rPr>
                <w:rFonts w:ascii="Cambria" w:hAnsi="Cambria" w:cs="Helvetica"/>
                <w:sz w:val="18"/>
                <w:szCs w:val="18"/>
              </w:rPr>
              <w:t xml:space="preserve"> Willd., </w:t>
            </w:r>
            <w:r>
              <w:rPr>
                <w:rFonts w:ascii="Cambria" w:hAnsi="Cambria" w:cs="Helvetica"/>
                <w:i/>
                <w:iCs/>
                <w:sz w:val="18"/>
                <w:szCs w:val="18"/>
              </w:rPr>
              <w:t>Leucothoe catesbaei</w:t>
            </w:r>
            <w:r>
              <w:rPr>
                <w:rFonts w:ascii="Cambria" w:hAnsi="Cambria" w:cs="Helvetica"/>
                <w:sz w:val="18"/>
                <w:szCs w:val="18"/>
              </w:rPr>
              <w:t xml:space="preserve"> (Walter) A. Gray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Leucothoe fontanesiana</w:t>
            </w:r>
            <w:r>
              <w:rPr>
                <w:rFonts w:ascii="Cambria" w:hAnsi="Cambria" w:cs="Helvetica"/>
                <w:sz w:val="18"/>
                <w:szCs w:val="18"/>
              </w:rPr>
              <w:t xml:space="preserve"> (Steud.) Sleumer [Ericaceae] – Drooping leucothoe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Leucothoe walteri</w:t>
            </w:r>
            <w:r>
              <w:rPr>
                <w:rFonts w:ascii="Cambria" w:hAnsi="Cambria" w:cs="Helvetica"/>
                <w:sz w:val="18"/>
                <w:szCs w:val="18"/>
              </w:rPr>
              <w:t xml:space="preserve"> N. C. Melvin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Liriodendron tulipifera </w:t>
            </w:r>
            <w:r>
              <w:rPr>
                <w:rFonts w:ascii="Cambria" w:hAnsi="Cambria" w:cs="Helvetica"/>
                <w:iCs/>
                <w:sz w:val="18"/>
                <w:szCs w:val="18"/>
              </w:rPr>
              <w:t>L. [Magnoliaceae] –Tulip tree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Liriodendron tulipifera</w:t>
            </w:r>
            <w:r>
              <w:rPr>
                <w:rFonts w:ascii="Cambria" w:hAnsi="Cambria" w:cs="Helvetica"/>
                <w:iCs/>
                <w:sz w:val="18"/>
                <w:szCs w:val="18"/>
              </w:rPr>
              <w:t xml:space="preserve"> f. </w:t>
            </w:r>
            <w:r>
              <w:rPr>
                <w:rFonts w:ascii="Cambria" w:hAnsi="Cambria" w:cs="Helvetica"/>
                <w:i/>
                <w:iCs/>
                <w:sz w:val="18"/>
                <w:szCs w:val="18"/>
              </w:rPr>
              <w:t>aureomarginatum</w:t>
            </w:r>
            <w:r>
              <w:rPr>
                <w:rFonts w:ascii="Cambria" w:hAnsi="Cambria" w:cs="Helvetica"/>
                <w:iCs/>
                <w:sz w:val="18"/>
                <w:szCs w:val="18"/>
              </w:rPr>
              <w:t xml:space="preserve"> (Dippel) Schelle, </w:t>
            </w:r>
            <w:r>
              <w:rPr>
                <w:rFonts w:ascii="Cambria" w:hAnsi="Cambria" w:cs="Helvetica"/>
                <w:i/>
                <w:iCs/>
                <w:sz w:val="18"/>
                <w:szCs w:val="18"/>
              </w:rPr>
              <w:t>Liriodendron tulipifera</w:t>
            </w:r>
            <w:r>
              <w:rPr>
                <w:rFonts w:ascii="Cambria" w:hAnsi="Cambria" w:cs="Helvetica"/>
                <w:iCs/>
                <w:sz w:val="18"/>
                <w:szCs w:val="18"/>
              </w:rPr>
              <w:t xml:space="preserve"> f</w:t>
            </w:r>
            <w:r>
              <w:rPr>
                <w:rFonts w:ascii="Cambria" w:hAnsi="Cambria" w:cs="Helvetica"/>
                <w:i/>
                <w:iCs/>
                <w:sz w:val="18"/>
                <w:szCs w:val="18"/>
              </w:rPr>
              <w:t>. integrifolium</w:t>
            </w:r>
            <w:r>
              <w:rPr>
                <w:rFonts w:ascii="Cambria" w:hAnsi="Cambria" w:cs="Helvetica"/>
                <w:iCs/>
                <w:sz w:val="18"/>
                <w:szCs w:val="18"/>
              </w:rPr>
              <w:t xml:space="preserve"> (G. Kirchn.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Hughes et al. 2005</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sz w:val="18"/>
                <w:szCs w:val="18"/>
              </w:rPr>
            </w:pPr>
            <w:r>
              <w:rPr>
                <w:rFonts w:ascii="Cambria" w:hAnsi="Cambria" w:cs="Helvetica"/>
                <w:iCs/>
                <w:sz w:val="18"/>
                <w:szCs w:val="18"/>
              </w:rPr>
              <w:t>ACT, SA, NSW,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Lithocarpus glaber</w:t>
            </w:r>
            <w:r>
              <w:rPr>
                <w:rFonts w:ascii="Cambria" w:hAnsi="Cambria" w:cs="Helvetica"/>
                <w:sz w:val="18"/>
                <w:szCs w:val="18"/>
              </w:rPr>
              <w:t xml:space="preserve"> (Thunb.) Nakai [Fagaceae] – Japanese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Pasania glabra</w:t>
            </w:r>
            <w:r>
              <w:rPr>
                <w:rFonts w:ascii="Cambria" w:hAnsi="Cambria" w:cs="Helvetica"/>
                <w:sz w:val="18"/>
                <w:szCs w:val="18"/>
              </w:rPr>
              <w:t xml:space="preserve"> (Thunb.) Oerst., </w:t>
            </w:r>
            <w:r>
              <w:rPr>
                <w:rFonts w:ascii="Cambria" w:hAnsi="Cambria" w:cs="Helvetica"/>
                <w:i/>
                <w:iCs/>
                <w:sz w:val="18"/>
                <w:szCs w:val="18"/>
              </w:rPr>
              <w:t>Quercus glabra</w:t>
            </w:r>
            <w:r>
              <w:rPr>
                <w:rFonts w:ascii="Cambria" w:hAnsi="Cambria" w:cs="Helvetica"/>
                <w:sz w:val="18"/>
                <w:szCs w:val="18"/>
              </w:rPr>
              <w:t xml:space="preserve"> Thunb.</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Lonicera hispidula</w:t>
            </w:r>
            <w:r>
              <w:rPr>
                <w:rFonts w:ascii="Cambria" w:hAnsi="Cambria" w:cs="Helvetica"/>
                <w:sz w:val="18"/>
                <w:szCs w:val="18"/>
              </w:rPr>
              <w:t xml:space="preserve"> (Lindl.) Douglas ex Torr. &amp; A. Gray [Caprifoliaceae] – Californian honeysuckle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Lonicera hispidula</w:t>
            </w:r>
            <w:r>
              <w:rPr>
                <w:rFonts w:ascii="Cambria" w:hAnsi="Cambria" w:cs="Helvetica"/>
                <w:sz w:val="18"/>
                <w:szCs w:val="18"/>
              </w:rPr>
              <w:t xml:space="preserve"> var. </w:t>
            </w:r>
            <w:r>
              <w:rPr>
                <w:rFonts w:ascii="Cambria" w:hAnsi="Cambria" w:cs="Helvetica"/>
                <w:i/>
                <w:iCs/>
                <w:sz w:val="18"/>
                <w:szCs w:val="18"/>
              </w:rPr>
              <w:t>vacillans</w:t>
            </w:r>
            <w:r>
              <w:rPr>
                <w:rFonts w:ascii="Cambria" w:hAnsi="Cambria" w:cs="Helvetica"/>
                <w:sz w:val="18"/>
                <w:szCs w:val="18"/>
              </w:rPr>
              <w:t xml:space="preserve"> A. Gray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w:t>
            </w:r>
            <w:r>
              <w:rPr>
                <w:rFonts w:ascii="Cambria" w:hAnsi="Cambria" w:cs="Helvetica"/>
                <w:iCs/>
                <w:sz w:val="18"/>
                <w:szCs w:val="18"/>
              </w:rPr>
              <w:t>et al</w:t>
            </w:r>
            <w:r>
              <w:rPr>
                <w:rFonts w:ascii="Cambria" w:hAnsi="Cambria" w:cs="Helvetica"/>
                <w:sz w:val="18"/>
                <w:szCs w:val="18"/>
              </w:rPr>
              <w:t xml:space="preserve">. 2003; Goheen </w:t>
            </w:r>
            <w:r>
              <w:rPr>
                <w:rFonts w:ascii="Cambria" w:hAnsi="Cambria" w:cs="Helvetica"/>
                <w:iCs/>
                <w:sz w:val="18"/>
                <w:szCs w:val="18"/>
              </w:rPr>
              <w:t>et al</w:t>
            </w:r>
            <w:r>
              <w:rPr>
                <w:rFonts w:ascii="Cambria" w:hAnsi="Cambria" w:cs="Helvetica"/>
                <w:sz w:val="18"/>
                <w:szCs w:val="18"/>
              </w:rPr>
              <w:t xml:space="preserve">. 2006a;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Lonicera periclymenum </w:t>
            </w:r>
            <w:r>
              <w:rPr>
                <w:rFonts w:ascii="Cambria" w:hAnsi="Cambria" w:cs="Helvetica"/>
                <w:sz w:val="18"/>
                <w:szCs w:val="18"/>
              </w:rPr>
              <w:t>L.</w:t>
            </w:r>
            <w:r>
              <w:rPr>
                <w:rFonts w:ascii="Cambria" w:hAnsi="Cambria" w:cs="Helvetica"/>
                <w:i/>
                <w:iCs/>
                <w:sz w:val="18"/>
                <w:szCs w:val="18"/>
              </w:rPr>
              <w:t xml:space="preserve"> </w:t>
            </w:r>
            <w:r>
              <w:rPr>
                <w:rFonts w:ascii="Cambria" w:hAnsi="Cambria" w:cs="Helvetica"/>
                <w:sz w:val="18"/>
                <w:szCs w:val="18"/>
              </w:rPr>
              <w:t>[Caprifoliaceae] – Honeysuckle, Woodbine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Qld, NSW,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Loropetalum chinense</w:t>
            </w:r>
            <w:r>
              <w:rPr>
                <w:rFonts w:ascii="Cambria" w:hAnsi="Cambria" w:cs="Helvetica"/>
                <w:sz w:val="18"/>
                <w:szCs w:val="18"/>
              </w:rPr>
              <w:t xml:space="preserve"> (R. Br.) Oliv. [Hamamelidaceae] – Loropetalum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Hamamelis chinensis</w:t>
            </w:r>
            <w:r>
              <w:rPr>
                <w:rFonts w:ascii="Cambria" w:hAnsi="Cambria" w:cs="Helvetica"/>
                <w:sz w:val="18"/>
                <w:szCs w:val="18"/>
              </w:rPr>
              <w:t xml:space="preserve"> R. Br., </w:t>
            </w:r>
            <w:r>
              <w:rPr>
                <w:rFonts w:ascii="Cambria" w:hAnsi="Cambria" w:cs="Helvetica"/>
                <w:i/>
                <w:iCs/>
                <w:sz w:val="18"/>
                <w:szCs w:val="18"/>
              </w:rPr>
              <w:t>Loropetalum chinense</w:t>
            </w:r>
            <w:r>
              <w:rPr>
                <w:rFonts w:ascii="Cambria" w:hAnsi="Cambria" w:cs="Helvetica"/>
                <w:sz w:val="18"/>
                <w:szCs w:val="18"/>
              </w:rPr>
              <w:t xml:space="preserve"> (R. Br.) Oliv. var. c</w:t>
            </w:r>
            <w:r>
              <w:rPr>
                <w:rFonts w:ascii="Cambria" w:hAnsi="Cambria" w:cs="Helvetica"/>
                <w:i/>
                <w:iCs/>
                <w:sz w:val="18"/>
                <w:szCs w:val="18"/>
              </w:rPr>
              <w:t>hinense</w:t>
            </w:r>
            <w:r>
              <w:rPr>
                <w:rFonts w:ascii="Cambria" w:hAnsi="Cambria" w:cs="Helvetica"/>
                <w:sz w:val="18"/>
                <w:szCs w:val="18"/>
              </w:rPr>
              <w:t xml:space="preserve">, </w:t>
            </w:r>
            <w:r>
              <w:rPr>
                <w:rFonts w:ascii="Cambria" w:hAnsi="Cambria" w:cs="Helvetica"/>
                <w:i/>
                <w:iCs/>
                <w:sz w:val="18"/>
                <w:szCs w:val="18"/>
              </w:rPr>
              <w:t>Loropetalum chinense</w:t>
            </w:r>
            <w:r>
              <w:rPr>
                <w:rFonts w:ascii="Cambria" w:hAnsi="Cambria" w:cs="Helvetica"/>
                <w:sz w:val="18"/>
                <w:szCs w:val="18"/>
              </w:rPr>
              <w:t xml:space="preserve"> (R. Br.) Oliv. var. </w:t>
            </w:r>
            <w:r>
              <w:rPr>
                <w:rFonts w:ascii="Cambria" w:hAnsi="Cambria" w:cs="Helvetica"/>
                <w:i/>
                <w:iCs/>
                <w:sz w:val="18"/>
                <w:szCs w:val="18"/>
              </w:rPr>
              <w:t>rubrum</w:t>
            </w:r>
            <w:r>
              <w:rPr>
                <w:rFonts w:ascii="Cambria" w:hAnsi="Cambria" w:cs="Helvetica"/>
                <w:sz w:val="18"/>
                <w:szCs w:val="18"/>
              </w:rPr>
              <w:t xml:space="preserve"> Yieh</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Blomquist </w:t>
            </w:r>
            <w:r>
              <w:rPr>
                <w:rFonts w:ascii="Cambria" w:hAnsi="Cambria" w:cs="Helvetica"/>
                <w:iCs/>
                <w:sz w:val="18"/>
                <w:szCs w:val="18"/>
              </w:rPr>
              <w:t>et al</w:t>
            </w:r>
            <w:r>
              <w:rPr>
                <w:rFonts w:ascii="Cambria" w:hAnsi="Cambria" w:cs="Helvetica"/>
                <w:sz w:val="18"/>
                <w:szCs w:val="18"/>
              </w:rPr>
              <w:t>.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NSW,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acuminata</w:t>
            </w:r>
            <w:r>
              <w:rPr>
                <w:rFonts w:ascii="Cambria" w:hAnsi="Cambria" w:cs="Helvetica"/>
                <w:sz w:val="18"/>
                <w:szCs w:val="18"/>
              </w:rPr>
              <w:t xml:space="preserve"> (L.) L. [Magnoliaceae] – Blue magnolia, Cucumber-tree, Yellow cucumber-tree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cordata</w:t>
            </w:r>
            <w:r>
              <w:rPr>
                <w:rFonts w:ascii="Cambria" w:hAnsi="Cambria" w:cs="Helvetica"/>
                <w:sz w:val="18"/>
                <w:szCs w:val="18"/>
              </w:rPr>
              <w:t xml:space="preserve"> Michx, </w:t>
            </w:r>
            <w:r>
              <w:rPr>
                <w:rFonts w:ascii="Cambria" w:hAnsi="Cambria" w:cs="Helvetica"/>
                <w:i/>
                <w:iCs/>
                <w:sz w:val="18"/>
                <w:szCs w:val="18"/>
              </w:rPr>
              <w:t>Magnolia virginiana</w:t>
            </w:r>
            <w:r>
              <w:rPr>
                <w:rFonts w:ascii="Cambria" w:hAnsi="Cambria" w:cs="Helvetica"/>
                <w:sz w:val="18"/>
                <w:szCs w:val="18"/>
              </w:rPr>
              <w:t xml:space="preserve"> L. var. </w:t>
            </w:r>
            <w:r>
              <w:rPr>
                <w:rFonts w:ascii="Cambria" w:hAnsi="Cambria" w:cs="Helvetica"/>
                <w:i/>
                <w:iCs/>
                <w:sz w:val="18"/>
                <w:szCs w:val="18"/>
              </w:rPr>
              <w:t>acuminata</w:t>
            </w:r>
            <w:r>
              <w:rPr>
                <w:rFonts w:ascii="Cambria" w:hAnsi="Cambria" w:cs="Helvetica"/>
                <w:sz w:val="18"/>
                <w:szCs w:val="18"/>
              </w:rPr>
              <w:t xml:space="preserve"> L., </w:t>
            </w:r>
            <w:r>
              <w:rPr>
                <w:rFonts w:ascii="Cambria" w:hAnsi="Cambria" w:cs="Helvetica"/>
                <w:i/>
                <w:iCs/>
                <w:sz w:val="18"/>
                <w:szCs w:val="18"/>
              </w:rPr>
              <w:t xml:space="preserve">Magnolia acuminata </w:t>
            </w:r>
            <w:r>
              <w:rPr>
                <w:rFonts w:ascii="Cambria" w:hAnsi="Cambria" w:cs="Helvetica"/>
                <w:sz w:val="18"/>
                <w:szCs w:val="18"/>
              </w:rPr>
              <w:t xml:space="preserve">(L.) L. var. </w:t>
            </w:r>
            <w:r>
              <w:rPr>
                <w:rFonts w:ascii="Cambria" w:hAnsi="Cambria" w:cs="Helvetica"/>
                <w:i/>
                <w:iCs/>
                <w:sz w:val="18"/>
                <w:szCs w:val="18"/>
              </w:rPr>
              <w:t>acuminata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Magnolia acuminata x brooklynensis</w:t>
            </w:r>
            <w:r>
              <w:rPr>
                <w:rFonts w:ascii="Cambria" w:hAnsi="Cambria" w:cs="Helvetica"/>
                <w:sz w:val="18"/>
                <w:szCs w:val="18"/>
              </w:rPr>
              <w:t xml:space="preserve"> [Magnoliaceae] – 'Yellow bird'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highlight w:val="lightGray"/>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highlight w:val="lightGray"/>
              </w:rPr>
            </w:pPr>
            <w:r>
              <w:rPr>
                <w:rFonts w:ascii="Cambria" w:hAnsi="Cambria" w:cs="Helvetica"/>
                <w:sz w:val="18"/>
                <w:szCs w:val="18"/>
              </w:rPr>
              <w:t>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delavayi</w:t>
            </w:r>
            <w:r>
              <w:rPr>
                <w:rFonts w:ascii="Cambria" w:hAnsi="Cambria" w:cs="Helvetica"/>
                <w:sz w:val="18"/>
                <w:szCs w:val="18"/>
              </w:rPr>
              <w:t xml:space="preserve"> Franch [Magnoliaceae] – Chinese Magnolia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denudata</w:t>
            </w:r>
            <w:r>
              <w:rPr>
                <w:rFonts w:ascii="Cambria" w:hAnsi="Cambria" w:cs="Helvetica"/>
                <w:sz w:val="18"/>
                <w:szCs w:val="18"/>
              </w:rPr>
              <w:t xml:space="preserve"> Desr. [ Magnoliaceae] – Lily Tree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conspicua</w:t>
            </w:r>
            <w:r>
              <w:rPr>
                <w:rFonts w:ascii="Cambria" w:hAnsi="Cambria" w:cs="Helvetica"/>
                <w:sz w:val="18"/>
                <w:szCs w:val="18"/>
              </w:rPr>
              <w:t xml:space="preserve"> Salisb., </w:t>
            </w:r>
            <w:r>
              <w:rPr>
                <w:rFonts w:ascii="Cambria" w:hAnsi="Cambria" w:cs="Helvetica"/>
                <w:i/>
                <w:iCs/>
                <w:sz w:val="18"/>
                <w:szCs w:val="18"/>
              </w:rPr>
              <w:t xml:space="preserve">Magnolia yulan </w:t>
            </w:r>
            <w:r>
              <w:rPr>
                <w:rFonts w:ascii="Cambria" w:hAnsi="Cambria" w:cs="Helvetica"/>
                <w:sz w:val="18"/>
                <w:szCs w:val="18"/>
              </w:rPr>
              <w:t>Desf.</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Magnolia denudata </w:t>
            </w:r>
            <w:r>
              <w:rPr>
                <w:rFonts w:ascii="Cambria" w:hAnsi="Cambria" w:cs="Helvetica"/>
                <w:sz w:val="18"/>
                <w:szCs w:val="18"/>
              </w:rPr>
              <w:t xml:space="preserve">x </w:t>
            </w:r>
            <w:r>
              <w:rPr>
                <w:rFonts w:ascii="Cambria" w:hAnsi="Cambria" w:cs="Helvetica"/>
                <w:i/>
                <w:iCs/>
                <w:sz w:val="18"/>
                <w:szCs w:val="18"/>
              </w:rPr>
              <w:t xml:space="preserve">salicifolia </w:t>
            </w:r>
            <w:r>
              <w:rPr>
                <w:rFonts w:ascii="Cambria" w:hAnsi="Cambria" w:cs="Helvetica"/>
                <w:sz w:val="18"/>
                <w:szCs w:val="18"/>
              </w:rPr>
              <w:t xml:space="preserve">[Magnoliaceae] – </w:t>
            </w:r>
            <w:r>
              <w:rPr>
                <w:rFonts w:ascii="Cambria" w:hAnsi="Cambria" w:cs="Helvetica"/>
                <w:sz w:val="18"/>
                <w:szCs w:val="18"/>
              </w:rPr>
              <w:lastRenderedPageBreak/>
              <w:t>Magnolia hybrid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 xml:space="preserve">Magnolia doltsopa </w:t>
            </w:r>
            <w:r>
              <w:rPr>
                <w:rFonts w:ascii="Cambria" w:hAnsi="Cambria" w:cs="Helvetica"/>
                <w:sz w:val="18"/>
                <w:szCs w:val="18"/>
              </w:rPr>
              <w:t>(Buch.-Ham. ex DC.) Figlar [Magnoliaceae]–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excelsa</w:t>
            </w:r>
            <w:r>
              <w:rPr>
                <w:rFonts w:ascii="Cambria" w:hAnsi="Cambria" w:cs="Helvetica"/>
                <w:sz w:val="18"/>
                <w:szCs w:val="18"/>
              </w:rPr>
              <w:t xml:space="preserve"> Wall., </w:t>
            </w:r>
            <w:r>
              <w:rPr>
                <w:rFonts w:ascii="Cambria" w:hAnsi="Cambria" w:cs="Helvetica"/>
                <w:i/>
                <w:iCs/>
                <w:sz w:val="18"/>
                <w:szCs w:val="18"/>
              </w:rPr>
              <w:t>Michelia doltsopa</w:t>
            </w:r>
            <w:r>
              <w:rPr>
                <w:rFonts w:ascii="Cambria" w:hAnsi="Cambria" w:cs="Helvetica"/>
                <w:sz w:val="18"/>
                <w:szCs w:val="18"/>
              </w:rPr>
              <w:t xml:space="preserve"> Buch.-Ham. ex DC, </w:t>
            </w:r>
            <w:r>
              <w:rPr>
                <w:rFonts w:ascii="Cambria" w:hAnsi="Cambria" w:cs="Helvetica"/>
                <w:i/>
                <w:iCs/>
                <w:sz w:val="18"/>
                <w:szCs w:val="18"/>
              </w:rPr>
              <w:t>Michelia excelsa</w:t>
            </w:r>
            <w:r>
              <w:rPr>
                <w:rFonts w:ascii="Cambria" w:hAnsi="Cambria" w:cs="Helvetica"/>
                <w:sz w:val="18"/>
                <w:szCs w:val="18"/>
              </w:rPr>
              <w:t xml:space="preserve"> (Wall.) Blume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Magnolia ernestii </w:t>
            </w:r>
            <w:r>
              <w:rPr>
                <w:rFonts w:ascii="Cambria" w:hAnsi="Cambria" w:cs="Helvetica"/>
                <w:sz w:val="18"/>
                <w:szCs w:val="18"/>
              </w:rPr>
              <w:t>Figlar [Magnoliaceae] –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Michelia sinensis</w:t>
            </w:r>
            <w:r>
              <w:rPr>
                <w:rFonts w:ascii="Cambria" w:hAnsi="Cambria" w:cs="Helvetica"/>
                <w:sz w:val="18"/>
                <w:szCs w:val="18"/>
              </w:rPr>
              <w:t xml:space="preserve"> Hemsl. &amp; E. H. Wilson, </w:t>
            </w:r>
            <w:r>
              <w:rPr>
                <w:rFonts w:ascii="Cambria" w:hAnsi="Cambria" w:cs="Helvetica"/>
                <w:i/>
                <w:iCs/>
                <w:sz w:val="18"/>
                <w:szCs w:val="18"/>
              </w:rPr>
              <w:t>Michelia wilsonii</w:t>
            </w:r>
            <w:r>
              <w:rPr>
                <w:rFonts w:ascii="Cambria" w:hAnsi="Cambria" w:cs="Helvetica"/>
                <w:sz w:val="18"/>
                <w:szCs w:val="18"/>
              </w:rPr>
              <w:t xml:space="preserve"> Finet &amp; Gagnep </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figo</w:t>
            </w:r>
            <w:r>
              <w:rPr>
                <w:rFonts w:ascii="Cambria" w:hAnsi="Cambria" w:cs="Helvetica"/>
                <w:sz w:val="18"/>
                <w:szCs w:val="18"/>
              </w:rPr>
              <w:t xml:space="preserve"> (Lour.) DC. [Magnoliaceae] – Banana magnolia, Banana shrub</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Liriodendron figo</w:t>
            </w:r>
            <w:r>
              <w:rPr>
                <w:rFonts w:ascii="Cambria" w:hAnsi="Cambria" w:cs="Helvetica"/>
                <w:sz w:val="18"/>
                <w:szCs w:val="18"/>
              </w:rPr>
              <w:t xml:space="preserve"> Lour., </w:t>
            </w:r>
            <w:r>
              <w:rPr>
                <w:rFonts w:ascii="Cambria" w:hAnsi="Cambria" w:cs="Helvetica"/>
                <w:i/>
                <w:iCs/>
                <w:sz w:val="18"/>
                <w:szCs w:val="18"/>
              </w:rPr>
              <w:t>Magnolia fuscata</w:t>
            </w:r>
            <w:r>
              <w:rPr>
                <w:rFonts w:ascii="Cambria" w:hAnsi="Cambria" w:cs="Helvetica"/>
                <w:sz w:val="18"/>
                <w:szCs w:val="18"/>
              </w:rPr>
              <w:t xml:space="preserve"> Andrews, </w:t>
            </w:r>
            <w:r>
              <w:rPr>
                <w:rFonts w:ascii="Cambria" w:hAnsi="Cambria" w:cs="Helvetica"/>
                <w:i/>
                <w:iCs/>
                <w:sz w:val="18"/>
                <w:szCs w:val="18"/>
              </w:rPr>
              <w:t>Michelia figo</w:t>
            </w:r>
            <w:r>
              <w:rPr>
                <w:rFonts w:ascii="Cambria" w:hAnsi="Cambria" w:cs="Helvetica"/>
                <w:sz w:val="18"/>
                <w:szCs w:val="18"/>
              </w:rPr>
              <w:t xml:space="preserve"> (Lour.) Spreng., </w:t>
            </w:r>
            <w:r>
              <w:rPr>
                <w:rFonts w:ascii="Cambria" w:hAnsi="Cambria" w:cs="Helvetica"/>
                <w:i/>
                <w:iCs/>
                <w:sz w:val="18"/>
                <w:szCs w:val="18"/>
              </w:rPr>
              <w:t>Michelia fuscata</w:t>
            </w:r>
            <w:r>
              <w:rPr>
                <w:rFonts w:ascii="Cambria" w:hAnsi="Cambria" w:cs="Helvetica"/>
                <w:sz w:val="18"/>
                <w:szCs w:val="18"/>
              </w:rPr>
              <w:t xml:space="preserve"> (Andrews) Blume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APHIS 2008a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Magnolia foveolata </w:t>
            </w:r>
            <w:r>
              <w:rPr>
                <w:rFonts w:ascii="Cambria" w:hAnsi="Cambria" w:cs="Helvetica"/>
                <w:sz w:val="18"/>
                <w:szCs w:val="18"/>
              </w:rPr>
              <w:t xml:space="preserve">(Merr. ex Dandy) Figlar [Magnoliaceae]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Michelia foveolata</w:t>
            </w:r>
            <w:r>
              <w:rPr>
                <w:rFonts w:ascii="Cambria" w:hAnsi="Cambria" w:cs="Helvetica"/>
                <w:sz w:val="18"/>
                <w:szCs w:val="18"/>
              </w:rPr>
              <w:t xml:space="preserve"> Merr. ex Dandy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et al.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grandiflora</w:t>
            </w:r>
            <w:r>
              <w:rPr>
                <w:rFonts w:ascii="Cambria" w:hAnsi="Cambria" w:cs="Helvetica"/>
                <w:sz w:val="18"/>
                <w:szCs w:val="18"/>
              </w:rPr>
              <w:t xml:space="preserve"> L. [Magnoliaceae] –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foetida</w:t>
            </w:r>
            <w:r>
              <w:rPr>
                <w:rFonts w:ascii="Cambria" w:hAnsi="Cambria" w:cs="Helvetica"/>
                <w:sz w:val="18"/>
                <w:szCs w:val="18"/>
              </w:rPr>
              <w:t xml:space="preserve"> (L.) Sarg., </w:t>
            </w:r>
            <w:r>
              <w:rPr>
                <w:rFonts w:ascii="Cambria" w:hAnsi="Cambria" w:cs="Helvetica"/>
                <w:i/>
                <w:iCs/>
                <w:sz w:val="18"/>
                <w:szCs w:val="18"/>
              </w:rPr>
              <w:t>Magnolia grandiflora</w:t>
            </w:r>
            <w:r>
              <w:rPr>
                <w:rFonts w:ascii="Cambria" w:hAnsi="Cambria" w:cs="Helvetica"/>
                <w:sz w:val="18"/>
                <w:szCs w:val="18"/>
              </w:rPr>
              <w:t xml:space="preserve"> var. </w:t>
            </w:r>
            <w:r>
              <w:rPr>
                <w:rFonts w:ascii="Cambria" w:hAnsi="Cambria" w:cs="Helvetica"/>
                <w:i/>
                <w:iCs/>
                <w:sz w:val="18"/>
                <w:szCs w:val="18"/>
              </w:rPr>
              <w:t xml:space="preserve">exoniensis </w:t>
            </w:r>
            <w:r>
              <w:rPr>
                <w:rFonts w:ascii="Cambria" w:hAnsi="Cambria" w:cs="Helvetica"/>
                <w:sz w:val="18"/>
                <w:szCs w:val="18"/>
              </w:rPr>
              <w:t xml:space="preserve">hort. ex Loudon, </w:t>
            </w:r>
            <w:r>
              <w:rPr>
                <w:rFonts w:ascii="Cambria" w:hAnsi="Cambria" w:cs="Helvetica"/>
                <w:i/>
                <w:iCs/>
                <w:sz w:val="18"/>
                <w:szCs w:val="18"/>
              </w:rPr>
              <w:t>Magnolia grandiflora</w:t>
            </w:r>
            <w:r>
              <w:rPr>
                <w:rFonts w:ascii="Cambria" w:hAnsi="Cambria" w:cs="Helvetica"/>
                <w:sz w:val="18"/>
                <w:szCs w:val="18"/>
              </w:rPr>
              <w:t xml:space="preserve"> f.</w:t>
            </w:r>
            <w:r>
              <w:rPr>
                <w:rFonts w:ascii="Cambria" w:hAnsi="Cambria" w:cs="Helvetica"/>
                <w:i/>
                <w:iCs/>
                <w:sz w:val="18"/>
                <w:szCs w:val="18"/>
              </w:rPr>
              <w:t xml:space="preserve"> lanceolata</w:t>
            </w:r>
            <w:r>
              <w:rPr>
                <w:rFonts w:ascii="Cambria" w:hAnsi="Cambria" w:cs="Helvetica"/>
                <w:sz w:val="18"/>
                <w:szCs w:val="18"/>
              </w:rPr>
              <w:t xml:space="preserve"> (Aiton) Rehder</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Qld, SA,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kobus</w:t>
            </w:r>
            <w:r>
              <w:rPr>
                <w:rFonts w:ascii="Cambria" w:hAnsi="Cambria" w:cs="Helvetica"/>
                <w:sz w:val="18"/>
                <w:szCs w:val="18"/>
              </w:rPr>
              <w:t xml:space="preserve"> DC. [Magnoliaceae] – Kobus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kobus</w:t>
            </w:r>
            <w:r>
              <w:rPr>
                <w:rFonts w:ascii="Cambria" w:hAnsi="Cambria" w:cs="Helvetica"/>
                <w:sz w:val="18"/>
                <w:szCs w:val="18"/>
              </w:rPr>
              <w:t xml:space="preserve"> var. </w:t>
            </w:r>
            <w:r>
              <w:rPr>
                <w:rFonts w:ascii="Cambria" w:hAnsi="Cambria" w:cs="Helvetica"/>
                <w:i/>
                <w:iCs/>
                <w:sz w:val="18"/>
                <w:szCs w:val="18"/>
              </w:rPr>
              <w:t>borealis</w:t>
            </w:r>
            <w:r>
              <w:rPr>
                <w:rFonts w:ascii="Cambria" w:hAnsi="Cambria" w:cs="Helvetica"/>
                <w:sz w:val="18"/>
                <w:szCs w:val="18"/>
              </w:rPr>
              <w:t xml:space="preserve"> Sarg., </w:t>
            </w:r>
            <w:r>
              <w:rPr>
                <w:rFonts w:ascii="Cambria" w:hAnsi="Cambria" w:cs="Helvetica"/>
                <w:i/>
                <w:iCs/>
                <w:sz w:val="18"/>
                <w:szCs w:val="18"/>
              </w:rPr>
              <w:t>Magnolia kobus</w:t>
            </w:r>
            <w:r>
              <w:rPr>
                <w:rFonts w:ascii="Cambria" w:hAnsi="Cambria" w:cs="Helvetica"/>
                <w:sz w:val="18"/>
                <w:szCs w:val="18"/>
              </w:rPr>
              <w:t xml:space="preserve"> DC. var. </w:t>
            </w:r>
            <w:r>
              <w:rPr>
                <w:rFonts w:ascii="Cambria" w:hAnsi="Cambria" w:cs="Helvetica"/>
                <w:i/>
                <w:iCs/>
                <w:sz w:val="18"/>
                <w:szCs w:val="18"/>
              </w:rPr>
              <w:t>kobus</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Magnolia liliiflora </w:t>
            </w:r>
            <w:r>
              <w:rPr>
                <w:rFonts w:ascii="Cambria" w:hAnsi="Cambria" w:cs="Helvetica"/>
                <w:sz w:val="18"/>
                <w:szCs w:val="18"/>
              </w:rPr>
              <w:t>Desr. [Magnoliaceae] – Purple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APHIS 2008b;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salicifolia</w:t>
            </w:r>
            <w:r>
              <w:rPr>
                <w:rFonts w:ascii="Cambria" w:hAnsi="Cambria" w:cs="Helvetica"/>
                <w:sz w:val="18"/>
                <w:szCs w:val="18"/>
              </w:rPr>
              <w:t xml:space="preserve"> (Siebold &amp; Zucc.) Maxim. [Magnoliaceae] – Anise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Buergeria salicifolia</w:t>
            </w:r>
            <w:r>
              <w:rPr>
                <w:rFonts w:ascii="Cambria" w:hAnsi="Cambria" w:cs="Helvetica"/>
                <w:sz w:val="18"/>
                <w:szCs w:val="18"/>
              </w:rPr>
              <w:t xml:space="preserve"> Siebold &amp; Zucc., </w:t>
            </w:r>
            <w:r>
              <w:rPr>
                <w:rFonts w:ascii="Cambria" w:hAnsi="Cambria" w:cs="Helvetica"/>
                <w:i/>
                <w:iCs/>
                <w:sz w:val="18"/>
                <w:szCs w:val="18"/>
              </w:rPr>
              <w:t>Magnolia</w:t>
            </w:r>
            <w:r>
              <w:rPr>
                <w:rFonts w:ascii="Cambria" w:hAnsi="Cambria" w:cs="Helvetica"/>
                <w:sz w:val="18"/>
                <w:szCs w:val="18"/>
              </w:rPr>
              <w:t xml:space="preserve"> × </w:t>
            </w:r>
            <w:r>
              <w:rPr>
                <w:rFonts w:ascii="Cambria" w:hAnsi="Cambria" w:cs="Helvetica"/>
                <w:i/>
                <w:iCs/>
                <w:sz w:val="18"/>
                <w:szCs w:val="18"/>
              </w:rPr>
              <w:t>proctoriana</w:t>
            </w:r>
            <w:r>
              <w:rPr>
                <w:rFonts w:ascii="Cambria" w:hAnsi="Cambria" w:cs="Helvetica"/>
                <w:sz w:val="18"/>
                <w:szCs w:val="18"/>
              </w:rPr>
              <w:t xml:space="preserve"> Rehder</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stellata</w:t>
            </w:r>
            <w:r>
              <w:rPr>
                <w:rFonts w:ascii="Cambria" w:hAnsi="Cambria" w:cs="Helvetica"/>
                <w:sz w:val="18"/>
                <w:szCs w:val="18"/>
              </w:rPr>
              <w:t xml:space="preserve"> (Siebold &amp; Zucc.) Maxim. [Magnoliaceae] – Star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kobus</w:t>
            </w:r>
            <w:r>
              <w:rPr>
                <w:rFonts w:ascii="Cambria" w:hAnsi="Cambria" w:cs="Helvetica"/>
                <w:sz w:val="18"/>
                <w:szCs w:val="18"/>
              </w:rPr>
              <w:t xml:space="preserve"> var. </w:t>
            </w:r>
            <w:r>
              <w:rPr>
                <w:rFonts w:ascii="Cambria" w:hAnsi="Cambria" w:cs="Helvetica"/>
                <w:i/>
                <w:iCs/>
                <w:sz w:val="18"/>
                <w:szCs w:val="18"/>
              </w:rPr>
              <w:t>stellata</w:t>
            </w:r>
            <w:r>
              <w:rPr>
                <w:rFonts w:ascii="Cambria" w:hAnsi="Cambria" w:cs="Helvetica"/>
                <w:sz w:val="18"/>
                <w:szCs w:val="18"/>
              </w:rPr>
              <w:t xml:space="preserve"> (Siebold &amp; Zucc.) Blackburn, </w:t>
            </w:r>
            <w:r>
              <w:rPr>
                <w:rFonts w:ascii="Cambria" w:hAnsi="Cambria" w:cs="Helvetica"/>
                <w:i/>
                <w:iCs/>
                <w:sz w:val="18"/>
                <w:szCs w:val="18"/>
              </w:rPr>
              <w:t>Magnolia stellata</w:t>
            </w:r>
            <w:r>
              <w:rPr>
                <w:rFonts w:ascii="Cambria" w:hAnsi="Cambria" w:cs="Helvetica"/>
                <w:sz w:val="18"/>
                <w:szCs w:val="18"/>
              </w:rPr>
              <w:t xml:space="preserve"> var. </w:t>
            </w:r>
            <w:r>
              <w:rPr>
                <w:rFonts w:ascii="Cambria" w:hAnsi="Cambria" w:cs="Helvetica"/>
                <w:i/>
                <w:iCs/>
                <w:sz w:val="18"/>
                <w:szCs w:val="18"/>
              </w:rPr>
              <w:t>rosea</w:t>
            </w:r>
            <w:r>
              <w:rPr>
                <w:rFonts w:ascii="Cambria" w:hAnsi="Cambria" w:cs="Helvetica"/>
                <w:sz w:val="18"/>
                <w:szCs w:val="18"/>
              </w:rPr>
              <w:t xml:space="preserve"> J. H. Veitch</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Giltrap </w:t>
            </w:r>
            <w:r>
              <w:rPr>
                <w:rFonts w:ascii="Cambria" w:hAnsi="Cambria" w:cs="Helvetica"/>
                <w:iCs/>
                <w:sz w:val="18"/>
                <w:szCs w:val="18"/>
              </w:rPr>
              <w:t>et al.</w:t>
            </w:r>
            <w:r>
              <w:rPr>
                <w:rFonts w:ascii="Cambria" w:hAnsi="Cambria" w:cs="Helvetica"/>
                <w:sz w:val="18"/>
                <w:szCs w:val="18"/>
              </w:rPr>
              <w:t xml:space="preserve"> 2007;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Magnolia</w:t>
            </w:r>
            <w:r>
              <w:rPr>
                <w:rFonts w:ascii="Cambria" w:hAnsi="Cambria" w:cs="Helvetica"/>
                <w:sz w:val="18"/>
                <w:szCs w:val="18"/>
              </w:rPr>
              <w:t xml:space="preserve"> x </w:t>
            </w:r>
            <w:r>
              <w:rPr>
                <w:rFonts w:ascii="Cambria" w:hAnsi="Cambria" w:cs="Helvetica"/>
                <w:i/>
                <w:iCs/>
                <w:sz w:val="18"/>
                <w:szCs w:val="18"/>
              </w:rPr>
              <w:t>kewensis</w:t>
            </w:r>
            <w:r>
              <w:rPr>
                <w:rFonts w:ascii="Cambria" w:hAnsi="Cambria" w:cs="Helvetica"/>
                <w:sz w:val="18"/>
                <w:szCs w:val="18"/>
              </w:rPr>
              <w:t xml:space="preserve"> Pearce nom. inval. [Magnoliaceae]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w:t>
            </w:r>
            <w:r>
              <w:rPr>
                <w:rFonts w:ascii="Cambria" w:hAnsi="Cambria" w:cs="Helvetica"/>
                <w:sz w:val="18"/>
                <w:szCs w:val="18"/>
              </w:rPr>
              <w:t xml:space="preserve"> x </w:t>
            </w:r>
            <w:r>
              <w:rPr>
                <w:rFonts w:ascii="Cambria" w:hAnsi="Cambria" w:cs="Helvetica"/>
                <w:i/>
                <w:iCs/>
                <w:sz w:val="18"/>
                <w:szCs w:val="18"/>
              </w:rPr>
              <w:t>loebneri</w:t>
            </w:r>
            <w:r>
              <w:rPr>
                <w:rFonts w:ascii="Cambria" w:hAnsi="Cambria" w:cs="Helvetica"/>
                <w:sz w:val="18"/>
                <w:szCs w:val="18"/>
              </w:rPr>
              <w:t xml:space="preserve"> Kache [Magnoliaceae]– Loebner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Giltrap </w:t>
            </w:r>
            <w:r>
              <w:rPr>
                <w:rFonts w:ascii="Cambria" w:hAnsi="Cambria" w:cs="Helvetica"/>
                <w:iCs/>
                <w:sz w:val="18"/>
                <w:szCs w:val="18"/>
              </w:rPr>
              <w:t>et al.</w:t>
            </w:r>
            <w:r>
              <w:rPr>
                <w:rFonts w:ascii="Cambria" w:hAnsi="Cambria" w:cs="Helvetica"/>
                <w:sz w:val="18"/>
                <w:szCs w:val="18"/>
              </w:rPr>
              <w:t xml:space="preserve"> 2007;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Magnolia</w:t>
            </w:r>
            <w:r>
              <w:rPr>
                <w:rFonts w:ascii="Cambria" w:hAnsi="Cambria" w:cs="Helvetica"/>
                <w:sz w:val="18"/>
                <w:szCs w:val="18"/>
              </w:rPr>
              <w:t xml:space="preserve"> x </w:t>
            </w:r>
            <w:r>
              <w:rPr>
                <w:rFonts w:ascii="Cambria" w:hAnsi="Cambria" w:cs="Helvetica"/>
                <w:i/>
                <w:iCs/>
                <w:sz w:val="18"/>
                <w:szCs w:val="18"/>
              </w:rPr>
              <w:t>soulangeana</w:t>
            </w:r>
            <w:r>
              <w:rPr>
                <w:rFonts w:ascii="Cambria" w:hAnsi="Cambria" w:cs="Helvetica"/>
                <w:sz w:val="18"/>
                <w:szCs w:val="18"/>
              </w:rPr>
              <w:t xml:space="preserve"> Soul.-Bod. [Magnoliaceae] – Saucer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highlight w:val="yellow"/>
              </w:rPr>
            </w:pPr>
            <w:r>
              <w:rPr>
                <w:rFonts w:ascii="Cambria" w:hAnsi="Cambria" w:cs="Helvetica"/>
                <w:i/>
                <w:iCs/>
                <w:sz w:val="18"/>
                <w:szCs w:val="18"/>
              </w:rPr>
              <w:t xml:space="preserve">Magnolia x thompsoniana </w:t>
            </w:r>
            <w:r>
              <w:rPr>
                <w:rFonts w:ascii="Cambria" w:hAnsi="Cambria" w:cs="Helvetica"/>
                <w:sz w:val="18"/>
                <w:szCs w:val="18"/>
              </w:rPr>
              <w:t>de Vos</w:t>
            </w:r>
            <w:r>
              <w:rPr>
                <w:rFonts w:ascii="Cambria" w:hAnsi="Cambria" w:cs="Helvetica"/>
                <w:i/>
                <w:iCs/>
                <w:sz w:val="18"/>
                <w:szCs w:val="18"/>
              </w:rPr>
              <w:t xml:space="preserve"> </w:t>
            </w:r>
            <w:r>
              <w:rPr>
                <w:rFonts w:ascii="Cambria" w:hAnsi="Cambria" w:cs="Helvetica"/>
                <w:sz w:val="18"/>
                <w:szCs w:val="18"/>
              </w:rPr>
              <w:t xml:space="preserve">[Magnoliaceae]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 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Maianthemum racemosum</w:t>
            </w:r>
            <w:r>
              <w:rPr>
                <w:rFonts w:ascii="Cambria" w:hAnsi="Cambria" w:cs="Helvetica"/>
                <w:sz w:val="18"/>
                <w:szCs w:val="18"/>
              </w:rPr>
              <w:t xml:space="preserve"> (L) Link [Liliaceae] – False Solomon’s seal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Convallaria racemosa </w:t>
            </w:r>
            <w:r>
              <w:rPr>
                <w:rFonts w:ascii="Cambria" w:hAnsi="Cambria" w:cs="Helvetica"/>
                <w:sz w:val="18"/>
                <w:szCs w:val="18"/>
              </w:rPr>
              <w:t xml:space="preserve">L., </w:t>
            </w:r>
            <w:r>
              <w:rPr>
                <w:rFonts w:ascii="Cambria" w:hAnsi="Cambria" w:cs="Helvetica"/>
                <w:i/>
                <w:iCs/>
                <w:sz w:val="18"/>
                <w:szCs w:val="18"/>
              </w:rPr>
              <w:t>Smilacina racemosa</w:t>
            </w:r>
            <w:r>
              <w:rPr>
                <w:rFonts w:ascii="Cambria" w:hAnsi="Cambria" w:cs="Helvetica"/>
                <w:sz w:val="18"/>
                <w:szCs w:val="18"/>
              </w:rPr>
              <w:t xml:space="preserve"> (L.) Desf, </w:t>
            </w:r>
            <w:r>
              <w:rPr>
                <w:rFonts w:ascii="Cambria" w:hAnsi="Cambria" w:cs="Helvetica"/>
                <w:i/>
                <w:iCs/>
                <w:sz w:val="18"/>
                <w:szCs w:val="18"/>
              </w:rPr>
              <w:t xml:space="preserve">Vagnera racemosa </w:t>
            </w:r>
            <w:r>
              <w:rPr>
                <w:rFonts w:ascii="Cambria" w:hAnsi="Cambria" w:cs="Helvetica"/>
                <w:sz w:val="18"/>
                <w:szCs w:val="18"/>
              </w:rPr>
              <w:t>(L.) Morong</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Hüberli </w:t>
            </w:r>
            <w:r>
              <w:rPr>
                <w:rFonts w:ascii="Cambria" w:hAnsi="Cambria" w:cs="Helvetica"/>
                <w:iCs/>
                <w:sz w:val="18"/>
                <w:szCs w:val="18"/>
              </w:rPr>
              <w:t>et al</w:t>
            </w:r>
            <w:r>
              <w:rPr>
                <w:rFonts w:ascii="Cambria" w:hAnsi="Cambria" w:cs="Helvetica"/>
                <w:sz w:val="18"/>
                <w:szCs w:val="18"/>
              </w:rPr>
              <w:t>. 2005</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Arial"/>
                <w:i/>
                <w:iCs/>
                <w:sz w:val="18"/>
                <w:szCs w:val="18"/>
              </w:rPr>
              <w:t>Malus pumila</w:t>
            </w:r>
            <w:r>
              <w:rPr>
                <w:rFonts w:ascii="Cambria" w:hAnsi="Cambria" w:cs="Arial"/>
                <w:sz w:val="18"/>
                <w:szCs w:val="18"/>
              </w:rPr>
              <w:t xml:space="preserve"> </w:t>
            </w:r>
            <w:r>
              <w:rPr>
                <w:rFonts w:ascii="Cambria" w:hAnsi="Cambria" w:cs="Arial"/>
                <w:iCs/>
                <w:sz w:val="18"/>
                <w:szCs w:val="18"/>
              </w:rPr>
              <w:t>Mill [Rosaceae]</w:t>
            </w:r>
            <w:r>
              <w:rPr>
                <w:rFonts w:ascii="Cambria" w:hAnsi="Cambria" w:cs="Helvetica"/>
                <w:sz w:val="18"/>
                <w:szCs w:val="18"/>
              </w:rPr>
              <w:t xml:space="preserve">– Paradise apple (Note: Only reported as a host of </w:t>
            </w:r>
            <w:r>
              <w:rPr>
                <w:rFonts w:ascii="Cambria" w:hAnsi="Cambria" w:cs="Helvetica"/>
                <w:i/>
                <w:sz w:val="18"/>
                <w:szCs w:val="18"/>
              </w:rPr>
              <w:t>Phytophthora pseudosyringae</w:t>
            </w:r>
            <w:r>
              <w:rPr>
                <w:rFonts w:ascii="Cambria" w:hAnsi="Cambria"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Arial"/>
                <w:i/>
                <w:sz w:val="18"/>
                <w:szCs w:val="18"/>
              </w:rPr>
              <w:t>Malus dasyphylla</w:t>
            </w:r>
            <w:r>
              <w:rPr>
                <w:rFonts w:ascii="Cambria" w:hAnsi="Cambria" w:cs="Arial"/>
                <w:sz w:val="18"/>
                <w:szCs w:val="18"/>
              </w:rPr>
              <w:t xml:space="preserve"> Borkh., </w:t>
            </w:r>
            <w:r>
              <w:rPr>
                <w:rFonts w:ascii="Cambria" w:hAnsi="Cambria" w:cs="Arial"/>
                <w:i/>
                <w:sz w:val="18"/>
                <w:szCs w:val="18"/>
              </w:rPr>
              <w:t>Malus niedzwetzkyana</w:t>
            </w:r>
            <w:r>
              <w:rPr>
                <w:rFonts w:ascii="Cambria" w:hAnsi="Cambria" w:cs="Arial"/>
                <w:sz w:val="18"/>
                <w:szCs w:val="18"/>
              </w:rPr>
              <w:t xml:space="preserve"> Dieck, </w:t>
            </w:r>
            <w:r>
              <w:rPr>
                <w:rFonts w:ascii="Cambria" w:hAnsi="Cambria" w:cs="Arial"/>
                <w:i/>
                <w:sz w:val="18"/>
                <w:szCs w:val="18"/>
              </w:rPr>
              <w:t>Malus paradisiaca</w:t>
            </w:r>
            <w:r>
              <w:rPr>
                <w:rFonts w:ascii="Cambria" w:hAnsi="Cambria" w:cs="Arial"/>
                <w:sz w:val="18"/>
                <w:szCs w:val="18"/>
              </w:rPr>
              <w:t xml:space="preserve"> (L.) Medik., </w:t>
            </w:r>
            <w:r>
              <w:rPr>
                <w:rFonts w:ascii="Cambria" w:hAnsi="Cambria" w:cs="Arial"/>
                <w:i/>
                <w:sz w:val="18"/>
                <w:szCs w:val="18"/>
              </w:rPr>
              <w:t>Malus praecox</w:t>
            </w:r>
            <w:r>
              <w:rPr>
                <w:rFonts w:ascii="Cambria" w:hAnsi="Cambria" w:cs="Arial"/>
                <w:sz w:val="18"/>
                <w:szCs w:val="18"/>
              </w:rPr>
              <w:t xml:space="preserve"> Borkh., </w:t>
            </w:r>
            <w:r>
              <w:rPr>
                <w:rFonts w:ascii="Cambria" w:hAnsi="Cambria" w:cs="Arial"/>
                <w:i/>
                <w:sz w:val="18"/>
                <w:szCs w:val="18"/>
              </w:rPr>
              <w:t>Malus pumila</w:t>
            </w:r>
            <w:r>
              <w:rPr>
                <w:rFonts w:ascii="Cambria" w:hAnsi="Cambria" w:cs="Arial"/>
                <w:sz w:val="18"/>
                <w:szCs w:val="18"/>
              </w:rPr>
              <w:t xml:space="preserve"> var. </w:t>
            </w:r>
            <w:r>
              <w:rPr>
                <w:rFonts w:ascii="Cambria" w:hAnsi="Cambria" w:cs="Arial"/>
                <w:i/>
                <w:sz w:val="18"/>
                <w:szCs w:val="18"/>
              </w:rPr>
              <w:t>niedzwetzkyana</w:t>
            </w:r>
            <w:r>
              <w:rPr>
                <w:rFonts w:ascii="Cambria" w:hAnsi="Cambria" w:cs="Arial"/>
                <w:sz w:val="18"/>
                <w:szCs w:val="18"/>
              </w:rPr>
              <w:t xml:space="preserve"> (Dieck) C. K. Schneid., </w:t>
            </w:r>
            <w:r>
              <w:rPr>
                <w:rFonts w:ascii="Cambria" w:hAnsi="Cambria" w:cs="Arial"/>
                <w:i/>
                <w:sz w:val="18"/>
                <w:szCs w:val="18"/>
              </w:rPr>
              <w:t>Malus pumila</w:t>
            </w:r>
            <w:r>
              <w:rPr>
                <w:rFonts w:ascii="Cambria" w:hAnsi="Cambria" w:cs="Arial"/>
                <w:sz w:val="18"/>
                <w:szCs w:val="18"/>
              </w:rPr>
              <w:t xml:space="preserve"> var. </w:t>
            </w:r>
            <w:r>
              <w:rPr>
                <w:rFonts w:ascii="Cambria" w:hAnsi="Cambria" w:cs="Arial"/>
                <w:i/>
                <w:sz w:val="18"/>
                <w:szCs w:val="18"/>
              </w:rPr>
              <w:t>paradisiaca</w:t>
            </w:r>
            <w:r>
              <w:rPr>
                <w:rFonts w:ascii="Cambria" w:hAnsi="Cambria" w:cs="Arial"/>
                <w:sz w:val="18"/>
                <w:szCs w:val="18"/>
              </w:rPr>
              <w:t xml:space="preserve"> (L.) C. K. Schneid., </w:t>
            </w:r>
            <w:r>
              <w:rPr>
                <w:rFonts w:ascii="Cambria" w:hAnsi="Cambria" w:cs="Arial"/>
                <w:i/>
                <w:sz w:val="18"/>
                <w:szCs w:val="18"/>
              </w:rPr>
              <w:t>Malus sylvestris</w:t>
            </w:r>
            <w:r>
              <w:rPr>
                <w:rFonts w:ascii="Cambria" w:hAnsi="Cambria" w:cs="Arial"/>
                <w:sz w:val="18"/>
                <w:szCs w:val="18"/>
              </w:rPr>
              <w:t xml:space="preserve"> var. </w:t>
            </w:r>
            <w:r>
              <w:rPr>
                <w:rFonts w:ascii="Cambria" w:hAnsi="Cambria" w:cs="Arial"/>
                <w:i/>
                <w:sz w:val="18"/>
                <w:szCs w:val="18"/>
              </w:rPr>
              <w:t>dasyphylla</w:t>
            </w:r>
            <w:r>
              <w:rPr>
                <w:rFonts w:ascii="Cambria" w:hAnsi="Cambria" w:cs="Arial"/>
                <w:sz w:val="18"/>
                <w:szCs w:val="18"/>
              </w:rPr>
              <w:t xml:space="preserve"> (Borkh.) Ponomar., </w:t>
            </w:r>
            <w:r>
              <w:rPr>
                <w:rFonts w:ascii="Cambria" w:hAnsi="Cambria" w:cs="Arial"/>
                <w:i/>
                <w:sz w:val="18"/>
                <w:szCs w:val="18"/>
              </w:rPr>
              <w:t>Malus sylvestris</w:t>
            </w:r>
            <w:r>
              <w:rPr>
                <w:rFonts w:ascii="Cambria" w:hAnsi="Cambria" w:cs="Arial"/>
                <w:sz w:val="18"/>
                <w:szCs w:val="18"/>
              </w:rPr>
              <w:t xml:space="preserve"> var. </w:t>
            </w:r>
            <w:r>
              <w:rPr>
                <w:rFonts w:ascii="Cambria" w:hAnsi="Cambria" w:cs="Arial"/>
                <w:i/>
                <w:sz w:val="18"/>
                <w:szCs w:val="18"/>
              </w:rPr>
              <w:t>niedzwetskyana</w:t>
            </w:r>
            <w:r>
              <w:rPr>
                <w:rFonts w:ascii="Cambria" w:hAnsi="Cambria" w:cs="Arial"/>
                <w:sz w:val="18"/>
                <w:szCs w:val="18"/>
              </w:rPr>
              <w:t xml:space="preserve"> (Dieck) L. H. Bailey, </w:t>
            </w:r>
            <w:r>
              <w:rPr>
                <w:rFonts w:ascii="Cambria" w:hAnsi="Cambria" w:cs="Arial"/>
                <w:i/>
                <w:sz w:val="18"/>
                <w:szCs w:val="18"/>
              </w:rPr>
              <w:t>Malus sylvestris</w:t>
            </w:r>
            <w:r>
              <w:rPr>
                <w:rFonts w:ascii="Cambria" w:hAnsi="Cambria" w:cs="Arial"/>
                <w:sz w:val="18"/>
                <w:szCs w:val="18"/>
              </w:rPr>
              <w:t xml:space="preserve"> var. </w:t>
            </w:r>
            <w:r>
              <w:rPr>
                <w:rFonts w:ascii="Cambria" w:hAnsi="Cambria" w:cs="Arial"/>
                <w:i/>
                <w:sz w:val="18"/>
                <w:szCs w:val="18"/>
              </w:rPr>
              <w:t>praecox</w:t>
            </w:r>
            <w:r>
              <w:rPr>
                <w:rFonts w:ascii="Cambria" w:hAnsi="Cambria" w:cs="Arial"/>
                <w:sz w:val="18"/>
                <w:szCs w:val="18"/>
              </w:rPr>
              <w:t xml:space="preserve"> Ponomar., </w:t>
            </w:r>
            <w:r>
              <w:rPr>
                <w:rFonts w:ascii="Cambria" w:hAnsi="Cambria" w:cs="Arial"/>
                <w:i/>
                <w:sz w:val="18"/>
                <w:szCs w:val="18"/>
              </w:rPr>
              <w:t>Pyrus malus</w:t>
            </w:r>
            <w:r>
              <w:rPr>
                <w:rFonts w:ascii="Cambria" w:hAnsi="Cambria" w:cs="Arial"/>
                <w:sz w:val="18"/>
                <w:szCs w:val="18"/>
              </w:rPr>
              <w:t xml:space="preserve"> subsp</w:t>
            </w:r>
            <w:r>
              <w:rPr>
                <w:rFonts w:ascii="Cambria" w:hAnsi="Cambria" w:cs="Arial"/>
                <w:i/>
                <w:sz w:val="18"/>
                <w:szCs w:val="18"/>
              </w:rPr>
              <w:t>. paradisiaca</w:t>
            </w:r>
            <w:r>
              <w:rPr>
                <w:rFonts w:ascii="Cambria" w:hAnsi="Cambria" w:cs="Arial"/>
                <w:sz w:val="18"/>
                <w:szCs w:val="18"/>
              </w:rPr>
              <w:t xml:space="preserve"> (L.) Schübl. &amp; G. Martens</w:t>
            </w:r>
            <w:r>
              <w:rPr>
                <w:rFonts w:ascii="Cambria" w:hAnsi="Cambria" w:cs="Arial"/>
                <w:i/>
                <w:sz w:val="18"/>
                <w:szCs w:val="18"/>
              </w:rPr>
              <w:t>, Pyrus malus</w:t>
            </w:r>
            <w:r>
              <w:rPr>
                <w:rFonts w:ascii="Cambria" w:hAnsi="Cambria" w:cs="Arial"/>
                <w:sz w:val="18"/>
                <w:szCs w:val="18"/>
              </w:rPr>
              <w:t xml:space="preserve"> var. </w:t>
            </w:r>
            <w:r>
              <w:rPr>
                <w:rFonts w:ascii="Cambria" w:hAnsi="Cambria" w:cs="Arial"/>
                <w:i/>
                <w:sz w:val="18"/>
                <w:szCs w:val="18"/>
              </w:rPr>
              <w:t>paradisiaca</w:t>
            </w:r>
            <w:r>
              <w:rPr>
                <w:rFonts w:ascii="Cambria" w:hAnsi="Cambria" w:cs="Arial"/>
                <w:sz w:val="18"/>
                <w:szCs w:val="18"/>
              </w:rPr>
              <w:t xml:space="preserve"> L., </w:t>
            </w:r>
            <w:r>
              <w:rPr>
                <w:rFonts w:ascii="Cambria" w:hAnsi="Cambria" w:cs="Arial"/>
                <w:i/>
                <w:sz w:val="18"/>
                <w:szCs w:val="18"/>
              </w:rPr>
              <w:t>Pyrus niedzwetzkyana</w:t>
            </w:r>
            <w:r>
              <w:rPr>
                <w:rFonts w:ascii="Cambria" w:hAnsi="Cambria" w:cs="Arial"/>
                <w:sz w:val="18"/>
                <w:szCs w:val="18"/>
              </w:rPr>
              <w:t xml:space="preserve"> (Dieck) Hemsl., </w:t>
            </w:r>
            <w:r>
              <w:rPr>
                <w:rFonts w:ascii="Cambria" w:hAnsi="Cambria" w:cs="Arial"/>
                <w:i/>
                <w:sz w:val="18"/>
                <w:szCs w:val="18"/>
              </w:rPr>
              <w:t>Pyrus praecox</w:t>
            </w:r>
            <w:r>
              <w:rPr>
                <w:rFonts w:ascii="Cambria" w:hAnsi="Cambria" w:cs="Arial"/>
                <w:sz w:val="18"/>
                <w:szCs w:val="18"/>
              </w:rPr>
              <w:t xml:space="preserve"> Pall.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VIC, NSW, Qld, ACT, TAS,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Manglietia insignis</w:t>
            </w:r>
            <w:r>
              <w:rPr>
                <w:rFonts w:ascii="Cambria" w:hAnsi="Cambria" w:cs="Helvetica"/>
                <w:sz w:val="18"/>
                <w:szCs w:val="18"/>
              </w:rPr>
              <w:t xml:space="preserve"> (Wall.) Blume [Magnoliaceae] – Red lotus tree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insignis</w:t>
            </w:r>
            <w:r>
              <w:rPr>
                <w:rFonts w:ascii="Cambria" w:hAnsi="Cambria" w:cs="Helvetica"/>
                <w:sz w:val="18"/>
                <w:szCs w:val="18"/>
              </w:rPr>
              <w:t xml:space="preserve"> Wall.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et al. 2008;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Michelia cavalieri</w:t>
            </w:r>
            <w:r>
              <w:rPr>
                <w:rFonts w:ascii="Cambria" w:hAnsi="Cambria" w:cs="Helvetica"/>
                <w:sz w:val="18"/>
                <w:szCs w:val="18"/>
              </w:rPr>
              <w:t xml:space="preserve"> [Magnoliaceae] –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et al.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Michelia maudiae</w:t>
            </w:r>
            <w:r>
              <w:rPr>
                <w:rFonts w:ascii="Cambria" w:hAnsi="Cambria" w:cs="Helvetica"/>
                <w:sz w:val="18"/>
                <w:szCs w:val="18"/>
              </w:rPr>
              <w:t xml:space="preserve"> Dunn [Magnoliaceae] –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Michelia chingii</w:t>
            </w:r>
            <w:r>
              <w:rPr>
                <w:rFonts w:ascii="Cambria" w:hAnsi="Cambria" w:cs="Helvetica"/>
                <w:sz w:val="18"/>
                <w:szCs w:val="18"/>
              </w:rPr>
              <w:t xml:space="preserve"> W.C. Cheng</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Molinadendron sinaloense </w:t>
            </w:r>
            <w:r>
              <w:rPr>
                <w:rFonts w:ascii="Cambria" w:hAnsi="Cambria" w:cs="Helvetica"/>
                <w:sz w:val="18"/>
                <w:szCs w:val="18"/>
              </w:rPr>
              <w:t>(Standl. &amp; Gentry) P.K. Endress</w:t>
            </w:r>
            <w:r>
              <w:rPr>
                <w:rFonts w:ascii="Cambria" w:hAnsi="Cambria" w:cs="Helvetica"/>
                <w:i/>
                <w:iCs/>
                <w:sz w:val="18"/>
                <w:szCs w:val="18"/>
              </w:rPr>
              <w:t xml:space="preserve"> </w:t>
            </w:r>
            <w:r>
              <w:rPr>
                <w:rFonts w:ascii="Cambria" w:hAnsi="Cambria" w:cs="Helvetica"/>
                <w:sz w:val="18"/>
                <w:szCs w:val="18"/>
              </w:rPr>
              <w:t xml:space="preserve">[Hamamelidaceae]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Distylium sinaloense</w:t>
            </w:r>
            <w:r>
              <w:rPr>
                <w:rFonts w:ascii="Cambria" w:hAnsi="Cambria" w:cs="Helvetica"/>
                <w:sz w:val="18"/>
                <w:szCs w:val="18"/>
              </w:rPr>
              <w:t xml:space="preserve"> Standl. &amp; Gentry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Myristica fragrans </w:t>
            </w:r>
            <w:r>
              <w:rPr>
                <w:rFonts w:ascii="Cambria" w:hAnsi="Cambria" w:cs="Helvetica"/>
                <w:sz w:val="18"/>
                <w:szCs w:val="18"/>
              </w:rPr>
              <w:t>Houtt. [Myristicaceae]– Nutmeg</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Myristica officinalis</w:t>
            </w:r>
            <w:r>
              <w:rPr>
                <w:rFonts w:ascii="Cambria" w:hAnsi="Cambria" w:cs="Helvetica"/>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color w:val="FF0000"/>
                <w:sz w:val="18"/>
                <w:szCs w:val="18"/>
              </w:rPr>
            </w:pPr>
            <w:r>
              <w:rPr>
                <w:rFonts w:ascii="Cambria" w:hAnsi="Cambria" w:cs="Helvetica"/>
                <w:sz w:val="18"/>
                <w:szCs w:val="18"/>
              </w:rPr>
              <w:t>Mathew &amp; Beena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Nerium oleander</w:t>
            </w:r>
            <w:r>
              <w:rPr>
                <w:rFonts w:ascii="Cambria" w:hAnsi="Cambria" w:cs="Helvetica"/>
                <w:sz w:val="18"/>
                <w:szCs w:val="18"/>
              </w:rPr>
              <w:t xml:space="preserve"> L. [Apocynaceae] – Oleander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Nerium indicum</w:t>
            </w:r>
            <w:r>
              <w:rPr>
                <w:rFonts w:ascii="Cambria" w:hAnsi="Cambria" w:cs="Helvetica"/>
                <w:sz w:val="18"/>
                <w:szCs w:val="18"/>
              </w:rPr>
              <w:t xml:space="preserve"> Mill., </w:t>
            </w:r>
            <w:r>
              <w:rPr>
                <w:rFonts w:ascii="Cambria" w:hAnsi="Cambria" w:cs="Helvetica"/>
                <w:i/>
                <w:iCs/>
                <w:sz w:val="18"/>
                <w:szCs w:val="18"/>
              </w:rPr>
              <w:t>Nerium odorum</w:t>
            </w:r>
            <w:r>
              <w:rPr>
                <w:rFonts w:ascii="Cambria" w:hAnsi="Cambria" w:cs="Helvetica"/>
                <w:sz w:val="18"/>
                <w:szCs w:val="18"/>
              </w:rPr>
              <w:t xml:space="preserve"> Aiton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WA, SA, Qld, NSW, ACT, VIC,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Nothofagus alpina (</w:t>
            </w:r>
            <w:r>
              <w:rPr>
                <w:rFonts w:ascii="Cambria" w:hAnsi="Cambria" w:cs="Helvetica"/>
                <w:iCs/>
                <w:sz w:val="18"/>
                <w:szCs w:val="18"/>
              </w:rPr>
              <w:t>Poepp. &amp; Endl.) Oerst.</w:t>
            </w:r>
            <w:r>
              <w:rPr>
                <w:rFonts w:ascii="Cambria" w:hAnsi="Cambria" w:cs="Helvetica"/>
                <w:i/>
                <w:iCs/>
                <w:sz w:val="18"/>
                <w:szCs w:val="18"/>
              </w:rPr>
              <w:t xml:space="preserve"> </w:t>
            </w:r>
            <w:r>
              <w:rPr>
                <w:rFonts w:ascii="Cambria" w:hAnsi="Cambria" w:cs="Helvetica"/>
                <w:sz w:val="18"/>
                <w:szCs w:val="18"/>
              </w:rPr>
              <w:t>[Fagaceae] – Rauli beech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Fagus alpina</w:t>
            </w:r>
            <w:r>
              <w:rPr>
                <w:rFonts w:ascii="Cambria" w:hAnsi="Cambria" w:cs="Helvetica"/>
                <w:sz w:val="18"/>
                <w:szCs w:val="18"/>
              </w:rPr>
              <w:t xml:space="preserve"> Poepp. &amp; Endl, </w:t>
            </w:r>
            <w:r>
              <w:rPr>
                <w:rFonts w:ascii="Cambria" w:hAnsi="Cambria" w:cs="Helvetica"/>
                <w:i/>
                <w:sz w:val="18"/>
                <w:szCs w:val="18"/>
              </w:rPr>
              <w:t>Fagus nervosa</w:t>
            </w:r>
            <w:r>
              <w:rPr>
                <w:rFonts w:ascii="Cambria" w:hAnsi="Cambria" w:cs="Helvetica"/>
                <w:sz w:val="18"/>
                <w:szCs w:val="18"/>
              </w:rPr>
              <w:t xml:space="preserve"> Phil., </w:t>
            </w:r>
            <w:r>
              <w:rPr>
                <w:rFonts w:ascii="Cambria" w:hAnsi="Cambria" w:cs="Helvetica"/>
                <w:i/>
                <w:sz w:val="18"/>
                <w:szCs w:val="18"/>
              </w:rPr>
              <w:t>Fagus procera</w:t>
            </w:r>
            <w:r>
              <w:rPr>
                <w:rFonts w:ascii="Cambria" w:hAnsi="Cambria" w:cs="Helvetica"/>
                <w:sz w:val="18"/>
                <w:szCs w:val="18"/>
              </w:rPr>
              <w:t xml:space="preserve"> Poepp. &amp; Endl., </w:t>
            </w:r>
            <w:r>
              <w:rPr>
                <w:rFonts w:ascii="Cambria" w:hAnsi="Cambria" w:cs="Helvetica"/>
                <w:i/>
                <w:sz w:val="18"/>
                <w:szCs w:val="18"/>
              </w:rPr>
              <w:lastRenderedPageBreak/>
              <w:t>Lophozonia alpina</w:t>
            </w:r>
            <w:r>
              <w:rPr>
                <w:rFonts w:ascii="Cambria" w:hAnsi="Cambria" w:cs="Helvetica"/>
                <w:sz w:val="18"/>
                <w:szCs w:val="18"/>
              </w:rPr>
              <w:t xml:space="preserve"> (Poepp. &amp; Endl.) Heenan &amp; Smissen, </w:t>
            </w:r>
            <w:r>
              <w:rPr>
                <w:rFonts w:ascii="Cambria" w:hAnsi="Cambria" w:cs="Helvetica"/>
                <w:i/>
                <w:sz w:val="18"/>
                <w:szCs w:val="18"/>
              </w:rPr>
              <w:t>Nothofagus nervosa</w:t>
            </w:r>
            <w:r>
              <w:rPr>
                <w:rFonts w:ascii="Cambria" w:hAnsi="Cambria" w:cs="Helvetica"/>
                <w:sz w:val="18"/>
                <w:szCs w:val="18"/>
              </w:rPr>
              <w:t xml:space="preserve"> (Phil.) Krasser, </w:t>
            </w:r>
            <w:r>
              <w:rPr>
                <w:rFonts w:ascii="Cambria" w:hAnsi="Cambria" w:cs="Helvetica"/>
                <w:i/>
                <w:iCs/>
                <w:sz w:val="18"/>
                <w:szCs w:val="18"/>
              </w:rPr>
              <w:t>Nothofagus procera</w:t>
            </w:r>
            <w:r>
              <w:rPr>
                <w:rFonts w:ascii="Cambria" w:hAnsi="Cambria" w:cs="Helvetica"/>
                <w:sz w:val="18"/>
                <w:szCs w:val="18"/>
              </w:rPr>
              <w:t xml:space="preserve"> Oerst.</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lastRenderedPageBreak/>
              <w:t>Scanu et al.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Nothofagus obliqua</w:t>
            </w:r>
            <w:r>
              <w:rPr>
                <w:rFonts w:ascii="Cambria" w:hAnsi="Cambria" w:cs="Helvetica"/>
                <w:sz w:val="18"/>
                <w:szCs w:val="18"/>
              </w:rPr>
              <w:t xml:space="preserve"> (Mirb.) Blume [Fagaceae] –Roble beech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Fagus obliqua</w:t>
            </w:r>
            <w:r>
              <w:rPr>
                <w:rFonts w:ascii="Cambria" w:hAnsi="Cambria" w:cs="Helvetica"/>
                <w:sz w:val="18"/>
                <w:szCs w:val="18"/>
              </w:rPr>
              <w:t xml:space="preserve"> Mirb.</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highlight w:val="magenta"/>
              </w:rPr>
            </w:pPr>
            <w:r>
              <w:rPr>
                <w:rFonts w:ascii="Cambria" w:hAnsi="Cambria" w:cs="Helvetica"/>
                <w:i/>
                <w:iCs/>
                <w:sz w:val="18"/>
                <w:szCs w:val="18"/>
              </w:rPr>
              <w:t xml:space="preserve">Notholithocarpus densiflorus </w:t>
            </w:r>
            <w:r>
              <w:rPr>
                <w:rFonts w:ascii="Cambria" w:hAnsi="Cambria" w:cs="Helvetica"/>
                <w:sz w:val="18"/>
                <w:szCs w:val="18"/>
              </w:rPr>
              <w:t>(Hook. &amp; Arn.) Manos et al. [Fagaceae]– Tanoak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Lithocarpus densiflorus</w:t>
            </w:r>
            <w:r>
              <w:rPr>
                <w:rFonts w:ascii="Cambria" w:hAnsi="Cambria" w:cs="Helvetica"/>
                <w:sz w:val="18"/>
                <w:szCs w:val="18"/>
              </w:rPr>
              <w:t xml:space="preserve"> (Hook. &amp; Arn.) Rehder, </w:t>
            </w:r>
            <w:r>
              <w:rPr>
                <w:rFonts w:ascii="Cambria" w:hAnsi="Cambria" w:cs="Helvetica"/>
                <w:i/>
                <w:iCs/>
                <w:sz w:val="18"/>
                <w:szCs w:val="18"/>
              </w:rPr>
              <w:t>Quercus densiflora</w:t>
            </w:r>
            <w:r>
              <w:rPr>
                <w:rFonts w:ascii="Cambria" w:hAnsi="Cambria" w:cs="Helvetica"/>
                <w:sz w:val="18"/>
                <w:szCs w:val="18"/>
              </w:rPr>
              <w:t xml:space="preserve"> Hook. &amp; Arn.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w:t>
            </w:r>
            <w:r>
              <w:rPr>
                <w:rFonts w:ascii="Cambria" w:hAnsi="Cambria" w:cs="Helvetica"/>
                <w:iCs/>
                <w:sz w:val="18"/>
                <w:szCs w:val="18"/>
              </w:rPr>
              <w:t>et al.</w:t>
            </w:r>
            <w:r>
              <w:rPr>
                <w:rFonts w:ascii="Cambria" w:hAnsi="Cambria" w:cs="Helvetica"/>
                <w:sz w:val="18"/>
                <w:szCs w:val="18"/>
              </w:rPr>
              <w:t xml:space="preserve"> 2003; Hansen </w:t>
            </w:r>
            <w:r>
              <w:rPr>
                <w:rFonts w:ascii="Cambria" w:hAnsi="Cambria" w:cs="Helvetica"/>
                <w:iCs/>
                <w:sz w:val="18"/>
                <w:szCs w:val="18"/>
              </w:rPr>
              <w:t>et al</w:t>
            </w:r>
            <w:r>
              <w:rPr>
                <w:rFonts w:ascii="Cambria" w:hAnsi="Cambria" w:cs="Helvetica"/>
                <w:sz w:val="18"/>
                <w:szCs w:val="18"/>
              </w:rPr>
              <w:t xml:space="preserve">. 2003a; Scianna </w:t>
            </w:r>
            <w:r>
              <w:rPr>
                <w:rFonts w:ascii="Cambria" w:hAnsi="Cambria" w:cs="Helvetica"/>
                <w:iCs/>
                <w:sz w:val="18"/>
                <w:szCs w:val="18"/>
              </w:rPr>
              <w:t>et al</w:t>
            </w:r>
            <w:r>
              <w:rPr>
                <w:rFonts w:ascii="Cambria" w:hAnsi="Cambria" w:cs="Helvetica"/>
                <w:sz w:val="18"/>
                <w:szCs w:val="18"/>
              </w:rPr>
              <w:t xml:space="preserve">. 2003;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Osmanthus decorus</w:t>
            </w:r>
            <w:r>
              <w:rPr>
                <w:rFonts w:ascii="Cambria" w:hAnsi="Cambria" w:cs="Helvetica"/>
                <w:sz w:val="18"/>
                <w:szCs w:val="18"/>
              </w:rPr>
              <w:t xml:space="preserve"> (Boiss. &amp; Balansa) Kasapligil [Oleaceae]– Osmanthus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Phillyrea decora</w:t>
            </w:r>
            <w:r>
              <w:rPr>
                <w:rFonts w:ascii="Cambria" w:hAnsi="Cambria" w:cs="Helvetica"/>
                <w:sz w:val="18"/>
                <w:szCs w:val="18"/>
              </w:rPr>
              <w:t xml:space="preserve"> Boiss. &amp; Balansa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Osmanthus delavayi</w:t>
            </w:r>
            <w:r>
              <w:rPr>
                <w:rFonts w:ascii="Cambria" w:hAnsi="Cambria" w:cs="Helvetica"/>
                <w:sz w:val="18"/>
                <w:szCs w:val="18"/>
              </w:rPr>
              <w:t xml:space="preserve"> Franch. [Oleaceae] – Delavay osmanthus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Siphonosmanthus delavayi</w:t>
            </w:r>
            <w:r>
              <w:rPr>
                <w:rFonts w:ascii="Cambria" w:hAnsi="Cambria" w:cs="Helvetica"/>
                <w:sz w:val="18"/>
                <w:szCs w:val="18"/>
              </w:rPr>
              <w:t xml:space="preserve"> (Franch.) Stapf</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RAPRA 2012;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Osmanthus fragrans</w:t>
            </w:r>
            <w:r>
              <w:rPr>
                <w:rFonts w:ascii="Cambria" w:hAnsi="Cambria" w:cs="Helvetica"/>
                <w:sz w:val="18"/>
                <w:szCs w:val="18"/>
              </w:rPr>
              <w:t xml:space="preserve"> Lour. [Oleaceae] – Sweet olive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Osmanthus aurantiacus</w:t>
            </w:r>
            <w:r>
              <w:rPr>
                <w:rFonts w:ascii="Cambria" w:hAnsi="Cambria" w:cs="Helvetica"/>
                <w:sz w:val="18"/>
                <w:szCs w:val="18"/>
              </w:rPr>
              <w:t xml:space="preserve"> (Makino) Nakai</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shd w:val="clear" w:color="auto" w:fill="FFFFFF"/>
              </w:rPr>
              <w:t xml:space="preserve">Cave et al. 2008; Grünwald </w:t>
            </w:r>
            <w:r>
              <w:rPr>
                <w:rFonts w:ascii="Cambria" w:hAnsi="Cambria" w:cs="Helvetica"/>
                <w:iCs/>
                <w:sz w:val="18"/>
                <w:szCs w:val="18"/>
                <w:shd w:val="clear" w:color="auto" w:fill="FFFFFF"/>
              </w:rPr>
              <w:t>et al</w:t>
            </w:r>
            <w:r>
              <w:rPr>
                <w:rFonts w:ascii="Cambria" w:hAnsi="Cambria" w:cs="Helvetica"/>
                <w:sz w:val="18"/>
                <w:szCs w:val="18"/>
                <w:shd w:val="clear" w:color="auto" w:fill="FFFFFF"/>
              </w:rPr>
              <w:t xml:space="preserve">. 2008a; Sansford </w:t>
            </w:r>
            <w:r>
              <w:rPr>
                <w:rFonts w:ascii="Cambria" w:hAnsi="Cambria" w:cs="Helvetica"/>
                <w:iCs/>
                <w:sz w:val="18"/>
                <w:szCs w:val="18"/>
                <w:shd w:val="clear" w:color="auto" w:fill="FFFFFF"/>
              </w:rPr>
              <w:t>et al.</w:t>
            </w:r>
            <w:r>
              <w:rPr>
                <w:rFonts w:ascii="Cambria" w:hAnsi="Cambria" w:cs="Helvetica"/>
                <w:sz w:val="18"/>
                <w:szCs w:val="18"/>
                <w:shd w:val="clear" w:color="auto" w:fill="FFFFFF"/>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Osmanthus heterophyllus</w:t>
            </w:r>
            <w:r>
              <w:rPr>
                <w:rFonts w:ascii="Cambria" w:hAnsi="Cambria" w:cs="Helvetica"/>
                <w:sz w:val="18"/>
                <w:szCs w:val="18"/>
              </w:rPr>
              <w:t xml:space="preserve"> </w:t>
            </w:r>
            <w:r>
              <w:rPr>
                <w:rFonts w:ascii="Cambria" w:hAnsi="Cambria" w:cs="Helvetica"/>
                <w:i/>
                <w:iCs/>
                <w:sz w:val="18"/>
                <w:szCs w:val="18"/>
              </w:rPr>
              <w:t>(</w:t>
            </w:r>
            <w:r>
              <w:rPr>
                <w:rFonts w:ascii="Cambria" w:hAnsi="Cambria" w:cs="Helvetica"/>
                <w:sz w:val="18"/>
                <w:szCs w:val="18"/>
              </w:rPr>
              <w:t>G. Don) P. S. Green [Oleaceae] – Holly osmanthus, Holly olive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Ilex heterophylla</w:t>
            </w:r>
            <w:r>
              <w:rPr>
                <w:rFonts w:ascii="Cambria" w:hAnsi="Cambria" w:cs="Helvetica"/>
                <w:sz w:val="18"/>
                <w:szCs w:val="18"/>
              </w:rPr>
              <w:t xml:space="preserve"> G. Don</w:t>
            </w:r>
            <w:r>
              <w:rPr>
                <w:rFonts w:ascii="Cambria" w:hAnsi="Cambria" w:cs="Helvetica"/>
                <w:i/>
                <w:iCs/>
                <w:sz w:val="18"/>
                <w:szCs w:val="18"/>
              </w:rPr>
              <w:t>, Olea aquifolium</w:t>
            </w:r>
            <w:r>
              <w:rPr>
                <w:rFonts w:ascii="Cambria" w:hAnsi="Cambria" w:cs="Helvetica"/>
                <w:sz w:val="18"/>
                <w:szCs w:val="18"/>
              </w:rPr>
              <w:t xml:space="preserve"> Siebold &amp; Zucc., </w:t>
            </w:r>
            <w:r>
              <w:rPr>
                <w:rFonts w:ascii="Cambria" w:hAnsi="Cambria" w:cs="Helvetica"/>
                <w:i/>
                <w:iCs/>
                <w:sz w:val="18"/>
                <w:szCs w:val="18"/>
              </w:rPr>
              <w:t>Olea ilicifolia</w:t>
            </w:r>
            <w:r>
              <w:rPr>
                <w:rFonts w:ascii="Cambria" w:hAnsi="Cambria" w:cs="Helvetica"/>
                <w:sz w:val="18"/>
                <w:szCs w:val="18"/>
              </w:rPr>
              <w:t xml:space="preserve"> Siebold ex Hassk., </w:t>
            </w:r>
            <w:r>
              <w:rPr>
                <w:rFonts w:ascii="Cambria" w:hAnsi="Cambria" w:cs="Helvetica"/>
                <w:i/>
                <w:iCs/>
                <w:sz w:val="18"/>
                <w:szCs w:val="18"/>
              </w:rPr>
              <w:t>Osmanthus ilicifolius</w:t>
            </w:r>
            <w:r>
              <w:rPr>
                <w:rFonts w:ascii="Cambria" w:hAnsi="Cambria" w:cs="Helvetica"/>
                <w:sz w:val="18"/>
                <w:szCs w:val="18"/>
              </w:rPr>
              <w:t xml:space="preserve"> (Hassk.) hort. ex Carrière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shd w:val="clear" w:color="auto" w:fill="FFFFFF"/>
              </w:rPr>
              <w:t xml:space="preserve">Grünwald </w:t>
            </w:r>
            <w:r>
              <w:rPr>
                <w:rFonts w:ascii="Cambria" w:hAnsi="Cambria" w:cs="Helvetica"/>
                <w:iCs/>
                <w:sz w:val="18"/>
                <w:szCs w:val="18"/>
                <w:shd w:val="clear" w:color="auto" w:fill="FFFFFF"/>
              </w:rPr>
              <w:t>et al</w:t>
            </w:r>
            <w:r>
              <w:rPr>
                <w:rFonts w:ascii="Cambria" w:hAnsi="Cambria" w:cs="Helvetica"/>
                <w:sz w:val="18"/>
                <w:szCs w:val="18"/>
                <w:shd w:val="clear" w:color="auto" w:fill="FFFFFF"/>
              </w:rPr>
              <w:t>. 2008a;</w:t>
            </w:r>
            <w:r>
              <w:rPr>
                <w:rFonts w:ascii="Cambria" w:hAnsi="Cambria" w:cs="Helvetica"/>
                <w:sz w:val="18"/>
                <w:szCs w:val="18"/>
              </w:rPr>
              <w:t xml:space="preserve"> 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Osmorhiza berteroi</w:t>
            </w:r>
            <w:r>
              <w:rPr>
                <w:rFonts w:ascii="Cambria" w:hAnsi="Cambria" w:cs="Helvetica"/>
                <w:sz w:val="18"/>
                <w:szCs w:val="18"/>
              </w:rPr>
              <w:t xml:space="preserve"> DC. [Apiaceae] – Sweet cicely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Osmorhiza chilensis </w:t>
            </w:r>
            <w:r>
              <w:rPr>
                <w:rFonts w:ascii="Cambria" w:hAnsi="Cambria" w:cs="Helvetica"/>
                <w:sz w:val="18"/>
                <w:szCs w:val="18"/>
              </w:rPr>
              <w:t xml:space="preserve">Hook. &amp; Arn., </w:t>
            </w:r>
            <w:r>
              <w:rPr>
                <w:rFonts w:ascii="Cambria" w:hAnsi="Cambria" w:cs="Helvetica"/>
                <w:i/>
                <w:iCs/>
                <w:sz w:val="18"/>
                <w:szCs w:val="18"/>
              </w:rPr>
              <w:t>Scandix chilensis</w:t>
            </w:r>
            <w:r>
              <w:rPr>
                <w:rFonts w:ascii="Cambria" w:hAnsi="Cambria" w:cs="Helvetica"/>
                <w:sz w:val="18"/>
                <w:szCs w:val="18"/>
              </w:rPr>
              <w:t xml:space="preserve"> Molina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Parakilometerseria lotungensis</w:t>
            </w:r>
            <w:r>
              <w:rPr>
                <w:rFonts w:ascii="Cambria" w:hAnsi="Cambria" w:cs="Helvetica"/>
                <w:sz w:val="18"/>
                <w:szCs w:val="18"/>
              </w:rPr>
              <w:t xml:space="preserve"> (Chun &amp; C.H. Tsoong) Y.W. Law [Magnoliaceae] – Eastern joy lotus tree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Magnolia lotungensis</w:t>
            </w:r>
            <w:r>
              <w:rPr>
                <w:rFonts w:ascii="Cambria" w:hAnsi="Cambria" w:cs="Helvetica"/>
                <w:sz w:val="18"/>
                <w:szCs w:val="18"/>
              </w:rPr>
              <w:t xml:space="preserve"> Chun &amp; C.H. Tsoong</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Parrotia persica</w:t>
            </w:r>
            <w:r>
              <w:rPr>
                <w:rFonts w:ascii="Cambria" w:hAnsi="Cambria" w:cs="Helvetica"/>
                <w:sz w:val="18"/>
                <w:szCs w:val="18"/>
              </w:rPr>
              <w:t xml:space="preserve"> (DC.) C. A. Mey. [Hamamelidaceae] – Persian Ironwood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Hughes </w:t>
            </w:r>
            <w:r>
              <w:rPr>
                <w:rFonts w:ascii="Cambria" w:hAnsi="Cambria" w:cs="Helvetica"/>
                <w:iCs/>
                <w:sz w:val="18"/>
                <w:szCs w:val="18"/>
              </w:rPr>
              <w:t>et al.</w:t>
            </w:r>
            <w:r>
              <w:rPr>
                <w:rFonts w:ascii="Cambria" w:hAnsi="Cambria" w:cs="Helvetica"/>
                <w:sz w:val="18"/>
                <w:szCs w:val="18"/>
              </w:rPr>
              <w:t xml:space="preserve"> 2006;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NSW,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Phoradendron serotinum </w:t>
            </w:r>
            <w:r>
              <w:rPr>
                <w:rFonts w:ascii="Cambria" w:hAnsi="Cambria" w:cs="Helvetica"/>
                <w:sz w:val="18"/>
                <w:szCs w:val="18"/>
              </w:rPr>
              <w:t>subsp.</w:t>
            </w:r>
            <w:r>
              <w:rPr>
                <w:rFonts w:ascii="Cambria" w:hAnsi="Cambria" w:cs="Helvetica"/>
                <w:i/>
                <w:iCs/>
                <w:sz w:val="18"/>
                <w:szCs w:val="18"/>
              </w:rPr>
              <w:t xml:space="preserve"> macrophyllum </w:t>
            </w:r>
            <w:r>
              <w:rPr>
                <w:rFonts w:ascii="Cambria" w:hAnsi="Cambria" w:cs="Helvetica"/>
                <w:sz w:val="18"/>
                <w:szCs w:val="18"/>
              </w:rPr>
              <w:t>(Engelm.) Kuijt</w:t>
            </w:r>
            <w:r>
              <w:rPr>
                <w:rFonts w:ascii="Cambria" w:hAnsi="Cambria" w:cs="Helvetica"/>
                <w:i/>
                <w:iCs/>
                <w:sz w:val="18"/>
                <w:szCs w:val="18"/>
              </w:rPr>
              <w:t xml:space="preserve"> </w:t>
            </w:r>
            <w:r>
              <w:rPr>
                <w:rFonts w:ascii="Cambria" w:hAnsi="Cambria" w:cs="Helvetica"/>
                <w:sz w:val="18"/>
                <w:szCs w:val="18"/>
              </w:rPr>
              <w:t>[Santalaceae] – Mistletoe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Riley &amp; Chastagner 2011</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Photinia</w:t>
            </w:r>
            <w:r>
              <w:rPr>
                <w:rFonts w:ascii="Cambria" w:hAnsi="Cambria" w:cs="Helvetica"/>
                <w:sz w:val="18"/>
                <w:szCs w:val="18"/>
              </w:rPr>
              <w:t xml:space="preserve"> x </w:t>
            </w:r>
            <w:r>
              <w:rPr>
                <w:rFonts w:ascii="Cambria" w:hAnsi="Cambria" w:cs="Helvetica"/>
                <w:i/>
                <w:iCs/>
                <w:sz w:val="18"/>
                <w:szCs w:val="18"/>
              </w:rPr>
              <w:t>fraseri</w:t>
            </w:r>
            <w:r>
              <w:rPr>
                <w:rFonts w:ascii="Cambria" w:hAnsi="Cambria" w:cs="Helvetica"/>
                <w:sz w:val="18"/>
                <w:szCs w:val="18"/>
              </w:rPr>
              <w:t xml:space="preserve"> Dress [Rosaceae] – Fraser’s photinia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Orlikowski &amp; Szkuta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lastRenderedPageBreak/>
              <w:t>Physocarpus opulifolius</w:t>
            </w:r>
            <w:r>
              <w:rPr>
                <w:rFonts w:ascii="Cambria" w:hAnsi="Cambria" w:cs="Helvetica"/>
                <w:sz w:val="18"/>
                <w:szCs w:val="18"/>
              </w:rPr>
              <w:t xml:space="preserve"> (L.) Maxim.</w:t>
            </w:r>
            <w:r>
              <w:rPr>
                <w:rFonts w:ascii="Cambria" w:hAnsi="Cambria" w:cs="Helvetica"/>
                <w:i/>
                <w:iCs/>
                <w:sz w:val="18"/>
                <w:szCs w:val="18"/>
              </w:rPr>
              <w:t xml:space="preserve"> </w:t>
            </w:r>
            <w:r>
              <w:rPr>
                <w:rFonts w:ascii="Cambria" w:hAnsi="Cambria" w:cs="Helvetica"/>
                <w:sz w:val="18"/>
                <w:szCs w:val="18"/>
              </w:rPr>
              <w:t>[Rosaceae] – Ninebark</w:t>
            </w:r>
            <w:r>
              <w:rPr>
                <w:rStyle w:val="CommentReference"/>
                <w:rFonts w:ascii="Cambria" w:hAnsi="Cambria" w:cs="Helvetica"/>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Opulaster intermedius</w:t>
            </w:r>
            <w:r>
              <w:rPr>
                <w:rFonts w:ascii="Cambria" w:hAnsi="Cambria" w:cs="Helvetica"/>
                <w:sz w:val="18"/>
                <w:szCs w:val="18"/>
              </w:rPr>
              <w:t xml:space="preserve"> Rydb., </w:t>
            </w:r>
            <w:r>
              <w:rPr>
                <w:rFonts w:ascii="Cambria" w:hAnsi="Cambria" w:cs="Helvetica"/>
                <w:i/>
                <w:iCs/>
                <w:sz w:val="18"/>
                <w:szCs w:val="18"/>
              </w:rPr>
              <w:t>Physocarpus intermedius</w:t>
            </w:r>
            <w:r>
              <w:rPr>
                <w:rFonts w:ascii="Cambria" w:hAnsi="Cambria" w:cs="Helvetica"/>
                <w:sz w:val="18"/>
                <w:szCs w:val="18"/>
              </w:rPr>
              <w:t xml:space="preserve"> (Rydb.) C. K. Schneid., </w:t>
            </w:r>
            <w:r>
              <w:rPr>
                <w:rFonts w:ascii="Cambria" w:hAnsi="Cambria" w:cs="Helvetica"/>
                <w:i/>
                <w:iCs/>
                <w:sz w:val="18"/>
                <w:szCs w:val="18"/>
              </w:rPr>
              <w:t>Physocarpus stellatus</w:t>
            </w:r>
            <w:r>
              <w:rPr>
                <w:rFonts w:ascii="Cambria" w:hAnsi="Cambria" w:cs="Helvetica"/>
                <w:sz w:val="18"/>
                <w:szCs w:val="18"/>
              </w:rPr>
              <w:t xml:space="preserve"> (Rydb. ex Small) Rehder</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Picea</w:t>
            </w:r>
            <w:r>
              <w:rPr>
                <w:rFonts w:ascii="Cambria" w:hAnsi="Cambria" w:cs="Helvetica"/>
                <w:sz w:val="18"/>
                <w:szCs w:val="18"/>
              </w:rPr>
              <w:t xml:space="preserve"> </w:t>
            </w:r>
            <w:r>
              <w:rPr>
                <w:rFonts w:ascii="Cambria" w:hAnsi="Cambria" w:cs="Helvetica"/>
                <w:i/>
                <w:iCs/>
                <w:sz w:val="18"/>
                <w:szCs w:val="18"/>
              </w:rPr>
              <w:t xml:space="preserve">sitchensis </w:t>
            </w:r>
            <w:r>
              <w:rPr>
                <w:rFonts w:ascii="Cambria" w:hAnsi="Cambria" w:cs="Helvetica"/>
                <w:sz w:val="18"/>
                <w:szCs w:val="18"/>
              </w:rPr>
              <w:t>(Bong.) Carrière</w:t>
            </w:r>
            <w:r>
              <w:rPr>
                <w:rFonts w:ascii="Cambria" w:hAnsi="Cambria" w:cs="Helvetica"/>
                <w:i/>
                <w:iCs/>
                <w:sz w:val="18"/>
                <w:szCs w:val="18"/>
              </w:rPr>
              <w:t xml:space="preserve"> </w:t>
            </w:r>
            <w:r>
              <w:rPr>
                <w:rFonts w:ascii="Cambria" w:hAnsi="Cambria" w:cs="Helvetica"/>
                <w:sz w:val="18"/>
                <w:szCs w:val="18"/>
              </w:rPr>
              <w:t>[Pinaceae] – Sitka spruce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Pieris floribunda</w:t>
            </w:r>
            <w:r>
              <w:rPr>
                <w:rFonts w:ascii="Cambria" w:hAnsi="Cambria" w:cs="Helvetica"/>
                <w:iCs/>
                <w:sz w:val="18"/>
                <w:szCs w:val="18"/>
              </w:rPr>
              <w:t xml:space="preserve"> (Pursh) Benth. &amp; Hook. f. </w:t>
            </w:r>
            <w:r>
              <w:rPr>
                <w:rFonts w:ascii="Cambria" w:hAnsi="Cambria" w:cs="Helvetica"/>
                <w:sz w:val="18"/>
                <w:szCs w:val="18"/>
              </w:rPr>
              <w:t>[Ericaceae] – Flutterbush, Mountain-andromeda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Pieris floribunda</w:t>
            </w:r>
            <w:r>
              <w:rPr>
                <w:rFonts w:ascii="Cambria" w:hAnsi="Cambria" w:cs="Helvetica"/>
                <w:sz w:val="18"/>
                <w:szCs w:val="18"/>
              </w:rPr>
              <w:t xml:space="preserve"> x </w:t>
            </w:r>
            <w:r>
              <w:rPr>
                <w:rFonts w:ascii="Cambria" w:hAnsi="Cambria" w:cs="Helvetica"/>
                <w:i/>
                <w:iCs/>
                <w:sz w:val="18"/>
                <w:szCs w:val="18"/>
              </w:rPr>
              <w:t>japonica</w:t>
            </w:r>
            <w:r>
              <w:rPr>
                <w:rFonts w:ascii="Cambria" w:hAnsi="Cambria" w:cs="Helvetica"/>
                <w:sz w:val="18"/>
                <w:szCs w:val="18"/>
              </w:rPr>
              <w:t xml:space="preserve"> [Ericaceae] – Mountain andromeda, </w:t>
            </w:r>
            <w:r>
              <w:rPr>
                <w:rFonts w:ascii="Cambria" w:hAnsi="Cambria" w:cs="Helvetica"/>
                <w:i/>
                <w:iCs/>
                <w:sz w:val="18"/>
                <w:szCs w:val="18"/>
              </w:rPr>
              <w:t>Pieris</w:t>
            </w:r>
            <w:r>
              <w:rPr>
                <w:rFonts w:ascii="Cambria" w:hAnsi="Cambria" w:cs="Helvetica"/>
                <w:sz w:val="18"/>
                <w:szCs w:val="18"/>
              </w:rPr>
              <w:t xml:space="preserve"> x ‘Brouwer’s Beauty’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Kliejunas 2003; Parke </w:t>
            </w:r>
            <w:r>
              <w:rPr>
                <w:rFonts w:ascii="Cambria" w:hAnsi="Cambria" w:cs="Helvetica"/>
                <w:iCs/>
                <w:sz w:val="18"/>
                <w:szCs w:val="18"/>
              </w:rPr>
              <w:t>et al.</w:t>
            </w:r>
            <w:r>
              <w:rPr>
                <w:rFonts w:ascii="Cambria" w:hAnsi="Cambria" w:cs="Helvetica"/>
                <w:sz w:val="18"/>
                <w:szCs w:val="18"/>
              </w:rPr>
              <w:t xml:space="preserve"> 2004a, 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Pieris formosa</w:t>
            </w:r>
            <w:r>
              <w:rPr>
                <w:rFonts w:ascii="Cambria" w:hAnsi="Cambria" w:cs="Helvetica"/>
                <w:sz w:val="18"/>
                <w:szCs w:val="18"/>
              </w:rPr>
              <w:t xml:space="preserve"> (Wall.) D. Don [Ericaceae] – Himalaya andromeda</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Andromeda formosa</w:t>
            </w:r>
            <w:r>
              <w:rPr>
                <w:rFonts w:ascii="Cambria" w:hAnsi="Cambria" w:cs="Helvetica"/>
                <w:sz w:val="18"/>
                <w:szCs w:val="18"/>
              </w:rPr>
              <w:t xml:space="preserve"> Wall., </w:t>
            </w:r>
            <w:r>
              <w:rPr>
                <w:rFonts w:ascii="Cambria" w:hAnsi="Cambria" w:cs="Helvetica"/>
                <w:i/>
                <w:iCs/>
                <w:sz w:val="18"/>
                <w:szCs w:val="18"/>
              </w:rPr>
              <w:t>Pieris formosa</w:t>
            </w:r>
            <w:r>
              <w:rPr>
                <w:rFonts w:ascii="Cambria" w:hAnsi="Cambria" w:cs="Helvetica"/>
                <w:sz w:val="18"/>
                <w:szCs w:val="18"/>
              </w:rPr>
              <w:t xml:space="preserve"> var</w:t>
            </w:r>
            <w:r>
              <w:rPr>
                <w:rFonts w:ascii="Cambria" w:hAnsi="Cambria" w:cs="Helvetica"/>
                <w:i/>
                <w:iCs/>
                <w:sz w:val="18"/>
                <w:szCs w:val="18"/>
              </w:rPr>
              <w:t>. forrestii</w:t>
            </w:r>
            <w:r>
              <w:rPr>
                <w:rFonts w:ascii="Cambria" w:hAnsi="Cambria" w:cs="Helvetica"/>
                <w:sz w:val="18"/>
                <w:szCs w:val="18"/>
              </w:rPr>
              <w:t xml:space="preserve"> Airy Shaw, </w:t>
            </w:r>
            <w:r>
              <w:rPr>
                <w:rFonts w:ascii="Cambria" w:hAnsi="Cambria" w:cs="Helvetica"/>
                <w:i/>
                <w:iCs/>
                <w:sz w:val="18"/>
                <w:szCs w:val="18"/>
              </w:rPr>
              <w:t>Pieris forrestii</w:t>
            </w:r>
            <w:r>
              <w:rPr>
                <w:rFonts w:ascii="Cambria" w:hAnsi="Cambria" w:cs="Helvetica"/>
                <w:sz w:val="18"/>
                <w:szCs w:val="18"/>
              </w:rPr>
              <w:t xml:space="preserve"> R. L. Harrow</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Kliejunas 2003; Inman </w:t>
            </w:r>
            <w:r>
              <w:rPr>
                <w:rFonts w:ascii="Cambria" w:hAnsi="Cambria" w:cs="Helvetica"/>
                <w:iCs/>
                <w:sz w:val="18"/>
                <w:szCs w:val="18"/>
              </w:rPr>
              <w:t>et al.</w:t>
            </w:r>
            <w:r>
              <w:rPr>
                <w:rFonts w:ascii="Cambria" w:hAnsi="Cambria" w:cs="Helvetica"/>
                <w:sz w:val="18"/>
                <w:szCs w:val="18"/>
              </w:rPr>
              <w:t xml:space="preserve">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Pieris japonica</w:t>
            </w:r>
            <w:r>
              <w:rPr>
                <w:rFonts w:ascii="Cambria" w:hAnsi="Cambria" w:cs="Helvetica"/>
                <w:sz w:val="18"/>
                <w:szCs w:val="18"/>
              </w:rPr>
              <w:t xml:space="preserve"> (Thunb.) D. Don ex G. Don [Ericaceae] – Japanese pieris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Andromeda japonica</w:t>
            </w:r>
            <w:r>
              <w:rPr>
                <w:rFonts w:ascii="Cambria" w:hAnsi="Cambria" w:cs="Helvetica"/>
                <w:sz w:val="18"/>
                <w:szCs w:val="18"/>
              </w:rPr>
              <w:t xml:space="preserve"> Thunb., </w:t>
            </w:r>
            <w:r>
              <w:rPr>
                <w:rFonts w:ascii="Cambria" w:hAnsi="Cambria" w:cs="Helvetica"/>
                <w:i/>
                <w:iCs/>
                <w:sz w:val="18"/>
                <w:szCs w:val="18"/>
              </w:rPr>
              <w:t>Pieris taiwanensis</w:t>
            </w:r>
            <w:r>
              <w:rPr>
                <w:rFonts w:ascii="Cambria" w:hAnsi="Cambria" w:cs="Helvetica"/>
                <w:sz w:val="18"/>
                <w:szCs w:val="18"/>
              </w:rPr>
              <w:t xml:space="preserve"> Hayata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Parke et al. 2004a, b; Husson </w:t>
            </w:r>
            <w:r>
              <w:rPr>
                <w:rFonts w:ascii="Cambria" w:hAnsi="Cambria" w:cs="Helvetica"/>
                <w:iCs/>
                <w:sz w:val="18"/>
                <w:szCs w:val="18"/>
              </w:rPr>
              <w:t>et al.</w:t>
            </w:r>
            <w:r>
              <w:rPr>
                <w:rFonts w:ascii="Cambria" w:hAnsi="Cambria" w:cs="Helvetica"/>
                <w:sz w:val="18"/>
                <w:szCs w:val="18"/>
              </w:rPr>
              <w:t xml:space="preserve"> 2007</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Pieris japonica </w:t>
            </w:r>
            <w:r>
              <w:rPr>
                <w:rFonts w:ascii="Cambria" w:hAnsi="Cambria" w:cs="Helvetica"/>
                <w:sz w:val="18"/>
                <w:szCs w:val="18"/>
              </w:rPr>
              <w:t xml:space="preserve">x </w:t>
            </w:r>
            <w:r>
              <w:rPr>
                <w:rFonts w:ascii="Cambria" w:hAnsi="Cambria" w:cs="Helvetica"/>
                <w:i/>
                <w:iCs/>
                <w:sz w:val="18"/>
                <w:szCs w:val="18"/>
              </w:rPr>
              <w:t>formosa</w:t>
            </w:r>
            <w:r>
              <w:rPr>
                <w:rFonts w:ascii="Cambria" w:hAnsi="Cambria" w:cs="Helvetica"/>
                <w:sz w:val="18"/>
                <w:szCs w:val="18"/>
              </w:rPr>
              <w:t xml:space="preserve"> [Ericaceae] – Ornamental pieris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Parke et al. 2004b; 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sz w:val="18"/>
                <w:szCs w:val="18"/>
              </w:rPr>
              <w:t>Pinus radiata</w:t>
            </w:r>
            <w:r>
              <w:rPr>
                <w:rFonts w:ascii="Cambria" w:hAnsi="Cambria" w:cs="Helvetica"/>
                <w:sz w:val="18"/>
                <w:szCs w:val="18"/>
              </w:rPr>
              <w:t xml:space="preserve"> D. Don [Pinaceae] – Monterey pine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0D37BE">
            <w:pPr>
              <w:spacing w:before="60" w:after="60"/>
              <w:rPr>
                <w:rFonts w:ascii="Cambria" w:hAnsi="Cambria" w:cs="Helvetica"/>
                <w:iCs/>
                <w:color w:val="FF0000"/>
                <w:sz w:val="18"/>
                <w:szCs w:val="18"/>
              </w:rPr>
            </w:pPr>
            <w:hyperlink r:id="rId43" w:tgtFrame="_top" w:history="1">
              <w:r w:rsidR="00A11609">
                <w:rPr>
                  <w:rFonts w:ascii="Cambria" w:hAnsi="Cambria" w:cs="Helvetica"/>
                  <w:i/>
                  <w:sz w:val="18"/>
                  <w:szCs w:val="18"/>
                </w:rPr>
                <w:t>Pinus insignis</w:t>
              </w:r>
              <w:r w:rsidR="00A11609">
                <w:rPr>
                  <w:rFonts w:ascii="Cambria" w:hAnsi="Cambria" w:cs="Helvetica"/>
                  <w:i/>
                  <w:iCs/>
                  <w:sz w:val="18"/>
                  <w:szCs w:val="18"/>
                </w:rPr>
                <w:t xml:space="preserve"> </w:t>
              </w:r>
              <w:r w:rsidR="00A11609">
                <w:rPr>
                  <w:rFonts w:ascii="Cambria" w:hAnsi="Cambria" w:cs="Helvetica"/>
                  <w:iCs/>
                  <w:sz w:val="18"/>
                  <w:szCs w:val="18"/>
                </w:rPr>
                <w:t>Douglas ex Loudon</w:t>
              </w:r>
            </w:hyperlink>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sz w:val="18"/>
                <w:szCs w:val="18"/>
              </w:rPr>
            </w:pPr>
            <w:r>
              <w:rPr>
                <w:rFonts w:ascii="Cambria" w:hAnsi="Cambria" w:cs="Helvetica"/>
                <w:iCs/>
                <w:sz w:val="18"/>
                <w:szCs w:val="18"/>
              </w:rPr>
              <w:t>Dick et al. 2014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color w:val="FF0000"/>
                <w:sz w:val="18"/>
                <w:szCs w:val="18"/>
              </w:rPr>
            </w:pPr>
            <w:r>
              <w:rPr>
                <w:rFonts w:ascii="Cambria" w:hAnsi="Cambria" w:cs="Helvetica"/>
                <w:sz w:val="18"/>
                <w:szCs w:val="18"/>
              </w:rPr>
              <w:t>NSW, VIC, Qld, SA, WA, ACT,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Pittosporum undulatum</w:t>
            </w:r>
            <w:r>
              <w:rPr>
                <w:rFonts w:ascii="Cambria" w:hAnsi="Cambria" w:cs="Helvetica"/>
                <w:sz w:val="18"/>
                <w:szCs w:val="18"/>
              </w:rPr>
              <w:t xml:space="preserve"> Vent. [Pittosporaceae] – Victorian box</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Hüberli et al. 2006; Sansford et al.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NSW, VIC, Qld, SA, WA, ACT, TAS, NT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sz w:val="18"/>
                <w:szCs w:val="18"/>
              </w:rPr>
            </w:pPr>
            <w:r>
              <w:rPr>
                <w:rFonts w:ascii="Cambria" w:hAnsi="Cambria" w:cs="Helvetica"/>
                <w:i/>
                <w:iCs/>
                <w:sz w:val="18"/>
                <w:szCs w:val="18"/>
              </w:rPr>
              <w:t xml:space="preserve">Prumnopitys ferruginea </w:t>
            </w:r>
            <w:r>
              <w:rPr>
                <w:rFonts w:ascii="Cambria" w:hAnsi="Cambria" w:cs="Helvetica"/>
                <w:iCs/>
                <w:sz w:val="18"/>
                <w:szCs w:val="18"/>
              </w:rPr>
              <w:t>(G. Benn. Ex D. Don) de Laub. [Podocarpaceae]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Dick et al. 2014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Prunus laurocerasus</w:t>
            </w:r>
            <w:r>
              <w:rPr>
                <w:rFonts w:ascii="Cambria" w:hAnsi="Cambria" w:cs="Helvetica"/>
                <w:sz w:val="18"/>
                <w:szCs w:val="18"/>
              </w:rPr>
              <w:t xml:space="preserve"> L. [Rosaceae] – Dwarf English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Cerasus laurocerasus</w:t>
            </w:r>
            <w:r>
              <w:rPr>
                <w:rFonts w:ascii="Cambria" w:hAnsi="Cambria" w:cs="Helvetica"/>
                <w:sz w:val="18"/>
                <w:szCs w:val="18"/>
              </w:rPr>
              <w:t xml:space="preserve"> (L.) Loisel., </w:t>
            </w:r>
            <w:r>
              <w:rPr>
                <w:rFonts w:ascii="Cambria" w:hAnsi="Cambria" w:cs="Helvetica"/>
                <w:i/>
                <w:iCs/>
                <w:sz w:val="18"/>
                <w:szCs w:val="18"/>
              </w:rPr>
              <w:t>Laurocerasus officinalis</w:t>
            </w:r>
            <w:r>
              <w:rPr>
                <w:rFonts w:ascii="Cambria" w:hAnsi="Cambria" w:cs="Helvetica"/>
                <w:sz w:val="18"/>
                <w:szCs w:val="18"/>
              </w:rPr>
              <w:t xml:space="preserve"> M. Roem., </w:t>
            </w:r>
            <w:r>
              <w:rPr>
                <w:rFonts w:ascii="Cambria" w:hAnsi="Cambria" w:cs="Helvetica"/>
                <w:i/>
                <w:iCs/>
                <w:sz w:val="18"/>
                <w:szCs w:val="18"/>
              </w:rPr>
              <w:t>Laurocerasus ottinii</w:t>
            </w:r>
            <w:r>
              <w:rPr>
                <w:rFonts w:ascii="Cambria" w:hAnsi="Cambria" w:cs="Helvetica"/>
                <w:sz w:val="18"/>
                <w:szCs w:val="18"/>
              </w:rPr>
              <w:t xml:space="preserve"> Carrière</w:t>
            </w:r>
            <w:r>
              <w:rPr>
                <w:rFonts w:ascii="Cambria" w:hAnsi="Cambria" w:cs="Helvetica"/>
                <w:i/>
                <w:iCs/>
                <w:sz w:val="18"/>
                <w:szCs w:val="18"/>
              </w:rPr>
              <w:t>, Laurocerasus vulgaris</w:t>
            </w:r>
            <w:r>
              <w:rPr>
                <w:rFonts w:ascii="Cambria" w:hAnsi="Cambria" w:cs="Helvetica"/>
                <w:sz w:val="18"/>
                <w:szCs w:val="18"/>
              </w:rPr>
              <w:t xml:space="preserve"> Carrière, </w:t>
            </w:r>
            <w:r>
              <w:rPr>
                <w:rFonts w:ascii="Cambria" w:hAnsi="Cambria" w:cs="Helvetica"/>
                <w:i/>
                <w:iCs/>
                <w:sz w:val="18"/>
                <w:szCs w:val="18"/>
              </w:rPr>
              <w:t>Prunus grandifolia</w:t>
            </w:r>
            <w:r>
              <w:rPr>
                <w:rFonts w:ascii="Cambria" w:hAnsi="Cambria" w:cs="Helvetica"/>
                <w:sz w:val="18"/>
                <w:szCs w:val="18"/>
              </w:rPr>
              <w:t xml:space="preserve"> Salisb.</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Sansford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SA, VIC,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Prunus lusitanica</w:t>
            </w:r>
            <w:r>
              <w:rPr>
                <w:rFonts w:ascii="Cambria" w:hAnsi="Cambria" w:cs="Helvetica"/>
                <w:sz w:val="18"/>
                <w:szCs w:val="18"/>
              </w:rPr>
              <w:t xml:space="preserve"> L. [Rosaceae] – Portuguese </w:t>
            </w:r>
            <w:r>
              <w:rPr>
                <w:rFonts w:ascii="Cambria" w:hAnsi="Cambria" w:cs="Helvetica"/>
                <w:sz w:val="18"/>
                <w:szCs w:val="18"/>
              </w:rPr>
              <w:lastRenderedPageBreak/>
              <w:t>laurel cherry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 xml:space="preserve">Laurocerasus lusitanica </w:t>
            </w:r>
            <w:r>
              <w:rPr>
                <w:rFonts w:ascii="Cambria" w:hAnsi="Cambria" w:cs="Helvetica"/>
                <w:sz w:val="18"/>
                <w:szCs w:val="18"/>
              </w:rPr>
              <w:t>(L.) M. Roem</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VIC, ACT, SA,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Pseudotsuga menziesii</w:t>
            </w:r>
            <w:r>
              <w:rPr>
                <w:rFonts w:ascii="Cambria" w:hAnsi="Cambria" w:cs="Helvetica"/>
                <w:sz w:val="18"/>
                <w:szCs w:val="18"/>
              </w:rPr>
              <w:t xml:space="preserve"> (Mirb.) Franco [Pinaceae] – Douglas fir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Abies menziesii</w:t>
            </w:r>
            <w:r>
              <w:rPr>
                <w:rFonts w:ascii="Cambria" w:hAnsi="Cambria" w:cs="Helvetica"/>
                <w:sz w:val="18"/>
                <w:szCs w:val="18"/>
              </w:rPr>
              <w:t xml:space="preserve"> Mirb., </w:t>
            </w:r>
            <w:r>
              <w:rPr>
                <w:rFonts w:ascii="Cambria" w:hAnsi="Cambria" w:cs="Helvetica"/>
                <w:i/>
                <w:iCs/>
                <w:sz w:val="18"/>
                <w:szCs w:val="18"/>
              </w:rPr>
              <w:t>Abies mucronata</w:t>
            </w:r>
            <w:r>
              <w:rPr>
                <w:rFonts w:ascii="Cambria" w:hAnsi="Cambria" w:cs="Helvetica"/>
                <w:sz w:val="18"/>
                <w:szCs w:val="18"/>
              </w:rPr>
              <w:t xml:space="preserve"> Raf., </w:t>
            </w:r>
            <w:r>
              <w:rPr>
                <w:rFonts w:ascii="Cambria" w:hAnsi="Cambria" w:cs="Helvetica"/>
                <w:i/>
                <w:iCs/>
                <w:sz w:val="18"/>
                <w:szCs w:val="18"/>
              </w:rPr>
              <w:t>Abies taxifolia</w:t>
            </w:r>
            <w:r>
              <w:rPr>
                <w:rFonts w:ascii="Cambria" w:hAnsi="Cambria" w:cs="Helvetica"/>
                <w:sz w:val="18"/>
                <w:szCs w:val="18"/>
              </w:rPr>
              <w:t xml:space="preserve"> Poir., </w:t>
            </w:r>
            <w:r>
              <w:rPr>
                <w:rFonts w:ascii="Cambria" w:hAnsi="Cambria" w:cs="Helvetica"/>
                <w:i/>
                <w:iCs/>
                <w:sz w:val="18"/>
                <w:szCs w:val="18"/>
              </w:rPr>
              <w:t>Pinus douglasii</w:t>
            </w:r>
            <w:r>
              <w:rPr>
                <w:rFonts w:ascii="Cambria" w:hAnsi="Cambria" w:cs="Helvetica"/>
                <w:sz w:val="18"/>
                <w:szCs w:val="18"/>
              </w:rPr>
              <w:t xml:space="preserve"> Sabine ex D. Don, </w:t>
            </w:r>
            <w:r>
              <w:rPr>
                <w:rFonts w:ascii="Cambria" w:hAnsi="Cambria" w:cs="Helvetica"/>
                <w:i/>
                <w:iCs/>
                <w:sz w:val="18"/>
                <w:szCs w:val="18"/>
              </w:rPr>
              <w:t>Pinus taxifolia</w:t>
            </w:r>
            <w:r>
              <w:rPr>
                <w:rFonts w:ascii="Cambria" w:hAnsi="Cambria" w:cs="Helvetica"/>
                <w:sz w:val="18"/>
                <w:szCs w:val="18"/>
              </w:rPr>
              <w:t xml:space="preserve"> Lamb., </w:t>
            </w:r>
            <w:r>
              <w:rPr>
                <w:rFonts w:ascii="Cambria" w:hAnsi="Cambria" w:cs="Helvetica"/>
                <w:i/>
                <w:iCs/>
                <w:sz w:val="18"/>
                <w:szCs w:val="18"/>
              </w:rPr>
              <w:t>Pseudotsuga douglasii</w:t>
            </w:r>
            <w:r>
              <w:rPr>
                <w:rFonts w:ascii="Cambria" w:hAnsi="Cambria" w:cs="Helvetica"/>
                <w:sz w:val="18"/>
                <w:szCs w:val="18"/>
              </w:rPr>
              <w:t xml:space="preserve"> (Sabine ex D. Don) Carrière, </w:t>
            </w:r>
            <w:r>
              <w:rPr>
                <w:rFonts w:ascii="Cambria" w:hAnsi="Cambria" w:cs="Helvetica"/>
                <w:i/>
                <w:iCs/>
                <w:sz w:val="18"/>
                <w:szCs w:val="18"/>
              </w:rPr>
              <w:t>Pseudotsuga mucronata</w:t>
            </w:r>
            <w:r>
              <w:rPr>
                <w:rFonts w:ascii="Cambria" w:hAnsi="Cambria" w:cs="Helvetica"/>
                <w:sz w:val="18"/>
                <w:szCs w:val="18"/>
              </w:rPr>
              <w:t xml:space="preserve"> (Raf.) Sudw., </w:t>
            </w:r>
            <w:r>
              <w:rPr>
                <w:rFonts w:ascii="Cambria" w:hAnsi="Cambria" w:cs="Helvetica"/>
                <w:i/>
                <w:iCs/>
                <w:sz w:val="18"/>
                <w:szCs w:val="18"/>
              </w:rPr>
              <w:t>Pseudotsuga taxifolia</w:t>
            </w:r>
            <w:r>
              <w:rPr>
                <w:rFonts w:ascii="Cambria" w:hAnsi="Cambria" w:cs="Helvetica"/>
                <w:sz w:val="18"/>
                <w:szCs w:val="18"/>
              </w:rPr>
              <w:t xml:space="preserve"> Britton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Davidson </w:t>
            </w:r>
            <w:r>
              <w:rPr>
                <w:rFonts w:ascii="Cambria" w:hAnsi="Cambria" w:cs="Helvetica"/>
                <w:iCs/>
                <w:sz w:val="18"/>
                <w:szCs w:val="18"/>
              </w:rPr>
              <w:t>et al.</w:t>
            </w:r>
            <w:r>
              <w:rPr>
                <w:rFonts w:ascii="Cambria" w:hAnsi="Cambria" w:cs="Helvetica"/>
                <w:sz w:val="18"/>
                <w:szCs w:val="18"/>
              </w:rPr>
              <w:t xml:space="preserve"> 2002c</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NSW, TAS, 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Pyracantha koidzumii</w:t>
            </w:r>
            <w:r>
              <w:rPr>
                <w:rFonts w:ascii="Cambria" w:hAnsi="Cambria" w:cs="Helvetica"/>
                <w:sz w:val="18"/>
                <w:szCs w:val="18"/>
              </w:rPr>
              <w:t xml:space="preserve"> (Hayata) Rehder [Rosaceae] – Formosa firethorn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Cotoneaster koidzumii</w:t>
            </w:r>
            <w:r>
              <w:rPr>
                <w:rFonts w:ascii="Cambria" w:hAnsi="Cambria" w:cs="Helvetica"/>
                <w:sz w:val="18"/>
                <w:szCs w:val="18"/>
              </w:rPr>
              <w:t xml:space="preserve"> Hayata</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Briere </w:t>
            </w:r>
            <w:r>
              <w:rPr>
                <w:rFonts w:ascii="Cambria" w:hAnsi="Cambria" w:cs="Helvetica"/>
                <w:iCs/>
                <w:sz w:val="18"/>
                <w:szCs w:val="18"/>
              </w:rPr>
              <w:t>et al.</w:t>
            </w:r>
            <w:r>
              <w:rPr>
                <w:rFonts w:ascii="Cambria" w:hAnsi="Cambria" w:cs="Helvetica"/>
                <w:sz w:val="18"/>
                <w:szCs w:val="18"/>
              </w:rPr>
              <w:t xml:space="preserve"> 2005;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acuta</w:t>
            </w:r>
            <w:r>
              <w:rPr>
                <w:rFonts w:ascii="Cambria" w:hAnsi="Cambria" w:cs="Helvetica"/>
                <w:sz w:val="18"/>
                <w:szCs w:val="18"/>
              </w:rPr>
              <w:t xml:space="preserve"> Thunb. [Fagaceae] – Japanese evergreen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agrifolia</w:t>
            </w:r>
            <w:r>
              <w:rPr>
                <w:rFonts w:ascii="Cambria" w:hAnsi="Cambria" w:cs="Helvetica"/>
                <w:sz w:val="18"/>
                <w:szCs w:val="18"/>
              </w:rPr>
              <w:t xml:space="preserve"> Née [Fagaceae] – Coast live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Hansen </w:t>
            </w:r>
            <w:r>
              <w:rPr>
                <w:rFonts w:ascii="Cambria" w:hAnsi="Cambria" w:cs="Helvetica"/>
                <w:iCs/>
                <w:sz w:val="18"/>
                <w:szCs w:val="18"/>
              </w:rPr>
              <w:t>et al</w:t>
            </w:r>
            <w:r>
              <w:rPr>
                <w:rFonts w:ascii="Cambria" w:hAnsi="Cambria" w:cs="Helvetica"/>
                <w:sz w:val="18"/>
                <w:szCs w:val="18"/>
              </w:rPr>
              <w:t xml:space="preserve">. 2003a; Garbelotto et al. 2003; Scianna </w:t>
            </w:r>
            <w:r>
              <w:rPr>
                <w:rFonts w:ascii="Cambria" w:hAnsi="Cambria" w:cs="Helvetica"/>
                <w:iCs/>
                <w:sz w:val="18"/>
                <w:szCs w:val="18"/>
              </w:rPr>
              <w:t>et al</w:t>
            </w:r>
            <w:r>
              <w:rPr>
                <w:rFonts w:ascii="Cambria" w:hAnsi="Cambria" w:cs="Helvetica"/>
                <w:sz w:val="18"/>
                <w:szCs w:val="18"/>
              </w:rPr>
              <w:t xml:space="preserve">. 2003; Vettraino </w:t>
            </w:r>
            <w:r>
              <w:rPr>
                <w:rFonts w:ascii="Cambria" w:hAnsi="Cambria" w:cs="Helvetica"/>
                <w:iCs/>
                <w:sz w:val="18"/>
                <w:szCs w:val="18"/>
              </w:rPr>
              <w:t>et al.</w:t>
            </w:r>
            <w:r>
              <w:rPr>
                <w:rFonts w:ascii="Cambria" w:hAnsi="Cambria"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cerris</w:t>
            </w:r>
            <w:r>
              <w:rPr>
                <w:rFonts w:ascii="Cambria" w:hAnsi="Cambria" w:cs="Helvetica"/>
                <w:sz w:val="18"/>
                <w:szCs w:val="18"/>
              </w:rPr>
              <w:t xml:space="preserve"> L. [Fagaceae] – Turkey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ACT, SA,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chrysolepis</w:t>
            </w:r>
            <w:r>
              <w:rPr>
                <w:rFonts w:ascii="Cambria" w:hAnsi="Cambria" w:cs="Helvetica"/>
                <w:sz w:val="18"/>
                <w:szCs w:val="18"/>
              </w:rPr>
              <w:t xml:space="preserve"> Liebm. [Fagaceae] – Canyon live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Murphy &amp; Rizzo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falcata</w:t>
            </w:r>
            <w:r>
              <w:rPr>
                <w:rFonts w:ascii="Cambria" w:hAnsi="Cambria" w:cs="Helvetica"/>
                <w:sz w:val="18"/>
                <w:szCs w:val="18"/>
              </w:rPr>
              <w:t xml:space="preserve"> Michx. [Fagaceae] – Southern red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Brasier et al. 2004a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ilex</w:t>
            </w:r>
            <w:r>
              <w:rPr>
                <w:rFonts w:ascii="Cambria" w:hAnsi="Cambria" w:cs="Helvetica"/>
                <w:sz w:val="18"/>
                <w:szCs w:val="18"/>
              </w:rPr>
              <w:t xml:space="preserve"> L. [Fagaceae] – Holm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ballota</w:t>
            </w:r>
            <w:r>
              <w:rPr>
                <w:rFonts w:ascii="Cambria" w:hAnsi="Cambria" w:cs="Helvetica"/>
                <w:sz w:val="18"/>
                <w:szCs w:val="18"/>
              </w:rPr>
              <w:t xml:space="preserve"> Desf., </w:t>
            </w:r>
            <w:r>
              <w:rPr>
                <w:rFonts w:ascii="Cambria" w:hAnsi="Cambria" w:cs="Helvetica"/>
                <w:i/>
                <w:iCs/>
                <w:sz w:val="18"/>
                <w:szCs w:val="18"/>
              </w:rPr>
              <w:t>Quercus gramuntia</w:t>
            </w:r>
            <w:r>
              <w:rPr>
                <w:rFonts w:ascii="Cambria" w:hAnsi="Cambria" w:cs="Helvetica"/>
                <w:sz w:val="18"/>
                <w:szCs w:val="18"/>
              </w:rPr>
              <w:t xml:space="preserve"> L., </w:t>
            </w:r>
            <w:r>
              <w:rPr>
                <w:rFonts w:ascii="Cambria" w:hAnsi="Cambria" w:cs="Helvetica"/>
                <w:i/>
                <w:iCs/>
                <w:sz w:val="18"/>
                <w:szCs w:val="18"/>
              </w:rPr>
              <w:t>Quercus rotundifolia</w:t>
            </w:r>
            <w:r>
              <w:rPr>
                <w:rFonts w:ascii="Cambria" w:hAnsi="Cambria" w:cs="Helvetica"/>
                <w:sz w:val="18"/>
                <w:szCs w:val="18"/>
              </w:rPr>
              <w:t xml:space="preserve"> Lam.</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Denman et al. 2005</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ACT, NSW,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kelloggii</w:t>
            </w:r>
            <w:r>
              <w:rPr>
                <w:rFonts w:ascii="Cambria" w:hAnsi="Cambria" w:cs="Helvetica"/>
                <w:sz w:val="18"/>
                <w:szCs w:val="18"/>
              </w:rPr>
              <w:t xml:space="preserve"> Newb. [Fagaceae] – Californian black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et al. 2003; Scianna </w:t>
            </w:r>
            <w:r>
              <w:rPr>
                <w:rFonts w:ascii="Cambria" w:hAnsi="Cambria" w:cs="Helvetica"/>
                <w:iCs/>
                <w:sz w:val="18"/>
                <w:szCs w:val="18"/>
              </w:rPr>
              <w:t>et al</w:t>
            </w:r>
            <w:r>
              <w:rPr>
                <w:rFonts w:ascii="Cambria" w:hAnsi="Cambria" w:cs="Helvetica"/>
                <w:sz w:val="18"/>
                <w:szCs w:val="18"/>
              </w:rPr>
              <w:t xml:space="preserve">. 2003;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w:t>
            </w:r>
            <w:r>
              <w:rPr>
                <w:rFonts w:ascii="Cambria" w:hAnsi="Cambria" w:cs="Helvetica"/>
                <w:sz w:val="18"/>
                <w:szCs w:val="18"/>
              </w:rPr>
              <w:t xml:space="preserve"> L. species [Fagaceae] – Beech</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ACT, NSW, VIC, TAS, Qld</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petraea</w:t>
            </w:r>
            <w:r>
              <w:rPr>
                <w:rFonts w:ascii="Cambria" w:hAnsi="Cambria" w:cs="Helvetica"/>
                <w:sz w:val="18"/>
                <w:szCs w:val="18"/>
              </w:rPr>
              <w:t xml:space="preserve"> (Matt.) Liebl. [Fagaceae] – Sessile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iberica</w:t>
            </w:r>
            <w:r>
              <w:rPr>
                <w:rFonts w:ascii="Cambria" w:hAnsi="Cambria" w:cs="Helvetica"/>
                <w:sz w:val="18"/>
                <w:szCs w:val="18"/>
              </w:rPr>
              <w:t xml:space="preserve"> Steven ex M. Bieb., </w:t>
            </w:r>
            <w:r>
              <w:rPr>
                <w:rFonts w:ascii="Cambria" w:hAnsi="Cambria" w:cs="Helvetica"/>
                <w:i/>
                <w:iCs/>
                <w:sz w:val="18"/>
                <w:szCs w:val="18"/>
              </w:rPr>
              <w:t>Quercus sessiliflora</w:t>
            </w:r>
            <w:r>
              <w:rPr>
                <w:rFonts w:ascii="Cambria" w:hAnsi="Cambria" w:cs="Helvetica"/>
                <w:sz w:val="18"/>
                <w:szCs w:val="18"/>
              </w:rPr>
              <w:t xml:space="preserve"> Salisb</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phillyraeoides</w:t>
            </w:r>
            <w:r>
              <w:rPr>
                <w:rFonts w:ascii="Cambria" w:hAnsi="Cambria" w:cs="Helvetica"/>
                <w:sz w:val="18"/>
                <w:szCs w:val="18"/>
              </w:rPr>
              <w:t xml:space="preserve"> A. Gray [Fagaceae] – Ubame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wrightii</w:t>
            </w:r>
            <w:r>
              <w:rPr>
                <w:rFonts w:ascii="Cambria" w:hAnsi="Cambria" w:cs="Helvetica"/>
                <w:sz w:val="18"/>
                <w:szCs w:val="18"/>
              </w:rPr>
              <w:t xml:space="preserve"> Nakai</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 xml:space="preserve">Quercus robur </w:t>
            </w:r>
            <w:r>
              <w:rPr>
                <w:rFonts w:ascii="Cambria" w:hAnsi="Cambria" w:cs="Helvetica"/>
                <w:sz w:val="18"/>
                <w:szCs w:val="18"/>
              </w:rPr>
              <w:t>L.</w:t>
            </w:r>
            <w:r>
              <w:rPr>
                <w:rFonts w:ascii="Cambria" w:hAnsi="Cambria" w:cs="Helvetica"/>
                <w:i/>
                <w:iCs/>
                <w:sz w:val="18"/>
                <w:szCs w:val="18"/>
              </w:rPr>
              <w:t xml:space="preserve"> </w:t>
            </w:r>
            <w:r>
              <w:rPr>
                <w:rFonts w:ascii="Cambria" w:hAnsi="Cambria" w:cs="Helvetica"/>
                <w:sz w:val="18"/>
                <w:szCs w:val="18"/>
              </w:rPr>
              <w:t>[Fagaceae]– English oak, Pedunculate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brutia</w:t>
            </w:r>
            <w:r>
              <w:rPr>
                <w:rFonts w:ascii="Cambria" w:hAnsi="Cambria" w:cs="Helvetica"/>
                <w:sz w:val="18"/>
                <w:szCs w:val="18"/>
              </w:rPr>
              <w:t xml:space="preserve"> Ten., </w:t>
            </w:r>
            <w:r>
              <w:rPr>
                <w:rFonts w:ascii="Cambria" w:hAnsi="Cambria" w:cs="Helvetica"/>
                <w:i/>
                <w:iCs/>
                <w:sz w:val="18"/>
                <w:szCs w:val="18"/>
              </w:rPr>
              <w:t>Quercus haas</w:t>
            </w:r>
            <w:r>
              <w:rPr>
                <w:rFonts w:ascii="Cambria" w:hAnsi="Cambria" w:cs="Helvetica"/>
                <w:sz w:val="18"/>
                <w:szCs w:val="18"/>
              </w:rPr>
              <w:t xml:space="preserve"> Kotschy, </w:t>
            </w:r>
            <w:r>
              <w:rPr>
                <w:rFonts w:ascii="Cambria" w:hAnsi="Cambria" w:cs="Helvetica"/>
                <w:i/>
                <w:iCs/>
                <w:sz w:val="18"/>
                <w:szCs w:val="18"/>
              </w:rPr>
              <w:t>Quercus imeretina</w:t>
            </w:r>
            <w:r>
              <w:rPr>
                <w:rFonts w:ascii="Cambria" w:hAnsi="Cambria" w:cs="Helvetica"/>
                <w:sz w:val="18"/>
                <w:szCs w:val="18"/>
              </w:rPr>
              <w:t xml:space="preserve"> Steven ex Woronow, </w:t>
            </w:r>
            <w:r>
              <w:rPr>
                <w:rFonts w:ascii="Cambria" w:hAnsi="Cambria" w:cs="Helvetica"/>
                <w:i/>
                <w:iCs/>
                <w:sz w:val="18"/>
                <w:szCs w:val="18"/>
              </w:rPr>
              <w:t>Quercus longipes</w:t>
            </w:r>
            <w:r>
              <w:rPr>
                <w:rFonts w:ascii="Cambria" w:hAnsi="Cambria" w:cs="Helvetica"/>
                <w:sz w:val="18"/>
                <w:szCs w:val="18"/>
              </w:rPr>
              <w:t xml:space="preserve"> Steven, </w:t>
            </w:r>
            <w:r>
              <w:rPr>
                <w:rFonts w:ascii="Cambria" w:hAnsi="Cambria" w:cs="Helvetica"/>
                <w:i/>
                <w:iCs/>
                <w:sz w:val="18"/>
                <w:szCs w:val="18"/>
              </w:rPr>
              <w:t>Quercus pedunculata</w:t>
            </w:r>
            <w:r>
              <w:rPr>
                <w:rFonts w:ascii="Cambria" w:hAnsi="Cambria" w:cs="Helvetica"/>
                <w:sz w:val="18"/>
                <w:szCs w:val="18"/>
              </w:rPr>
              <w:t xml:space="preserve"> Ehrh., </w:t>
            </w:r>
            <w:r>
              <w:rPr>
                <w:rFonts w:ascii="Cambria" w:hAnsi="Cambria" w:cs="Helvetica"/>
                <w:i/>
                <w:iCs/>
                <w:sz w:val="18"/>
                <w:szCs w:val="18"/>
              </w:rPr>
              <w:t>Quercus pedunculiflora</w:t>
            </w:r>
            <w:r>
              <w:rPr>
                <w:rFonts w:ascii="Cambria" w:hAnsi="Cambria" w:cs="Helvetica"/>
                <w:sz w:val="18"/>
                <w:szCs w:val="18"/>
              </w:rPr>
              <w:t xml:space="preserve"> K. Koch, </w:t>
            </w:r>
            <w:r>
              <w:rPr>
                <w:rFonts w:ascii="Cambria" w:hAnsi="Cambria" w:cs="Helvetica"/>
                <w:i/>
                <w:iCs/>
                <w:sz w:val="18"/>
                <w:szCs w:val="18"/>
              </w:rPr>
              <w:t>Quercus pendulina</w:t>
            </w:r>
            <w:r>
              <w:rPr>
                <w:rFonts w:ascii="Cambria" w:hAnsi="Cambria" w:cs="Helvetica"/>
                <w:sz w:val="18"/>
                <w:szCs w:val="18"/>
              </w:rPr>
              <w:t xml:space="preserve"> Kit., </w:t>
            </w:r>
            <w:r>
              <w:rPr>
                <w:rFonts w:ascii="Cambria" w:hAnsi="Cambria" w:cs="Helvetica"/>
                <w:i/>
                <w:iCs/>
                <w:sz w:val="18"/>
                <w:szCs w:val="18"/>
              </w:rPr>
              <w:t>Quercus thomasii</w:t>
            </w:r>
            <w:r>
              <w:rPr>
                <w:rFonts w:ascii="Cambria" w:hAnsi="Cambria" w:cs="Helvetica"/>
                <w:sz w:val="18"/>
                <w:szCs w:val="18"/>
              </w:rPr>
              <w:t xml:space="preserve"> Ten.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ACT, NSW, TAS, Qld,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rubra</w:t>
            </w:r>
            <w:r>
              <w:rPr>
                <w:rFonts w:ascii="Cambria" w:hAnsi="Cambria" w:cs="Helvetica"/>
                <w:sz w:val="18"/>
                <w:szCs w:val="18"/>
              </w:rPr>
              <w:t xml:space="preserve"> L. [Fagaceae] – Northern red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Quercus borealis</w:t>
            </w:r>
            <w:r>
              <w:rPr>
                <w:rFonts w:ascii="Cambria" w:hAnsi="Cambria" w:cs="Helvetica"/>
                <w:sz w:val="18"/>
                <w:szCs w:val="18"/>
              </w:rPr>
              <w:t xml:space="preserve"> F. Michx.</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Sundheim </w:t>
            </w:r>
            <w:r>
              <w:rPr>
                <w:rFonts w:ascii="Cambria" w:hAnsi="Cambria" w:cs="Helvetica"/>
                <w:iCs/>
                <w:sz w:val="18"/>
                <w:szCs w:val="18"/>
              </w:rPr>
              <w:t>et al</w:t>
            </w:r>
            <w:r>
              <w:rPr>
                <w:rFonts w:ascii="Cambria" w:hAnsi="Cambria"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Quercus wislizeni </w:t>
            </w:r>
            <w:r>
              <w:rPr>
                <w:rFonts w:ascii="Cambria" w:hAnsi="Cambria" w:cs="Helvetica"/>
                <w:sz w:val="18"/>
                <w:szCs w:val="18"/>
              </w:rPr>
              <w:t xml:space="preserve">A. DC. [Fagaceae] – Shreve oak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Quercus parvula </w:t>
            </w:r>
            <w:r>
              <w:rPr>
                <w:rFonts w:ascii="Cambria" w:hAnsi="Cambria" w:cs="Helvetica"/>
                <w:sz w:val="18"/>
                <w:szCs w:val="18"/>
              </w:rPr>
              <w:t xml:space="preserve">Greene, </w:t>
            </w:r>
            <w:r>
              <w:rPr>
                <w:rFonts w:ascii="Cambria" w:hAnsi="Cambria" w:cs="Helvetica"/>
                <w:i/>
                <w:iCs/>
                <w:sz w:val="18"/>
                <w:szCs w:val="18"/>
              </w:rPr>
              <w:t xml:space="preserve">Quercus parvula </w:t>
            </w:r>
            <w:r>
              <w:rPr>
                <w:rFonts w:ascii="Cambria" w:hAnsi="Cambria" w:cs="Helvetica"/>
                <w:sz w:val="18"/>
                <w:szCs w:val="18"/>
              </w:rPr>
              <w:t xml:space="preserve">var. </w:t>
            </w:r>
            <w:r>
              <w:rPr>
                <w:rFonts w:ascii="Cambria" w:hAnsi="Cambria" w:cs="Helvetica"/>
                <w:i/>
                <w:iCs/>
                <w:sz w:val="18"/>
                <w:szCs w:val="18"/>
              </w:rPr>
              <w:t>shrevei</w:t>
            </w:r>
            <w:r>
              <w:rPr>
                <w:rFonts w:ascii="Cambria" w:hAnsi="Cambria" w:cs="Helvetica"/>
                <w:sz w:val="18"/>
                <w:szCs w:val="18"/>
              </w:rPr>
              <w:t xml:space="preserve"> (C.H. Mull.) Nixon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et al. 2003; Scianna </w:t>
            </w:r>
            <w:r>
              <w:rPr>
                <w:rFonts w:ascii="Cambria" w:hAnsi="Cambria" w:cs="Helvetica"/>
                <w:iCs/>
                <w:sz w:val="18"/>
                <w:szCs w:val="18"/>
              </w:rPr>
              <w:t>et al</w:t>
            </w:r>
            <w:r>
              <w:rPr>
                <w:rFonts w:ascii="Cambria" w:hAnsi="Cambria"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shd w:val="clear" w:color="auto" w:fill="FFFFFF"/>
              </w:rPr>
              <w:t>Rhododendron catawbiense</w:t>
            </w:r>
            <w:r>
              <w:rPr>
                <w:rFonts w:ascii="Cambria" w:hAnsi="Cambria" w:cs="Helvetica"/>
                <w:iCs/>
                <w:sz w:val="18"/>
                <w:szCs w:val="18"/>
                <w:shd w:val="clear" w:color="auto" w:fill="FFFFFF"/>
              </w:rPr>
              <w:t xml:space="preserve"> Michx. [</w:t>
            </w:r>
            <w:r>
              <w:rPr>
                <w:rFonts w:ascii="Cambria" w:hAnsi="Cambria" w:cs="Helvetica"/>
                <w:sz w:val="18"/>
                <w:szCs w:val="18"/>
              </w:rPr>
              <w:t xml:space="preserve">Ericaceae] – Catawba rhododendron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pStyle w:val="AQISText"/>
              <w:spacing w:before="60" w:after="60" w:line="240" w:lineRule="auto"/>
              <w:jc w:val="left"/>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color w:val="000000"/>
                <w:sz w:val="18"/>
                <w:szCs w:val="18"/>
                <w:shd w:val="clear" w:color="auto" w:fill="FFFFFF"/>
              </w:rPr>
              <w:t xml:space="preserve">Herrero </w:t>
            </w:r>
            <w:r>
              <w:rPr>
                <w:rFonts w:ascii="Cambria" w:hAnsi="Cambria" w:cs="Helvetica"/>
                <w:iCs/>
                <w:color w:val="000000"/>
                <w:sz w:val="18"/>
                <w:szCs w:val="18"/>
                <w:shd w:val="clear" w:color="auto" w:fill="FFFFFF"/>
              </w:rPr>
              <w:t>et al</w:t>
            </w:r>
            <w:r>
              <w:rPr>
                <w:rFonts w:ascii="Cambria" w:hAnsi="Cambria" w:cs="Helvetica"/>
                <w:color w:val="000000"/>
                <w:sz w:val="18"/>
                <w:szCs w:val="18"/>
                <w:shd w:val="clear" w:color="auto" w:fill="FFFFFF"/>
              </w:rPr>
              <w:t>. 2006</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Rhododendron</w:t>
            </w:r>
            <w:r>
              <w:rPr>
                <w:rFonts w:ascii="Cambria" w:hAnsi="Cambria" w:cs="Helvetica"/>
                <w:sz w:val="18"/>
                <w:szCs w:val="18"/>
              </w:rPr>
              <w:t xml:space="preserve"> L. species[ Ericaceae] – Rhododendron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et al. 2003; Parke </w:t>
            </w:r>
            <w:r>
              <w:rPr>
                <w:rFonts w:ascii="Cambria" w:hAnsi="Cambria" w:cs="Helvetica"/>
                <w:iCs/>
                <w:sz w:val="18"/>
                <w:szCs w:val="18"/>
              </w:rPr>
              <w:t>et al.</w:t>
            </w:r>
            <w:r>
              <w:rPr>
                <w:rFonts w:ascii="Cambria" w:hAnsi="Cambria" w:cs="Helvetica"/>
                <w:sz w:val="18"/>
                <w:szCs w:val="18"/>
              </w:rPr>
              <w:t xml:space="preserve"> 2004a; Tjosvold </w:t>
            </w:r>
            <w:r>
              <w:rPr>
                <w:rFonts w:ascii="Cambria" w:hAnsi="Cambria" w:cs="Helvetica"/>
                <w:iCs/>
                <w:sz w:val="18"/>
                <w:szCs w:val="18"/>
              </w:rPr>
              <w:t>et al.</w:t>
            </w:r>
            <w:r>
              <w:rPr>
                <w:rFonts w:ascii="Cambria" w:hAnsi="Cambria" w:cs="Helvetica"/>
                <w:sz w:val="18"/>
                <w:szCs w:val="18"/>
              </w:rPr>
              <w:t xml:space="preserve"> 2005; Cave </w:t>
            </w:r>
            <w:r>
              <w:rPr>
                <w:rFonts w:ascii="Cambria" w:hAnsi="Cambria" w:cs="Helvetica"/>
                <w:iCs/>
                <w:sz w:val="18"/>
                <w:szCs w:val="18"/>
              </w:rPr>
              <w:t>et al.</w:t>
            </w:r>
            <w:r>
              <w:rPr>
                <w:rFonts w:ascii="Cambria" w:hAnsi="Cambria" w:cs="Helvetica"/>
                <w:sz w:val="18"/>
                <w:szCs w:val="18"/>
              </w:rPr>
              <w:t xml:space="preserve"> 2008; Tsopelas </w:t>
            </w:r>
            <w:r>
              <w:rPr>
                <w:rFonts w:ascii="Cambria" w:hAnsi="Cambria" w:cs="Helvetica"/>
                <w:iCs/>
                <w:sz w:val="18"/>
                <w:szCs w:val="18"/>
              </w:rPr>
              <w:t>et al.</w:t>
            </w:r>
            <w:r>
              <w:rPr>
                <w:rFonts w:ascii="Cambria" w:hAnsi="Cambria" w:cs="Helvetica"/>
                <w:sz w:val="18"/>
                <w:szCs w:val="18"/>
              </w:rPr>
              <w:t xml:space="preserve"> 2011; Dick et al. 2014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Qld, ACT, NSW, TAS, VIC, SA,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sz w:val="18"/>
                <w:szCs w:val="18"/>
              </w:rPr>
            </w:pPr>
            <w:r>
              <w:rPr>
                <w:rFonts w:ascii="Cambria" w:hAnsi="Cambria" w:cs="Helvetica"/>
                <w:i/>
                <w:iCs/>
                <w:sz w:val="18"/>
                <w:szCs w:val="18"/>
              </w:rPr>
              <w:t>Rhododendron macrophyllum</w:t>
            </w:r>
            <w:r>
              <w:rPr>
                <w:rFonts w:ascii="Cambria" w:hAnsi="Cambria" w:cs="Helvetica"/>
                <w:iCs/>
                <w:sz w:val="18"/>
                <w:szCs w:val="18"/>
              </w:rPr>
              <w:t xml:space="preserve"> D. Don ex G. Don [</w:t>
            </w:r>
            <w:r>
              <w:rPr>
                <w:rFonts w:ascii="Cambria" w:hAnsi="Cambria" w:cs="Helvetica"/>
                <w:sz w:val="18"/>
                <w:szCs w:val="18"/>
              </w:rPr>
              <w:t xml:space="preserve">Ericaceae]– California rose bay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iCs/>
                <w:sz w:val="18"/>
                <w:szCs w:val="18"/>
              </w:rPr>
            </w:pPr>
            <w:r>
              <w:rPr>
                <w:rFonts w:ascii="Cambria" w:hAnsi="Cambria" w:cs="Helvetica"/>
                <w:i/>
                <w:sz w:val="18"/>
                <w:szCs w:val="18"/>
              </w:rPr>
              <w:t>Rhododendron californicum</w:t>
            </w:r>
            <w:r>
              <w:rPr>
                <w:rFonts w:ascii="Cambria" w:hAnsi="Cambria" w:cs="Helvetica"/>
                <w:sz w:val="18"/>
                <w:szCs w:val="18"/>
              </w:rPr>
              <w:t xml:space="preserve"> Hook.</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Scianna </w:t>
            </w:r>
            <w:r>
              <w:rPr>
                <w:rFonts w:ascii="Cambria" w:hAnsi="Cambria" w:cs="Helvetica"/>
                <w:iCs/>
                <w:sz w:val="18"/>
                <w:szCs w:val="18"/>
              </w:rPr>
              <w:t>et al</w:t>
            </w:r>
            <w:r>
              <w:rPr>
                <w:rFonts w:ascii="Cambria" w:hAnsi="Cambria" w:cs="Helvetica"/>
                <w:sz w:val="18"/>
                <w:szCs w:val="18"/>
              </w:rPr>
              <w:t xml:space="preserve">. 2003; Goheen </w:t>
            </w:r>
            <w:r>
              <w:rPr>
                <w:rFonts w:ascii="Cambria" w:hAnsi="Cambria" w:cs="Helvetica"/>
                <w:iCs/>
                <w:sz w:val="18"/>
                <w:szCs w:val="18"/>
              </w:rPr>
              <w:t xml:space="preserve">et al </w:t>
            </w:r>
            <w:r>
              <w:rPr>
                <w:rFonts w:ascii="Cambria" w:hAnsi="Cambria" w:cs="Helvetica"/>
                <w:sz w:val="18"/>
                <w:szCs w:val="18"/>
              </w:rPr>
              <w:t>2002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Cs/>
                <w:sz w:val="18"/>
                <w:szCs w:val="18"/>
              </w:rPr>
            </w:pPr>
            <w:r>
              <w:rPr>
                <w:rFonts w:ascii="Cambria" w:hAnsi="Cambria" w:cs="Helvetica"/>
                <w:i/>
                <w:iCs/>
                <w:sz w:val="18"/>
                <w:szCs w:val="18"/>
              </w:rPr>
              <w:t>Rhododendron ponticum</w:t>
            </w:r>
            <w:r>
              <w:rPr>
                <w:rFonts w:ascii="Cambria" w:hAnsi="Cambria" w:cs="Helvetica"/>
                <w:iCs/>
                <w:sz w:val="18"/>
                <w:szCs w:val="18"/>
              </w:rPr>
              <w:t xml:space="preserve"> L. [</w:t>
            </w:r>
            <w:r>
              <w:rPr>
                <w:rFonts w:ascii="Cambria" w:hAnsi="Cambria" w:cs="Helvetica"/>
                <w:sz w:val="18"/>
                <w:szCs w:val="18"/>
              </w:rPr>
              <w:t>Ericaceae</w:t>
            </w:r>
            <w:r>
              <w:rPr>
                <w:rFonts w:ascii="Cambria" w:hAnsi="Cambria" w:cs="Helvetica"/>
                <w:iCs/>
                <w:sz w:val="18"/>
                <w:szCs w:val="18"/>
              </w:rPr>
              <w:t>] – Common rhododendron</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pStyle w:val="AQISText"/>
              <w:spacing w:before="60" w:after="60" w:line="240" w:lineRule="auto"/>
              <w:jc w:val="left"/>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Purse et al. 2013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TAS, NSW, 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Ribes laurifolium</w:t>
            </w:r>
            <w:r>
              <w:rPr>
                <w:rFonts w:ascii="Cambria" w:hAnsi="Cambria" w:cs="Helvetica"/>
                <w:sz w:val="18"/>
                <w:szCs w:val="18"/>
              </w:rPr>
              <w:t xml:space="preserve"> Jancz. [Grossulariaceae] – Bayleaf currant</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Rosa gymnocarpa</w:t>
            </w:r>
            <w:r>
              <w:rPr>
                <w:rFonts w:ascii="Cambria" w:hAnsi="Cambria" w:cs="Helvetica"/>
                <w:sz w:val="18"/>
                <w:szCs w:val="18"/>
              </w:rPr>
              <w:t xml:space="preserve"> Nutt. [Rosaceae] – Californian wood rose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shd w:val="clear" w:color="auto" w:fill="FFFFFF"/>
              </w:rPr>
              <w:t>Hüberli</w:t>
            </w:r>
            <w:r>
              <w:rPr>
                <w:rFonts w:ascii="Cambria" w:hAnsi="Cambria" w:cs="Helvetica"/>
                <w:sz w:val="18"/>
                <w:szCs w:val="18"/>
              </w:rPr>
              <w:t xml:space="preserve"> </w:t>
            </w:r>
            <w:r>
              <w:rPr>
                <w:rFonts w:ascii="Cambria" w:hAnsi="Cambria" w:cs="Helvetica"/>
                <w:iCs/>
                <w:sz w:val="18"/>
                <w:szCs w:val="18"/>
              </w:rPr>
              <w:t>et al</w:t>
            </w:r>
            <w:r>
              <w:rPr>
                <w:rFonts w:ascii="Cambria" w:hAnsi="Cambria" w:cs="Helvetica"/>
                <w:sz w:val="18"/>
                <w:szCs w:val="18"/>
              </w:rPr>
              <w:t>.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Rosa rugosa</w:t>
            </w:r>
            <w:r>
              <w:rPr>
                <w:rFonts w:ascii="Cambria" w:hAnsi="Cambria" w:cs="Helvetica"/>
                <w:sz w:val="18"/>
                <w:szCs w:val="18"/>
              </w:rPr>
              <w:t xml:space="preserve"> Thunb. [Rosaceae] – Rugosa rose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Rosa</w:t>
            </w:r>
            <w:r>
              <w:rPr>
                <w:rFonts w:ascii="Cambria" w:hAnsi="Cambria" w:cs="Helvetica"/>
                <w:sz w:val="18"/>
                <w:szCs w:val="18"/>
              </w:rPr>
              <w:t xml:space="preserve"> species (several different cultivars) [Rosaceae] – Rose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 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NSW, VIC, Qld, TAS, WA, 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Rubus spectabilis</w:t>
            </w:r>
            <w:r>
              <w:rPr>
                <w:rFonts w:ascii="Cambria" w:hAnsi="Cambria" w:cs="Helvetica"/>
                <w:sz w:val="18"/>
                <w:szCs w:val="18"/>
              </w:rPr>
              <w:t xml:space="preserve"> Pursh [Rosaceae] – Salmonberry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Salix caprea</w:t>
            </w:r>
            <w:r>
              <w:rPr>
                <w:rFonts w:ascii="Cambria" w:hAnsi="Cambria" w:cs="Helvetica"/>
                <w:sz w:val="18"/>
                <w:szCs w:val="18"/>
              </w:rPr>
              <w:t xml:space="preserve"> L. [Salicaceae] – Goat willow, Sallow</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TAS, NSW, ACT,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Sarcococca hookeriana </w:t>
            </w:r>
            <w:r>
              <w:rPr>
                <w:rFonts w:ascii="Cambria" w:hAnsi="Cambria" w:cs="Helvetica"/>
                <w:sz w:val="18"/>
                <w:szCs w:val="18"/>
              </w:rPr>
              <w:t xml:space="preserve">Baill. var. </w:t>
            </w:r>
            <w:r>
              <w:rPr>
                <w:rFonts w:ascii="Cambria" w:hAnsi="Cambria" w:cs="Helvetica"/>
                <w:i/>
                <w:iCs/>
                <w:sz w:val="18"/>
                <w:szCs w:val="18"/>
              </w:rPr>
              <w:t>digyna</w:t>
            </w:r>
            <w:r>
              <w:rPr>
                <w:rFonts w:ascii="Cambria" w:hAnsi="Cambria" w:cs="Helvetica"/>
                <w:sz w:val="18"/>
                <w:szCs w:val="18"/>
              </w:rPr>
              <w:t xml:space="preserve"> Franch. [Buxaceae] – Himalyan sweet box</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Sarcococca humilis</w:t>
            </w:r>
            <w:r>
              <w:rPr>
                <w:rFonts w:ascii="Cambria" w:hAnsi="Cambria" w:cs="Helvetica"/>
                <w:sz w:val="18"/>
                <w:szCs w:val="18"/>
              </w:rPr>
              <w:t xml:space="preserve"> Stapf</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 Alexandra Schlenzig, SASA, personal communication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Schima superba </w:t>
            </w:r>
            <w:r>
              <w:rPr>
                <w:rFonts w:ascii="Cambria" w:hAnsi="Cambria" w:cs="Helvetica"/>
                <w:sz w:val="18"/>
                <w:szCs w:val="18"/>
              </w:rPr>
              <w:t>Gardner &amp; Champ. [Theaceae] – Chinese guger tree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Schima argentea </w:t>
            </w:r>
            <w:r>
              <w:rPr>
                <w:rFonts w:ascii="Cambria" w:hAnsi="Cambria" w:cs="Helvetica"/>
                <w:sz w:val="18"/>
                <w:szCs w:val="18"/>
              </w:rPr>
              <w:t xml:space="preserve">E. Pritz., </w:t>
            </w:r>
            <w:r>
              <w:rPr>
                <w:rFonts w:ascii="Cambria" w:hAnsi="Cambria" w:cs="Helvetica"/>
                <w:i/>
                <w:iCs/>
                <w:sz w:val="18"/>
                <w:szCs w:val="18"/>
              </w:rPr>
              <w:t>Schima liukiuensis</w:t>
            </w:r>
            <w:r>
              <w:rPr>
                <w:rFonts w:ascii="Cambria" w:hAnsi="Cambria" w:cs="Helvetica"/>
                <w:sz w:val="18"/>
                <w:szCs w:val="18"/>
              </w:rPr>
              <w:t xml:space="preserve"> Nakai </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Sansford </w:t>
            </w:r>
            <w:r>
              <w:rPr>
                <w:rFonts w:ascii="Cambria" w:hAnsi="Cambria" w:cs="Helvetica"/>
                <w:iCs/>
                <w:sz w:val="18"/>
                <w:szCs w:val="18"/>
              </w:rPr>
              <w:t>et al.</w:t>
            </w:r>
            <w:r>
              <w:rPr>
                <w:rFonts w:ascii="Cambria" w:hAnsi="Cambria"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Schima wallichii</w:t>
            </w:r>
            <w:r>
              <w:rPr>
                <w:rFonts w:ascii="Cambria" w:hAnsi="Cambria" w:cs="Helvetica"/>
                <w:sz w:val="18"/>
                <w:szCs w:val="18"/>
              </w:rPr>
              <w:t xml:space="preserve"> (DC.) Korth. [Theaceae]</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Gordonia wallichii</w:t>
            </w:r>
            <w:r>
              <w:rPr>
                <w:rFonts w:ascii="Cambria" w:hAnsi="Cambria" w:cs="Helvetica"/>
                <w:sz w:val="18"/>
                <w:szCs w:val="18"/>
              </w:rPr>
              <w:t xml:space="preserve"> DC., </w:t>
            </w:r>
            <w:r>
              <w:rPr>
                <w:rFonts w:ascii="Cambria" w:hAnsi="Cambria" w:cs="Helvetica"/>
                <w:i/>
                <w:iCs/>
                <w:sz w:val="18"/>
                <w:szCs w:val="18"/>
              </w:rPr>
              <w:t>Schima crenata</w:t>
            </w:r>
            <w:r>
              <w:rPr>
                <w:rFonts w:ascii="Cambria" w:hAnsi="Cambria" w:cs="Helvetica"/>
                <w:sz w:val="18"/>
                <w:szCs w:val="18"/>
              </w:rPr>
              <w:t xml:space="preserve"> Korth., </w:t>
            </w:r>
            <w:r>
              <w:rPr>
                <w:rFonts w:ascii="Cambria" w:hAnsi="Cambria" w:cs="Helvetica"/>
                <w:i/>
                <w:iCs/>
                <w:sz w:val="18"/>
                <w:szCs w:val="18"/>
              </w:rPr>
              <w:t>Schima noronhae</w:t>
            </w:r>
            <w:r>
              <w:rPr>
                <w:rFonts w:ascii="Cambria" w:hAnsi="Cambria" w:cs="Helvetica"/>
                <w:sz w:val="18"/>
                <w:szCs w:val="18"/>
              </w:rPr>
              <w:t xml:space="preserve"> Reinw. ex Blume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Sequoia</w:t>
            </w:r>
            <w:r>
              <w:rPr>
                <w:rFonts w:ascii="Cambria" w:hAnsi="Cambria" w:cs="Helvetica"/>
                <w:sz w:val="18"/>
                <w:szCs w:val="18"/>
              </w:rPr>
              <w:t xml:space="preserve"> Endl. species [Taxodiaceae] – Redwood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 xml:space="preserve">Scianna </w:t>
            </w:r>
            <w:r>
              <w:rPr>
                <w:rFonts w:ascii="Cambria" w:hAnsi="Cambria" w:cs="Helvetica"/>
                <w:iCs/>
                <w:sz w:val="18"/>
                <w:szCs w:val="18"/>
              </w:rPr>
              <w:t>et al</w:t>
            </w:r>
            <w:r>
              <w:rPr>
                <w:rFonts w:ascii="Cambria" w:hAnsi="Cambria"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SA, VIC, TAS,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Sequoia sempervirens</w:t>
            </w:r>
            <w:r>
              <w:rPr>
                <w:rFonts w:ascii="Cambria" w:hAnsi="Cambria" w:cs="Helvetica"/>
                <w:sz w:val="18"/>
                <w:szCs w:val="18"/>
              </w:rPr>
              <w:t xml:space="preserve"> (D. Don) Endl. [Taxodiaceae] – Coast redwood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Taxodium sempervirens</w:t>
            </w:r>
            <w:r>
              <w:rPr>
                <w:rFonts w:ascii="Cambria" w:hAnsi="Cambria" w:cs="Helvetica"/>
                <w:sz w:val="18"/>
                <w:szCs w:val="18"/>
              </w:rPr>
              <w:t xml:space="preserve"> D. Don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Maloney et al. 2002; Kliejunas 2003; Hansen </w:t>
            </w:r>
            <w:r>
              <w:rPr>
                <w:rFonts w:ascii="Cambria" w:hAnsi="Cambria" w:cs="Helvetica"/>
                <w:iCs/>
                <w:sz w:val="18"/>
                <w:szCs w:val="18"/>
              </w:rPr>
              <w:t>et al</w:t>
            </w:r>
            <w:r>
              <w:rPr>
                <w:rFonts w:ascii="Cambria" w:hAnsi="Cambria" w:cs="Helvetica"/>
                <w:sz w:val="18"/>
                <w:szCs w:val="18"/>
              </w:rPr>
              <w:t>. 2003a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 VIC, SA, TAS, WA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Syringa vulgaris</w:t>
            </w:r>
            <w:r>
              <w:rPr>
                <w:rFonts w:ascii="Cambria" w:hAnsi="Cambria" w:cs="Helvetica"/>
                <w:sz w:val="18"/>
                <w:szCs w:val="18"/>
              </w:rPr>
              <w:t xml:space="preserve"> L. [Oleaceae] – Lilac</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Beales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ACT, WA, NSW, TAS</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Taxus baccata</w:t>
            </w:r>
            <w:r>
              <w:rPr>
                <w:rFonts w:ascii="Cambria" w:hAnsi="Cambria" w:cs="Helvetica"/>
                <w:sz w:val="18"/>
                <w:szCs w:val="18"/>
              </w:rPr>
              <w:t xml:space="preserve"> L. [Taxaceae] – Yew</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Taxus fastigiata</w:t>
            </w:r>
            <w:r>
              <w:rPr>
                <w:rFonts w:ascii="Cambria" w:hAnsi="Cambria" w:cs="Helvetica"/>
                <w:sz w:val="18"/>
                <w:szCs w:val="18"/>
              </w:rPr>
              <w:t xml:space="preserve"> Lindl.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Lane </w:t>
            </w:r>
            <w:r>
              <w:rPr>
                <w:rFonts w:ascii="Cambria" w:hAnsi="Cambria" w:cs="Helvetica"/>
                <w:iCs/>
                <w:sz w:val="18"/>
                <w:szCs w:val="18"/>
              </w:rPr>
              <w:t>et al</w:t>
            </w:r>
            <w:r>
              <w:rPr>
                <w:rFonts w:ascii="Cambria" w:hAnsi="Cambria" w:cs="Helvetica"/>
                <w:sz w:val="18"/>
                <w:szCs w:val="18"/>
              </w:rPr>
              <w:t>.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SA, TAS, 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Taxus brevifolia</w:t>
            </w:r>
            <w:r>
              <w:rPr>
                <w:rFonts w:ascii="Cambria" w:hAnsi="Cambria" w:cs="Helvetica"/>
                <w:sz w:val="18"/>
                <w:szCs w:val="18"/>
              </w:rPr>
              <w:t xml:space="preserve"> Nutt. [Taxaceae] – Pacific yew</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et al.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sz w:val="18"/>
                <w:szCs w:val="18"/>
              </w:rPr>
              <w:t>Taxus</w:t>
            </w:r>
            <w:r>
              <w:rPr>
                <w:rFonts w:ascii="Cambria" w:hAnsi="Cambria" w:cs="Helvetica"/>
                <w:sz w:val="18"/>
                <w:szCs w:val="18"/>
              </w:rPr>
              <w:t xml:space="preserve"> x </w:t>
            </w:r>
            <w:r>
              <w:rPr>
                <w:rFonts w:ascii="Cambria" w:hAnsi="Cambria" w:cs="Helvetica"/>
                <w:i/>
                <w:sz w:val="18"/>
                <w:szCs w:val="18"/>
              </w:rPr>
              <w:t>media</w:t>
            </w:r>
            <w:r>
              <w:rPr>
                <w:rFonts w:ascii="Cambria" w:hAnsi="Cambria" w:cs="Helvetica"/>
                <w:sz w:val="18"/>
                <w:szCs w:val="18"/>
              </w:rPr>
              <w:t xml:space="preserve"> Rehder [Taxaceae] – Anglojap yew</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Sansford et al.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Torreya californica</w:t>
            </w:r>
            <w:r>
              <w:rPr>
                <w:rFonts w:ascii="Cambria" w:hAnsi="Cambria" w:cs="Helvetica"/>
                <w:sz w:val="18"/>
                <w:szCs w:val="18"/>
              </w:rPr>
              <w:t xml:space="preserve"> Torr. [Taxaceae] – California nutmeg</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Tumion californicum</w:t>
            </w:r>
            <w:r>
              <w:rPr>
                <w:rFonts w:ascii="Cambria" w:hAnsi="Cambria" w:cs="Helvetica"/>
                <w:sz w:val="18"/>
                <w:szCs w:val="18"/>
              </w:rPr>
              <w:t xml:space="preserve"> (Torr.) Greene</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Cave et al. 2008; Sansford et al. 2009; 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Toxicodendron diversilobum</w:t>
            </w:r>
            <w:r>
              <w:rPr>
                <w:rFonts w:ascii="Cambria" w:hAnsi="Cambria" w:cs="Helvetica"/>
                <w:sz w:val="18"/>
                <w:szCs w:val="18"/>
              </w:rPr>
              <w:t xml:space="preserve"> (Torr. &amp; A. Gray) Greene [Anacardiaceae] – Pacific poison oak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Rhus diversiloba</w:t>
            </w:r>
            <w:r>
              <w:rPr>
                <w:rFonts w:ascii="Cambria" w:hAnsi="Cambria" w:cs="Helvetica"/>
                <w:sz w:val="18"/>
                <w:szCs w:val="18"/>
              </w:rPr>
              <w:t xml:space="preserve"> Torr. &amp; A. Gray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Cave </w:t>
            </w:r>
            <w:r>
              <w:rPr>
                <w:rFonts w:ascii="Cambria" w:hAnsi="Cambria" w:cs="Helvetica"/>
                <w:iCs/>
                <w:sz w:val="18"/>
                <w:szCs w:val="18"/>
              </w:rPr>
              <w:t>et al.</w:t>
            </w:r>
            <w:r>
              <w:rPr>
                <w:rFonts w:ascii="Cambria" w:hAnsi="Cambria"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Qld</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Trachelospermum jasminoides</w:t>
            </w:r>
            <w:r>
              <w:rPr>
                <w:rFonts w:ascii="Cambria" w:hAnsi="Cambria" w:cs="Helvetica"/>
                <w:sz w:val="18"/>
                <w:szCs w:val="18"/>
              </w:rPr>
              <w:t xml:space="preserve"> (Lindl.) Lem. [Apocynaceae] – Star jasmine, Confederate jasmine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Qld, NSW, 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Trientalis latifolia</w:t>
            </w:r>
            <w:r>
              <w:rPr>
                <w:rFonts w:ascii="Cambria" w:hAnsi="Cambria" w:cs="Helvetica"/>
                <w:sz w:val="18"/>
                <w:szCs w:val="18"/>
              </w:rPr>
              <w:t xml:space="preserve"> Hook. [Primulaceae] – Western star flower</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shd w:val="clear" w:color="auto" w:fill="FFFFFF"/>
              </w:rPr>
              <w:t>Hüberli</w:t>
            </w:r>
            <w:r>
              <w:rPr>
                <w:rFonts w:ascii="Cambria" w:hAnsi="Cambria" w:cs="Helvetica"/>
                <w:sz w:val="18"/>
                <w:szCs w:val="18"/>
              </w:rPr>
              <w:t xml:space="preserve"> </w:t>
            </w:r>
            <w:r>
              <w:rPr>
                <w:rFonts w:ascii="Cambria" w:hAnsi="Cambria" w:cs="Helvetica"/>
                <w:iCs/>
                <w:sz w:val="18"/>
                <w:szCs w:val="18"/>
              </w:rPr>
              <w:t>et al</w:t>
            </w:r>
            <w:r>
              <w:rPr>
                <w:rFonts w:ascii="Cambria" w:hAnsi="Cambria" w:cs="Helvetica"/>
                <w:sz w:val="18"/>
                <w:szCs w:val="18"/>
              </w:rPr>
              <w:t>. 2003b</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theme="minorHAnsi"/>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Tsuga heterophylla</w:t>
            </w:r>
            <w:r>
              <w:rPr>
                <w:rFonts w:ascii="Cambria" w:hAnsi="Cambria" w:cs="Helvetica"/>
                <w:sz w:val="18"/>
                <w:szCs w:val="18"/>
              </w:rPr>
              <w:t xml:space="preserve"> (Raf.) Sarg. [Pinaceae] – Western hemlock</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Abies albertiana </w:t>
            </w:r>
            <w:r>
              <w:rPr>
                <w:rFonts w:ascii="Cambria" w:hAnsi="Cambria" w:cs="Helvetica"/>
                <w:sz w:val="18"/>
                <w:szCs w:val="18"/>
              </w:rPr>
              <w:t xml:space="preserve">A. Murray, </w:t>
            </w:r>
            <w:r>
              <w:rPr>
                <w:rFonts w:ascii="Cambria" w:hAnsi="Cambria" w:cs="Helvetica"/>
                <w:i/>
                <w:iCs/>
                <w:sz w:val="18"/>
                <w:szCs w:val="18"/>
              </w:rPr>
              <w:t xml:space="preserve">Abies heterophylla </w:t>
            </w:r>
            <w:r>
              <w:rPr>
                <w:rFonts w:ascii="Cambria" w:hAnsi="Cambria" w:cs="Helvetica"/>
                <w:sz w:val="18"/>
                <w:szCs w:val="18"/>
              </w:rPr>
              <w:t xml:space="preserve">Raf., </w:t>
            </w:r>
            <w:r>
              <w:rPr>
                <w:rFonts w:ascii="Cambria" w:hAnsi="Cambria" w:cs="Helvetica"/>
                <w:i/>
                <w:iCs/>
                <w:sz w:val="18"/>
                <w:szCs w:val="18"/>
              </w:rPr>
              <w:t xml:space="preserve">Tsuga jeffreyi </w:t>
            </w:r>
            <w:r>
              <w:rPr>
                <w:rFonts w:ascii="Cambria" w:hAnsi="Cambria" w:cs="Helvetica"/>
                <w:sz w:val="18"/>
                <w:szCs w:val="18"/>
              </w:rPr>
              <w:t xml:space="preserve">(A. Henry) A. </w:t>
            </w:r>
            <w:r>
              <w:rPr>
                <w:rFonts w:ascii="Cambria" w:hAnsi="Cambria" w:cs="Helvetica"/>
                <w:sz w:val="18"/>
                <w:szCs w:val="18"/>
              </w:rPr>
              <w:lastRenderedPageBreak/>
              <w:t>Henry</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lastRenderedPageBreak/>
              <w:t>COMTF 2012;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Umbellularia californica</w:t>
            </w:r>
            <w:r>
              <w:rPr>
                <w:rFonts w:ascii="Cambria" w:hAnsi="Cambria" w:cs="Helvetica"/>
                <w:sz w:val="18"/>
                <w:szCs w:val="18"/>
              </w:rPr>
              <w:t xml:space="preserve"> (Hook. &amp; Arn.) Nutt. [Lauraceae] – Californian bay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Tetranthera californica</w:t>
            </w:r>
            <w:r>
              <w:rPr>
                <w:rFonts w:ascii="Cambria" w:hAnsi="Cambria" w:cs="Helvetica"/>
                <w:sz w:val="18"/>
                <w:szCs w:val="18"/>
              </w:rPr>
              <w:t xml:space="preserve"> Hook. &amp; Arn.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Garbelotto et al. 2003; Scianna </w:t>
            </w:r>
            <w:r>
              <w:rPr>
                <w:rFonts w:ascii="Cambria" w:hAnsi="Cambria" w:cs="Helvetica"/>
                <w:iCs/>
                <w:sz w:val="18"/>
                <w:szCs w:val="18"/>
              </w:rPr>
              <w:t>et al</w:t>
            </w:r>
            <w:r>
              <w:rPr>
                <w:rFonts w:ascii="Cambria" w:hAnsi="Cambria" w:cs="Helvetica"/>
                <w:sz w:val="18"/>
                <w:szCs w:val="18"/>
              </w:rPr>
              <w:t xml:space="preserve">. 2003; Hansen </w:t>
            </w:r>
            <w:r>
              <w:rPr>
                <w:rFonts w:ascii="Cambria" w:hAnsi="Cambria" w:cs="Helvetica"/>
                <w:iCs/>
                <w:sz w:val="18"/>
                <w:szCs w:val="18"/>
              </w:rPr>
              <w:t>et al</w:t>
            </w:r>
            <w:r>
              <w:rPr>
                <w:rFonts w:ascii="Cambria" w:hAnsi="Cambria" w:cs="Helvetica"/>
                <w:sz w:val="18"/>
                <w:szCs w:val="18"/>
              </w:rPr>
              <w:t>. 2003a</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Vaccinium myrtillus</w:t>
            </w:r>
            <w:r>
              <w:rPr>
                <w:rFonts w:ascii="Cambria" w:hAnsi="Cambria" w:cs="Helvetica"/>
                <w:sz w:val="18"/>
                <w:szCs w:val="18"/>
              </w:rPr>
              <w:t xml:space="preserve"> L. [Ericaceae] – Bilberry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Vaccinium yatabei</w:t>
            </w:r>
            <w:r>
              <w:rPr>
                <w:rFonts w:ascii="Cambria" w:hAnsi="Cambria" w:cs="Helvetica"/>
                <w:sz w:val="18"/>
                <w:szCs w:val="18"/>
              </w:rPr>
              <w:t xml:space="preserve"> Makino</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shd w:val="clear" w:color="auto" w:fill="FFFFFF"/>
              </w:rPr>
              <w:t xml:space="preserve">Herrero </w:t>
            </w:r>
            <w:r>
              <w:rPr>
                <w:rFonts w:ascii="Cambria" w:hAnsi="Cambria" w:cs="Helvetica"/>
                <w:iCs/>
                <w:sz w:val="18"/>
                <w:szCs w:val="18"/>
                <w:shd w:val="clear" w:color="auto" w:fill="FFFFFF"/>
              </w:rPr>
              <w:t>et al</w:t>
            </w:r>
            <w:r>
              <w:rPr>
                <w:rFonts w:ascii="Cambria" w:hAnsi="Cambria" w:cs="Helvetica"/>
                <w:sz w:val="18"/>
                <w:szCs w:val="18"/>
                <w:shd w:val="clear" w:color="auto" w:fill="FFFFFF"/>
              </w:rPr>
              <w:t>. 2011</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Vaccinium ovatum</w:t>
            </w:r>
            <w:r>
              <w:rPr>
                <w:rFonts w:ascii="Cambria" w:hAnsi="Cambria" w:cs="Helvetica"/>
                <w:sz w:val="18"/>
                <w:szCs w:val="18"/>
              </w:rPr>
              <w:t xml:space="preserve"> Pursh [Ericaceae] – Californian huckleberry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 xml:space="preserve">Goheen et al. 2002; Davidson et al. 2003b; Scianna </w:t>
            </w:r>
            <w:r>
              <w:rPr>
                <w:rFonts w:ascii="Cambria" w:hAnsi="Cambria" w:cs="Helvetica"/>
                <w:iCs/>
                <w:sz w:val="18"/>
                <w:szCs w:val="18"/>
              </w:rPr>
              <w:t>et al</w:t>
            </w:r>
            <w:r>
              <w:rPr>
                <w:rFonts w:ascii="Cambria" w:hAnsi="Cambria"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Vaccinium vitis-idaea</w:t>
            </w:r>
            <w:r>
              <w:rPr>
                <w:rFonts w:ascii="Cambria" w:hAnsi="Cambria" w:cs="Helvetica"/>
                <w:sz w:val="18"/>
                <w:szCs w:val="18"/>
              </w:rPr>
              <w:t xml:space="preserve"> L. [Ericaceae] – Cowberry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 xml:space="preserve">Vaccinium </w:t>
            </w:r>
            <w:r>
              <w:rPr>
                <w:rFonts w:ascii="Cambria" w:hAnsi="Cambria" w:cs="Helvetica"/>
                <w:iCs/>
                <w:sz w:val="18"/>
                <w:szCs w:val="18"/>
              </w:rPr>
              <w:t xml:space="preserve">x </w:t>
            </w:r>
            <w:r>
              <w:rPr>
                <w:rFonts w:ascii="Cambria" w:hAnsi="Cambria" w:cs="Helvetica"/>
                <w:i/>
                <w:iCs/>
                <w:sz w:val="18"/>
                <w:szCs w:val="18"/>
              </w:rPr>
              <w:t>intermedium</w:t>
            </w:r>
            <w:r>
              <w:rPr>
                <w:rFonts w:ascii="Cambria" w:hAnsi="Cambria" w:cs="Helvetica"/>
                <w:sz w:val="18"/>
                <w:szCs w:val="18"/>
              </w:rPr>
              <w:t xml:space="preserve"> Ruthe [Ericaceae] </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Vancouveria planipetala</w:t>
            </w:r>
            <w:r>
              <w:rPr>
                <w:rFonts w:ascii="Cambria" w:hAnsi="Cambria" w:cs="Helvetica"/>
                <w:sz w:val="18"/>
                <w:szCs w:val="18"/>
              </w:rPr>
              <w:t xml:space="preserve"> Calloni [Berberidaceae] – Redwood ivy</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i/>
                <w:iCs/>
                <w:sz w:val="18"/>
                <w:szCs w:val="18"/>
              </w:rPr>
            </w:pPr>
            <w:r>
              <w:rPr>
                <w:rFonts w:ascii="Cambria" w:hAnsi="Cambria" w:cs="Helvetica"/>
                <w:i/>
                <w:iCs/>
                <w:sz w:val="18"/>
                <w:szCs w:val="18"/>
              </w:rPr>
              <w:t xml:space="preserve">Veronica spicata </w:t>
            </w:r>
            <w:r>
              <w:rPr>
                <w:rFonts w:ascii="Cambria" w:hAnsi="Cambria" w:cs="Helvetica"/>
                <w:sz w:val="18"/>
                <w:szCs w:val="18"/>
              </w:rPr>
              <w:t>L. [Scrophulariaceae ] – Spiked speedwell</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Pseudolysimachion spicatum</w:t>
            </w:r>
            <w:r>
              <w:rPr>
                <w:rFonts w:ascii="Cambria" w:hAnsi="Cambria" w:cs="Helvetica"/>
                <w:sz w:val="18"/>
                <w:szCs w:val="18"/>
              </w:rPr>
              <w:t xml:space="preserve"> (L.) Opiz, </w:t>
            </w:r>
            <w:r>
              <w:rPr>
                <w:rFonts w:ascii="Cambria" w:hAnsi="Cambria" w:cs="Helvetica"/>
                <w:i/>
                <w:iCs/>
                <w:sz w:val="18"/>
                <w:szCs w:val="18"/>
              </w:rPr>
              <w:t>Veronica barrelieri</w:t>
            </w:r>
            <w:r>
              <w:rPr>
                <w:rFonts w:ascii="Cambria" w:hAnsi="Cambria" w:cs="Helvetica"/>
                <w:sz w:val="18"/>
                <w:szCs w:val="18"/>
              </w:rPr>
              <w:t xml:space="preserve"> Schult., </w:t>
            </w:r>
            <w:r>
              <w:rPr>
                <w:rFonts w:ascii="Cambria" w:hAnsi="Cambria" w:cs="Helvetica"/>
                <w:i/>
                <w:iCs/>
                <w:sz w:val="18"/>
                <w:szCs w:val="18"/>
              </w:rPr>
              <w:t>Veronica hololeuca</w:t>
            </w:r>
            <w:r>
              <w:rPr>
                <w:rFonts w:ascii="Cambria" w:hAnsi="Cambria" w:cs="Helvetica"/>
                <w:sz w:val="18"/>
                <w:szCs w:val="18"/>
              </w:rPr>
              <w:t xml:space="preserve"> Juz., </w:t>
            </w:r>
            <w:r>
              <w:rPr>
                <w:rFonts w:ascii="Cambria" w:hAnsi="Cambria" w:cs="Helvetica"/>
                <w:i/>
                <w:iCs/>
                <w:sz w:val="18"/>
                <w:szCs w:val="18"/>
              </w:rPr>
              <w:t>Veronica orchidea</w:t>
            </w:r>
            <w:r>
              <w:rPr>
                <w:rFonts w:ascii="Cambria" w:hAnsi="Cambria" w:cs="Helvetica"/>
                <w:sz w:val="18"/>
                <w:szCs w:val="18"/>
              </w:rPr>
              <w:t xml:space="preserve"> Crantz) </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COMTF 2012; APHIS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w:t>
            </w:r>
            <w:r>
              <w:rPr>
                <w:rFonts w:ascii="Cambria" w:hAnsi="Cambria" w:cs="Helvetica"/>
                <w:sz w:val="18"/>
                <w:szCs w:val="18"/>
              </w:rPr>
              <w:t xml:space="preserve"> </w:t>
            </w:r>
            <w:r>
              <w:rPr>
                <w:rFonts w:ascii="Cambria" w:hAnsi="Cambria" w:cs="Helvetica"/>
                <w:i/>
                <w:iCs/>
                <w:sz w:val="18"/>
                <w:szCs w:val="18"/>
              </w:rPr>
              <w:t>carlcephalum</w:t>
            </w:r>
            <w:r>
              <w:rPr>
                <w:rFonts w:ascii="Cambria" w:hAnsi="Cambria" w:cs="Helvetica"/>
                <w:sz w:val="18"/>
                <w:szCs w:val="18"/>
              </w:rPr>
              <w:t xml:space="preserve"> x </w:t>
            </w:r>
            <w:r>
              <w:rPr>
                <w:rFonts w:ascii="Cambria" w:hAnsi="Cambria" w:cs="Helvetica"/>
                <w:i/>
                <w:iCs/>
                <w:sz w:val="18"/>
                <w:szCs w:val="18"/>
              </w:rPr>
              <w:t>Viburnum utile</w:t>
            </w:r>
            <w:r>
              <w:rPr>
                <w:rFonts w:ascii="Cambria" w:hAnsi="Cambria" w:cs="Helvetica"/>
                <w:sz w:val="18"/>
                <w:szCs w:val="18"/>
              </w:rPr>
              <w:t xml:space="preserve"> [Caprifoliaceae</w:t>
            </w:r>
            <w:r>
              <w:rPr>
                <w:rFonts w:ascii="Cambria" w:hAnsi="Cambria" w:cs="Arial"/>
                <w:sz w:val="18"/>
                <w:szCs w:val="18"/>
              </w:rPr>
              <w:t>] – Viburnum hybrid</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n/a</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 davidii</w:t>
            </w:r>
            <w:r>
              <w:rPr>
                <w:rFonts w:ascii="Cambria" w:hAnsi="Cambria" w:cs="Helvetica"/>
                <w:sz w:val="18"/>
                <w:szCs w:val="18"/>
              </w:rPr>
              <w:t xml:space="preserve"> Franch. [Caprifoliaceae] – David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ACT</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 farreri</w:t>
            </w:r>
            <w:r>
              <w:rPr>
                <w:rFonts w:ascii="Cambria" w:hAnsi="Cambria" w:cs="Helvetica"/>
                <w:sz w:val="18"/>
                <w:szCs w:val="18"/>
              </w:rPr>
              <w:t xml:space="preserve"> Stearn [Caprifoliaceae] – Fragrant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Viburnum fragrans</w:t>
            </w:r>
            <w:r>
              <w:rPr>
                <w:rFonts w:ascii="Cambria" w:hAnsi="Cambria" w:cs="Helvetica"/>
                <w:sz w:val="18"/>
                <w:szCs w:val="18"/>
              </w:rPr>
              <w:t xml:space="preserve"> Bunge, </w:t>
            </w:r>
            <w:r>
              <w:rPr>
                <w:rFonts w:ascii="Cambria" w:hAnsi="Cambria" w:cs="Helvetica"/>
                <w:i/>
                <w:sz w:val="18"/>
                <w:szCs w:val="18"/>
              </w:rPr>
              <w:t>Viburnum fragrans</w:t>
            </w:r>
            <w:r>
              <w:rPr>
                <w:rFonts w:ascii="Cambria" w:hAnsi="Cambria" w:cs="Helvetica"/>
                <w:sz w:val="18"/>
                <w:szCs w:val="18"/>
              </w:rPr>
              <w:t xml:space="preserve"> var</w:t>
            </w:r>
            <w:r>
              <w:rPr>
                <w:rFonts w:ascii="Cambria" w:hAnsi="Cambria" w:cs="Helvetica"/>
                <w:i/>
                <w:sz w:val="18"/>
                <w:szCs w:val="18"/>
              </w:rPr>
              <w:t>. nanus</w:t>
            </w:r>
            <w:r>
              <w:rPr>
                <w:rFonts w:ascii="Cambria" w:hAnsi="Cambria" w:cs="Helvetica"/>
                <w:sz w:val="18"/>
                <w:szCs w:val="18"/>
              </w:rPr>
              <w:t xml:space="preserve"> Boom</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w:t>
            </w:r>
            <w:r>
              <w:rPr>
                <w:rFonts w:ascii="Cambria" w:hAnsi="Cambria" w:cs="Helvetica"/>
                <w:sz w:val="18"/>
                <w:szCs w:val="18"/>
              </w:rPr>
              <w:t xml:space="preserve"> L. species [Caprifoliaceae]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Parke et al. 2004a, b; Tjosvold et al. 2005; Cave et al. 2008; Sansford et al. 2009; COMTF 2012; 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ACT, VIC, NSW, TAS</w:t>
            </w:r>
          </w:p>
        </w:tc>
      </w:tr>
      <w:tr w:rsidR="00E94405">
        <w:trPr>
          <w:trHeight w:val="63"/>
        </w:trPr>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 lantana</w:t>
            </w:r>
            <w:r>
              <w:rPr>
                <w:rFonts w:ascii="Cambria" w:hAnsi="Cambria" w:cs="Helvetica"/>
                <w:sz w:val="18"/>
                <w:szCs w:val="18"/>
              </w:rPr>
              <w:t xml:space="preserve"> L. [Caprifoliaceae] – Wayfaringtree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 opulus</w:t>
            </w:r>
            <w:r>
              <w:rPr>
                <w:rFonts w:ascii="Cambria" w:hAnsi="Cambria" w:cs="Helvetica"/>
                <w:sz w:val="18"/>
                <w:szCs w:val="18"/>
              </w:rPr>
              <w:t xml:space="preserve"> L. [Caprifoliaceae]– European </w:t>
            </w:r>
            <w:r>
              <w:rPr>
                <w:rFonts w:ascii="Cambria" w:hAnsi="Cambria" w:cs="Helvetica"/>
                <w:sz w:val="18"/>
                <w:szCs w:val="18"/>
              </w:rPr>
              <w:lastRenderedPageBreak/>
              <w:t>cranberry, Bush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lastRenderedPageBreak/>
              <w:t>Viburnum opulus</w:t>
            </w:r>
            <w:r>
              <w:rPr>
                <w:rFonts w:ascii="Cambria" w:hAnsi="Cambria" w:cs="Helvetica"/>
                <w:sz w:val="18"/>
                <w:szCs w:val="18"/>
              </w:rPr>
              <w:t xml:space="preserve"> var. </w:t>
            </w:r>
            <w:r>
              <w:rPr>
                <w:rFonts w:ascii="Cambria" w:hAnsi="Cambria" w:cs="Helvetica"/>
                <w:i/>
                <w:sz w:val="18"/>
                <w:szCs w:val="18"/>
              </w:rPr>
              <w:t>calvescens</w:t>
            </w:r>
            <w:r>
              <w:rPr>
                <w:rFonts w:ascii="Cambria" w:hAnsi="Cambria" w:cs="Helvetica"/>
                <w:sz w:val="18"/>
                <w:szCs w:val="18"/>
              </w:rPr>
              <w:t xml:space="preserve"> (Rehder) H. Hara, </w:t>
            </w:r>
            <w:r>
              <w:rPr>
                <w:rFonts w:ascii="Cambria" w:hAnsi="Cambria" w:cs="Helvetica"/>
                <w:i/>
                <w:sz w:val="18"/>
                <w:szCs w:val="18"/>
              </w:rPr>
              <w:t>Viburnum opulus</w:t>
            </w:r>
            <w:r>
              <w:rPr>
                <w:rFonts w:ascii="Cambria" w:hAnsi="Cambria" w:cs="Helvetica"/>
                <w:sz w:val="18"/>
                <w:szCs w:val="18"/>
              </w:rPr>
              <w:t xml:space="preserve"> f. </w:t>
            </w:r>
            <w:r>
              <w:rPr>
                <w:rFonts w:ascii="Cambria" w:hAnsi="Cambria" w:cs="Helvetica"/>
                <w:i/>
                <w:sz w:val="18"/>
                <w:szCs w:val="18"/>
              </w:rPr>
              <w:t>nanum</w:t>
            </w:r>
            <w:r>
              <w:rPr>
                <w:rFonts w:ascii="Cambria" w:hAnsi="Cambria" w:cs="Helvetica"/>
                <w:sz w:val="18"/>
                <w:szCs w:val="18"/>
              </w:rPr>
              <w:t xml:space="preserve"> (I. David) </w:t>
            </w:r>
            <w:r>
              <w:rPr>
                <w:rFonts w:ascii="Cambria" w:hAnsi="Cambria" w:cs="Helvetica"/>
                <w:sz w:val="18"/>
                <w:szCs w:val="18"/>
              </w:rPr>
              <w:lastRenderedPageBreak/>
              <w:t xml:space="preserve">Zabel, </w:t>
            </w:r>
            <w:r>
              <w:rPr>
                <w:rFonts w:ascii="Cambria" w:hAnsi="Cambria" w:cs="Helvetica"/>
                <w:i/>
                <w:sz w:val="18"/>
                <w:szCs w:val="18"/>
              </w:rPr>
              <w:t>Viburnum opulus</w:t>
            </w:r>
            <w:r>
              <w:rPr>
                <w:rFonts w:ascii="Cambria" w:hAnsi="Cambria" w:cs="Helvetica"/>
                <w:sz w:val="18"/>
                <w:szCs w:val="18"/>
              </w:rPr>
              <w:t xml:space="preserve"> f. </w:t>
            </w:r>
            <w:r>
              <w:rPr>
                <w:rFonts w:ascii="Cambria" w:hAnsi="Cambria" w:cs="Helvetica"/>
                <w:i/>
                <w:sz w:val="18"/>
                <w:szCs w:val="18"/>
              </w:rPr>
              <w:t>xanthocarpum</w:t>
            </w:r>
            <w:r>
              <w:rPr>
                <w:rFonts w:ascii="Cambria" w:hAnsi="Cambria" w:cs="Helvetica"/>
                <w:sz w:val="18"/>
                <w:szCs w:val="18"/>
              </w:rPr>
              <w:t xml:space="preserve"> (Endl.) Rehder, </w:t>
            </w:r>
            <w:r>
              <w:rPr>
                <w:rFonts w:ascii="Cambria" w:hAnsi="Cambria" w:cs="Helvetica"/>
                <w:i/>
                <w:sz w:val="18"/>
                <w:szCs w:val="18"/>
              </w:rPr>
              <w:t>Viburnum sargentii</w:t>
            </w:r>
            <w:r>
              <w:rPr>
                <w:rFonts w:ascii="Cambria" w:hAnsi="Cambria" w:cs="Helvetica"/>
                <w:sz w:val="18"/>
                <w:szCs w:val="18"/>
              </w:rPr>
              <w:t xml:space="preserve"> Koehne, </w:t>
            </w:r>
            <w:r>
              <w:rPr>
                <w:rFonts w:ascii="Cambria" w:hAnsi="Cambria" w:cs="Helvetica"/>
                <w:i/>
                <w:sz w:val="18"/>
                <w:szCs w:val="18"/>
              </w:rPr>
              <w:t>Viburnum sargentii</w:t>
            </w:r>
            <w:r>
              <w:rPr>
                <w:rFonts w:ascii="Cambria" w:hAnsi="Cambria" w:cs="Helvetica"/>
                <w:sz w:val="18"/>
                <w:szCs w:val="18"/>
              </w:rPr>
              <w:t xml:space="preserve"> f. </w:t>
            </w:r>
            <w:r>
              <w:rPr>
                <w:rFonts w:ascii="Cambria" w:hAnsi="Cambria" w:cs="Helvetica"/>
                <w:i/>
                <w:sz w:val="18"/>
                <w:szCs w:val="18"/>
              </w:rPr>
              <w:t>calvescens</w:t>
            </w:r>
            <w:r>
              <w:rPr>
                <w:rFonts w:ascii="Cambria" w:hAnsi="Cambria" w:cs="Helvetica"/>
                <w:sz w:val="18"/>
                <w:szCs w:val="18"/>
              </w:rPr>
              <w:t xml:space="preserve"> (Rehder) Rehder, </w:t>
            </w:r>
            <w:r>
              <w:rPr>
                <w:rFonts w:ascii="Cambria" w:hAnsi="Cambria" w:cs="Helvetica"/>
                <w:i/>
                <w:sz w:val="18"/>
                <w:szCs w:val="18"/>
              </w:rPr>
              <w:t>Viburnum sargentii</w:t>
            </w:r>
            <w:r>
              <w:rPr>
                <w:rFonts w:ascii="Cambria" w:hAnsi="Cambria" w:cs="Helvetica"/>
                <w:sz w:val="18"/>
                <w:szCs w:val="18"/>
              </w:rPr>
              <w:t xml:space="preserve"> var. </w:t>
            </w:r>
            <w:r>
              <w:rPr>
                <w:rFonts w:ascii="Cambria" w:hAnsi="Cambria" w:cs="Helvetica"/>
                <w:i/>
                <w:sz w:val="18"/>
                <w:szCs w:val="18"/>
              </w:rPr>
              <w:t>calvescens</w:t>
            </w:r>
            <w:r>
              <w:rPr>
                <w:rFonts w:ascii="Cambria" w:hAnsi="Cambria" w:cs="Helvetica"/>
                <w:sz w:val="18"/>
                <w:szCs w:val="18"/>
              </w:rPr>
              <w:t xml:space="preserve"> Rehder, </w:t>
            </w:r>
            <w:r>
              <w:rPr>
                <w:rFonts w:ascii="Cambria" w:hAnsi="Cambria" w:cs="Helvetica"/>
                <w:i/>
                <w:sz w:val="18"/>
                <w:szCs w:val="18"/>
              </w:rPr>
              <w:t>Viburnum sargentii</w:t>
            </w:r>
            <w:r>
              <w:rPr>
                <w:rFonts w:ascii="Cambria" w:hAnsi="Cambria" w:cs="Helvetica"/>
                <w:sz w:val="18"/>
                <w:szCs w:val="18"/>
              </w:rPr>
              <w:t xml:space="preserve"> var. </w:t>
            </w:r>
            <w:r>
              <w:rPr>
                <w:rFonts w:ascii="Cambria" w:hAnsi="Cambria" w:cs="Helvetica"/>
                <w:i/>
                <w:sz w:val="18"/>
                <w:szCs w:val="18"/>
              </w:rPr>
              <w:t>flavum</w:t>
            </w:r>
            <w:r>
              <w:rPr>
                <w:rFonts w:ascii="Cambria" w:hAnsi="Cambria" w:cs="Helvetica"/>
                <w:sz w:val="18"/>
                <w:szCs w:val="18"/>
              </w:rPr>
              <w:t xml:space="preserve"> Rehder,</w:t>
            </w:r>
            <w:r>
              <w:rPr>
                <w:rFonts w:ascii="Cambria" w:hAnsi="Cambria" w:cs="Helvetica"/>
                <w:i/>
                <w:sz w:val="18"/>
                <w:szCs w:val="18"/>
              </w:rPr>
              <w:t xml:space="preserve"> Viburnum sargentii</w:t>
            </w:r>
            <w:r>
              <w:rPr>
                <w:rFonts w:ascii="Cambria" w:hAnsi="Cambria" w:cs="Helvetica"/>
                <w:sz w:val="18"/>
                <w:szCs w:val="18"/>
              </w:rPr>
              <w:t xml:space="preserve"> f. </w:t>
            </w:r>
            <w:r>
              <w:rPr>
                <w:rFonts w:ascii="Cambria" w:hAnsi="Cambria" w:cs="Helvetica"/>
                <w:i/>
                <w:sz w:val="18"/>
                <w:szCs w:val="18"/>
              </w:rPr>
              <w:t>puberulum</w:t>
            </w:r>
            <w:r>
              <w:rPr>
                <w:rFonts w:ascii="Cambria" w:hAnsi="Cambria" w:cs="Helvetica"/>
                <w:sz w:val="18"/>
                <w:szCs w:val="18"/>
              </w:rPr>
              <w:t xml:space="preserve"> Kom., </w:t>
            </w:r>
            <w:r>
              <w:rPr>
                <w:rFonts w:ascii="Cambria" w:hAnsi="Cambria" w:cs="Helvetica"/>
                <w:i/>
                <w:sz w:val="18"/>
                <w:szCs w:val="18"/>
              </w:rPr>
              <w:t>Viburnum trilobum</w:t>
            </w:r>
            <w:r>
              <w:rPr>
                <w:rFonts w:ascii="Cambria" w:hAnsi="Cambria" w:cs="Helvetica"/>
                <w:sz w:val="18"/>
                <w:szCs w:val="18"/>
              </w:rPr>
              <w:t xml:space="preserve"> Marshall</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lastRenderedPageBreak/>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NSW, TAS, VIC</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lastRenderedPageBreak/>
              <w:t xml:space="preserve">Viburnum plicatum </w:t>
            </w:r>
            <w:r>
              <w:rPr>
                <w:rFonts w:ascii="Cambria" w:hAnsi="Cambria" w:cs="Helvetica"/>
                <w:iCs/>
                <w:sz w:val="18"/>
                <w:szCs w:val="18"/>
              </w:rPr>
              <w:t>Thunb. var.</w:t>
            </w:r>
            <w:r>
              <w:rPr>
                <w:rFonts w:ascii="Cambria" w:hAnsi="Cambria" w:cs="Helvetica"/>
                <w:i/>
                <w:iCs/>
                <w:sz w:val="18"/>
                <w:szCs w:val="18"/>
              </w:rPr>
              <w:t xml:space="preserve"> tomentosum </w:t>
            </w:r>
            <w:r>
              <w:rPr>
                <w:rFonts w:ascii="Cambria" w:hAnsi="Cambria" w:cs="Helvetica"/>
                <w:iCs/>
                <w:sz w:val="18"/>
                <w:szCs w:val="18"/>
              </w:rPr>
              <w:t>Miq.</w:t>
            </w:r>
            <w:r>
              <w:rPr>
                <w:rFonts w:ascii="Cambria" w:hAnsi="Cambria" w:cs="Helvetica"/>
                <w:i/>
                <w:iCs/>
                <w:sz w:val="18"/>
                <w:szCs w:val="18"/>
              </w:rPr>
              <w:t xml:space="preserve"> </w:t>
            </w:r>
            <w:r>
              <w:rPr>
                <w:rFonts w:ascii="Cambria" w:hAnsi="Cambria" w:cs="Helvetica"/>
                <w:sz w:val="18"/>
                <w:szCs w:val="18"/>
              </w:rPr>
              <w:t>[Caprifoliaceae] – Doublefile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sz w:val="18"/>
                <w:szCs w:val="18"/>
              </w:rPr>
              <w:t>Viburnum plicatum</w:t>
            </w:r>
            <w:r>
              <w:rPr>
                <w:rFonts w:ascii="Cambria" w:hAnsi="Cambria" w:cs="Helvetica"/>
                <w:sz w:val="18"/>
                <w:szCs w:val="18"/>
              </w:rPr>
              <w:t xml:space="preserve"> f. </w:t>
            </w:r>
            <w:r>
              <w:rPr>
                <w:rFonts w:ascii="Cambria" w:hAnsi="Cambria" w:cs="Helvetica"/>
                <w:i/>
                <w:sz w:val="18"/>
                <w:szCs w:val="18"/>
              </w:rPr>
              <w:t>mariesii</w:t>
            </w:r>
            <w:r>
              <w:rPr>
                <w:rFonts w:ascii="Cambria" w:hAnsi="Cambria" w:cs="Helvetica"/>
                <w:sz w:val="18"/>
                <w:szCs w:val="18"/>
              </w:rPr>
              <w:t xml:space="preserve"> (Veitch) Rehder, </w:t>
            </w:r>
            <w:r>
              <w:rPr>
                <w:rFonts w:ascii="Cambria" w:hAnsi="Cambria" w:cs="Helvetica"/>
                <w:i/>
                <w:sz w:val="18"/>
                <w:szCs w:val="18"/>
              </w:rPr>
              <w:t>Viburnum plicatum</w:t>
            </w:r>
            <w:r>
              <w:rPr>
                <w:rFonts w:ascii="Cambria" w:hAnsi="Cambria" w:cs="Helvetica"/>
                <w:sz w:val="18"/>
                <w:szCs w:val="18"/>
              </w:rPr>
              <w:t xml:space="preserve"> f</w:t>
            </w:r>
            <w:r>
              <w:rPr>
                <w:rFonts w:ascii="Cambria" w:hAnsi="Cambria" w:cs="Helvetica"/>
                <w:i/>
                <w:sz w:val="18"/>
                <w:szCs w:val="18"/>
              </w:rPr>
              <w:t>. tomentosum</w:t>
            </w:r>
            <w:r>
              <w:rPr>
                <w:rFonts w:ascii="Cambria" w:hAnsi="Cambria" w:cs="Helvetica"/>
                <w:sz w:val="18"/>
                <w:szCs w:val="18"/>
              </w:rPr>
              <w:t xml:space="preserve"> (Miq.) Rehder, </w:t>
            </w:r>
            <w:r>
              <w:rPr>
                <w:rFonts w:ascii="Cambria" w:hAnsi="Cambria" w:cs="Helvetica"/>
                <w:i/>
                <w:sz w:val="18"/>
                <w:szCs w:val="18"/>
              </w:rPr>
              <w:t>Viburnum tomentosum</w:t>
            </w:r>
            <w:r>
              <w:rPr>
                <w:rFonts w:ascii="Cambria" w:hAnsi="Cambria" w:cs="Helvetica"/>
                <w:sz w:val="18"/>
                <w:szCs w:val="18"/>
              </w:rPr>
              <w:t xml:space="preserve"> Thunb, </w:t>
            </w:r>
            <w:r>
              <w:rPr>
                <w:rFonts w:ascii="Cambria" w:hAnsi="Cambria" w:cs="Helvetica"/>
                <w:i/>
                <w:sz w:val="18"/>
                <w:szCs w:val="18"/>
              </w:rPr>
              <w:t>Viburnum tomentosum</w:t>
            </w:r>
            <w:r>
              <w:rPr>
                <w:rFonts w:ascii="Cambria" w:hAnsi="Cambria" w:cs="Helvetica"/>
                <w:sz w:val="18"/>
                <w:szCs w:val="18"/>
              </w:rPr>
              <w:t xml:space="preserve"> var</w:t>
            </w:r>
            <w:r>
              <w:rPr>
                <w:rFonts w:ascii="Cambria" w:hAnsi="Cambria" w:cs="Helvetica"/>
                <w:i/>
                <w:sz w:val="18"/>
                <w:szCs w:val="18"/>
              </w:rPr>
              <w:t>. mariesii</w:t>
            </w:r>
            <w:r>
              <w:rPr>
                <w:rFonts w:ascii="Cambria" w:hAnsi="Cambria" w:cs="Helvetica"/>
                <w:sz w:val="18"/>
                <w:szCs w:val="18"/>
              </w:rPr>
              <w:t xml:space="preserve"> J. H. Veitch</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shd w:val="clear" w:color="auto" w:fill="FFFFFF"/>
              </w:rPr>
              <w:t>Viburnum tinus</w:t>
            </w:r>
            <w:r>
              <w:rPr>
                <w:rFonts w:ascii="Cambria" w:hAnsi="Cambria" w:cs="Helvetica"/>
                <w:iCs/>
                <w:sz w:val="18"/>
                <w:szCs w:val="18"/>
                <w:shd w:val="clear" w:color="auto" w:fill="FFFFFF"/>
              </w:rPr>
              <w:t xml:space="preserve"> L. [</w:t>
            </w:r>
            <w:r>
              <w:rPr>
                <w:rFonts w:ascii="Cambria" w:hAnsi="Cambria" w:cs="Helvetica"/>
                <w:sz w:val="18"/>
                <w:szCs w:val="18"/>
              </w:rPr>
              <w:t>Caprifoliaceae] – Laurustinus</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i/>
                <w:sz w:val="18"/>
                <w:szCs w:val="18"/>
              </w:rPr>
              <w:t xml:space="preserve">Viburnum lucidum </w:t>
            </w:r>
            <w:r>
              <w:rPr>
                <w:rFonts w:ascii="Cambria" w:hAnsi="Cambria" w:cs="Helvetica"/>
                <w:sz w:val="18"/>
                <w:szCs w:val="18"/>
              </w:rPr>
              <w:t xml:space="preserve">Mill, </w:t>
            </w:r>
            <w:r>
              <w:rPr>
                <w:rFonts w:ascii="Cambria" w:hAnsi="Cambria" w:cs="Helvetica"/>
                <w:i/>
                <w:sz w:val="18"/>
                <w:szCs w:val="18"/>
              </w:rPr>
              <w:t xml:space="preserve">Viburnum tinus </w:t>
            </w:r>
            <w:r>
              <w:rPr>
                <w:rFonts w:ascii="Cambria" w:hAnsi="Cambria" w:cs="Helvetica"/>
                <w:sz w:val="18"/>
                <w:szCs w:val="18"/>
              </w:rPr>
              <w:t>var</w:t>
            </w:r>
            <w:r>
              <w:rPr>
                <w:rFonts w:ascii="Cambria" w:hAnsi="Cambria" w:cs="Helvetica"/>
                <w:i/>
                <w:sz w:val="18"/>
                <w:szCs w:val="18"/>
              </w:rPr>
              <w:t xml:space="preserve">. hirtum </w:t>
            </w:r>
            <w:r>
              <w:rPr>
                <w:rFonts w:ascii="Cambria" w:hAnsi="Cambria" w:cs="Helvetica"/>
                <w:sz w:val="18"/>
                <w:szCs w:val="18"/>
              </w:rPr>
              <w:t xml:space="preserve">Aiton, </w:t>
            </w:r>
            <w:r>
              <w:rPr>
                <w:rFonts w:ascii="Cambria" w:hAnsi="Cambria" w:cs="Helvetica"/>
                <w:i/>
                <w:sz w:val="18"/>
                <w:szCs w:val="18"/>
              </w:rPr>
              <w:t xml:space="preserve">Viburnum tinus </w:t>
            </w:r>
            <w:r>
              <w:rPr>
                <w:rFonts w:ascii="Cambria" w:hAnsi="Cambria" w:cs="Helvetica"/>
                <w:sz w:val="18"/>
                <w:szCs w:val="18"/>
              </w:rPr>
              <w:t xml:space="preserve">var. </w:t>
            </w:r>
            <w:r>
              <w:rPr>
                <w:rFonts w:ascii="Cambria" w:hAnsi="Cambria" w:cs="Helvetica"/>
                <w:i/>
                <w:sz w:val="18"/>
                <w:szCs w:val="18"/>
              </w:rPr>
              <w:t>lucidum</w:t>
            </w:r>
            <w:r>
              <w:rPr>
                <w:rFonts w:ascii="Cambria" w:hAnsi="Cambria" w:cs="Helvetica"/>
                <w:sz w:val="18"/>
                <w:szCs w:val="18"/>
              </w:rPr>
              <w:t xml:space="preserve"> (Mill.) Aiton</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Vettraino et al. 2009</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SA, ACT, VIC, TAS, NSW</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shd w:val="clear" w:color="auto" w:fill="FFFFFF"/>
              </w:rPr>
              <w:t xml:space="preserve">Viburnum </w:t>
            </w:r>
            <w:r>
              <w:rPr>
                <w:rFonts w:ascii="Cambria" w:hAnsi="Cambria" w:cs="Helvetica"/>
                <w:iCs/>
                <w:sz w:val="18"/>
                <w:szCs w:val="18"/>
                <w:shd w:val="clear" w:color="auto" w:fill="FFFFFF"/>
              </w:rPr>
              <w:t xml:space="preserve">x </w:t>
            </w:r>
            <w:r>
              <w:rPr>
                <w:rFonts w:ascii="Cambria" w:hAnsi="Cambria" w:cs="Helvetica"/>
                <w:i/>
                <w:iCs/>
                <w:sz w:val="18"/>
                <w:szCs w:val="18"/>
                <w:shd w:val="clear" w:color="auto" w:fill="FFFFFF"/>
              </w:rPr>
              <w:t xml:space="preserve">bodnantense </w:t>
            </w:r>
            <w:r>
              <w:rPr>
                <w:rFonts w:ascii="Cambria" w:hAnsi="Cambria" w:cs="Helvetica"/>
                <w:iCs/>
                <w:sz w:val="18"/>
                <w:szCs w:val="18"/>
                <w:shd w:val="clear" w:color="auto" w:fill="FFFFFF"/>
              </w:rPr>
              <w:t xml:space="preserve">Aberc. </w:t>
            </w:r>
            <w:r>
              <w:rPr>
                <w:rFonts w:ascii="Cambria" w:hAnsi="Cambria" w:cs="Helvetica"/>
                <w:sz w:val="18"/>
                <w:szCs w:val="18"/>
              </w:rPr>
              <w:t>[Caprifoliaceae] –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E94405">
            <w:pPr>
              <w:pStyle w:val="AQISText"/>
              <w:spacing w:before="60" w:after="60" w:line="240" w:lineRule="auto"/>
              <w:jc w:val="left"/>
              <w:rPr>
                <w:rFonts w:ascii="Cambria" w:hAnsi="Cambria"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pStyle w:val="AQISText"/>
              <w:spacing w:before="60" w:after="60" w:line="240" w:lineRule="auto"/>
              <w:jc w:val="left"/>
              <w:rPr>
                <w:rFonts w:ascii="Cambria" w:hAnsi="Cambria" w:cs="Helvetica"/>
                <w:sz w:val="18"/>
                <w:szCs w:val="18"/>
              </w:rPr>
            </w:pPr>
            <w:r>
              <w:rPr>
                <w:rFonts w:ascii="Cambria" w:hAnsi="Cambria" w:cs="Helvetica"/>
                <w:sz w:val="18"/>
                <w:szCs w:val="18"/>
              </w:rPr>
              <w:t>De Merlier et al. 2003</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Arial"/>
                <w:sz w:val="18"/>
                <w:szCs w:val="18"/>
              </w:rPr>
            </w:pPr>
            <w:r>
              <w:rPr>
                <w:rFonts w:ascii="Cambria" w:hAnsi="Cambria" w:cs="Arial"/>
                <w:i/>
                <w:iCs/>
                <w:sz w:val="18"/>
                <w:szCs w:val="18"/>
              </w:rPr>
              <w:t>Viburnum</w:t>
            </w:r>
            <w:r>
              <w:rPr>
                <w:rFonts w:ascii="Cambria" w:hAnsi="Cambria" w:cs="Arial"/>
                <w:sz w:val="18"/>
                <w:szCs w:val="18"/>
              </w:rPr>
              <w:t xml:space="preserve"> x </w:t>
            </w:r>
            <w:r>
              <w:rPr>
                <w:rFonts w:ascii="Cambria" w:hAnsi="Cambria" w:cs="Arial"/>
                <w:i/>
                <w:iCs/>
                <w:sz w:val="18"/>
                <w:szCs w:val="18"/>
              </w:rPr>
              <w:t>burkwoodii</w:t>
            </w:r>
            <w:r>
              <w:rPr>
                <w:rFonts w:ascii="Cambria" w:hAnsi="Cambria" w:cs="Arial"/>
                <w:sz w:val="18"/>
                <w:szCs w:val="18"/>
              </w:rPr>
              <w:t xml:space="preserve"> Burkwood &amp; Skipwith [Caprifoliaceae] – Burkwood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Arial"/>
                <w:i/>
                <w:sz w:val="18"/>
                <w:szCs w:val="18"/>
              </w:rPr>
              <w:t>Viburnum × chenaultii</w:t>
            </w:r>
            <w:r>
              <w:rPr>
                <w:rFonts w:ascii="Cambria" w:hAnsi="Cambria" w:cs="Arial"/>
                <w:sz w:val="18"/>
                <w:szCs w:val="18"/>
              </w:rPr>
              <w:t xml:space="preserve"> Chenault</w:t>
            </w:r>
          </w:p>
        </w:tc>
        <w:tc>
          <w:tcPr>
            <w:tcW w:w="1113"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Recorded in Australia, but location not specified (Randall 2007)</w:t>
            </w:r>
          </w:p>
        </w:tc>
      </w:tr>
      <w:tr w:rsidR="00E94405">
        <w:tc>
          <w:tcPr>
            <w:tcW w:w="1407" w:type="pct"/>
            <w:tcBorders>
              <w:top w:val="single" w:sz="8" w:space="0" w:color="D9D9D9" w:themeColor="background1" w:themeShade="D9"/>
              <w:left w:val="nil"/>
              <w:bottom w:val="single" w:sz="4" w:space="0" w:color="auto"/>
              <w:right w:val="nil"/>
            </w:tcBorders>
          </w:tcPr>
          <w:p w:rsidR="00E94405" w:rsidRDefault="00A11609">
            <w:pPr>
              <w:spacing w:before="60" w:after="60"/>
              <w:rPr>
                <w:rFonts w:ascii="Cambria" w:hAnsi="Cambria" w:cs="Helvetica"/>
                <w:sz w:val="18"/>
                <w:szCs w:val="18"/>
              </w:rPr>
            </w:pPr>
            <w:r>
              <w:rPr>
                <w:rFonts w:ascii="Cambria" w:hAnsi="Cambria" w:cs="Helvetica"/>
                <w:i/>
                <w:iCs/>
                <w:sz w:val="18"/>
                <w:szCs w:val="18"/>
              </w:rPr>
              <w:t>Viburnum</w:t>
            </w:r>
            <w:r>
              <w:rPr>
                <w:rFonts w:ascii="Cambria" w:hAnsi="Cambria" w:cs="Helvetica"/>
                <w:sz w:val="18"/>
                <w:szCs w:val="18"/>
              </w:rPr>
              <w:t xml:space="preserve"> x </w:t>
            </w:r>
            <w:r>
              <w:rPr>
                <w:rFonts w:ascii="Cambria" w:hAnsi="Cambria" w:cs="Helvetica"/>
                <w:i/>
                <w:iCs/>
                <w:sz w:val="18"/>
                <w:szCs w:val="18"/>
              </w:rPr>
              <w:t xml:space="preserve">pragnense </w:t>
            </w:r>
            <w:r>
              <w:rPr>
                <w:rFonts w:ascii="Cambria" w:hAnsi="Cambria" w:cs="Helvetica"/>
                <w:sz w:val="18"/>
                <w:szCs w:val="18"/>
              </w:rPr>
              <w:t>[</w:t>
            </w:r>
            <w:r>
              <w:rPr>
                <w:rFonts w:ascii="Cambria" w:hAnsi="Cambria" w:cs="Arial"/>
                <w:sz w:val="18"/>
                <w:szCs w:val="18"/>
              </w:rPr>
              <w:t>Caprifoliaceae] – Prague viburnum</w:t>
            </w:r>
          </w:p>
        </w:tc>
        <w:tc>
          <w:tcPr>
            <w:tcW w:w="1316" w:type="pct"/>
            <w:tcBorders>
              <w:top w:val="single" w:sz="8" w:space="0" w:color="D9D9D9" w:themeColor="background1" w:themeShade="D9"/>
              <w:left w:val="nil"/>
              <w:bottom w:val="single" w:sz="4" w:space="0" w:color="auto"/>
              <w:right w:val="nil"/>
            </w:tcBorders>
          </w:tcPr>
          <w:p w:rsidR="00E94405" w:rsidRDefault="00E94405">
            <w:pPr>
              <w:spacing w:before="60" w:after="60"/>
              <w:rPr>
                <w:rFonts w:ascii="Cambria" w:hAnsi="Cambria" w:cs="Helvetica"/>
                <w:sz w:val="18"/>
                <w:szCs w:val="18"/>
              </w:rPr>
            </w:pPr>
          </w:p>
        </w:tc>
        <w:tc>
          <w:tcPr>
            <w:tcW w:w="1113" w:type="pct"/>
            <w:tcBorders>
              <w:top w:val="single" w:sz="8" w:space="0" w:color="D9D9D9" w:themeColor="background1" w:themeShade="D9"/>
              <w:left w:val="nil"/>
              <w:bottom w:val="single" w:sz="4" w:space="0" w:color="auto"/>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Osterbauer 2004</w:t>
            </w:r>
          </w:p>
        </w:tc>
        <w:tc>
          <w:tcPr>
            <w:tcW w:w="1164" w:type="pct"/>
            <w:tcBorders>
              <w:top w:val="single" w:sz="8" w:space="0" w:color="D9D9D9" w:themeColor="background1" w:themeShade="D9"/>
              <w:left w:val="nil"/>
              <w:bottom w:val="single" w:sz="4" w:space="0" w:color="auto"/>
              <w:right w:val="nil"/>
            </w:tcBorders>
          </w:tcPr>
          <w:p w:rsidR="00E94405" w:rsidRDefault="00A11609">
            <w:pPr>
              <w:spacing w:before="60" w:after="60"/>
              <w:rPr>
                <w:rFonts w:ascii="Cambria" w:hAnsi="Cambria" w:cs="Helvetica"/>
                <w:sz w:val="18"/>
                <w:szCs w:val="18"/>
              </w:rPr>
            </w:pPr>
            <w:r>
              <w:rPr>
                <w:rFonts w:ascii="Cambria" w:hAnsi="Cambria" w:cs="Helvetica"/>
                <w:sz w:val="18"/>
                <w:szCs w:val="18"/>
              </w:rPr>
              <w:t>Not listed as occurring in Australia</w:t>
            </w:r>
          </w:p>
        </w:tc>
      </w:tr>
    </w:tbl>
    <w:p w:rsidR="00E94405" w:rsidRDefault="00E94405">
      <w:pPr>
        <w:pStyle w:val="Heading1"/>
        <w:sectPr w:rsidR="00E94405">
          <w:footerReference w:type="default" r:id="rId44"/>
          <w:pgSz w:w="16838" w:h="11906" w:orient="landscape"/>
          <w:pgMar w:top="1418" w:right="1418" w:bottom="1418" w:left="1418" w:header="567" w:footer="283" w:gutter="0"/>
          <w:pgNumType w:start="68"/>
          <w:cols w:space="708"/>
          <w:docGrid w:linePitch="360"/>
        </w:sectPr>
      </w:pPr>
    </w:p>
    <w:p w:rsidR="00E94405" w:rsidRDefault="00A11609">
      <w:pPr>
        <w:pStyle w:val="Heading1nonumbers"/>
        <w:rPr>
          <w:lang w:val="en-AU"/>
        </w:rPr>
      </w:pPr>
      <w:bookmarkStart w:id="158" w:name="_Toc392488736"/>
      <w:bookmarkStart w:id="159" w:name="_Toc414019462"/>
      <w:r>
        <w:rPr>
          <w:lang w:val="en-AU"/>
        </w:rPr>
        <w:lastRenderedPageBreak/>
        <w:t>Appendix B: Additional quarantine pest data</w:t>
      </w:r>
      <w:bookmarkEnd w:id="158"/>
      <w:bookmarkEnd w:id="159"/>
    </w:p>
    <w:tbl>
      <w:tblPr>
        <w:tblW w:w="5000" w:type="pct"/>
        <w:tblBorders>
          <w:top w:val="single" w:sz="4" w:space="0" w:color="auto"/>
          <w:bottom w:val="single" w:sz="4" w:space="0" w:color="auto"/>
        </w:tblBorders>
        <w:tblLook w:val="04A0"/>
      </w:tblPr>
      <w:tblGrid>
        <w:gridCol w:w="1987"/>
        <w:gridCol w:w="7299"/>
      </w:tblGrid>
      <w:tr w:rsidR="00E94405">
        <w:tc>
          <w:tcPr>
            <w:tcW w:w="1070" w:type="pct"/>
            <w:tcBorders>
              <w:top w:val="single" w:sz="4" w:space="0" w:color="D9D9D9" w:themeColor="background1" w:themeShade="D9"/>
              <w:bottom w:val="nil"/>
            </w:tcBorders>
          </w:tcPr>
          <w:p w:rsidR="00E94405" w:rsidRDefault="00A11609">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vAlign w:val="center"/>
          </w:tcPr>
          <w:p w:rsidR="00E94405" w:rsidRDefault="00A11609">
            <w:pPr>
              <w:pStyle w:val="TableText0"/>
              <w:keepNext w:val="0"/>
              <w:rPr>
                <w:rFonts w:ascii="Cambria" w:hAnsi="Cambria" w:cs="Helvetica"/>
                <w:b/>
                <w:bCs/>
                <w:sz w:val="18"/>
                <w:szCs w:val="18"/>
              </w:rPr>
            </w:pPr>
            <w:r>
              <w:rPr>
                <w:rFonts w:ascii="Cambria" w:hAnsi="Cambria" w:cs="Helvetica"/>
                <w:b/>
                <w:i/>
                <w:iCs/>
                <w:sz w:val="18"/>
                <w:szCs w:val="18"/>
              </w:rPr>
              <w:t>Phytophthora kernoviae</w:t>
            </w:r>
            <w:r>
              <w:rPr>
                <w:rFonts w:ascii="Cambria" w:hAnsi="Cambria" w:cs="Helvetica"/>
                <w:iCs/>
                <w:sz w:val="18"/>
                <w:szCs w:val="18"/>
              </w:rPr>
              <w:t xml:space="preserve"> </w:t>
            </w:r>
            <w:r>
              <w:rPr>
                <w:rFonts w:ascii="Cambria" w:hAnsi="Cambria"/>
                <w:bCs/>
                <w:sz w:val="18"/>
                <w:szCs w:val="18"/>
              </w:rPr>
              <w:t>Brasier, Beales &amp; S.A. Kirk 2005</w:t>
            </w:r>
          </w:p>
        </w:tc>
      </w:tr>
      <w:tr w:rsidR="00E94405">
        <w:tc>
          <w:tcPr>
            <w:tcW w:w="1070" w:type="pct"/>
            <w:tcBorders>
              <w:top w:val="nil"/>
            </w:tcBorders>
          </w:tcPr>
          <w:p w:rsidR="00E94405" w:rsidRDefault="00A11609">
            <w:pPr>
              <w:pStyle w:val="TableText"/>
              <w:rPr>
                <w:rFonts w:ascii="Cambria" w:hAnsi="Cambria"/>
                <w:szCs w:val="18"/>
              </w:rPr>
            </w:pPr>
            <w:r>
              <w:rPr>
                <w:rFonts w:ascii="Cambria" w:hAnsi="Cambria"/>
                <w:szCs w:val="18"/>
              </w:rPr>
              <w:t>Synonyms</w:t>
            </w:r>
          </w:p>
        </w:tc>
        <w:tc>
          <w:tcPr>
            <w:tcW w:w="3930" w:type="pct"/>
            <w:tcBorders>
              <w:top w:val="nil"/>
            </w:tcBorders>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None</w:t>
            </w:r>
          </w:p>
        </w:tc>
      </w:tr>
      <w:tr w:rsidR="00E94405">
        <w:tc>
          <w:tcPr>
            <w:tcW w:w="1070" w:type="pct"/>
          </w:tcPr>
          <w:p w:rsidR="00E94405" w:rsidRDefault="00A11609">
            <w:pPr>
              <w:pStyle w:val="TableText"/>
              <w:rPr>
                <w:rFonts w:ascii="Cambria" w:hAnsi="Cambria"/>
                <w:szCs w:val="18"/>
              </w:rPr>
            </w:pPr>
            <w:r>
              <w:rPr>
                <w:rFonts w:ascii="Cambria" w:hAnsi="Cambria"/>
                <w:szCs w:val="18"/>
              </w:rPr>
              <w:t>Common name(s)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Kernoviae bleeding canker, Kernoviae dieback, Kernoviae leaf blight</w:t>
            </w:r>
          </w:p>
        </w:tc>
      </w:tr>
      <w:tr w:rsidR="00E94405">
        <w:tc>
          <w:tcPr>
            <w:tcW w:w="1070" w:type="pct"/>
          </w:tcPr>
          <w:p w:rsidR="00E94405" w:rsidRDefault="00A11609">
            <w:pPr>
              <w:pStyle w:val="TableText"/>
              <w:rPr>
                <w:rFonts w:ascii="Cambria" w:hAnsi="Cambria"/>
                <w:szCs w:val="18"/>
              </w:rPr>
            </w:pPr>
            <w:r>
              <w:rPr>
                <w:rFonts w:ascii="Cambria" w:hAnsi="Cambria"/>
                <w:szCs w:val="18"/>
              </w:rPr>
              <w:t>Main hosts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E94405">
        <w:tc>
          <w:tcPr>
            <w:tcW w:w="1070" w:type="pct"/>
            <w:tcBorders>
              <w:bottom w:val="single" w:sz="4" w:space="0" w:color="D9D9D9" w:themeColor="background1" w:themeShade="D9"/>
            </w:tcBorders>
          </w:tcPr>
          <w:p w:rsidR="00E94405" w:rsidRDefault="00A11609">
            <w:pPr>
              <w:pStyle w:val="TableText"/>
              <w:rPr>
                <w:rFonts w:ascii="Cambria" w:hAnsi="Cambria"/>
                <w:szCs w:val="18"/>
              </w:rPr>
            </w:pPr>
            <w:r>
              <w:rPr>
                <w:rFonts w:ascii="Cambria" w:hAnsi="Cambria"/>
                <w:szCs w:val="18"/>
              </w:rPr>
              <w:t>Distribution</w:t>
            </w:r>
          </w:p>
        </w:tc>
        <w:tc>
          <w:tcPr>
            <w:tcW w:w="3930" w:type="pct"/>
            <w:tcBorders>
              <w:bottom w:val="single" w:sz="4" w:space="0" w:color="D9D9D9" w:themeColor="background1" w:themeShade="D9"/>
            </w:tcBorders>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New Zealand and the UK (England, Ireland, Scotland and Wales) (DEFRA 2008; Fichtner et al. 2012).</w:t>
            </w:r>
          </w:p>
        </w:tc>
      </w:tr>
      <w:tr w:rsidR="00E94405">
        <w:tc>
          <w:tcPr>
            <w:tcW w:w="1070" w:type="pct"/>
            <w:tcBorders>
              <w:top w:val="single" w:sz="4" w:space="0" w:color="D9D9D9" w:themeColor="background1" w:themeShade="D9"/>
              <w:bottom w:val="nil"/>
            </w:tcBorders>
          </w:tcPr>
          <w:p w:rsidR="00E94405" w:rsidRDefault="00A11609">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tcPr>
          <w:p w:rsidR="00E94405" w:rsidRDefault="00A11609">
            <w:pPr>
              <w:pStyle w:val="TableText0"/>
              <w:keepNext w:val="0"/>
              <w:rPr>
                <w:rFonts w:ascii="Cambria" w:hAnsi="Cambria"/>
                <w:iCs/>
                <w:sz w:val="18"/>
                <w:szCs w:val="18"/>
              </w:rPr>
            </w:pPr>
            <w:r>
              <w:rPr>
                <w:rFonts w:ascii="Cambria" w:hAnsi="Cambria"/>
                <w:b/>
                <w:i/>
                <w:iCs/>
                <w:sz w:val="18"/>
                <w:szCs w:val="18"/>
              </w:rPr>
              <w:t xml:space="preserve">Phytophthora nemorosa </w:t>
            </w:r>
            <w:r>
              <w:rPr>
                <w:rFonts w:ascii="Cambria" w:hAnsi="Cambria"/>
                <w:bCs/>
                <w:sz w:val="18"/>
                <w:szCs w:val="18"/>
              </w:rPr>
              <w:t>E.M. Hansen &amp; Reeser 2003</w:t>
            </w:r>
          </w:p>
        </w:tc>
      </w:tr>
      <w:tr w:rsidR="00E94405">
        <w:tc>
          <w:tcPr>
            <w:tcW w:w="1070" w:type="pct"/>
            <w:tcBorders>
              <w:top w:val="nil"/>
            </w:tcBorders>
          </w:tcPr>
          <w:p w:rsidR="00E94405" w:rsidRDefault="00A11609">
            <w:pPr>
              <w:pStyle w:val="TableText"/>
              <w:rPr>
                <w:rFonts w:ascii="Cambria" w:hAnsi="Cambria"/>
                <w:szCs w:val="18"/>
              </w:rPr>
            </w:pPr>
            <w:r>
              <w:rPr>
                <w:rFonts w:ascii="Cambria" w:hAnsi="Cambria"/>
                <w:szCs w:val="18"/>
              </w:rPr>
              <w:t>Synonyms</w:t>
            </w:r>
          </w:p>
        </w:tc>
        <w:tc>
          <w:tcPr>
            <w:tcW w:w="3930" w:type="pct"/>
            <w:tcBorders>
              <w:top w:val="nil"/>
            </w:tcBorders>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None</w:t>
            </w:r>
          </w:p>
        </w:tc>
      </w:tr>
      <w:tr w:rsidR="00E94405">
        <w:tc>
          <w:tcPr>
            <w:tcW w:w="1070" w:type="pct"/>
          </w:tcPr>
          <w:p w:rsidR="00E94405" w:rsidRDefault="00A11609">
            <w:pPr>
              <w:pStyle w:val="TableText"/>
              <w:rPr>
                <w:rFonts w:ascii="Cambria" w:hAnsi="Cambria"/>
                <w:szCs w:val="18"/>
              </w:rPr>
            </w:pPr>
            <w:r>
              <w:rPr>
                <w:rFonts w:ascii="Cambria" w:hAnsi="Cambria"/>
                <w:szCs w:val="18"/>
              </w:rPr>
              <w:t>Common name(s)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None</w:t>
            </w:r>
          </w:p>
        </w:tc>
      </w:tr>
      <w:tr w:rsidR="00E94405">
        <w:tc>
          <w:tcPr>
            <w:tcW w:w="1070" w:type="pct"/>
          </w:tcPr>
          <w:p w:rsidR="00E94405" w:rsidRDefault="00A11609">
            <w:pPr>
              <w:pStyle w:val="TableText"/>
              <w:rPr>
                <w:rFonts w:ascii="Cambria" w:hAnsi="Cambria"/>
                <w:szCs w:val="18"/>
              </w:rPr>
            </w:pPr>
            <w:r>
              <w:rPr>
                <w:rFonts w:ascii="Cambria" w:hAnsi="Cambria"/>
                <w:szCs w:val="18"/>
              </w:rPr>
              <w:t>Main hosts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E94405">
        <w:tc>
          <w:tcPr>
            <w:tcW w:w="1070" w:type="pct"/>
            <w:tcBorders>
              <w:bottom w:val="single" w:sz="4" w:space="0" w:color="D9D9D9" w:themeColor="background1" w:themeShade="D9"/>
            </w:tcBorders>
          </w:tcPr>
          <w:p w:rsidR="00E94405" w:rsidRDefault="00A11609">
            <w:pPr>
              <w:pStyle w:val="TableText"/>
              <w:rPr>
                <w:rFonts w:ascii="Cambria" w:hAnsi="Cambria"/>
                <w:szCs w:val="18"/>
              </w:rPr>
            </w:pPr>
            <w:r>
              <w:rPr>
                <w:rFonts w:ascii="Cambria" w:hAnsi="Cambria"/>
                <w:szCs w:val="18"/>
              </w:rPr>
              <w:t>Distribution</w:t>
            </w:r>
          </w:p>
        </w:tc>
        <w:tc>
          <w:tcPr>
            <w:tcW w:w="3930" w:type="pct"/>
            <w:tcBorders>
              <w:bottom w:val="single" w:sz="4" w:space="0" w:color="D9D9D9" w:themeColor="background1" w:themeShade="D9"/>
            </w:tcBorders>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The USA (California and Oregon) (Linzer et al. 2009; Yakabe et al. 2009).</w:t>
            </w:r>
          </w:p>
        </w:tc>
      </w:tr>
      <w:tr w:rsidR="00E94405">
        <w:tc>
          <w:tcPr>
            <w:tcW w:w="1070" w:type="pct"/>
          </w:tcPr>
          <w:p w:rsidR="00E94405" w:rsidRDefault="00A11609">
            <w:pPr>
              <w:pStyle w:val="TableHeading"/>
              <w:rPr>
                <w:rFonts w:ascii="Cambria" w:hAnsi="Cambria"/>
                <w:szCs w:val="18"/>
              </w:rPr>
            </w:pPr>
            <w:r>
              <w:rPr>
                <w:rFonts w:ascii="Cambria" w:hAnsi="Cambria"/>
                <w:szCs w:val="18"/>
              </w:rPr>
              <w:t>Quarantine pest</w:t>
            </w:r>
          </w:p>
        </w:tc>
        <w:tc>
          <w:tcPr>
            <w:tcW w:w="3930" w:type="pct"/>
          </w:tcPr>
          <w:p w:rsidR="00E94405" w:rsidRDefault="00A11609">
            <w:pPr>
              <w:pStyle w:val="TableText0"/>
              <w:keepNext w:val="0"/>
              <w:rPr>
                <w:rFonts w:ascii="Cambria" w:hAnsi="Cambria" w:cs="Helvetica"/>
                <w:b/>
                <w:bCs/>
                <w:sz w:val="18"/>
                <w:szCs w:val="18"/>
              </w:rPr>
            </w:pPr>
            <w:r>
              <w:rPr>
                <w:rFonts w:ascii="Cambria" w:hAnsi="Cambria" w:cs="Helvetica"/>
                <w:b/>
                <w:bCs/>
                <w:i/>
                <w:iCs/>
                <w:sz w:val="18"/>
                <w:szCs w:val="18"/>
              </w:rPr>
              <w:t>Phytophthora pseudosyringae</w:t>
            </w:r>
            <w:r>
              <w:rPr>
                <w:rFonts w:ascii="Cambria" w:hAnsi="Cambria" w:cs="Helvetica"/>
                <w:b/>
                <w:bCs/>
                <w:iCs/>
                <w:sz w:val="18"/>
                <w:szCs w:val="18"/>
              </w:rPr>
              <w:t xml:space="preserve"> </w:t>
            </w:r>
            <w:r>
              <w:rPr>
                <w:rFonts w:ascii="Cambria" w:hAnsi="Cambria"/>
                <w:bCs/>
                <w:sz w:val="18"/>
                <w:szCs w:val="18"/>
              </w:rPr>
              <w:t>T. Jung &amp; Delatour 2003</w:t>
            </w:r>
          </w:p>
        </w:tc>
      </w:tr>
      <w:tr w:rsidR="00E94405">
        <w:tc>
          <w:tcPr>
            <w:tcW w:w="1070" w:type="pct"/>
          </w:tcPr>
          <w:p w:rsidR="00E94405" w:rsidRDefault="00A11609">
            <w:pPr>
              <w:pStyle w:val="TableText"/>
              <w:rPr>
                <w:rFonts w:ascii="Cambria" w:hAnsi="Cambria"/>
                <w:szCs w:val="18"/>
              </w:rPr>
            </w:pPr>
            <w:r>
              <w:rPr>
                <w:rFonts w:ascii="Cambria" w:hAnsi="Cambria"/>
                <w:szCs w:val="18"/>
              </w:rPr>
              <w:t>Synonyms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None</w:t>
            </w:r>
          </w:p>
        </w:tc>
      </w:tr>
      <w:tr w:rsidR="00E94405">
        <w:tc>
          <w:tcPr>
            <w:tcW w:w="1070" w:type="pct"/>
          </w:tcPr>
          <w:p w:rsidR="00E94405" w:rsidRDefault="00A11609">
            <w:pPr>
              <w:pStyle w:val="TableText"/>
              <w:rPr>
                <w:rFonts w:ascii="Cambria" w:hAnsi="Cambria"/>
                <w:szCs w:val="18"/>
              </w:rPr>
            </w:pPr>
            <w:r>
              <w:rPr>
                <w:rFonts w:ascii="Cambria" w:hAnsi="Cambria"/>
                <w:szCs w:val="18"/>
              </w:rPr>
              <w:t>Common name(s)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None</w:t>
            </w:r>
          </w:p>
        </w:tc>
      </w:tr>
      <w:tr w:rsidR="00E94405">
        <w:tc>
          <w:tcPr>
            <w:tcW w:w="1070" w:type="pct"/>
          </w:tcPr>
          <w:p w:rsidR="00E94405" w:rsidRDefault="00A11609">
            <w:pPr>
              <w:pStyle w:val="TableText"/>
              <w:rPr>
                <w:rFonts w:ascii="Cambria" w:hAnsi="Cambria"/>
                <w:szCs w:val="18"/>
              </w:rPr>
            </w:pPr>
            <w:r>
              <w:rPr>
                <w:rFonts w:ascii="Cambria" w:hAnsi="Cambria"/>
                <w:szCs w:val="18"/>
              </w:rPr>
              <w:t>Main hosts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E94405">
        <w:tc>
          <w:tcPr>
            <w:tcW w:w="1070" w:type="pct"/>
            <w:tcBorders>
              <w:bottom w:val="single" w:sz="4" w:space="0" w:color="D9D9D9" w:themeColor="background1" w:themeShade="D9"/>
            </w:tcBorders>
          </w:tcPr>
          <w:p w:rsidR="00E94405" w:rsidRDefault="00A11609">
            <w:pPr>
              <w:pStyle w:val="TableText"/>
              <w:rPr>
                <w:rFonts w:ascii="Cambria" w:hAnsi="Cambria"/>
                <w:szCs w:val="18"/>
              </w:rPr>
            </w:pPr>
            <w:r>
              <w:rPr>
                <w:rFonts w:ascii="Cambria" w:hAnsi="Cambria"/>
                <w:szCs w:val="18"/>
              </w:rPr>
              <w:t>Distribution</w:t>
            </w:r>
          </w:p>
        </w:tc>
        <w:tc>
          <w:tcPr>
            <w:tcW w:w="3930" w:type="pct"/>
            <w:tcBorders>
              <w:bottom w:val="single" w:sz="4" w:space="0" w:color="D9D9D9" w:themeColor="background1" w:themeShade="D9"/>
            </w:tcBorders>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England, Scotland, Wales (Scanu et al. 2012), Italy, Spain (Scanu et al. 2010), Germany, France, Romania (Jung et al. 2007), Poland (Olejarski et al. 2012), Norway (Talgø et al. 2012), the Netherlands (Jung 2009) and USA (Yakabe et al. 2009; Alaska (Reeser et al. 2011), California, Oregon (Jung et al. 2007; Linzer et al. 2009) and North Carolina (EPPO 2009)).</w:t>
            </w:r>
          </w:p>
        </w:tc>
      </w:tr>
      <w:tr w:rsidR="00E94405">
        <w:tc>
          <w:tcPr>
            <w:tcW w:w="1070" w:type="pct"/>
            <w:tcBorders>
              <w:top w:val="single" w:sz="4" w:space="0" w:color="D9D9D9" w:themeColor="background1" w:themeShade="D9"/>
              <w:bottom w:val="nil"/>
            </w:tcBorders>
          </w:tcPr>
          <w:p w:rsidR="00E94405" w:rsidRDefault="00A11609">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tcPr>
          <w:p w:rsidR="00E94405" w:rsidRDefault="00A11609">
            <w:pPr>
              <w:pStyle w:val="TableText0"/>
              <w:keepNext w:val="0"/>
              <w:rPr>
                <w:rFonts w:ascii="Cambria" w:hAnsi="Cambria" w:cs="Helvetica"/>
                <w:b/>
                <w:bCs/>
                <w:sz w:val="18"/>
                <w:szCs w:val="18"/>
              </w:rPr>
            </w:pPr>
            <w:r>
              <w:rPr>
                <w:rFonts w:ascii="Cambria" w:hAnsi="Cambria" w:cs="Helvetica"/>
                <w:b/>
                <w:bCs/>
                <w:i/>
                <w:iCs/>
                <w:sz w:val="18"/>
                <w:szCs w:val="18"/>
              </w:rPr>
              <w:t>Phytophthora ramorum</w:t>
            </w:r>
            <w:r>
              <w:rPr>
                <w:rFonts w:ascii="Cambria" w:hAnsi="Cambria" w:cs="Helvetica"/>
                <w:b/>
                <w:bCs/>
                <w:iCs/>
                <w:sz w:val="18"/>
                <w:szCs w:val="18"/>
              </w:rPr>
              <w:t xml:space="preserve"> </w:t>
            </w:r>
            <w:r>
              <w:rPr>
                <w:rFonts w:ascii="Cambria" w:eastAsia="Calibri" w:hAnsi="Cambria"/>
                <w:bCs/>
                <w:iCs/>
                <w:sz w:val="18"/>
                <w:szCs w:val="18"/>
              </w:rPr>
              <w:t>Werres, De Cock &amp; Man in 't Veld 2001</w:t>
            </w:r>
          </w:p>
        </w:tc>
      </w:tr>
      <w:tr w:rsidR="00E94405">
        <w:tc>
          <w:tcPr>
            <w:tcW w:w="1070" w:type="pct"/>
            <w:tcBorders>
              <w:top w:val="nil"/>
            </w:tcBorders>
          </w:tcPr>
          <w:p w:rsidR="00E94405" w:rsidRDefault="00A11609">
            <w:pPr>
              <w:pStyle w:val="TableText"/>
              <w:rPr>
                <w:rFonts w:ascii="Cambria" w:hAnsi="Cambria"/>
                <w:szCs w:val="18"/>
              </w:rPr>
            </w:pPr>
            <w:r>
              <w:rPr>
                <w:rFonts w:ascii="Cambria" w:hAnsi="Cambria"/>
                <w:szCs w:val="18"/>
              </w:rPr>
              <w:t>Synonyms</w:t>
            </w:r>
          </w:p>
        </w:tc>
        <w:tc>
          <w:tcPr>
            <w:tcW w:w="3930" w:type="pct"/>
            <w:tcBorders>
              <w:top w:val="nil"/>
            </w:tcBorders>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None</w:t>
            </w:r>
          </w:p>
        </w:tc>
      </w:tr>
      <w:tr w:rsidR="00E94405">
        <w:tc>
          <w:tcPr>
            <w:tcW w:w="1070" w:type="pct"/>
          </w:tcPr>
          <w:p w:rsidR="00E94405" w:rsidRDefault="00A11609">
            <w:pPr>
              <w:pStyle w:val="TableText"/>
              <w:rPr>
                <w:rFonts w:ascii="Cambria" w:hAnsi="Cambria"/>
                <w:szCs w:val="18"/>
              </w:rPr>
            </w:pPr>
            <w:r>
              <w:rPr>
                <w:rFonts w:ascii="Cambria" w:hAnsi="Cambria"/>
                <w:szCs w:val="18"/>
              </w:rPr>
              <w:t>Common name(s)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Ramorum bleeding canker, Ramorum leaf blight, Ramorum shoot dieback, Sudden larch death, Sudden oak death</w:t>
            </w:r>
          </w:p>
        </w:tc>
      </w:tr>
      <w:tr w:rsidR="00E94405">
        <w:tc>
          <w:tcPr>
            <w:tcW w:w="1070" w:type="pct"/>
          </w:tcPr>
          <w:p w:rsidR="00E94405" w:rsidRDefault="00A11609">
            <w:pPr>
              <w:pStyle w:val="TableText"/>
              <w:rPr>
                <w:rFonts w:ascii="Cambria" w:hAnsi="Cambria"/>
                <w:szCs w:val="18"/>
              </w:rPr>
            </w:pPr>
            <w:r>
              <w:rPr>
                <w:rFonts w:ascii="Cambria" w:hAnsi="Cambria"/>
                <w:szCs w:val="18"/>
              </w:rPr>
              <w:t>Main hosts</w:t>
            </w:r>
          </w:p>
        </w:tc>
        <w:tc>
          <w:tcPr>
            <w:tcW w:w="3930" w:type="pct"/>
            <w:vAlign w:val="center"/>
          </w:tcPr>
          <w:p w:rsidR="00E94405" w:rsidRDefault="00A11609">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E94405">
        <w:tc>
          <w:tcPr>
            <w:tcW w:w="1070" w:type="pct"/>
          </w:tcPr>
          <w:p w:rsidR="00E94405" w:rsidRDefault="00A11609">
            <w:pPr>
              <w:pStyle w:val="TableText"/>
              <w:rPr>
                <w:rFonts w:ascii="Cambria" w:hAnsi="Cambria"/>
                <w:szCs w:val="18"/>
              </w:rPr>
            </w:pPr>
            <w:r>
              <w:rPr>
                <w:rFonts w:ascii="Cambria" w:hAnsi="Cambria"/>
                <w:szCs w:val="18"/>
              </w:rPr>
              <w:t>Distribution</w:t>
            </w:r>
          </w:p>
        </w:tc>
        <w:tc>
          <w:tcPr>
            <w:tcW w:w="3930" w:type="pct"/>
          </w:tcPr>
          <w:p w:rsidR="00E94405" w:rsidRDefault="00A11609">
            <w:pPr>
              <w:pStyle w:val="TableText0"/>
              <w:keepNext w:val="0"/>
              <w:rPr>
                <w:rFonts w:ascii="Cambria" w:hAnsi="Cambria" w:cs="Helvetica"/>
                <w:sz w:val="18"/>
                <w:szCs w:val="18"/>
              </w:rPr>
            </w:pPr>
            <w:r>
              <w:rPr>
                <w:rFonts w:ascii="Cambria" w:hAnsi="Cambria" w:cs="Helvetica"/>
                <w:sz w:val="18"/>
                <w:szCs w:val="18"/>
              </w:rPr>
              <w:t xml:space="preserve">Belgium, Canada (British Columbia), Croatia, Czech Republic, Denmark, Estonia, Finland, France, Germany, Greece, India, Italy, Latvia, Lithuania, Luxembourg, the Netherlands, Norway, Poland, Portugal, Serbia, Slovenia, Spain, Switzerland, Sweden, the UK (England, Ireland, Scotland and Wales) and the USA (Denman et al. 2009; EPPO 2012; FERA 2012; Sansford et al. 2009; Gomes &amp; Amaro 2009; Mathew &amp; Beena 2012). In the USA, </w:t>
            </w:r>
            <w:r>
              <w:rPr>
                <w:rFonts w:ascii="Cambria" w:hAnsi="Cambria" w:cs="Helvetica"/>
                <w:i/>
                <w:sz w:val="18"/>
                <w:szCs w:val="18"/>
              </w:rPr>
              <w:t>P. ramorum</w:t>
            </w:r>
            <w:r>
              <w:rPr>
                <w:rFonts w:ascii="Cambria" w:hAnsi="Cambria" w:cs="Helvetica"/>
                <w:sz w:val="18"/>
                <w:szCs w:val="18"/>
              </w:rPr>
              <w:t xml:space="preserve"> occurs in California, Washington and Oregon. Infected nursery stock has also been detected in Alabama, Arkansas, Arizona, California, Colorado, Connecticut, Florida, Georgia, Louisiana, Maryland, Mississippi, North Carolina, New Jersey, New Mexico, New York, Oklahoma, Oregon, Pennsylvania, South Carolina, Tennessee, Texas, Virginia, and Washington (Sansford et al. 2009; Cave et al. 2008; Henricot &amp; Prior 2004). The known geographic distribution of </w:t>
            </w:r>
            <w:r>
              <w:rPr>
                <w:rFonts w:ascii="Cambria" w:hAnsi="Cambria" w:cs="Helvetica"/>
                <w:i/>
                <w:sz w:val="18"/>
                <w:szCs w:val="18"/>
              </w:rPr>
              <w:t>P. ramorum</w:t>
            </w:r>
            <w:r>
              <w:rPr>
                <w:rFonts w:ascii="Cambria" w:hAnsi="Cambria" w:cs="Helvetica"/>
                <w:sz w:val="18"/>
                <w:szCs w:val="18"/>
              </w:rPr>
              <w:t xml:space="preserve"> is expanding, with ongoing new detections in nurseries and forests.</w:t>
            </w:r>
          </w:p>
        </w:tc>
      </w:tr>
    </w:tbl>
    <w:p w:rsidR="00E94405" w:rsidRDefault="00E94405">
      <w:pPr>
        <w:pStyle w:val="Heading1"/>
        <w:sectPr w:rsidR="00E94405">
          <w:headerReference w:type="default" r:id="rId45"/>
          <w:footerReference w:type="default" r:id="rId46"/>
          <w:type w:val="evenPage"/>
          <w:pgSz w:w="11906" w:h="16838"/>
          <w:pgMar w:top="1418" w:right="1418" w:bottom="1418" w:left="1418" w:header="567" w:footer="283" w:gutter="0"/>
          <w:cols w:space="708"/>
          <w:docGrid w:linePitch="360"/>
        </w:sectPr>
      </w:pPr>
    </w:p>
    <w:p w:rsidR="00E94405" w:rsidRDefault="00A11609">
      <w:pPr>
        <w:pStyle w:val="Heading1nonumbers"/>
        <w:rPr>
          <w:lang w:val="en-AU"/>
        </w:rPr>
      </w:pPr>
      <w:bookmarkStart w:id="160" w:name="_Toc392488737"/>
      <w:bookmarkStart w:id="161" w:name="_Toc414019463"/>
      <w:r>
        <w:rPr>
          <w:lang w:val="en-AU"/>
        </w:rPr>
        <w:lastRenderedPageBreak/>
        <w:t>Appendix C: Biosecurity framework</w:t>
      </w:r>
      <w:bookmarkEnd w:id="160"/>
      <w:bookmarkEnd w:id="161"/>
    </w:p>
    <w:p w:rsidR="00E94405" w:rsidRDefault="00A11609">
      <w:pPr>
        <w:pStyle w:val="Heading3Nonumber"/>
      </w:pPr>
      <w:bookmarkStart w:id="162" w:name="_Toc384209883"/>
      <w:r>
        <w:t>Australia’s biosecurity policies</w:t>
      </w:r>
      <w:bookmarkEnd w:id="162"/>
    </w:p>
    <w:p w:rsidR="00E94405" w:rsidRDefault="00A11609">
      <w:pPr>
        <w:spacing w:before="200"/>
        <w:rPr>
          <w:rFonts w:ascii="Cambria" w:hAnsi="Cambria"/>
        </w:rPr>
      </w:pPr>
      <w:r>
        <w:rPr>
          <w:rFonts w:ascii="Cambria" w:hAnsi="Cambria"/>
        </w:rPr>
        <w:t>The objective of Australia’s biosecurity policies and risk management measures is the prevention or control of the entry, establishment or spread of pests and diseases that could cause significant harm to people, animals, plants and other aspects of the environment.</w:t>
      </w:r>
    </w:p>
    <w:p w:rsidR="00E94405" w:rsidRDefault="00A11609">
      <w:pPr>
        <w:spacing w:before="200"/>
        <w:rPr>
          <w:rFonts w:ascii="Cambria" w:hAnsi="Cambria"/>
        </w:rPr>
      </w:pPr>
      <w:r>
        <w:rPr>
          <w:rFonts w:ascii="Cambria" w:hAnsi="Cambria"/>
        </w:rPr>
        <w:t>Australia has diverse native flora and fauna and a large agricultural sector, and is relatively free from the more significant pests and diseases present in other countries. Therefore, successive Australian Governments have maintained a conservative, but not a zero-risk, approach to the management of biosecurity risks. This approach is consistent with the World Trade Organization’s (WTO’s) Agreement on the Application of Sanitary and Phytosanitary Measures (SPS Agreement).</w:t>
      </w:r>
    </w:p>
    <w:p w:rsidR="00E94405" w:rsidRDefault="00A11609">
      <w:pPr>
        <w:spacing w:before="200"/>
        <w:rPr>
          <w:rFonts w:ascii="Cambria" w:hAnsi="Cambria"/>
        </w:rPr>
      </w:pPr>
      <w:r>
        <w:rPr>
          <w:rFonts w:ascii="Cambria" w:hAnsi="Cambria"/>
        </w:rPr>
        <w:t>The SPS Agreement defines the concept of an ‘appropriate level of protection’ (ALOP) as the level of protection deemed appropriate by a WTO Member establishing a sanitary or phytosanitary measure to protect human, animal or plant life or health within its territory. Among a number of obligations, a WTO Member should take into account the objective of minimising negative trade effects in setting its ALOP.</w:t>
      </w:r>
    </w:p>
    <w:p w:rsidR="00E94405" w:rsidRDefault="00A11609">
      <w:pPr>
        <w:spacing w:before="200"/>
        <w:rPr>
          <w:rFonts w:ascii="Cambria" w:hAnsi="Cambria"/>
        </w:rPr>
      </w:pPr>
      <w:r>
        <w:rPr>
          <w:rFonts w:ascii="Cambria" w:hAnsi="Cambria"/>
        </w:rPr>
        <w:t>Like many other countries, Australia expresses its ALOP in qualitative terms. Australia’s ALOP, which reflects community expectations through Australian Government policy, is currently expressed as providing a high level of sanitary and phytosanitary protection, aimed at reducing risk to a very low level, but not to zero.</w:t>
      </w:r>
    </w:p>
    <w:p w:rsidR="00E94405" w:rsidRDefault="00A11609">
      <w:pPr>
        <w:spacing w:before="200"/>
        <w:rPr>
          <w:rFonts w:ascii="Cambria" w:hAnsi="Cambria"/>
        </w:rPr>
      </w:pPr>
      <w:r>
        <w:rPr>
          <w:rFonts w:ascii="Cambria" w:hAnsi="Cambria"/>
        </w:rPr>
        <w:t>Consistent with the SPS Agreement, in conducting risk analyses Australia takes into account as relevant economic factors: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the potential damage in terms of loss of production or sales in the event of the entry, establishment or spread of a pest or disease in the territory of Australia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the costs of control or eradication of a pest or disease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and the relative cost-effectiveness of alternative approaches to limiting risks.</w:t>
      </w:r>
    </w:p>
    <w:p w:rsidR="00E94405" w:rsidRDefault="00A11609">
      <w:pPr>
        <w:pStyle w:val="Heading3Nonumber"/>
      </w:pPr>
      <w:bookmarkStart w:id="163" w:name="_Toc384209884"/>
      <w:r>
        <w:t>Roles and responsibilities within Australia’s quarantine system</w:t>
      </w:r>
      <w:bookmarkEnd w:id="163"/>
    </w:p>
    <w:p w:rsidR="00E94405" w:rsidRDefault="00A11609">
      <w:pPr>
        <w:spacing w:before="200"/>
        <w:rPr>
          <w:rFonts w:ascii="Cambria" w:hAnsi="Cambria"/>
        </w:rPr>
      </w:pPr>
      <w:r>
        <w:rPr>
          <w:rFonts w:ascii="Cambria" w:hAnsi="Cambria"/>
        </w:rPr>
        <w:t>Australia protects its human, animal and plant life or health through a comprehensive quarantine system that covers the quarantine continuum, from pre-border to border and post-border activities. The Australian Government Department of Health is responsible for human health aspects of quarantine. The Australian Government Department of Agriculture is responsible for animal and plant life or health.</w:t>
      </w:r>
    </w:p>
    <w:p w:rsidR="00E94405" w:rsidRDefault="00A11609">
      <w:pPr>
        <w:spacing w:before="200"/>
        <w:rPr>
          <w:rFonts w:ascii="Cambria" w:hAnsi="Cambria"/>
        </w:rPr>
      </w:pPr>
      <w:r>
        <w:rPr>
          <w:rFonts w:ascii="Cambria" w:hAnsi="Cambria"/>
        </w:rPr>
        <w:t>Pre-border, Australia participates in international standard-setting bodies, undertakes risk analyses, develops offshore quarantine arrangements where appropriate, and engages with our neighbours to counter the spread of exotic pests and diseases.</w:t>
      </w:r>
    </w:p>
    <w:p w:rsidR="00E94405" w:rsidRDefault="00A11609">
      <w:pPr>
        <w:spacing w:before="200"/>
        <w:rPr>
          <w:rFonts w:ascii="Cambria" w:hAnsi="Cambria"/>
        </w:rPr>
      </w:pPr>
      <w:r>
        <w:rPr>
          <w:rFonts w:ascii="Cambria" w:hAnsi="Cambria"/>
        </w:rPr>
        <w:t>At the border, Australia screens vessels (including aircraft), people and goods entering the country to detect potential threats to Australian human, animal and plant health.</w:t>
      </w:r>
    </w:p>
    <w:p w:rsidR="00E94405" w:rsidRDefault="00A11609">
      <w:pPr>
        <w:spacing w:before="200"/>
        <w:rPr>
          <w:rFonts w:ascii="Cambria" w:hAnsi="Cambria"/>
        </w:rPr>
      </w:pPr>
      <w:r>
        <w:rPr>
          <w:rFonts w:ascii="Cambria" w:hAnsi="Cambria"/>
        </w:rPr>
        <w:lastRenderedPageBreak/>
        <w:t>The Australian Government also undertakes targeted measures at the immediate post-border level within Australia. This includes national co-ordination of emergency responses to pest and disease incursions. The movement of goods of quarantine concern within Australia’s border is the responsibility of relevant state and territory authorities, which undertake inter– and intra–state quarantine operations that reflect regional differences in pest and disease status, as a part of their wider plant and animal health responsibilities.</w:t>
      </w:r>
    </w:p>
    <w:p w:rsidR="00E94405" w:rsidRDefault="00A11609">
      <w:pPr>
        <w:pStyle w:val="Heading3Nonumber"/>
      </w:pPr>
      <w:bookmarkStart w:id="164" w:name="_Toc384209885"/>
      <w:r>
        <w:t>Roles and responsibilities within the Department</w:t>
      </w:r>
      <w:bookmarkEnd w:id="164"/>
    </w:p>
    <w:p w:rsidR="00E94405" w:rsidRDefault="00A11609">
      <w:pPr>
        <w:spacing w:before="200"/>
        <w:rPr>
          <w:rFonts w:ascii="Cambria" w:hAnsi="Cambria"/>
        </w:rPr>
      </w:pPr>
      <w:r>
        <w:rPr>
          <w:rFonts w:ascii="Cambria" w:hAnsi="Cambria"/>
        </w:rPr>
        <w:t xml:space="preserve">The Australian Government Department of Agriculture is responsible for the Australian Government’s animal and plant biosecurity policy development and the establishment of risk management measures. The Secretary of the Department is appointed as the Director of Animal and Plant Quarantine under the </w:t>
      </w:r>
      <w:r>
        <w:rPr>
          <w:rFonts w:ascii="Cambria" w:hAnsi="Cambria"/>
          <w:i/>
        </w:rPr>
        <w:t>Quarantine Act 1908</w:t>
      </w:r>
      <w:r>
        <w:rPr>
          <w:rFonts w:ascii="Cambria" w:hAnsi="Cambria"/>
        </w:rPr>
        <w:t xml:space="preserve"> (the Act).</w:t>
      </w:r>
    </w:p>
    <w:p w:rsidR="00E94405" w:rsidRDefault="00A11609">
      <w:pPr>
        <w:spacing w:before="200"/>
        <w:rPr>
          <w:rFonts w:ascii="Cambria" w:hAnsi="Cambria"/>
        </w:rPr>
      </w:pPr>
      <w:r>
        <w:rPr>
          <w:rFonts w:ascii="Cambria" w:hAnsi="Cambria"/>
        </w:rPr>
        <w:t>The Department takes the lead in biosecurity and quarantine policy development and the establishment and implementation of risk management measures across the biosecurity continuum,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rPr>
        <w:t>Pre-border</w:t>
      </w:r>
      <w:r>
        <w:rPr>
          <w:rFonts w:ascii="Cambria" w:hAnsi="Cambria"/>
        </w:rPr>
        <w:t xml:space="preserve"> conducts risk analyses, including IRAs, and develops recommendations for biosecurity policy as well as providing quarantine policy advice to the Director of Animal and Plant Quarantine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rPr>
        <w:t>At the border</w:t>
      </w:r>
      <w:r>
        <w:rPr>
          <w:rFonts w:ascii="Cambria" w:hAnsi="Cambria"/>
        </w:rPr>
        <w:t xml:space="preserve"> develops operational procedures, makes a range of quarantine decisions under the Act (including import permit decisions under delegation from the Director of Animal and Plant Quarantine) and delivers quarantine services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b/>
        </w:rPr>
        <w:t>Post-border</w:t>
      </w:r>
      <w:r>
        <w:rPr>
          <w:rFonts w:ascii="Cambria" w:hAnsi="Cambria"/>
        </w:rPr>
        <w:t xml:space="preserve"> coordinates pest and disease preparedness, emergency responses and liaison on inter– and intra–state quarantine arrangements for the Australian Government, in conjunction with Australia’s state and territory governments.</w:t>
      </w:r>
    </w:p>
    <w:p w:rsidR="00E94405" w:rsidRDefault="00A11609">
      <w:pPr>
        <w:pStyle w:val="Heading3Nonumber"/>
      </w:pPr>
      <w:bookmarkStart w:id="165" w:name="_Toc384209886"/>
      <w:r>
        <w:t>Roles and responsibilities of other government agencies</w:t>
      </w:r>
      <w:bookmarkEnd w:id="165"/>
    </w:p>
    <w:p w:rsidR="00E94405" w:rsidRDefault="00A11609">
      <w:pPr>
        <w:spacing w:before="200"/>
        <w:rPr>
          <w:rFonts w:ascii="Cambria" w:hAnsi="Cambria"/>
        </w:rPr>
      </w:pPr>
      <w:r>
        <w:rPr>
          <w:rFonts w:ascii="Cambria" w:hAnsi="Cambria"/>
        </w:rPr>
        <w:t>State and territory governments play a vital role in the quarantine continuum. The department works in partnership with state and territory governments to address regional differences in pest and disease status and risk within Australia, and develops appropriate sanitary and phytosanitary measures to account for those differences. Australia’s partnership approach to quarantine is supported by a formal Memorandum of Understanding that provides for consultation between the Australian Government and the state and territory governments.</w:t>
      </w:r>
    </w:p>
    <w:p w:rsidR="00E94405" w:rsidRDefault="00A11609">
      <w:pPr>
        <w:spacing w:before="200"/>
        <w:rPr>
          <w:rFonts w:ascii="Cambria" w:hAnsi="Cambria"/>
        </w:rPr>
      </w:pPr>
      <w:r>
        <w:rPr>
          <w:rFonts w:ascii="Cambria" w:hAnsi="Cambria"/>
        </w:rPr>
        <w:t>Depending on the nature of the good being imported or proposed for importation, the Department of Agriculture may consult other Australian Government authorities or agencies in developing its recommendations and providing advice.</w:t>
      </w:r>
    </w:p>
    <w:p w:rsidR="00E94405" w:rsidRDefault="00A11609">
      <w:pPr>
        <w:spacing w:before="200"/>
        <w:rPr>
          <w:rFonts w:ascii="Cambria" w:hAnsi="Cambria"/>
        </w:rPr>
      </w:pPr>
      <w:r>
        <w:rPr>
          <w:rFonts w:ascii="Cambria" w:hAnsi="Cambria"/>
        </w:rPr>
        <w:t>As well as a Director of Animal and Plant Quarantine, the Act provides for a Director of Human Quarantine. The Australian Government Department of Health is responsible for human health aspects of quarantine and Australia’s Chief Medical Officer within that Department holds the position of Director of Human Quarantine. The Department of Agriculture may, where appropriate, consult with that Department on relevant matters that may have implications for human health.</w:t>
      </w:r>
    </w:p>
    <w:p w:rsidR="00E94405" w:rsidRDefault="00A11609">
      <w:pPr>
        <w:spacing w:before="200"/>
        <w:rPr>
          <w:rFonts w:ascii="Cambria" w:hAnsi="Cambria"/>
        </w:rPr>
      </w:pPr>
      <w:r>
        <w:rPr>
          <w:rFonts w:ascii="Cambria" w:hAnsi="Cambria"/>
        </w:rPr>
        <w:lastRenderedPageBreak/>
        <w:t xml:space="preserve">The Act also requires the Director of Animal and Plant Quarantine, before making certain decisions, to request advice from the Environment Minister and to take the advice into account when making those decisions. The Australian Government Department of the Environment is responsible under the </w:t>
      </w:r>
      <w:r>
        <w:rPr>
          <w:rFonts w:ascii="Cambria" w:hAnsi="Cambria"/>
          <w:i/>
        </w:rPr>
        <w:t>Environment Protection and Biodiversity Conservation Act 1999</w:t>
      </w:r>
      <w:r>
        <w:rPr>
          <w:rFonts w:ascii="Cambria" w:hAnsi="Cambria"/>
        </w:rPr>
        <w:t xml:space="preserve"> for assessing the environmental impact associated with proposals to import live species. Anyone proposing to import such material should contact the Department of the Environment directly for further information.</w:t>
      </w:r>
    </w:p>
    <w:p w:rsidR="00E94405" w:rsidRDefault="00A11609">
      <w:pPr>
        <w:spacing w:before="200"/>
        <w:rPr>
          <w:rFonts w:ascii="Cambria" w:hAnsi="Cambria"/>
        </w:rPr>
      </w:pPr>
      <w:r>
        <w:rPr>
          <w:rFonts w:ascii="Cambria" w:hAnsi="Cambria"/>
        </w:rPr>
        <w:t>When undertaking risk analyses, the Department of Agriculture consults with the Department of the Environment about environmental issues and may use or refer to the Department of the Environment’s assessment.</w:t>
      </w:r>
    </w:p>
    <w:p w:rsidR="00E94405" w:rsidRDefault="00A11609">
      <w:pPr>
        <w:pStyle w:val="Heading3Nonumber"/>
      </w:pPr>
      <w:bookmarkStart w:id="166" w:name="_Toc384209887"/>
      <w:r>
        <w:t>Australian quarantine legislation</w:t>
      </w:r>
      <w:bookmarkEnd w:id="166"/>
    </w:p>
    <w:p w:rsidR="00E94405" w:rsidRDefault="00A11609">
      <w:pPr>
        <w:spacing w:before="200"/>
        <w:rPr>
          <w:rFonts w:ascii="Cambria" w:hAnsi="Cambria"/>
        </w:rPr>
      </w:pPr>
      <w:r>
        <w:rPr>
          <w:rFonts w:ascii="Cambria" w:hAnsi="Cambria"/>
        </w:rPr>
        <w:t>The Australian quarantine system is supported by Commonwealth, state and territory quarantine laws. Under the Australian Constitution, the Commonwealth Government does not have exclusive power to make laws in relation to quarantine, and as a result, Commonwealth and state quarantine laws can co-exist.</w:t>
      </w:r>
    </w:p>
    <w:p w:rsidR="00E94405" w:rsidRDefault="00A11609">
      <w:pPr>
        <w:spacing w:before="200"/>
        <w:rPr>
          <w:rFonts w:ascii="Cambria" w:hAnsi="Cambria"/>
        </w:rPr>
      </w:pPr>
      <w:r>
        <w:rPr>
          <w:rFonts w:ascii="Cambria" w:hAnsi="Cambria"/>
        </w:rPr>
        <w:t xml:space="preserve">Commonwealth quarantine laws are contained in the </w:t>
      </w:r>
      <w:r>
        <w:rPr>
          <w:rFonts w:ascii="Cambria" w:hAnsi="Cambria"/>
          <w:i/>
        </w:rPr>
        <w:t>Quarantine Act 1908</w:t>
      </w:r>
      <w:r>
        <w:rPr>
          <w:rFonts w:ascii="Cambria" w:hAnsi="Cambria"/>
        </w:rPr>
        <w:t xml:space="preserve"> and subordinate legislation including the </w:t>
      </w:r>
      <w:r>
        <w:rPr>
          <w:rFonts w:ascii="Cambria" w:hAnsi="Cambria"/>
          <w:i/>
        </w:rPr>
        <w:t>Quarantine Regulations 2000</w:t>
      </w:r>
      <w:r>
        <w:rPr>
          <w:rFonts w:ascii="Cambria" w:hAnsi="Cambria"/>
        </w:rPr>
        <w:t xml:space="preserve">, the </w:t>
      </w:r>
      <w:r>
        <w:rPr>
          <w:rFonts w:ascii="Cambria" w:hAnsi="Cambria"/>
          <w:i/>
        </w:rPr>
        <w:t>Quarantine Proclamation 1998</w:t>
      </w:r>
      <w:r>
        <w:rPr>
          <w:rFonts w:ascii="Cambria" w:hAnsi="Cambria"/>
        </w:rPr>
        <w:t xml:space="preserve">, the </w:t>
      </w:r>
      <w:r>
        <w:rPr>
          <w:rFonts w:ascii="Cambria" w:hAnsi="Cambria"/>
          <w:i/>
        </w:rPr>
        <w:t xml:space="preserve">Quarantine (Cocos Islands) Proclamation 2004 </w:t>
      </w:r>
      <w:r>
        <w:rPr>
          <w:rFonts w:ascii="Cambria" w:hAnsi="Cambria"/>
        </w:rPr>
        <w:t xml:space="preserve">and the </w:t>
      </w:r>
      <w:r>
        <w:rPr>
          <w:rFonts w:ascii="Cambria" w:hAnsi="Cambria"/>
          <w:i/>
        </w:rPr>
        <w:t>Quarantine (Christmas Island) Proclamation 2004</w:t>
      </w:r>
      <w:r>
        <w:rPr>
          <w:rFonts w:ascii="Cambria" w:hAnsi="Cambria"/>
        </w:rPr>
        <w:t>.</w:t>
      </w:r>
    </w:p>
    <w:p w:rsidR="00E94405" w:rsidRDefault="00A11609">
      <w:pPr>
        <w:spacing w:before="200"/>
        <w:rPr>
          <w:rFonts w:ascii="Cambria" w:hAnsi="Cambria"/>
        </w:rPr>
      </w:pPr>
      <w:r>
        <w:rPr>
          <w:rFonts w:ascii="Cambria" w:hAnsi="Cambria"/>
        </w:rPr>
        <w:t xml:space="preserve">The quarantine proclamations identify goods, which cannot be imported, into Australia, the Cocos Islands and or Christmas Island unless the Director of Animal and Plant Quarantine or delegate grants an import permit or unless they comply with other conditions specified in the proclamations. Section 70 of the </w:t>
      </w:r>
      <w:r>
        <w:rPr>
          <w:rFonts w:ascii="Cambria" w:hAnsi="Cambria"/>
          <w:i/>
        </w:rPr>
        <w:t>Quarantine Proclamation 1998</w:t>
      </w:r>
      <w:r>
        <w:rPr>
          <w:rFonts w:ascii="Cambria" w:hAnsi="Cambria"/>
        </w:rPr>
        <w:t xml:space="preserve">, section 34 of the </w:t>
      </w:r>
      <w:r>
        <w:rPr>
          <w:rFonts w:ascii="Cambria" w:hAnsi="Cambria"/>
          <w:i/>
        </w:rPr>
        <w:t xml:space="preserve">Quarantine (Cocos Islands) Proclamation 2004 </w:t>
      </w:r>
      <w:r>
        <w:rPr>
          <w:rFonts w:ascii="Cambria" w:hAnsi="Cambria"/>
        </w:rPr>
        <w:t xml:space="preserve">and section 34 of the </w:t>
      </w:r>
      <w:r>
        <w:rPr>
          <w:rFonts w:ascii="Cambria" w:hAnsi="Cambria"/>
          <w:i/>
        </w:rPr>
        <w:t>Quarantine (Christmas Island) Proclamation 2004</w:t>
      </w:r>
      <w:r>
        <w:rPr>
          <w:rFonts w:ascii="Cambria" w:hAnsi="Cambria"/>
        </w:rPr>
        <w:t xml:space="preserve"> specify the things a Director of Animal and Plant Quarantine must take into account when deciding whether to grant a permit.</w:t>
      </w:r>
    </w:p>
    <w:p w:rsidR="00E94405" w:rsidRDefault="00A11609">
      <w:pPr>
        <w:spacing w:before="200"/>
        <w:rPr>
          <w:rFonts w:ascii="Cambria" w:hAnsi="Cambria"/>
        </w:rPr>
      </w:pPr>
      <w:r>
        <w:rPr>
          <w:rFonts w:ascii="Cambria" w:hAnsi="Cambria"/>
        </w:rPr>
        <w:t>In particular, a Director of Animal and Plant Quarantine (or delegate):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must consider the level of quarantine risk if the permit were granted,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must consider whether, if the permit were granted, the imposition of conditions would be necessary to limit the level of quarantine risk to one that is acceptably low,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 xml:space="preserve">for a permit to import a seed of a plant that was produced by genetic manipulation—must take into account any risk assessment prepared, and any decision made, in relation to the seed under the </w:t>
      </w:r>
      <w:r>
        <w:rPr>
          <w:rFonts w:ascii="Cambria" w:hAnsi="Cambria"/>
          <w:i/>
        </w:rPr>
        <w:t>Gene Technology Act</w:t>
      </w:r>
      <w:r>
        <w:rPr>
          <w:rFonts w:ascii="Cambria" w:hAnsi="Cambria"/>
        </w:rPr>
        <w:t xml:space="preserve">, and </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may take into account anything else that he or she knows is relevant.</w:t>
      </w:r>
    </w:p>
    <w:p w:rsidR="00E94405" w:rsidRDefault="00A11609">
      <w:pPr>
        <w:spacing w:before="200"/>
        <w:rPr>
          <w:rFonts w:ascii="Cambria" w:hAnsi="Cambria"/>
        </w:rPr>
      </w:pPr>
      <w:r>
        <w:rPr>
          <w:rFonts w:ascii="Cambria" w:hAnsi="Cambria"/>
        </w:rPr>
        <w:t xml:space="preserve">The level of quarantine risk is defined in section 5D of the </w:t>
      </w:r>
      <w:r>
        <w:rPr>
          <w:rFonts w:ascii="Cambria" w:hAnsi="Cambria"/>
          <w:i/>
        </w:rPr>
        <w:t>Quarantine Act 1908</w:t>
      </w:r>
      <w:r>
        <w:rPr>
          <w:rFonts w:ascii="Cambria" w:hAnsi="Cambria"/>
        </w:rPr>
        <w:t>. The definition is as follows:</w:t>
      </w:r>
    </w:p>
    <w:p w:rsidR="00E94405" w:rsidRDefault="00A11609">
      <w:pPr>
        <w:rPr>
          <w:rFonts w:ascii="Cambria" w:hAnsi="Cambria"/>
        </w:rPr>
      </w:pPr>
      <w:r>
        <w:rPr>
          <w:rFonts w:ascii="Cambria" w:hAnsi="Cambria"/>
        </w:rPr>
        <w:t xml:space="preserve">reference in this Act to a </w:t>
      </w:r>
      <w:r>
        <w:rPr>
          <w:rFonts w:ascii="Cambria" w:hAnsi="Cambria"/>
          <w:i/>
        </w:rPr>
        <w:t>level of quarantine risk</w:t>
      </w:r>
      <w:r>
        <w:rPr>
          <w:rFonts w:ascii="Cambria" w:hAnsi="Cambria"/>
        </w:rPr>
        <w:t xml:space="preserve"> is a reference to:</w:t>
      </w:r>
    </w:p>
    <w:p w:rsidR="00E94405" w:rsidRDefault="00A11609">
      <w:pPr>
        <w:pStyle w:val="ListNumber2"/>
        <w:rPr>
          <w:szCs w:val="22"/>
        </w:rPr>
      </w:pPr>
      <w:r>
        <w:rPr>
          <w:szCs w:val="22"/>
        </w:rPr>
        <w:t>the probability of:</w:t>
      </w:r>
    </w:p>
    <w:p w:rsidR="00E94405" w:rsidRDefault="00A11609">
      <w:pPr>
        <w:pStyle w:val="ListNumber3"/>
        <w:rPr>
          <w:szCs w:val="22"/>
        </w:rPr>
      </w:pPr>
      <w:r>
        <w:rPr>
          <w:szCs w:val="22"/>
        </w:rPr>
        <w:lastRenderedPageBreak/>
        <w:t>a disease or pest being introduced, established or spread in Australia, the Cocos Islands or Christmas Island; and</w:t>
      </w:r>
    </w:p>
    <w:p w:rsidR="00E94405" w:rsidRDefault="00A11609">
      <w:pPr>
        <w:pStyle w:val="ListNumber3"/>
        <w:rPr>
          <w:szCs w:val="22"/>
        </w:rPr>
      </w:pPr>
      <w:r>
        <w:rPr>
          <w:szCs w:val="22"/>
        </w:rPr>
        <w:t>the disease or pest causing harm to human beings, animals, plants, other aspects of the environment, or economic activities; and</w:t>
      </w:r>
    </w:p>
    <w:p w:rsidR="00E94405" w:rsidRDefault="00A11609">
      <w:pPr>
        <w:pStyle w:val="ListNumber2"/>
        <w:rPr>
          <w:szCs w:val="22"/>
        </w:rPr>
      </w:pPr>
      <w:r>
        <w:rPr>
          <w:szCs w:val="22"/>
        </w:rPr>
        <w:t>the probable extent of the harm.</w:t>
      </w:r>
    </w:p>
    <w:p w:rsidR="00E94405" w:rsidRDefault="00A11609">
      <w:pPr>
        <w:spacing w:before="200"/>
        <w:rPr>
          <w:rFonts w:ascii="Cambria" w:hAnsi="Cambria"/>
        </w:rPr>
      </w:pPr>
      <w:r>
        <w:rPr>
          <w:rFonts w:ascii="Cambria" w:hAnsi="Cambria"/>
        </w:rPr>
        <w:t xml:space="preserve">The </w:t>
      </w:r>
      <w:r>
        <w:rPr>
          <w:rFonts w:ascii="Cambria" w:hAnsi="Cambria"/>
          <w:i/>
        </w:rPr>
        <w:t>Quarantine Regulations 2000</w:t>
      </w:r>
      <w:r>
        <w:rPr>
          <w:rFonts w:ascii="Cambria" w:hAnsi="Cambria"/>
        </w:rPr>
        <w:t xml:space="preserve"> were amended in 2007 to regulate keys steps of the import risk analysis process. The Regulations: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define both a standard and an expanded IRA;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identify certain steps, which must be included in each type of IRA;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specify time limits for certain steps and overall timeframes for the completion of IRAs (up to 24 months for a standard IRA and up to 30 months for an expanded IRA);</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specify publication requirements;</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make provision for termination of an IRA; and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allow for a partially completed risk analysis to be completed as an IRA under the Regulations.</w:t>
      </w:r>
    </w:p>
    <w:p w:rsidR="00E94405" w:rsidRDefault="00A11609">
      <w:pPr>
        <w:spacing w:before="200"/>
        <w:rPr>
          <w:rFonts w:ascii="Cambria" w:hAnsi="Cambria"/>
        </w:rPr>
      </w:pPr>
      <w:r>
        <w:rPr>
          <w:rFonts w:ascii="Cambria" w:hAnsi="Cambria"/>
        </w:rPr>
        <w:t xml:space="preserve">The Regulations are available on the </w:t>
      </w:r>
      <w:hyperlink r:id="rId47" w:history="1">
        <w:r>
          <w:rPr>
            <w:rStyle w:val="Hyperlink"/>
            <w:rFonts w:ascii="Cambria" w:hAnsi="Cambria"/>
          </w:rPr>
          <w:t>ComLaw</w:t>
        </w:r>
      </w:hyperlink>
      <w:r>
        <w:rPr>
          <w:rFonts w:ascii="Cambria" w:hAnsi="Cambria"/>
        </w:rPr>
        <w:t xml:space="preserve"> website.</w:t>
      </w:r>
    </w:p>
    <w:p w:rsidR="00E94405" w:rsidRDefault="00A11609">
      <w:pPr>
        <w:pStyle w:val="Heading3Nonumber"/>
      </w:pPr>
      <w:bookmarkStart w:id="167" w:name="_Toc384209888"/>
      <w:r>
        <w:t>International agreements and standards</w:t>
      </w:r>
      <w:bookmarkEnd w:id="167"/>
    </w:p>
    <w:p w:rsidR="00E94405" w:rsidRDefault="00A11609">
      <w:pPr>
        <w:spacing w:before="200"/>
        <w:rPr>
          <w:rFonts w:ascii="Cambria" w:hAnsi="Cambria"/>
        </w:rPr>
      </w:pPr>
      <w:r>
        <w:rPr>
          <w:rFonts w:ascii="Cambria" w:hAnsi="Cambria"/>
        </w:rPr>
        <w:t xml:space="preserve">The process set out in the </w:t>
      </w:r>
      <w:r>
        <w:rPr>
          <w:rFonts w:ascii="Cambria" w:hAnsi="Cambria"/>
          <w:i/>
        </w:rPr>
        <w:t>Import Risk Analysis Handbook 2011</w:t>
      </w:r>
      <w:r>
        <w:rPr>
          <w:rFonts w:ascii="Cambria" w:hAnsi="Cambria"/>
        </w:rPr>
        <w:t xml:space="preserve"> is consistent with Australia’s international obligations under the SPS Agreement. It also takes into account relevant international standards on risk assessment developed under the International Plant Protection Convention (IPPC) and by the World Organisation for Animal Health (OIE).</w:t>
      </w:r>
    </w:p>
    <w:p w:rsidR="00E94405" w:rsidRDefault="00A11609">
      <w:pPr>
        <w:spacing w:before="200"/>
        <w:rPr>
          <w:rFonts w:ascii="Cambria" w:hAnsi="Cambria"/>
        </w:rPr>
      </w:pPr>
      <w:r>
        <w:rPr>
          <w:rFonts w:ascii="Cambria" w:hAnsi="Cambria"/>
        </w:rPr>
        <w:t>Australia bases its national risk management measures on international standards where they exist and when they achieve Australia’s ALOP. Otherwise, Australia exercises its right under the SPS Agreement to apply science-based sanitary and phytosanitary measures that are not more trade restrictive than required to achieve Australia’s ALOP.</w:t>
      </w:r>
    </w:p>
    <w:p w:rsidR="00E94405" w:rsidRDefault="00A11609">
      <w:pPr>
        <w:pStyle w:val="Heading3Nonumber"/>
      </w:pPr>
      <w:bookmarkStart w:id="168" w:name="_Toc384209889"/>
      <w:r>
        <w:t>Notification obligations</w:t>
      </w:r>
      <w:bookmarkEnd w:id="168"/>
    </w:p>
    <w:p w:rsidR="00E94405" w:rsidRDefault="00A11609">
      <w:pPr>
        <w:spacing w:before="200"/>
        <w:rPr>
          <w:rFonts w:ascii="Cambria" w:hAnsi="Cambria"/>
        </w:rPr>
      </w:pPr>
      <w:r>
        <w:rPr>
          <w:rFonts w:ascii="Cambria" w:hAnsi="Cambria"/>
        </w:rPr>
        <w:t>Under the transparency provisions of the SPS Agreement, WTO Members are required, among other things, to notify other members of proposed sanitary or phytosanitary regulations, or changes to existing regulations, that are not substantially the same as the content of an international standard and that may have a significant effect on trade of other WTO Members.</w:t>
      </w:r>
    </w:p>
    <w:p w:rsidR="00E94405" w:rsidRDefault="00A11609">
      <w:pPr>
        <w:pStyle w:val="Heading3Nonumber"/>
      </w:pPr>
      <w:bookmarkStart w:id="169" w:name="_Toc384209890"/>
      <w:r>
        <w:t>Risk analysis</w:t>
      </w:r>
      <w:bookmarkEnd w:id="169"/>
    </w:p>
    <w:p w:rsidR="00E94405" w:rsidRDefault="00A11609">
      <w:pPr>
        <w:spacing w:before="200"/>
        <w:rPr>
          <w:rFonts w:ascii="Cambria" w:hAnsi="Cambria"/>
        </w:rPr>
      </w:pPr>
      <w:r>
        <w:rPr>
          <w:rFonts w:ascii="Cambria" w:hAnsi="Cambria"/>
        </w:rPr>
        <w:t>Within Australia’s quarantine framework, the Australian Government uses risk analyses to assist it in considering the level of quarantine risk that may be associated with the importation or proposed importation of animals, plants or other goods.</w:t>
      </w:r>
    </w:p>
    <w:p w:rsidR="00E94405" w:rsidRDefault="00A11609">
      <w:pPr>
        <w:spacing w:before="200"/>
        <w:rPr>
          <w:rFonts w:ascii="Cambria" w:hAnsi="Cambria"/>
        </w:rPr>
      </w:pPr>
      <w:r>
        <w:rPr>
          <w:rFonts w:ascii="Cambria" w:hAnsi="Cambria"/>
        </w:rPr>
        <w:t>In conducting a risk analysis, the Department of Agriculture:</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identifies the pests and diseases of quarantine concern that may be carried by the good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lastRenderedPageBreak/>
        <w:t>assesses the likelihood that an identified pest or disease would enter, establish or spread</w:t>
      </w:r>
    </w:p>
    <w:p w:rsidR="00E94405" w:rsidRDefault="00A11609">
      <w:pPr>
        <w:pStyle w:val="ListBullet"/>
        <w:tabs>
          <w:tab w:val="clear" w:pos="360"/>
          <w:tab w:val="num" w:pos="284"/>
        </w:tabs>
        <w:spacing w:line="269" w:lineRule="auto"/>
        <w:ind w:left="284" w:hanging="284"/>
        <w:rPr>
          <w:rFonts w:ascii="Cambria" w:hAnsi="Cambria"/>
        </w:rPr>
      </w:pPr>
      <w:r>
        <w:rPr>
          <w:rFonts w:ascii="Cambria" w:hAnsi="Cambria"/>
        </w:rPr>
        <w:t>assesses the probable extent of the harm that would result.</w:t>
      </w:r>
    </w:p>
    <w:p w:rsidR="00E94405" w:rsidRDefault="00A11609">
      <w:pPr>
        <w:spacing w:before="200"/>
        <w:rPr>
          <w:rFonts w:ascii="Cambria" w:hAnsi="Cambria"/>
        </w:rPr>
      </w:pPr>
      <w:r>
        <w:rPr>
          <w:rFonts w:ascii="Cambria" w:hAnsi="Cambria"/>
        </w:rPr>
        <w:t>If the assessed level of quarantine risk exceeds Australia’s ALOP, the Department of Agriculture will consider whether there are any risk management measures that will reduce quarantine risk to achieve the ALOP. If there are no risk management measures that reduce the risk to that level, trade will not be allowed.</w:t>
      </w:r>
    </w:p>
    <w:p w:rsidR="00E94405" w:rsidRDefault="00A11609">
      <w:pPr>
        <w:spacing w:before="200"/>
        <w:rPr>
          <w:rFonts w:ascii="Cambria" w:hAnsi="Cambria"/>
        </w:rPr>
      </w:pPr>
      <w:r>
        <w:rPr>
          <w:rFonts w:ascii="Cambria" w:hAnsi="Cambria"/>
        </w:rPr>
        <w:t>Risk analyses may be carried out by the Department of Agriculture’s specialists, but may also involve relevant experts from state and territory agencies, the Commonwealth Scientific and Industrial Research Organisation (CSIRO), universities and industry to access the technical expertise needed for a particular analysis.</w:t>
      </w:r>
    </w:p>
    <w:p w:rsidR="00E94405" w:rsidRDefault="00A11609">
      <w:pPr>
        <w:spacing w:before="200"/>
        <w:rPr>
          <w:rFonts w:ascii="Cambria" w:hAnsi="Cambria"/>
          <w:i/>
        </w:rPr>
      </w:pPr>
      <w:r>
        <w:rPr>
          <w:rFonts w:ascii="Cambria" w:hAnsi="Cambria"/>
        </w:rPr>
        <w:t xml:space="preserve">Risk analyses are conducted across a spectrum of scientific complexity and available scientific information. An IRA is a type of risk analysis with key steps regulated under the </w:t>
      </w:r>
      <w:r>
        <w:rPr>
          <w:rFonts w:ascii="Cambria" w:hAnsi="Cambria"/>
          <w:i/>
        </w:rPr>
        <w:t>Quarantine Regulations 2000</w:t>
      </w:r>
      <w:r>
        <w:rPr>
          <w:rFonts w:ascii="Cambria" w:hAnsi="Cambria"/>
        </w:rPr>
        <w:t xml:space="preserve">. The Department of Agriculture’s assessment of risk may also take the form of a non-regulated analysis of existing policy or technical advice. Further information on the types of risk analysis is provided in the </w:t>
      </w:r>
      <w:r>
        <w:rPr>
          <w:rFonts w:ascii="Cambria" w:hAnsi="Cambria"/>
          <w:i/>
        </w:rPr>
        <w:t>Import Risk Analysis Handbook 2011.</w:t>
      </w:r>
    </w:p>
    <w:p w:rsidR="00E94405" w:rsidRDefault="00E94405">
      <w:pPr>
        <w:rPr>
          <w:i/>
        </w:rPr>
      </w:pPr>
    </w:p>
    <w:p w:rsidR="00E94405" w:rsidRDefault="00E94405">
      <w:pPr>
        <w:pStyle w:val="Heading1"/>
        <w:sectPr w:rsidR="00E94405">
          <w:headerReference w:type="default" r:id="rId48"/>
          <w:type w:val="oddPage"/>
          <w:pgSz w:w="11906" w:h="16838"/>
          <w:pgMar w:top="1418" w:right="1418" w:bottom="1418" w:left="1418" w:header="567" w:footer="283" w:gutter="0"/>
          <w:cols w:space="708"/>
          <w:docGrid w:linePitch="360"/>
        </w:sectPr>
      </w:pPr>
      <w:bookmarkStart w:id="170" w:name="_Toc387412877"/>
    </w:p>
    <w:p w:rsidR="00E94405" w:rsidRDefault="00A11609">
      <w:pPr>
        <w:pStyle w:val="Heading1nonumbers"/>
        <w:rPr>
          <w:lang w:val="en-AU"/>
        </w:rPr>
      </w:pPr>
      <w:bookmarkStart w:id="171" w:name="_Toc392488738"/>
      <w:bookmarkStart w:id="172" w:name="_Toc414019464"/>
      <w:r>
        <w:rPr>
          <w:lang w:val="en-AU"/>
        </w:rPr>
        <w:lastRenderedPageBreak/>
        <w:t>Glossary</w:t>
      </w:r>
      <w:bookmarkEnd w:id="170"/>
      <w:bookmarkEnd w:id="171"/>
      <w:bookmarkEnd w:id="172"/>
    </w:p>
    <w:tbl>
      <w:tblPr>
        <w:tblW w:w="5000" w:type="pct"/>
        <w:tblBorders>
          <w:top w:val="single" w:sz="4" w:space="0" w:color="auto"/>
          <w:bottom w:val="single" w:sz="4" w:space="0" w:color="auto"/>
        </w:tblBorders>
        <w:tblLook w:val="04A0"/>
      </w:tblPr>
      <w:tblGrid>
        <w:gridCol w:w="2803"/>
        <w:gridCol w:w="6483"/>
      </w:tblGrid>
      <w:tr w:rsidR="00E94405">
        <w:tc>
          <w:tcPr>
            <w:tcW w:w="1509" w:type="pct"/>
          </w:tcPr>
          <w:p w:rsidR="00E94405" w:rsidRDefault="00A11609">
            <w:pPr>
              <w:pStyle w:val="TableHeading"/>
              <w:rPr>
                <w:rFonts w:ascii="Cambria" w:hAnsi="Cambria"/>
                <w:szCs w:val="18"/>
              </w:rPr>
            </w:pPr>
            <w:r>
              <w:rPr>
                <w:rFonts w:ascii="Cambria" w:hAnsi="Cambria"/>
                <w:szCs w:val="18"/>
              </w:rPr>
              <w:t>Term or abbreviation</w:t>
            </w:r>
          </w:p>
        </w:tc>
        <w:tc>
          <w:tcPr>
            <w:tcW w:w="3491" w:type="pct"/>
          </w:tcPr>
          <w:p w:rsidR="00E94405" w:rsidRDefault="00A11609">
            <w:pPr>
              <w:pStyle w:val="TableHeading"/>
              <w:rPr>
                <w:rFonts w:ascii="Cambria" w:hAnsi="Cambria"/>
                <w:szCs w:val="18"/>
              </w:rPr>
            </w:pPr>
            <w:r>
              <w:rPr>
                <w:rFonts w:ascii="Cambria" w:hAnsi="Cambria"/>
                <w:szCs w:val="18"/>
              </w:rPr>
              <w:t>Definition</w:t>
            </w:r>
          </w:p>
        </w:tc>
      </w:tr>
      <w:tr w:rsidR="00E94405">
        <w:tc>
          <w:tcPr>
            <w:tcW w:w="1509" w:type="pct"/>
          </w:tcPr>
          <w:p w:rsidR="00E94405" w:rsidRDefault="00A11609">
            <w:pPr>
              <w:pStyle w:val="TableText"/>
              <w:rPr>
                <w:rFonts w:ascii="Cambria" w:hAnsi="Cambria"/>
                <w:szCs w:val="18"/>
              </w:rPr>
            </w:pPr>
            <w:r>
              <w:rPr>
                <w:rFonts w:ascii="Cambria" w:hAnsi="Cambria"/>
                <w:szCs w:val="18"/>
              </w:rPr>
              <w:t>Additional declaration</w:t>
            </w:r>
          </w:p>
        </w:tc>
        <w:tc>
          <w:tcPr>
            <w:tcW w:w="3491" w:type="pct"/>
          </w:tcPr>
          <w:p w:rsidR="00E94405" w:rsidRDefault="00A11609">
            <w:pPr>
              <w:pStyle w:val="TableText"/>
              <w:rPr>
                <w:rFonts w:ascii="Cambria" w:hAnsi="Cambria"/>
                <w:szCs w:val="18"/>
              </w:rPr>
            </w:pPr>
            <w:r>
              <w:rPr>
                <w:rFonts w:ascii="Cambria" w:hAnsi="Cambria"/>
                <w:szCs w:val="18"/>
              </w:rPr>
              <w:t xml:space="preserve">A statement that is required by an importing country to be entered on a phytosanitary certificate and which provides specific additional information on a consignment in relation to regulated pests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Appropriate level of protection (ALOP)</w:t>
            </w:r>
          </w:p>
        </w:tc>
        <w:tc>
          <w:tcPr>
            <w:tcW w:w="3491" w:type="pct"/>
          </w:tcPr>
          <w:p w:rsidR="00E94405" w:rsidRDefault="00A11609">
            <w:pPr>
              <w:pStyle w:val="TableText"/>
              <w:rPr>
                <w:rFonts w:ascii="Cambria" w:hAnsi="Cambria"/>
                <w:szCs w:val="18"/>
              </w:rPr>
            </w:pPr>
            <w:r>
              <w:rPr>
                <w:rFonts w:ascii="Cambria" w:hAnsi="Cambria"/>
                <w:szCs w:val="18"/>
              </w:rPr>
              <w:t xml:space="preserve">The level of protection deemed appropriate by the Member establishing a sanitary or phytosanitary measure to protect human, animal or plant life or health within its territory </w:t>
            </w:r>
            <w:r w:rsidR="000D37BE">
              <w:rPr>
                <w:rFonts w:ascii="Cambria" w:hAnsi="Cambria"/>
                <w:szCs w:val="18"/>
              </w:rPr>
              <w:fldChar w:fldCharType="begin"/>
            </w:r>
            <w:r>
              <w:rPr>
                <w:rFonts w:ascii="Cambria" w:hAnsi="Cambria"/>
                <w:szCs w:val="18"/>
              </w:rPr>
              <w:instrText xml:space="preserve"> ADDIN REFMGR.CITE &lt;Refman&gt;&lt;Cite&gt;&lt;Author&gt;WTO&lt;/Author&gt;&lt;Year&gt;1995&lt;/Year&gt;&lt;RecNum&gt;70051&lt;/RecNum&gt;&lt;IDText&gt;Agreement on the application of sanitary and phytosanitary measures&lt;/IDText&gt;&lt;MDL Ref_Type="Generic"&gt;&lt;Ref_Type&gt;Generic&lt;/Ref_Type&gt;&lt;Ref_ID&gt;70051&lt;/Ref_ID&gt;&lt;Title_Primary&gt;Agreement on the application of sanitary and phytosanitary measures&lt;/Title_Primary&gt;&lt;Authors_Primary&gt;WTO&lt;/Authors_Primary&gt;&lt;Date_Primary&gt;1995&lt;/Date_Primary&gt;&lt;Keywords&gt;Phytosanitary&lt;/Keywords&gt;&lt;Keywords&gt;Phytosanitary measures&lt;/Keywords&gt;&lt;Keywords&gt;Measures&lt;/Keywords&gt;&lt;Pub_Place&gt;Geneva&lt;/Pub_Place&gt;&lt;Publisher&gt;World Trade Organization&lt;/Publisher&gt;&lt;User_Def_1&gt;China table grapes sp Mexican avocados Pineapples from Malaysia Drosophila Canadian blueberries European grapevine moth jc PSTVd Unshu mandarins &lt;i&gt;Candidatus&lt;/i&gt; Liberibacter psyllarous sp&lt;/User_Def_1&gt;&lt;Web_URL&gt;&lt;u&gt;http://www.wto.org/english/docs_e/legal_e/15-sps.pdf&lt;/u&gt;&lt;/Web_URL&gt;&lt;Web_URL_Link1&gt;&lt;u&gt;J:\E Library\Plant Catalogue\W&lt;/u&gt;&lt;/Web_URL_Link1&gt;&lt;ZZ_WorkformID&gt;33&lt;/ZZ_WorkformID&gt;&lt;/MDL&gt;&lt;/Cite&gt;&lt;/Refman&gt;</w:instrText>
            </w:r>
            <w:r w:rsidR="000D37BE">
              <w:rPr>
                <w:rFonts w:ascii="Cambria" w:hAnsi="Cambria"/>
                <w:szCs w:val="18"/>
              </w:rPr>
              <w:fldChar w:fldCharType="separate"/>
            </w:r>
            <w:r>
              <w:rPr>
                <w:rFonts w:ascii="Cambria" w:hAnsi="Cambria"/>
                <w:szCs w:val="18"/>
              </w:rPr>
              <w:t>(WTO 1995)</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Area</w:t>
            </w:r>
          </w:p>
        </w:tc>
        <w:tc>
          <w:tcPr>
            <w:tcW w:w="3491" w:type="pct"/>
          </w:tcPr>
          <w:p w:rsidR="00E94405" w:rsidRDefault="00A11609">
            <w:pPr>
              <w:pStyle w:val="TableText"/>
              <w:rPr>
                <w:rFonts w:ascii="Cambria" w:hAnsi="Cambria"/>
                <w:szCs w:val="18"/>
              </w:rPr>
            </w:pPr>
            <w:r>
              <w:rPr>
                <w:rFonts w:ascii="Cambria" w:hAnsi="Cambria"/>
                <w:szCs w:val="18"/>
              </w:rPr>
              <w:t xml:space="preserve">An officially defined country, part of a country or all or parts of several countries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Area of low pest prevalence</w:t>
            </w:r>
          </w:p>
        </w:tc>
        <w:tc>
          <w:tcPr>
            <w:tcW w:w="3491" w:type="pct"/>
          </w:tcPr>
          <w:p w:rsidR="00E94405" w:rsidRDefault="00A11609">
            <w:pPr>
              <w:pStyle w:val="TableText"/>
              <w:rPr>
                <w:rFonts w:ascii="Cambria" w:hAnsi="Cambria"/>
                <w:szCs w:val="18"/>
              </w:rPr>
            </w:pPr>
            <w:r>
              <w:rPr>
                <w:rFonts w:ascii="Cambria" w:hAnsi="Cambria"/>
                <w:szCs w:val="18"/>
              </w:rPr>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Arthropod</w:t>
            </w:r>
          </w:p>
        </w:tc>
        <w:tc>
          <w:tcPr>
            <w:tcW w:w="3491" w:type="pct"/>
          </w:tcPr>
          <w:p w:rsidR="00E94405" w:rsidRDefault="00A11609">
            <w:pPr>
              <w:pStyle w:val="TableText"/>
              <w:rPr>
                <w:rFonts w:ascii="Cambria" w:hAnsi="Cambria"/>
                <w:szCs w:val="18"/>
              </w:rPr>
            </w:pPr>
            <w:r>
              <w:rPr>
                <w:rFonts w:ascii="Cambria" w:hAnsi="Cambria"/>
                <w:szCs w:val="18"/>
              </w:rPr>
              <w:t>The largest phylum of animals, including the insects, arachnids and crustaceans.</w:t>
            </w:r>
          </w:p>
        </w:tc>
      </w:tr>
      <w:tr w:rsidR="00E94405">
        <w:tc>
          <w:tcPr>
            <w:tcW w:w="1509" w:type="pct"/>
          </w:tcPr>
          <w:p w:rsidR="00E94405" w:rsidRDefault="00A11609">
            <w:pPr>
              <w:pStyle w:val="TableText"/>
              <w:rPr>
                <w:rFonts w:ascii="Cambria" w:hAnsi="Cambria"/>
                <w:szCs w:val="18"/>
              </w:rPr>
            </w:pPr>
            <w:r>
              <w:rPr>
                <w:rFonts w:ascii="Cambria" w:hAnsi="Cambria"/>
                <w:szCs w:val="18"/>
              </w:rPr>
              <w:t>Asexual reproduction</w:t>
            </w:r>
          </w:p>
        </w:tc>
        <w:tc>
          <w:tcPr>
            <w:tcW w:w="3491" w:type="pct"/>
          </w:tcPr>
          <w:p w:rsidR="00E94405" w:rsidRDefault="00A11609">
            <w:pPr>
              <w:pStyle w:val="TableText"/>
              <w:rPr>
                <w:rFonts w:ascii="Cambria" w:hAnsi="Cambria"/>
                <w:szCs w:val="18"/>
              </w:rPr>
            </w:pPr>
            <w:r>
              <w:rPr>
                <w:rFonts w:ascii="Cambria" w:hAnsi="Cambria"/>
                <w:szCs w:val="18"/>
              </w:rPr>
              <w:t>The development of new individual from a single cell or group of cells in the absence of meiosis.</w:t>
            </w:r>
          </w:p>
        </w:tc>
      </w:tr>
      <w:tr w:rsidR="00E94405">
        <w:tc>
          <w:tcPr>
            <w:tcW w:w="1509" w:type="pct"/>
          </w:tcPr>
          <w:p w:rsidR="00E94405" w:rsidRDefault="00A11609">
            <w:pPr>
              <w:pStyle w:val="TableText"/>
              <w:rPr>
                <w:rFonts w:ascii="Cambria" w:hAnsi="Cambria"/>
                <w:szCs w:val="18"/>
              </w:rPr>
            </w:pPr>
            <w:r>
              <w:rPr>
                <w:rFonts w:ascii="Cambria" w:hAnsi="Cambria"/>
                <w:szCs w:val="18"/>
              </w:rPr>
              <w:t>Chlamydospore</w:t>
            </w:r>
          </w:p>
        </w:tc>
        <w:tc>
          <w:tcPr>
            <w:tcW w:w="3491" w:type="pct"/>
          </w:tcPr>
          <w:p w:rsidR="00E94405" w:rsidRDefault="00A11609">
            <w:pPr>
              <w:pStyle w:val="TableText"/>
              <w:rPr>
                <w:rFonts w:ascii="Cambria" w:hAnsi="Cambria"/>
                <w:szCs w:val="18"/>
              </w:rPr>
            </w:pPr>
            <w:r>
              <w:rPr>
                <w:rFonts w:ascii="Cambria" w:hAnsi="Cambria"/>
                <w:szCs w:val="18"/>
              </w:rPr>
              <w:t>An asexual reproductive structure providing a resting spore that can survive adverse conditions better than sporangia.</w:t>
            </w:r>
          </w:p>
        </w:tc>
      </w:tr>
      <w:tr w:rsidR="00E94405">
        <w:tc>
          <w:tcPr>
            <w:tcW w:w="1509" w:type="pct"/>
          </w:tcPr>
          <w:p w:rsidR="00E94405" w:rsidRDefault="00A11609">
            <w:pPr>
              <w:pStyle w:val="TableText"/>
              <w:rPr>
                <w:rFonts w:ascii="Cambria" w:hAnsi="Cambria"/>
                <w:szCs w:val="18"/>
              </w:rPr>
            </w:pPr>
            <w:r>
              <w:rPr>
                <w:rFonts w:ascii="Cambria" w:hAnsi="Cambria"/>
                <w:szCs w:val="18"/>
              </w:rPr>
              <w:t>Clonal lineage</w:t>
            </w:r>
          </w:p>
        </w:tc>
        <w:tc>
          <w:tcPr>
            <w:tcW w:w="3491" w:type="pct"/>
          </w:tcPr>
          <w:p w:rsidR="00E94405" w:rsidRDefault="00A11609">
            <w:pPr>
              <w:pStyle w:val="TableText"/>
              <w:rPr>
                <w:rFonts w:ascii="Cambria" w:hAnsi="Cambria"/>
                <w:szCs w:val="18"/>
              </w:rPr>
            </w:pPr>
            <w:r>
              <w:rPr>
                <w:rFonts w:ascii="Cambria" w:hAnsi="Cambria"/>
                <w:szCs w:val="18"/>
              </w:rPr>
              <w:t>A population of asexually reproducing individuals descended from the same ancestor.</w:t>
            </w:r>
          </w:p>
        </w:tc>
      </w:tr>
      <w:tr w:rsidR="00E94405">
        <w:tc>
          <w:tcPr>
            <w:tcW w:w="1509" w:type="pct"/>
          </w:tcPr>
          <w:p w:rsidR="00E94405" w:rsidRDefault="00A11609">
            <w:pPr>
              <w:pStyle w:val="TableText"/>
              <w:rPr>
                <w:rFonts w:ascii="Cambria" w:hAnsi="Cambria"/>
                <w:szCs w:val="18"/>
              </w:rPr>
            </w:pPr>
            <w:r>
              <w:rPr>
                <w:rFonts w:ascii="Cambria" w:hAnsi="Cambria"/>
                <w:szCs w:val="18"/>
              </w:rPr>
              <w:t>Consignment</w:t>
            </w:r>
          </w:p>
        </w:tc>
        <w:tc>
          <w:tcPr>
            <w:tcW w:w="3491" w:type="pct"/>
          </w:tcPr>
          <w:p w:rsidR="00E94405" w:rsidRDefault="00A11609">
            <w:pPr>
              <w:pStyle w:val="TableText"/>
              <w:rPr>
                <w:rFonts w:ascii="Cambria" w:hAnsi="Cambria"/>
                <w:szCs w:val="18"/>
              </w:rPr>
            </w:pPr>
            <w:r>
              <w:rPr>
                <w:rFonts w:ascii="Cambria" w:hAnsi="Cambria"/>
                <w:szCs w:val="18"/>
              </w:rPr>
              <w:t xml:space="preserve">A quantity of plants, plant products or other articles being moved from one country to another and covered, when required, by a single phytosanitary certificate (a consignment may be composed of one or more commodities or lots)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Control (of a pest)</w:t>
            </w:r>
          </w:p>
        </w:tc>
        <w:tc>
          <w:tcPr>
            <w:tcW w:w="3491" w:type="pct"/>
          </w:tcPr>
          <w:p w:rsidR="00E94405" w:rsidRDefault="00A11609">
            <w:pPr>
              <w:pStyle w:val="TableText"/>
              <w:rPr>
                <w:rFonts w:ascii="Cambria" w:hAnsi="Cambria"/>
                <w:szCs w:val="18"/>
              </w:rPr>
            </w:pPr>
            <w:r>
              <w:rPr>
                <w:rFonts w:ascii="Cambria" w:hAnsi="Cambria"/>
                <w:szCs w:val="18"/>
              </w:rPr>
              <w:t xml:space="preserve">Suppression, containment or eradication of a pest population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Culturing</w:t>
            </w:r>
          </w:p>
        </w:tc>
        <w:tc>
          <w:tcPr>
            <w:tcW w:w="3491" w:type="pct"/>
          </w:tcPr>
          <w:p w:rsidR="00E94405" w:rsidRDefault="00A11609">
            <w:pPr>
              <w:spacing w:before="100" w:beforeAutospacing="1" w:after="100" w:afterAutospacing="1"/>
              <w:rPr>
                <w:rFonts w:ascii="Cambria" w:hAnsi="Cambria"/>
                <w:szCs w:val="18"/>
              </w:rPr>
            </w:pPr>
            <w:r>
              <w:rPr>
                <w:rFonts w:ascii="Cambria" w:hAnsi="Cambria"/>
                <w:sz w:val="18"/>
                <w:szCs w:val="18"/>
              </w:rPr>
              <w:t xml:space="preserve">A technique that multiplies plant cells, tissues or organs under controlled conditions suitable for plant growth, allowing disease screening to take place. </w:t>
            </w:r>
          </w:p>
        </w:tc>
      </w:tr>
      <w:tr w:rsidR="00E94405">
        <w:tc>
          <w:tcPr>
            <w:tcW w:w="1509" w:type="pct"/>
          </w:tcPr>
          <w:p w:rsidR="00E94405" w:rsidRDefault="00A11609">
            <w:pPr>
              <w:pStyle w:val="TableText"/>
              <w:rPr>
                <w:rFonts w:ascii="Cambria" w:hAnsi="Cambria"/>
                <w:szCs w:val="18"/>
              </w:rPr>
            </w:pPr>
            <w:r>
              <w:rPr>
                <w:rFonts w:ascii="Cambria" w:hAnsi="Cambria"/>
                <w:szCs w:val="18"/>
              </w:rPr>
              <w:t>Disease cycle</w:t>
            </w:r>
          </w:p>
        </w:tc>
        <w:tc>
          <w:tcPr>
            <w:tcW w:w="3491" w:type="pct"/>
          </w:tcPr>
          <w:p w:rsidR="00E94405" w:rsidRDefault="00A11609">
            <w:pPr>
              <w:pStyle w:val="TableText"/>
              <w:rPr>
                <w:rFonts w:ascii="Cambria" w:hAnsi="Cambria"/>
                <w:szCs w:val="18"/>
              </w:rPr>
            </w:pPr>
            <w:r>
              <w:rPr>
                <w:rFonts w:ascii="Cambria" w:hAnsi="Cambria"/>
                <w:szCs w:val="18"/>
              </w:rPr>
              <w:t>This is the sequence of events involved in disease development, including the stages of development of the pathogen and the effect of the disease on the host; the chain of events that occur between the time of infection and the final expression of disease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Drenching</w:t>
            </w:r>
          </w:p>
        </w:tc>
        <w:tc>
          <w:tcPr>
            <w:tcW w:w="3491" w:type="pct"/>
          </w:tcPr>
          <w:p w:rsidR="00E94405" w:rsidRDefault="00A11609">
            <w:pPr>
              <w:pStyle w:val="TableText"/>
              <w:rPr>
                <w:rFonts w:ascii="Cambria" w:hAnsi="Cambria"/>
                <w:szCs w:val="18"/>
              </w:rPr>
            </w:pPr>
            <w:r>
              <w:rPr>
                <w:rFonts w:ascii="Cambria" w:hAnsi="Cambria"/>
                <w:szCs w:val="18"/>
              </w:rPr>
              <w:t>A technique used by quarantine authorities to remove organisms of quarantine concern. The technique involves the sufficient application of liquid to plant material to ensure adequate penetration of chemicals to control the risk of nematodes and fungi (Department of Agriculture 2006).</w:t>
            </w:r>
          </w:p>
        </w:tc>
      </w:tr>
      <w:tr w:rsidR="00E94405">
        <w:tc>
          <w:tcPr>
            <w:tcW w:w="1509" w:type="pct"/>
          </w:tcPr>
          <w:p w:rsidR="00E94405" w:rsidRDefault="00A11609">
            <w:pPr>
              <w:pStyle w:val="TableText"/>
              <w:rPr>
                <w:rFonts w:ascii="Cambria" w:hAnsi="Cambria"/>
                <w:szCs w:val="18"/>
              </w:rPr>
            </w:pPr>
            <w:r>
              <w:rPr>
                <w:rFonts w:ascii="Cambria" w:hAnsi="Cambria"/>
                <w:szCs w:val="18"/>
              </w:rPr>
              <w:t>The department</w:t>
            </w:r>
          </w:p>
        </w:tc>
        <w:tc>
          <w:tcPr>
            <w:tcW w:w="3491" w:type="pct"/>
          </w:tcPr>
          <w:p w:rsidR="00E94405" w:rsidRDefault="00A11609">
            <w:pPr>
              <w:pStyle w:val="TableText"/>
              <w:rPr>
                <w:rFonts w:ascii="Cambria" w:hAnsi="Cambria"/>
                <w:szCs w:val="18"/>
              </w:rPr>
            </w:pPr>
            <w:r>
              <w:rPr>
                <w:rFonts w:ascii="Cambria" w:hAnsi="Cambria"/>
                <w:szCs w:val="18"/>
              </w:rPr>
              <w:t>The Commonwealth Department of Agriculture.</w:t>
            </w:r>
          </w:p>
        </w:tc>
      </w:tr>
      <w:tr w:rsidR="00E94405">
        <w:tc>
          <w:tcPr>
            <w:tcW w:w="1509" w:type="pct"/>
          </w:tcPr>
          <w:p w:rsidR="00E94405" w:rsidRDefault="00A11609">
            <w:pPr>
              <w:pStyle w:val="TableText"/>
              <w:rPr>
                <w:rFonts w:ascii="Cambria" w:hAnsi="Cambria"/>
                <w:szCs w:val="18"/>
              </w:rPr>
            </w:pPr>
            <w:r>
              <w:rPr>
                <w:rFonts w:ascii="Cambria" w:hAnsi="Cambria"/>
                <w:szCs w:val="18"/>
              </w:rPr>
              <w:t>Endangered area</w:t>
            </w:r>
          </w:p>
        </w:tc>
        <w:tc>
          <w:tcPr>
            <w:tcW w:w="3491" w:type="pct"/>
          </w:tcPr>
          <w:p w:rsidR="00E94405" w:rsidRDefault="00A11609">
            <w:pPr>
              <w:pStyle w:val="TableText"/>
              <w:rPr>
                <w:rFonts w:ascii="Cambria" w:hAnsi="Cambria"/>
                <w:szCs w:val="18"/>
              </w:rPr>
            </w:pPr>
            <w:r>
              <w:rPr>
                <w:rFonts w:ascii="Cambria" w:hAnsi="Cambria"/>
                <w:szCs w:val="18"/>
              </w:rPr>
              <w:t xml:space="preserve">An area where ecological factors favour the establishment of a pest whose presence in the area will result in economically important loss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Endemic</w:t>
            </w:r>
          </w:p>
        </w:tc>
        <w:tc>
          <w:tcPr>
            <w:tcW w:w="3491" w:type="pct"/>
          </w:tcPr>
          <w:p w:rsidR="00E94405" w:rsidRDefault="00A11609">
            <w:pPr>
              <w:pStyle w:val="TableText"/>
              <w:rPr>
                <w:rFonts w:ascii="Cambria" w:hAnsi="Cambria"/>
                <w:szCs w:val="18"/>
              </w:rPr>
            </w:pPr>
            <w:r>
              <w:rPr>
                <w:rFonts w:ascii="Cambria" w:hAnsi="Cambria"/>
                <w:szCs w:val="18"/>
              </w:rPr>
              <w:t>Belonging to, native to, or prevalent in a particular geography, area or environment.</w:t>
            </w:r>
          </w:p>
        </w:tc>
      </w:tr>
      <w:tr w:rsidR="00E94405">
        <w:tc>
          <w:tcPr>
            <w:tcW w:w="1509" w:type="pct"/>
          </w:tcPr>
          <w:p w:rsidR="00E94405" w:rsidRDefault="00A11609">
            <w:pPr>
              <w:pStyle w:val="TableText"/>
              <w:rPr>
                <w:rFonts w:ascii="Cambria" w:hAnsi="Cambria"/>
                <w:szCs w:val="18"/>
              </w:rPr>
            </w:pPr>
            <w:r>
              <w:rPr>
                <w:rFonts w:ascii="Cambria" w:hAnsi="Cambria"/>
                <w:szCs w:val="18"/>
              </w:rPr>
              <w:t>Entry (of a pest)</w:t>
            </w:r>
          </w:p>
        </w:tc>
        <w:tc>
          <w:tcPr>
            <w:tcW w:w="3491" w:type="pct"/>
          </w:tcPr>
          <w:p w:rsidR="00E94405" w:rsidRDefault="00A11609">
            <w:pPr>
              <w:pStyle w:val="TableText"/>
              <w:rPr>
                <w:rFonts w:ascii="Cambria" w:hAnsi="Cambria"/>
                <w:szCs w:val="18"/>
              </w:rPr>
            </w:pPr>
            <w:r>
              <w:rPr>
                <w:rFonts w:ascii="Cambria" w:hAnsi="Cambria"/>
                <w:szCs w:val="18"/>
              </w:rPr>
              <w:t xml:space="preserve">Movement of a pest into an area where it is not yet present, or present but not widely distributed and being officially controlled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Equivalence (of phytosanitary terms)</w:t>
            </w:r>
          </w:p>
        </w:tc>
        <w:tc>
          <w:tcPr>
            <w:tcW w:w="3491" w:type="pct"/>
          </w:tcPr>
          <w:p w:rsidR="00E94405" w:rsidRDefault="00A11609">
            <w:pPr>
              <w:pStyle w:val="TableText"/>
              <w:rPr>
                <w:rFonts w:ascii="Cambria" w:hAnsi="Cambria"/>
                <w:szCs w:val="18"/>
              </w:rPr>
            </w:pPr>
            <w:r>
              <w:rPr>
                <w:rFonts w:ascii="Cambria" w:hAnsi="Cambria"/>
                <w:szCs w:val="18"/>
              </w:rPr>
              <w:t>The situation where, for a specified pest, different phytosanitary measures achieve a contracting party’s appropriate level of protection (FAO 2013a).</w:t>
            </w:r>
          </w:p>
        </w:tc>
      </w:tr>
      <w:tr w:rsidR="00E94405">
        <w:tc>
          <w:tcPr>
            <w:tcW w:w="1509" w:type="pct"/>
          </w:tcPr>
          <w:p w:rsidR="00E94405" w:rsidRDefault="00A11609">
            <w:pPr>
              <w:pStyle w:val="TableText"/>
              <w:rPr>
                <w:rFonts w:ascii="Cambria" w:hAnsi="Cambria"/>
                <w:szCs w:val="18"/>
              </w:rPr>
            </w:pPr>
            <w:r>
              <w:rPr>
                <w:rFonts w:ascii="Cambria" w:hAnsi="Cambria"/>
                <w:szCs w:val="18"/>
              </w:rPr>
              <w:lastRenderedPageBreak/>
              <w:t>Establishment (of a pest)</w:t>
            </w:r>
          </w:p>
        </w:tc>
        <w:tc>
          <w:tcPr>
            <w:tcW w:w="3491" w:type="pct"/>
          </w:tcPr>
          <w:p w:rsidR="00E94405" w:rsidRDefault="00A11609">
            <w:pPr>
              <w:pStyle w:val="TableText"/>
              <w:rPr>
                <w:rFonts w:ascii="Cambria" w:hAnsi="Cambria"/>
                <w:szCs w:val="18"/>
              </w:rPr>
            </w:pPr>
            <w:r>
              <w:rPr>
                <w:rFonts w:ascii="Cambria" w:hAnsi="Cambria"/>
                <w:szCs w:val="18"/>
              </w:rPr>
              <w:t xml:space="preserve">Perpetuation, for the foreseeable future, of a pest within an area after entry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Fumigation</w:t>
            </w:r>
          </w:p>
        </w:tc>
        <w:tc>
          <w:tcPr>
            <w:tcW w:w="3491" w:type="pct"/>
          </w:tcPr>
          <w:p w:rsidR="00E94405" w:rsidRDefault="00A11609">
            <w:pPr>
              <w:pStyle w:val="TableText"/>
              <w:rPr>
                <w:rFonts w:ascii="Cambria" w:hAnsi="Cambria"/>
                <w:szCs w:val="18"/>
              </w:rPr>
            </w:pPr>
            <w:r>
              <w:rPr>
                <w:rFonts w:ascii="Cambria" w:hAnsi="Cambria"/>
                <w:szCs w:val="18"/>
              </w:rPr>
              <w:t>A method of pest control that completely fills an area with gaseous pesticides to suffocate or poison the pests within.</w:t>
            </w:r>
          </w:p>
        </w:tc>
      </w:tr>
      <w:tr w:rsidR="00E94405">
        <w:tc>
          <w:tcPr>
            <w:tcW w:w="1509" w:type="pct"/>
          </w:tcPr>
          <w:p w:rsidR="00E94405" w:rsidRDefault="00A11609">
            <w:pPr>
              <w:pStyle w:val="TableText"/>
              <w:rPr>
                <w:rFonts w:ascii="Cambria" w:hAnsi="Cambria"/>
                <w:szCs w:val="18"/>
              </w:rPr>
            </w:pPr>
            <w:r>
              <w:rPr>
                <w:rFonts w:ascii="Cambria" w:hAnsi="Cambria"/>
                <w:szCs w:val="18"/>
              </w:rPr>
              <w:t>Heterothallic</w:t>
            </w:r>
          </w:p>
        </w:tc>
        <w:tc>
          <w:tcPr>
            <w:tcW w:w="3491" w:type="pct"/>
          </w:tcPr>
          <w:p w:rsidR="00E94405" w:rsidRDefault="00A11609">
            <w:pPr>
              <w:pStyle w:val="TableText"/>
              <w:rPr>
                <w:rFonts w:ascii="Cambria" w:hAnsi="Cambria"/>
                <w:szCs w:val="18"/>
              </w:rPr>
            </w:pPr>
            <w:r>
              <w:rPr>
                <w:rFonts w:ascii="Cambria" w:hAnsi="Cambria"/>
                <w:szCs w:val="18"/>
              </w:rPr>
              <w:t>Requiring two opposite mating types for sexual reproduction via oospores as opposed to homothallic species. Homothallism is thought to result in inbreeding or selfing with low rates of outcrossing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Heterothallism</w:t>
            </w:r>
          </w:p>
        </w:tc>
        <w:tc>
          <w:tcPr>
            <w:tcW w:w="3491" w:type="pct"/>
          </w:tcPr>
          <w:p w:rsidR="00E94405" w:rsidRDefault="00A11609">
            <w:pPr>
              <w:pStyle w:val="TableText"/>
              <w:rPr>
                <w:rFonts w:ascii="Cambria" w:hAnsi="Cambria"/>
                <w:szCs w:val="18"/>
              </w:rPr>
            </w:pPr>
            <w:r>
              <w:rPr>
                <w:rFonts w:ascii="Cambria" w:hAnsi="Cambria"/>
                <w:szCs w:val="18"/>
              </w:rPr>
              <w:t>Self-sterility; a sexual condition in which an individual produces only one kind of gamete. Used chiefly in reference to fungi and algae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Host</w:t>
            </w:r>
          </w:p>
        </w:tc>
        <w:tc>
          <w:tcPr>
            <w:tcW w:w="3491" w:type="pct"/>
          </w:tcPr>
          <w:p w:rsidR="00E94405" w:rsidRDefault="00A11609">
            <w:pPr>
              <w:pStyle w:val="TableText"/>
              <w:rPr>
                <w:rFonts w:ascii="Cambria" w:hAnsi="Cambria"/>
                <w:szCs w:val="18"/>
              </w:rPr>
            </w:pPr>
            <w:r>
              <w:rPr>
                <w:rFonts w:ascii="Cambria" w:hAnsi="Cambria"/>
                <w:szCs w:val="18"/>
              </w:rPr>
              <w:t>An organism that harbours a parasite, mutual partner, or commensal partner, typically providing nourishment and shelter.</w:t>
            </w:r>
          </w:p>
        </w:tc>
      </w:tr>
      <w:tr w:rsidR="00E94405">
        <w:tc>
          <w:tcPr>
            <w:tcW w:w="1509" w:type="pct"/>
          </w:tcPr>
          <w:p w:rsidR="00E94405" w:rsidRDefault="00A11609">
            <w:pPr>
              <w:pStyle w:val="TableText"/>
              <w:rPr>
                <w:rFonts w:ascii="Cambria" w:hAnsi="Cambria"/>
                <w:szCs w:val="18"/>
              </w:rPr>
            </w:pPr>
            <w:r>
              <w:rPr>
                <w:rFonts w:ascii="Cambria" w:hAnsi="Cambria"/>
                <w:szCs w:val="18"/>
              </w:rPr>
              <w:t>Host range</w:t>
            </w:r>
          </w:p>
        </w:tc>
        <w:tc>
          <w:tcPr>
            <w:tcW w:w="3491" w:type="pct"/>
          </w:tcPr>
          <w:p w:rsidR="00E94405" w:rsidRDefault="00A11609">
            <w:pPr>
              <w:pStyle w:val="TableText"/>
              <w:rPr>
                <w:rFonts w:ascii="Cambria" w:hAnsi="Cambria"/>
                <w:szCs w:val="18"/>
              </w:rPr>
            </w:pPr>
            <w:r>
              <w:rPr>
                <w:rFonts w:ascii="Cambria" w:hAnsi="Cambria"/>
                <w:szCs w:val="18"/>
              </w:rPr>
              <w:t xml:space="preserve">Species capable, under natural conditions, of sustaining a specific pest or other organism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Hypha(e)</w:t>
            </w:r>
          </w:p>
        </w:tc>
        <w:tc>
          <w:tcPr>
            <w:tcW w:w="3491" w:type="pct"/>
          </w:tcPr>
          <w:p w:rsidR="00E94405" w:rsidRDefault="00A11609">
            <w:pPr>
              <w:pStyle w:val="TableText"/>
              <w:rPr>
                <w:rFonts w:ascii="Cambria" w:hAnsi="Cambria"/>
                <w:szCs w:val="18"/>
              </w:rPr>
            </w:pPr>
            <w:r>
              <w:rPr>
                <w:rFonts w:ascii="Cambria" w:hAnsi="Cambria"/>
                <w:szCs w:val="18"/>
              </w:rPr>
              <w:t>The basic vegetative unit of structure and function of most fungi; a largely microscopic tubular filament that increases in length by growth at its tip. New hyphae arise as lateral branches. Some can become specialized for given functions including producing spores, penetrating host tissues, etc. (Erwin &amp; Ribeiro 1996).</w:t>
            </w:r>
          </w:p>
        </w:tc>
      </w:tr>
      <w:tr w:rsidR="00E94405">
        <w:tc>
          <w:tcPr>
            <w:tcW w:w="1509" w:type="pct"/>
          </w:tcPr>
          <w:p w:rsidR="00E94405" w:rsidRDefault="00A11609">
            <w:pPr>
              <w:pStyle w:val="TableText"/>
              <w:rPr>
                <w:rFonts w:ascii="Cambria" w:hAnsi="Cambria"/>
                <w:szCs w:val="18"/>
              </w:rPr>
            </w:pPr>
            <w:r>
              <w:rPr>
                <w:rFonts w:ascii="Cambria" w:hAnsi="Cambria"/>
                <w:szCs w:val="18"/>
              </w:rPr>
              <w:t>Import permit</w:t>
            </w:r>
          </w:p>
        </w:tc>
        <w:tc>
          <w:tcPr>
            <w:tcW w:w="3491" w:type="pct"/>
          </w:tcPr>
          <w:p w:rsidR="00E94405" w:rsidRDefault="00A11609">
            <w:pPr>
              <w:pStyle w:val="TableText"/>
              <w:rPr>
                <w:rFonts w:ascii="Cambria" w:hAnsi="Cambria"/>
                <w:szCs w:val="18"/>
              </w:rPr>
            </w:pPr>
            <w:r>
              <w:rPr>
                <w:rFonts w:ascii="Cambria" w:hAnsi="Cambria"/>
                <w:szCs w:val="18"/>
              </w:rPr>
              <w:t xml:space="preserve">Official document authorising importation of a commodity in accordance with specified phytosanitary import requirements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Import risk analysis</w:t>
            </w:r>
          </w:p>
        </w:tc>
        <w:tc>
          <w:tcPr>
            <w:tcW w:w="3491" w:type="pct"/>
          </w:tcPr>
          <w:p w:rsidR="00E94405" w:rsidRDefault="00A11609">
            <w:pPr>
              <w:pStyle w:val="TableText"/>
              <w:rPr>
                <w:rFonts w:ascii="Cambria" w:hAnsi="Cambria"/>
                <w:szCs w:val="18"/>
              </w:rPr>
            </w:pPr>
            <w:r>
              <w:rPr>
                <w:rFonts w:ascii="Cambria" w:hAnsi="Cambria"/>
                <w:szCs w:val="18"/>
              </w:rPr>
              <w:t>An administrative process through which quarantine policy is developed or reviewed, incorporating risk assessment, risk management and risk communication.</w:t>
            </w:r>
          </w:p>
        </w:tc>
      </w:tr>
      <w:tr w:rsidR="00E94405">
        <w:tc>
          <w:tcPr>
            <w:tcW w:w="1509" w:type="pct"/>
          </w:tcPr>
          <w:p w:rsidR="00E94405" w:rsidRDefault="00A11609">
            <w:pPr>
              <w:pStyle w:val="TableText"/>
              <w:rPr>
                <w:rFonts w:ascii="Cambria" w:hAnsi="Cambria"/>
                <w:szCs w:val="18"/>
              </w:rPr>
            </w:pPr>
            <w:r>
              <w:rPr>
                <w:rFonts w:ascii="Cambria" w:hAnsi="Cambria"/>
                <w:szCs w:val="18"/>
              </w:rPr>
              <w:t>Infection</w:t>
            </w:r>
          </w:p>
        </w:tc>
        <w:tc>
          <w:tcPr>
            <w:tcW w:w="3491" w:type="pct"/>
          </w:tcPr>
          <w:p w:rsidR="00E94405" w:rsidRDefault="00A11609">
            <w:pPr>
              <w:pStyle w:val="TableText"/>
              <w:rPr>
                <w:rFonts w:ascii="Cambria" w:hAnsi="Cambria"/>
                <w:szCs w:val="18"/>
              </w:rPr>
            </w:pPr>
            <w:r>
              <w:rPr>
                <w:rFonts w:ascii="Cambria" w:hAnsi="Cambria"/>
                <w:szCs w:val="18"/>
              </w:rPr>
              <w:t>The internal ‘endophytic’ colonisation of a plant, or plant organ, and is generally associated with the development of disease symptoms as the integrity of cells and/or biological processes are disrupted.</w:t>
            </w:r>
          </w:p>
        </w:tc>
      </w:tr>
      <w:tr w:rsidR="00E94405">
        <w:tc>
          <w:tcPr>
            <w:tcW w:w="1509" w:type="pct"/>
          </w:tcPr>
          <w:p w:rsidR="00E94405" w:rsidRDefault="00A11609">
            <w:pPr>
              <w:pStyle w:val="TableText"/>
              <w:rPr>
                <w:rFonts w:ascii="Cambria" w:hAnsi="Cambria"/>
                <w:szCs w:val="18"/>
              </w:rPr>
            </w:pPr>
            <w:r>
              <w:rPr>
                <w:rFonts w:ascii="Cambria" w:hAnsi="Cambria"/>
                <w:szCs w:val="18"/>
              </w:rPr>
              <w:t>Infestation (of a commodity)</w:t>
            </w:r>
          </w:p>
        </w:tc>
        <w:tc>
          <w:tcPr>
            <w:tcW w:w="3491" w:type="pct"/>
          </w:tcPr>
          <w:p w:rsidR="00E94405" w:rsidRDefault="00A11609">
            <w:pPr>
              <w:pStyle w:val="TableText"/>
              <w:rPr>
                <w:rFonts w:ascii="Cambria" w:hAnsi="Cambria"/>
                <w:szCs w:val="18"/>
              </w:rPr>
            </w:pPr>
            <w:r>
              <w:rPr>
                <w:rFonts w:ascii="Cambria" w:hAnsi="Cambria"/>
                <w:szCs w:val="18"/>
              </w:rPr>
              <w:t xml:space="preserve">Presence in a commodity of a living pest of the plant or plant product concerned. Infestation includes infection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Inspection</w:t>
            </w:r>
          </w:p>
        </w:tc>
        <w:tc>
          <w:tcPr>
            <w:tcW w:w="3491" w:type="pct"/>
          </w:tcPr>
          <w:p w:rsidR="00E94405" w:rsidRDefault="00A11609">
            <w:pPr>
              <w:pStyle w:val="TableText"/>
              <w:rPr>
                <w:rFonts w:ascii="Cambria" w:hAnsi="Cambria"/>
                <w:szCs w:val="18"/>
              </w:rPr>
            </w:pPr>
            <w:r>
              <w:rPr>
                <w:rFonts w:ascii="Cambria" w:hAnsi="Cambria"/>
                <w:szCs w:val="18"/>
              </w:rPr>
              <w:t xml:space="preserve">Official visual examination of plants, plant products or other regulated articles to determine if pests are present or to determine compliance with phytosanitary regulations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Intended use</w:t>
            </w:r>
          </w:p>
        </w:tc>
        <w:tc>
          <w:tcPr>
            <w:tcW w:w="3491" w:type="pct"/>
          </w:tcPr>
          <w:p w:rsidR="00E94405" w:rsidRDefault="00A11609">
            <w:pPr>
              <w:pStyle w:val="TableText"/>
              <w:rPr>
                <w:rFonts w:ascii="Cambria" w:hAnsi="Cambria"/>
                <w:szCs w:val="18"/>
              </w:rPr>
            </w:pPr>
            <w:r>
              <w:rPr>
                <w:rFonts w:ascii="Cambria" w:hAnsi="Cambria"/>
                <w:szCs w:val="18"/>
              </w:rPr>
              <w:t xml:space="preserve">Declared purpose for which plants, plant products, or other regulated articles are imported, produced or used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Interception (of a pest)</w:t>
            </w:r>
          </w:p>
        </w:tc>
        <w:tc>
          <w:tcPr>
            <w:tcW w:w="3491" w:type="pct"/>
          </w:tcPr>
          <w:p w:rsidR="00E94405" w:rsidRDefault="00A11609">
            <w:pPr>
              <w:pStyle w:val="TableText"/>
              <w:rPr>
                <w:rFonts w:ascii="Cambria" w:hAnsi="Cambria"/>
                <w:szCs w:val="18"/>
              </w:rPr>
            </w:pPr>
            <w:r>
              <w:rPr>
                <w:rFonts w:ascii="Cambria" w:hAnsi="Cambria"/>
                <w:szCs w:val="18"/>
              </w:rPr>
              <w:t xml:space="preserve">The detection of a pest during inspection or testing of an imported consignment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International Standard for Phytosanitary Measures (ISPM)</w:t>
            </w:r>
          </w:p>
        </w:tc>
        <w:tc>
          <w:tcPr>
            <w:tcW w:w="3491" w:type="pct"/>
          </w:tcPr>
          <w:p w:rsidR="00E94405" w:rsidRDefault="00A11609">
            <w:pPr>
              <w:pStyle w:val="TableText"/>
              <w:rPr>
                <w:rFonts w:ascii="Cambria" w:hAnsi="Cambria"/>
                <w:szCs w:val="18"/>
              </w:rPr>
            </w:pPr>
            <w:r>
              <w:rPr>
                <w:rFonts w:ascii="Cambria" w:hAnsi="Cambria"/>
                <w:szCs w:val="18"/>
              </w:rPr>
              <w:t xml:space="preserve">An international standard adopted by the Conference of the Food and Agriculture Organization, the Interim Commission on Phytosanitary Measures or the Commission on Phytosanitary Measures, established under the IPCC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Introduction (of a pest)</w:t>
            </w:r>
          </w:p>
        </w:tc>
        <w:tc>
          <w:tcPr>
            <w:tcW w:w="3491" w:type="pct"/>
          </w:tcPr>
          <w:p w:rsidR="00E94405" w:rsidRDefault="00A11609">
            <w:pPr>
              <w:pStyle w:val="TableText"/>
              <w:rPr>
                <w:rFonts w:ascii="Cambria" w:hAnsi="Cambria"/>
                <w:szCs w:val="18"/>
              </w:rPr>
            </w:pPr>
            <w:r>
              <w:rPr>
                <w:rFonts w:ascii="Cambria" w:hAnsi="Cambria"/>
                <w:szCs w:val="18"/>
              </w:rPr>
              <w:t xml:space="preserve">The entry of a pest resulting in its establishment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Larva</w:t>
            </w:r>
          </w:p>
        </w:tc>
        <w:tc>
          <w:tcPr>
            <w:tcW w:w="3491" w:type="pct"/>
          </w:tcPr>
          <w:p w:rsidR="00E94405" w:rsidRDefault="00A11609">
            <w:pPr>
              <w:pStyle w:val="TableText"/>
              <w:rPr>
                <w:rFonts w:ascii="Cambria" w:hAnsi="Cambria"/>
                <w:szCs w:val="18"/>
              </w:rPr>
            </w:pPr>
            <w:r>
              <w:rPr>
                <w:rFonts w:ascii="Cambria" w:hAnsi="Cambria"/>
                <w:szCs w:val="18"/>
              </w:rPr>
              <w:t>A juvenile form of animal with indirect development, undergoing metamorphosis (for example, insects or amphibians).</w:t>
            </w:r>
          </w:p>
        </w:tc>
      </w:tr>
      <w:tr w:rsidR="00E94405">
        <w:tc>
          <w:tcPr>
            <w:tcW w:w="1509" w:type="pct"/>
          </w:tcPr>
          <w:p w:rsidR="00E94405" w:rsidRDefault="00A11609">
            <w:pPr>
              <w:pStyle w:val="TableText"/>
              <w:rPr>
                <w:rFonts w:ascii="Cambria" w:hAnsi="Cambria"/>
                <w:szCs w:val="18"/>
              </w:rPr>
            </w:pPr>
            <w:r>
              <w:rPr>
                <w:rFonts w:ascii="Cambria" w:hAnsi="Cambria"/>
                <w:szCs w:val="18"/>
              </w:rPr>
              <w:t>Life cycle</w:t>
            </w:r>
          </w:p>
        </w:tc>
        <w:tc>
          <w:tcPr>
            <w:tcW w:w="3491" w:type="pct"/>
          </w:tcPr>
          <w:p w:rsidR="00E94405" w:rsidRDefault="00A11609">
            <w:pPr>
              <w:pStyle w:val="TableText"/>
              <w:rPr>
                <w:rFonts w:ascii="Cambria" w:hAnsi="Cambria"/>
                <w:szCs w:val="18"/>
              </w:rPr>
            </w:pPr>
            <w:r>
              <w:rPr>
                <w:rFonts w:ascii="Cambria" w:hAnsi="Cambria"/>
                <w:szCs w:val="18"/>
              </w:rPr>
              <w:t>Cyclical progression of stages in the growth and development of an organism (plant, animal, or pathogen) that occur between the appearance and reappearance of the same stage of the organism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Mating Types</w:t>
            </w:r>
          </w:p>
        </w:tc>
        <w:tc>
          <w:tcPr>
            <w:tcW w:w="3491" w:type="pct"/>
          </w:tcPr>
          <w:p w:rsidR="00E94405" w:rsidRDefault="00A11609">
            <w:pPr>
              <w:pStyle w:val="TableText"/>
              <w:rPr>
                <w:rFonts w:ascii="Cambria" w:hAnsi="Cambria"/>
                <w:szCs w:val="18"/>
              </w:rPr>
            </w:pPr>
            <w:r>
              <w:rPr>
                <w:rFonts w:ascii="Cambria" w:hAnsi="Cambria"/>
                <w:szCs w:val="18"/>
              </w:rPr>
              <w:t>Compatible strains, usually designated + and – or A and B, necessary for sexual reproduction in heterothallic fungi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lastRenderedPageBreak/>
              <w:t>Monocyclic</w:t>
            </w:r>
          </w:p>
        </w:tc>
        <w:tc>
          <w:tcPr>
            <w:tcW w:w="3491" w:type="pct"/>
          </w:tcPr>
          <w:p w:rsidR="00E94405" w:rsidRDefault="00A11609">
            <w:pPr>
              <w:pStyle w:val="TableText"/>
              <w:rPr>
                <w:rFonts w:ascii="Cambria" w:hAnsi="Cambria"/>
                <w:szCs w:val="18"/>
              </w:rPr>
            </w:pPr>
            <w:r>
              <w:rPr>
                <w:rFonts w:ascii="Cambria" w:hAnsi="Cambria"/>
                <w:szCs w:val="18"/>
              </w:rPr>
              <w:t>Having one cycle per growing season; no secondary infections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Mycelium</w:t>
            </w:r>
          </w:p>
        </w:tc>
        <w:tc>
          <w:tcPr>
            <w:tcW w:w="3491" w:type="pct"/>
          </w:tcPr>
          <w:p w:rsidR="00E94405" w:rsidRDefault="00A11609">
            <w:pPr>
              <w:pStyle w:val="TableText"/>
              <w:rPr>
                <w:rFonts w:ascii="Cambria" w:hAnsi="Cambria"/>
                <w:szCs w:val="18"/>
              </w:rPr>
            </w:pPr>
            <w:r>
              <w:rPr>
                <w:rFonts w:ascii="Cambria" w:hAnsi="Cambria"/>
                <w:szCs w:val="18"/>
              </w:rPr>
              <w:t xml:space="preserve">Tubular strands that make up the body of the fungal microorganism. In </w:t>
            </w:r>
            <w:r>
              <w:rPr>
                <w:rFonts w:ascii="Cambria" w:hAnsi="Cambria"/>
                <w:i/>
                <w:szCs w:val="18"/>
              </w:rPr>
              <w:t>Phytophthora</w:t>
            </w:r>
            <w:r>
              <w:rPr>
                <w:rFonts w:ascii="Cambria" w:hAnsi="Cambria"/>
                <w:szCs w:val="18"/>
              </w:rPr>
              <w:t>, mycelium is non-septate, but plugs, often called false septa, can be seen in old mycelium (Erwin &amp; Ribeiro 1996).</w:t>
            </w:r>
          </w:p>
        </w:tc>
      </w:tr>
      <w:tr w:rsidR="00E94405">
        <w:tc>
          <w:tcPr>
            <w:tcW w:w="1509" w:type="pct"/>
          </w:tcPr>
          <w:p w:rsidR="00E94405" w:rsidRDefault="00A11609">
            <w:pPr>
              <w:pStyle w:val="TableText"/>
              <w:rPr>
                <w:rFonts w:ascii="Cambria" w:hAnsi="Cambria"/>
                <w:szCs w:val="18"/>
              </w:rPr>
            </w:pPr>
            <w:r>
              <w:rPr>
                <w:rFonts w:ascii="Cambria" w:hAnsi="Cambria"/>
                <w:szCs w:val="18"/>
              </w:rPr>
              <w:t>National Plant Protection Organization (NPPO)</w:t>
            </w:r>
          </w:p>
        </w:tc>
        <w:tc>
          <w:tcPr>
            <w:tcW w:w="3491" w:type="pct"/>
          </w:tcPr>
          <w:p w:rsidR="00E94405" w:rsidRDefault="00A11609">
            <w:pPr>
              <w:pStyle w:val="TableText"/>
              <w:rPr>
                <w:rFonts w:ascii="Cambria" w:hAnsi="Cambria"/>
                <w:szCs w:val="18"/>
              </w:rPr>
            </w:pPr>
            <w:r>
              <w:rPr>
                <w:rFonts w:ascii="Cambria" w:hAnsi="Cambria"/>
                <w:szCs w:val="18"/>
              </w:rPr>
              <w:t xml:space="preserve">Official service established by a government to discharge the functions specified by the IPPC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Official control</w:t>
            </w:r>
          </w:p>
        </w:tc>
        <w:tc>
          <w:tcPr>
            <w:tcW w:w="3491" w:type="pct"/>
          </w:tcPr>
          <w:p w:rsidR="00E94405" w:rsidRDefault="00A11609">
            <w:pPr>
              <w:pStyle w:val="TableText"/>
              <w:rPr>
                <w:rFonts w:ascii="Cambria" w:hAnsi="Cambria"/>
                <w:szCs w:val="18"/>
              </w:rPr>
            </w:pPr>
            <w:r>
              <w:rPr>
                <w:rFonts w:ascii="Cambria" w:hAnsi="Cambria"/>
                <w:szCs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Oospore</w:t>
            </w:r>
          </w:p>
        </w:tc>
        <w:tc>
          <w:tcPr>
            <w:tcW w:w="3491" w:type="pct"/>
          </w:tcPr>
          <w:p w:rsidR="00E94405" w:rsidRDefault="00A11609">
            <w:pPr>
              <w:pStyle w:val="TableText"/>
              <w:rPr>
                <w:rFonts w:ascii="Cambria" w:hAnsi="Cambria"/>
                <w:szCs w:val="18"/>
              </w:rPr>
            </w:pPr>
            <w:r>
              <w:rPr>
                <w:rFonts w:ascii="Cambria" w:hAnsi="Cambria"/>
                <w:szCs w:val="18"/>
              </w:rPr>
              <w:t>Thick-walled, resting spore in the oomycetes that develops from a fertilized oosphere or by parthenogenesis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Pathogen</w:t>
            </w:r>
          </w:p>
        </w:tc>
        <w:tc>
          <w:tcPr>
            <w:tcW w:w="3491" w:type="pct"/>
          </w:tcPr>
          <w:p w:rsidR="00E94405" w:rsidRDefault="00A11609">
            <w:pPr>
              <w:pStyle w:val="TableText"/>
              <w:rPr>
                <w:rFonts w:ascii="Cambria" w:hAnsi="Cambria"/>
                <w:szCs w:val="18"/>
              </w:rPr>
            </w:pPr>
            <w:r>
              <w:rPr>
                <w:rFonts w:ascii="Cambria" w:hAnsi="Cambria"/>
                <w:szCs w:val="18"/>
              </w:rPr>
              <w:t>A biological agent that can cause disease to its host.</w:t>
            </w:r>
          </w:p>
        </w:tc>
      </w:tr>
      <w:tr w:rsidR="00E94405">
        <w:tc>
          <w:tcPr>
            <w:tcW w:w="1509" w:type="pct"/>
          </w:tcPr>
          <w:p w:rsidR="00E94405" w:rsidRDefault="00A11609">
            <w:pPr>
              <w:pStyle w:val="TableText"/>
              <w:rPr>
                <w:rFonts w:ascii="Cambria" w:hAnsi="Cambria"/>
                <w:szCs w:val="18"/>
              </w:rPr>
            </w:pPr>
            <w:r>
              <w:rPr>
                <w:rFonts w:ascii="Cambria" w:hAnsi="Cambria"/>
                <w:szCs w:val="18"/>
              </w:rPr>
              <w:t>Pathway</w:t>
            </w:r>
          </w:p>
        </w:tc>
        <w:tc>
          <w:tcPr>
            <w:tcW w:w="3491" w:type="pct"/>
          </w:tcPr>
          <w:p w:rsidR="00E94405" w:rsidRDefault="00A11609">
            <w:pPr>
              <w:pStyle w:val="TableText"/>
              <w:rPr>
                <w:rFonts w:ascii="Cambria" w:hAnsi="Cambria"/>
                <w:szCs w:val="18"/>
              </w:rPr>
            </w:pPr>
            <w:r>
              <w:rPr>
                <w:rFonts w:ascii="Cambria" w:hAnsi="Cambria"/>
                <w:szCs w:val="18"/>
              </w:rPr>
              <w:t xml:space="preserve">Any means that allows the entry or spread of a pest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w:t>
            </w:r>
          </w:p>
        </w:tc>
        <w:tc>
          <w:tcPr>
            <w:tcW w:w="3491" w:type="pct"/>
          </w:tcPr>
          <w:p w:rsidR="00E94405" w:rsidRDefault="00A11609">
            <w:pPr>
              <w:pStyle w:val="TableText"/>
              <w:rPr>
                <w:rFonts w:ascii="Cambria" w:hAnsi="Cambria"/>
                <w:szCs w:val="18"/>
              </w:rPr>
            </w:pPr>
            <w:r>
              <w:rPr>
                <w:rFonts w:ascii="Cambria" w:hAnsi="Cambria"/>
                <w:szCs w:val="18"/>
              </w:rPr>
              <w:t xml:space="preserve">Any species, strain or biotype of plant, animal, or pathogenic agent injurious to plants or plant products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categorisation</w:t>
            </w:r>
          </w:p>
        </w:tc>
        <w:tc>
          <w:tcPr>
            <w:tcW w:w="3491" w:type="pct"/>
          </w:tcPr>
          <w:p w:rsidR="00E94405" w:rsidRDefault="00A11609">
            <w:pPr>
              <w:pStyle w:val="TableText"/>
              <w:rPr>
                <w:rFonts w:ascii="Cambria" w:hAnsi="Cambria"/>
                <w:szCs w:val="18"/>
              </w:rPr>
            </w:pPr>
            <w:r>
              <w:rPr>
                <w:rFonts w:ascii="Cambria" w:hAnsi="Cambria"/>
                <w:szCs w:val="18"/>
              </w:rPr>
              <w:t xml:space="preserve">The process for determining whether a pest has or has not the characteristics of a quarantine pest or those of a regulated non-quarantine pest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free area (PFA)</w:t>
            </w:r>
          </w:p>
        </w:tc>
        <w:tc>
          <w:tcPr>
            <w:tcW w:w="3491" w:type="pct"/>
          </w:tcPr>
          <w:p w:rsidR="00E94405" w:rsidRDefault="00A11609">
            <w:pPr>
              <w:pStyle w:val="TableText"/>
              <w:rPr>
                <w:rFonts w:ascii="Cambria" w:hAnsi="Cambria"/>
                <w:szCs w:val="18"/>
              </w:rPr>
            </w:pPr>
            <w:r>
              <w:rPr>
                <w:rFonts w:ascii="Cambria" w:hAnsi="Cambria"/>
                <w:szCs w:val="18"/>
              </w:rPr>
              <w:t xml:space="preserve">An area in which a specific pest does not occur as demonstrated by scientific evidence and in which, where appropriate, this condition is being officially maintained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free place of production</w:t>
            </w:r>
          </w:p>
        </w:tc>
        <w:tc>
          <w:tcPr>
            <w:tcW w:w="3491" w:type="pct"/>
          </w:tcPr>
          <w:p w:rsidR="00E94405" w:rsidRDefault="00A11609">
            <w:pPr>
              <w:pStyle w:val="TableText"/>
              <w:rPr>
                <w:rFonts w:ascii="Cambria" w:hAnsi="Cambria"/>
                <w:szCs w:val="18"/>
              </w:rPr>
            </w:pPr>
            <w:r>
              <w:rPr>
                <w:rFonts w:ascii="Cambria" w:hAnsi="Cambria"/>
                <w:szCs w:val="18"/>
              </w:rPr>
              <w:t xml:space="preserve">Place of production in which a specific pest does not occur as demonstrated by scientific evidence and in which, where appropriate, this condition is being officially maintained for a defined period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free production site</w:t>
            </w:r>
          </w:p>
        </w:tc>
        <w:tc>
          <w:tcPr>
            <w:tcW w:w="3491" w:type="pct"/>
          </w:tcPr>
          <w:p w:rsidR="00E94405" w:rsidRDefault="00A11609">
            <w:pPr>
              <w:pStyle w:val="TableText"/>
              <w:rPr>
                <w:rFonts w:ascii="Cambria" w:hAnsi="Cambria"/>
                <w:szCs w:val="18"/>
              </w:rPr>
            </w:pPr>
            <w:r>
              <w:rPr>
                <w:rFonts w:ascii="Cambria" w:hAnsi="Cambria"/>
                <w:szCs w:val="18"/>
              </w:rPr>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risk analysis (PRA)</w:t>
            </w:r>
          </w:p>
        </w:tc>
        <w:tc>
          <w:tcPr>
            <w:tcW w:w="3491" w:type="pct"/>
          </w:tcPr>
          <w:p w:rsidR="00E94405" w:rsidRDefault="00A11609">
            <w:pPr>
              <w:pStyle w:val="TableText"/>
              <w:rPr>
                <w:rFonts w:ascii="Cambria" w:hAnsi="Cambria"/>
                <w:szCs w:val="18"/>
              </w:rPr>
            </w:pPr>
            <w:r>
              <w:rPr>
                <w:rFonts w:ascii="Cambria" w:hAnsi="Cambria"/>
                <w:szCs w:val="18"/>
              </w:rPr>
              <w:t xml:space="preserve">The process of evaluating biological or other scientific and economic evidence to determine whether an organism is a pest, whether it should be regulated, and the strength of any phytosanitary measures to be taken against it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risk assessment (for quarantine pests)</w:t>
            </w:r>
          </w:p>
        </w:tc>
        <w:tc>
          <w:tcPr>
            <w:tcW w:w="3491" w:type="pct"/>
          </w:tcPr>
          <w:p w:rsidR="00E94405" w:rsidRDefault="00A11609">
            <w:pPr>
              <w:pStyle w:val="TableText"/>
              <w:rPr>
                <w:rFonts w:ascii="Cambria" w:hAnsi="Cambria"/>
                <w:szCs w:val="18"/>
              </w:rPr>
            </w:pPr>
            <w:r>
              <w:rPr>
                <w:rFonts w:ascii="Cambria" w:hAnsi="Cambria"/>
                <w:szCs w:val="18"/>
              </w:rPr>
              <w:t xml:space="preserve">Evaluation of the probability of the introduction and spread of a pest and of the magnitude of the associated potential economic consequences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risk assessment (for regulated non-quarantine pests)</w:t>
            </w:r>
          </w:p>
        </w:tc>
        <w:tc>
          <w:tcPr>
            <w:tcW w:w="3491" w:type="pct"/>
          </w:tcPr>
          <w:p w:rsidR="00E94405" w:rsidRDefault="00A11609">
            <w:pPr>
              <w:pStyle w:val="TableText"/>
              <w:rPr>
                <w:rFonts w:ascii="Cambria" w:hAnsi="Cambria"/>
                <w:szCs w:val="18"/>
              </w:rPr>
            </w:pPr>
            <w:r>
              <w:rPr>
                <w:rFonts w:ascii="Cambria" w:hAnsi="Cambria"/>
                <w:szCs w:val="18"/>
              </w:rPr>
              <w:t xml:space="preserve">Evaluation of the probability that a pest in plants for planting affects the indented use of those plants with an economically unacceptable impact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risk management (for quarantine pests)</w:t>
            </w:r>
          </w:p>
        </w:tc>
        <w:tc>
          <w:tcPr>
            <w:tcW w:w="3491" w:type="pct"/>
          </w:tcPr>
          <w:p w:rsidR="00E94405" w:rsidRDefault="00A11609">
            <w:pPr>
              <w:pStyle w:val="TableText"/>
              <w:rPr>
                <w:rFonts w:ascii="Cambria" w:hAnsi="Cambria"/>
                <w:szCs w:val="18"/>
              </w:rPr>
            </w:pPr>
            <w:r>
              <w:rPr>
                <w:rFonts w:ascii="Cambria" w:hAnsi="Cambria"/>
                <w:szCs w:val="18"/>
              </w:rPr>
              <w:t xml:space="preserve">Evaluation and selection of options to reduce the risk of introduction and spread of a pest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risk management (for regulated non-quarantine pests)</w:t>
            </w:r>
          </w:p>
        </w:tc>
        <w:tc>
          <w:tcPr>
            <w:tcW w:w="3491" w:type="pct"/>
          </w:tcPr>
          <w:p w:rsidR="00E94405" w:rsidRDefault="00A11609">
            <w:pPr>
              <w:pStyle w:val="TableText"/>
              <w:rPr>
                <w:rFonts w:ascii="Cambria" w:hAnsi="Cambria"/>
                <w:szCs w:val="18"/>
              </w:rPr>
            </w:pPr>
            <w:r>
              <w:rPr>
                <w:rFonts w:ascii="Cambria" w:hAnsi="Cambria"/>
                <w:szCs w:val="18"/>
              </w:rPr>
              <w:t xml:space="preserve">Evaluation and selection of options to reduce the risk that a pest in plants for planting causes an economically unacceptable impact on the intended use of those plants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Pest status (in an area)</w:t>
            </w:r>
          </w:p>
        </w:tc>
        <w:tc>
          <w:tcPr>
            <w:tcW w:w="3491" w:type="pct"/>
          </w:tcPr>
          <w:p w:rsidR="00E94405" w:rsidRDefault="00A11609">
            <w:pPr>
              <w:pStyle w:val="TableText"/>
              <w:rPr>
                <w:rFonts w:ascii="Cambria" w:hAnsi="Cambria"/>
                <w:szCs w:val="18"/>
              </w:rPr>
            </w:pPr>
            <w:r>
              <w:rPr>
                <w:rFonts w:ascii="Cambria" w:hAnsi="Cambria"/>
                <w:szCs w:val="18"/>
              </w:rPr>
              <w:t xml:space="preserve">Presence or absence, at the present time, of a pest in an area, including where appropriate its distribution, as officially determined using expert judgement on the basis of current and historical pest records and other information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Phytosanitary certificate</w:t>
            </w:r>
          </w:p>
        </w:tc>
        <w:tc>
          <w:tcPr>
            <w:tcW w:w="3491" w:type="pct"/>
          </w:tcPr>
          <w:p w:rsidR="00E94405" w:rsidRDefault="00A11609">
            <w:pPr>
              <w:pStyle w:val="TableText"/>
              <w:rPr>
                <w:rFonts w:ascii="Cambria" w:hAnsi="Cambria"/>
                <w:szCs w:val="18"/>
              </w:rPr>
            </w:pPr>
            <w:r>
              <w:rPr>
                <w:rFonts w:ascii="Cambria" w:hAnsi="Cambria"/>
                <w:szCs w:val="18"/>
              </w:rPr>
              <w:t xml:space="preserve">An official paper document or its official electronic equivalent, consistent with the model of certificates of the IPPC, attesting that a consignment meets phytosanitary import requirements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lastRenderedPageBreak/>
              <w:t>Phytosanitary certification</w:t>
            </w:r>
          </w:p>
        </w:tc>
        <w:tc>
          <w:tcPr>
            <w:tcW w:w="3491" w:type="pct"/>
          </w:tcPr>
          <w:p w:rsidR="00E94405" w:rsidRDefault="00A11609">
            <w:pPr>
              <w:pStyle w:val="TableText"/>
              <w:rPr>
                <w:rFonts w:ascii="Cambria" w:hAnsi="Cambria"/>
                <w:szCs w:val="18"/>
              </w:rPr>
            </w:pPr>
            <w:r>
              <w:rPr>
                <w:rFonts w:ascii="Cambria" w:hAnsi="Cambria"/>
                <w:szCs w:val="18"/>
              </w:rPr>
              <w:t xml:space="preserve">Use of phytosanitary procedures leading to the issue of a phytosanitary certificate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Phytosanitary measure</w:t>
            </w:r>
          </w:p>
        </w:tc>
        <w:tc>
          <w:tcPr>
            <w:tcW w:w="3491" w:type="pct"/>
          </w:tcPr>
          <w:p w:rsidR="00E94405" w:rsidRDefault="00A11609">
            <w:pPr>
              <w:pStyle w:val="TableText"/>
              <w:rPr>
                <w:rFonts w:ascii="Cambria" w:hAnsi="Cambria"/>
                <w:szCs w:val="18"/>
              </w:rPr>
            </w:pPr>
            <w:r>
              <w:rPr>
                <w:rFonts w:ascii="Cambria" w:hAnsi="Cambria"/>
                <w:szCs w:val="18"/>
              </w:rPr>
              <w:t xml:space="preserve">Any legislation, regulation or official procedure having the purpose to prevent the introduction and/or spread of quarantine pests, or to limit the economic impact of regulated non-quarantine pests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Phytosanitary procedure</w:t>
            </w:r>
          </w:p>
        </w:tc>
        <w:tc>
          <w:tcPr>
            <w:tcW w:w="3491" w:type="pct"/>
          </w:tcPr>
          <w:p w:rsidR="00E94405" w:rsidRDefault="00A11609">
            <w:pPr>
              <w:pStyle w:val="TableText"/>
              <w:rPr>
                <w:rFonts w:ascii="Cambria" w:hAnsi="Cambria"/>
                <w:szCs w:val="18"/>
              </w:rPr>
            </w:pPr>
            <w:r>
              <w:rPr>
                <w:rFonts w:ascii="Cambria" w:hAnsi="Cambria"/>
                <w:szCs w:val="18"/>
              </w:rPr>
              <w:t xml:space="preserve">Any official method for implementing phytosanitary measures including the performance of inspections, tests, surveillance or treatments in connection with regulated pests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Phytosanitary regulation</w:t>
            </w:r>
          </w:p>
        </w:tc>
        <w:tc>
          <w:tcPr>
            <w:tcW w:w="3491" w:type="pct"/>
          </w:tcPr>
          <w:p w:rsidR="00E94405" w:rsidRDefault="00A11609">
            <w:pPr>
              <w:pStyle w:val="TableText"/>
              <w:rPr>
                <w:rFonts w:ascii="Cambria" w:hAnsi="Cambria"/>
                <w:szCs w:val="18"/>
              </w:rPr>
            </w:pPr>
            <w:r>
              <w:rPr>
                <w:rFonts w:ascii="Cambria" w:hAnsi="Cambria"/>
                <w:szCs w:val="18"/>
              </w:rPr>
              <w:t xml:space="preserve">Official rule to prevent the introduction and/or spread of quarantine pests, or to limit the economic impact of regulated non-quarantine pests, including establishment of procedures for phytosanitary certification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Polycyclic</w:t>
            </w:r>
          </w:p>
        </w:tc>
        <w:tc>
          <w:tcPr>
            <w:tcW w:w="3491" w:type="pct"/>
          </w:tcPr>
          <w:p w:rsidR="00E94405" w:rsidRDefault="00A11609">
            <w:pPr>
              <w:pStyle w:val="TableText"/>
              <w:rPr>
                <w:rFonts w:ascii="Cambria" w:hAnsi="Cambria"/>
                <w:szCs w:val="18"/>
              </w:rPr>
            </w:pPr>
            <w:r>
              <w:rPr>
                <w:rFonts w:ascii="Cambria" w:hAnsi="Cambria"/>
                <w:szCs w:val="18"/>
              </w:rPr>
              <w:t>A disease of which many cycles occur in one growing season, resulting in many secondary infections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Polyphagous</w:t>
            </w:r>
          </w:p>
        </w:tc>
        <w:tc>
          <w:tcPr>
            <w:tcW w:w="3491" w:type="pct"/>
          </w:tcPr>
          <w:p w:rsidR="00E94405" w:rsidRDefault="00A11609">
            <w:pPr>
              <w:pStyle w:val="TableText"/>
              <w:rPr>
                <w:rFonts w:ascii="Cambria" w:hAnsi="Cambria"/>
                <w:szCs w:val="18"/>
              </w:rPr>
            </w:pPr>
            <w:r>
              <w:rPr>
                <w:rFonts w:ascii="Cambria" w:hAnsi="Cambria"/>
                <w:szCs w:val="18"/>
              </w:rPr>
              <w:t>Feeding on a relatively large number of hosts from different plant family and/or genera.</w:t>
            </w:r>
          </w:p>
        </w:tc>
      </w:tr>
      <w:tr w:rsidR="00E94405">
        <w:tc>
          <w:tcPr>
            <w:tcW w:w="1509" w:type="pct"/>
          </w:tcPr>
          <w:p w:rsidR="00E94405" w:rsidRDefault="00A11609">
            <w:pPr>
              <w:pStyle w:val="TableText"/>
              <w:tabs>
                <w:tab w:val="left" w:pos="1174"/>
              </w:tabs>
              <w:rPr>
                <w:rFonts w:ascii="Cambria" w:hAnsi="Cambria"/>
                <w:szCs w:val="18"/>
              </w:rPr>
            </w:pPr>
            <w:r>
              <w:rPr>
                <w:rFonts w:ascii="Cambria" w:hAnsi="Cambria"/>
                <w:szCs w:val="18"/>
              </w:rPr>
              <w:t>PRA area</w:t>
            </w:r>
            <w:r>
              <w:rPr>
                <w:rFonts w:ascii="Cambria" w:hAnsi="Cambria"/>
                <w:szCs w:val="18"/>
              </w:rPr>
              <w:tab/>
            </w:r>
          </w:p>
        </w:tc>
        <w:tc>
          <w:tcPr>
            <w:tcW w:w="3491" w:type="pct"/>
          </w:tcPr>
          <w:p w:rsidR="00E94405" w:rsidRDefault="00A11609">
            <w:pPr>
              <w:pStyle w:val="TableText"/>
              <w:rPr>
                <w:rFonts w:ascii="Cambria" w:hAnsi="Cambria"/>
                <w:szCs w:val="18"/>
              </w:rPr>
            </w:pPr>
            <w:r>
              <w:rPr>
                <w:rFonts w:ascii="Cambria" w:hAnsi="Cambria"/>
                <w:szCs w:val="18"/>
              </w:rPr>
              <w:t xml:space="preserve">Area in relation to which a pest risk analysis is conducted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tabs>
                <w:tab w:val="left" w:pos="1174"/>
              </w:tabs>
              <w:rPr>
                <w:rFonts w:ascii="Cambria" w:hAnsi="Cambria"/>
                <w:szCs w:val="18"/>
              </w:rPr>
            </w:pPr>
            <w:r>
              <w:rPr>
                <w:rFonts w:ascii="Cambria" w:hAnsi="Cambria"/>
                <w:szCs w:val="18"/>
              </w:rPr>
              <w:t>Propagule</w:t>
            </w:r>
          </w:p>
        </w:tc>
        <w:tc>
          <w:tcPr>
            <w:tcW w:w="3491" w:type="pct"/>
          </w:tcPr>
          <w:p w:rsidR="00E94405" w:rsidRDefault="00A11609">
            <w:pPr>
              <w:pStyle w:val="TableText"/>
              <w:rPr>
                <w:rFonts w:ascii="Cambria" w:hAnsi="Cambria"/>
                <w:szCs w:val="18"/>
              </w:rPr>
            </w:pPr>
            <w:r>
              <w:rPr>
                <w:rFonts w:ascii="Cambria" w:hAnsi="Cambria"/>
                <w:szCs w:val="18"/>
              </w:rPr>
              <w:t>Any part of an organism capable of initiating independent growth when separated from the parent body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Quarantine</w:t>
            </w:r>
          </w:p>
        </w:tc>
        <w:tc>
          <w:tcPr>
            <w:tcW w:w="3491" w:type="pct"/>
          </w:tcPr>
          <w:p w:rsidR="00E94405" w:rsidRDefault="00A11609">
            <w:pPr>
              <w:pStyle w:val="TableText"/>
              <w:rPr>
                <w:rFonts w:ascii="Cambria" w:hAnsi="Cambria"/>
                <w:szCs w:val="18"/>
              </w:rPr>
            </w:pPr>
            <w:r>
              <w:rPr>
                <w:rFonts w:ascii="Cambria" w:hAnsi="Cambria"/>
                <w:szCs w:val="18"/>
              </w:rPr>
              <w:t xml:space="preserve">Official confinement of regulated articles for observation and research or for further inspection, testing or treatment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Quarantine pest</w:t>
            </w:r>
          </w:p>
        </w:tc>
        <w:tc>
          <w:tcPr>
            <w:tcW w:w="3491" w:type="pct"/>
          </w:tcPr>
          <w:p w:rsidR="00E94405" w:rsidRDefault="00A11609">
            <w:pPr>
              <w:pStyle w:val="TableText"/>
              <w:rPr>
                <w:rFonts w:ascii="Cambria" w:hAnsi="Cambria"/>
                <w:szCs w:val="18"/>
              </w:rPr>
            </w:pPr>
            <w:r>
              <w:rPr>
                <w:rFonts w:ascii="Cambria" w:hAnsi="Cambria"/>
                <w:szCs w:val="18"/>
              </w:rPr>
              <w:t xml:space="preserve">A pest of potential economic importance to the area endangered thereby and not yet present there, or present but not widely distributed and being officially controlled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Regulated article</w:t>
            </w:r>
          </w:p>
        </w:tc>
        <w:tc>
          <w:tcPr>
            <w:tcW w:w="3491" w:type="pct"/>
          </w:tcPr>
          <w:p w:rsidR="00E94405" w:rsidRDefault="00A11609">
            <w:pPr>
              <w:pStyle w:val="TableText"/>
              <w:rPr>
                <w:rFonts w:ascii="Cambria" w:hAnsi="Cambria"/>
                <w:szCs w:val="18"/>
              </w:rPr>
            </w:pPr>
            <w:r>
              <w:rPr>
                <w:rFonts w:ascii="Cambria" w:hAnsi="Cambria"/>
                <w:szCs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Regulated non-quarantine pest</w:t>
            </w:r>
          </w:p>
        </w:tc>
        <w:tc>
          <w:tcPr>
            <w:tcW w:w="3491" w:type="pct"/>
          </w:tcPr>
          <w:p w:rsidR="00E94405" w:rsidRDefault="00A11609">
            <w:pPr>
              <w:pStyle w:val="TableText"/>
              <w:rPr>
                <w:rFonts w:ascii="Cambria" w:hAnsi="Cambria"/>
                <w:szCs w:val="18"/>
              </w:rPr>
            </w:pPr>
            <w:r>
              <w:rPr>
                <w:rFonts w:ascii="Cambria" w:hAnsi="Cambria"/>
                <w:szCs w:val="18"/>
              </w:rPr>
              <w:t xml:space="preserve">A non-quarantine pest whose presence in plants for planting affects the intended use of those plants with an economically unacceptable impact and which is therefore regulated within the territory of the importing contracting party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Restricted risk</w:t>
            </w:r>
          </w:p>
        </w:tc>
        <w:tc>
          <w:tcPr>
            <w:tcW w:w="3491" w:type="pct"/>
          </w:tcPr>
          <w:p w:rsidR="00E94405" w:rsidRDefault="00A11609">
            <w:pPr>
              <w:pStyle w:val="TableText"/>
              <w:rPr>
                <w:rFonts w:ascii="Cambria" w:hAnsi="Cambria"/>
                <w:szCs w:val="18"/>
              </w:rPr>
            </w:pPr>
            <w:r>
              <w:rPr>
                <w:rFonts w:ascii="Cambria" w:hAnsi="Cambria"/>
                <w:szCs w:val="18"/>
              </w:rPr>
              <w:t>Risk estimate with phytosanitary measure(s) applied.</w:t>
            </w:r>
          </w:p>
        </w:tc>
      </w:tr>
      <w:tr w:rsidR="00E94405">
        <w:tc>
          <w:tcPr>
            <w:tcW w:w="1509" w:type="pct"/>
          </w:tcPr>
          <w:p w:rsidR="00E94405" w:rsidRDefault="00A11609">
            <w:pPr>
              <w:pStyle w:val="TableText"/>
              <w:rPr>
                <w:rFonts w:ascii="Cambria" w:hAnsi="Cambria"/>
                <w:szCs w:val="18"/>
              </w:rPr>
            </w:pPr>
            <w:r>
              <w:rPr>
                <w:rFonts w:ascii="Cambria" w:hAnsi="Cambria"/>
                <w:szCs w:val="18"/>
              </w:rPr>
              <w:t>Soil</w:t>
            </w:r>
          </w:p>
        </w:tc>
        <w:tc>
          <w:tcPr>
            <w:tcW w:w="3491" w:type="pct"/>
          </w:tcPr>
          <w:p w:rsidR="00E94405" w:rsidRDefault="00A11609">
            <w:pPr>
              <w:pStyle w:val="TableText"/>
              <w:rPr>
                <w:rFonts w:ascii="Cambria" w:hAnsi="Cambria"/>
                <w:szCs w:val="18"/>
              </w:rPr>
            </w:pPr>
            <w:r>
              <w:rPr>
                <w:rFonts w:ascii="Cambria" w:hAnsi="Cambria"/>
                <w:szCs w:val="18"/>
              </w:rPr>
              <w:t>The loose surface material of the earth in which plants grow, in most cases consisting of disintegrated rock with an admixture of organic material (NAPPO 2003.</w:t>
            </w:r>
          </w:p>
        </w:tc>
      </w:tr>
      <w:tr w:rsidR="00E94405">
        <w:tc>
          <w:tcPr>
            <w:tcW w:w="1509" w:type="pct"/>
          </w:tcPr>
          <w:p w:rsidR="00E94405" w:rsidRDefault="00A11609">
            <w:pPr>
              <w:pStyle w:val="TableText"/>
              <w:rPr>
                <w:rFonts w:ascii="Cambria" w:hAnsi="Cambria"/>
                <w:szCs w:val="18"/>
              </w:rPr>
            </w:pPr>
            <w:r>
              <w:rPr>
                <w:rFonts w:ascii="Cambria" w:hAnsi="Cambria"/>
                <w:szCs w:val="18"/>
              </w:rPr>
              <w:t>Sporangium/sporangia</w:t>
            </w:r>
          </w:p>
        </w:tc>
        <w:tc>
          <w:tcPr>
            <w:tcW w:w="3491" w:type="pct"/>
          </w:tcPr>
          <w:p w:rsidR="00E94405" w:rsidRDefault="00A11609">
            <w:pPr>
              <w:pStyle w:val="TableText"/>
              <w:rPr>
                <w:rFonts w:ascii="Cambria" w:hAnsi="Cambria"/>
                <w:szCs w:val="18"/>
              </w:rPr>
            </w:pPr>
            <w:r>
              <w:rPr>
                <w:rFonts w:ascii="Cambria" w:hAnsi="Cambria"/>
                <w:szCs w:val="18"/>
              </w:rPr>
              <w:t>Sack within which zoospores form, especially when water is cooled to about 10 degrees Celsius below ambient temperature. In solid substrates, sporangia usually germinate by germ tubes (Erwin &amp; Ribeiro 1996).</w:t>
            </w:r>
          </w:p>
        </w:tc>
      </w:tr>
      <w:tr w:rsidR="00E94405">
        <w:tc>
          <w:tcPr>
            <w:tcW w:w="1509" w:type="pct"/>
          </w:tcPr>
          <w:p w:rsidR="00E94405" w:rsidRDefault="00A11609">
            <w:pPr>
              <w:pStyle w:val="TableText"/>
              <w:rPr>
                <w:rFonts w:ascii="Cambria" w:hAnsi="Cambria"/>
                <w:szCs w:val="18"/>
              </w:rPr>
            </w:pPr>
            <w:r>
              <w:rPr>
                <w:rFonts w:ascii="Cambria" w:hAnsi="Cambria"/>
                <w:szCs w:val="18"/>
              </w:rPr>
              <w:t>Sporulate, Sporulation</w:t>
            </w:r>
          </w:p>
        </w:tc>
        <w:tc>
          <w:tcPr>
            <w:tcW w:w="3491" w:type="pct"/>
          </w:tcPr>
          <w:p w:rsidR="00E94405" w:rsidRDefault="00A11609">
            <w:pPr>
              <w:pStyle w:val="TableText"/>
              <w:rPr>
                <w:rFonts w:ascii="Cambria" w:hAnsi="Cambria"/>
                <w:szCs w:val="18"/>
              </w:rPr>
            </w:pPr>
            <w:r>
              <w:rPr>
                <w:rFonts w:ascii="Cambria" w:hAnsi="Cambria"/>
                <w:szCs w:val="18"/>
              </w:rPr>
              <w:t>To form or produce spores (Shurtleff &amp; Averre 1997).</w:t>
            </w:r>
          </w:p>
        </w:tc>
      </w:tr>
      <w:tr w:rsidR="00E94405">
        <w:tc>
          <w:tcPr>
            <w:tcW w:w="1509" w:type="pct"/>
          </w:tcPr>
          <w:p w:rsidR="00E94405" w:rsidRDefault="00A11609">
            <w:pPr>
              <w:pStyle w:val="TableText"/>
              <w:rPr>
                <w:rFonts w:ascii="Cambria" w:hAnsi="Cambria"/>
                <w:szCs w:val="18"/>
              </w:rPr>
            </w:pPr>
            <w:r>
              <w:rPr>
                <w:rFonts w:ascii="Cambria" w:hAnsi="Cambria"/>
                <w:szCs w:val="18"/>
              </w:rPr>
              <w:t>Spread (of a pest)</w:t>
            </w:r>
          </w:p>
        </w:tc>
        <w:tc>
          <w:tcPr>
            <w:tcW w:w="3491" w:type="pct"/>
          </w:tcPr>
          <w:p w:rsidR="00E94405" w:rsidRDefault="00A11609">
            <w:pPr>
              <w:pStyle w:val="TableText"/>
              <w:rPr>
                <w:rFonts w:ascii="Cambria" w:hAnsi="Cambria"/>
                <w:szCs w:val="18"/>
              </w:rPr>
            </w:pPr>
            <w:r>
              <w:rPr>
                <w:rFonts w:ascii="Cambria" w:hAnsi="Cambria"/>
                <w:szCs w:val="18"/>
              </w:rPr>
              <w:t xml:space="preserve">Expansion of the geographical distribution of a pest within an area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SPS Agreement</w:t>
            </w:r>
          </w:p>
        </w:tc>
        <w:tc>
          <w:tcPr>
            <w:tcW w:w="3491" w:type="pct"/>
          </w:tcPr>
          <w:p w:rsidR="00E94405" w:rsidRDefault="00A11609">
            <w:pPr>
              <w:pStyle w:val="TableText"/>
              <w:rPr>
                <w:rFonts w:ascii="Cambria" w:hAnsi="Cambria"/>
                <w:szCs w:val="18"/>
              </w:rPr>
            </w:pPr>
            <w:r>
              <w:rPr>
                <w:rFonts w:ascii="Cambria" w:hAnsi="Cambria"/>
                <w:szCs w:val="18"/>
              </w:rPr>
              <w:t>WTO Agreement on the Application of Sanitary and Phytosanitary Measures.</w:t>
            </w:r>
          </w:p>
        </w:tc>
      </w:tr>
      <w:tr w:rsidR="00E94405">
        <w:tc>
          <w:tcPr>
            <w:tcW w:w="1509" w:type="pct"/>
          </w:tcPr>
          <w:p w:rsidR="00E94405" w:rsidRDefault="00A11609">
            <w:pPr>
              <w:pStyle w:val="TableText"/>
              <w:rPr>
                <w:rFonts w:ascii="Cambria" w:hAnsi="Cambria"/>
                <w:szCs w:val="18"/>
              </w:rPr>
            </w:pPr>
            <w:r>
              <w:rPr>
                <w:rFonts w:ascii="Cambria" w:hAnsi="Cambria"/>
                <w:szCs w:val="18"/>
              </w:rPr>
              <w:t>Stakeholders</w:t>
            </w:r>
          </w:p>
        </w:tc>
        <w:tc>
          <w:tcPr>
            <w:tcW w:w="3491" w:type="pct"/>
          </w:tcPr>
          <w:p w:rsidR="00E94405" w:rsidRDefault="00A11609">
            <w:pPr>
              <w:pStyle w:val="TableText"/>
              <w:rPr>
                <w:rFonts w:ascii="Cambria" w:hAnsi="Cambria"/>
                <w:szCs w:val="18"/>
              </w:rPr>
            </w:pPr>
            <w:r>
              <w:rPr>
                <w:rFonts w:ascii="Cambria" w:hAnsi="Cambria"/>
                <w:szCs w:val="18"/>
              </w:rPr>
              <w:t>Government agencies, individuals, community or industry groups or organizations, whether in Australia or overseas, including the proponent/applicant for a specific proposal, who have an interest in the policy issues.</w:t>
            </w:r>
          </w:p>
        </w:tc>
      </w:tr>
      <w:tr w:rsidR="00E94405">
        <w:tc>
          <w:tcPr>
            <w:tcW w:w="1509" w:type="pct"/>
          </w:tcPr>
          <w:p w:rsidR="00E94405" w:rsidRDefault="00A11609">
            <w:pPr>
              <w:pStyle w:val="TableText"/>
              <w:rPr>
                <w:rFonts w:ascii="Cambria" w:hAnsi="Cambria"/>
                <w:szCs w:val="18"/>
              </w:rPr>
            </w:pPr>
            <w:r>
              <w:rPr>
                <w:rFonts w:ascii="Cambria" w:hAnsi="Cambria"/>
                <w:szCs w:val="18"/>
              </w:rPr>
              <w:t>Surveillance</w:t>
            </w:r>
          </w:p>
        </w:tc>
        <w:tc>
          <w:tcPr>
            <w:tcW w:w="3491" w:type="pct"/>
          </w:tcPr>
          <w:p w:rsidR="00E94405" w:rsidRDefault="00A11609">
            <w:pPr>
              <w:pStyle w:val="TableText"/>
              <w:rPr>
                <w:rFonts w:ascii="Cambria" w:hAnsi="Cambria"/>
                <w:szCs w:val="18"/>
              </w:rPr>
            </w:pPr>
            <w:r>
              <w:rPr>
                <w:rFonts w:ascii="Cambria" w:hAnsi="Cambria"/>
                <w:szCs w:val="18"/>
              </w:rPr>
              <w:t xml:space="preserve">An official process which collects and records data on pest occurrence or absence by surveying, monitoring or other procedures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lastRenderedPageBreak/>
              <w:t>Systems approach(es)</w:t>
            </w:r>
          </w:p>
        </w:tc>
        <w:tc>
          <w:tcPr>
            <w:tcW w:w="3491" w:type="pct"/>
          </w:tcPr>
          <w:p w:rsidR="00E94405" w:rsidRDefault="00A11609">
            <w:pPr>
              <w:pStyle w:val="TableText"/>
              <w:rPr>
                <w:rFonts w:ascii="Cambria" w:hAnsi="Cambria"/>
                <w:szCs w:val="18"/>
              </w:rPr>
            </w:pPr>
            <w:r>
              <w:rPr>
                <w:rFonts w:ascii="Cambria" w:hAnsi="Cambria"/>
                <w:szCs w:val="18"/>
              </w:rPr>
              <w:t>The integration of different risk management measures, at least two of which act independently, and which cumulatively achieve the appropriate level of protection against regulated pests.</w:t>
            </w:r>
          </w:p>
        </w:tc>
      </w:tr>
      <w:tr w:rsidR="00E94405">
        <w:tc>
          <w:tcPr>
            <w:tcW w:w="1509" w:type="pct"/>
          </w:tcPr>
          <w:p w:rsidR="00E94405" w:rsidRDefault="00A11609">
            <w:pPr>
              <w:pStyle w:val="TableText"/>
              <w:rPr>
                <w:rFonts w:ascii="Cambria" w:hAnsi="Cambria"/>
                <w:szCs w:val="18"/>
              </w:rPr>
            </w:pPr>
            <w:r>
              <w:rPr>
                <w:rFonts w:ascii="Cambria" w:hAnsi="Cambria"/>
                <w:szCs w:val="18"/>
              </w:rPr>
              <w:t>Tissue culture</w:t>
            </w:r>
          </w:p>
        </w:tc>
        <w:tc>
          <w:tcPr>
            <w:tcW w:w="3491" w:type="pct"/>
          </w:tcPr>
          <w:p w:rsidR="00E94405" w:rsidRDefault="00A11609">
            <w:pPr>
              <w:pStyle w:val="TableText"/>
              <w:rPr>
                <w:rFonts w:ascii="Cambria" w:hAnsi="Cambria"/>
                <w:szCs w:val="18"/>
              </w:rPr>
            </w:pPr>
            <w:r>
              <w:rPr>
                <w:rFonts w:ascii="Cambria" w:hAnsi="Cambria"/>
                <w:szCs w:val="18"/>
              </w:rPr>
              <w:t>The products of ‘an in vitro technique of cultivating (propagating) cells, tissues, or organs in a sterile synthetic medium’ (Shurtleff &amp; Averre 1997); comprising plant cells, tissues or organs, sterile synthetic medium, and the vessel in which cells have been propagated.</w:t>
            </w:r>
          </w:p>
        </w:tc>
      </w:tr>
      <w:tr w:rsidR="00E94405">
        <w:tc>
          <w:tcPr>
            <w:tcW w:w="1509" w:type="pct"/>
          </w:tcPr>
          <w:p w:rsidR="00E94405" w:rsidRDefault="00A11609">
            <w:pPr>
              <w:pStyle w:val="TableText"/>
              <w:rPr>
                <w:rFonts w:ascii="Cambria" w:hAnsi="Cambria"/>
                <w:szCs w:val="18"/>
              </w:rPr>
            </w:pPr>
            <w:r>
              <w:rPr>
                <w:rFonts w:ascii="Cambria" w:hAnsi="Cambria"/>
                <w:szCs w:val="18"/>
              </w:rPr>
              <w:t>Trash</w:t>
            </w:r>
          </w:p>
        </w:tc>
        <w:tc>
          <w:tcPr>
            <w:tcW w:w="3491" w:type="pct"/>
          </w:tcPr>
          <w:p w:rsidR="00E94405" w:rsidRDefault="00A11609">
            <w:pPr>
              <w:pStyle w:val="TableText"/>
              <w:rPr>
                <w:rFonts w:ascii="Cambria" w:hAnsi="Cambria"/>
                <w:szCs w:val="18"/>
              </w:rPr>
            </w:pPr>
            <w:r>
              <w:rPr>
                <w:rFonts w:ascii="Cambria" w:hAnsi="Cambria"/>
                <w:szCs w:val="18"/>
              </w:rPr>
              <w:t>Soil, splinters, twigs, leaves, and other plant material, other than fruit stalks.</w:t>
            </w:r>
          </w:p>
        </w:tc>
      </w:tr>
      <w:tr w:rsidR="00E94405">
        <w:tc>
          <w:tcPr>
            <w:tcW w:w="1509" w:type="pct"/>
          </w:tcPr>
          <w:p w:rsidR="00E94405" w:rsidRDefault="00A11609">
            <w:pPr>
              <w:pStyle w:val="TableText"/>
              <w:rPr>
                <w:rFonts w:ascii="Cambria" w:hAnsi="Cambria"/>
                <w:szCs w:val="18"/>
              </w:rPr>
            </w:pPr>
            <w:r>
              <w:rPr>
                <w:rFonts w:ascii="Cambria" w:hAnsi="Cambria"/>
                <w:szCs w:val="18"/>
              </w:rPr>
              <w:t>Treatment</w:t>
            </w:r>
          </w:p>
        </w:tc>
        <w:tc>
          <w:tcPr>
            <w:tcW w:w="3491" w:type="pct"/>
          </w:tcPr>
          <w:p w:rsidR="00E94405" w:rsidRDefault="00A11609">
            <w:pPr>
              <w:pStyle w:val="TableText"/>
              <w:rPr>
                <w:rFonts w:ascii="Cambria" w:hAnsi="Cambria"/>
                <w:szCs w:val="18"/>
              </w:rPr>
            </w:pPr>
            <w:r>
              <w:rPr>
                <w:rFonts w:ascii="Cambria" w:hAnsi="Cambria"/>
                <w:szCs w:val="18"/>
              </w:rPr>
              <w:t xml:space="preserve">Official procedure for the killing, inactivation or removal of pests, or for rendering pests infertile or for devitalisation </w:t>
            </w:r>
            <w:r w:rsidR="000D37BE">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0D37BE">
              <w:rPr>
                <w:rFonts w:ascii="Cambria" w:hAnsi="Cambria"/>
                <w:szCs w:val="18"/>
              </w:rPr>
              <w:fldChar w:fldCharType="separate"/>
            </w:r>
            <w:r>
              <w:rPr>
                <w:rFonts w:ascii="Cambria" w:hAnsi="Cambria"/>
                <w:szCs w:val="18"/>
              </w:rPr>
              <w:t>(FAO 2013a)</w:t>
            </w:r>
            <w:r w:rsidR="000D37BE">
              <w:rPr>
                <w:rFonts w:ascii="Cambria" w:hAnsi="Cambria"/>
                <w:szCs w:val="18"/>
              </w:rPr>
              <w:fldChar w:fldCharType="end"/>
            </w:r>
            <w:r>
              <w:rPr>
                <w:rFonts w:ascii="Cambria" w:hAnsi="Cambria"/>
                <w:szCs w:val="18"/>
              </w:rPr>
              <w:t>.</w:t>
            </w:r>
          </w:p>
        </w:tc>
      </w:tr>
      <w:tr w:rsidR="00E94405">
        <w:tc>
          <w:tcPr>
            <w:tcW w:w="1509" w:type="pct"/>
          </w:tcPr>
          <w:p w:rsidR="00E94405" w:rsidRDefault="00A11609">
            <w:pPr>
              <w:pStyle w:val="TableText"/>
              <w:rPr>
                <w:rFonts w:ascii="Cambria" w:hAnsi="Cambria"/>
                <w:szCs w:val="18"/>
              </w:rPr>
            </w:pPr>
            <w:r>
              <w:rPr>
                <w:rFonts w:ascii="Cambria" w:hAnsi="Cambria"/>
                <w:szCs w:val="18"/>
              </w:rPr>
              <w:t>Unrestricted risk</w:t>
            </w:r>
          </w:p>
        </w:tc>
        <w:tc>
          <w:tcPr>
            <w:tcW w:w="3491" w:type="pct"/>
          </w:tcPr>
          <w:p w:rsidR="00E94405" w:rsidRDefault="00A11609">
            <w:pPr>
              <w:pStyle w:val="TableText"/>
              <w:rPr>
                <w:rFonts w:ascii="Cambria" w:hAnsi="Cambria"/>
                <w:szCs w:val="18"/>
              </w:rPr>
            </w:pPr>
            <w:r>
              <w:rPr>
                <w:rFonts w:ascii="Cambria" w:hAnsi="Cambria"/>
                <w:szCs w:val="18"/>
              </w:rPr>
              <w:t>Unrestricted risk estimates apply in the absence of risk mitigation measures.</w:t>
            </w:r>
          </w:p>
        </w:tc>
      </w:tr>
      <w:tr w:rsidR="00E94405">
        <w:tc>
          <w:tcPr>
            <w:tcW w:w="1509" w:type="pct"/>
          </w:tcPr>
          <w:p w:rsidR="00E94405" w:rsidRDefault="00A11609">
            <w:pPr>
              <w:pStyle w:val="TableText"/>
              <w:tabs>
                <w:tab w:val="center" w:pos="1286"/>
              </w:tabs>
              <w:rPr>
                <w:rFonts w:ascii="Cambria" w:hAnsi="Cambria"/>
                <w:szCs w:val="18"/>
              </w:rPr>
            </w:pPr>
            <w:r>
              <w:rPr>
                <w:rFonts w:ascii="Cambria" w:hAnsi="Cambria"/>
                <w:szCs w:val="18"/>
              </w:rPr>
              <w:t>Viable</w:t>
            </w:r>
            <w:r>
              <w:rPr>
                <w:rFonts w:ascii="Cambria" w:hAnsi="Cambria"/>
                <w:szCs w:val="18"/>
              </w:rPr>
              <w:tab/>
            </w:r>
          </w:p>
        </w:tc>
        <w:tc>
          <w:tcPr>
            <w:tcW w:w="3491" w:type="pct"/>
          </w:tcPr>
          <w:p w:rsidR="00E94405" w:rsidRDefault="00A11609">
            <w:pPr>
              <w:pStyle w:val="TableText"/>
              <w:rPr>
                <w:rFonts w:ascii="Cambria" w:hAnsi="Cambria"/>
                <w:szCs w:val="18"/>
              </w:rPr>
            </w:pPr>
            <w:r>
              <w:rPr>
                <w:rFonts w:ascii="Cambria" w:hAnsi="Cambria"/>
                <w:szCs w:val="18"/>
              </w:rPr>
              <w:t>Alive, able to germinate or capable of growth.</w:t>
            </w:r>
          </w:p>
        </w:tc>
      </w:tr>
      <w:tr w:rsidR="00E94405">
        <w:tc>
          <w:tcPr>
            <w:tcW w:w="1509" w:type="pct"/>
          </w:tcPr>
          <w:p w:rsidR="00E94405" w:rsidRDefault="00A11609">
            <w:pPr>
              <w:pStyle w:val="TableText"/>
              <w:tabs>
                <w:tab w:val="center" w:pos="1286"/>
              </w:tabs>
              <w:rPr>
                <w:rFonts w:ascii="Cambria" w:hAnsi="Cambria"/>
                <w:szCs w:val="18"/>
              </w:rPr>
            </w:pPr>
            <w:r>
              <w:rPr>
                <w:rFonts w:ascii="Cambria" w:hAnsi="Cambria"/>
                <w:szCs w:val="18"/>
              </w:rPr>
              <w:t>Zoospore</w:t>
            </w:r>
          </w:p>
        </w:tc>
        <w:tc>
          <w:tcPr>
            <w:tcW w:w="3491" w:type="pct"/>
          </w:tcPr>
          <w:p w:rsidR="00E94405" w:rsidRDefault="00A11609">
            <w:pPr>
              <w:pStyle w:val="TableText"/>
              <w:rPr>
                <w:rFonts w:ascii="Cambria" w:hAnsi="Cambria"/>
                <w:szCs w:val="18"/>
              </w:rPr>
            </w:pPr>
            <w:r>
              <w:rPr>
                <w:rFonts w:ascii="Cambria" w:hAnsi="Cambria"/>
                <w:szCs w:val="18"/>
              </w:rPr>
              <w:t>Spore that forms within the sporangium and exits through the terminal pore, has a tinsel and a whiplash flagellum, and is capable of swimming for several hours (Erwin &amp; Ribeiro 1996).</w:t>
            </w:r>
          </w:p>
        </w:tc>
      </w:tr>
    </w:tbl>
    <w:p w:rsidR="00E94405" w:rsidRDefault="00E94405">
      <w:pPr>
        <w:pStyle w:val="Heading1"/>
        <w:sectPr w:rsidR="00E94405">
          <w:headerReference w:type="default" r:id="rId49"/>
          <w:pgSz w:w="11906" w:h="16838"/>
          <w:pgMar w:top="1418" w:right="1418" w:bottom="1418" w:left="1418" w:header="567" w:footer="283" w:gutter="0"/>
          <w:cols w:space="708"/>
          <w:docGrid w:linePitch="360"/>
        </w:sectPr>
      </w:pPr>
    </w:p>
    <w:p w:rsidR="00E94405" w:rsidRDefault="00A11609">
      <w:pPr>
        <w:pStyle w:val="Heading1nonumbers"/>
        <w:rPr>
          <w:lang w:val="en-AU"/>
        </w:rPr>
      </w:pPr>
      <w:bookmarkStart w:id="173" w:name="_Toc392488739"/>
      <w:bookmarkStart w:id="174" w:name="_Toc414019465"/>
      <w:r>
        <w:rPr>
          <w:lang w:val="en-AU"/>
        </w:rPr>
        <w:lastRenderedPageBreak/>
        <w:t>References</w:t>
      </w:r>
      <w:bookmarkEnd w:id="173"/>
      <w:bookmarkEnd w:id="174"/>
    </w:p>
    <w:p w:rsidR="00E94405" w:rsidRDefault="00A11609">
      <w:pPr>
        <w:autoSpaceDE w:val="0"/>
        <w:autoSpaceDN w:val="0"/>
        <w:adjustRightInd w:val="0"/>
        <w:spacing w:before="200"/>
        <w:rPr>
          <w:rFonts w:ascii="Cambria" w:hAnsi="Cambria"/>
          <w:color w:val="000000" w:themeColor="text1"/>
        </w:rPr>
      </w:pPr>
      <w:r>
        <w:rPr>
          <w:rFonts w:ascii="Cambria" w:hAnsi="Cambria"/>
          <w:color w:val="000000" w:themeColor="text1"/>
        </w:rPr>
        <w:t xml:space="preserve">Alexander, J 2012, ‘The past, present and future of sudden oak death’. </w:t>
      </w:r>
      <w:r>
        <w:rPr>
          <w:rFonts w:ascii="Cambria" w:hAnsi="Cambria"/>
          <w:i/>
          <w:iCs/>
          <w:color w:val="000000" w:themeColor="text1"/>
        </w:rPr>
        <w:t xml:space="preserve">Outlooks on pest management </w:t>
      </w:r>
      <w:r>
        <w:rPr>
          <w:rFonts w:ascii="Cambria" w:hAnsi="Cambria"/>
          <w:color w:val="000000" w:themeColor="text1"/>
        </w:rPr>
        <w:t xml:space="preserve">23: 72–76. </w:t>
      </w:r>
      <w:r>
        <w:rPr>
          <w:rFonts w:ascii="Cambria" w:hAnsi="Cambria"/>
        </w:rPr>
        <w:t>www.pestoutlook.com</w:t>
      </w:r>
      <w:r>
        <w:rPr>
          <w:rFonts w:ascii="Cambria" w:hAnsi="Cambria"/>
          <w:color w:val="000000" w:themeColor="text1"/>
        </w:rPr>
        <w:t xml:space="preserve">. </w:t>
      </w:r>
    </w:p>
    <w:p w:rsidR="00E94405" w:rsidRDefault="00A11609">
      <w:pPr>
        <w:autoSpaceDE w:val="0"/>
        <w:autoSpaceDN w:val="0"/>
        <w:adjustRightInd w:val="0"/>
        <w:spacing w:before="200"/>
        <w:rPr>
          <w:rFonts w:ascii="Cambria" w:hAnsi="Cambria"/>
        </w:rPr>
      </w:pPr>
      <w:r>
        <w:rPr>
          <w:rFonts w:ascii="Cambria" w:hAnsi="Cambria"/>
        </w:rPr>
        <w:t xml:space="preserve">APHIS (Animal and Plant Health Inspection Service, United States Department of Agriculture) ‘Federal Order Jan 25, 2012: Domestic quarantine for </w:t>
      </w:r>
      <w:r>
        <w:rPr>
          <w:rFonts w:ascii="Cambria" w:hAnsi="Cambria"/>
          <w:i/>
        </w:rPr>
        <w:t>Phytophthora ramorum</w:t>
      </w:r>
      <w:r>
        <w:rPr>
          <w:rFonts w:ascii="Cambria" w:hAnsi="Cambria"/>
        </w:rPr>
        <w:t xml:space="preserve">’, DA-2012-03, http://www.aphis.usda.gov/plant_health/plant_pest_info/pram/downloads/pdf_files/SPRO_ percent20DA-2012-03.pdf. </w:t>
      </w:r>
    </w:p>
    <w:p w:rsidR="00E94405" w:rsidRDefault="00A11609">
      <w:pPr>
        <w:autoSpaceDE w:val="0"/>
        <w:autoSpaceDN w:val="0"/>
        <w:adjustRightInd w:val="0"/>
        <w:spacing w:before="200"/>
        <w:rPr>
          <w:rFonts w:ascii="Cambria" w:hAnsi="Cambria"/>
        </w:rPr>
      </w:pPr>
      <w:r>
        <w:rPr>
          <w:rFonts w:ascii="Cambria" w:hAnsi="Cambria"/>
        </w:rPr>
        <w:t xml:space="preserve">APHIS (Animal and Plant Health Inspection Service, USA Department of Agriculture) 2008a, ‘Federal Order May 15, Federal domestic quarantine order </w:t>
      </w:r>
      <w:r>
        <w:rPr>
          <w:rFonts w:ascii="Cambria" w:hAnsi="Cambria"/>
          <w:i/>
        </w:rPr>
        <w:t>Phytophthora ramorum</w:t>
      </w:r>
      <w:r>
        <w:rPr>
          <w:rFonts w:ascii="Cambria" w:hAnsi="Cambria"/>
        </w:rPr>
        <w:t xml:space="preserve">’, DA-2008-20, http://nationalplantboard.org/docs/spro/spro_pr_2008_05_16.pdf. </w:t>
      </w:r>
    </w:p>
    <w:p w:rsidR="00E94405" w:rsidRDefault="00A11609">
      <w:pPr>
        <w:autoSpaceDE w:val="0"/>
        <w:autoSpaceDN w:val="0"/>
        <w:adjustRightInd w:val="0"/>
        <w:spacing w:before="200"/>
        <w:rPr>
          <w:rFonts w:ascii="Cambria" w:hAnsi="Cambria"/>
        </w:rPr>
      </w:pPr>
      <w:r>
        <w:rPr>
          <w:rFonts w:ascii="Cambria" w:hAnsi="Cambria"/>
        </w:rPr>
        <w:t xml:space="preserve">APHIS (Animal and Plant Health Inspection Service, USA Department of Agriculture) 2008b, ‘Federal Order March 03, Federal domestic quarantine order </w:t>
      </w:r>
      <w:r>
        <w:rPr>
          <w:rFonts w:ascii="Cambria" w:hAnsi="Cambria"/>
          <w:i/>
        </w:rPr>
        <w:t>Phytophthora ramorum</w:t>
      </w:r>
      <w:r>
        <w:rPr>
          <w:rFonts w:ascii="Cambria" w:hAnsi="Cambria"/>
        </w:rPr>
        <w:t xml:space="preserve">’, DA-2008-11, http://nationalplantboard.org/docs/spro/spro_pr_2008_03_05.pdf. </w:t>
      </w:r>
    </w:p>
    <w:p w:rsidR="00E94405" w:rsidRDefault="00A11609">
      <w:pPr>
        <w:autoSpaceDE w:val="0"/>
        <w:autoSpaceDN w:val="0"/>
        <w:adjustRightInd w:val="0"/>
        <w:spacing w:before="200"/>
        <w:rPr>
          <w:rFonts w:ascii="Cambria" w:hAnsi="Cambria"/>
        </w:rPr>
      </w:pPr>
      <w:r>
        <w:rPr>
          <w:rFonts w:ascii="Cambria" w:hAnsi="Cambria"/>
        </w:rPr>
        <w:t>Australia’s Virtual Herbarium (AVH), 2014, ‘Council of Heads of Australasian Herbaria (CHAH)’, http://avh.chah.org.au/.</w:t>
      </w:r>
    </w:p>
    <w:p w:rsidR="00E94405" w:rsidRDefault="00A11609">
      <w:pPr>
        <w:autoSpaceDE w:val="0"/>
        <w:autoSpaceDN w:val="0"/>
        <w:adjustRightInd w:val="0"/>
        <w:spacing w:before="200"/>
        <w:rPr>
          <w:rFonts w:ascii="Cambria" w:hAnsi="Cambria"/>
        </w:rPr>
      </w:pPr>
      <w:r>
        <w:rPr>
          <w:rFonts w:ascii="Cambria" w:hAnsi="Cambria"/>
        </w:rPr>
        <w:t xml:space="preserve">Aveskamp, MM &amp; Wingelaar, GJ 2005, ‘Elimination of </w:t>
      </w:r>
      <w:r>
        <w:rPr>
          <w:rFonts w:ascii="Cambria" w:hAnsi="Cambria"/>
          <w:i/>
        </w:rPr>
        <w:t>Phytophthora ramorum</w:t>
      </w:r>
      <w:r>
        <w:rPr>
          <w:rFonts w:ascii="Cambria" w:hAnsi="Cambria"/>
        </w:rPr>
        <w:t xml:space="preserve"> in the tunnel composting process’, </w:t>
      </w:r>
      <w:r>
        <w:rPr>
          <w:rFonts w:ascii="Cambria" w:hAnsi="Cambria"/>
          <w:i/>
        </w:rPr>
        <w:t>Sudden Oak Death Science Symposium II</w:t>
      </w:r>
      <w:r>
        <w:rPr>
          <w:rFonts w:ascii="Cambria" w:hAnsi="Cambria"/>
        </w:rPr>
        <w:t>, Monterey, CA, http://nature.berkeley.edu/comtf/pdf/Bibliography/47Aveskamp.pdf, accessed May 2012.</w:t>
      </w:r>
    </w:p>
    <w:p w:rsidR="00E94405" w:rsidRDefault="00A11609">
      <w:pPr>
        <w:autoSpaceDE w:val="0"/>
        <w:autoSpaceDN w:val="0"/>
        <w:adjustRightInd w:val="0"/>
        <w:spacing w:before="200"/>
        <w:rPr>
          <w:rFonts w:ascii="Cambria" w:hAnsi="Cambria"/>
        </w:rPr>
      </w:pPr>
      <w:r>
        <w:rPr>
          <w:rFonts w:ascii="Cambria" w:hAnsi="Cambria"/>
        </w:rPr>
        <w:t>Beales, PA, Brokenshire, T, Barnes, AV, Barton, VC &amp; Hughes, KJD 2004a, ‘First report of ramorum leaf blight and dieback (</w:t>
      </w:r>
      <w:r>
        <w:rPr>
          <w:rFonts w:ascii="Cambria" w:hAnsi="Cambria"/>
          <w:i/>
        </w:rPr>
        <w:t>Phytophthora ramorum</w:t>
      </w:r>
      <w:r>
        <w:rPr>
          <w:rFonts w:ascii="Cambria" w:hAnsi="Cambria"/>
        </w:rPr>
        <w:t xml:space="preserve">) on </w:t>
      </w:r>
      <w:r>
        <w:rPr>
          <w:rFonts w:ascii="Cambria" w:hAnsi="Cambria"/>
          <w:i/>
        </w:rPr>
        <w:t>Camellia</w:t>
      </w:r>
      <w:r>
        <w:rPr>
          <w:rFonts w:ascii="Cambria" w:hAnsi="Cambria"/>
        </w:rPr>
        <w:t xml:space="preserve"> species in the UK’, </w:t>
      </w:r>
      <w:r>
        <w:rPr>
          <w:rFonts w:ascii="Cambria" w:hAnsi="Cambria"/>
          <w:i/>
        </w:rPr>
        <w:t>Plant Pathology</w:t>
      </w:r>
      <w:r>
        <w:rPr>
          <w:rFonts w:ascii="Cambria" w:hAnsi="Cambria"/>
        </w:rPr>
        <w:t>, 53: 524.</w:t>
      </w:r>
    </w:p>
    <w:p w:rsidR="00E94405" w:rsidRDefault="00A11609">
      <w:pPr>
        <w:autoSpaceDE w:val="0"/>
        <w:autoSpaceDN w:val="0"/>
        <w:adjustRightInd w:val="0"/>
        <w:spacing w:before="200"/>
        <w:rPr>
          <w:rFonts w:ascii="Cambria" w:hAnsi="Cambria"/>
        </w:rPr>
      </w:pPr>
      <w:r>
        <w:rPr>
          <w:rFonts w:ascii="Cambria" w:hAnsi="Cambria"/>
        </w:rPr>
        <w:t>Beales, PA, Giltrap, PM, Webb, KILOMETERS &amp; Ozolina, A 2009, ‘A further threat to UK health and bilberry (</w:t>
      </w:r>
      <w:r>
        <w:rPr>
          <w:rFonts w:ascii="Cambria" w:hAnsi="Cambria"/>
          <w:i/>
        </w:rPr>
        <w:t>Vaccinium myrtillus</w:t>
      </w:r>
      <w:r>
        <w:rPr>
          <w:rFonts w:ascii="Cambria" w:hAnsi="Cambria"/>
        </w:rPr>
        <w:t xml:space="preserve">) by </w:t>
      </w:r>
      <w:r>
        <w:rPr>
          <w:rFonts w:ascii="Cambria" w:hAnsi="Cambria"/>
          <w:i/>
        </w:rPr>
        <w:t>Phytophthora pseudosyringae</w:t>
      </w:r>
      <w:r>
        <w:rPr>
          <w:rFonts w:ascii="Cambria" w:hAnsi="Cambria"/>
        </w:rPr>
        <w:t>’,</w:t>
      </w:r>
      <w:r>
        <w:rPr>
          <w:rFonts w:ascii="Cambria" w:hAnsi="Cambria"/>
          <w:i/>
        </w:rPr>
        <w:t xml:space="preserve"> Plant Pathology</w:t>
      </w:r>
      <w:r>
        <w:rPr>
          <w:rFonts w:ascii="Cambria" w:hAnsi="Cambria"/>
        </w:rPr>
        <w:t>,</w:t>
      </w:r>
      <w:r>
        <w:rPr>
          <w:rFonts w:ascii="Cambria" w:hAnsi="Cambria"/>
          <w:i/>
        </w:rPr>
        <w:t xml:space="preserve"> New Disease Reports</w:t>
      </w:r>
      <w:r>
        <w:rPr>
          <w:rFonts w:ascii="Cambria" w:hAnsi="Cambria"/>
        </w:rPr>
        <w:t xml:space="preserve">. </w:t>
      </w:r>
    </w:p>
    <w:p w:rsidR="00E94405" w:rsidRDefault="00A11609">
      <w:pPr>
        <w:autoSpaceDE w:val="0"/>
        <w:autoSpaceDN w:val="0"/>
        <w:adjustRightInd w:val="0"/>
        <w:spacing w:before="200"/>
        <w:rPr>
          <w:rFonts w:ascii="Cambria" w:hAnsi="Cambria"/>
        </w:rPr>
      </w:pPr>
      <w:r>
        <w:rPr>
          <w:rFonts w:ascii="Cambria" w:hAnsi="Cambria"/>
        </w:rPr>
        <w:t>Beales, PA, Schlenzig, A &amp; Inman, AJ 2004b, ‘First report of ramorum bud and leaf blight (</w:t>
      </w:r>
      <w:r>
        <w:rPr>
          <w:rFonts w:ascii="Cambria" w:hAnsi="Cambria"/>
          <w:i/>
        </w:rPr>
        <w:t>Phytophthora ramorum</w:t>
      </w:r>
      <w:r>
        <w:rPr>
          <w:rFonts w:ascii="Cambria" w:hAnsi="Cambria"/>
        </w:rPr>
        <w:t xml:space="preserve">) on </w:t>
      </w:r>
      <w:r>
        <w:rPr>
          <w:rFonts w:ascii="Cambria" w:hAnsi="Cambria"/>
          <w:i/>
        </w:rPr>
        <w:t>Syringa vulgaris</w:t>
      </w:r>
      <w:r>
        <w:rPr>
          <w:rFonts w:ascii="Cambria" w:hAnsi="Cambria"/>
        </w:rPr>
        <w:t xml:space="preserve"> in the UK’, </w:t>
      </w:r>
      <w:r>
        <w:rPr>
          <w:rFonts w:ascii="Cambria" w:hAnsi="Cambria"/>
          <w:i/>
        </w:rPr>
        <w:t>Plant Pathology</w:t>
      </w:r>
      <w:r>
        <w:rPr>
          <w:rFonts w:ascii="Cambria" w:hAnsi="Cambria"/>
        </w:rPr>
        <w:t>, 53: 525.</w:t>
      </w:r>
    </w:p>
    <w:p w:rsidR="00E94405" w:rsidRDefault="00A11609">
      <w:pPr>
        <w:autoSpaceDE w:val="0"/>
        <w:autoSpaceDN w:val="0"/>
        <w:adjustRightInd w:val="0"/>
        <w:spacing w:before="200"/>
        <w:rPr>
          <w:rFonts w:ascii="Cambria" w:hAnsi="Cambria"/>
        </w:rPr>
      </w:pPr>
      <w:r>
        <w:rPr>
          <w:rFonts w:ascii="Cambria" w:hAnsi="Cambria"/>
        </w:rPr>
        <w:t>Birch, PR &amp; Whisson, SC 2001, ‘</w:t>
      </w:r>
      <w:r>
        <w:rPr>
          <w:rFonts w:ascii="Cambria" w:hAnsi="Cambria"/>
          <w:i/>
        </w:rPr>
        <w:t>Phytophthora infestans</w:t>
      </w:r>
      <w:r>
        <w:rPr>
          <w:rFonts w:ascii="Cambria" w:hAnsi="Cambria"/>
        </w:rPr>
        <w:t xml:space="preserve"> enters the genomics era’, </w:t>
      </w:r>
      <w:r>
        <w:rPr>
          <w:rFonts w:ascii="Cambria" w:hAnsi="Cambria"/>
          <w:i/>
        </w:rPr>
        <w:t>Molecular Plant Pathology</w:t>
      </w:r>
      <w:r>
        <w:rPr>
          <w:rFonts w:ascii="Cambria" w:hAnsi="Cambria"/>
        </w:rPr>
        <w:t>, 2: 257–263.</w:t>
      </w:r>
    </w:p>
    <w:p w:rsidR="00E94405" w:rsidRDefault="00A11609">
      <w:pPr>
        <w:autoSpaceDE w:val="0"/>
        <w:autoSpaceDN w:val="0"/>
        <w:adjustRightInd w:val="0"/>
        <w:spacing w:before="200"/>
        <w:rPr>
          <w:rFonts w:ascii="Cambria" w:hAnsi="Cambria"/>
        </w:rPr>
      </w:pPr>
      <w:r>
        <w:rPr>
          <w:rFonts w:ascii="Cambria" w:hAnsi="Cambria"/>
        </w:rPr>
        <w:t xml:space="preserve">Blair, JE, Coffey, MD, Park, SY, Geiser, DM &amp; Kang, S 2008, ‘A multi-locus phylogeny for </w:t>
      </w:r>
      <w:r>
        <w:rPr>
          <w:rFonts w:ascii="Cambria" w:hAnsi="Cambria"/>
          <w:i/>
        </w:rPr>
        <w:t>Phytophthora</w:t>
      </w:r>
      <w:r>
        <w:rPr>
          <w:rFonts w:ascii="Cambria" w:hAnsi="Cambria"/>
        </w:rPr>
        <w:t xml:space="preserve"> utilizing markers derived from complete genome sequences’, </w:t>
      </w:r>
      <w:r>
        <w:rPr>
          <w:rFonts w:ascii="Cambria" w:hAnsi="Cambria"/>
          <w:i/>
        </w:rPr>
        <w:t>Fungal Genetics and Biology</w:t>
      </w:r>
      <w:r>
        <w:rPr>
          <w:rFonts w:ascii="Cambria" w:hAnsi="Cambria"/>
        </w:rPr>
        <w:t>, 45: 266–277.</w:t>
      </w:r>
    </w:p>
    <w:p w:rsidR="00E94405" w:rsidRDefault="00A11609">
      <w:pPr>
        <w:autoSpaceDE w:val="0"/>
        <w:autoSpaceDN w:val="0"/>
        <w:adjustRightInd w:val="0"/>
        <w:spacing w:before="200"/>
        <w:rPr>
          <w:rFonts w:ascii="Cambria" w:hAnsi="Cambria"/>
        </w:rPr>
      </w:pPr>
      <w:r>
        <w:rPr>
          <w:rFonts w:ascii="Cambria" w:hAnsi="Cambria"/>
        </w:rPr>
        <w:t xml:space="preserve">Blanco, FA &amp; Judelson, HS (2005) ‘A bZIP transcription factor from </w:t>
      </w:r>
      <w:r>
        <w:rPr>
          <w:rFonts w:ascii="Cambria" w:hAnsi="Cambria"/>
          <w:i/>
        </w:rPr>
        <w:t>Phytophthora</w:t>
      </w:r>
      <w:r>
        <w:rPr>
          <w:rFonts w:ascii="Cambria" w:hAnsi="Cambria"/>
        </w:rPr>
        <w:t xml:space="preserve"> interacts with a protein kinase and is required for zoospore motility and plant infection’, </w:t>
      </w:r>
      <w:r>
        <w:rPr>
          <w:rFonts w:ascii="Cambria" w:hAnsi="Cambria"/>
          <w:i/>
        </w:rPr>
        <w:t>Molecular Microbiology</w:t>
      </w:r>
      <w:r>
        <w:rPr>
          <w:rFonts w:ascii="Cambria" w:hAnsi="Cambria"/>
        </w:rPr>
        <w:t>, 56: 638–648.</w:t>
      </w:r>
    </w:p>
    <w:p w:rsidR="00E94405" w:rsidRDefault="00A11609">
      <w:pPr>
        <w:autoSpaceDE w:val="0"/>
        <w:autoSpaceDN w:val="0"/>
        <w:adjustRightInd w:val="0"/>
        <w:spacing w:before="200"/>
        <w:rPr>
          <w:rFonts w:ascii="Cambria" w:hAnsi="Cambria"/>
        </w:rPr>
      </w:pPr>
      <w:r>
        <w:rPr>
          <w:rFonts w:ascii="Cambria" w:hAnsi="Cambria"/>
        </w:rPr>
        <w:t>Blomquist, C, Irving, T, Osterbauer, N &amp; Reeser, P 2005, ‘</w:t>
      </w:r>
      <w:r>
        <w:rPr>
          <w:rFonts w:ascii="Cambria" w:hAnsi="Cambria"/>
          <w:i/>
        </w:rPr>
        <w:t>Phytophthora hibernalis</w:t>
      </w:r>
      <w:r>
        <w:rPr>
          <w:rFonts w:ascii="Cambria" w:hAnsi="Cambria"/>
        </w:rPr>
        <w:t xml:space="preserve">: a new pathogen of </w:t>
      </w:r>
      <w:r>
        <w:rPr>
          <w:rFonts w:ascii="Cambria" w:hAnsi="Cambria"/>
          <w:i/>
        </w:rPr>
        <w:t>Rhododendron</w:t>
      </w:r>
      <w:r>
        <w:rPr>
          <w:rFonts w:ascii="Cambria" w:hAnsi="Cambria"/>
        </w:rPr>
        <w:t xml:space="preserve"> and evidence of cross amplification with two PCR detection assays for </w:t>
      </w:r>
      <w:r>
        <w:rPr>
          <w:rFonts w:ascii="Cambria" w:hAnsi="Cambria"/>
          <w:i/>
        </w:rPr>
        <w:t>Phytophthora ramorum</w:t>
      </w:r>
      <w:r>
        <w:rPr>
          <w:rFonts w:ascii="Cambria" w:hAnsi="Cambria"/>
        </w:rPr>
        <w:t xml:space="preserve">’, </w:t>
      </w:r>
      <w:r>
        <w:rPr>
          <w:rFonts w:ascii="Cambria" w:hAnsi="Cambria"/>
          <w:i/>
        </w:rPr>
        <w:t>Plant Health Progress</w:t>
      </w:r>
      <w:r>
        <w:rPr>
          <w:rFonts w:ascii="Cambria" w:hAnsi="Cambria"/>
        </w:rPr>
        <w:t>, doi: 10.1094/PHP-2005-0728-01-</w:t>
      </w:r>
    </w:p>
    <w:p w:rsidR="00E94405" w:rsidRDefault="00A11609">
      <w:pPr>
        <w:autoSpaceDE w:val="0"/>
        <w:autoSpaceDN w:val="0"/>
        <w:adjustRightInd w:val="0"/>
        <w:spacing w:before="200"/>
        <w:rPr>
          <w:rFonts w:ascii="Cambria" w:hAnsi="Cambria"/>
        </w:rPr>
      </w:pPr>
      <w:r>
        <w:rPr>
          <w:rFonts w:ascii="Cambria" w:hAnsi="Cambria"/>
        </w:rPr>
        <w:lastRenderedPageBreak/>
        <w:t xml:space="preserve">Blomquist, CL, Rooney-Latham, S &amp; Soriano, MC 2012, ‘First report of </w:t>
      </w:r>
      <w:r>
        <w:rPr>
          <w:rFonts w:ascii="Cambria" w:hAnsi="Cambria"/>
          <w:i/>
        </w:rPr>
        <w:t>Phytophthora ramorum</w:t>
      </w:r>
      <w:r>
        <w:rPr>
          <w:rFonts w:ascii="Cambria" w:hAnsi="Cambria"/>
        </w:rPr>
        <w:t xml:space="preserve"> causing a leaf spot on </w:t>
      </w:r>
      <w:r>
        <w:rPr>
          <w:rFonts w:ascii="Cambria" w:hAnsi="Cambria"/>
          <w:i/>
        </w:rPr>
        <w:t>Loropetalum chinense</w:t>
      </w:r>
      <w:r>
        <w:rPr>
          <w:rFonts w:ascii="Cambria" w:hAnsi="Cambria"/>
        </w:rPr>
        <w:t xml:space="preserve">, Chinese fringe flower in California’, </w:t>
      </w:r>
      <w:r>
        <w:rPr>
          <w:rFonts w:ascii="Cambria" w:hAnsi="Cambria"/>
          <w:i/>
        </w:rPr>
        <w:t>Plant Disease</w:t>
      </w:r>
      <w:r>
        <w:rPr>
          <w:rFonts w:ascii="Cambria" w:hAnsi="Cambria"/>
        </w:rPr>
        <w:t xml:space="preserve">, 96: 1829.2. </w:t>
      </w:r>
    </w:p>
    <w:p w:rsidR="00E94405" w:rsidRDefault="00A11609">
      <w:pPr>
        <w:autoSpaceDE w:val="0"/>
        <w:autoSpaceDN w:val="0"/>
        <w:adjustRightInd w:val="0"/>
        <w:spacing w:before="200"/>
        <w:rPr>
          <w:rFonts w:ascii="Cambria" w:hAnsi="Cambria"/>
        </w:rPr>
      </w:pPr>
      <w:r>
        <w:rPr>
          <w:rFonts w:ascii="Cambria" w:hAnsi="Cambria"/>
        </w:rPr>
        <w:t>Brasier, C &amp; Webber, J 2012, ‘Natural stem infection of Lawson cypress (</w:t>
      </w:r>
      <w:r>
        <w:rPr>
          <w:rFonts w:ascii="Cambria" w:hAnsi="Cambria"/>
          <w:i/>
        </w:rPr>
        <w:t>Chamaecyparis lawsoniana</w:t>
      </w:r>
      <w:r>
        <w:rPr>
          <w:rFonts w:ascii="Cambria" w:hAnsi="Cambria"/>
        </w:rPr>
        <w:t xml:space="preserve">) caused by </w:t>
      </w:r>
      <w:r>
        <w:rPr>
          <w:rFonts w:ascii="Cambria" w:hAnsi="Cambria"/>
          <w:i/>
        </w:rPr>
        <w:t>Phytophthora ramorum</w:t>
      </w:r>
      <w:r>
        <w:rPr>
          <w:rFonts w:ascii="Cambria" w:hAnsi="Cambria"/>
        </w:rPr>
        <w:t>’,</w:t>
      </w:r>
      <w:r>
        <w:rPr>
          <w:rFonts w:ascii="Cambria" w:hAnsi="Cambria"/>
          <w:i/>
        </w:rPr>
        <w:t xml:space="preserve"> New Disease Reports</w:t>
      </w:r>
      <w:r>
        <w:rPr>
          <w:rFonts w:ascii="Cambria" w:hAnsi="Cambria"/>
        </w:rPr>
        <w:t xml:space="preserve">, 25–26. </w:t>
      </w:r>
    </w:p>
    <w:p w:rsidR="00E94405" w:rsidRDefault="00A11609">
      <w:pPr>
        <w:autoSpaceDE w:val="0"/>
        <w:autoSpaceDN w:val="0"/>
        <w:adjustRightInd w:val="0"/>
        <w:spacing w:before="200"/>
        <w:rPr>
          <w:rFonts w:ascii="Cambria" w:hAnsi="Cambria"/>
        </w:rPr>
      </w:pPr>
      <w:r>
        <w:rPr>
          <w:rFonts w:ascii="Cambria" w:hAnsi="Cambria"/>
        </w:rPr>
        <w:t>Brasier, C 2007, ‘</w:t>
      </w:r>
      <w:r>
        <w:rPr>
          <w:rFonts w:ascii="Cambria" w:hAnsi="Cambria"/>
          <w:i/>
        </w:rPr>
        <w:t>Phytophthora ramorum</w:t>
      </w:r>
      <w:r>
        <w:rPr>
          <w:rFonts w:ascii="Cambria" w:hAnsi="Cambria"/>
        </w:rPr>
        <w:t xml:space="preserve"> + </w:t>
      </w:r>
      <w:r>
        <w:rPr>
          <w:rFonts w:ascii="Cambria" w:hAnsi="Cambria"/>
          <w:i/>
        </w:rPr>
        <w:t>P. kernoviae</w:t>
      </w:r>
      <w:r>
        <w:rPr>
          <w:rFonts w:ascii="Cambria" w:hAnsi="Cambria"/>
        </w:rPr>
        <w:t xml:space="preserve"> = International Biosecurity Failure’, </w:t>
      </w:r>
      <w:r>
        <w:rPr>
          <w:rFonts w:ascii="Cambria" w:hAnsi="Cambria"/>
          <w:i/>
        </w:rPr>
        <w:t>Proceedings of the Sudden Oak Death Third Science Symposium</w:t>
      </w:r>
      <w:r>
        <w:rPr>
          <w:rFonts w:ascii="Cambria" w:hAnsi="Cambria"/>
        </w:rPr>
        <w:t xml:space="preserve">, General technical report PSW-GTR-214, 133–139. </w:t>
      </w:r>
    </w:p>
    <w:p w:rsidR="00E94405" w:rsidRDefault="00A11609">
      <w:pPr>
        <w:autoSpaceDE w:val="0"/>
        <w:autoSpaceDN w:val="0"/>
        <w:adjustRightInd w:val="0"/>
        <w:spacing w:before="200"/>
        <w:rPr>
          <w:rFonts w:ascii="Cambria" w:hAnsi="Cambria"/>
        </w:rPr>
      </w:pPr>
      <w:r>
        <w:rPr>
          <w:rFonts w:ascii="Cambria" w:hAnsi="Cambria"/>
        </w:rPr>
        <w:t xml:space="preserve">Brasier, C, Beales, P, Kirk, S, Barton, V, Giltrap, P, Griffin, R, Hughes, K, Lane, C, Rose, J, Denham, S &amp; Webber, J 2004c, ‘A new </w:t>
      </w:r>
      <w:r>
        <w:rPr>
          <w:rFonts w:ascii="Cambria" w:hAnsi="Cambria"/>
          <w:i/>
        </w:rPr>
        <w:t>Phytophthora</w:t>
      </w:r>
      <w:r>
        <w:rPr>
          <w:rFonts w:ascii="Cambria" w:hAnsi="Cambria"/>
        </w:rPr>
        <w:t xml:space="preserve"> species affecting European Beech (</w:t>
      </w:r>
      <w:r>
        <w:rPr>
          <w:rFonts w:ascii="Cambria" w:hAnsi="Cambria"/>
          <w:i/>
        </w:rPr>
        <w:t>Fagus sylvatica</w:t>
      </w:r>
      <w:r>
        <w:rPr>
          <w:rFonts w:ascii="Cambria" w:hAnsi="Cambria"/>
        </w:rPr>
        <w:t xml:space="preserve">) and </w:t>
      </w:r>
      <w:r>
        <w:rPr>
          <w:rFonts w:ascii="Cambria" w:hAnsi="Cambria"/>
          <w:i/>
        </w:rPr>
        <w:t>Rhododendron</w:t>
      </w:r>
      <w:r>
        <w:rPr>
          <w:rFonts w:ascii="Cambria" w:hAnsi="Cambria"/>
        </w:rPr>
        <w:t xml:space="preserve"> in the UK’ [Poster], </w:t>
      </w:r>
      <w:r>
        <w:rPr>
          <w:rFonts w:ascii="Cambria" w:hAnsi="Cambria"/>
          <w:i/>
        </w:rPr>
        <w:t>Phytophthora ramorum</w:t>
      </w:r>
      <w:r>
        <w:rPr>
          <w:rFonts w:ascii="Cambria" w:hAnsi="Cambria"/>
        </w:rPr>
        <w:t>: A Review of North American and European Activity, California Oak Mortality Task Force Annual Meeting, March 10, 2004.</w:t>
      </w:r>
    </w:p>
    <w:p w:rsidR="00E94405" w:rsidRDefault="00A11609">
      <w:pPr>
        <w:autoSpaceDE w:val="0"/>
        <w:autoSpaceDN w:val="0"/>
        <w:adjustRightInd w:val="0"/>
        <w:spacing w:before="200"/>
        <w:rPr>
          <w:rFonts w:ascii="Cambria" w:hAnsi="Cambria"/>
        </w:rPr>
      </w:pPr>
      <w:r>
        <w:rPr>
          <w:rFonts w:ascii="Cambria" w:hAnsi="Cambria"/>
        </w:rPr>
        <w:t xml:space="preserve">Brasier, C, Brown, A, Rose, J &amp; Kirk, S 2007, ‘Infection of tree stems by zoospores of </w:t>
      </w:r>
      <w:r>
        <w:rPr>
          <w:rFonts w:ascii="Cambria" w:hAnsi="Cambria"/>
          <w:i/>
        </w:rPr>
        <w:t>Phytophthora ramorum</w:t>
      </w:r>
      <w:r>
        <w:rPr>
          <w:rFonts w:ascii="Cambria" w:hAnsi="Cambria"/>
        </w:rPr>
        <w:t xml:space="preserve"> and </w:t>
      </w:r>
      <w:r>
        <w:rPr>
          <w:rFonts w:ascii="Cambria" w:hAnsi="Cambria"/>
          <w:i/>
        </w:rPr>
        <w:t>P. kernoviae</w:t>
      </w:r>
      <w:r>
        <w:rPr>
          <w:rFonts w:ascii="Cambria" w:hAnsi="Cambria"/>
        </w:rPr>
        <w:t xml:space="preserve">’ [Abstract], </w:t>
      </w:r>
      <w:r>
        <w:rPr>
          <w:rFonts w:ascii="Cambria" w:hAnsi="Cambria"/>
          <w:i/>
        </w:rPr>
        <w:t>Sudden Oak Death Science Symposium III,</w:t>
      </w:r>
      <w:r>
        <w:rPr>
          <w:rFonts w:ascii="Cambria" w:hAnsi="Cambria"/>
        </w:rPr>
        <w:t xml:space="preserve"> http://nature.berkeley.edu/comtf/sodsymposium/PDF/Abstracts/ Infection percent20of percent20Tree percent20Stems percent20by percent20Zoospores-Brasier.pdf.</w:t>
      </w:r>
    </w:p>
    <w:p w:rsidR="00E94405" w:rsidRDefault="00A11609">
      <w:pPr>
        <w:autoSpaceDE w:val="0"/>
        <w:autoSpaceDN w:val="0"/>
        <w:adjustRightInd w:val="0"/>
        <w:spacing w:before="200"/>
        <w:rPr>
          <w:rFonts w:ascii="Cambria" w:hAnsi="Cambria"/>
        </w:rPr>
      </w:pPr>
      <w:r>
        <w:rPr>
          <w:rFonts w:ascii="Cambria" w:hAnsi="Cambria"/>
        </w:rPr>
        <w:t xml:space="preserve">Brasier, C, Rose, J, Kirk, S, Denman, S &amp; Webber, J 2006, ‘Comparative host range and aggressiveness of </w:t>
      </w:r>
      <w:r>
        <w:rPr>
          <w:rFonts w:ascii="Cambria" w:hAnsi="Cambria"/>
          <w:i/>
        </w:rPr>
        <w:t>Phytophthora ramorum</w:t>
      </w:r>
      <w:r>
        <w:rPr>
          <w:rFonts w:ascii="Cambria" w:hAnsi="Cambria"/>
        </w:rPr>
        <w:t xml:space="preserve"> and </w:t>
      </w:r>
      <w:r>
        <w:rPr>
          <w:rFonts w:ascii="Cambria" w:hAnsi="Cambria"/>
          <w:i/>
        </w:rPr>
        <w:t>Phytophthora kernoviae</w:t>
      </w:r>
      <w:r>
        <w:rPr>
          <w:rFonts w:ascii="Cambria" w:hAnsi="Cambria"/>
        </w:rPr>
        <w:t xml:space="preserve"> sp. </w:t>
      </w:r>
      <w:r>
        <w:rPr>
          <w:rFonts w:ascii="Cambria" w:hAnsi="Cambria"/>
          <w:i/>
        </w:rPr>
        <w:t>nov</w:t>
      </w:r>
      <w:r>
        <w:rPr>
          <w:rFonts w:ascii="Cambria" w:hAnsi="Cambria"/>
        </w:rPr>
        <w:t xml:space="preserve">. on North American and European trees’, </w:t>
      </w:r>
      <w:r>
        <w:rPr>
          <w:rFonts w:ascii="Cambria" w:hAnsi="Cambria"/>
          <w:i/>
        </w:rPr>
        <w:t>Proceedings of the Sudden Oak Death Second Science Symposium: the State of Our Knowledge,</w:t>
      </w:r>
      <w:r>
        <w:rPr>
          <w:rFonts w:ascii="Cambria" w:hAnsi="Cambria"/>
        </w:rPr>
        <w:t xml:space="preserve"> General technical report PSW-GTR-196, 109–111.</w:t>
      </w:r>
    </w:p>
    <w:p w:rsidR="00E94405" w:rsidRDefault="00A11609">
      <w:pPr>
        <w:autoSpaceDE w:val="0"/>
        <w:autoSpaceDN w:val="0"/>
        <w:adjustRightInd w:val="0"/>
        <w:spacing w:before="200"/>
        <w:rPr>
          <w:rFonts w:ascii="Cambria" w:hAnsi="Cambria"/>
        </w:rPr>
      </w:pPr>
      <w:r>
        <w:rPr>
          <w:rFonts w:ascii="Cambria" w:hAnsi="Cambria"/>
        </w:rPr>
        <w:t xml:space="preserve">Brasier, CM &amp; Webber, J 2010, ‘Sudden larch death’, </w:t>
      </w:r>
      <w:r>
        <w:rPr>
          <w:rFonts w:ascii="Cambria" w:hAnsi="Cambria"/>
          <w:i/>
        </w:rPr>
        <w:t>Nature</w:t>
      </w:r>
      <w:r>
        <w:rPr>
          <w:rFonts w:ascii="Cambria" w:hAnsi="Cambria"/>
        </w:rPr>
        <w:t>, 466: 824–825.</w:t>
      </w:r>
    </w:p>
    <w:p w:rsidR="00E94405" w:rsidRDefault="00A11609">
      <w:pPr>
        <w:autoSpaceDE w:val="0"/>
        <w:autoSpaceDN w:val="0"/>
        <w:adjustRightInd w:val="0"/>
        <w:spacing w:before="200"/>
        <w:rPr>
          <w:rFonts w:ascii="Cambria" w:hAnsi="Cambria"/>
        </w:rPr>
      </w:pPr>
      <w:r>
        <w:rPr>
          <w:rFonts w:ascii="Cambria" w:hAnsi="Cambria"/>
        </w:rPr>
        <w:t xml:space="preserve">Brasier, CM 2008, ‘The biosecurity threat to the UK and global environment from international trade in plants’, </w:t>
      </w:r>
      <w:r>
        <w:rPr>
          <w:rFonts w:ascii="Cambria" w:hAnsi="Cambria"/>
          <w:i/>
        </w:rPr>
        <w:t>Plant Pathology</w:t>
      </w:r>
      <w:r>
        <w:rPr>
          <w:rFonts w:ascii="Cambria" w:hAnsi="Cambria"/>
        </w:rPr>
        <w:t>, 57: 792–808.</w:t>
      </w:r>
    </w:p>
    <w:p w:rsidR="00E94405" w:rsidRDefault="00A11609">
      <w:pPr>
        <w:autoSpaceDE w:val="0"/>
        <w:autoSpaceDN w:val="0"/>
        <w:adjustRightInd w:val="0"/>
        <w:spacing w:before="200"/>
        <w:rPr>
          <w:rFonts w:ascii="Cambria" w:hAnsi="Cambria"/>
        </w:rPr>
      </w:pPr>
      <w:r>
        <w:rPr>
          <w:rFonts w:ascii="Cambria" w:hAnsi="Cambria"/>
        </w:rPr>
        <w:t>Brasier, CM, Beales, PA, Kirk, SA, Denman, S &amp; Rose, J 2005, ‘</w:t>
      </w:r>
      <w:r>
        <w:rPr>
          <w:rFonts w:ascii="Cambria" w:hAnsi="Cambria"/>
          <w:i/>
        </w:rPr>
        <w:t>Phytophthora kernoviae</w:t>
      </w:r>
      <w:r>
        <w:rPr>
          <w:rFonts w:ascii="Cambria" w:hAnsi="Cambria"/>
        </w:rPr>
        <w:t xml:space="preserve"> sp. </w:t>
      </w:r>
      <w:r>
        <w:rPr>
          <w:rFonts w:ascii="Cambria" w:hAnsi="Cambria"/>
          <w:i/>
        </w:rPr>
        <w:t>nov</w:t>
      </w:r>
      <w:r>
        <w:rPr>
          <w:rFonts w:ascii="Cambria" w:hAnsi="Cambria"/>
        </w:rPr>
        <w:t xml:space="preserve">., an invasive pathogen causing bleeding stem lesions on forest trees and foliar necrosis of ornamentals in the UK’, </w:t>
      </w:r>
      <w:r>
        <w:rPr>
          <w:rFonts w:ascii="Cambria" w:hAnsi="Cambria"/>
          <w:i/>
        </w:rPr>
        <w:t>Mycological Research</w:t>
      </w:r>
      <w:r>
        <w:rPr>
          <w:rFonts w:ascii="Cambria" w:hAnsi="Cambria"/>
        </w:rPr>
        <w:t>, 109: 853–859.</w:t>
      </w:r>
    </w:p>
    <w:p w:rsidR="00E94405" w:rsidRDefault="00A11609">
      <w:pPr>
        <w:autoSpaceDE w:val="0"/>
        <w:autoSpaceDN w:val="0"/>
        <w:adjustRightInd w:val="0"/>
        <w:spacing w:before="200"/>
        <w:rPr>
          <w:rFonts w:ascii="Cambria" w:hAnsi="Cambria"/>
        </w:rPr>
      </w:pPr>
      <w:r>
        <w:rPr>
          <w:rFonts w:ascii="Cambria" w:hAnsi="Cambria"/>
        </w:rPr>
        <w:t>Brasier, CM, Denman, S, Brown, A &amp; Webber, JA 2004a, ‘Sudden oak death (</w:t>
      </w:r>
      <w:r>
        <w:rPr>
          <w:rFonts w:ascii="Cambria" w:hAnsi="Cambria"/>
          <w:i/>
        </w:rPr>
        <w:t>Phytophthora ramorum</w:t>
      </w:r>
      <w:r>
        <w:rPr>
          <w:rFonts w:ascii="Cambria" w:hAnsi="Cambria"/>
        </w:rPr>
        <w:t xml:space="preserve">) discovered on trees in Europe’, </w:t>
      </w:r>
      <w:r>
        <w:rPr>
          <w:rFonts w:ascii="Cambria" w:hAnsi="Cambria"/>
          <w:i/>
        </w:rPr>
        <w:t>Mycological Research</w:t>
      </w:r>
      <w:r>
        <w:rPr>
          <w:rFonts w:ascii="Cambria" w:hAnsi="Cambria"/>
        </w:rPr>
        <w:t>, 108: 1107–1110.</w:t>
      </w:r>
    </w:p>
    <w:p w:rsidR="00E94405" w:rsidRDefault="00A11609">
      <w:pPr>
        <w:autoSpaceDE w:val="0"/>
        <w:autoSpaceDN w:val="0"/>
        <w:adjustRightInd w:val="0"/>
        <w:spacing w:before="200"/>
        <w:rPr>
          <w:rFonts w:ascii="Cambria" w:hAnsi="Cambria"/>
        </w:rPr>
      </w:pPr>
      <w:r>
        <w:rPr>
          <w:rFonts w:ascii="Cambria" w:hAnsi="Cambria"/>
        </w:rPr>
        <w:t xml:space="preserve">Brasier, CM, Denman, S, Rose, J, Kirk, SA, Hughes, KJD, Griffin, RL, Lane, CR, Inman, JA &amp; Webber, JF 2004b, ‘First report of ramorum bleeding canker on </w:t>
      </w:r>
      <w:r>
        <w:rPr>
          <w:rFonts w:ascii="Cambria" w:hAnsi="Cambria"/>
          <w:i/>
        </w:rPr>
        <w:t>Quercus falcata</w:t>
      </w:r>
      <w:r>
        <w:rPr>
          <w:rFonts w:ascii="Cambria" w:hAnsi="Cambria"/>
        </w:rPr>
        <w:t xml:space="preserve"> caused by </w:t>
      </w:r>
      <w:r>
        <w:rPr>
          <w:rFonts w:ascii="Cambria" w:hAnsi="Cambria"/>
          <w:i/>
        </w:rPr>
        <w:t>Phytophthora ramorum</w:t>
      </w:r>
      <w:r>
        <w:rPr>
          <w:rFonts w:ascii="Cambria" w:hAnsi="Cambria"/>
        </w:rPr>
        <w:t xml:space="preserve">’, </w:t>
      </w:r>
      <w:r>
        <w:rPr>
          <w:rFonts w:ascii="Cambria" w:hAnsi="Cambria"/>
          <w:i/>
        </w:rPr>
        <w:t>Plant Pathology</w:t>
      </w:r>
      <w:r>
        <w:rPr>
          <w:rFonts w:ascii="Cambria" w:hAnsi="Cambria"/>
        </w:rPr>
        <w:t>, 53: 804.</w:t>
      </w:r>
    </w:p>
    <w:p w:rsidR="00E94405" w:rsidRDefault="00A11609">
      <w:pPr>
        <w:autoSpaceDE w:val="0"/>
        <w:autoSpaceDN w:val="0"/>
        <w:adjustRightInd w:val="0"/>
        <w:spacing w:before="200"/>
        <w:rPr>
          <w:rFonts w:ascii="Cambria" w:hAnsi="Cambria"/>
        </w:rPr>
      </w:pPr>
      <w:r>
        <w:rPr>
          <w:rFonts w:ascii="Cambria" w:hAnsi="Cambria"/>
        </w:rPr>
        <w:t>Brasier, CM, Vettraino, AM, Chang, TT &amp; Vannini, A 2010, ‘</w:t>
      </w:r>
      <w:r>
        <w:rPr>
          <w:rFonts w:ascii="Cambria" w:hAnsi="Cambria"/>
          <w:i/>
        </w:rPr>
        <w:t>Phytophthora lateralis</w:t>
      </w:r>
      <w:r>
        <w:rPr>
          <w:rFonts w:ascii="Cambria" w:hAnsi="Cambria"/>
        </w:rPr>
        <w:t xml:space="preserve"> discovered in an old growth </w:t>
      </w:r>
      <w:r>
        <w:rPr>
          <w:rFonts w:ascii="Cambria" w:hAnsi="Cambria"/>
          <w:i/>
        </w:rPr>
        <w:t>Chamaecyparis</w:t>
      </w:r>
      <w:r>
        <w:rPr>
          <w:rFonts w:ascii="Cambria" w:hAnsi="Cambria"/>
        </w:rPr>
        <w:t xml:space="preserve"> forest in Taiwan’, </w:t>
      </w:r>
      <w:r>
        <w:rPr>
          <w:rFonts w:ascii="Cambria" w:hAnsi="Cambria"/>
          <w:i/>
        </w:rPr>
        <w:t>Plant Pathology</w:t>
      </w:r>
      <w:r>
        <w:rPr>
          <w:rFonts w:ascii="Cambria" w:hAnsi="Cambria"/>
        </w:rPr>
        <w:t>, 59: 595–603.</w:t>
      </w:r>
    </w:p>
    <w:p w:rsidR="00E94405" w:rsidRDefault="00A11609">
      <w:pPr>
        <w:autoSpaceDE w:val="0"/>
        <w:autoSpaceDN w:val="0"/>
        <w:adjustRightInd w:val="0"/>
        <w:spacing w:before="200"/>
        <w:rPr>
          <w:rFonts w:ascii="Cambria" w:hAnsi="Cambria"/>
        </w:rPr>
      </w:pPr>
      <w:r>
        <w:rPr>
          <w:rFonts w:ascii="Cambria" w:hAnsi="Cambria"/>
        </w:rPr>
        <w:t xml:space="preserve">Briere, SC, Llewellyn, S &amp; Kristjansson, G 2005, ‘First report of </w:t>
      </w:r>
      <w:r>
        <w:rPr>
          <w:rFonts w:ascii="Cambria" w:hAnsi="Cambria"/>
          <w:i/>
        </w:rPr>
        <w:t>Pyracantha koidzumii</w:t>
      </w:r>
      <w:r>
        <w:rPr>
          <w:rFonts w:ascii="Cambria" w:hAnsi="Cambria"/>
        </w:rPr>
        <w:t xml:space="preserve"> as a new host for sudden oak death caused by </w:t>
      </w:r>
      <w:r>
        <w:rPr>
          <w:rFonts w:ascii="Cambria" w:hAnsi="Cambria"/>
          <w:i/>
        </w:rPr>
        <w:t>Phytophthora ramorum</w:t>
      </w:r>
      <w:r>
        <w:rPr>
          <w:rFonts w:ascii="Cambria" w:hAnsi="Cambria"/>
        </w:rPr>
        <w:t xml:space="preserve">’, </w:t>
      </w:r>
      <w:r>
        <w:rPr>
          <w:rFonts w:ascii="Cambria" w:hAnsi="Cambria"/>
          <w:i/>
        </w:rPr>
        <w:t>Sudden Oak Death Science Symposium II</w:t>
      </w:r>
      <w:r>
        <w:rPr>
          <w:rFonts w:ascii="Cambria" w:hAnsi="Cambria"/>
        </w:rPr>
        <w:t xml:space="preserve">, Monterey, CA. </w:t>
      </w:r>
    </w:p>
    <w:p w:rsidR="00E94405" w:rsidRDefault="00A11609">
      <w:pPr>
        <w:autoSpaceDE w:val="0"/>
        <w:autoSpaceDN w:val="0"/>
        <w:adjustRightInd w:val="0"/>
        <w:spacing w:before="200"/>
        <w:rPr>
          <w:rFonts w:ascii="Cambria" w:hAnsi="Cambria"/>
        </w:rPr>
      </w:pPr>
      <w:r>
        <w:rPr>
          <w:rFonts w:ascii="Cambria" w:hAnsi="Cambria"/>
        </w:rPr>
        <w:lastRenderedPageBreak/>
        <w:t xml:space="preserve">Browning, M, Englander, L, Tooley, PW &amp; Berner, D 2008, ‘Survival of </w:t>
      </w:r>
      <w:r>
        <w:rPr>
          <w:rFonts w:ascii="Cambria" w:hAnsi="Cambria"/>
          <w:i/>
        </w:rPr>
        <w:t>Phytophthora ramorum</w:t>
      </w:r>
      <w:r>
        <w:rPr>
          <w:rFonts w:ascii="Cambria" w:hAnsi="Cambria"/>
        </w:rPr>
        <w:t xml:space="preserve"> hyphae after exposure to temperature extremes and various humidities’, </w:t>
      </w:r>
      <w:r>
        <w:rPr>
          <w:rFonts w:ascii="Cambria" w:hAnsi="Cambria"/>
          <w:i/>
        </w:rPr>
        <w:t>Mycologia</w:t>
      </w:r>
      <w:r>
        <w:rPr>
          <w:rFonts w:ascii="Cambria" w:hAnsi="Cambria"/>
        </w:rPr>
        <w:t>, 100: 236–245.</w:t>
      </w:r>
    </w:p>
    <w:p w:rsidR="00E94405" w:rsidRDefault="00A11609">
      <w:pPr>
        <w:autoSpaceDE w:val="0"/>
        <w:autoSpaceDN w:val="0"/>
        <w:adjustRightInd w:val="0"/>
        <w:spacing w:before="200"/>
        <w:rPr>
          <w:rFonts w:ascii="Cambria" w:hAnsi="Cambria"/>
        </w:rPr>
      </w:pPr>
      <w:r>
        <w:rPr>
          <w:rFonts w:ascii="Cambria" w:hAnsi="Cambria"/>
        </w:rPr>
        <w:t>CABI 2014, ‘</w:t>
      </w:r>
      <w:r>
        <w:rPr>
          <w:rFonts w:ascii="Cambria" w:hAnsi="Cambria"/>
          <w:i/>
        </w:rPr>
        <w:t xml:space="preserve">Phytophthora ramorum </w:t>
      </w:r>
      <w:r>
        <w:rPr>
          <w:rFonts w:ascii="Cambria" w:hAnsi="Cambria"/>
        </w:rPr>
        <w:t xml:space="preserve">Datasheet’, Invasive species compendium, CAB International, http://www.cabi.org/isc/datasheet/40991#20063115680. </w:t>
      </w:r>
    </w:p>
    <w:p w:rsidR="00E94405" w:rsidRDefault="00A11609">
      <w:pPr>
        <w:autoSpaceDE w:val="0"/>
        <w:autoSpaceDN w:val="0"/>
        <w:adjustRightInd w:val="0"/>
        <w:spacing w:before="200"/>
        <w:rPr>
          <w:rFonts w:ascii="Cambria" w:hAnsi="Cambria"/>
        </w:rPr>
      </w:pPr>
      <w:r>
        <w:rPr>
          <w:rFonts w:ascii="Cambria" w:hAnsi="Cambria"/>
        </w:rPr>
        <w:t xml:space="preserve">Cave, GL, Randall-Schadel, B &amp; Redlin, S 2008, ‘Risk Analysis for </w:t>
      </w:r>
      <w:r>
        <w:rPr>
          <w:rFonts w:ascii="Cambria" w:hAnsi="Cambria"/>
          <w:i/>
        </w:rPr>
        <w:t>Phytophthora ramorum</w:t>
      </w:r>
      <w:r>
        <w:rPr>
          <w:rFonts w:ascii="Cambria" w:hAnsi="Cambria"/>
        </w:rPr>
        <w:t xml:space="preserve">’ </w:t>
      </w:r>
      <w:r>
        <w:rPr>
          <w:rFonts w:ascii="Cambria" w:hAnsi="Cambria"/>
          <w:i/>
        </w:rPr>
        <w:t>Causal Agent of sudden oak death, ramorum leaf blight, and ramorum dieback</w:t>
      </w:r>
      <w:r>
        <w:rPr>
          <w:rFonts w:ascii="Cambria" w:hAnsi="Cambria"/>
        </w:rPr>
        <w:t xml:space="preserve">. United States Department of Agriculture Animal and Plant Health Inspection Service Plant Protection and Quarantine. http://www.dpm.ifas.ufl.edu/plant_pest_risk_assessment/ALS6942_docs/pra-cphst-081.pdf. </w:t>
      </w:r>
    </w:p>
    <w:p w:rsidR="00E94405" w:rsidRDefault="00A11609">
      <w:pPr>
        <w:autoSpaceDE w:val="0"/>
        <w:autoSpaceDN w:val="0"/>
        <w:adjustRightInd w:val="0"/>
        <w:spacing w:before="200"/>
        <w:rPr>
          <w:rFonts w:ascii="Cambria" w:hAnsi="Cambria"/>
        </w:rPr>
      </w:pPr>
      <w:r>
        <w:rPr>
          <w:rFonts w:ascii="Cambria" w:hAnsi="Cambria"/>
        </w:rPr>
        <w:t xml:space="preserve">Cave, GL, Randall-Schadel, BL &amp; Redlin, SC 2005, ‘Risk analysis for </w:t>
      </w:r>
      <w:r>
        <w:rPr>
          <w:rFonts w:ascii="Cambria" w:hAnsi="Cambria"/>
          <w:i/>
        </w:rPr>
        <w:t>Phytophthora ramorum</w:t>
      </w:r>
      <w:r>
        <w:rPr>
          <w:rFonts w:ascii="Cambria" w:hAnsi="Cambria"/>
        </w:rPr>
        <w:t xml:space="preserve">, causal agent of </w:t>
      </w:r>
      <w:r>
        <w:rPr>
          <w:rFonts w:ascii="Cambria" w:hAnsi="Cambria"/>
          <w:i/>
        </w:rPr>
        <w:t>phytophthora</w:t>
      </w:r>
      <w:r>
        <w:rPr>
          <w:rFonts w:ascii="Cambria" w:hAnsi="Cambria"/>
        </w:rPr>
        <w:t xml:space="preserve"> canker (sudden oak death), ramorum leaf blight, and ramorum dieback’, USDA, APHIS, PPQ, Center for Plant Health Science and Technology, Plant Epidemiology and Risk Analysis Laboratory. </w:t>
      </w:r>
    </w:p>
    <w:p w:rsidR="00E94405" w:rsidRDefault="00A11609">
      <w:pPr>
        <w:autoSpaceDE w:val="0"/>
        <w:autoSpaceDN w:val="0"/>
        <w:adjustRightInd w:val="0"/>
        <w:spacing w:before="200"/>
        <w:rPr>
          <w:rFonts w:ascii="Cambria" w:hAnsi="Cambria"/>
        </w:rPr>
      </w:pPr>
      <w:r>
        <w:rPr>
          <w:rFonts w:ascii="Cambria" w:hAnsi="Cambria"/>
        </w:rPr>
        <w:t xml:space="preserve">Chastagner, GA &amp; Riley, KL 2010, ‘First report of </w:t>
      </w:r>
      <w:r>
        <w:rPr>
          <w:rFonts w:ascii="Cambria" w:hAnsi="Cambria"/>
          <w:i/>
        </w:rPr>
        <w:t>Phytophthora ramorum</w:t>
      </w:r>
      <w:r>
        <w:rPr>
          <w:rFonts w:ascii="Cambria" w:hAnsi="Cambria"/>
        </w:rPr>
        <w:t xml:space="preserve"> infecting California red fir in California’, </w:t>
      </w:r>
      <w:r>
        <w:rPr>
          <w:rFonts w:ascii="Cambria" w:hAnsi="Cambria"/>
          <w:i/>
        </w:rPr>
        <w:t>Plant Disease</w:t>
      </w:r>
      <w:r>
        <w:rPr>
          <w:rFonts w:ascii="Cambria" w:hAnsi="Cambria"/>
        </w:rPr>
        <w:t xml:space="preserve">, 94: 1170. </w:t>
      </w:r>
    </w:p>
    <w:p w:rsidR="00E94405" w:rsidRDefault="00A11609">
      <w:pPr>
        <w:autoSpaceDE w:val="0"/>
        <w:autoSpaceDN w:val="0"/>
        <w:adjustRightInd w:val="0"/>
        <w:spacing w:before="200"/>
        <w:rPr>
          <w:rFonts w:ascii="Cambria" w:hAnsi="Cambria"/>
        </w:rPr>
      </w:pPr>
      <w:r>
        <w:rPr>
          <w:rFonts w:ascii="Cambria" w:hAnsi="Cambria"/>
        </w:rPr>
        <w:t xml:space="preserve">Chastagner, GA, Riley, K &amp; Dart, N 2008, ‘Recovery of </w:t>
      </w:r>
      <w:r>
        <w:rPr>
          <w:rFonts w:ascii="Cambria" w:hAnsi="Cambria"/>
          <w:i/>
        </w:rPr>
        <w:t>Phytophthora ramorum</w:t>
      </w:r>
      <w:r>
        <w:rPr>
          <w:rFonts w:ascii="Cambria" w:hAnsi="Cambria"/>
        </w:rPr>
        <w:t xml:space="preserve"> from mistletoe and California bay inflorescences and possible implications relating to disease spread’, </w:t>
      </w:r>
      <w:r>
        <w:rPr>
          <w:rFonts w:ascii="Cambria" w:hAnsi="Cambria"/>
          <w:i/>
        </w:rPr>
        <w:t>Proceedings of the Sudden Oak Death Symposium III</w:t>
      </w:r>
      <w:r>
        <w:rPr>
          <w:rFonts w:ascii="Cambria" w:hAnsi="Cambria"/>
        </w:rPr>
        <w:t>, Santa Rosa, California.</w:t>
      </w:r>
    </w:p>
    <w:p w:rsidR="00E94405" w:rsidRDefault="00A11609">
      <w:pPr>
        <w:autoSpaceDE w:val="0"/>
        <w:autoSpaceDN w:val="0"/>
        <w:adjustRightInd w:val="0"/>
        <w:spacing w:before="200"/>
        <w:rPr>
          <w:rFonts w:ascii="Cambria" w:hAnsi="Cambria"/>
        </w:rPr>
      </w:pPr>
      <w:r>
        <w:rPr>
          <w:rFonts w:ascii="Cambria" w:hAnsi="Cambria"/>
        </w:rPr>
        <w:t xml:space="preserve">Chimento, A, Cacciola, SO &amp; Garbelotto, M 2012, ‘Detection of mRNA by reverse-transcription PCR as an indicator of viability in </w:t>
      </w:r>
      <w:r>
        <w:rPr>
          <w:rFonts w:ascii="Cambria" w:hAnsi="Cambria"/>
          <w:i/>
        </w:rPr>
        <w:t>Phytophthora ramorum</w:t>
      </w:r>
      <w:r>
        <w:rPr>
          <w:rFonts w:ascii="Cambria" w:hAnsi="Cambria"/>
        </w:rPr>
        <w:t xml:space="preserve">’, </w:t>
      </w:r>
      <w:r>
        <w:rPr>
          <w:rFonts w:ascii="Cambria" w:hAnsi="Cambria"/>
          <w:i/>
        </w:rPr>
        <w:t>Forest Pathology</w:t>
      </w:r>
      <w:r>
        <w:rPr>
          <w:rFonts w:ascii="Cambria" w:hAnsi="Cambria"/>
        </w:rPr>
        <w:t>, 42: 14–21.</w:t>
      </w:r>
    </w:p>
    <w:p w:rsidR="00E94405" w:rsidRDefault="00A11609">
      <w:pPr>
        <w:autoSpaceDE w:val="0"/>
        <w:autoSpaceDN w:val="0"/>
        <w:adjustRightInd w:val="0"/>
        <w:spacing w:before="200"/>
        <w:rPr>
          <w:rFonts w:ascii="Cambria" w:hAnsi="Cambria"/>
        </w:rPr>
      </w:pPr>
      <w:r>
        <w:rPr>
          <w:rFonts w:ascii="Cambria" w:hAnsi="Cambria"/>
          <w:color w:val="000000"/>
        </w:rPr>
        <w:t>Cobb</w:t>
      </w:r>
      <w:r>
        <w:rPr>
          <w:rFonts w:ascii="Cambria" w:hAnsi="Cambria"/>
        </w:rPr>
        <w:t>,</w:t>
      </w:r>
      <w:r>
        <w:rPr>
          <w:rFonts w:ascii="Cambria" w:hAnsi="Cambria"/>
          <w:color w:val="000000"/>
        </w:rPr>
        <w:t xml:space="preserve"> RC, Meentemeyer</w:t>
      </w:r>
      <w:r>
        <w:rPr>
          <w:rFonts w:ascii="Cambria" w:hAnsi="Cambria"/>
        </w:rPr>
        <w:t>,</w:t>
      </w:r>
      <w:r>
        <w:rPr>
          <w:rFonts w:ascii="Cambria" w:hAnsi="Cambria"/>
          <w:color w:val="000000"/>
        </w:rPr>
        <w:t xml:space="preserve"> RK</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2010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Apparent competition in canopy trees determined by pathogen transmission rather than susceptibility</w:t>
      </w:r>
      <w:r>
        <w:rPr>
          <w:rFonts w:ascii="Cambria" w:hAnsi="Cambria"/>
        </w:rPr>
        <w:t xml:space="preserve">’, </w:t>
      </w:r>
      <w:r>
        <w:rPr>
          <w:rFonts w:ascii="Cambria" w:hAnsi="Cambria"/>
          <w:i/>
          <w:color w:val="000000"/>
        </w:rPr>
        <w:t>Ecology</w:t>
      </w:r>
      <w:r>
        <w:rPr>
          <w:rFonts w:ascii="Cambria" w:hAnsi="Cambria"/>
        </w:rPr>
        <w:t xml:space="preserve">, </w:t>
      </w:r>
      <w:r>
        <w:rPr>
          <w:rFonts w:ascii="Cambria" w:hAnsi="Cambria"/>
          <w:color w:val="000000"/>
        </w:rPr>
        <w:t>91: 327–333.</w:t>
      </w:r>
    </w:p>
    <w:p w:rsidR="00E94405" w:rsidRDefault="00A11609">
      <w:pPr>
        <w:autoSpaceDE w:val="0"/>
        <w:autoSpaceDN w:val="0"/>
        <w:adjustRightInd w:val="0"/>
        <w:spacing w:before="200"/>
        <w:rPr>
          <w:rFonts w:ascii="Cambria" w:hAnsi="Cambria"/>
          <w:color w:val="000000"/>
        </w:rPr>
      </w:pPr>
      <w:r>
        <w:rPr>
          <w:rFonts w:ascii="Cambria" w:hAnsi="Cambria"/>
          <w:color w:val="000000"/>
        </w:rPr>
        <w:t>Colburn</w:t>
      </w:r>
      <w:r>
        <w:rPr>
          <w:rFonts w:ascii="Cambria" w:hAnsi="Cambria"/>
        </w:rPr>
        <w:t>,</w:t>
      </w:r>
      <w:r>
        <w:rPr>
          <w:rFonts w:ascii="Cambria" w:hAnsi="Cambria"/>
          <w:color w:val="000000"/>
        </w:rPr>
        <w:t xml:space="preserve"> GC, Sechler</w:t>
      </w:r>
      <w:r>
        <w:rPr>
          <w:rFonts w:ascii="Cambria" w:hAnsi="Cambria"/>
        </w:rPr>
        <w:t>,</w:t>
      </w:r>
      <w:r>
        <w:rPr>
          <w:rFonts w:ascii="Cambria" w:hAnsi="Cambria"/>
          <w:color w:val="000000"/>
        </w:rPr>
        <w:t xml:space="preserve"> KE</w:t>
      </w:r>
      <w:r>
        <w:rPr>
          <w:rFonts w:ascii="Cambria" w:hAnsi="Cambria"/>
        </w:rPr>
        <w:t xml:space="preserve"> &amp;</w:t>
      </w:r>
      <w:r>
        <w:rPr>
          <w:rFonts w:ascii="Cambria" w:hAnsi="Cambria"/>
          <w:color w:val="000000"/>
        </w:rPr>
        <w:t xml:space="preserve"> Shiskoff</w:t>
      </w:r>
      <w:r>
        <w:rPr>
          <w:rFonts w:ascii="Cambria" w:hAnsi="Cambria"/>
        </w:rPr>
        <w:t>,</w:t>
      </w:r>
      <w:r>
        <w:rPr>
          <w:rFonts w:ascii="Cambria" w:hAnsi="Cambria"/>
          <w:color w:val="000000"/>
        </w:rPr>
        <w:t xml:space="preserve"> N 2005</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Survivability and pathogenicity of </w:t>
      </w:r>
      <w:r>
        <w:rPr>
          <w:rFonts w:ascii="Cambria" w:hAnsi="Cambria"/>
          <w:i/>
        </w:rPr>
        <w:t>Phytophthora ramorum</w:t>
      </w:r>
      <w:r>
        <w:rPr>
          <w:rFonts w:ascii="Cambria" w:hAnsi="Cambria"/>
          <w:color w:val="000000"/>
        </w:rPr>
        <w:t xml:space="preserve"> chlamydospores in soil</w:t>
      </w:r>
      <w:r>
        <w:rPr>
          <w:rFonts w:ascii="Cambria" w:hAnsi="Cambria"/>
        </w:rPr>
        <w:t xml:space="preserve">’, </w:t>
      </w:r>
      <w:r>
        <w:rPr>
          <w:rFonts w:ascii="Cambria" w:hAnsi="Cambria"/>
          <w:i/>
          <w:color w:val="000000"/>
        </w:rPr>
        <w:t>Phytopathology</w:t>
      </w:r>
      <w:r>
        <w:rPr>
          <w:rFonts w:ascii="Cambria" w:hAnsi="Cambria"/>
        </w:rPr>
        <w:t xml:space="preserve">, </w:t>
      </w:r>
      <w:r>
        <w:rPr>
          <w:rFonts w:ascii="Cambria" w:hAnsi="Cambria"/>
          <w:color w:val="000000"/>
        </w:rPr>
        <w:t>95:S20.</w:t>
      </w:r>
    </w:p>
    <w:p w:rsidR="00E94405" w:rsidRDefault="00A11609">
      <w:pPr>
        <w:autoSpaceDE w:val="0"/>
        <w:autoSpaceDN w:val="0"/>
        <w:adjustRightInd w:val="0"/>
        <w:spacing w:before="200"/>
        <w:rPr>
          <w:rFonts w:ascii="Cambria" w:hAnsi="Cambria"/>
        </w:rPr>
      </w:pPr>
      <w:r>
        <w:rPr>
          <w:rFonts w:ascii="Cambria" w:hAnsi="Cambria"/>
        </w:rPr>
        <w:t>Commonwealth of Australia 2001, Australian Natural Resources Atlas and Data Library www.environment.gov.au/atlas.</w:t>
      </w:r>
    </w:p>
    <w:p w:rsidR="00E94405" w:rsidRDefault="00A11609">
      <w:pPr>
        <w:autoSpaceDE w:val="0"/>
        <w:autoSpaceDN w:val="0"/>
        <w:adjustRightInd w:val="0"/>
        <w:spacing w:before="200"/>
        <w:rPr>
          <w:rFonts w:ascii="Cambria" w:hAnsi="Cambria"/>
        </w:rPr>
      </w:pPr>
      <w:r>
        <w:rPr>
          <w:rFonts w:ascii="Cambria" w:hAnsi="Cambria"/>
        </w:rPr>
        <w:t xml:space="preserve">COMTF 2012, California Oak Mortality Task Force, accessed June 2012, http://www.suddenoakdeath.org/. </w:t>
      </w:r>
    </w:p>
    <w:p w:rsidR="00E94405" w:rsidRDefault="00A11609">
      <w:pPr>
        <w:autoSpaceDE w:val="0"/>
        <w:autoSpaceDN w:val="0"/>
        <w:adjustRightInd w:val="0"/>
        <w:spacing w:before="200"/>
        <w:rPr>
          <w:rFonts w:ascii="Cambria" w:hAnsi="Cambria"/>
        </w:rPr>
      </w:pPr>
      <w:r>
        <w:rPr>
          <w:rFonts w:ascii="Cambria" w:hAnsi="Cambria"/>
          <w:color w:val="000000"/>
        </w:rPr>
        <w:t>Cooke, DEL, Drenth, A, Duncan, JM, Wagels, G</w:t>
      </w:r>
      <w:r>
        <w:rPr>
          <w:rFonts w:ascii="Cambria" w:hAnsi="Cambria"/>
        </w:rPr>
        <w:t xml:space="preserve"> &amp;</w:t>
      </w:r>
      <w:r>
        <w:rPr>
          <w:rFonts w:ascii="Cambria" w:hAnsi="Cambria"/>
          <w:color w:val="000000"/>
        </w:rPr>
        <w:t xml:space="preserve"> Brasier, CM 2000, ‘A molecular phylogeny of </w:t>
      </w:r>
      <w:r>
        <w:rPr>
          <w:rFonts w:ascii="Cambria" w:hAnsi="Cambria"/>
          <w:i/>
          <w:color w:val="000000"/>
        </w:rPr>
        <w:t>Phytophthora</w:t>
      </w:r>
      <w:r>
        <w:rPr>
          <w:rFonts w:ascii="Cambria" w:hAnsi="Cambria"/>
        </w:rPr>
        <w:t xml:space="preserve"> and related oomycetes</w:t>
      </w:r>
      <w:r>
        <w:rPr>
          <w:rFonts w:ascii="Cambria" w:hAnsi="Cambria"/>
          <w:color w:val="000000"/>
        </w:rPr>
        <w:t xml:space="preserve">’, </w:t>
      </w:r>
      <w:r>
        <w:rPr>
          <w:rFonts w:ascii="Cambria" w:hAnsi="Cambria"/>
          <w:i/>
          <w:color w:val="000000"/>
        </w:rPr>
        <w:t>Fungal Genetics and Biology</w:t>
      </w:r>
      <w:r>
        <w:rPr>
          <w:rFonts w:ascii="Cambria" w:hAnsi="Cambria"/>
        </w:rPr>
        <w:t>, 30: 17–32.</w:t>
      </w:r>
    </w:p>
    <w:p w:rsidR="00E94405" w:rsidRDefault="00A11609">
      <w:pPr>
        <w:autoSpaceDE w:val="0"/>
        <w:autoSpaceDN w:val="0"/>
        <w:adjustRightInd w:val="0"/>
        <w:spacing w:before="200"/>
        <w:rPr>
          <w:rFonts w:ascii="Cambria" w:hAnsi="Cambria"/>
        </w:rPr>
      </w:pPr>
      <w:r>
        <w:rPr>
          <w:rFonts w:ascii="Cambria" w:hAnsi="Cambria"/>
          <w:color w:val="000000"/>
        </w:rPr>
        <w:t>Cushman</w:t>
      </w:r>
      <w:r>
        <w:rPr>
          <w:rFonts w:ascii="Cambria" w:hAnsi="Cambria"/>
        </w:rPr>
        <w:t>,</w:t>
      </w:r>
      <w:r>
        <w:rPr>
          <w:rFonts w:ascii="Cambria" w:hAnsi="Cambria"/>
          <w:color w:val="000000"/>
        </w:rPr>
        <w:t xml:space="preserve"> JH</w:t>
      </w:r>
      <w:r>
        <w:rPr>
          <w:rFonts w:ascii="Cambria" w:hAnsi="Cambria"/>
        </w:rPr>
        <w:t xml:space="preserve"> &amp;</w:t>
      </w:r>
      <w:r>
        <w:rPr>
          <w:rFonts w:ascii="Cambria" w:hAnsi="Cambria"/>
          <w:color w:val="000000"/>
        </w:rPr>
        <w:t xml:space="preserve"> Meentemeyer</w:t>
      </w:r>
      <w:r>
        <w:rPr>
          <w:rFonts w:ascii="Cambria" w:hAnsi="Cambria"/>
        </w:rPr>
        <w:t>,</w:t>
      </w:r>
      <w:r>
        <w:rPr>
          <w:rFonts w:ascii="Cambria" w:hAnsi="Cambria"/>
          <w:color w:val="000000"/>
        </w:rPr>
        <w:t xml:space="preserve"> RK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Multi-scale patterns of human activity and the incidence of an exotic forest pathogen</w:t>
      </w:r>
      <w:r>
        <w:rPr>
          <w:rFonts w:ascii="Cambria" w:hAnsi="Cambria"/>
        </w:rPr>
        <w:t xml:space="preserve">’, </w:t>
      </w:r>
      <w:r>
        <w:rPr>
          <w:rFonts w:ascii="Cambria" w:hAnsi="Cambria"/>
          <w:i/>
          <w:color w:val="000000"/>
        </w:rPr>
        <w:t>Journal of Ecology</w:t>
      </w:r>
      <w:r>
        <w:rPr>
          <w:rFonts w:ascii="Cambria" w:hAnsi="Cambria"/>
        </w:rPr>
        <w:t xml:space="preserve">, </w:t>
      </w:r>
      <w:r>
        <w:rPr>
          <w:rFonts w:ascii="Cambria" w:hAnsi="Cambria"/>
          <w:color w:val="000000"/>
        </w:rPr>
        <w:t>96: 766–776.</w:t>
      </w:r>
    </w:p>
    <w:p w:rsidR="00E94405" w:rsidRDefault="00A11609">
      <w:pPr>
        <w:autoSpaceDE w:val="0"/>
        <w:autoSpaceDN w:val="0"/>
        <w:adjustRightInd w:val="0"/>
        <w:spacing w:before="200"/>
        <w:rPr>
          <w:rFonts w:ascii="Cambria" w:hAnsi="Cambria"/>
        </w:rPr>
      </w:pPr>
      <w:r>
        <w:rPr>
          <w:rFonts w:ascii="Cambria" w:hAnsi="Cambria"/>
          <w:color w:val="000000"/>
        </w:rPr>
        <w:t>Dart</w:t>
      </w:r>
      <w:r>
        <w:rPr>
          <w:rFonts w:ascii="Cambria" w:hAnsi="Cambria"/>
        </w:rPr>
        <w:t>,</w:t>
      </w:r>
      <w:r>
        <w:rPr>
          <w:rFonts w:ascii="Cambria" w:hAnsi="Cambria"/>
          <w:color w:val="000000"/>
        </w:rPr>
        <w:t xml:space="preserve"> NL, Chastagner</w:t>
      </w:r>
      <w:r>
        <w:rPr>
          <w:rFonts w:ascii="Cambria" w:hAnsi="Cambria"/>
        </w:rPr>
        <w:t>,</w:t>
      </w:r>
      <w:r>
        <w:rPr>
          <w:rFonts w:ascii="Cambria" w:hAnsi="Cambria"/>
          <w:color w:val="000000"/>
        </w:rPr>
        <w:t xml:space="preserve"> GA 2007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Estimated economic losses associated with the destruction of plants due to </w:t>
      </w:r>
      <w:r>
        <w:rPr>
          <w:rFonts w:ascii="Cambria" w:hAnsi="Cambria"/>
          <w:i/>
          <w:color w:val="000000"/>
        </w:rPr>
        <w:t>Phytophthora ramorum</w:t>
      </w:r>
      <w:r>
        <w:rPr>
          <w:rFonts w:ascii="Cambria" w:hAnsi="Cambria"/>
          <w:color w:val="000000"/>
        </w:rPr>
        <w:t xml:space="preserve"> quarantine efforts in Washington State</w:t>
      </w:r>
      <w:r>
        <w:rPr>
          <w:rFonts w:ascii="Cambria" w:hAnsi="Cambria"/>
        </w:rPr>
        <w:t xml:space="preserve">’, </w:t>
      </w:r>
      <w:r>
        <w:rPr>
          <w:rFonts w:ascii="Cambria" w:hAnsi="Cambria"/>
          <w:i/>
          <w:color w:val="000000"/>
        </w:rPr>
        <w:t xml:space="preserve">Plant Management </w:t>
      </w:r>
      <w:r>
        <w:rPr>
          <w:rFonts w:ascii="Cambria" w:hAnsi="Cambria"/>
          <w:color w:val="000000"/>
        </w:rPr>
        <w:t>Network</w:t>
      </w:r>
      <w:r>
        <w:rPr>
          <w:rFonts w:ascii="Cambria" w:hAnsi="Cambria"/>
          <w:i/>
        </w:rPr>
        <w:t>,</w:t>
      </w:r>
      <w:r>
        <w:rPr>
          <w:rFonts w:ascii="Cambria" w:hAnsi="Cambria"/>
          <w:i/>
          <w:color w:val="000000"/>
        </w:rPr>
        <w:t xml:space="preserve"> Plant Health Progress</w:t>
      </w:r>
      <w:r>
        <w:rPr>
          <w:rFonts w:ascii="Cambria" w:hAnsi="Cambria"/>
        </w:rPr>
        <w:t>, accessed August 2007</w:t>
      </w:r>
      <w:r>
        <w:rPr>
          <w:rFonts w:ascii="Cambria" w:hAnsi="Cambria"/>
          <w:color w:val="000000"/>
        </w:rPr>
        <w:t xml:space="preserve">, </w:t>
      </w:r>
      <w:r>
        <w:rPr>
          <w:rFonts w:ascii="Cambria" w:hAnsi="Cambria"/>
        </w:rPr>
        <w:t xml:space="preserve">doi:10.1094/PHP-2007-0508-02-RS. </w:t>
      </w:r>
    </w:p>
    <w:p w:rsidR="00E94405" w:rsidRDefault="00A11609">
      <w:pPr>
        <w:autoSpaceDE w:val="0"/>
        <w:autoSpaceDN w:val="0"/>
        <w:adjustRightInd w:val="0"/>
        <w:spacing w:before="200"/>
        <w:rPr>
          <w:rFonts w:ascii="Cambria" w:hAnsi="Cambria"/>
        </w:rPr>
      </w:pPr>
      <w:r>
        <w:rPr>
          <w:rFonts w:ascii="Cambria" w:hAnsi="Cambria"/>
          <w:color w:val="000000"/>
        </w:rPr>
        <w:lastRenderedPageBreak/>
        <w:t>Dart, NL, Chastagner, GA, Rugarber, EF</w:t>
      </w:r>
      <w:r>
        <w:rPr>
          <w:rFonts w:ascii="Cambria" w:hAnsi="Cambria"/>
        </w:rPr>
        <w:t xml:space="preserve"> &amp;</w:t>
      </w:r>
      <w:r>
        <w:rPr>
          <w:rFonts w:ascii="Cambria" w:hAnsi="Cambria"/>
          <w:color w:val="000000"/>
        </w:rPr>
        <w:t xml:space="preserve"> Riley, KL 2007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Recovery frequency of </w:t>
      </w:r>
      <w:r>
        <w:rPr>
          <w:rFonts w:ascii="Cambria" w:hAnsi="Cambria"/>
          <w:i/>
        </w:rPr>
        <w:t>Phytophthora ramorum</w:t>
      </w:r>
      <w:r>
        <w:rPr>
          <w:rFonts w:ascii="Cambria" w:hAnsi="Cambria"/>
          <w:color w:val="000000"/>
        </w:rPr>
        <w:t xml:space="preserve"> and other </w:t>
      </w:r>
      <w:r>
        <w:rPr>
          <w:rFonts w:ascii="Cambria" w:hAnsi="Cambria"/>
          <w:i/>
          <w:color w:val="000000"/>
        </w:rPr>
        <w:t>Phytophthora</w:t>
      </w:r>
      <w:r>
        <w:rPr>
          <w:rFonts w:ascii="Cambria" w:hAnsi="Cambria"/>
          <w:color w:val="000000"/>
        </w:rPr>
        <w:t xml:space="preserve"> </w:t>
      </w:r>
      <w:r>
        <w:rPr>
          <w:rFonts w:ascii="Cambria" w:hAnsi="Cambria"/>
        </w:rPr>
        <w:t>species</w:t>
      </w:r>
      <w:r>
        <w:rPr>
          <w:rFonts w:ascii="Cambria" w:hAnsi="Cambria"/>
          <w:color w:val="000000"/>
        </w:rPr>
        <w:t xml:space="preserve"> in the soil profile of ornamental retail nurseries</w:t>
      </w:r>
      <w:r>
        <w:rPr>
          <w:rFonts w:ascii="Cambria" w:hAnsi="Cambria"/>
        </w:rPr>
        <w:t xml:space="preserve">’, </w:t>
      </w:r>
      <w:r>
        <w:rPr>
          <w:rFonts w:ascii="Cambria" w:hAnsi="Cambria"/>
          <w:i/>
          <w:color w:val="000000"/>
        </w:rPr>
        <w:t>Plant Disease</w:t>
      </w:r>
      <w:r>
        <w:rPr>
          <w:rFonts w:ascii="Cambria" w:hAnsi="Cambria"/>
        </w:rPr>
        <w:t>,</w:t>
      </w:r>
      <w:r>
        <w:rPr>
          <w:rFonts w:ascii="Cambria" w:hAnsi="Cambria"/>
          <w:color w:val="000000"/>
        </w:rPr>
        <w:t xml:space="preserve"> 91: 1419</w:t>
      </w:r>
      <w:r>
        <w:rPr>
          <w:rFonts w:ascii="Cambria" w:hAnsi="Cambria"/>
        </w:rPr>
        <w:t>–</w:t>
      </w:r>
      <w:r>
        <w:rPr>
          <w:rFonts w:ascii="Cambria" w:hAnsi="Cambria"/>
          <w:color w:val="000000"/>
        </w:rPr>
        <w:t>1422.</w:t>
      </w:r>
    </w:p>
    <w:p w:rsidR="00E94405" w:rsidRDefault="00A11609">
      <w:pPr>
        <w:autoSpaceDE w:val="0"/>
        <w:autoSpaceDN w:val="0"/>
        <w:adjustRightInd w:val="0"/>
        <w:spacing w:before="200"/>
        <w:rPr>
          <w:rFonts w:ascii="Cambria" w:hAnsi="Cambria"/>
        </w:rPr>
      </w:pPr>
      <w:r>
        <w:rPr>
          <w:rFonts w:ascii="Cambria" w:hAnsi="Cambria"/>
        </w:rPr>
        <w:t xml:space="preserve">Davidson, JM &amp; Shaw, CG 2003, ‘Pathways of movement for </w:t>
      </w:r>
      <w:r>
        <w:rPr>
          <w:rFonts w:ascii="Cambria" w:hAnsi="Cambria"/>
          <w:i/>
        </w:rPr>
        <w:t>Phytophthora ramorum</w:t>
      </w:r>
      <w:r>
        <w:rPr>
          <w:rFonts w:ascii="Cambria" w:hAnsi="Cambria"/>
        </w:rPr>
        <w:t xml:space="preserve">, the causal agent of Sudden Oak Death’, </w:t>
      </w:r>
      <w:r>
        <w:rPr>
          <w:rFonts w:ascii="Cambria" w:hAnsi="Cambria"/>
          <w:i/>
          <w:color w:val="000000"/>
        </w:rPr>
        <w:t>Sudden Oak Death Online Symposium</w:t>
      </w:r>
      <w:r>
        <w:rPr>
          <w:rFonts w:ascii="Cambria" w:hAnsi="Cambria"/>
        </w:rPr>
        <w:t xml:space="preserve">, doi:10.1094/SOD-2003-TS, www.apsnet.org/online/SOD. </w:t>
      </w:r>
    </w:p>
    <w:p w:rsidR="00E94405" w:rsidRDefault="00A11609">
      <w:pPr>
        <w:autoSpaceDE w:val="0"/>
        <w:autoSpaceDN w:val="0"/>
        <w:adjustRightInd w:val="0"/>
        <w:spacing w:before="200"/>
        <w:rPr>
          <w:rFonts w:ascii="Cambria" w:hAnsi="Cambria"/>
        </w:rPr>
      </w:pPr>
      <w:r>
        <w:rPr>
          <w:rFonts w:ascii="Cambria" w:hAnsi="Cambria"/>
          <w:color w:val="000000"/>
        </w:rPr>
        <w:t>Davidson</w:t>
      </w:r>
      <w:r>
        <w:rPr>
          <w:rFonts w:ascii="Cambria" w:hAnsi="Cambria"/>
        </w:rPr>
        <w:t>,</w:t>
      </w:r>
      <w:r>
        <w:rPr>
          <w:rFonts w:ascii="Cambria" w:hAnsi="Cambria"/>
          <w:color w:val="000000"/>
        </w:rPr>
        <w:t xml:space="preserve"> JM, Garbelotto</w:t>
      </w:r>
      <w:r>
        <w:rPr>
          <w:rFonts w:ascii="Cambria" w:hAnsi="Cambria"/>
        </w:rPr>
        <w:t>,</w:t>
      </w:r>
      <w:r>
        <w:rPr>
          <w:rFonts w:ascii="Cambria" w:hAnsi="Cambria"/>
          <w:color w:val="000000"/>
        </w:rPr>
        <w:t xml:space="preserve"> M, Koike</w:t>
      </w:r>
      <w:r>
        <w:rPr>
          <w:rFonts w:ascii="Cambria" w:hAnsi="Cambria"/>
        </w:rPr>
        <w:t>,</w:t>
      </w:r>
      <w:r>
        <w:rPr>
          <w:rFonts w:ascii="Cambria" w:hAnsi="Cambria"/>
          <w:color w:val="000000"/>
        </w:rPr>
        <w:t xml:space="preserve"> ST</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2002c</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on Douglas fir in California</w:t>
      </w:r>
      <w:r>
        <w:rPr>
          <w:rFonts w:ascii="Cambria" w:hAnsi="Cambria"/>
        </w:rPr>
        <w:t xml:space="preserve">’, </w:t>
      </w:r>
      <w:r>
        <w:rPr>
          <w:rFonts w:ascii="Cambria" w:hAnsi="Cambria"/>
          <w:i/>
          <w:color w:val="000000"/>
        </w:rPr>
        <w:t>Plant Disease</w:t>
      </w:r>
      <w:r>
        <w:rPr>
          <w:rFonts w:ascii="Cambria" w:hAnsi="Cambria"/>
        </w:rPr>
        <w:t>,</w:t>
      </w:r>
      <w:r>
        <w:rPr>
          <w:rFonts w:ascii="Cambria" w:hAnsi="Cambria"/>
          <w:color w:val="000000"/>
        </w:rPr>
        <w:t xml:space="preserve"> 86: 1274. </w:t>
      </w:r>
    </w:p>
    <w:p w:rsidR="00E94405" w:rsidRDefault="00A11609">
      <w:pPr>
        <w:autoSpaceDE w:val="0"/>
        <w:autoSpaceDN w:val="0"/>
        <w:adjustRightInd w:val="0"/>
        <w:spacing w:before="200"/>
        <w:rPr>
          <w:rFonts w:ascii="Cambria" w:hAnsi="Cambria"/>
        </w:rPr>
      </w:pPr>
      <w:r>
        <w:rPr>
          <w:rFonts w:ascii="Cambria" w:hAnsi="Cambria"/>
        </w:rPr>
        <w:t xml:space="preserve">Davidson, JM, Maloney, PE, Wickland, AC, Morse, AC, Jensen, CE &amp; Rizzo, DM 2002b, ‘Transmission of </w:t>
      </w:r>
      <w:r>
        <w:rPr>
          <w:rFonts w:ascii="Cambria" w:hAnsi="Cambria"/>
          <w:i/>
        </w:rPr>
        <w:t>Phytophthora ramorum</w:t>
      </w:r>
      <w:r>
        <w:rPr>
          <w:rFonts w:ascii="Cambria" w:hAnsi="Cambria"/>
        </w:rPr>
        <w:t xml:space="preserve"> via </w:t>
      </w:r>
      <w:r>
        <w:rPr>
          <w:rFonts w:ascii="Cambria" w:hAnsi="Cambria"/>
          <w:i/>
          <w:color w:val="000000"/>
        </w:rPr>
        <w:t>Umbellularia californica</w:t>
      </w:r>
      <w:r>
        <w:rPr>
          <w:rFonts w:ascii="Cambria" w:hAnsi="Cambria"/>
        </w:rPr>
        <w:t xml:space="preserve"> (California bay) leaves in California oak woodlands’ [Abstract], </w:t>
      </w:r>
      <w:r>
        <w:rPr>
          <w:rFonts w:ascii="Cambria" w:hAnsi="Cambria"/>
          <w:i/>
          <w:color w:val="000000"/>
        </w:rPr>
        <w:t>Proceedings of the Sudden Oak Death, A Science Symposium</w:t>
      </w:r>
      <w:r>
        <w:rPr>
          <w:rFonts w:ascii="Cambria" w:hAnsi="Cambria"/>
        </w:rPr>
        <w:t xml:space="preserve">, 9. </w:t>
      </w:r>
    </w:p>
    <w:p w:rsidR="00E94405" w:rsidRDefault="00A11609">
      <w:pPr>
        <w:autoSpaceDE w:val="0"/>
        <w:autoSpaceDN w:val="0"/>
        <w:adjustRightInd w:val="0"/>
        <w:spacing w:before="200"/>
        <w:rPr>
          <w:rFonts w:ascii="Cambria" w:hAnsi="Cambria"/>
        </w:rPr>
      </w:pPr>
      <w:r>
        <w:rPr>
          <w:rFonts w:ascii="Cambria" w:hAnsi="Cambria"/>
          <w:color w:val="000000"/>
        </w:rPr>
        <w:t>Davidson</w:t>
      </w:r>
      <w:r>
        <w:rPr>
          <w:rFonts w:ascii="Cambria" w:hAnsi="Cambria"/>
        </w:rPr>
        <w:t>,</w:t>
      </w:r>
      <w:r>
        <w:rPr>
          <w:rFonts w:ascii="Cambria" w:hAnsi="Cambria"/>
          <w:color w:val="000000"/>
        </w:rPr>
        <w:t xml:space="preserve"> JM, Patterson</w:t>
      </w:r>
      <w:r>
        <w:rPr>
          <w:rFonts w:ascii="Cambria" w:hAnsi="Cambria"/>
        </w:rPr>
        <w:t>,</w:t>
      </w:r>
      <w:r>
        <w:rPr>
          <w:rFonts w:ascii="Cambria" w:hAnsi="Cambria"/>
          <w:color w:val="000000"/>
        </w:rPr>
        <w:t xml:space="preserve"> HA</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Sources of inoculum for </w:t>
      </w:r>
      <w:r>
        <w:rPr>
          <w:rFonts w:ascii="Cambria" w:hAnsi="Cambria"/>
          <w:i/>
        </w:rPr>
        <w:t>Phytophthora ramorum</w:t>
      </w:r>
      <w:r>
        <w:rPr>
          <w:rFonts w:ascii="Cambria" w:hAnsi="Cambria"/>
          <w:color w:val="000000"/>
        </w:rPr>
        <w:t xml:space="preserve"> in a redwood forest</w:t>
      </w:r>
      <w:r>
        <w:rPr>
          <w:rFonts w:ascii="Cambria" w:hAnsi="Cambria"/>
        </w:rPr>
        <w:t xml:space="preserve">’, </w:t>
      </w:r>
      <w:r>
        <w:rPr>
          <w:rFonts w:ascii="Cambria" w:hAnsi="Cambria"/>
          <w:i/>
          <w:color w:val="000000"/>
        </w:rPr>
        <w:t>Phytopathology</w:t>
      </w:r>
      <w:r>
        <w:rPr>
          <w:rFonts w:ascii="Cambria" w:hAnsi="Cambria"/>
        </w:rPr>
        <w:t>,</w:t>
      </w:r>
      <w:r>
        <w:rPr>
          <w:rFonts w:ascii="Cambria" w:hAnsi="Cambria"/>
          <w:color w:val="000000"/>
        </w:rPr>
        <w:t xml:space="preserve"> 98: 860–866.</w:t>
      </w:r>
    </w:p>
    <w:p w:rsidR="00E94405" w:rsidRDefault="00A11609">
      <w:pPr>
        <w:autoSpaceDE w:val="0"/>
        <w:autoSpaceDN w:val="0"/>
        <w:adjustRightInd w:val="0"/>
        <w:spacing w:before="200"/>
        <w:rPr>
          <w:rFonts w:ascii="Cambria" w:hAnsi="Cambria"/>
        </w:rPr>
      </w:pPr>
      <w:r>
        <w:rPr>
          <w:rFonts w:ascii="Cambria" w:hAnsi="Cambria"/>
        </w:rPr>
        <w:t xml:space="preserve">Davidson, JM, Patterson, HA, Wickland, AC, Fichtner, EJ &amp; Rizzo, DM 2011, ‘Forest type influences transmission of </w:t>
      </w:r>
      <w:r>
        <w:rPr>
          <w:rFonts w:ascii="Cambria" w:hAnsi="Cambria"/>
          <w:i/>
        </w:rPr>
        <w:t>Phytophthora ramorum</w:t>
      </w:r>
      <w:r>
        <w:rPr>
          <w:rFonts w:ascii="Cambria" w:hAnsi="Cambria"/>
        </w:rPr>
        <w:t xml:space="preserve"> in California oak woodlands’, </w:t>
      </w:r>
      <w:r>
        <w:rPr>
          <w:rFonts w:ascii="Cambria" w:hAnsi="Cambria"/>
          <w:i/>
          <w:color w:val="000000"/>
        </w:rPr>
        <w:t>Phytopathology</w:t>
      </w:r>
      <w:r>
        <w:rPr>
          <w:rFonts w:ascii="Cambria" w:hAnsi="Cambria"/>
        </w:rPr>
        <w:t xml:space="preserve">, 101: 492–501. </w:t>
      </w:r>
    </w:p>
    <w:p w:rsidR="00E94405" w:rsidRDefault="00A11609">
      <w:pPr>
        <w:autoSpaceDE w:val="0"/>
        <w:autoSpaceDN w:val="0"/>
        <w:adjustRightInd w:val="0"/>
        <w:spacing w:before="200"/>
        <w:rPr>
          <w:rFonts w:ascii="Cambria" w:hAnsi="Cambria"/>
        </w:rPr>
      </w:pPr>
      <w:r>
        <w:rPr>
          <w:rFonts w:ascii="Cambria" w:hAnsi="Cambria"/>
        </w:rPr>
        <w:t>Davidson, JM, Rizzo, DM, Garbelotto, M, Tjosvold, S &amp; Slaughter, GW 2002a, ‘</w:t>
      </w:r>
      <w:r>
        <w:rPr>
          <w:rFonts w:ascii="Cambria" w:hAnsi="Cambria"/>
          <w:i/>
        </w:rPr>
        <w:t>Phytophthora ramorum</w:t>
      </w:r>
      <w:r>
        <w:rPr>
          <w:rFonts w:ascii="Cambria" w:hAnsi="Cambria"/>
          <w:color w:val="000000"/>
        </w:rPr>
        <w:t xml:space="preserve"> </w:t>
      </w:r>
      <w:r>
        <w:rPr>
          <w:rFonts w:ascii="Cambria" w:hAnsi="Cambria"/>
        </w:rPr>
        <w:t xml:space="preserve">and sudden oak death in California: II Transmission and survival’, </w:t>
      </w:r>
      <w:r>
        <w:rPr>
          <w:rFonts w:ascii="Cambria" w:hAnsi="Cambria"/>
          <w:i/>
          <w:color w:val="000000"/>
        </w:rPr>
        <w:t>Fifth Symposium on California Oak Woodlands</w:t>
      </w:r>
      <w:r>
        <w:rPr>
          <w:rFonts w:ascii="Cambria" w:hAnsi="Cambria"/>
          <w:i/>
        </w:rPr>
        <w:t>,</w:t>
      </w:r>
      <w:r>
        <w:rPr>
          <w:rFonts w:ascii="Cambria" w:hAnsi="Cambria"/>
        </w:rPr>
        <w:t xml:space="preserve"> General Technical Report PSW-GTR-184, 741–749.</w:t>
      </w:r>
    </w:p>
    <w:p w:rsidR="00E94405" w:rsidRDefault="00A11609">
      <w:pPr>
        <w:autoSpaceDE w:val="0"/>
        <w:autoSpaceDN w:val="0"/>
        <w:adjustRightInd w:val="0"/>
        <w:spacing w:before="200"/>
        <w:rPr>
          <w:rFonts w:ascii="Cambria" w:hAnsi="Cambria"/>
        </w:rPr>
      </w:pPr>
      <w:r>
        <w:rPr>
          <w:rFonts w:ascii="Cambria" w:hAnsi="Cambria"/>
        </w:rPr>
        <w:t xml:space="preserve">Davidson, JM, Rizzo, DM, Garbelotto, M, Tjosvold, S, Slaughter, GW &amp; Wickland, C 2003a, ‘Evidence for aerial transmission of </w:t>
      </w:r>
      <w:r>
        <w:rPr>
          <w:rFonts w:ascii="Cambria" w:hAnsi="Cambria"/>
          <w:i/>
        </w:rPr>
        <w:t>Phytophthora ramorum</w:t>
      </w:r>
      <w:r>
        <w:rPr>
          <w:rFonts w:ascii="Cambria" w:hAnsi="Cambria"/>
        </w:rPr>
        <w:t xml:space="preserve"> among </w:t>
      </w:r>
      <w:r>
        <w:rPr>
          <w:rFonts w:ascii="Cambria" w:hAnsi="Cambria"/>
          <w:i/>
          <w:color w:val="000000"/>
        </w:rPr>
        <w:t>Quercus</w:t>
      </w:r>
      <w:r>
        <w:rPr>
          <w:rFonts w:ascii="Cambria" w:hAnsi="Cambria"/>
        </w:rPr>
        <w:t xml:space="preserve"> and </w:t>
      </w:r>
      <w:r>
        <w:rPr>
          <w:rFonts w:ascii="Cambria" w:hAnsi="Cambria"/>
          <w:i/>
          <w:color w:val="000000"/>
        </w:rPr>
        <w:t>Lithocarpus</w:t>
      </w:r>
      <w:r>
        <w:rPr>
          <w:rFonts w:ascii="Cambria" w:hAnsi="Cambria"/>
        </w:rPr>
        <w:t xml:space="preserve"> in California woodlands’, In: '</w:t>
      </w:r>
      <w:r>
        <w:rPr>
          <w:rFonts w:ascii="Cambria" w:hAnsi="Cambria"/>
          <w:i/>
          <w:color w:val="000000"/>
        </w:rPr>
        <w:t>Phytophthora</w:t>
      </w:r>
      <w:r>
        <w:rPr>
          <w:rFonts w:ascii="Cambria" w:hAnsi="Cambria"/>
        </w:rPr>
        <w:t xml:space="preserve"> in Forests and Natural Ecosystems'. 2nd International IUFRO Meeting on </w:t>
      </w:r>
      <w:r>
        <w:rPr>
          <w:rFonts w:ascii="Cambria" w:hAnsi="Cambria"/>
          <w:i/>
          <w:color w:val="000000"/>
        </w:rPr>
        <w:t>Phytophthora</w:t>
      </w:r>
      <w:r>
        <w:rPr>
          <w:rFonts w:ascii="Cambria" w:hAnsi="Cambria"/>
        </w:rPr>
        <w:t xml:space="preserve"> in Forests and Natural Ecosystems, Albany, Western Australia. McComb, JA, Hardy, GEJ &amp;Tommerup, IC (eds.), Murdoch University Print, Perth, Australia, 108–114.</w:t>
      </w:r>
    </w:p>
    <w:p w:rsidR="00E94405" w:rsidRDefault="00A11609">
      <w:pPr>
        <w:autoSpaceDE w:val="0"/>
        <w:autoSpaceDN w:val="0"/>
        <w:adjustRightInd w:val="0"/>
        <w:spacing w:before="200"/>
        <w:rPr>
          <w:rFonts w:ascii="Cambria" w:hAnsi="Cambria"/>
        </w:rPr>
      </w:pPr>
      <w:r>
        <w:rPr>
          <w:rFonts w:ascii="Cambria" w:hAnsi="Cambria"/>
        </w:rPr>
        <w:t xml:space="preserve">Davidson, JM, Werres, S, Garbelotto, M, Hansen, EM &amp; Rizzo, DM 2003b, ‘Sudden oak death and associated diseases caused by </w:t>
      </w:r>
      <w:r>
        <w:rPr>
          <w:rFonts w:ascii="Cambria" w:hAnsi="Cambria"/>
          <w:i/>
        </w:rPr>
        <w:t>Phytophthora ramorum</w:t>
      </w:r>
      <w:r>
        <w:rPr>
          <w:rFonts w:ascii="Cambria" w:hAnsi="Cambria"/>
        </w:rPr>
        <w:t xml:space="preserve">’, </w:t>
      </w:r>
      <w:r>
        <w:rPr>
          <w:rFonts w:ascii="Cambria" w:hAnsi="Cambria"/>
          <w:i/>
          <w:color w:val="000000"/>
        </w:rPr>
        <w:t>Plant Health Progress</w:t>
      </w:r>
      <w:r>
        <w:rPr>
          <w:rFonts w:ascii="Cambria" w:hAnsi="Cambria"/>
        </w:rPr>
        <w:t>, doi:10.1094/PHP-2003-0707-01-DG.</w:t>
      </w:r>
    </w:p>
    <w:p w:rsidR="00E94405" w:rsidRDefault="00A11609">
      <w:pPr>
        <w:autoSpaceDE w:val="0"/>
        <w:autoSpaceDN w:val="0"/>
        <w:adjustRightInd w:val="0"/>
        <w:spacing w:before="200"/>
        <w:rPr>
          <w:rFonts w:ascii="Cambria" w:hAnsi="Cambria"/>
        </w:rPr>
      </w:pPr>
      <w:r>
        <w:rPr>
          <w:rFonts w:ascii="Cambria" w:hAnsi="Cambria"/>
        </w:rPr>
        <w:t xml:space="preserve">Davidson, JM, Wickland, AC, Patterson, HA, Falk, KR &amp; Rizzo, DM 2005, ‘Transmission of </w:t>
      </w:r>
      <w:r>
        <w:rPr>
          <w:rFonts w:ascii="Cambria" w:hAnsi="Cambria"/>
          <w:i/>
        </w:rPr>
        <w:t>Phytophthora ramorum</w:t>
      </w:r>
      <w:r>
        <w:rPr>
          <w:rFonts w:ascii="Cambria" w:hAnsi="Cambria"/>
        </w:rPr>
        <w:t xml:space="preserve"> in mixed-evergreen forest in California’, </w:t>
      </w:r>
      <w:r>
        <w:rPr>
          <w:rFonts w:ascii="Cambria" w:hAnsi="Cambria"/>
          <w:i/>
          <w:color w:val="000000"/>
        </w:rPr>
        <w:t>Phytopathology</w:t>
      </w:r>
      <w:r>
        <w:rPr>
          <w:rFonts w:ascii="Cambria" w:hAnsi="Cambria"/>
        </w:rPr>
        <w:t>, 95: 587–596.</w:t>
      </w:r>
    </w:p>
    <w:p w:rsidR="00E94405" w:rsidRDefault="00A11609">
      <w:pPr>
        <w:autoSpaceDE w:val="0"/>
        <w:autoSpaceDN w:val="0"/>
        <w:adjustRightInd w:val="0"/>
        <w:spacing w:before="200"/>
        <w:rPr>
          <w:rFonts w:ascii="Cambria" w:hAnsi="Cambria"/>
        </w:rPr>
      </w:pPr>
      <w:r>
        <w:rPr>
          <w:rFonts w:ascii="Cambria" w:hAnsi="Cambria"/>
        </w:rPr>
        <w:t>D</w:t>
      </w:r>
      <w:r>
        <w:rPr>
          <w:rFonts w:ascii="Cambria" w:hAnsi="Cambria"/>
          <w:color w:val="000000"/>
        </w:rPr>
        <w:t>avis</w:t>
      </w:r>
      <w:r>
        <w:rPr>
          <w:rFonts w:ascii="Cambria" w:hAnsi="Cambria"/>
        </w:rPr>
        <w:t>,</w:t>
      </w:r>
      <w:r>
        <w:rPr>
          <w:rFonts w:ascii="Cambria" w:hAnsi="Cambria"/>
          <w:color w:val="000000"/>
        </w:rPr>
        <w:t xml:space="preserve"> FW, Borchert</w:t>
      </w:r>
      <w:r>
        <w:rPr>
          <w:rFonts w:ascii="Cambria" w:hAnsi="Cambria"/>
        </w:rPr>
        <w:t>,</w:t>
      </w:r>
      <w:r>
        <w:rPr>
          <w:rFonts w:ascii="Cambria" w:hAnsi="Cambria"/>
          <w:color w:val="000000"/>
        </w:rPr>
        <w:t xml:space="preserve"> M, Meentemeyer</w:t>
      </w:r>
      <w:r>
        <w:rPr>
          <w:rFonts w:ascii="Cambria" w:hAnsi="Cambria"/>
        </w:rPr>
        <w:t>,</w:t>
      </w:r>
      <w:r>
        <w:rPr>
          <w:rFonts w:ascii="Cambria" w:hAnsi="Cambria"/>
          <w:color w:val="000000"/>
        </w:rPr>
        <w:t xml:space="preserve"> RK, Flint</w:t>
      </w:r>
      <w:r>
        <w:rPr>
          <w:rFonts w:ascii="Cambria" w:hAnsi="Cambria"/>
        </w:rPr>
        <w:t>,</w:t>
      </w:r>
      <w:r>
        <w:rPr>
          <w:rFonts w:ascii="Cambria" w:hAnsi="Cambria"/>
          <w:color w:val="000000"/>
        </w:rPr>
        <w:t xml:space="preserve"> A</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2010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Pre-impact forest composition and ongoing tree mortality associated with sudden oak death in the Big Sur region; California</w:t>
      </w:r>
      <w:r>
        <w:rPr>
          <w:rFonts w:ascii="Cambria" w:hAnsi="Cambria"/>
        </w:rPr>
        <w:t xml:space="preserve">’, </w:t>
      </w:r>
      <w:r>
        <w:rPr>
          <w:rFonts w:ascii="Cambria" w:hAnsi="Cambria"/>
          <w:i/>
          <w:color w:val="000000"/>
        </w:rPr>
        <w:t>Forest Ecology and Management</w:t>
      </w:r>
      <w:r>
        <w:rPr>
          <w:rFonts w:ascii="Cambria" w:hAnsi="Cambria"/>
        </w:rPr>
        <w:t>,</w:t>
      </w:r>
      <w:r>
        <w:rPr>
          <w:rFonts w:ascii="Cambria" w:hAnsi="Cambria"/>
          <w:color w:val="000000"/>
        </w:rPr>
        <w:t xml:space="preserve"> 259: 2342–2354.</w:t>
      </w:r>
    </w:p>
    <w:p w:rsidR="00E94405" w:rsidRDefault="00A11609">
      <w:pPr>
        <w:autoSpaceDE w:val="0"/>
        <w:autoSpaceDN w:val="0"/>
        <w:adjustRightInd w:val="0"/>
        <w:spacing w:before="200"/>
        <w:rPr>
          <w:rFonts w:ascii="Cambria" w:hAnsi="Cambria"/>
        </w:rPr>
      </w:pPr>
      <w:r>
        <w:rPr>
          <w:rFonts w:ascii="Cambria" w:hAnsi="Cambria"/>
          <w:color w:val="000000"/>
        </w:rPr>
        <w:t>de Hoop</w:t>
      </w:r>
      <w:r>
        <w:rPr>
          <w:rFonts w:ascii="Cambria" w:hAnsi="Cambria"/>
        </w:rPr>
        <w:t>,</w:t>
      </w:r>
      <w:r>
        <w:rPr>
          <w:rFonts w:ascii="Cambria" w:hAnsi="Cambria"/>
          <w:color w:val="000000"/>
        </w:rPr>
        <w:t xml:space="preserve"> B, de Gruyter</w:t>
      </w:r>
      <w:r>
        <w:rPr>
          <w:rFonts w:ascii="Cambria" w:hAnsi="Cambria"/>
        </w:rPr>
        <w:t>,</w:t>
      </w:r>
      <w:r>
        <w:rPr>
          <w:rFonts w:ascii="Cambria" w:hAnsi="Cambria"/>
          <w:color w:val="000000"/>
        </w:rPr>
        <w:t xml:space="preserve"> H, de Haas</w:t>
      </w:r>
      <w:r>
        <w:rPr>
          <w:rFonts w:ascii="Cambria" w:hAnsi="Cambria"/>
        </w:rPr>
        <w:t>,</w:t>
      </w:r>
      <w:r>
        <w:rPr>
          <w:rFonts w:ascii="Cambria" w:hAnsi="Cambria"/>
          <w:color w:val="000000"/>
        </w:rPr>
        <w:t xml:space="preserve"> A, Horn</w:t>
      </w:r>
      <w:r>
        <w:rPr>
          <w:rFonts w:ascii="Cambria" w:hAnsi="Cambria"/>
        </w:rPr>
        <w:t>,</w:t>
      </w:r>
      <w:r>
        <w:rPr>
          <w:rFonts w:ascii="Cambria" w:hAnsi="Cambria"/>
          <w:color w:val="000000"/>
        </w:rPr>
        <w:t xml:space="preserve"> N, Wingelaar</w:t>
      </w:r>
      <w:r>
        <w:rPr>
          <w:rFonts w:ascii="Cambria" w:hAnsi="Cambria"/>
        </w:rPr>
        <w:t>,</w:t>
      </w:r>
      <w:r>
        <w:rPr>
          <w:rFonts w:ascii="Cambria" w:hAnsi="Cambria"/>
          <w:color w:val="000000"/>
        </w:rPr>
        <w:t xml:space="preserve"> J, Steeghs</w:t>
      </w:r>
      <w:r>
        <w:rPr>
          <w:rFonts w:ascii="Cambria" w:hAnsi="Cambria"/>
        </w:rPr>
        <w:t>,</w:t>
      </w:r>
      <w:r>
        <w:rPr>
          <w:rFonts w:ascii="Cambria" w:hAnsi="Cambria"/>
          <w:color w:val="000000"/>
        </w:rPr>
        <w:t xml:space="preserve"> M 2002</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Report of a</w:t>
      </w:r>
      <w:r>
        <w:rPr>
          <w:rFonts w:ascii="Cambria" w:hAnsi="Cambria"/>
        </w:rPr>
        <w:t xml:space="preserve"> </w:t>
      </w:r>
      <w:r>
        <w:rPr>
          <w:rFonts w:ascii="Cambria" w:hAnsi="Cambria"/>
          <w:color w:val="000000"/>
        </w:rPr>
        <w:t xml:space="preserve">PRA for </w:t>
      </w:r>
      <w:r>
        <w:rPr>
          <w:rFonts w:ascii="Cambria" w:hAnsi="Cambria"/>
          <w:i/>
          <w:color w:val="000000"/>
        </w:rPr>
        <w:t>Phytophthora ramorum</w:t>
      </w:r>
      <w:r>
        <w:rPr>
          <w:rFonts w:ascii="Cambria" w:hAnsi="Cambria"/>
        </w:rPr>
        <w:t xml:space="preserve">’, </w:t>
      </w:r>
      <w:r>
        <w:rPr>
          <w:rFonts w:ascii="Cambria" w:hAnsi="Cambria"/>
          <w:color w:val="000000"/>
        </w:rPr>
        <w:t>19pp.</w:t>
      </w:r>
    </w:p>
    <w:p w:rsidR="00E94405" w:rsidRDefault="00A11609">
      <w:pPr>
        <w:autoSpaceDE w:val="0"/>
        <w:autoSpaceDN w:val="0"/>
        <w:adjustRightInd w:val="0"/>
        <w:spacing w:before="200"/>
        <w:rPr>
          <w:rFonts w:ascii="Cambria" w:hAnsi="Cambria"/>
        </w:rPr>
      </w:pPr>
      <w:r>
        <w:rPr>
          <w:rFonts w:ascii="Cambria" w:hAnsi="Cambria"/>
          <w:color w:val="000000"/>
        </w:rPr>
        <w:t>De Merlier</w:t>
      </w:r>
      <w:r>
        <w:rPr>
          <w:rFonts w:ascii="Cambria" w:hAnsi="Cambria"/>
        </w:rPr>
        <w:t>,</w:t>
      </w:r>
      <w:r>
        <w:rPr>
          <w:rFonts w:ascii="Cambria" w:hAnsi="Cambria"/>
          <w:color w:val="000000"/>
        </w:rPr>
        <w:t xml:space="preserve"> D, Chandelier</w:t>
      </w:r>
      <w:r>
        <w:rPr>
          <w:rFonts w:ascii="Cambria" w:hAnsi="Cambria"/>
        </w:rPr>
        <w:t>,</w:t>
      </w:r>
      <w:r>
        <w:rPr>
          <w:rFonts w:ascii="Cambria" w:hAnsi="Cambria"/>
          <w:color w:val="000000"/>
        </w:rPr>
        <w:t xml:space="preserve"> A</w:t>
      </w:r>
      <w:r>
        <w:rPr>
          <w:rFonts w:ascii="Cambria" w:hAnsi="Cambria"/>
        </w:rPr>
        <w:t xml:space="preserve"> &amp;</w:t>
      </w:r>
      <w:r>
        <w:rPr>
          <w:rFonts w:ascii="Cambria" w:hAnsi="Cambria"/>
          <w:color w:val="000000"/>
        </w:rPr>
        <w:t xml:space="preserve"> Cavelier</w:t>
      </w:r>
      <w:r>
        <w:rPr>
          <w:rFonts w:ascii="Cambria" w:hAnsi="Cambria"/>
        </w:rPr>
        <w:t>,</w:t>
      </w:r>
      <w:r>
        <w:rPr>
          <w:rFonts w:ascii="Cambria" w:hAnsi="Cambria"/>
          <w:color w:val="000000"/>
        </w:rPr>
        <w:t xml:space="preserve"> M 2003</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on </w:t>
      </w:r>
      <w:r>
        <w:rPr>
          <w:rFonts w:ascii="Cambria" w:hAnsi="Cambria"/>
          <w:i/>
          <w:color w:val="000000"/>
        </w:rPr>
        <w:t>Viburnum bodnantense</w:t>
      </w:r>
      <w:r>
        <w:rPr>
          <w:rFonts w:ascii="Cambria" w:hAnsi="Cambria"/>
          <w:color w:val="000000"/>
        </w:rPr>
        <w:t xml:space="preserve"> in Belgium</w:t>
      </w:r>
      <w:r>
        <w:rPr>
          <w:rFonts w:ascii="Cambria" w:hAnsi="Cambria"/>
        </w:rPr>
        <w:t xml:space="preserve">’, </w:t>
      </w:r>
      <w:r>
        <w:rPr>
          <w:rFonts w:ascii="Cambria" w:hAnsi="Cambria"/>
          <w:i/>
        </w:rPr>
        <w:t>Plant Disease</w:t>
      </w:r>
      <w:r>
        <w:rPr>
          <w:rFonts w:ascii="Cambria" w:hAnsi="Cambria"/>
        </w:rPr>
        <w:t xml:space="preserve">, </w:t>
      </w:r>
      <w:r>
        <w:rPr>
          <w:rFonts w:ascii="Cambria" w:hAnsi="Cambria"/>
          <w:color w:val="000000"/>
        </w:rPr>
        <w:t>87: 203.</w:t>
      </w:r>
    </w:p>
    <w:p w:rsidR="00E94405" w:rsidRDefault="00A11609">
      <w:pPr>
        <w:autoSpaceDE w:val="0"/>
        <w:autoSpaceDN w:val="0"/>
        <w:adjustRightInd w:val="0"/>
        <w:spacing w:before="200"/>
        <w:rPr>
          <w:rFonts w:ascii="Cambria" w:hAnsi="Cambria"/>
        </w:rPr>
      </w:pPr>
      <w:r>
        <w:rPr>
          <w:rFonts w:ascii="Cambria" w:hAnsi="Cambria"/>
        </w:rPr>
        <w:lastRenderedPageBreak/>
        <w:t xml:space="preserve">DEFRA </w:t>
      </w:r>
      <w:r>
        <w:rPr>
          <w:rFonts w:ascii="Cambria" w:hAnsi="Cambria"/>
          <w:color w:val="000000"/>
        </w:rPr>
        <w:t xml:space="preserve">(Department for Environment, Forestry and Rural Affairs) </w:t>
      </w:r>
      <w:r>
        <w:rPr>
          <w:rFonts w:ascii="Cambria" w:hAnsi="Cambria"/>
        </w:rPr>
        <w:t>2004</w:t>
      </w:r>
      <w:r>
        <w:rPr>
          <w:rFonts w:ascii="Cambria" w:hAnsi="Cambria"/>
          <w:color w:val="000000"/>
        </w:rPr>
        <w:t>,</w:t>
      </w:r>
      <w:r>
        <w:rPr>
          <w:rFonts w:ascii="Cambria" w:hAnsi="Cambria"/>
        </w:rPr>
        <w:t xml:space="preserve"> </w:t>
      </w:r>
      <w:r>
        <w:rPr>
          <w:rFonts w:ascii="Cambria" w:hAnsi="Cambria"/>
          <w:color w:val="000000"/>
        </w:rPr>
        <w:t>‘</w:t>
      </w:r>
      <w:r>
        <w:rPr>
          <w:rFonts w:ascii="Cambria" w:hAnsi="Cambria"/>
          <w:i/>
        </w:rPr>
        <w:t>Phytophthora ramorum</w:t>
      </w:r>
      <w:r>
        <w:rPr>
          <w:rFonts w:ascii="Cambria" w:hAnsi="Cambria"/>
        </w:rPr>
        <w:t xml:space="preserve"> epidemiology: sporulation potential, dispersal, infection, latency and survival</w:t>
      </w:r>
      <w:r>
        <w:rPr>
          <w:rFonts w:ascii="Cambria" w:hAnsi="Cambria"/>
          <w:color w:val="000000"/>
        </w:rPr>
        <w:t xml:space="preserve">’, </w:t>
      </w:r>
      <w:r>
        <w:rPr>
          <w:rFonts w:ascii="Cambria" w:hAnsi="Cambria"/>
        </w:rPr>
        <w:t>Final Project Report PH0194, accessed December 2004, http://www.defra.gov.uk/science/project_data/DocumentLibrary/PH0194/ PH0194_2004_FRP.pdf.</w:t>
      </w:r>
    </w:p>
    <w:p w:rsidR="00E94405" w:rsidRDefault="00A11609">
      <w:pPr>
        <w:autoSpaceDE w:val="0"/>
        <w:autoSpaceDN w:val="0"/>
        <w:adjustRightInd w:val="0"/>
        <w:spacing w:before="200"/>
        <w:rPr>
          <w:rFonts w:ascii="Cambria" w:hAnsi="Cambria"/>
          <w:color w:val="000000"/>
        </w:rPr>
      </w:pPr>
      <w:r>
        <w:rPr>
          <w:rFonts w:ascii="Cambria" w:hAnsi="Cambria"/>
          <w:color w:val="000000"/>
        </w:rPr>
        <w:t>DEFRA (Department for Environment, Forestry and Rural Affairs) 2008, ‘</w:t>
      </w:r>
      <w:r>
        <w:rPr>
          <w:rFonts w:ascii="Cambria" w:hAnsi="Cambria"/>
          <w:i/>
          <w:color w:val="000000"/>
        </w:rPr>
        <w:t>Phytophthora ramorum</w:t>
      </w:r>
      <w:r>
        <w:rPr>
          <w:rFonts w:ascii="Cambria" w:hAnsi="Cambria"/>
          <w:color w:val="000000"/>
        </w:rPr>
        <w:t>. A practical guide for established parks and gardens, amenity landscape and woodland gardens’, DEFRA, London UK</w:t>
      </w:r>
      <w:r>
        <w:rPr>
          <w:rFonts w:ascii="Cambria" w:hAnsi="Cambria"/>
        </w:rPr>
        <w:t>, accessed May 2011</w:t>
      </w:r>
      <w:r>
        <w:rPr>
          <w:rFonts w:ascii="Cambria" w:hAnsi="Cambria"/>
          <w:color w:val="000000"/>
        </w:rPr>
        <w:t xml:space="preserve">, </w:t>
      </w:r>
      <w:r>
        <w:rPr>
          <w:rFonts w:ascii="Cambria" w:hAnsi="Cambria"/>
        </w:rPr>
        <w:t>http://www.fera.defra.gov.uk/plants/publications/documents/factsheets/pramparks.pdf</w:t>
      </w:r>
      <w:r>
        <w:rPr>
          <w:rFonts w:ascii="Cambria" w:hAnsi="Cambria"/>
          <w:color w:val="000000"/>
        </w:rPr>
        <w:t>.</w:t>
      </w:r>
    </w:p>
    <w:p w:rsidR="00E94405" w:rsidRDefault="00A11609">
      <w:pPr>
        <w:autoSpaceDE w:val="0"/>
        <w:autoSpaceDN w:val="0"/>
        <w:adjustRightInd w:val="0"/>
        <w:spacing w:before="200"/>
        <w:rPr>
          <w:rFonts w:ascii="Cambria" w:hAnsi="Cambria"/>
        </w:rPr>
      </w:pPr>
      <w:r>
        <w:rPr>
          <w:rFonts w:ascii="Cambria" w:hAnsi="Cambria"/>
          <w:color w:val="000000"/>
        </w:rPr>
        <w:t>Dehnen-Schmutz</w:t>
      </w:r>
      <w:r>
        <w:rPr>
          <w:rFonts w:ascii="Cambria" w:hAnsi="Cambria"/>
        </w:rPr>
        <w:t>,</w:t>
      </w:r>
      <w:r>
        <w:rPr>
          <w:rFonts w:ascii="Cambria" w:hAnsi="Cambria"/>
          <w:color w:val="000000"/>
        </w:rPr>
        <w:t xml:space="preserve"> K, Holdenrieder</w:t>
      </w:r>
      <w:r>
        <w:rPr>
          <w:rFonts w:ascii="Cambria" w:hAnsi="Cambria"/>
        </w:rPr>
        <w:t>,</w:t>
      </w:r>
      <w:r>
        <w:rPr>
          <w:rFonts w:ascii="Cambria" w:hAnsi="Cambria"/>
          <w:color w:val="000000"/>
        </w:rPr>
        <w:t xml:space="preserve"> O, Jeger</w:t>
      </w:r>
      <w:r>
        <w:rPr>
          <w:rFonts w:ascii="Cambria" w:hAnsi="Cambria"/>
        </w:rPr>
        <w:t>,</w:t>
      </w:r>
      <w:r>
        <w:rPr>
          <w:rFonts w:ascii="Cambria" w:hAnsi="Cambria"/>
          <w:color w:val="000000"/>
        </w:rPr>
        <w:t xml:space="preserve"> MJ</w:t>
      </w:r>
      <w:r>
        <w:rPr>
          <w:rFonts w:ascii="Cambria" w:hAnsi="Cambria"/>
        </w:rPr>
        <w:t xml:space="preserve"> &amp;</w:t>
      </w:r>
      <w:r>
        <w:rPr>
          <w:rFonts w:ascii="Cambria" w:hAnsi="Cambria"/>
          <w:color w:val="000000"/>
        </w:rPr>
        <w:t xml:space="preserve"> Pautasso</w:t>
      </w:r>
      <w:r>
        <w:rPr>
          <w:rFonts w:ascii="Cambria" w:hAnsi="Cambria"/>
        </w:rPr>
        <w:t>,</w:t>
      </w:r>
      <w:r>
        <w:rPr>
          <w:rFonts w:ascii="Cambria" w:hAnsi="Cambria"/>
          <w:color w:val="000000"/>
        </w:rPr>
        <w:t xml:space="preserve"> M 2010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Structural change in the international horticultural industry: some implications for plant health</w:t>
      </w:r>
      <w:r>
        <w:rPr>
          <w:rFonts w:ascii="Cambria" w:hAnsi="Cambria"/>
        </w:rPr>
        <w:t xml:space="preserve">’, </w:t>
      </w:r>
      <w:r>
        <w:rPr>
          <w:rFonts w:ascii="Cambria" w:hAnsi="Cambria"/>
          <w:i/>
          <w:color w:val="000000"/>
        </w:rPr>
        <w:t>Scientia Horticulturae</w:t>
      </w:r>
      <w:r>
        <w:rPr>
          <w:rFonts w:ascii="Cambria" w:hAnsi="Cambria"/>
        </w:rPr>
        <w:t>,</w:t>
      </w:r>
      <w:r>
        <w:rPr>
          <w:rFonts w:ascii="Cambria" w:hAnsi="Cambria"/>
          <w:color w:val="000000"/>
        </w:rPr>
        <w:t xml:space="preserve"> 125: 1–15.</w:t>
      </w:r>
    </w:p>
    <w:p w:rsidR="00E94405" w:rsidRDefault="00A11609">
      <w:pPr>
        <w:autoSpaceDE w:val="0"/>
        <w:autoSpaceDN w:val="0"/>
        <w:adjustRightInd w:val="0"/>
        <w:spacing w:before="200"/>
        <w:rPr>
          <w:rFonts w:ascii="Cambria" w:hAnsi="Cambria"/>
        </w:rPr>
      </w:pPr>
      <w:r>
        <w:rPr>
          <w:rFonts w:ascii="Cambria" w:hAnsi="Cambria"/>
        </w:rPr>
        <w:t>Denman, S, Kirk, S, Whybrow, A, Orton, E &amp; Webber, JF 2006, ‘</w:t>
      </w:r>
      <w:r>
        <w:rPr>
          <w:rFonts w:ascii="Cambria" w:hAnsi="Cambria"/>
          <w:i/>
        </w:rPr>
        <w:t>Phytophthora kernoviae</w:t>
      </w:r>
      <w:r>
        <w:rPr>
          <w:rFonts w:ascii="Cambria" w:hAnsi="Cambria"/>
        </w:rPr>
        <w:t xml:space="preserve"> and </w:t>
      </w:r>
      <w:r>
        <w:rPr>
          <w:rFonts w:ascii="Cambria" w:hAnsi="Cambria"/>
          <w:i/>
        </w:rPr>
        <w:t>P. ramorum</w:t>
      </w:r>
      <w:r>
        <w:rPr>
          <w:rFonts w:ascii="Cambria" w:hAnsi="Cambria"/>
        </w:rPr>
        <w:t>: host susceptibility and sporulation potential on foliage of susceptible trees’,</w:t>
      </w:r>
      <w:r>
        <w:rPr>
          <w:rFonts w:ascii="Cambria" w:hAnsi="Cambria"/>
          <w:i/>
        </w:rPr>
        <w:t xml:space="preserve"> EPPO Bulletin</w:t>
      </w:r>
      <w:r>
        <w:rPr>
          <w:rFonts w:ascii="Cambria" w:hAnsi="Cambria"/>
        </w:rPr>
        <w:t>, 36: 373–376.</w:t>
      </w:r>
    </w:p>
    <w:p w:rsidR="00E94405" w:rsidRDefault="00A11609">
      <w:pPr>
        <w:autoSpaceDE w:val="0"/>
        <w:autoSpaceDN w:val="0"/>
        <w:adjustRightInd w:val="0"/>
        <w:spacing w:before="200"/>
        <w:rPr>
          <w:rFonts w:ascii="Cambria" w:hAnsi="Cambria"/>
        </w:rPr>
      </w:pPr>
      <w:r>
        <w:rPr>
          <w:rFonts w:ascii="Cambria" w:hAnsi="Cambria"/>
        </w:rPr>
        <w:t>Denman, S, Kirk, SA, Brasier, CM, Barton, VC, Hughes, KJD &amp; Webber, JF 2005, ‘</w:t>
      </w:r>
      <w:r>
        <w:rPr>
          <w:rFonts w:ascii="Cambria" w:hAnsi="Cambria"/>
          <w:i/>
        </w:rPr>
        <w:t>Phytophthora ramorum</w:t>
      </w:r>
      <w:r>
        <w:rPr>
          <w:rFonts w:ascii="Cambria" w:hAnsi="Cambria"/>
        </w:rPr>
        <w:t xml:space="preserve"> on </w:t>
      </w:r>
      <w:r>
        <w:rPr>
          <w:rFonts w:ascii="Cambria" w:hAnsi="Cambria"/>
          <w:i/>
        </w:rPr>
        <w:t>Quercus ilex</w:t>
      </w:r>
      <w:r>
        <w:rPr>
          <w:rFonts w:ascii="Cambria" w:hAnsi="Cambria"/>
        </w:rPr>
        <w:t xml:space="preserve"> in the United Kingdom’, </w:t>
      </w:r>
      <w:r>
        <w:rPr>
          <w:rFonts w:ascii="Cambria" w:hAnsi="Cambria"/>
          <w:i/>
        </w:rPr>
        <w:t>Plant Disease</w:t>
      </w:r>
      <w:r>
        <w:rPr>
          <w:rFonts w:ascii="Cambria" w:hAnsi="Cambria"/>
        </w:rPr>
        <w:t>, 89: 241.</w:t>
      </w:r>
    </w:p>
    <w:p w:rsidR="00E94405" w:rsidRDefault="00A11609">
      <w:pPr>
        <w:pStyle w:val="NormalWeb"/>
        <w:shd w:val="clear" w:color="auto" w:fill="FFFFFF"/>
        <w:spacing w:before="200" w:after="200" w:line="276" w:lineRule="auto"/>
        <w:jc w:val="left"/>
        <w:rPr>
          <w:rFonts w:ascii="Cambria" w:hAnsi="Cambria"/>
          <w:color w:val="000000"/>
          <w:sz w:val="22"/>
          <w:szCs w:val="22"/>
        </w:rPr>
      </w:pPr>
      <w:r>
        <w:rPr>
          <w:rFonts w:ascii="Cambria" w:hAnsi="Cambria"/>
          <w:color w:val="000000"/>
          <w:sz w:val="22"/>
          <w:szCs w:val="22"/>
        </w:rPr>
        <w:t>Denman</w:t>
      </w:r>
      <w:r>
        <w:rPr>
          <w:rFonts w:ascii="Cambria" w:hAnsi="Cambria"/>
          <w:sz w:val="22"/>
          <w:szCs w:val="22"/>
        </w:rPr>
        <w:t>,</w:t>
      </w:r>
      <w:r>
        <w:rPr>
          <w:rFonts w:ascii="Cambria" w:hAnsi="Cambria"/>
          <w:color w:val="000000"/>
          <w:sz w:val="22"/>
          <w:szCs w:val="22"/>
        </w:rPr>
        <w:t xml:space="preserve"> S, Kirk</w:t>
      </w:r>
      <w:r>
        <w:rPr>
          <w:rFonts w:ascii="Cambria" w:hAnsi="Cambria"/>
          <w:sz w:val="22"/>
          <w:szCs w:val="22"/>
        </w:rPr>
        <w:t>,</w:t>
      </w:r>
      <w:r>
        <w:rPr>
          <w:rFonts w:ascii="Cambria" w:hAnsi="Cambria"/>
          <w:color w:val="000000"/>
          <w:sz w:val="22"/>
          <w:szCs w:val="22"/>
        </w:rPr>
        <w:t xml:space="preserve"> SA, Moralejo</w:t>
      </w:r>
      <w:r>
        <w:rPr>
          <w:rFonts w:ascii="Cambria" w:hAnsi="Cambria"/>
          <w:sz w:val="22"/>
          <w:szCs w:val="22"/>
        </w:rPr>
        <w:t>,</w:t>
      </w:r>
      <w:r>
        <w:rPr>
          <w:rFonts w:ascii="Cambria" w:hAnsi="Cambria"/>
          <w:color w:val="000000"/>
          <w:sz w:val="22"/>
          <w:szCs w:val="22"/>
        </w:rPr>
        <w:t xml:space="preserve"> E</w:t>
      </w:r>
      <w:r>
        <w:rPr>
          <w:rFonts w:ascii="Cambria" w:hAnsi="Cambria"/>
          <w:sz w:val="22"/>
          <w:szCs w:val="22"/>
        </w:rPr>
        <w:t xml:space="preserve"> &amp;</w:t>
      </w:r>
      <w:r>
        <w:rPr>
          <w:rFonts w:ascii="Cambria" w:hAnsi="Cambria"/>
          <w:color w:val="000000"/>
          <w:sz w:val="22"/>
          <w:szCs w:val="22"/>
        </w:rPr>
        <w:t xml:space="preserve"> Webber</w:t>
      </w:r>
      <w:r>
        <w:rPr>
          <w:rFonts w:ascii="Cambria" w:hAnsi="Cambria"/>
          <w:sz w:val="22"/>
          <w:szCs w:val="22"/>
        </w:rPr>
        <w:t>,</w:t>
      </w:r>
      <w:r>
        <w:rPr>
          <w:rFonts w:ascii="Cambria" w:hAnsi="Cambria"/>
          <w:color w:val="000000"/>
          <w:sz w:val="22"/>
          <w:szCs w:val="22"/>
        </w:rPr>
        <w:t xml:space="preserve"> JF 2009</w:t>
      </w:r>
      <w:r>
        <w:rPr>
          <w:rFonts w:ascii="Cambria" w:hAnsi="Cambria"/>
          <w:sz w:val="22"/>
          <w:szCs w:val="22"/>
        </w:rPr>
        <w:t>,</w:t>
      </w:r>
      <w:r>
        <w:rPr>
          <w:rFonts w:ascii="Cambria" w:hAnsi="Cambria"/>
          <w:color w:val="000000"/>
          <w:sz w:val="22"/>
          <w:szCs w:val="22"/>
        </w:rPr>
        <w:t xml:space="preserve"> </w:t>
      </w:r>
      <w:r>
        <w:rPr>
          <w:rFonts w:ascii="Cambria" w:hAnsi="Cambria"/>
          <w:sz w:val="22"/>
          <w:szCs w:val="22"/>
        </w:rPr>
        <w:t>‘</w:t>
      </w:r>
      <w:r>
        <w:rPr>
          <w:rFonts w:ascii="Cambria" w:hAnsi="Cambria"/>
          <w:i/>
          <w:sz w:val="22"/>
          <w:szCs w:val="22"/>
        </w:rPr>
        <w:t>Phytophthora ramorum</w:t>
      </w:r>
      <w:r>
        <w:rPr>
          <w:rFonts w:ascii="Cambria" w:hAnsi="Cambria"/>
          <w:color w:val="000000"/>
          <w:sz w:val="22"/>
          <w:szCs w:val="22"/>
        </w:rPr>
        <w:t xml:space="preserve"> and </w:t>
      </w:r>
      <w:r>
        <w:rPr>
          <w:rFonts w:ascii="Cambria" w:hAnsi="Cambria"/>
          <w:i/>
          <w:color w:val="000000"/>
          <w:sz w:val="22"/>
          <w:szCs w:val="22"/>
        </w:rPr>
        <w:t>Phytophthora kernoviae</w:t>
      </w:r>
      <w:r>
        <w:rPr>
          <w:rFonts w:ascii="Cambria" w:hAnsi="Cambria"/>
          <w:color w:val="000000"/>
          <w:sz w:val="22"/>
          <w:szCs w:val="22"/>
        </w:rPr>
        <w:t xml:space="preserve"> on naturally infected asymptomatic foliage</w:t>
      </w:r>
      <w:r>
        <w:rPr>
          <w:rFonts w:ascii="Cambria" w:hAnsi="Cambria"/>
          <w:sz w:val="22"/>
          <w:szCs w:val="22"/>
        </w:rPr>
        <w:t xml:space="preserve">’, </w:t>
      </w:r>
      <w:r>
        <w:rPr>
          <w:rFonts w:ascii="Cambria" w:hAnsi="Cambria"/>
          <w:i/>
          <w:color w:val="000000"/>
          <w:sz w:val="22"/>
          <w:szCs w:val="22"/>
        </w:rPr>
        <w:t>OEPP/EPPO Bull</w:t>
      </w:r>
      <w:r>
        <w:rPr>
          <w:rFonts w:ascii="Cambria" w:hAnsi="Cambria"/>
          <w:color w:val="000000"/>
          <w:sz w:val="22"/>
          <w:szCs w:val="22"/>
        </w:rPr>
        <w:t>et</w:t>
      </w:r>
      <w:r>
        <w:rPr>
          <w:rFonts w:ascii="Cambria" w:hAnsi="Cambria"/>
          <w:i/>
          <w:color w:val="000000"/>
          <w:sz w:val="22"/>
          <w:szCs w:val="22"/>
        </w:rPr>
        <w:t>in</w:t>
      </w:r>
      <w:r>
        <w:rPr>
          <w:rFonts w:ascii="Cambria" w:hAnsi="Cambria"/>
          <w:sz w:val="22"/>
          <w:szCs w:val="22"/>
        </w:rPr>
        <w:t>,</w:t>
      </w:r>
      <w:r>
        <w:rPr>
          <w:rFonts w:ascii="Cambria" w:hAnsi="Cambria"/>
          <w:color w:val="000000"/>
          <w:sz w:val="22"/>
          <w:szCs w:val="22"/>
        </w:rPr>
        <w:t xml:space="preserve"> 39: 105–111.</w:t>
      </w:r>
    </w:p>
    <w:p w:rsidR="00E94405" w:rsidRDefault="00A11609">
      <w:pPr>
        <w:autoSpaceDE w:val="0"/>
        <w:autoSpaceDN w:val="0"/>
        <w:adjustRightInd w:val="0"/>
        <w:spacing w:before="200"/>
        <w:rPr>
          <w:rFonts w:ascii="Cambria" w:hAnsi="Cambria"/>
        </w:rPr>
      </w:pPr>
      <w:r>
        <w:rPr>
          <w:rFonts w:ascii="Cambria" w:hAnsi="Cambria"/>
        </w:rPr>
        <w:t xml:space="preserve">Denman, S, Moralejo, E, Kirk, SA, Orton, E &amp; Whybrow, A 2008, ‘Sporulation of </w:t>
      </w:r>
      <w:r>
        <w:rPr>
          <w:rFonts w:ascii="Cambria" w:hAnsi="Cambria"/>
          <w:i/>
        </w:rPr>
        <w:t>Phytophthora ramorum</w:t>
      </w:r>
      <w:r>
        <w:rPr>
          <w:rFonts w:ascii="Cambria" w:hAnsi="Cambria"/>
        </w:rPr>
        <w:t xml:space="preserve"> and </w:t>
      </w:r>
      <w:r>
        <w:rPr>
          <w:rFonts w:ascii="Cambria" w:hAnsi="Cambria"/>
          <w:i/>
        </w:rPr>
        <w:t>P. kernoviae</w:t>
      </w:r>
      <w:r>
        <w:rPr>
          <w:rFonts w:ascii="Cambria" w:hAnsi="Cambria"/>
        </w:rPr>
        <w:t xml:space="preserve"> on asymptomatic foliage and fruit’, </w:t>
      </w:r>
      <w:r>
        <w:rPr>
          <w:rFonts w:ascii="Cambria" w:hAnsi="Cambria"/>
          <w:i/>
        </w:rPr>
        <w:t>Proceedings of the Sudden Oak Death 3rd Science Symposium</w:t>
      </w:r>
      <w:r>
        <w:rPr>
          <w:rFonts w:ascii="Cambria" w:hAnsi="Cambria"/>
        </w:rPr>
        <w:t>, General technical report PSW-GTR-214, 201–208.</w:t>
      </w:r>
    </w:p>
    <w:p w:rsidR="00E94405" w:rsidRDefault="00A11609">
      <w:pPr>
        <w:autoSpaceDE w:val="0"/>
        <w:autoSpaceDN w:val="0"/>
        <w:adjustRightInd w:val="0"/>
        <w:spacing w:before="200"/>
        <w:rPr>
          <w:rFonts w:ascii="Cambria" w:hAnsi="Cambria"/>
        </w:rPr>
      </w:pPr>
      <w:r>
        <w:rPr>
          <w:rFonts w:ascii="Cambria" w:hAnsi="Cambria"/>
        </w:rPr>
        <w:t>Denman, S, Rose, J &amp; Slippers, B 2007, ‘</w:t>
      </w:r>
      <w:r>
        <w:rPr>
          <w:rFonts w:ascii="Cambria" w:hAnsi="Cambria"/>
          <w:i/>
        </w:rPr>
        <w:t>Phytophthora pseudosyringae</w:t>
      </w:r>
      <w:r>
        <w:rPr>
          <w:rFonts w:ascii="Cambria" w:hAnsi="Cambria"/>
        </w:rPr>
        <w:t xml:space="preserve"> on European beech and hornbeam in the UK’ [Poster], The Fourth IUFRO Working Party Meeting: ‘</w:t>
      </w:r>
      <w:r>
        <w:rPr>
          <w:rFonts w:ascii="Cambria" w:hAnsi="Cambria"/>
          <w:i/>
        </w:rPr>
        <w:t>Phytophthoras in Forests and Natural Ecosystems</w:t>
      </w:r>
      <w:r>
        <w:rPr>
          <w:rFonts w:ascii="Cambria" w:hAnsi="Cambria"/>
        </w:rPr>
        <w:t>’, Monterey, California, USA. http://nature.berkeley.edu/IUFRO2007/phytophthora/tnp/denman_poster.pdf.</w:t>
      </w:r>
    </w:p>
    <w:p w:rsidR="00E94405" w:rsidRDefault="00A11609">
      <w:pPr>
        <w:pStyle w:val="NormalWeb"/>
        <w:shd w:val="clear" w:color="auto" w:fill="FFFFFF"/>
        <w:spacing w:before="200" w:after="200" w:line="276" w:lineRule="auto"/>
        <w:jc w:val="left"/>
        <w:rPr>
          <w:rFonts w:ascii="Cambria" w:hAnsi="Cambria"/>
          <w:sz w:val="22"/>
          <w:szCs w:val="22"/>
        </w:rPr>
      </w:pPr>
      <w:r>
        <w:rPr>
          <w:rFonts w:ascii="Cambria" w:hAnsi="Cambria"/>
          <w:sz w:val="22"/>
          <w:szCs w:val="22"/>
        </w:rPr>
        <w:t xml:space="preserve">Department of Agriculture 2006, </w:t>
      </w:r>
      <w:r>
        <w:rPr>
          <w:rFonts w:ascii="Cambria" w:hAnsi="Cambria"/>
          <w:i/>
          <w:color w:val="000000"/>
          <w:sz w:val="22"/>
          <w:szCs w:val="22"/>
        </w:rPr>
        <w:t xml:space="preserve">Industry Advice Notice no. 2006/19: Advanced Nursery Stock Mature Trees </w:t>
      </w:r>
      <w:r>
        <w:rPr>
          <w:rFonts w:ascii="Cambria" w:hAnsi="Cambria"/>
          <w:i/>
          <w:sz w:val="22"/>
          <w:szCs w:val="22"/>
        </w:rPr>
        <w:t>–</w:t>
      </w:r>
      <w:r>
        <w:rPr>
          <w:rFonts w:ascii="Cambria" w:hAnsi="Cambria"/>
          <w:i/>
          <w:color w:val="000000"/>
          <w:sz w:val="22"/>
          <w:szCs w:val="22"/>
        </w:rPr>
        <w:t xml:space="preserve"> Singapore</w:t>
      </w:r>
      <w:r>
        <w:rPr>
          <w:rFonts w:ascii="Cambria" w:hAnsi="Cambria"/>
          <w:sz w:val="22"/>
          <w:szCs w:val="22"/>
        </w:rPr>
        <w:t xml:space="preserve">, </w:t>
      </w:r>
      <w:r>
        <w:rPr>
          <w:rFonts w:ascii="Cambria" w:hAnsi="Cambria"/>
          <w:color w:val="000000"/>
          <w:sz w:val="22"/>
          <w:szCs w:val="22"/>
        </w:rPr>
        <w:t xml:space="preserve">AQIS Horticulture Exports Program, </w:t>
      </w:r>
      <w:r>
        <w:rPr>
          <w:rFonts w:ascii="Cambria" w:hAnsi="Cambria"/>
          <w:sz w:val="22"/>
          <w:szCs w:val="22"/>
        </w:rPr>
        <w:t>Department of Agriculture website, http://www.daff.gov.au/biosecurity/export/plants-plant-products/ian/06/19.</w:t>
      </w:r>
    </w:p>
    <w:p w:rsidR="00E94405" w:rsidRDefault="00A11609">
      <w:pPr>
        <w:autoSpaceDE w:val="0"/>
        <w:autoSpaceDN w:val="0"/>
        <w:adjustRightInd w:val="0"/>
        <w:spacing w:before="200"/>
        <w:rPr>
          <w:rFonts w:ascii="Cambria" w:hAnsi="Cambria"/>
        </w:rPr>
      </w:pPr>
      <w:r>
        <w:rPr>
          <w:rFonts w:ascii="Cambria" w:hAnsi="Cambria"/>
        </w:rPr>
        <w:t xml:space="preserve">Diana, G, Pane, A, Raudino, F, Cooke, DEL, Cacciola, SO, Magnano di San Lio, G 2006, ‘A decline of beech trees caused by </w:t>
      </w:r>
      <w:r>
        <w:rPr>
          <w:rFonts w:ascii="Cambria" w:hAnsi="Cambria"/>
          <w:i/>
        </w:rPr>
        <w:t>Phytophthora pseudosyringae</w:t>
      </w:r>
      <w:r>
        <w:rPr>
          <w:rFonts w:ascii="Cambria" w:hAnsi="Cambria"/>
        </w:rPr>
        <w:t xml:space="preserve"> in Central Italy’, In: ‘</w:t>
      </w:r>
      <w:r>
        <w:rPr>
          <w:rFonts w:ascii="Cambria" w:hAnsi="Cambria"/>
          <w:i/>
        </w:rPr>
        <w:t>Progress in Research on Phytophthora Diseases of Forest Trees</w:t>
      </w:r>
      <w:r>
        <w:rPr>
          <w:rFonts w:ascii="Cambria" w:hAnsi="Cambria"/>
        </w:rPr>
        <w:t>’, Brasier, C, Jung, T &amp; Oßwald, W (eds), HMSO, Norwich, 142–144.</w:t>
      </w:r>
    </w:p>
    <w:p w:rsidR="00E94405" w:rsidRDefault="00A11609">
      <w:pPr>
        <w:autoSpaceDE w:val="0"/>
        <w:autoSpaceDN w:val="0"/>
        <w:adjustRightInd w:val="0"/>
        <w:spacing w:before="200"/>
        <w:rPr>
          <w:rFonts w:ascii="Cambria" w:hAnsi="Cambria"/>
        </w:rPr>
      </w:pPr>
      <w:r>
        <w:rPr>
          <w:rFonts w:ascii="Cambria" w:hAnsi="Cambria"/>
        </w:rPr>
        <w:t>Dick, M &amp; Parke, JL 2012, ‘</w:t>
      </w:r>
      <w:r>
        <w:rPr>
          <w:rFonts w:ascii="Cambria" w:hAnsi="Cambria"/>
          <w:i/>
        </w:rPr>
        <w:t>Phythophthora kernoviae</w:t>
      </w:r>
      <w:r>
        <w:rPr>
          <w:rFonts w:ascii="Cambria" w:hAnsi="Cambria"/>
        </w:rPr>
        <w:t xml:space="preserve">’, </w:t>
      </w:r>
      <w:r>
        <w:rPr>
          <w:rFonts w:ascii="Cambria" w:hAnsi="Cambria"/>
          <w:i/>
        </w:rPr>
        <w:t>forest Phytophthoras</w:t>
      </w:r>
      <w:r>
        <w:rPr>
          <w:rFonts w:ascii="Cambria" w:hAnsi="Cambria"/>
        </w:rPr>
        <w:t>, 2 (1), doi: 10.5399/osu/fp.2.1.3051.</w:t>
      </w:r>
    </w:p>
    <w:p w:rsidR="00E94405" w:rsidRDefault="00A11609">
      <w:pPr>
        <w:autoSpaceDE w:val="0"/>
        <w:autoSpaceDN w:val="0"/>
        <w:adjustRightInd w:val="0"/>
        <w:spacing w:before="200"/>
        <w:rPr>
          <w:rFonts w:ascii="Cambria" w:hAnsi="Cambria"/>
        </w:rPr>
      </w:pPr>
      <w:r>
        <w:rPr>
          <w:rFonts w:ascii="Cambria" w:hAnsi="Cambria"/>
        </w:rPr>
        <w:t xml:space="preserve">Dick MA, Williams NM, Bader MKF, Gardner JF &amp; Bulman LS (2014) ‘Pathogenicity of </w:t>
      </w:r>
      <w:r>
        <w:rPr>
          <w:rFonts w:ascii="Cambria" w:hAnsi="Cambria"/>
          <w:i/>
        </w:rPr>
        <w:t xml:space="preserve">Phytophthora pluvialis </w:t>
      </w:r>
      <w:r>
        <w:rPr>
          <w:rFonts w:ascii="Cambria" w:hAnsi="Cambria"/>
        </w:rPr>
        <w:t xml:space="preserve">to </w:t>
      </w:r>
      <w:r>
        <w:rPr>
          <w:rFonts w:ascii="Cambria" w:hAnsi="Cambria"/>
          <w:i/>
        </w:rPr>
        <w:t xml:space="preserve">Pinus radiata </w:t>
      </w:r>
      <w:r>
        <w:rPr>
          <w:rFonts w:ascii="Cambria" w:hAnsi="Cambria"/>
        </w:rPr>
        <w:t xml:space="preserve">and its relation with red needle cast disease in New Zealand.’ </w:t>
      </w:r>
      <w:r>
        <w:rPr>
          <w:rFonts w:ascii="Cambria" w:hAnsi="Cambria"/>
          <w:i/>
        </w:rPr>
        <w:t xml:space="preserve">New Zealand Journal of Forestry Science </w:t>
      </w:r>
      <w:r>
        <w:rPr>
          <w:rFonts w:ascii="Cambria" w:hAnsi="Cambria"/>
        </w:rPr>
        <w:t>44(6): 1–12.</w:t>
      </w:r>
    </w:p>
    <w:p w:rsidR="00E94405" w:rsidRDefault="00A11609">
      <w:pPr>
        <w:autoSpaceDE w:val="0"/>
        <w:autoSpaceDN w:val="0"/>
        <w:adjustRightInd w:val="0"/>
        <w:spacing w:before="200"/>
        <w:rPr>
          <w:rFonts w:ascii="Cambria" w:hAnsi="Cambria"/>
        </w:rPr>
      </w:pPr>
      <w:r>
        <w:rPr>
          <w:rFonts w:ascii="Cambria" w:hAnsi="Cambria"/>
        </w:rPr>
        <w:lastRenderedPageBreak/>
        <w:t>Dick, MW 2001, ‘</w:t>
      </w:r>
      <w:r>
        <w:rPr>
          <w:rFonts w:ascii="Cambria" w:hAnsi="Cambria"/>
          <w:i/>
        </w:rPr>
        <w:t>Straminipilous fungi: Systematics of the Peronosporomycetes including accounts of the marine straminipilous protists, the plasmodiophorids and similar organisms</w:t>
      </w:r>
      <w:r>
        <w:rPr>
          <w:rFonts w:ascii="Cambria" w:hAnsi="Cambria"/>
        </w:rPr>
        <w:t>’, Kluwer Academic Publishers, Dordrecht.</w:t>
      </w:r>
    </w:p>
    <w:p w:rsidR="00E94405" w:rsidRDefault="00A11609">
      <w:pPr>
        <w:autoSpaceDE w:val="0"/>
        <w:autoSpaceDN w:val="0"/>
        <w:adjustRightInd w:val="0"/>
        <w:spacing w:before="200"/>
        <w:rPr>
          <w:rFonts w:ascii="Cambria" w:hAnsi="Cambria"/>
        </w:rPr>
      </w:pPr>
      <w:r>
        <w:rPr>
          <w:rFonts w:ascii="Cambria" w:hAnsi="Cambria"/>
        </w:rPr>
        <w:t>DiLeo, MV, Bostock, RM &amp; Rizzo, DM 2009, ‘</w:t>
      </w:r>
      <w:r>
        <w:rPr>
          <w:rFonts w:ascii="Cambria" w:hAnsi="Cambria"/>
          <w:i/>
        </w:rPr>
        <w:t>Phytophthora ramorum</w:t>
      </w:r>
      <w:r>
        <w:rPr>
          <w:rFonts w:ascii="Cambria" w:hAnsi="Cambria"/>
        </w:rPr>
        <w:t xml:space="preserve"> does not cause physiologically significant systemic injury to California bay laurel, its primary reservoir host’, </w:t>
      </w:r>
      <w:r>
        <w:rPr>
          <w:rFonts w:ascii="Cambria" w:hAnsi="Cambria"/>
          <w:i/>
        </w:rPr>
        <w:t>Phytopathology</w:t>
      </w:r>
      <w:r>
        <w:rPr>
          <w:rFonts w:ascii="Cambria" w:hAnsi="Cambria"/>
        </w:rPr>
        <w:t>, 99: 1307–1311.</w:t>
      </w:r>
    </w:p>
    <w:p w:rsidR="00E94405" w:rsidRDefault="00A11609">
      <w:pPr>
        <w:autoSpaceDE w:val="0"/>
        <w:autoSpaceDN w:val="0"/>
        <w:adjustRightInd w:val="0"/>
        <w:spacing w:before="200"/>
        <w:rPr>
          <w:rFonts w:ascii="Cambria" w:hAnsi="Cambria"/>
        </w:rPr>
      </w:pPr>
      <w:r>
        <w:rPr>
          <w:rFonts w:ascii="Cambria" w:hAnsi="Cambria"/>
        </w:rPr>
        <w:t>Donahoo, R, Blomquist, CL, Thomas, SL, Moulton, JK, Cooke, DEL &amp; Lamour, KH 2006, ‘</w:t>
      </w:r>
      <w:r>
        <w:rPr>
          <w:rFonts w:ascii="Cambria" w:hAnsi="Cambria"/>
          <w:i/>
        </w:rPr>
        <w:t>Phytophthora foliorum</w:t>
      </w:r>
      <w:r>
        <w:rPr>
          <w:rFonts w:ascii="Cambria" w:hAnsi="Cambria"/>
        </w:rPr>
        <w:t xml:space="preserve"> sp nov., a new species causing leaf blight of azalea’, </w:t>
      </w:r>
      <w:r>
        <w:rPr>
          <w:rFonts w:ascii="Cambria" w:hAnsi="Cambria"/>
          <w:i/>
        </w:rPr>
        <w:t>Mycological Research</w:t>
      </w:r>
      <w:r>
        <w:rPr>
          <w:rFonts w:ascii="Cambria" w:hAnsi="Cambria"/>
        </w:rPr>
        <w:t>, 110: 1309–1322.</w:t>
      </w:r>
    </w:p>
    <w:p w:rsidR="00E94405" w:rsidRDefault="00A11609">
      <w:pPr>
        <w:autoSpaceDE w:val="0"/>
        <w:autoSpaceDN w:val="0"/>
        <w:adjustRightInd w:val="0"/>
        <w:spacing w:before="200"/>
        <w:rPr>
          <w:rFonts w:ascii="Cambria" w:hAnsi="Cambria"/>
        </w:rPr>
      </w:pPr>
      <w:r>
        <w:rPr>
          <w:rFonts w:ascii="Cambria" w:hAnsi="Cambria"/>
        </w:rPr>
        <w:t>Durán, A, Gryzenhout, M, Slippers, B, Ahumada, R, Rotella, A, Flores, F, Wingfield, BD &amp; Wingfield, MJ 2008, ‘</w:t>
      </w:r>
      <w:r>
        <w:rPr>
          <w:rFonts w:ascii="Cambria" w:hAnsi="Cambria"/>
          <w:i/>
        </w:rPr>
        <w:t>Phytophthora pinifolia</w:t>
      </w:r>
      <w:r>
        <w:rPr>
          <w:rFonts w:ascii="Cambria" w:hAnsi="Cambria"/>
        </w:rPr>
        <w:t xml:space="preserve"> sp. </w:t>
      </w:r>
      <w:r>
        <w:rPr>
          <w:rFonts w:ascii="Cambria" w:hAnsi="Cambria"/>
          <w:i/>
        </w:rPr>
        <w:t>nov</w:t>
      </w:r>
      <w:r>
        <w:rPr>
          <w:rFonts w:ascii="Cambria" w:hAnsi="Cambria"/>
        </w:rPr>
        <w:t xml:space="preserve"> associated with a serious needle disease of </w:t>
      </w:r>
      <w:r>
        <w:rPr>
          <w:rFonts w:ascii="Cambria" w:hAnsi="Cambria"/>
          <w:i/>
        </w:rPr>
        <w:t>Pinus radiata</w:t>
      </w:r>
      <w:r>
        <w:rPr>
          <w:rFonts w:ascii="Cambria" w:hAnsi="Cambria"/>
        </w:rPr>
        <w:t xml:space="preserve"> in Chile’, </w:t>
      </w:r>
      <w:r>
        <w:rPr>
          <w:rFonts w:ascii="Cambria" w:hAnsi="Cambria"/>
          <w:i/>
        </w:rPr>
        <w:t>Plant Pathology</w:t>
      </w:r>
      <w:r>
        <w:rPr>
          <w:rFonts w:ascii="Cambria" w:hAnsi="Cambria"/>
        </w:rPr>
        <w:t>, 57: 715–727.</w:t>
      </w:r>
    </w:p>
    <w:p w:rsidR="00E94405" w:rsidRDefault="00A11609">
      <w:pPr>
        <w:autoSpaceDE w:val="0"/>
        <w:autoSpaceDN w:val="0"/>
        <w:adjustRightInd w:val="0"/>
        <w:spacing w:before="200"/>
        <w:rPr>
          <w:rFonts w:ascii="Cambria" w:hAnsi="Cambria"/>
        </w:rPr>
      </w:pPr>
      <w:r>
        <w:rPr>
          <w:rFonts w:ascii="Cambria" w:hAnsi="Cambria"/>
        </w:rPr>
        <w:t xml:space="preserve">EFSA (European Food Safety Authority) 2011, ‘Scientific Opinion on the Pest Risk Analysis on </w:t>
      </w:r>
      <w:r>
        <w:rPr>
          <w:rFonts w:ascii="Cambria" w:hAnsi="Cambria"/>
          <w:i/>
        </w:rPr>
        <w:t>Phytophthora ramorum</w:t>
      </w:r>
      <w:r>
        <w:rPr>
          <w:rFonts w:ascii="Cambria" w:hAnsi="Cambria"/>
        </w:rPr>
        <w:t xml:space="preserve"> prepared by the FP6 project RAPRA’, </w:t>
      </w:r>
      <w:r>
        <w:rPr>
          <w:rFonts w:ascii="Cambria" w:hAnsi="Cambria"/>
          <w:i/>
        </w:rPr>
        <w:t>The EFSA Journ</w:t>
      </w:r>
      <w:r>
        <w:rPr>
          <w:rFonts w:ascii="Cambria" w:hAnsi="Cambria"/>
        </w:rPr>
        <w:t xml:space="preserve">al, 19 (6): 2186–186EF, doi:10.2903/j.efsa.2011.2186. </w:t>
      </w:r>
    </w:p>
    <w:p w:rsidR="00E94405" w:rsidRDefault="00A11609">
      <w:pPr>
        <w:autoSpaceDE w:val="0"/>
        <w:autoSpaceDN w:val="0"/>
        <w:adjustRightInd w:val="0"/>
        <w:spacing w:before="200"/>
        <w:rPr>
          <w:rFonts w:ascii="Cambria" w:hAnsi="Cambria"/>
        </w:rPr>
      </w:pPr>
      <w:r>
        <w:rPr>
          <w:rFonts w:ascii="Cambria" w:hAnsi="Cambria"/>
        </w:rPr>
        <w:t xml:space="preserve">EPPO (European and Mediterranean Plant Protection Organization) 2009, ‘First report of </w:t>
      </w:r>
      <w:r>
        <w:rPr>
          <w:rFonts w:ascii="Cambria" w:hAnsi="Cambria"/>
          <w:i/>
        </w:rPr>
        <w:t>Phytophthora psuedosyringae</w:t>
      </w:r>
      <w:r>
        <w:rPr>
          <w:rFonts w:ascii="Cambria" w:hAnsi="Cambria"/>
        </w:rPr>
        <w:t xml:space="preserve"> on </w:t>
      </w:r>
      <w:r>
        <w:rPr>
          <w:rFonts w:ascii="Cambria" w:hAnsi="Cambria"/>
          <w:i/>
        </w:rPr>
        <w:t>Vaccinium myrtillus</w:t>
      </w:r>
      <w:r>
        <w:rPr>
          <w:rFonts w:ascii="Cambria" w:hAnsi="Cambria"/>
        </w:rPr>
        <w:t xml:space="preserve"> in the United Kingdom’, EPPO Reporting Service No. 2009/162.</w:t>
      </w:r>
    </w:p>
    <w:p w:rsidR="00E94405" w:rsidRDefault="00A11609">
      <w:pPr>
        <w:autoSpaceDE w:val="0"/>
        <w:autoSpaceDN w:val="0"/>
        <w:adjustRightInd w:val="0"/>
        <w:spacing w:before="200"/>
        <w:rPr>
          <w:rFonts w:ascii="Cambria" w:hAnsi="Cambria"/>
        </w:rPr>
      </w:pPr>
      <w:r>
        <w:rPr>
          <w:rFonts w:ascii="Cambria" w:hAnsi="Cambria"/>
        </w:rPr>
        <w:t>EPPO (European and Mediterranean Plant Protection Organization) 2011, ‘</w:t>
      </w:r>
      <w:r>
        <w:rPr>
          <w:rFonts w:ascii="Cambria" w:hAnsi="Cambria"/>
          <w:i/>
        </w:rPr>
        <w:t>Phytophthora ramorum</w:t>
      </w:r>
      <w:r>
        <w:rPr>
          <w:rFonts w:ascii="Cambria" w:hAnsi="Cambria"/>
        </w:rPr>
        <w:t xml:space="preserve"> on </w:t>
      </w:r>
      <w:r>
        <w:rPr>
          <w:rFonts w:ascii="Cambria" w:hAnsi="Cambria"/>
          <w:i/>
        </w:rPr>
        <w:t>Larix</w:t>
      </w:r>
      <w:r>
        <w:rPr>
          <w:rFonts w:ascii="Cambria" w:hAnsi="Cambria"/>
        </w:rPr>
        <w:t xml:space="preserve"> species in the United Kingdom’ Reporting Service 2011, no. 5 2011/113, http://archives.eppo.int/EPPOReporting/2011/Rse-1105.pdf. </w:t>
      </w:r>
    </w:p>
    <w:p w:rsidR="00E94405" w:rsidRDefault="00A11609">
      <w:pPr>
        <w:autoSpaceDE w:val="0"/>
        <w:autoSpaceDN w:val="0"/>
        <w:adjustRightInd w:val="0"/>
        <w:spacing w:before="200"/>
        <w:rPr>
          <w:rFonts w:ascii="Cambria" w:hAnsi="Cambria"/>
        </w:rPr>
      </w:pPr>
      <w:r>
        <w:rPr>
          <w:rFonts w:ascii="Cambria" w:hAnsi="Cambria"/>
        </w:rPr>
        <w:t xml:space="preserve">EPPO (European and Mediterranean Plant Protection Organization) 2012. ‘European and Mediterranean Plant Protection Organisation Alert List – </w:t>
      </w:r>
      <w:r>
        <w:rPr>
          <w:rFonts w:ascii="Cambria" w:hAnsi="Cambria"/>
          <w:i/>
        </w:rPr>
        <w:t>Phytophthora ramorum</w:t>
      </w:r>
      <w:r>
        <w:rPr>
          <w:rFonts w:ascii="Cambria" w:hAnsi="Cambria"/>
        </w:rPr>
        <w:t>’, accessed July 2012, http://www.eppo.int/QUARANTINE/Alert_List/alert_list.htm.</w:t>
      </w:r>
    </w:p>
    <w:p w:rsidR="00E94405" w:rsidRDefault="00A11609">
      <w:pPr>
        <w:autoSpaceDE w:val="0"/>
        <w:autoSpaceDN w:val="0"/>
        <w:adjustRightInd w:val="0"/>
        <w:spacing w:before="200"/>
        <w:rPr>
          <w:rFonts w:ascii="Cambria" w:hAnsi="Cambria"/>
        </w:rPr>
      </w:pPr>
      <w:r>
        <w:rPr>
          <w:rFonts w:ascii="Cambria" w:hAnsi="Cambria"/>
        </w:rPr>
        <w:t xml:space="preserve">EPPO (European and Mediterranean Plant Protection Organization) 2013, ‘Diagnostics: PM 7/112 (1) </w:t>
      </w:r>
      <w:r>
        <w:rPr>
          <w:rFonts w:ascii="Cambria" w:hAnsi="Cambria"/>
          <w:i/>
        </w:rPr>
        <w:t>Phytophthora kernoviae</w:t>
      </w:r>
      <w:r>
        <w:rPr>
          <w:rFonts w:ascii="Cambria" w:hAnsi="Cambria"/>
        </w:rPr>
        <w:t xml:space="preserve">’, </w:t>
      </w:r>
      <w:r>
        <w:rPr>
          <w:rFonts w:ascii="Cambria" w:hAnsi="Cambria"/>
          <w:i/>
        </w:rPr>
        <w:t>EPPO Bulletin</w:t>
      </w:r>
      <w:r>
        <w:rPr>
          <w:rFonts w:ascii="Cambria" w:hAnsi="Cambria"/>
        </w:rPr>
        <w:t>, 43: 81–93.</w:t>
      </w:r>
    </w:p>
    <w:p w:rsidR="00E94405" w:rsidRDefault="00A11609">
      <w:pPr>
        <w:autoSpaceDE w:val="0"/>
        <w:autoSpaceDN w:val="0"/>
        <w:adjustRightInd w:val="0"/>
        <w:spacing w:before="200"/>
        <w:rPr>
          <w:rFonts w:ascii="Cambria" w:hAnsi="Cambria"/>
        </w:rPr>
      </w:pPr>
      <w:r>
        <w:rPr>
          <w:rFonts w:ascii="Cambria" w:hAnsi="Cambria"/>
        </w:rPr>
        <w:t>Erwin, DC &amp; Ribeiro, OK 1996, ‘</w:t>
      </w:r>
      <w:r>
        <w:rPr>
          <w:rFonts w:ascii="Cambria" w:hAnsi="Cambria"/>
          <w:i/>
        </w:rPr>
        <w:t>Phytophthora</w:t>
      </w:r>
      <w:r>
        <w:rPr>
          <w:rFonts w:ascii="Cambria" w:hAnsi="Cambria"/>
        </w:rPr>
        <w:t xml:space="preserve"> </w:t>
      </w:r>
      <w:r>
        <w:rPr>
          <w:rFonts w:ascii="Cambria" w:hAnsi="Cambria"/>
          <w:i/>
        </w:rPr>
        <w:t>diseases worldwide</w:t>
      </w:r>
      <w:r>
        <w:rPr>
          <w:rFonts w:ascii="Cambria" w:hAnsi="Cambria"/>
        </w:rPr>
        <w:t>’, American Phytopathological Society Press, St. Paul, MN 562.</w:t>
      </w:r>
    </w:p>
    <w:p w:rsidR="00E94405" w:rsidRDefault="00A11609">
      <w:pPr>
        <w:autoSpaceDE w:val="0"/>
        <w:autoSpaceDN w:val="0"/>
        <w:adjustRightInd w:val="0"/>
        <w:spacing w:before="200"/>
        <w:rPr>
          <w:rFonts w:ascii="Cambria" w:hAnsi="Cambria"/>
        </w:rPr>
      </w:pPr>
      <w:r>
        <w:rPr>
          <w:rFonts w:ascii="Cambria" w:hAnsi="Cambria"/>
        </w:rPr>
        <w:t>FAO (Food and Agricultural Organization of the United Nations) 1995, ‘</w:t>
      </w:r>
      <w:r>
        <w:rPr>
          <w:rFonts w:ascii="Cambria" w:hAnsi="Cambria"/>
          <w:i/>
        </w:rPr>
        <w:t>International Standards for Phytosanitary Measures (ISPM) No. 4: Requirements for the establishment of pest free areas</w:t>
      </w:r>
      <w:r>
        <w:rPr>
          <w:rFonts w:ascii="Cambria" w:hAnsi="Cambria"/>
        </w:rPr>
        <w:t xml:space="preserve">’, Secretariat of the International Plant Protection Convention, Rome, Italy. </w:t>
      </w:r>
    </w:p>
    <w:p w:rsidR="00E94405" w:rsidRDefault="00A11609">
      <w:pPr>
        <w:autoSpaceDE w:val="0"/>
        <w:autoSpaceDN w:val="0"/>
        <w:adjustRightInd w:val="0"/>
        <w:spacing w:before="200"/>
        <w:rPr>
          <w:rFonts w:ascii="Cambria" w:hAnsi="Cambria"/>
        </w:rPr>
      </w:pPr>
      <w:r>
        <w:rPr>
          <w:rFonts w:ascii="Cambria" w:hAnsi="Cambria"/>
        </w:rPr>
        <w:t>FAO (Food and Agricultural Organization of the United Nations) 1999, ‘</w:t>
      </w:r>
      <w:r>
        <w:rPr>
          <w:rFonts w:ascii="Cambria" w:hAnsi="Cambria"/>
          <w:i/>
        </w:rPr>
        <w:t>International Standards for Phytosanitary Measures (ISPM) No. 10: Requirements for the establishment of pest free places of production and pest free production sites</w:t>
      </w:r>
      <w:r>
        <w:rPr>
          <w:rFonts w:ascii="Cambria" w:hAnsi="Cambria"/>
        </w:rPr>
        <w:t xml:space="preserve">’, Secretariat of the International Plant Protection Convention, Rome, Italy. </w:t>
      </w:r>
    </w:p>
    <w:p w:rsidR="00E94405" w:rsidRDefault="00A11609">
      <w:pPr>
        <w:autoSpaceDE w:val="0"/>
        <w:autoSpaceDN w:val="0"/>
        <w:adjustRightInd w:val="0"/>
        <w:spacing w:before="200"/>
        <w:rPr>
          <w:rFonts w:ascii="Cambria" w:hAnsi="Cambria"/>
        </w:rPr>
      </w:pPr>
      <w:r>
        <w:rPr>
          <w:rFonts w:ascii="Cambria" w:hAnsi="Cambria"/>
        </w:rPr>
        <w:t>FAO (Food and Agricultural Organization of the United Nations) 2007, ‘</w:t>
      </w:r>
      <w:r>
        <w:rPr>
          <w:rFonts w:ascii="Cambria" w:hAnsi="Cambria"/>
          <w:i/>
        </w:rPr>
        <w:t>International Standards for Phytosanitary Measures (ISPM) No. 2: Framework for pest risk analysis</w:t>
      </w:r>
      <w:r>
        <w:rPr>
          <w:rFonts w:ascii="Cambria" w:hAnsi="Cambria"/>
        </w:rPr>
        <w:t xml:space="preserve">’, Secretariat of the International Plant Protection Convention, Rome, Italy. </w:t>
      </w:r>
    </w:p>
    <w:p w:rsidR="00E94405" w:rsidRDefault="00A11609">
      <w:pPr>
        <w:autoSpaceDE w:val="0"/>
        <w:autoSpaceDN w:val="0"/>
        <w:adjustRightInd w:val="0"/>
        <w:spacing w:before="200"/>
        <w:rPr>
          <w:rFonts w:ascii="Cambria" w:hAnsi="Cambria"/>
        </w:rPr>
      </w:pPr>
      <w:r>
        <w:rPr>
          <w:rFonts w:ascii="Cambria" w:hAnsi="Cambria"/>
        </w:rPr>
        <w:lastRenderedPageBreak/>
        <w:t>FAO (Food and Agricultural Organization of the United Nations) 2013a, ‘</w:t>
      </w:r>
      <w:r>
        <w:rPr>
          <w:rFonts w:ascii="Cambria" w:hAnsi="Cambria"/>
          <w:i/>
        </w:rPr>
        <w:t>International Standards for Phytosanitary Measures (ISPM) No. 5: Glossary of phytosanitary terms</w:t>
      </w:r>
      <w:r>
        <w:rPr>
          <w:rFonts w:ascii="Cambria" w:hAnsi="Cambria"/>
        </w:rPr>
        <w:t>’, Secretariat of the International Plant Protection Convention, Rome, Italy.</w:t>
      </w:r>
    </w:p>
    <w:p w:rsidR="00E94405" w:rsidRDefault="00A11609">
      <w:pPr>
        <w:autoSpaceDE w:val="0"/>
        <w:autoSpaceDN w:val="0"/>
        <w:adjustRightInd w:val="0"/>
        <w:spacing w:before="200"/>
        <w:rPr>
          <w:rFonts w:ascii="Cambria" w:hAnsi="Cambria"/>
        </w:rPr>
      </w:pPr>
      <w:r>
        <w:rPr>
          <w:rFonts w:ascii="Cambria" w:hAnsi="Cambria"/>
        </w:rPr>
        <w:t>FAO (Food and Agricultural Organization of the United Nations) 2013b, ‘</w:t>
      </w:r>
      <w:r>
        <w:rPr>
          <w:rFonts w:ascii="Cambria" w:hAnsi="Cambria"/>
          <w:i/>
        </w:rPr>
        <w:t>International Standards for Phytosanitary Measures (ISPM) No. 11: Pest risk analysis for quarantine pests including analysis of environmental risks and living modified organisms</w:t>
      </w:r>
      <w:r>
        <w:rPr>
          <w:rFonts w:ascii="Cambria" w:hAnsi="Cambria"/>
        </w:rPr>
        <w:t>’, Secretariat of the International Plant Protection Convention, Rome, Italy.</w:t>
      </w:r>
    </w:p>
    <w:p w:rsidR="00E94405" w:rsidRDefault="00A11609">
      <w:pPr>
        <w:autoSpaceDE w:val="0"/>
        <w:autoSpaceDN w:val="0"/>
        <w:adjustRightInd w:val="0"/>
        <w:spacing w:before="200"/>
        <w:rPr>
          <w:rFonts w:ascii="Cambria" w:hAnsi="Cambria"/>
        </w:rPr>
      </w:pPr>
      <w:r>
        <w:rPr>
          <w:rFonts w:ascii="Cambria" w:hAnsi="Cambria"/>
        </w:rPr>
        <w:t xml:space="preserve">FERA (The Food and Environment Research Agency) 2012, ‘FERA list of natural hosts for </w:t>
      </w:r>
      <w:r>
        <w:rPr>
          <w:rFonts w:ascii="Cambria" w:hAnsi="Cambria"/>
          <w:i/>
        </w:rPr>
        <w:t>Phytophthora ramorum</w:t>
      </w:r>
      <w:r>
        <w:rPr>
          <w:rFonts w:ascii="Cambria" w:hAnsi="Cambria"/>
        </w:rPr>
        <w:t xml:space="preserve"> with symptom and location’, updated July 2012, accessed September 2012, http://www.fera.defra.gov.uk/plants/plantHealth/pestsDiseases/phytophthora/documents/pRamorumHost.pdf.</w:t>
      </w:r>
    </w:p>
    <w:p w:rsidR="00E94405" w:rsidRDefault="00A11609">
      <w:pPr>
        <w:autoSpaceDE w:val="0"/>
        <w:autoSpaceDN w:val="0"/>
        <w:adjustRightInd w:val="0"/>
        <w:spacing w:before="200"/>
        <w:rPr>
          <w:rFonts w:ascii="Cambria" w:hAnsi="Cambria"/>
        </w:rPr>
      </w:pPr>
      <w:r>
        <w:rPr>
          <w:rFonts w:ascii="Cambria" w:hAnsi="Cambria"/>
          <w:color w:val="000000"/>
        </w:rPr>
        <w:t>Fichtner</w:t>
      </w:r>
      <w:r>
        <w:rPr>
          <w:rFonts w:ascii="Cambria" w:hAnsi="Cambria"/>
        </w:rPr>
        <w:t>,</w:t>
      </w:r>
      <w:r>
        <w:rPr>
          <w:rFonts w:ascii="Cambria" w:hAnsi="Cambria"/>
          <w:color w:val="000000"/>
        </w:rPr>
        <w:t xml:space="preserve"> EJ, Lynch</w:t>
      </w:r>
      <w:r>
        <w:rPr>
          <w:rFonts w:ascii="Cambria" w:hAnsi="Cambria"/>
        </w:rPr>
        <w:t>,</w:t>
      </w:r>
      <w:r>
        <w:rPr>
          <w:rFonts w:ascii="Cambria" w:hAnsi="Cambria"/>
          <w:color w:val="000000"/>
        </w:rPr>
        <w:t xml:space="preserve"> SC</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2007a</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Detection, distribution, sporulation, and survival of </w:t>
      </w:r>
      <w:r>
        <w:rPr>
          <w:rFonts w:ascii="Cambria" w:hAnsi="Cambria"/>
          <w:i/>
        </w:rPr>
        <w:t>Phytophthora ramorum</w:t>
      </w:r>
      <w:r>
        <w:rPr>
          <w:rFonts w:ascii="Cambria" w:hAnsi="Cambria"/>
          <w:color w:val="000000"/>
        </w:rPr>
        <w:t xml:space="preserve"> in a California redwood-tanoak forest soil</w:t>
      </w:r>
      <w:r>
        <w:rPr>
          <w:rFonts w:ascii="Cambria" w:hAnsi="Cambria"/>
        </w:rPr>
        <w:t xml:space="preserve">’, </w:t>
      </w:r>
      <w:r>
        <w:rPr>
          <w:rFonts w:ascii="Cambria" w:hAnsi="Cambria"/>
          <w:i/>
          <w:color w:val="000000"/>
        </w:rPr>
        <w:t>Phytopathology</w:t>
      </w:r>
      <w:r>
        <w:rPr>
          <w:rFonts w:ascii="Cambria" w:hAnsi="Cambria"/>
        </w:rPr>
        <w:t xml:space="preserve">, </w:t>
      </w:r>
      <w:r>
        <w:rPr>
          <w:rFonts w:ascii="Cambria" w:hAnsi="Cambria"/>
          <w:color w:val="000000"/>
        </w:rPr>
        <w:t>97: 1366–1375.</w:t>
      </w:r>
    </w:p>
    <w:p w:rsidR="00E94405" w:rsidRDefault="00A11609">
      <w:pPr>
        <w:autoSpaceDE w:val="0"/>
        <w:autoSpaceDN w:val="0"/>
        <w:adjustRightInd w:val="0"/>
        <w:spacing w:before="200"/>
        <w:rPr>
          <w:rFonts w:ascii="Cambria" w:hAnsi="Cambria"/>
        </w:rPr>
      </w:pPr>
      <w:r>
        <w:rPr>
          <w:rFonts w:ascii="Cambria" w:hAnsi="Cambria"/>
          <w:color w:val="000000"/>
        </w:rPr>
        <w:t>Fichtner</w:t>
      </w:r>
      <w:r>
        <w:rPr>
          <w:rFonts w:ascii="Cambria" w:hAnsi="Cambria"/>
        </w:rPr>
        <w:t>,</w:t>
      </w:r>
      <w:r>
        <w:rPr>
          <w:rFonts w:ascii="Cambria" w:hAnsi="Cambria"/>
          <w:color w:val="000000"/>
        </w:rPr>
        <w:t xml:space="preserve"> EJ, Lynch</w:t>
      </w:r>
      <w:r>
        <w:rPr>
          <w:rFonts w:ascii="Cambria" w:hAnsi="Cambria"/>
        </w:rPr>
        <w:t>,</w:t>
      </w:r>
      <w:r>
        <w:rPr>
          <w:rFonts w:ascii="Cambria" w:hAnsi="Cambria"/>
          <w:color w:val="000000"/>
        </w:rPr>
        <w:t xml:space="preserve"> SC</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2009</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Survival, dispersal, and potential soil-mediated suppression of </w:t>
      </w:r>
      <w:r>
        <w:rPr>
          <w:rFonts w:ascii="Cambria" w:hAnsi="Cambria"/>
          <w:i/>
        </w:rPr>
        <w:t>Phytophthora ramorum</w:t>
      </w:r>
      <w:r>
        <w:rPr>
          <w:rFonts w:ascii="Cambria" w:hAnsi="Cambria"/>
          <w:color w:val="000000"/>
        </w:rPr>
        <w:t xml:space="preserve"> in a California redwood-tanoak forest</w:t>
      </w:r>
      <w:r>
        <w:rPr>
          <w:rFonts w:ascii="Cambria" w:hAnsi="Cambria"/>
        </w:rPr>
        <w:t xml:space="preserve">’, </w:t>
      </w:r>
      <w:r>
        <w:rPr>
          <w:rFonts w:ascii="Cambria" w:hAnsi="Cambria"/>
          <w:i/>
          <w:color w:val="000000"/>
        </w:rPr>
        <w:t>Phytopathology</w:t>
      </w:r>
      <w:r>
        <w:rPr>
          <w:rFonts w:ascii="Cambria" w:hAnsi="Cambria"/>
        </w:rPr>
        <w:t xml:space="preserve">, </w:t>
      </w:r>
      <w:r>
        <w:rPr>
          <w:rFonts w:ascii="Cambria" w:hAnsi="Cambria"/>
          <w:color w:val="000000"/>
        </w:rPr>
        <w:t>99: 608–619.</w:t>
      </w:r>
    </w:p>
    <w:p w:rsidR="00E94405" w:rsidRDefault="00A11609">
      <w:pPr>
        <w:autoSpaceDE w:val="0"/>
        <w:autoSpaceDN w:val="0"/>
        <w:adjustRightInd w:val="0"/>
        <w:spacing w:before="200"/>
        <w:rPr>
          <w:rFonts w:ascii="Cambria" w:hAnsi="Cambria"/>
        </w:rPr>
      </w:pPr>
      <w:r>
        <w:rPr>
          <w:rFonts w:ascii="Cambria" w:hAnsi="Cambria"/>
        </w:rPr>
        <w:t xml:space="preserve">Fichtner, EJ, Rizzo, DM, Kirk, SA &amp; Webber, JF 2011, ‘Root infections may challenge management of invasive </w:t>
      </w:r>
      <w:r>
        <w:rPr>
          <w:rFonts w:ascii="Cambria" w:hAnsi="Cambria"/>
          <w:i/>
          <w:color w:val="000000"/>
        </w:rPr>
        <w:t xml:space="preserve">Phytophthora </w:t>
      </w:r>
      <w:r>
        <w:rPr>
          <w:rFonts w:ascii="Cambria" w:hAnsi="Cambria"/>
        </w:rPr>
        <w:t xml:space="preserve">species in UK woodlands’, </w:t>
      </w:r>
      <w:r>
        <w:rPr>
          <w:rFonts w:ascii="Cambria" w:hAnsi="Cambria"/>
          <w:i/>
        </w:rPr>
        <w:t>Plant Disease</w:t>
      </w:r>
      <w:r>
        <w:rPr>
          <w:rFonts w:ascii="Cambria" w:hAnsi="Cambria"/>
        </w:rPr>
        <w:t>, 95: 13–8.</w:t>
      </w:r>
    </w:p>
    <w:p w:rsidR="00E94405" w:rsidRDefault="00A11609">
      <w:pPr>
        <w:autoSpaceDE w:val="0"/>
        <w:autoSpaceDN w:val="0"/>
        <w:adjustRightInd w:val="0"/>
        <w:spacing w:before="200"/>
        <w:rPr>
          <w:rFonts w:ascii="Cambria" w:hAnsi="Cambria"/>
          <w:color w:val="000000"/>
        </w:rPr>
      </w:pPr>
      <w:r>
        <w:rPr>
          <w:rFonts w:ascii="Cambria" w:hAnsi="Cambria"/>
          <w:color w:val="000000"/>
        </w:rPr>
        <w:t>Fichtner</w:t>
      </w:r>
      <w:r>
        <w:rPr>
          <w:rFonts w:ascii="Cambria" w:hAnsi="Cambria"/>
        </w:rPr>
        <w:t>,</w:t>
      </w:r>
      <w:r>
        <w:rPr>
          <w:rFonts w:ascii="Cambria" w:hAnsi="Cambria"/>
          <w:color w:val="000000"/>
        </w:rPr>
        <w:t xml:space="preserve"> EJ, Rizzo</w:t>
      </w:r>
      <w:r>
        <w:rPr>
          <w:rFonts w:ascii="Cambria" w:hAnsi="Cambria"/>
        </w:rPr>
        <w:t>,</w:t>
      </w:r>
      <w:r>
        <w:rPr>
          <w:rFonts w:ascii="Cambria" w:hAnsi="Cambria"/>
          <w:color w:val="000000"/>
        </w:rPr>
        <w:t xml:space="preserve"> DM, Kirk</w:t>
      </w:r>
      <w:r>
        <w:rPr>
          <w:rFonts w:ascii="Cambria" w:hAnsi="Cambria"/>
        </w:rPr>
        <w:t>,</w:t>
      </w:r>
      <w:r>
        <w:rPr>
          <w:rFonts w:ascii="Cambria" w:hAnsi="Cambria"/>
          <w:color w:val="000000"/>
        </w:rPr>
        <w:t xml:space="preserve"> SA</w:t>
      </w:r>
      <w:r>
        <w:rPr>
          <w:rFonts w:ascii="Cambria" w:hAnsi="Cambria"/>
        </w:rPr>
        <w:t xml:space="preserve"> &amp;</w:t>
      </w:r>
      <w:r>
        <w:rPr>
          <w:rFonts w:ascii="Cambria" w:hAnsi="Cambria"/>
          <w:color w:val="000000"/>
        </w:rPr>
        <w:t xml:space="preserve"> Webber</w:t>
      </w:r>
      <w:r>
        <w:rPr>
          <w:rFonts w:ascii="Cambria" w:hAnsi="Cambria"/>
        </w:rPr>
        <w:t>,</w:t>
      </w:r>
      <w:r>
        <w:rPr>
          <w:rFonts w:ascii="Cambria" w:hAnsi="Cambria"/>
          <w:color w:val="000000"/>
        </w:rPr>
        <w:t xml:space="preserve"> JF 2012</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Infectivity and sporulation potential of </w:t>
      </w:r>
      <w:r>
        <w:rPr>
          <w:rFonts w:ascii="Cambria" w:hAnsi="Cambria"/>
          <w:i/>
          <w:color w:val="000000"/>
        </w:rPr>
        <w:t>Phytophthora kernoviae</w:t>
      </w:r>
      <w:r>
        <w:rPr>
          <w:rFonts w:ascii="Cambria" w:hAnsi="Cambria"/>
          <w:color w:val="000000"/>
        </w:rPr>
        <w:t xml:space="preserve"> to select North American native plants</w:t>
      </w:r>
      <w:r>
        <w:rPr>
          <w:rFonts w:ascii="Cambria" w:hAnsi="Cambria"/>
        </w:rPr>
        <w:t xml:space="preserve">’, </w:t>
      </w:r>
      <w:r>
        <w:rPr>
          <w:rFonts w:ascii="Cambria" w:hAnsi="Cambria"/>
          <w:i/>
          <w:color w:val="000000"/>
        </w:rPr>
        <w:t>Plant Pathology</w:t>
      </w:r>
      <w:r>
        <w:rPr>
          <w:rFonts w:ascii="Cambria" w:hAnsi="Cambria"/>
        </w:rPr>
        <w:t>,</w:t>
      </w:r>
      <w:r>
        <w:rPr>
          <w:rFonts w:ascii="Cambria" w:hAnsi="Cambria"/>
          <w:color w:val="000000"/>
        </w:rPr>
        <w:t xml:space="preserve"> 61: 224–233. </w:t>
      </w:r>
    </w:p>
    <w:p w:rsidR="00E94405" w:rsidRDefault="00A11609">
      <w:pPr>
        <w:autoSpaceDE w:val="0"/>
        <w:autoSpaceDN w:val="0"/>
        <w:adjustRightInd w:val="0"/>
        <w:spacing w:before="200"/>
        <w:rPr>
          <w:rFonts w:ascii="Cambria" w:hAnsi="Cambria"/>
        </w:rPr>
      </w:pPr>
      <w:r>
        <w:rPr>
          <w:rFonts w:ascii="Cambria" w:hAnsi="Cambria"/>
        </w:rPr>
        <w:t xml:space="preserve">Fichtner, EJ, Rizzo, DM, Kirk, SA, Whybrow, A &amp; Webber, J 2007b, ‘Root associations of </w:t>
      </w:r>
      <w:r>
        <w:rPr>
          <w:rFonts w:ascii="Cambria" w:hAnsi="Cambria"/>
          <w:i/>
        </w:rPr>
        <w:t>Phytophthora ramorum</w:t>
      </w:r>
      <w:r>
        <w:rPr>
          <w:rFonts w:ascii="Cambria" w:hAnsi="Cambria"/>
        </w:rPr>
        <w:t xml:space="preserve"> and </w:t>
      </w:r>
      <w:r>
        <w:rPr>
          <w:rFonts w:ascii="Cambria" w:hAnsi="Cambria"/>
          <w:i/>
          <w:color w:val="000000"/>
        </w:rPr>
        <w:t>Phytophthora kernoviae</w:t>
      </w:r>
      <w:r>
        <w:rPr>
          <w:rFonts w:ascii="Cambria" w:hAnsi="Cambria"/>
        </w:rPr>
        <w:t xml:space="preserve"> in UK woodlands’ [Abstract], In: 4th IUFRO </w:t>
      </w:r>
      <w:r>
        <w:rPr>
          <w:rFonts w:ascii="Cambria" w:hAnsi="Cambria"/>
          <w:i/>
          <w:color w:val="000000"/>
        </w:rPr>
        <w:t>Phytophthora</w:t>
      </w:r>
      <w:r>
        <w:rPr>
          <w:rFonts w:ascii="Cambria" w:hAnsi="Cambria"/>
        </w:rPr>
        <w:t>s in Forests &amp; Natural Ecosystems 2007, Meeting Abstracts, 54–55.</w:t>
      </w:r>
    </w:p>
    <w:p w:rsidR="00E94405" w:rsidRDefault="00A11609">
      <w:pPr>
        <w:autoSpaceDE w:val="0"/>
        <w:autoSpaceDN w:val="0"/>
        <w:adjustRightInd w:val="0"/>
        <w:spacing w:before="200"/>
        <w:rPr>
          <w:rFonts w:ascii="Cambria" w:hAnsi="Cambria"/>
        </w:rPr>
      </w:pPr>
      <w:r>
        <w:rPr>
          <w:rFonts w:ascii="Cambria" w:hAnsi="Cambria"/>
        </w:rPr>
        <w:t xml:space="preserve">Frankel, SJ 2008, ‘Sudden oak death and </w:t>
      </w:r>
      <w:r>
        <w:rPr>
          <w:rFonts w:ascii="Cambria" w:hAnsi="Cambria"/>
          <w:i/>
        </w:rPr>
        <w:t>Phytophthora ramorum</w:t>
      </w:r>
      <w:r>
        <w:rPr>
          <w:rFonts w:ascii="Cambria" w:hAnsi="Cambria"/>
        </w:rPr>
        <w:t xml:space="preserve"> in the USA: A management challenge’, </w:t>
      </w:r>
      <w:r>
        <w:rPr>
          <w:rFonts w:ascii="Cambria" w:hAnsi="Cambria"/>
          <w:i/>
          <w:color w:val="000000"/>
        </w:rPr>
        <w:t>Australasian Plant Pathology</w:t>
      </w:r>
      <w:r>
        <w:rPr>
          <w:rFonts w:ascii="Cambria" w:hAnsi="Cambria"/>
        </w:rPr>
        <w:t>, 37: 19–25.</w:t>
      </w:r>
    </w:p>
    <w:p w:rsidR="00E94405" w:rsidRDefault="00A11609">
      <w:pPr>
        <w:autoSpaceDE w:val="0"/>
        <w:autoSpaceDN w:val="0"/>
        <w:adjustRightInd w:val="0"/>
        <w:spacing w:before="200"/>
        <w:rPr>
          <w:rFonts w:ascii="Cambria" w:hAnsi="Cambria"/>
        </w:rPr>
      </w:pPr>
      <w:r>
        <w:rPr>
          <w:rFonts w:ascii="Cambria" w:hAnsi="Cambria"/>
        </w:rPr>
        <w:t xml:space="preserve">Garbelotto, M &amp; Rizzo, DM 2005, ‘A California-based chronological review (1995–2004) of research on </w:t>
      </w:r>
      <w:r>
        <w:rPr>
          <w:rFonts w:ascii="Cambria" w:hAnsi="Cambria"/>
          <w:i/>
        </w:rPr>
        <w:t>Phytophthora ramorum</w:t>
      </w:r>
      <w:r>
        <w:rPr>
          <w:rFonts w:ascii="Cambria" w:hAnsi="Cambria"/>
        </w:rPr>
        <w:t xml:space="preserve">, the causal agent of sudden oak death’, </w:t>
      </w:r>
      <w:r>
        <w:rPr>
          <w:rFonts w:ascii="Cambria" w:hAnsi="Cambria"/>
          <w:i/>
        </w:rPr>
        <w:t>Phytopathologia Mediterranea</w:t>
      </w:r>
      <w:r>
        <w:rPr>
          <w:rFonts w:ascii="Cambria" w:hAnsi="Cambria"/>
        </w:rPr>
        <w:t>, 44: 127–143.</w:t>
      </w:r>
    </w:p>
    <w:p w:rsidR="00E94405" w:rsidRDefault="00A11609">
      <w:pPr>
        <w:autoSpaceDE w:val="0"/>
        <w:autoSpaceDN w:val="0"/>
        <w:adjustRightInd w:val="0"/>
        <w:spacing w:before="200"/>
        <w:rPr>
          <w:rFonts w:ascii="Cambria" w:hAnsi="Cambria"/>
        </w:rPr>
      </w:pPr>
      <w:r>
        <w:rPr>
          <w:rFonts w:ascii="Cambria" w:hAnsi="Cambria"/>
          <w:color w:val="000000"/>
        </w:rPr>
        <w:t>Garbelotto</w:t>
      </w:r>
      <w:r>
        <w:rPr>
          <w:rFonts w:ascii="Cambria" w:hAnsi="Cambria"/>
        </w:rPr>
        <w:t>,</w:t>
      </w:r>
      <w:r>
        <w:rPr>
          <w:rFonts w:ascii="Cambria" w:hAnsi="Cambria"/>
          <w:color w:val="000000"/>
        </w:rPr>
        <w:t xml:space="preserve"> M 2003</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Providing a solution composting as a control for sudden oak death disease</w:t>
      </w:r>
      <w:r>
        <w:rPr>
          <w:rFonts w:ascii="Cambria" w:hAnsi="Cambria"/>
        </w:rPr>
        <w:t xml:space="preserve">’, </w:t>
      </w:r>
      <w:r>
        <w:rPr>
          <w:rFonts w:ascii="Cambria" w:hAnsi="Cambria"/>
          <w:i/>
          <w:color w:val="000000"/>
        </w:rPr>
        <w:t>Biocycle</w:t>
      </w:r>
      <w:r>
        <w:rPr>
          <w:rFonts w:ascii="Cambria" w:hAnsi="Cambria"/>
        </w:rPr>
        <w:t>,</w:t>
      </w:r>
      <w:r>
        <w:rPr>
          <w:rFonts w:ascii="Cambria" w:hAnsi="Cambria"/>
          <w:color w:val="000000"/>
        </w:rPr>
        <w:t xml:space="preserve"> 44: 53–56.</w:t>
      </w:r>
    </w:p>
    <w:p w:rsidR="00E94405" w:rsidRDefault="00A11609">
      <w:pPr>
        <w:autoSpaceDE w:val="0"/>
        <w:autoSpaceDN w:val="0"/>
        <w:adjustRightInd w:val="0"/>
        <w:spacing w:before="200"/>
        <w:rPr>
          <w:rFonts w:ascii="Cambria" w:hAnsi="Cambria"/>
        </w:rPr>
      </w:pPr>
      <w:r>
        <w:rPr>
          <w:rFonts w:ascii="Cambria" w:hAnsi="Cambria"/>
          <w:color w:val="000000"/>
        </w:rPr>
        <w:t>Garbelotto</w:t>
      </w:r>
      <w:r>
        <w:rPr>
          <w:rFonts w:ascii="Cambria" w:hAnsi="Cambria"/>
        </w:rPr>
        <w:t>,</w:t>
      </w:r>
      <w:r>
        <w:rPr>
          <w:rFonts w:ascii="Cambria" w:hAnsi="Cambria"/>
          <w:color w:val="000000"/>
        </w:rPr>
        <w:t xml:space="preserve"> M, Davidson</w:t>
      </w:r>
      <w:r>
        <w:rPr>
          <w:rFonts w:ascii="Cambria" w:hAnsi="Cambria"/>
        </w:rPr>
        <w:t>,</w:t>
      </w:r>
      <w:r>
        <w:rPr>
          <w:rFonts w:ascii="Cambria" w:hAnsi="Cambria"/>
          <w:color w:val="000000"/>
        </w:rPr>
        <w:t xml:space="preserve"> JM, Ivors</w:t>
      </w:r>
      <w:r>
        <w:rPr>
          <w:rFonts w:ascii="Cambria" w:hAnsi="Cambria"/>
        </w:rPr>
        <w:t>,</w:t>
      </w:r>
      <w:r>
        <w:rPr>
          <w:rFonts w:ascii="Cambria" w:hAnsi="Cambria"/>
          <w:color w:val="000000"/>
        </w:rPr>
        <w:t xml:space="preserve"> K, Maloney</w:t>
      </w:r>
      <w:r>
        <w:rPr>
          <w:rFonts w:ascii="Cambria" w:hAnsi="Cambria"/>
        </w:rPr>
        <w:t>,</w:t>
      </w:r>
      <w:r>
        <w:rPr>
          <w:rFonts w:ascii="Cambria" w:hAnsi="Cambria"/>
          <w:color w:val="000000"/>
        </w:rPr>
        <w:t xml:space="preserve"> PE, Hüberli</w:t>
      </w:r>
      <w:r>
        <w:rPr>
          <w:rFonts w:ascii="Cambria" w:hAnsi="Cambria"/>
        </w:rPr>
        <w:t>,</w:t>
      </w:r>
      <w:r>
        <w:rPr>
          <w:rFonts w:ascii="Cambria" w:hAnsi="Cambria"/>
          <w:color w:val="000000"/>
        </w:rPr>
        <w:t xml:space="preserve"> D, Koike</w:t>
      </w:r>
      <w:r>
        <w:rPr>
          <w:rFonts w:ascii="Cambria" w:hAnsi="Cambria"/>
        </w:rPr>
        <w:t>,</w:t>
      </w:r>
      <w:r>
        <w:rPr>
          <w:rFonts w:ascii="Cambria" w:hAnsi="Cambria"/>
          <w:color w:val="000000"/>
        </w:rPr>
        <w:t xml:space="preserve"> ST</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2003</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Non-oak native plants are main hosts for sudden oak death pathogen in California</w:t>
      </w:r>
      <w:r>
        <w:rPr>
          <w:rFonts w:ascii="Cambria" w:hAnsi="Cambria"/>
        </w:rPr>
        <w:t xml:space="preserve">’, </w:t>
      </w:r>
      <w:r>
        <w:rPr>
          <w:rFonts w:ascii="Cambria" w:hAnsi="Cambria"/>
          <w:i/>
          <w:color w:val="000000"/>
        </w:rPr>
        <w:t xml:space="preserve">California Agriculture </w:t>
      </w:r>
      <w:r>
        <w:rPr>
          <w:rFonts w:ascii="Cambria" w:hAnsi="Cambria"/>
          <w:color w:val="000000"/>
        </w:rPr>
        <w:t>57: 18–23.</w:t>
      </w:r>
    </w:p>
    <w:p w:rsidR="00E94405" w:rsidRDefault="00A11609">
      <w:pPr>
        <w:autoSpaceDE w:val="0"/>
        <w:autoSpaceDN w:val="0"/>
        <w:adjustRightInd w:val="0"/>
        <w:spacing w:before="200"/>
        <w:rPr>
          <w:rFonts w:ascii="Cambria" w:hAnsi="Cambria"/>
        </w:rPr>
      </w:pPr>
      <w:r>
        <w:rPr>
          <w:rFonts w:ascii="Cambria" w:hAnsi="Cambria"/>
        </w:rPr>
        <w:t xml:space="preserve">Garbelotto, M, Rizzo, DM &amp; Davidson, JM 2001, ‘Studies in the genetics of a new </w:t>
      </w:r>
      <w:r>
        <w:rPr>
          <w:rFonts w:ascii="Cambria" w:hAnsi="Cambria"/>
          <w:i/>
        </w:rPr>
        <w:t xml:space="preserve">Phytophthora </w:t>
      </w:r>
      <w:r>
        <w:rPr>
          <w:rFonts w:ascii="Cambria" w:hAnsi="Cambria"/>
        </w:rPr>
        <w:t xml:space="preserve">species associated with sudden oak death in California’, </w:t>
      </w:r>
      <w:r>
        <w:rPr>
          <w:rFonts w:ascii="Cambria" w:hAnsi="Cambria"/>
          <w:i/>
        </w:rPr>
        <w:t>Phytopathology</w:t>
      </w:r>
      <w:r>
        <w:rPr>
          <w:rFonts w:ascii="Cambria" w:hAnsi="Cambria"/>
        </w:rPr>
        <w:t>, 91: S110.</w:t>
      </w:r>
    </w:p>
    <w:p w:rsidR="00E94405" w:rsidRDefault="00A11609">
      <w:pPr>
        <w:autoSpaceDE w:val="0"/>
        <w:autoSpaceDN w:val="0"/>
        <w:adjustRightInd w:val="0"/>
        <w:spacing w:before="200"/>
        <w:rPr>
          <w:rFonts w:ascii="Cambria" w:hAnsi="Cambria"/>
        </w:rPr>
      </w:pPr>
      <w:r>
        <w:rPr>
          <w:rFonts w:ascii="Cambria" w:hAnsi="Cambria"/>
        </w:rPr>
        <w:lastRenderedPageBreak/>
        <w:t>Giltrap, PM, Hughes, KJD, Barton, VC, Hobden, E, Barber, P &amp; Izzard, K 2007, ‘</w:t>
      </w:r>
      <w:r>
        <w:rPr>
          <w:rFonts w:ascii="Cambria" w:hAnsi="Cambria"/>
          <w:i/>
        </w:rPr>
        <w:t>Phytophthora ramorum</w:t>
      </w:r>
      <w:r>
        <w:rPr>
          <w:rFonts w:ascii="Cambria" w:hAnsi="Cambria"/>
        </w:rPr>
        <w:t xml:space="preserve"> on three new hosts detected using on-site diagnostics’, </w:t>
      </w:r>
      <w:r>
        <w:rPr>
          <w:rFonts w:ascii="Cambria" w:hAnsi="Cambria"/>
          <w:i/>
          <w:color w:val="000000"/>
        </w:rPr>
        <w:t>Plant Pathology</w:t>
      </w:r>
      <w:r>
        <w:rPr>
          <w:rFonts w:ascii="Cambria" w:hAnsi="Cambria"/>
        </w:rPr>
        <w:t>, 56: 728.</w:t>
      </w:r>
    </w:p>
    <w:p w:rsidR="00E94405" w:rsidRDefault="00A11609">
      <w:pPr>
        <w:autoSpaceDE w:val="0"/>
        <w:autoSpaceDN w:val="0"/>
        <w:adjustRightInd w:val="0"/>
        <w:spacing w:before="200"/>
        <w:rPr>
          <w:rFonts w:ascii="Cambria" w:hAnsi="Cambria"/>
        </w:rPr>
      </w:pPr>
      <w:r>
        <w:rPr>
          <w:rFonts w:ascii="Cambria" w:hAnsi="Cambria"/>
        </w:rPr>
        <w:t>Giltrap, PM, Inman, AJ, Barton, VC, Barnes, AV, Lane, CR, Hughes, KJD, Tomlinson, J, Dean, ML &amp; Izzard, K 2004, ‘First report of ramorum dieback (</w:t>
      </w:r>
      <w:r>
        <w:rPr>
          <w:rFonts w:ascii="Cambria" w:hAnsi="Cambria"/>
          <w:i/>
        </w:rPr>
        <w:t>Phytophthora ramorum</w:t>
      </w:r>
      <w:r>
        <w:rPr>
          <w:rFonts w:ascii="Cambria" w:hAnsi="Cambria"/>
        </w:rPr>
        <w:t xml:space="preserve">) on </w:t>
      </w:r>
      <w:r>
        <w:rPr>
          <w:rFonts w:ascii="Cambria" w:hAnsi="Cambria"/>
          <w:i/>
        </w:rPr>
        <w:t>Hamamelis virginiana</w:t>
      </w:r>
      <w:r>
        <w:rPr>
          <w:rFonts w:ascii="Cambria" w:hAnsi="Cambria"/>
        </w:rPr>
        <w:t xml:space="preserve"> in the UK’, </w:t>
      </w:r>
      <w:r>
        <w:rPr>
          <w:rFonts w:ascii="Cambria" w:hAnsi="Cambria"/>
          <w:i/>
        </w:rPr>
        <w:t>New Disease Reports</w:t>
      </w:r>
      <w:r>
        <w:rPr>
          <w:rFonts w:ascii="Cambria" w:hAnsi="Cambria"/>
        </w:rPr>
        <w:t>, 9: 11.</w:t>
      </w:r>
    </w:p>
    <w:p w:rsidR="00E94405" w:rsidRDefault="00A11609">
      <w:pPr>
        <w:autoSpaceDE w:val="0"/>
        <w:autoSpaceDN w:val="0"/>
        <w:adjustRightInd w:val="0"/>
        <w:spacing w:before="200"/>
        <w:rPr>
          <w:rFonts w:ascii="Cambria" w:hAnsi="Cambria"/>
        </w:rPr>
      </w:pPr>
      <w:r>
        <w:rPr>
          <w:rFonts w:ascii="Cambria" w:hAnsi="Cambria"/>
        </w:rPr>
        <w:t>Goheen, EM &amp; Frankel, SJ 2009, ‘</w:t>
      </w:r>
      <w:r>
        <w:rPr>
          <w:rFonts w:ascii="Cambria" w:hAnsi="Cambria"/>
          <w:i/>
        </w:rPr>
        <w:t>Phytophthora</w:t>
      </w:r>
      <w:r>
        <w:rPr>
          <w:rFonts w:ascii="Cambria" w:hAnsi="Cambria"/>
        </w:rPr>
        <w:t xml:space="preserve">s in forests and natural ecosystems’, </w:t>
      </w:r>
      <w:r>
        <w:rPr>
          <w:rFonts w:ascii="Cambria" w:hAnsi="Cambria"/>
          <w:i/>
        </w:rPr>
        <w:t>Proceedings of the 4th Meeting of the International Union of Forest Research Organizations</w:t>
      </w:r>
      <w:r>
        <w:rPr>
          <w:rFonts w:ascii="Cambria" w:hAnsi="Cambria"/>
        </w:rPr>
        <w:t xml:space="preserve"> (IUFRO) Working Party S07.02.09, Monterey, California, USA, General Technical Report PSW-GTR-221, 47–53. http://www.fs.fed.us/psw/publications/documents/psw_gtr221/psw_gtr221.pdf.</w:t>
      </w:r>
    </w:p>
    <w:p w:rsidR="00E94405" w:rsidRDefault="00A11609">
      <w:pPr>
        <w:autoSpaceDE w:val="0"/>
        <w:autoSpaceDN w:val="0"/>
        <w:adjustRightInd w:val="0"/>
        <w:spacing w:before="200"/>
        <w:rPr>
          <w:rFonts w:ascii="Cambria" w:hAnsi="Cambria"/>
        </w:rPr>
      </w:pPr>
      <w:r>
        <w:rPr>
          <w:rFonts w:ascii="Cambria" w:hAnsi="Cambria"/>
          <w:color w:val="000000"/>
        </w:rPr>
        <w:t>Goheen</w:t>
      </w:r>
      <w:r>
        <w:rPr>
          <w:rFonts w:ascii="Cambria" w:hAnsi="Cambria"/>
        </w:rPr>
        <w:t>,</w:t>
      </w:r>
      <w:r>
        <w:rPr>
          <w:rFonts w:ascii="Cambria" w:hAnsi="Cambria"/>
          <w:color w:val="000000"/>
        </w:rPr>
        <w:t xml:space="preserve"> EM, Hansen</w:t>
      </w:r>
      <w:r>
        <w:rPr>
          <w:rFonts w:ascii="Cambria" w:hAnsi="Cambria"/>
        </w:rPr>
        <w:t>,</w:t>
      </w:r>
      <w:r>
        <w:rPr>
          <w:rFonts w:ascii="Cambria" w:hAnsi="Cambria"/>
          <w:color w:val="000000"/>
        </w:rPr>
        <w:t xml:space="preserve"> E, Kanaskie</w:t>
      </w:r>
      <w:r>
        <w:rPr>
          <w:rFonts w:ascii="Cambria" w:hAnsi="Cambria"/>
        </w:rPr>
        <w:t>,</w:t>
      </w:r>
      <w:r>
        <w:rPr>
          <w:rFonts w:ascii="Cambria" w:hAnsi="Cambria"/>
          <w:color w:val="000000"/>
        </w:rPr>
        <w:t xml:space="preserve"> A, Osterbauer</w:t>
      </w:r>
      <w:r>
        <w:rPr>
          <w:rFonts w:ascii="Cambria" w:hAnsi="Cambria"/>
        </w:rPr>
        <w:t>,</w:t>
      </w:r>
      <w:r>
        <w:rPr>
          <w:rFonts w:ascii="Cambria" w:hAnsi="Cambria"/>
          <w:color w:val="000000"/>
        </w:rPr>
        <w:t xml:space="preserve"> N, Parke</w:t>
      </w:r>
      <w:r>
        <w:rPr>
          <w:rFonts w:ascii="Cambria" w:hAnsi="Cambria"/>
        </w:rPr>
        <w:t>,</w:t>
      </w:r>
      <w:r>
        <w:rPr>
          <w:rFonts w:ascii="Cambria" w:hAnsi="Cambria"/>
          <w:color w:val="000000"/>
        </w:rPr>
        <w:t xml:space="preserve"> J, Pscheidt</w:t>
      </w:r>
      <w:r>
        <w:rPr>
          <w:rFonts w:ascii="Cambria" w:hAnsi="Cambria"/>
        </w:rPr>
        <w:t>,</w:t>
      </w:r>
      <w:r>
        <w:rPr>
          <w:rFonts w:ascii="Cambria" w:hAnsi="Cambria"/>
          <w:color w:val="000000"/>
        </w:rPr>
        <w:t xml:space="preserve"> J</w:t>
      </w:r>
      <w:r>
        <w:rPr>
          <w:rFonts w:ascii="Cambria" w:hAnsi="Cambria"/>
        </w:rPr>
        <w:t xml:space="preserve"> &amp;</w:t>
      </w:r>
      <w:r>
        <w:rPr>
          <w:rFonts w:ascii="Cambria" w:hAnsi="Cambria"/>
          <w:color w:val="000000"/>
        </w:rPr>
        <w:t xml:space="preserve"> Chastagner</w:t>
      </w:r>
      <w:r>
        <w:rPr>
          <w:rFonts w:ascii="Cambria" w:hAnsi="Cambria"/>
        </w:rPr>
        <w:t>,</w:t>
      </w:r>
      <w:r>
        <w:rPr>
          <w:rFonts w:ascii="Cambria" w:hAnsi="Cambria"/>
          <w:color w:val="000000"/>
        </w:rPr>
        <w:t xml:space="preserve"> G 2006</w:t>
      </w:r>
      <w:r>
        <w:rPr>
          <w:rFonts w:ascii="Cambria" w:hAnsi="Cambria"/>
        </w:rPr>
        <w:t>a,</w:t>
      </w:r>
      <w:r>
        <w:rPr>
          <w:rFonts w:ascii="Cambria" w:hAnsi="Cambria"/>
          <w:color w:val="000000"/>
        </w:rPr>
        <w:t xml:space="preserve"> </w:t>
      </w:r>
      <w:r>
        <w:rPr>
          <w:rFonts w:ascii="Cambria" w:hAnsi="Cambria"/>
        </w:rPr>
        <w:t>‘</w:t>
      </w:r>
      <w:r>
        <w:rPr>
          <w:rFonts w:ascii="Cambria" w:hAnsi="Cambria"/>
          <w:color w:val="000000"/>
        </w:rPr>
        <w:t xml:space="preserve">Sudden Oak Death and </w:t>
      </w:r>
      <w:r>
        <w:rPr>
          <w:rFonts w:ascii="Cambria" w:hAnsi="Cambria"/>
          <w:i/>
          <w:color w:val="000000"/>
        </w:rPr>
        <w:t>Phytophthora ramorum</w:t>
      </w:r>
      <w:r>
        <w:rPr>
          <w:rFonts w:ascii="Cambria" w:hAnsi="Cambria"/>
          <w:color w:val="000000"/>
        </w:rPr>
        <w:t xml:space="preserve">’, </w:t>
      </w:r>
      <w:r>
        <w:rPr>
          <w:rFonts w:ascii="Cambria" w:hAnsi="Cambria"/>
        </w:rPr>
        <w:t xml:space="preserve">In: </w:t>
      </w:r>
      <w:r>
        <w:rPr>
          <w:rFonts w:ascii="Cambria" w:hAnsi="Cambria"/>
          <w:i/>
          <w:color w:val="000000"/>
        </w:rPr>
        <w:t>A guide for forest managers, Christmas tree growers, and forest-tree nursery operators in Oregon and Washington</w:t>
      </w:r>
      <w:r>
        <w:rPr>
          <w:rFonts w:ascii="Cambria" w:hAnsi="Cambria"/>
          <w:i/>
        </w:rPr>
        <w:t xml:space="preserve">, </w:t>
      </w:r>
      <w:r>
        <w:rPr>
          <w:rFonts w:ascii="Cambria" w:hAnsi="Cambria"/>
        </w:rPr>
        <w:t xml:space="preserve">EM 8877. </w:t>
      </w:r>
    </w:p>
    <w:p w:rsidR="00E94405" w:rsidRDefault="00A11609">
      <w:pPr>
        <w:autoSpaceDE w:val="0"/>
        <w:autoSpaceDN w:val="0"/>
        <w:adjustRightInd w:val="0"/>
        <w:spacing w:before="200"/>
        <w:rPr>
          <w:rFonts w:ascii="Cambria" w:hAnsi="Cambria"/>
        </w:rPr>
      </w:pPr>
      <w:r>
        <w:rPr>
          <w:rFonts w:ascii="Cambria" w:hAnsi="Cambria"/>
        </w:rPr>
        <w:t xml:space="preserve">Goheen, EM, Hansen, EM, Kanaskie, A, McWilliams, MG, Osterbauer, N &amp; Sutton, W 2002, ‘Sudden oak death caused by </w:t>
      </w:r>
      <w:r>
        <w:rPr>
          <w:rFonts w:ascii="Cambria" w:hAnsi="Cambria"/>
          <w:i/>
        </w:rPr>
        <w:t>Phytophthora ramorum</w:t>
      </w:r>
      <w:r>
        <w:rPr>
          <w:rFonts w:ascii="Cambria" w:hAnsi="Cambria"/>
        </w:rPr>
        <w:t xml:space="preserve"> in Oregon’, </w:t>
      </w:r>
      <w:r>
        <w:rPr>
          <w:rFonts w:ascii="Cambria" w:hAnsi="Cambria"/>
          <w:i/>
        </w:rPr>
        <w:t>Plant Disease</w:t>
      </w:r>
      <w:r>
        <w:rPr>
          <w:rFonts w:ascii="Cambria" w:hAnsi="Cambria"/>
        </w:rPr>
        <w:t>, 86: 441.</w:t>
      </w:r>
    </w:p>
    <w:p w:rsidR="00E94405" w:rsidRDefault="00A11609">
      <w:pPr>
        <w:autoSpaceDE w:val="0"/>
        <w:autoSpaceDN w:val="0"/>
        <w:adjustRightInd w:val="0"/>
        <w:spacing w:before="200"/>
        <w:rPr>
          <w:rFonts w:ascii="Cambria" w:hAnsi="Cambria"/>
        </w:rPr>
      </w:pPr>
      <w:r>
        <w:rPr>
          <w:rFonts w:ascii="Cambria" w:hAnsi="Cambria"/>
        </w:rPr>
        <w:t xml:space="preserve">Goheen, EM, Kanaskie, A, Parke, J, Roth, M, Osterbauer, N &amp; Trippe, A 2006b, ‘Applications of fungicides to protect four hosts from foliar infection by </w:t>
      </w:r>
      <w:r>
        <w:rPr>
          <w:rFonts w:ascii="Cambria" w:hAnsi="Cambria"/>
          <w:i/>
        </w:rPr>
        <w:t>Phytophthora ramorum</w:t>
      </w:r>
      <w:r>
        <w:rPr>
          <w:rFonts w:ascii="Cambria" w:hAnsi="Cambria"/>
        </w:rPr>
        <w:t xml:space="preserve"> in Curry County, Oregon’, </w:t>
      </w:r>
      <w:r>
        <w:rPr>
          <w:rFonts w:ascii="Cambria" w:hAnsi="Cambria"/>
          <w:i/>
        </w:rPr>
        <w:t>Proceedings of the Sudden Oak Death Second Science Symposium: The State of Our Knowledge</w:t>
      </w:r>
      <w:r>
        <w:rPr>
          <w:rFonts w:ascii="Cambria" w:hAnsi="Cambria"/>
        </w:rPr>
        <w:t>, General technical report PSWGTR-196, 513–514.</w:t>
      </w:r>
    </w:p>
    <w:p w:rsidR="00E94405" w:rsidRDefault="00A11609">
      <w:pPr>
        <w:autoSpaceDE w:val="0"/>
        <w:autoSpaceDN w:val="0"/>
        <w:adjustRightInd w:val="0"/>
        <w:spacing w:before="200"/>
        <w:rPr>
          <w:rFonts w:ascii="Cambria" w:hAnsi="Cambria"/>
        </w:rPr>
      </w:pPr>
      <w:r>
        <w:rPr>
          <w:rFonts w:ascii="Cambria" w:hAnsi="Cambria"/>
        </w:rPr>
        <w:t xml:space="preserve">Gomes, MJ &amp; Amaro, PT 2009, ‘Occurrence of </w:t>
      </w:r>
      <w:r>
        <w:rPr>
          <w:rFonts w:ascii="Cambria" w:hAnsi="Cambria"/>
          <w:i/>
        </w:rPr>
        <w:t>Phytophthora ramorum</w:t>
      </w:r>
      <w:r>
        <w:rPr>
          <w:rFonts w:ascii="Cambria" w:hAnsi="Cambria"/>
        </w:rPr>
        <w:t xml:space="preserve"> in Portugal on </w:t>
      </w:r>
      <w:r>
        <w:rPr>
          <w:rFonts w:ascii="Cambria" w:hAnsi="Cambria"/>
          <w:i/>
        </w:rPr>
        <w:t>Viburnum</w:t>
      </w:r>
      <w:r>
        <w:rPr>
          <w:rFonts w:ascii="Cambria" w:hAnsi="Cambria"/>
        </w:rPr>
        <w:t xml:space="preserve"> spp’, </w:t>
      </w:r>
      <w:r>
        <w:rPr>
          <w:rFonts w:ascii="Cambria" w:hAnsi="Cambria"/>
          <w:i/>
        </w:rPr>
        <w:t>Revista de Ciências Agrárias</w:t>
      </w:r>
      <w:r>
        <w:rPr>
          <w:rFonts w:ascii="Cambria" w:hAnsi="Cambria"/>
        </w:rPr>
        <w:t xml:space="preserve">, 31(2): 105–111. </w:t>
      </w:r>
    </w:p>
    <w:p w:rsidR="00E94405" w:rsidRDefault="00A11609">
      <w:pPr>
        <w:autoSpaceDE w:val="0"/>
        <w:autoSpaceDN w:val="0"/>
        <w:adjustRightInd w:val="0"/>
        <w:spacing w:before="200"/>
        <w:rPr>
          <w:rFonts w:ascii="Cambria" w:hAnsi="Cambria"/>
        </w:rPr>
      </w:pPr>
      <w:r>
        <w:rPr>
          <w:rFonts w:ascii="Cambria" w:hAnsi="Cambria"/>
          <w:color w:val="000000"/>
        </w:rPr>
        <w:t>Goss</w:t>
      </w:r>
      <w:r>
        <w:rPr>
          <w:rFonts w:ascii="Cambria" w:hAnsi="Cambria"/>
        </w:rPr>
        <w:t>,</w:t>
      </w:r>
      <w:r>
        <w:rPr>
          <w:rFonts w:ascii="Cambria" w:hAnsi="Cambria"/>
          <w:color w:val="000000"/>
        </w:rPr>
        <w:t xml:space="preserve"> EM, Carbone</w:t>
      </w:r>
      <w:r>
        <w:rPr>
          <w:rFonts w:ascii="Cambria" w:hAnsi="Cambria"/>
        </w:rPr>
        <w:t>,</w:t>
      </w:r>
      <w:r>
        <w:rPr>
          <w:rFonts w:ascii="Cambria" w:hAnsi="Cambria"/>
          <w:color w:val="000000"/>
        </w:rPr>
        <w:t xml:space="preserve"> I</w:t>
      </w:r>
      <w:r>
        <w:rPr>
          <w:rFonts w:ascii="Cambria" w:hAnsi="Cambria"/>
        </w:rPr>
        <w:t xml:space="preserve"> &amp;</w:t>
      </w:r>
      <w:r>
        <w:rPr>
          <w:rFonts w:ascii="Cambria" w:hAnsi="Cambria"/>
          <w:color w:val="000000"/>
        </w:rPr>
        <w:t xml:space="preserve"> Gr</w:t>
      </w:r>
      <w:r>
        <w:rPr>
          <w:rFonts w:ascii="Cambria" w:hAnsi="Cambria"/>
        </w:rPr>
        <w:t>ü</w:t>
      </w:r>
      <w:r>
        <w:rPr>
          <w:rFonts w:ascii="Cambria" w:hAnsi="Cambria"/>
          <w:color w:val="000000"/>
        </w:rPr>
        <w:t>nwald</w:t>
      </w:r>
      <w:r>
        <w:rPr>
          <w:rFonts w:ascii="Cambria" w:hAnsi="Cambria"/>
        </w:rPr>
        <w:t>,</w:t>
      </w:r>
      <w:r>
        <w:rPr>
          <w:rFonts w:ascii="Cambria" w:hAnsi="Cambria"/>
          <w:color w:val="000000"/>
        </w:rPr>
        <w:t xml:space="preserve"> NJ 2009a</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Ancient isolation and independent evolution of the three clonal lineages of the exotic sudden oak death pathogen </w:t>
      </w:r>
      <w:r>
        <w:rPr>
          <w:rFonts w:ascii="Cambria" w:hAnsi="Cambria"/>
          <w:i/>
        </w:rPr>
        <w:t>Phytophthora ramorum</w:t>
      </w:r>
      <w:r>
        <w:rPr>
          <w:rFonts w:ascii="Cambria" w:hAnsi="Cambria"/>
        </w:rPr>
        <w:t xml:space="preserve">’, </w:t>
      </w:r>
      <w:r>
        <w:rPr>
          <w:rFonts w:ascii="Cambria" w:hAnsi="Cambria"/>
          <w:i/>
          <w:color w:val="000000"/>
        </w:rPr>
        <w:t>Molecular Ecology</w:t>
      </w:r>
      <w:r>
        <w:rPr>
          <w:rFonts w:ascii="Cambria" w:hAnsi="Cambria"/>
        </w:rPr>
        <w:t>,</w:t>
      </w:r>
      <w:r>
        <w:rPr>
          <w:rFonts w:ascii="Cambria" w:hAnsi="Cambria"/>
          <w:color w:val="000000"/>
        </w:rPr>
        <w:t xml:space="preserve"> 18: 1161–1174.</w:t>
      </w:r>
    </w:p>
    <w:p w:rsidR="00E94405" w:rsidRDefault="00A11609">
      <w:pPr>
        <w:autoSpaceDE w:val="0"/>
        <w:autoSpaceDN w:val="0"/>
        <w:adjustRightInd w:val="0"/>
        <w:spacing w:before="200"/>
        <w:rPr>
          <w:rFonts w:ascii="Cambria" w:hAnsi="Cambria"/>
        </w:rPr>
      </w:pPr>
      <w:r>
        <w:rPr>
          <w:rFonts w:ascii="Cambria" w:hAnsi="Cambria"/>
          <w:color w:val="000000"/>
        </w:rPr>
        <w:t>Goss</w:t>
      </w:r>
      <w:r>
        <w:rPr>
          <w:rFonts w:ascii="Cambria" w:hAnsi="Cambria"/>
        </w:rPr>
        <w:t>,</w:t>
      </w:r>
      <w:r>
        <w:rPr>
          <w:rFonts w:ascii="Cambria" w:hAnsi="Cambria"/>
          <w:color w:val="000000"/>
        </w:rPr>
        <w:t xml:space="preserve"> EM, Larsen</w:t>
      </w:r>
      <w:r>
        <w:rPr>
          <w:rFonts w:ascii="Cambria" w:hAnsi="Cambria"/>
        </w:rPr>
        <w:t>,</w:t>
      </w:r>
      <w:r>
        <w:rPr>
          <w:rFonts w:ascii="Cambria" w:hAnsi="Cambria"/>
          <w:color w:val="000000"/>
        </w:rPr>
        <w:t xml:space="preserve"> M, Chastagner</w:t>
      </w:r>
      <w:r>
        <w:rPr>
          <w:rFonts w:ascii="Cambria" w:hAnsi="Cambria"/>
        </w:rPr>
        <w:t>,</w:t>
      </w:r>
      <w:r>
        <w:rPr>
          <w:rFonts w:ascii="Cambria" w:hAnsi="Cambria"/>
          <w:color w:val="000000"/>
        </w:rPr>
        <w:t xml:space="preserve"> GA, Givens</w:t>
      </w:r>
      <w:r>
        <w:rPr>
          <w:rFonts w:ascii="Cambria" w:hAnsi="Cambria"/>
        </w:rPr>
        <w:t>,</w:t>
      </w:r>
      <w:r>
        <w:rPr>
          <w:rFonts w:ascii="Cambria" w:hAnsi="Cambria"/>
          <w:color w:val="000000"/>
        </w:rPr>
        <w:t xml:space="preserve"> DR</w:t>
      </w:r>
      <w:r>
        <w:rPr>
          <w:rFonts w:ascii="Cambria" w:hAnsi="Cambria"/>
        </w:rPr>
        <w:t xml:space="preserve"> &amp;</w:t>
      </w:r>
      <w:r>
        <w:rPr>
          <w:rFonts w:ascii="Cambria" w:hAnsi="Cambria"/>
          <w:color w:val="000000"/>
        </w:rPr>
        <w:t xml:space="preserve"> Grünwald</w:t>
      </w:r>
      <w:r>
        <w:rPr>
          <w:rFonts w:ascii="Cambria" w:hAnsi="Cambria"/>
        </w:rPr>
        <w:t>,</w:t>
      </w:r>
      <w:r>
        <w:rPr>
          <w:rFonts w:ascii="Cambria" w:hAnsi="Cambria"/>
          <w:color w:val="000000"/>
        </w:rPr>
        <w:t xml:space="preserve"> NJ 2009b</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Population genetic analysis infers migration pathways of </w:t>
      </w:r>
      <w:r>
        <w:rPr>
          <w:rFonts w:ascii="Cambria" w:hAnsi="Cambria"/>
          <w:i/>
        </w:rPr>
        <w:t>Phytophthora ramorum</w:t>
      </w:r>
      <w:r>
        <w:rPr>
          <w:rFonts w:ascii="Cambria" w:hAnsi="Cambria"/>
          <w:color w:val="000000"/>
        </w:rPr>
        <w:t xml:space="preserve"> in US nurseries</w:t>
      </w:r>
      <w:r>
        <w:rPr>
          <w:rFonts w:ascii="Cambria" w:hAnsi="Cambria"/>
        </w:rPr>
        <w:t xml:space="preserve">’, </w:t>
      </w:r>
      <w:r>
        <w:rPr>
          <w:rFonts w:ascii="Cambria" w:hAnsi="Cambria"/>
          <w:i/>
          <w:color w:val="000000"/>
        </w:rPr>
        <w:t>PLoS Pathogens</w:t>
      </w:r>
      <w:r>
        <w:rPr>
          <w:rFonts w:ascii="Cambria" w:hAnsi="Cambria"/>
        </w:rPr>
        <w:t xml:space="preserve">, </w:t>
      </w:r>
      <w:r>
        <w:rPr>
          <w:rFonts w:ascii="Cambria" w:hAnsi="Cambria"/>
          <w:color w:val="000000"/>
        </w:rPr>
        <w:t>5: 1–12.</w:t>
      </w:r>
    </w:p>
    <w:p w:rsidR="00E94405" w:rsidRDefault="00A11609">
      <w:pPr>
        <w:autoSpaceDE w:val="0"/>
        <w:autoSpaceDN w:val="0"/>
        <w:adjustRightInd w:val="0"/>
        <w:spacing w:before="200"/>
        <w:rPr>
          <w:rFonts w:ascii="Cambria" w:hAnsi="Cambria"/>
        </w:rPr>
      </w:pPr>
      <w:r>
        <w:rPr>
          <w:rFonts w:ascii="Cambria" w:hAnsi="Cambria"/>
          <w:color w:val="000000"/>
        </w:rPr>
        <w:t>Goss</w:t>
      </w:r>
      <w:r>
        <w:rPr>
          <w:rFonts w:ascii="Cambria" w:hAnsi="Cambria"/>
        </w:rPr>
        <w:t>,</w:t>
      </w:r>
      <w:r>
        <w:rPr>
          <w:rFonts w:ascii="Cambria" w:hAnsi="Cambria"/>
          <w:color w:val="000000"/>
        </w:rPr>
        <w:t xml:space="preserve"> EM, Larsen</w:t>
      </w:r>
      <w:r>
        <w:rPr>
          <w:rFonts w:ascii="Cambria" w:hAnsi="Cambria"/>
        </w:rPr>
        <w:t>,</w:t>
      </w:r>
      <w:r>
        <w:rPr>
          <w:rFonts w:ascii="Cambria" w:hAnsi="Cambria"/>
          <w:color w:val="000000"/>
        </w:rPr>
        <w:t xml:space="preserve"> M, Vercauteren</w:t>
      </w:r>
      <w:r>
        <w:rPr>
          <w:rFonts w:ascii="Cambria" w:hAnsi="Cambria"/>
        </w:rPr>
        <w:t>,</w:t>
      </w:r>
      <w:r>
        <w:rPr>
          <w:rFonts w:ascii="Cambria" w:hAnsi="Cambria"/>
          <w:color w:val="000000"/>
        </w:rPr>
        <w:t xml:space="preserve"> A, Werres</w:t>
      </w:r>
      <w:r>
        <w:rPr>
          <w:rFonts w:ascii="Cambria" w:hAnsi="Cambria"/>
        </w:rPr>
        <w:t>,</w:t>
      </w:r>
      <w:r>
        <w:rPr>
          <w:rFonts w:ascii="Cambria" w:hAnsi="Cambria"/>
          <w:color w:val="000000"/>
        </w:rPr>
        <w:t xml:space="preserve"> S, Heungens</w:t>
      </w:r>
      <w:r>
        <w:rPr>
          <w:rFonts w:ascii="Cambria" w:hAnsi="Cambria"/>
        </w:rPr>
        <w:t>,</w:t>
      </w:r>
      <w:r>
        <w:rPr>
          <w:rFonts w:ascii="Cambria" w:hAnsi="Cambria"/>
          <w:color w:val="000000"/>
        </w:rPr>
        <w:t xml:space="preserve"> K</w:t>
      </w:r>
      <w:r>
        <w:rPr>
          <w:rFonts w:ascii="Cambria" w:hAnsi="Cambria"/>
        </w:rPr>
        <w:t xml:space="preserve"> &amp;</w:t>
      </w:r>
      <w:r>
        <w:rPr>
          <w:rFonts w:ascii="Cambria" w:hAnsi="Cambria"/>
          <w:color w:val="000000"/>
        </w:rPr>
        <w:t xml:space="preserve"> Gr</w:t>
      </w:r>
      <w:r>
        <w:rPr>
          <w:rFonts w:ascii="Cambria" w:hAnsi="Cambria"/>
        </w:rPr>
        <w:t>ü</w:t>
      </w:r>
      <w:r>
        <w:rPr>
          <w:rFonts w:ascii="Cambria" w:hAnsi="Cambria"/>
          <w:color w:val="000000"/>
        </w:rPr>
        <w:t>nwald</w:t>
      </w:r>
      <w:r>
        <w:rPr>
          <w:rFonts w:ascii="Cambria" w:hAnsi="Cambria"/>
        </w:rPr>
        <w:t>,</w:t>
      </w:r>
      <w:r>
        <w:rPr>
          <w:rFonts w:ascii="Cambria" w:hAnsi="Cambria"/>
          <w:color w:val="000000"/>
        </w:rPr>
        <w:t xml:space="preserve"> NJ 2011</w:t>
      </w:r>
      <w:r>
        <w:rPr>
          <w:rFonts w:ascii="Cambria" w:hAnsi="Cambria"/>
        </w:rPr>
        <w:t>,</w:t>
      </w:r>
      <w:r>
        <w:rPr>
          <w:rFonts w:ascii="Cambria" w:hAnsi="Cambria"/>
          <w:color w:val="000000"/>
        </w:rPr>
        <w:t xml:space="preserve"> </w:t>
      </w:r>
      <w:r>
        <w:rPr>
          <w:rFonts w:ascii="Cambria" w:hAnsi="Cambria"/>
        </w:rPr>
        <w:t>‘</w:t>
      </w:r>
      <w:r>
        <w:rPr>
          <w:rFonts w:ascii="Cambria" w:hAnsi="Cambria"/>
          <w:i/>
        </w:rPr>
        <w:t>Phytophthora ramorum</w:t>
      </w:r>
      <w:r>
        <w:rPr>
          <w:rFonts w:ascii="Cambria" w:hAnsi="Cambria"/>
          <w:color w:val="000000"/>
        </w:rPr>
        <w:t xml:space="preserve"> in Canada: evidence for migration within North America and from Europe</w:t>
      </w:r>
      <w:r>
        <w:rPr>
          <w:rFonts w:ascii="Cambria" w:hAnsi="Cambria"/>
        </w:rPr>
        <w:t xml:space="preserve">’, </w:t>
      </w:r>
      <w:r>
        <w:rPr>
          <w:rFonts w:ascii="Cambria" w:hAnsi="Cambria"/>
          <w:i/>
          <w:color w:val="000000"/>
        </w:rPr>
        <w:t>Phytopathology</w:t>
      </w:r>
      <w:r>
        <w:rPr>
          <w:rFonts w:ascii="Cambria" w:hAnsi="Cambria"/>
        </w:rPr>
        <w:t xml:space="preserve">, </w:t>
      </w:r>
      <w:r>
        <w:rPr>
          <w:rFonts w:ascii="Cambria" w:hAnsi="Cambria"/>
          <w:color w:val="000000"/>
        </w:rPr>
        <w:t>101: 166–171.</w:t>
      </w:r>
    </w:p>
    <w:p w:rsidR="00E94405" w:rsidRDefault="00A11609">
      <w:pPr>
        <w:autoSpaceDE w:val="0"/>
        <w:autoSpaceDN w:val="0"/>
        <w:adjustRightInd w:val="0"/>
        <w:spacing w:before="200"/>
        <w:rPr>
          <w:rFonts w:ascii="Cambria" w:hAnsi="Cambria"/>
        </w:rPr>
      </w:pPr>
      <w:r>
        <w:rPr>
          <w:rFonts w:ascii="Cambria" w:hAnsi="Cambria"/>
        </w:rPr>
        <w:t xml:space="preserve">Grünwald NJ, Goss EM, Press CM (2008c) </w:t>
      </w:r>
      <w:r>
        <w:rPr>
          <w:rFonts w:ascii="Cambria" w:hAnsi="Cambria"/>
          <w:i/>
        </w:rPr>
        <w:t>Phytophthora ramorum</w:t>
      </w:r>
      <w:r>
        <w:rPr>
          <w:rFonts w:ascii="Cambria" w:hAnsi="Cambria"/>
        </w:rPr>
        <w:t xml:space="preserve">: a pathogen with a remarkably wide host-range causing sudden oak death on oaks and ramorum blight on woody ornamentals. </w:t>
      </w:r>
      <w:r>
        <w:rPr>
          <w:rFonts w:ascii="Cambria" w:hAnsi="Cambria"/>
          <w:i/>
        </w:rPr>
        <w:t>Molecular Plant Pathology</w:t>
      </w:r>
      <w:r>
        <w:rPr>
          <w:rFonts w:ascii="Cambria" w:hAnsi="Cambria"/>
        </w:rPr>
        <w:t xml:space="preserve"> 9: 729–740.</w:t>
      </w:r>
    </w:p>
    <w:p w:rsidR="00E94405" w:rsidRDefault="00A11609">
      <w:pPr>
        <w:spacing w:before="200"/>
        <w:rPr>
          <w:rFonts w:ascii="Cambria" w:eastAsiaTheme="minorEastAsia" w:hAnsi="Cambria"/>
          <w:lang w:bidi="en-US"/>
        </w:rPr>
      </w:pPr>
      <w:r>
        <w:rPr>
          <w:rFonts w:ascii="Cambria" w:eastAsiaTheme="minorEastAsia" w:hAnsi="Cambria"/>
          <w:lang w:bidi="en-US"/>
        </w:rPr>
        <w:t>Grünwald, NJ, Garbelotto, M, Goss, EM, Heungens, K &amp; Prospero, S 2012</w:t>
      </w:r>
      <w:r>
        <w:rPr>
          <w:rFonts w:ascii="Cambria" w:hAnsi="Cambria"/>
        </w:rPr>
        <w:t xml:space="preserve">, </w:t>
      </w:r>
      <w:r>
        <w:rPr>
          <w:rFonts w:ascii="Cambria" w:eastAsiaTheme="minorEastAsia" w:hAnsi="Cambria"/>
          <w:lang w:bidi="en-US"/>
        </w:rPr>
        <w:t>Emergence of the sudden oak death pathogen</w:t>
      </w:r>
      <w:r>
        <w:rPr>
          <w:rFonts w:ascii="Cambria" w:hAnsi="Cambria"/>
        </w:rPr>
        <w:t xml:space="preserve"> </w:t>
      </w:r>
      <w:r>
        <w:rPr>
          <w:rFonts w:ascii="Cambria" w:eastAsiaTheme="minorEastAsia" w:hAnsi="Cambria"/>
          <w:i/>
          <w:lang w:bidi="en-US"/>
        </w:rPr>
        <w:t>Phytophthora ramorum</w:t>
      </w:r>
      <w:r>
        <w:rPr>
          <w:rFonts w:ascii="Cambria" w:hAnsi="Cambria"/>
        </w:rPr>
        <w:t xml:space="preserve">, </w:t>
      </w:r>
      <w:r>
        <w:rPr>
          <w:rFonts w:ascii="Cambria" w:eastAsiaTheme="minorEastAsia" w:hAnsi="Cambria"/>
          <w:i/>
          <w:lang w:bidi="en-US"/>
        </w:rPr>
        <w:t>Trends in microbiology</w:t>
      </w:r>
      <w:r>
        <w:rPr>
          <w:rFonts w:ascii="Cambria" w:eastAsiaTheme="minorEastAsia" w:hAnsi="Cambria"/>
          <w:lang w:bidi="en-US"/>
        </w:rPr>
        <w:t>, 20</w:t>
      </w:r>
      <w:r>
        <w:rPr>
          <w:rFonts w:ascii="Cambria" w:hAnsi="Cambria"/>
        </w:rPr>
        <w:t xml:space="preserve">: </w:t>
      </w:r>
      <w:r>
        <w:rPr>
          <w:rFonts w:ascii="Cambria" w:eastAsiaTheme="minorEastAsia" w:hAnsi="Cambria"/>
          <w:lang w:bidi="en-US"/>
        </w:rPr>
        <w:t>3</w:t>
      </w:r>
      <w:r>
        <w:rPr>
          <w:rFonts w:ascii="Cambria" w:hAnsi="Cambria"/>
        </w:rPr>
        <w:t xml:space="preserve">: </w:t>
      </w:r>
      <w:r>
        <w:rPr>
          <w:rFonts w:ascii="Cambria" w:eastAsiaTheme="minorEastAsia" w:hAnsi="Cambria"/>
          <w:lang w:bidi="en-US"/>
        </w:rPr>
        <w:t>131–138.</w:t>
      </w:r>
    </w:p>
    <w:p w:rsidR="00E94405" w:rsidRDefault="00A11609">
      <w:pPr>
        <w:autoSpaceDE w:val="0"/>
        <w:autoSpaceDN w:val="0"/>
        <w:adjustRightInd w:val="0"/>
        <w:spacing w:before="200"/>
        <w:rPr>
          <w:rFonts w:ascii="Cambria" w:hAnsi="Cambria"/>
        </w:rPr>
      </w:pPr>
      <w:r>
        <w:rPr>
          <w:rFonts w:ascii="Cambria" w:hAnsi="Cambria"/>
        </w:rPr>
        <w:t xml:space="preserve">Grünwald, NJ, Goss, E, Ivors, K, Garbelotto, M, Martin, FN, Prospero, S, Hansen, E, Bonants, PJM, Hamelin, RC, Chastagner, G, Werres, S, Rizzo, DM, Abad, G, Beales, P, Bilodeau, GJ, Blomquist, CL, Brasier, C, Brière, SC, Chandelier, A, Davidson, JM, Denman, S, Elliott, M, Frankel, SJ, Goheen, EM, de Gruyter, H, Heungens, K, Kanaskie, A, McWilliams, MG, Man in ‘t Veld, W, Moralejo, E, Osterbauer, NK, Palm, ME, Parke, JL, Perez Sierra, AM, Shamoun, SF, Shishkoff, N, Tooley, PW, </w:t>
      </w:r>
      <w:r>
        <w:rPr>
          <w:rFonts w:ascii="Cambria" w:hAnsi="Cambria"/>
        </w:rPr>
        <w:lastRenderedPageBreak/>
        <w:t xml:space="preserve">Vettraino, AM, Webber, J, Widmer, TL &amp; James, D 2009, ‘Standardizing the nomenclature for clonal lineages of the sudden oak death pathogen, </w:t>
      </w:r>
      <w:r>
        <w:rPr>
          <w:rFonts w:ascii="Cambria" w:hAnsi="Cambria"/>
          <w:i/>
        </w:rPr>
        <w:t>Phytophthora ramorum</w:t>
      </w:r>
      <w:r>
        <w:rPr>
          <w:rFonts w:ascii="Cambria" w:hAnsi="Cambria"/>
        </w:rPr>
        <w:t xml:space="preserve">’, </w:t>
      </w:r>
      <w:r>
        <w:rPr>
          <w:rFonts w:ascii="Cambria" w:hAnsi="Cambria"/>
          <w:i/>
        </w:rPr>
        <w:t>Phytopathology</w:t>
      </w:r>
      <w:r>
        <w:rPr>
          <w:rFonts w:ascii="Cambria" w:hAnsi="Cambria"/>
        </w:rPr>
        <w:t>, 99: 792–795.</w:t>
      </w:r>
    </w:p>
    <w:p w:rsidR="00E94405" w:rsidRDefault="00A11609">
      <w:pPr>
        <w:autoSpaceDE w:val="0"/>
        <w:autoSpaceDN w:val="0"/>
        <w:adjustRightInd w:val="0"/>
        <w:spacing w:before="200"/>
        <w:rPr>
          <w:rFonts w:ascii="Cambria" w:hAnsi="Cambria"/>
        </w:rPr>
      </w:pPr>
      <w:r>
        <w:rPr>
          <w:rFonts w:ascii="Cambria" w:hAnsi="Cambria"/>
        </w:rPr>
        <w:t xml:space="preserve">Grünwald, NJ, Goss, EM, Larsen, MM, Press, CM, McDonald, VT, Blomquist, CL &amp; Thomas, SL 2008a, ‘First report of the European lineage of </w:t>
      </w:r>
      <w:r>
        <w:rPr>
          <w:rFonts w:ascii="Cambria" w:hAnsi="Cambria"/>
          <w:i/>
        </w:rPr>
        <w:t>Phytophthora ramorum</w:t>
      </w:r>
      <w:r>
        <w:rPr>
          <w:rFonts w:ascii="Cambria" w:hAnsi="Cambria"/>
        </w:rPr>
        <w:t xml:space="preserve"> on </w:t>
      </w:r>
      <w:r>
        <w:rPr>
          <w:rFonts w:ascii="Cambria" w:hAnsi="Cambria"/>
          <w:i/>
          <w:color w:val="000000"/>
        </w:rPr>
        <w:t>Viburnum</w:t>
      </w:r>
      <w:r>
        <w:rPr>
          <w:rFonts w:ascii="Cambria" w:hAnsi="Cambria"/>
        </w:rPr>
        <w:t xml:space="preserve"> and </w:t>
      </w:r>
      <w:r>
        <w:rPr>
          <w:rFonts w:ascii="Cambria" w:hAnsi="Cambria"/>
          <w:i/>
          <w:color w:val="000000"/>
        </w:rPr>
        <w:t>Osmanthus</w:t>
      </w:r>
      <w:r>
        <w:rPr>
          <w:rFonts w:ascii="Cambria" w:hAnsi="Cambria"/>
        </w:rPr>
        <w:t xml:space="preserve"> species in a California Nursery’, </w:t>
      </w:r>
      <w:r>
        <w:rPr>
          <w:rFonts w:ascii="Cambria" w:hAnsi="Cambria"/>
          <w:i/>
        </w:rPr>
        <w:t>Plant Disease</w:t>
      </w:r>
      <w:r>
        <w:rPr>
          <w:rFonts w:ascii="Cambria" w:hAnsi="Cambria"/>
        </w:rPr>
        <w:t xml:space="preserve">, 92: 314. </w:t>
      </w:r>
    </w:p>
    <w:p w:rsidR="00E94405" w:rsidRDefault="00A11609">
      <w:pPr>
        <w:autoSpaceDE w:val="0"/>
        <w:autoSpaceDN w:val="0"/>
        <w:adjustRightInd w:val="0"/>
        <w:spacing w:before="200"/>
        <w:rPr>
          <w:rFonts w:ascii="Cambria" w:hAnsi="Cambria"/>
        </w:rPr>
      </w:pPr>
      <w:r>
        <w:rPr>
          <w:rFonts w:ascii="Cambria" w:hAnsi="Cambria"/>
        </w:rPr>
        <w:t xml:space="preserve">Grünwald, NJ, Kitner, M, McDonald, V &amp; Goss, E 2008b, ‘Susceptibility in </w:t>
      </w:r>
      <w:r>
        <w:rPr>
          <w:rFonts w:ascii="Cambria" w:hAnsi="Cambria"/>
          <w:i/>
          <w:color w:val="000000"/>
        </w:rPr>
        <w:t xml:space="preserve">Viburnum </w:t>
      </w:r>
      <w:r>
        <w:rPr>
          <w:rFonts w:ascii="Cambria" w:hAnsi="Cambria"/>
        </w:rPr>
        <w:t xml:space="preserve">to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92: 210–214.</w:t>
      </w:r>
    </w:p>
    <w:p w:rsidR="00E94405" w:rsidRDefault="00A11609">
      <w:pPr>
        <w:autoSpaceDE w:val="0"/>
        <w:autoSpaceDN w:val="0"/>
        <w:adjustRightInd w:val="0"/>
        <w:spacing w:before="200"/>
        <w:rPr>
          <w:rFonts w:ascii="Cambria" w:hAnsi="Cambria"/>
        </w:rPr>
      </w:pPr>
      <w:r>
        <w:rPr>
          <w:rFonts w:ascii="Cambria" w:hAnsi="Cambria"/>
        </w:rPr>
        <w:t xml:space="preserve">Grünwald, NJ, Martin, FN, Larsen, MM, Sullivan, CM, Press, CM, Coffey, MD, Hansen, EM &amp; Parke, JL 2011, ‘Phytophthora-ID.org: a sequence-based </w:t>
      </w:r>
      <w:r>
        <w:rPr>
          <w:rFonts w:ascii="Cambria" w:hAnsi="Cambria"/>
          <w:i/>
        </w:rPr>
        <w:t>Phytophthora</w:t>
      </w:r>
      <w:r>
        <w:rPr>
          <w:rFonts w:ascii="Cambria" w:hAnsi="Cambria"/>
        </w:rPr>
        <w:t xml:space="preserve"> identification tool’, </w:t>
      </w:r>
      <w:r>
        <w:rPr>
          <w:rFonts w:ascii="Cambria" w:hAnsi="Cambria"/>
          <w:i/>
        </w:rPr>
        <w:t>Plant Disease</w:t>
      </w:r>
      <w:r>
        <w:rPr>
          <w:rFonts w:ascii="Cambria" w:hAnsi="Cambria"/>
        </w:rPr>
        <w:t>, 95: 337–342.</w:t>
      </w:r>
    </w:p>
    <w:p w:rsidR="00E94405" w:rsidRDefault="00A11609">
      <w:pPr>
        <w:autoSpaceDE w:val="0"/>
        <w:autoSpaceDN w:val="0"/>
        <w:adjustRightInd w:val="0"/>
        <w:spacing w:before="200"/>
        <w:rPr>
          <w:rFonts w:ascii="Cambria" w:hAnsi="Cambria"/>
        </w:rPr>
      </w:pPr>
      <w:r>
        <w:rPr>
          <w:rFonts w:ascii="Cambria" w:hAnsi="Cambria"/>
        </w:rPr>
        <w:t>Hansen, E, Reeser, P, Davidson, JN, Garbelotto, M, Ivors, K, Douhan, L &amp; Rizzo, DM 2003a, ‘</w:t>
      </w:r>
      <w:r>
        <w:rPr>
          <w:rFonts w:ascii="Cambria" w:hAnsi="Cambria"/>
          <w:i/>
        </w:rPr>
        <w:t>Phytophthora nemorosa</w:t>
      </w:r>
      <w:r>
        <w:rPr>
          <w:rFonts w:ascii="Cambria" w:hAnsi="Cambria"/>
        </w:rPr>
        <w:t xml:space="preserve">, a new species causing cankers and leaf blight of forest trees in California and Oregon, USA’, </w:t>
      </w:r>
      <w:r>
        <w:rPr>
          <w:rFonts w:ascii="Cambria" w:hAnsi="Cambria"/>
          <w:i/>
        </w:rPr>
        <w:t>Mycotaxon</w:t>
      </w:r>
      <w:r>
        <w:rPr>
          <w:rFonts w:ascii="Cambria" w:hAnsi="Cambria"/>
        </w:rPr>
        <w:t>, 88: 129–138.</w:t>
      </w:r>
    </w:p>
    <w:p w:rsidR="00E94405" w:rsidRDefault="00A11609">
      <w:pPr>
        <w:autoSpaceDE w:val="0"/>
        <w:autoSpaceDN w:val="0"/>
        <w:adjustRightInd w:val="0"/>
        <w:spacing w:before="200"/>
        <w:rPr>
          <w:rFonts w:ascii="Cambria" w:hAnsi="Cambria"/>
        </w:rPr>
      </w:pPr>
      <w:r>
        <w:rPr>
          <w:rFonts w:ascii="Cambria" w:hAnsi="Cambria"/>
          <w:color w:val="000000"/>
        </w:rPr>
        <w:t>Hansen</w:t>
      </w:r>
      <w:r>
        <w:rPr>
          <w:rFonts w:ascii="Cambria" w:hAnsi="Cambria"/>
        </w:rPr>
        <w:t>,</w:t>
      </w:r>
      <w:r>
        <w:rPr>
          <w:rFonts w:ascii="Cambria" w:hAnsi="Cambria"/>
          <w:color w:val="000000"/>
        </w:rPr>
        <w:t xml:space="preserve"> EM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Alien forest pathogens: </w:t>
      </w:r>
      <w:r>
        <w:rPr>
          <w:rFonts w:ascii="Cambria" w:hAnsi="Cambria"/>
          <w:i/>
          <w:color w:val="000000"/>
        </w:rPr>
        <w:t>Phytophthora</w:t>
      </w:r>
      <w:r>
        <w:rPr>
          <w:rFonts w:ascii="Cambria" w:hAnsi="Cambria"/>
          <w:color w:val="000000"/>
        </w:rPr>
        <w:t xml:space="preserve"> species are changing world forests</w:t>
      </w:r>
      <w:r>
        <w:rPr>
          <w:rFonts w:ascii="Cambria" w:hAnsi="Cambria"/>
        </w:rPr>
        <w:t xml:space="preserve">’, </w:t>
      </w:r>
      <w:r>
        <w:rPr>
          <w:rFonts w:ascii="Cambria" w:hAnsi="Cambria"/>
          <w:i/>
          <w:color w:val="000000"/>
        </w:rPr>
        <w:t>Boreal Environment Research</w:t>
      </w:r>
      <w:r>
        <w:rPr>
          <w:rFonts w:ascii="Cambria" w:hAnsi="Cambria"/>
        </w:rPr>
        <w:t>,</w:t>
      </w:r>
      <w:r>
        <w:rPr>
          <w:rFonts w:ascii="Cambria" w:hAnsi="Cambria"/>
          <w:color w:val="000000"/>
        </w:rPr>
        <w:t xml:space="preserve"> 13 (Supplement A): 33–41.</w:t>
      </w:r>
    </w:p>
    <w:p w:rsidR="00E94405" w:rsidRDefault="00A11609">
      <w:pPr>
        <w:autoSpaceDE w:val="0"/>
        <w:autoSpaceDN w:val="0"/>
        <w:adjustRightInd w:val="0"/>
        <w:spacing w:before="200"/>
        <w:rPr>
          <w:rFonts w:ascii="Cambria" w:hAnsi="Cambria"/>
        </w:rPr>
      </w:pPr>
      <w:r>
        <w:rPr>
          <w:rFonts w:ascii="Cambria" w:hAnsi="Cambria"/>
        </w:rPr>
        <w:t xml:space="preserve">Hansen, EM, Goheen, DJ, Jules, ES &amp; Ullian, B 2000, ‘Managing Port-Orford cedar and the introduced pathogen </w:t>
      </w:r>
      <w:r>
        <w:rPr>
          <w:rFonts w:ascii="Cambria" w:hAnsi="Cambria"/>
          <w:i/>
        </w:rPr>
        <w:t>Phytophthora lateralis</w:t>
      </w:r>
      <w:r>
        <w:rPr>
          <w:rFonts w:ascii="Cambria" w:hAnsi="Cambria"/>
        </w:rPr>
        <w:t xml:space="preserve">’, </w:t>
      </w:r>
      <w:r>
        <w:rPr>
          <w:rFonts w:ascii="Cambria" w:hAnsi="Cambria"/>
          <w:i/>
        </w:rPr>
        <w:t>Plant Disease</w:t>
      </w:r>
      <w:r>
        <w:rPr>
          <w:rFonts w:ascii="Cambria" w:hAnsi="Cambria"/>
        </w:rPr>
        <w:t>, 84: 4–13.</w:t>
      </w:r>
    </w:p>
    <w:p w:rsidR="00E94405" w:rsidRDefault="00A11609">
      <w:pPr>
        <w:autoSpaceDE w:val="0"/>
        <w:autoSpaceDN w:val="0"/>
        <w:adjustRightInd w:val="0"/>
        <w:spacing w:before="200"/>
        <w:rPr>
          <w:rFonts w:ascii="Cambria" w:hAnsi="Cambria"/>
        </w:rPr>
      </w:pPr>
      <w:r>
        <w:rPr>
          <w:rFonts w:ascii="Cambria" w:hAnsi="Cambria"/>
        </w:rPr>
        <w:t xml:space="preserve">Hansen, EM, Kanaskie, A, Prospero, S, McWilliams, M, Goheen, EM, Osterbauer, N, Reeser, P &amp; Sutton, W 2008, ‘Epidemiology of </w:t>
      </w:r>
      <w:r>
        <w:rPr>
          <w:rFonts w:ascii="Cambria" w:hAnsi="Cambria"/>
          <w:i/>
        </w:rPr>
        <w:t>Phytophthora ramorum</w:t>
      </w:r>
      <w:r>
        <w:rPr>
          <w:rFonts w:ascii="Cambria" w:hAnsi="Cambria"/>
        </w:rPr>
        <w:t xml:space="preserve"> in Oregon tanoak forests’, </w:t>
      </w:r>
      <w:r>
        <w:rPr>
          <w:rFonts w:ascii="Cambria" w:hAnsi="Cambria"/>
          <w:i/>
          <w:color w:val="000000"/>
        </w:rPr>
        <w:t>Canadian Journal of Forest Research</w:t>
      </w:r>
      <w:r>
        <w:rPr>
          <w:rFonts w:ascii="Cambria" w:hAnsi="Cambria"/>
        </w:rPr>
        <w:t xml:space="preserve">, 38: 1133–1143. </w:t>
      </w:r>
    </w:p>
    <w:p w:rsidR="00E94405" w:rsidRDefault="00A11609">
      <w:pPr>
        <w:autoSpaceDE w:val="0"/>
        <w:autoSpaceDN w:val="0"/>
        <w:adjustRightInd w:val="0"/>
        <w:spacing w:before="200"/>
        <w:rPr>
          <w:rFonts w:ascii="Cambria" w:hAnsi="Cambria"/>
        </w:rPr>
      </w:pPr>
      <w:r>
        <w:rPr>
          <w:rFonts w:ascii="Cambria" w:hAnsi="Cambria"/>
        </w:rPr>
        <w:t xml:space="preserve">Hansen, EM, Parke, JL &amp; Sutton, W 2005, ‘Susceptibility of Oregon forests trees and shrubs to </w:t>
      </w:r>
      <w:r>
        <w:rPr>
          <w:rFonts w:ascii="Cambria" w:hAnsi="Cambria"/>
          <w:i/>
        </w:rPr>
        <w:t>Phytophthora ramorum</w:t>
      </w:r>
      <w:r>
        <w:rPr>
          <w:rFonts w:ascii="Cambria" w:hAnsi="Cambria"/>
        </w:rPr>
        <w:t xml:space="preserve">: a comparison of artificial inoculation and natural infections’, </w:t>
      </w:r>
      <w:r>
        <w:rPr>
          <w:rFonts w:ascii="Cambria" w:hAnsi="Cambria"/>
          <w:i/>
        </w:rPr>
        <w:t>Plant Disease</w:t>
      </w:r>
      <w:r>
        <w:rPr>
          <w:rFonts w:ascii="Cambria" w:hAnsi="Cambria"/>
        </w:rPr>
        <w:t>, 89: 63–70.</w:t>
      </w:r>
    </w:p>
    <w:p w:rsidR="00E94405" w:rsidRDefault="00A11609">
      <w:pPr>
        <w:autoSpaceDE w:val="0"/>
        <w:autoSpaceDN w:val="0"/>
        <w:adjustRightInd w:val="0"/>
        <w:spacing w:before="200"/>
        <w:rPr>
          <w:rFonts w:ascii="Cambria" w:hAnsi="Cambria"/>
        </w:rPr>
      </w:pPr>
      <w:r>
        <w:rPr>
          <w:rFonts w:ascii="Cambria" w:hAnsi="Cambria"/>
        </w:rPr>
        <w:t xml:space="preserve">Hansen, EM, Reeser, PW, Sutton, W, Winton, LM &amp; Osterbauer, N 2003b, ‘First record of A1 mating type of </w:t>
      </w:r>
      <w:r>
        <w:rPr>
          <w:rFonts w:ascii="Cambria" w:hAnsi="Cambria"/>
          <w:i/>
        </w:rPr>
        <w:t>Phytophthora ramorum</w:t>
      </w:r>
      <w:r>
        <w:rPr>
          <w:rFonts w:ascii="Cambria" w:hAnsi="Cambria"/>
        </w:rPr>
        <w:t xml:space="preserve"> in North America’, </w:t>
      </w:r>
      <w:r>
        <w:rPr>
          <w:rFonts w:ascii="Cambria" w:hAnsi="Cambria"/>
          <w:i/>
        </w:rPr>
        <w:t>Plant Disease</w:t>
      </w:r>
      <w:r>
        <w:rPr>
          <w:rFonts w:ascii="Cambria" w:hAnsi="Cambria"/>
        </w:rPr>
        <w:t>, 87: 1267.</w:t>
      </w:r>
    </w:p>
    <w:p w:rsidR="00E94405" w:rsidRDefault="00A11609">
      <w:pPr>
        <w:autoSpaceDE w:val="0"/>
        <w:autoSpaceDN w:val="0"/>
        <w:adjustRightInd w:val="0"/>
        <w:spacing w:before="200"/>
        <w:rPr>
          <w:rFonts w:ascii="Cambria" w:hAnsi="Cambria"/>
        </w:rPr>
      </w:pPr>
      <w:r>
        <w:rPr>
          <w:rFonts w:ascii="Cambria" w:hAnsi="Cambria"/>
        </w:rPr>
        <w:t>Hansen, EM, Sutton, W, Parke, J &amp; Linderman, R 2002, ‘</w:t>
      </w:r>
      <w:r>
        <w:rPr>
          <w:rFonts w:ascii="Cambria" w:hAnsi="Cambria"/>
          <w:i/>
        </w:rPr>
        <w:t>Phytophthora ramorum</w:t>
      </w:r>
      <w:r>
        <w:rPr>
          <w:rFonts w:ascii="Cambria" w:hAnsi="Cambria"/>
        </w:rPr>
        <w:t xml:space="preserve"> and Oregon forest trees—one pathogen, three diseases’ [Abstract], </w:t>
      </w:r>
      <w:r>
        <w:rPr>
          <w:rFonts w:ascii="Cambria" w:hAnsi="Cambria"/>
          <w:i/>
        </w:rPr>
        <w:t>Proceedings of the Sudden Oak Death, A Science Symposium</w:t>
      </w:r>
      <w:r>
        <w:rPr>
          <w:rFonts w:ascii="Cambria" w:hAnsi="Cambria"/>
        </w:rPr>
        <w:t>, USDA Forest Service and University of California, Berkeley 78–79.</w:t>
      </w:r>
    </w:p>
    <w:p w:rsidR="00E94405" w:rsidRDefault="00A11609">
      <w:pPr>
        <w:autoSpaceDE w:val="0"/>
        <w:autoSpaceDN w:val="0"/>
        <w:adjustRightInd w:val="0"/>
        <w:spacing w:before="200"/>
        <w:rPr>
          <w:rFonts w:ascii="Cambria" w:hAnsi="Cambria"/>
        </w:rPr>
      </w:pPr>
      <w:r>
        <w:rPr>
          <w:rFonts w:ascii="Cambria" w:hAnsi="Cambria"/>
        </w:rPr>
        <w:t>Harnik, TY, Mejia-Chang, M, Lewis, J &amp; Garbelotto, M 2004, ‘Efficacy of heat-based treatments in eliminating the recovery of the sudden oak death pathogen (</w:t>
      </w:r>
      <w:r>
        <w:rPr>
          <w:rFonts w:ascii="Cambria" w:hAnsi="Cambria"/>
          <w:i/>
        </w:rPr>
        <w:t>Phytophthora ramorum</w:t>
      </w:r>
      <w:r>
        <w:rPr>
          <w:rFonts w:ascii="Cambria" w:hAnsi="Cambria"/>
        </w:rPr>
        <w:t xml:space="preserve">) from infected California bay laurel leaves’, </w:t>
      </w:r>
      <w:r>
        <w:rPr>
          <w:rFonts w:ascii="Cambria" w:hAnsi="Cambria"/>
          <w:i/>
          <w:color w:val="000000"/>
        </w:rPr>
        <w:t>HortScience</w:t>
      </w:r>
      <w:r>
        <w:rPr>
          <w:rFonts w:ascii="Cambria" w:hAnsi="Cambria"/>
        </w:rPr>
        <w:t>, 39: 1677–1680.</w:t>
      </w:r>
    </w:p>
    <w:p w:rsidR="00E94405" w:rsidRDefault="00A11609">
      <w:pPr>
        <w:autoSpaceDE w:val="0"/>
        <w:autoSpaceDN w:val="0"/>
        <w:adjustRightInd w:val="0"/>
        <w:spacing w:before="200"/>
        <w:rPr>
          <w:rFonts w:ascii="Cambria" w:hAnsi="Cambria"/>
        </w:rPr>
      </w:pPr>
      <w:r>
        <w:rPr>
          <w:rFonts w:ascii="Cambria" w:hAnsi="Cambria"/>
          <w:color w:val="000000"/>
        </w:rPr>
        <w:t>Hayden</w:t>
      </w:r>
      <w:r>
        <w:rPr>
          <w:rFonts w:ascii="Cambria" w:hAnsi="Cambria"/>
        </w:rPr>
        <w:t>,</w:t>
      </w:r>
      <w:r>
        <w:rPr>
          <w:rFonts w:ascii="Cambria" w:hAnsi="Cambria"/>
          <w:color w:val="000000"/>
        </w:rPr>
        <w:t xml:space="preserve"> K, Rickard</w:t>
      </w:r>
      <w:r>
        <w:rPr>
          <w:rFonts w:ascii="Cambria" w:hAnsi="Cambria"/>
        </w:rPr>
        <w:t>,</w:t>
      </w:r>
      <w:r>
        <w:rPr>
          <w:rFonts w:ascii="Cambria" w:hAnsi="Cambria"/>
          <w:color w:val="000000"/>
        </w:rPr>
        <w:t xml:space="preserve"> H</w:t>
      </w:r>
      <w:r>
        <w:rPr>
          <w:rFonts w:ascii="Cambria" w:hAnsi="Cambria"/>
        </w:rPr>
        <w:t xml:space="preserve"> &amp;</w:t>
      </w:r>
      <w:r>
        <w:rPr>
          <w:rFonts w:ascii="Cambria" w:hAnsi="Cambria"/>
          <w:color w:val="000000"/>
        </w:rPr>
        <w:t xml:space="preserve"> Garbelotto</w:t>
      </w:r>
      <w:r>
        <w:rPr>
          <w:rFonts w:ascii="Cambria" w:hAnsi="Cambria"/>
        </w:rPr>
        <w:t>,</w:t>
      </w:r>
      <w:r>
        <w:rPr>
          <w:rFonts w:ascii="Cambria" w:hAnsi="Cambria"/>
          <w:color w:val="000000"/>
        </w:rPr>
        <w:t xml:space="preserve"> M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Correlating </w:t>
      </w:r>
      <w:r>
        <w:rPr>
          <w:rFonts w:ascii="Cambria" w:hAnsi="Cambria"/>
          <w:i/>
        </w:rPr>
        <w:t>Phytophthora ramorum</w:t>
      </w:r>
      <w:r>
        <w:rPr>
          <w:rFonts w:ascii="Cambria" w:hAnsi="Cambria"/>
          <w:color w:val="000000"/>
        </w:rPr>
        <w:t xml:space="preserve"> infection rate and lesion expansion in tanoak</w:t>
      </w:r>
      <w:r>
        <w:rPr>
          <w:rFonts w:ascii="Cambria" w:hAnsi="Cambria"/>
        </w:rPr>
        <w:t xml:space="preserve">’, </w:t>
      </w:r>
      <w:r>
        <w:rPr>
          <w:rFonts w:ascii="Cambria" w:hAnsi="Cambria"/>
          <w:i/>
          <w:color w:val="000000"/>
        </w:rPr>
        <w:t>Proceedings of the 3rd Sudden Oak Death Science Symposium</w:t>
      </w:r>
      <w:r>
        <w:rPr>
          <w:rFonts w:ascii="Cambria" w:hAnsi="Cambria"/>
          <w:color w:val="000000"/>
        </w:rPr>
        <w:t>, USDA Forest Service, Albany, CA, USA, 371–372.</w:t>
      </w:r>
    </w:p>
    <w:p w:rsidR="00E94405" w:rsidRDefault="00A11609">
      <w:pPr>
        <w:autoSpaceDE w:val="0"/>
        <w:autoSpaceDN w:val="0"/>
        <w:adjustRightInd w:val="0"/>
        <w:spacing w:before="200"/>
        <w:rPr>
          <w:rFonts w:ascii="Cambria" w:hAnsi="Cambria"/>
        </w:rPr>
      </w:pPr>
      <w:r>
        <w:rPr>
          <w:rFonts w:ascii="Cambria" w:hAnsi="Cambria"/>
          <w:color w:val="000000"/>
        </w:rPr>
        <w:t>Henricot</w:t>
      </w:r>
      <w:r>
        <w:rPr>
          <w:rFonts w:ascii="Cambria" w:hAnsi="Cambria"/>
        </w:rPr>
        <w:t>,</w:t>
      </w:r>
      <w:r>
        <w:rPr>
          <w:rFonts w:ascii="Cambria" w:hAnsi="Cambria"/>
          <w:color w:val="000000"/>
        </w:rPr>
        <w:t xml:space="preserve"> B</w:t>
      </w:r>
      <w:r>
        <w:rPr>
          <w:rFonts w:ascii="Cambria" w:hAnsi="Cambria"/>
        </w:rPr>
        <w:t xml:space="preserve"> &amp;</w:t>
      </w:r>
      <w:r>
        <w:rPr>
          <w:rFonts w:ascii="Cambria" w:hAnsi="Cambria"/>
          <w:color w:val="000000"/>
        </w:rPr>
        <w:t xml:space="preserve"> Prior</w:t>
      </w:r>
      <w:r>
        <w:rPr>
          <w:rFonts w:ascii="Cambria" w:hAnsi="Cambria"/>
        </w:rPr>
        <w:t>,</w:t>
      </w:r>
      <w:r>
        <w:rPr>
          <w:rFonts w:ascii="Cambria" w:hAnsi="Cambria"/>
          <w:color w:val="000000"/>
        </w:rPr>
        <w:t xml:space="preserve"> C 2004</w:t>
      </w:r>
      <w:r>
        <w:rPr>
          <w:rFonts w:ascii="Cambria" w:hAnsi="Cambria"/>
        </w:rPr>
        <w:t>,</w:t>
      </w:r>
      <w:r>
        <w:rPr>
          <w:rFonts w:ascii="Cambria" w:hAnsi="Cambria"/>
          <w:color w:val="000000"/>
        </w:rPr>
        <w:t xml:space="preserve"> </w:t>
      </w:r>
      <w:r>
        <w:rPr>
          <w:rFonts w:ascii="Cambria" w:hAnsi="Cambria"/>
        </w:rPr>
        <w:t>‘</w:t>
      </w:r>
      <w:r>
        <w:rPr>
          <w:rFonts w:ascii="Cambria" w:hAnsi="Cambria"/>
          <w:i/>
        </w:rPr>
        <w:t>Phytophthora ramorum</w:t>
      </w:r>
      <w:r>
        <w:rPr>
          <w:rFonts w:ascii="Cambria" w:hAnsi="Cambria"/>
          <w:color w:val="000000"/>
        </w:rPr>
        <w:t>, the cause of sudden oak death or ramorum leaf blight and dieback</w:t>
      </w:r>
      <w:r>
        <w:rPr>
          <w:rFonts w:ascii="Cambria" w:hAnsi="Cambria"/>
        </w:rPr>
        <w:t xml:space="preserve">’, </w:t>
      </w:r>
      <w:r>
        <w:rPr>
          <w:rFonts w:ascii="Cambria" w:hAnsi="Cambria"/>
          <w:i/>
          <w:color w:val="000000"/>
        </w:rPr>
        <w:t>Mycologist</w:t>
      </w:r>
      <w:r>
        <w:rPr>
          <w:rFonts w:ascii="Cambria" w:hAnsi="Cambria"/>
        </w:rPr>
        <w:t>,</w:t>
      </w:r>
      <w:r>
        <w:rPr>
          <w:rFonts w:ascii="Cambria" w:hAnsi="Cambria"/>
          <w:color w:val="000000"/>
        </w:rPr>
        <w:t xml:space="preserve"> 18: 151</w:t>
      </w:r>
      <w:r>
        <w:rPr>
          <w:rFonts w:ascii="Cambria" w:hAnsi="Cambria"/>
        </w:rPr>
        <w:t>–</w:t>
      </w:r>
      <w:r>
        <w:rPr>
          <w:rFonts w:ascii="Cambria" w:hAnsi="Cambria"/>
          <w:color w:val="000000"/>
        </w:rPr>
        <w:t>156.</w:t>
      </w:r>
    </w:p>
    <w:p w:rsidR="00E94405" w:rsidRDefault="00A11609">
      <w:pPr>
        <w:autoSpaceDE w:val="0"/>
        <w:autoSpaceDN w:val="0"/>
        <w:adjustRightInd w:val="0"/>
        <w:spacing w:before="200"/>
        <w:rPr>
          <w:rFonts w:ascii="Cambria" w:hAnsi="Cambria"/>
        </w:rPr>
      </w:pPr>
      <w:r>
        <w:rPr>
          <w:rFonts w:ascii="Cambria" w:hAnsi="Cambria"/>
        </w:rPr>
        <w:lastRenderedPageBreak/>
        <w:t xml:space="preserve">Herrero, ML, Toppe, B &amp; Brurberg, MB 2011, ‘First Report of </w:t>
      </w:r>
      <w:r>
        <w:rPr>
          <w:rFonts w:ascii="Cambria" w:hAnsi="Cambria"/>
          <w:i/>
        </w:rPr>
        <w:t>Phytophthora ramorum</w:t>
      </w:r>
      <w:r>
        <w:rPr>
          <w:rFonts w:ascii="Cambria" w:hAnsi="Cambria"/>
        </w:rPr>
        <w:t xml:space="preserve"> causing shoot dieback on bilberry (</w:t>
      </w:r>
      <w:r>
        <w:rPr>
          <w:rFonts w:ascii="Cambria" w:hAnsi="Cambria"/>
          <w:i/>
        </w:rPr>
        <w:t>Vaccinium myrtillus</w:t>
      </w:r>
      <w:r>
        <w:rPr>
          <w:rFonts w:ascii="Cambria" w:hAnsi="Cambria"/>
        </w:rPr>
        <w:t xml:space="preserve">) in Norway’, </w:t>
      </w:r>
      <w:r>
        <w:rPr>
          <w:rFonts w:ascii="Cambria" w:hAnsi="Cambria"/>
          <w:i/>
        </w:rPr>
        <w:t>Plant Disease</w:t>
      </w:r>
      <w:r>
        <w:rPr>
          <w:rFonts w:ascii="Cambria" w:hAnsi="Cambria"/>
        </w:rPr>
        <w:t xml:space="preserve">, 95: 355. </w:t>
      </w:r>
    </w:p>
    <w:p w:rsidR="00E94405" w:rsidRDefault="00A11609">
      <w:pPr>
        <w:autoSpaceDE w:val="0"/>
        <w:autoSpaceDN w:val="0"/>
        <w:adjustRightInd w:val="0"/>
        <w:spacing w:before="200"/>
        <w:rPr>
          <w:rFonts w:ascii="Cambria" w:hAnsi="Cambria"/>
        </w:rPr>
      </w:pPr>
      <w:r>
        <w:rPr>
          <w:rFonts w:ascii="Cambria" w:hAnsi="Cambria"/>
        </w:rPr>
        <w:t xml:space="preserve">Herrero, ML, Toppe, B, Klemsdal, SS &amp; Stensvand, A 2006, ‘First report of </w:t>
      </w:r>
      <w:r>
        <w:rPr>
          <w:rFonts w:ascii="Cambria" w:hAnsi="Cambria"/>
          <w:i/>
        </w:rPr>
        <w:t>Phytophthora ramorum</w:t>
      </w:r>
      <w:r>
        <w:rPr>
          <w:rFonts w:ascii="Cambria" w:hAnsi="Cambria"/>
        </w:rPr>
        <w:t xml:space="preserve"> in ornamental plants in Norway’, </w:t>
      </w:r>
      <w:r>
        <w:rPr>
          <w:rFonts w:ascii="Cambria" w:hAnsi="Cambria"/>
          <w:i/>
        </w:rPr>
        <w:t>Plant Disease</w:t>
      </w:r>
      <w:r>
        <w:rPr>
          <w:rFonts w:ascii="Cambria" w:hAnsi="Cambria"/>
        </w:rPr>
        <w:t>, 90: 1458.</w:t>
      </w:r>
    </w:p>
    <w:p w:rsidR="00E94405" w:rsidRDefault="00A11609">
      <w:pPr>
        <w:autoSpaceDE w:val="0"/>
        <w:autoSpaceDN w:val="0"/>
        <w:adjustRightInd w:val="0"/>
        <w:spacing w:before="200"/>
        <w:rPr>
          <w:rFonts w:ascii="Cambria" w:hAnsi="Cambria"/>
        </w:rPr>
      </w:pPr>
      <w:r>
        <w:rPr>
          <w:rFonts w:ascii="Cambria" w:hAnsi="Cambria"/>
        </w:rPr>
        <w:t xml:space="preserve">Hong, C, Richardson, PA &amp; Kong, P 2008, ‘Pathogenicity to ornamental plants of some existing species and new taxa of </w:t>
      </w:r>
      <w:r>
        <w:rPr>
          <w:rFonts w:ascii="Cambria" w:hAnsi="Cambria"/>
          <w:i/>
        </w:rPr>
        <w:t>Phytophthora</w:t>
      </w:r>
      <w:r>
        <w:rPr>
          <w:rFonts w:ascii="Cambria" w:hAnsi="Cambria"/>
        </w:rPr>
        <w:t xml:space="preserve"> from irrigation water’, </w:t>
      </w:r>
      <w:r>
        <w:rPr>
          <w:rFonts w:ascii="Cambria" w:hAnsi="Cambria"/>
          <w:i/>
        </w:rPr>
        <w:t>Plant Disease</w:t>
      </w:r>
      <w:r>
        <w:rPr>
          <w:rFonts w:ascii="Cambria" w:hAnsi="Cambria"/>
        </w:rPr>
        <w:t>, 92: 1201–1207.</w:t>
      </w:r>
    </w:p>
    <w:p w:rsidR="00E94405" w:rsidRDefault="00A11609">
      <w:pPr>
        <w:autoSpaceDE w:val="0"/>
        <w:autoSpaceDN w:val="0"/>
        <w:adjustRightInd w:val="0"/>
        <w:spacing w:before="200"/>
        <w:rPr>
          <w:rFonts w:ascii="Cambria" w:hAnsi="Cambria"/>
        </w:rPr>
      </w:pPr>
      <w:r>
        <w:rPr>
          <w:rFonts w:ascii="Cambria" w:hAnsi="Cambria"/>
          <w:bCs/>
        </w:rPr>
        <w:t>Hood IA, Williams NM</w:t>
      </w:r>
      <w:r>
        <w:rPr>
          <w:rFonts w:ascii="Cambria" w:hAnsi="Cambria"/>
        </w:rPr>
        <w:t xml:space="preserve">, </w:t>
      </w:r>
      <w:r>
        <w:rPr>
          <w:rFonts w:ascii="Cambria" w:hAnsi="Cambria"/>
          <w:bCs/>
        </w:rPr>
        <w:t>Dick MA</w:t>
      </w:r>
      <w:r>
        <w:rPr>
          <w:rFonts w:ascii="Cambria" w:hAnsi="Cambria"/>
        </w:rPr>
        <w:t xml:space="preserve">, </w:t>
      </w:r>
      <w:r>
        <w:rPr>
          <w:rFonts w:ascii="Cambria" w:hAnsi="Cambria"/>
          <w:bCs/>
        </w:rPr>
        <w:t>Arhipova N</w:t>
      </w:r>
      <w:r>
        <w:rPr>
          <w:rFonts w:ascii="Cambria" w:hAnsi="Cambria"/>
        </w:rPr>
        <w:t xml:space="preserve">, </w:t>
      </w:r>
      <w:r>
        <w:rPr>
          <w:rFonts w:ascii="Cambria" w:hAnsi="Cambria"/>
          <w:bCs/>
        </w:rPr>
        <w:t>Kimberley MO</w:t>
      </w:r>
      <w:r>
        <w:rPr>
          <w:rFonts w:ascii="Cambria" w:hAnsi="Cambria"/>
        </w:rPr>
        <w:t xml:space="preserve">, </w:t>
      </w:r>
      <w:r>
        <w:rPr>
          <w:rFonts w:ascii="Cambria" w:hAnsi="Cambria"/>
          <w:bCs/>
        </w:rPr>
        <w:t>Scott</w:t>
      </w:r>
      <w:r>
        <w:rPr>
          <w:rFonts w:ascii="Cambria" w:hAnsi="Cambria"/>
        </w:rPr>
        <w:t xml:space="preserve"> </w:t>
      </w:r>
      <w:r>
        <w:rPr>
          <w:rFonts w:ascii="Cambria" w:hAnsi="Cambria"/>
          <w:bCs/>
        </w:rPr>
        <w:t>PM, Gardner</w:t>
      </w:r>
      <w:r>
        <w:rPr>
          <w:rFonts w:ascii="Cambria" w:hAnsi="Cambria"/>
        </w:rPr>
        <w:t xml:space="preserve"> </w:t>
      </w:r>
      <w:r>
        <w:rPr>
          <w:rFonts w:ascii="Cambria" w:hAnsi="Cambria"/>
          <w:bCs/>
        </w:rPr>
        <w:t>Judy F, 2014, ‘</w:t>
      </w:r>
      <w:r>
        <w:rPr>
          <w:rFonts w:ascii="Cambria" w:hAnsi="Cambria"/>
        </w:rPr>
        <w:t xml:space="preserve">Decline in vitality of propagules of </w:t>
      </w:r>
      <w:r>
        <w:rPr>
          <w:rFonts w:ascii="Cambria" w:hAnsi="Cambria"/>
          <w:i/>
          <w:iCs/>
        </w:rPr>
        <w:t>Phytophthora pluvialis</w:t>
      </w:r>
      <w:r>
        <w:rPr>
          <w:rFonts w:ascii="Cambria" w:hAnsi="Cambria"/>
        </w:rPr>
        <w:t xml:space="preserve"> and </w:t>
      </w:r>
      <w:r>
        <w:rPr>
          <w:rFonts w:ascii="Cambria" w:hAnsi="Cambria"/>
          <w:i/>
          <w:iCs/>
        </w:rPr>
        <w:t>Phytophthora kernoviae</w:t>
      </w:r>
      <w:r>
        <w:rPr>
          <w:rFonts w:ascii="Cambria" w:hAnsi="Cambria"/>
        </w:rPr>
        <w:t xml:space="preserve"> and their inability to contaminate or colonise bark and sapwood in </w:t>
      </w:r>
      <w:r>
        <w:rPr>
          <w:rFonts w:ascii="Cambria" w:hAnsi="Cambria"/>
          <w:i/>
          <w:iCs/>
        </w:rPr>
        <w:t>Pinus radiata</w:t>
      </w:r>
      <w:r>
        <w:rPr>
          <w:rFonts w:ascii="Cambria" w:hAnsi="Cambria"/>
        </w:rPr>
        <w:t xml:space="preserve"> export log simulation studies’, </w:t>
      </w:r>
      <w:r>
        <w:rPr>
          <w:rFonts w:ascii="Cambria" w:hAnsi="Cambria"/>
          <w:i/>
          <w:iCs/>
        </w:rPr>
        <w:t>New Zealand Journal of Forestry Science</w:t>
      </w:r>
      <w:r>
        <w:rPr>
          <w:rFonts w:ascii="Cambria" w:hAnsi="Cambria"/>
        </w:rPr>
        <w:t xml:space="preserve">, </w:t>
      </w:r>
      <w:r>
        <w:rPr>
          <w:rFonts w:ascii="Cambria" w:hAnsi="Cambria"/>
          <w:b/>
          <w:bCs/>
        </w:rPr>
        <w:t>44</w:t>
      </w:r>
      <w:r>
        <w:rPr>
          <w:rFonts w:ascii="Cambria" w:hAnsi="Cambria"/>
        </w:rPr>
        <w:t>: 7</w:t>
      </w:r>
    </w:p>
    <w:p w:rsidR="00E94405" w:rsidRDefault="00A11609">
      <w:pPr>
        <w:autoSpaceDE w:val="0"/>
        <w:autoSpaceDN w:val="0"/>
        <w:adjustRightInd w:val="0"/>
        <w:spacing w:before="200"/>
        <w:rPr>
          <w:rFonts w:ascii="Cambria" w:hAnsi="Cambria"/>
        </w:rPr>
      </w:pPr>
      <w:r>
        <w:rPr>
          <w:rFonts w:ascii="Cambria" w:hAnsi="Cambria"/>
        </w:rPr>
        <w:t>Hüberli, D &amp; Garbelotto, M 2012, ‘</w:t>
      </w:r>
      <w:r>
        <w:rPr>
          <w:rFonts w:ascii="Cambria" w:hAnsi="Cambria"/>
          <w:i/>
        </w:rPr>
        <w:t>Phytophthora ramorum</w:t>
      </w:r>
      <w:r>
        <w:rPr>
          <w:rFonts w:ascii="Cambria" w:hAnsi="Cambria"/>
        </w:rPr>
        <w:t xml:space="preserve"> is a generalist plant pathogen with differences in virulence between isolates from infectious and dead-end hosts’, </w:t>
      </w:r>
      <w:r>
        <w:rPr>
          <w:rFonts w:ascii="Cambria" w:hAnsi="Cambria"/>
          <w:i/>
        </w:rPr>
        <w:t>Forest Pathology</w:t>
      </w:r>
      <w:r>
        <w:rPr>
          <w:rFonts w:ascii="Cambria" w:hAnsi="Cambria"/>
        </w:rPr>
        <w:t>,</w:t>
      </w:r>
      <w:r>
        <w:rPr>
          <w:rFonts w:ascii="Cambria" w:hAnsi="Cambria"/>
          <w:i/>
        </w:rPr>
        <w:t xml:space="preserve"> </w:t>
      </w:r>
      <w:r>
        <w:rPr>
          <w:rFonts w:ascii="Cambria" w:hAnsi="Cambria"/>
        </w:rPr>
        <w:t>41: 1–6.</w:t>
      </w:r>
    </w:p>
    <w:p w:rsidR="00E94405" w:rsidRDefault="00A11609">
      <w:pPr>
        <w:autoSpaceDE w:val="0"/>
        <w:autoSpaceDN w:val="0"/>
        <w:adjustRightInd w:val="0"/>
        <w:spacing w:before="200"/>
        <w:rPr>
          <w:rFonts w:ascii="Cambria" w:hAnsi="Cambria"/>
        </w:rPr>
      </w:pPr>
      <w:r>
        <w:rPr>
          <w:rFonts w:ascii="Cambria" w:hAnsi="Cambria"/>
        </w:rPr>
        <w:t xml:space="preserve">Hüberli, D, Ivors, KL, Smith, A, Tse, JG &amp; Garbelotto, M 2005, ‘First report of foliar infection of </w:t>
      </w:r>
      <w:r>
        <w:rPr>
          <w:rFonts w:ascii="Cambria" w:hAnsi="Cambria"/>
          <w:i/>
        </w:rPr>
        <w:t>Maianthemum racemosum</w:t>
      </w:r>
      <w:r>
        <w:rPr>
          <w:rFonts w:ascii="Cambria" w:hAnsi="Cambria"/>
        </w:rPr>
        <w:t xml:space="preserve"> by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89: 204.</w:t>
      </w:r>
    </w:p>
    <w:p w:rsidR="00E94405" w:rsidRDefault="00A11609">
      <w:pPr>
        <w:autoSpaceDE w:val="0"/>
        <w:autoSpaceDN w:val="0"/>
        <w:adjustRightInd w:val="0"/>
        <w:spacing w:before="200"/>
        <w:rPr>
          <w:rFonts w:ascii="Cambria" w:hAnsi="Cambria"/>
        </w:rPr>
      </w:pPr>
      <w:r>
        <w:rPr>
          <w:rFonts w:ascii="Cambria" w:hAnsi="Cambria"/>
        </w:rPr>
        <w:t xml:space="preserve">Hüberli, D, Reuther, KD, Smith, A, Swain, S &amp; Tse, JG 2004, ‘First report of foliar infection of </w:t>
      </w:r>
      <w:r>
        <w:rPr>
          <w:rFonts w:ascii="Cambria" w:hAnsi="Cambria"/>
          <w:i/>
        </w:rPr>
        <w:t>Rosa gymnocarpa</w:t>
      </w:r>
      <w:r>
        <w:rPr>
          <w:rFonts w:ascii="Cambria" w:hAnsi="Cambria"/>
        </w:rPr>
        <w:t xml:space="preserve"> by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88: 430.</w:t>
      </w:r>
    </w:p>
    <w:p w:rsidR="00E94405" w:rsidRDefault="00A11609">
      <w:pPr>
        <w:autoSpaceDE w:val="0"/>
        <w:autoSpaceDN w:val="0"/>
        <w:adjustRightInd w:val="0"/>
        <w:spacing w:before="200"/>
        <w:rPr>
          <w:rFonts w:ascii="Cambria" w:hAnsi="Cambria"/>
        </w:rPr>
      </w:pPr>
      <w:r>
        <w:rPr>
          <w:rFonts w:ascii="Cambria" w:hAnsi="Cambria"/>
        </w:rPr>
        <w:t xml:space="preserve">Hüberli, D, Van Sant, W, Swain, S, Davidson, J &amp; Garbelotto, M 2003a, ‘Susceptibility of </w:t>
      </w:r>
      <w:r>
        <w:rPr>
          <w:rFonts w:ascii="Cambria" w:hAnsi="Cambria"/>
          <w:i/>
        </w:rPr>
        <w:t>Umbellularia californica</w:t>
      </w:r>
      <w:r>
        <w:rPr>
          <w:rFonts w:ascii="Cambria" w:hAnsi="Cambria"/>
        </w:rPr>
        <w:t xml:space="preserve"> to </w:t>
      </w:r>
      <w:r>
        <w:rPr>
          <w:rFonts w:ascii="Cambria" w:hAnsi="Cambria"/>
          <w:i/>
        </w:rPr>
        <w:t>Phytophthora ramorum</w:t>
      </w:r>
      <w:r>
        <w:rPr>
          <w:rFonts w:ascii="Cambria" w:hAnsi="Cambria"/>
        </w:rPr>
        <w:t xml:space="preserve">’ [Abstract], </w:t>
      </w:r>
      <w:r>
        <w:rPr>
          <w:rFonts w:ascii="Cambria" w:hAnsi="Cambria"/>
          <w:i/>
        </w:rPr>
        <w:t>Eighth International Congress of Plant Pathology</w:t>
      </w:r>
      <w:r>
        <w:rPr>
          <w:rFonts w:ascii="Cambria" w:hAnsi="Cambria"/>
        </w:rPr>
        <w:t>, Christchurch, New Zealand 268.</w:t>
      </w:r>
    </w:p>
    <w:p w:rsidR="00E94405" w:rsidRDefault="00A11609">
      <w:pPr>
        <w:autoSpaceDE w:val="0"/>
        <w:autoSpaceDN w:val="0"/>
        <w:adjustRightInd w:val="0"/>
        <w:spacing w:before="200"/>
        <w:rPr>
          <w:rFonts w:ascii="Cambria" w:hAnsi="Cambria"/>
        </w:rPr>
      </w:pPr>
      <w:r>
        <w:rPr>
          <w:rFonts w:ascii="Cambria" w:hAnsi="Cambria"/>
        </w:rPr>
        <w:t xml:space="preserve">Hüberli, D, Van Sant-Glass, W, Tse, JG &amp; Garbelotto, M 2003b, ‘First report of foliar infection of starflower by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87: 599.</w:t>
      </w:r>
    </w:p>
    <w:p w:rsidR="00E94405" w:rsidRDefault="00A11609">
      <w:pPr>
        <w:autoSpaceDE w:val="0"/>
        <w:autoSpaceDN w:val="0"/>
        <w:adjustRightInd w:val="0"/>
        <w:spacing w:before="200"/>
        <w:rPr>
          <w:rFonts w:ascii="Cambria" w:hAnsi="Cambria"/>
        </w:rPr>
      </w:pPr>
      <w:r>
        <w:rPr>
          <w:rFonts w:ascii="Cambria" w:hAnsi="Cambria"/>
        </w:rPr>
        <w:t>Hüberli, D, Wilkinson, C, Smith, MA, Meshriy, M, Harnik, TY &amp; Garbelotto, M 2006, ‘</w:t>
      </w:r>
      <w:r>
        <w:rPr>
          <w:rFonts w:ascii="Cambria" w:hAnsi="Cambria"/>
          <w:i/>
        </w:rPr>
        <w:t>Pittosporum undulatum</w:t>
      </w:r>
      <w:r>
        <w:rPr>
          <w:rFonts w:ascii="Cambria" w:hAnsi="Cambria"/>
        </w:rPr>
        <w:t xml:space="preserve"> is a potential Australian host of </w:t>
      </w:r>
      <w:r>
        <w:rPr>
          <w:rFonts w:ascii="Cambria" w:hAnsi="Cambria"/>
          <w:i/>
        </w:rPr>
        <w:t>Phytophthora ramorum</w:t>
      </w:r>
      <w:r>
        <w:rPr>
          <w:rFonts w:ascii="Cambria" w:hAnsi="Cambria"/>
        </w:rPr>
        <w:t xml:space="preserve">’, </w:t>
      </w:r>
      <w:r>
        <w:rPr>
          <w:rFonts w:ascii="Cambria" w:hAnsi="Cambria"/>
          <w:i/>
        </w:rPr>
        <w:t>Australasian Plant Disease Notes</w:t>
      </w:r>
      <w:r>
        <w:rPr>
          <w:rFonts w:ascii="Cambria" w:hAnsi="Cambria"/>
        </w:rPr>
        <w:t>, 1: 19–21.</w:t>
      </w:r>
    </w:p>
    <w:p w:rsidR="00E94405" w:rsidRDefault="00A11609">
      <w:pPr>
        <w:autoSpaceDE w:val="0"/>
        <w:autoSpaceDN w:val="0"/>
        <w:adjustRightInd w:val="0"/>
        <w:spacing w:before="200"/>
        <w:rPr>
          <w:rFonts w:ascii="Cambria" w:hAnsi="Cambria"/>
        </w:rPr>
      </w:pPr>
      <w:r>
        <w:rPr>
          <w:rFonts w:ascii="Cambria" w:hAnsi="Cambria"/>
        </w:rPr>
        <w:t xml:space="preserve">Hughes, K, Griffin, R, Boonham, N &amp; Inman, A 2005, ‘Development of molecular diagnostics for </w:t>
      </w:r>
      <w:r>
        <w:rPr>
          <w:rFonts w:ascii="Cambria" w:hAnsi="Cambria"/>
          <w:i/>
        </w:rPr>
        <w:t>Phytophthora kernoviae</w:t>
      </w:r>
      <w:r>
        <w:rPr>
          <w:rFonts w:ascii="Cambria" w:hAnsi="Cambria"/>
        </w:rPr>
        <w:t xml:space="preserve"> a new </w:t>
      </w:r>
      <w:r>
        <w:rPr>
          <w:rFonts w:ascii="Cambria" w:hAnsi="Cambria"/>
          <w:i/>
        </w:rPr>
        <w:t>Phytophthora</w:t>
      </w:r>
      <w:r>
        <w:rPr>
          <w:rFonts w:ascii="Cambria" w:hAnsi="Cambria"/>
        </w:rPr>
        <w:t xml:space="preserve"> threatening U.K. trees, woodlands, and ornamental plants’, </w:t>
      </w:r>
      <w:r>
        <w:rPr>
          <w:rFonts w:ascii="Cambria" w:hAnsi="Cambria"/>
          <w:i/>
        </w:rPr>
        <w:t>The proceedings of the Sudden Oak Death Second Science Symposium: The State of Our Knowledge</w:t>
      </w:r>
      <w:r>
        <w:rPr>
          <w:rFonts w:ascii="Cambria" w:hAnsi="Cambria"/>
        </w:rPr>
        <w:t>, General Technical Report PSW-GTR-196, 556–557.</w:t>
      </w:r>
    </w:p>
    <w:p w:rsidR="00E94405" w:rsidRDefault="00A11609">
      <w:pPr>
        <w:autoSpaceDE w:val="0"/>
        <w:autoSpaceDN w:val="0"/>
        <w:adjustRightInd w:val="0"/>
        <w:spacing w:before="200"/>
        <w:rPr>
          <w:rFonts w:ascii="Cambria" w:hAnsi="Cambria"/>
        </w:rPr>
      </w:pPr>
      <w:r>
        <w:rPr>
          <w:rFonts w:ascii="Cambria" w:hAnsi="Cambria"/>
        </w:rPr>
        <w:t xml:space="preserve">Hughes, KJD, Giltrap, PM, Barton, VC, Hobden, E, Tomlinson, JA &amp; Barber, P 2006, ‘On-site real-time PCR detection of </w:t>
      </w:r>
      <w:r>
        <w:rPr>
          <w:rFonts w:ascii="Cambria" w:hAnsi="Cambria"/>
          <w:i/>
        </w:rPr>
        <w:t>Phytophthora ramorum</w:t>
      </w:r>
      <w:r>
        <w:rPr>
          <w:rFonts w:ascii="Cambria" w:hAnsi="Cambria"/>
        </w:rPr>
        <w:t xml:space="preserve"> causing dieback of </w:t>
      </w:r>
      <w:r>
        <w:rPr>
          <w:rFonts w:ascii="Cambria" w:hAnsi="Cambria"/>
          <w:i/>
        </w:rPr>
        <w:t>Parrotia persica</w:t>
      </w:r>
      <w:r>
        <w:rPr>
          <w:rFonts w:ascii="Cambria" w:hAnsi="Cambria"/>
        </w:rPr>
        <w:t xml:space="preserve"> in the UK’, </w:t>
      </w:r>
      <w:r>
        <w:rPr>
          <w:rFonts w:ascii="Cambria" w:hAnsi="Cambria"/>
          <w:i/>
        </w:rPr>
        <w:t>New Disease Reports</w:t>
      </w:r>
      <w:r>
        <w:rPr>
          <w:rFonts w:ascii="Cambria" w:hAnsi="Cambria"/>
        </w:rPr>
        <w:t>, 13: 11.</w:t>
      </w:r>
    </w:p>
    <w:p w:rsidR="00E94405" w:rsidRDefault="00A11609">
      <w:pPr>
        <w:autoSpaceDE w:val="0"/>
        <w:autoSpaceDN w:val="0"/>
        <w:adjustRightInd w:val="0"/>
        <w:spacing w:before="200"/>
        <w:rPr>
          <w:rFonts w:ascii="Cambria" w:hAnsi="Cambria"/>
        </w:rPr>
      </w:pPr>
      <w:r>
        <w:rPr>
          <w:rFonts w:ascii="Cambria" w:hAnsi="Cambria"/>
        </w:rPr>
        <w:t xml:space="preserve">Husson, C, Delatour, C, Frey, P, Marçais, B, Saurat, C &amp; Schenck, N 2007, ‘First report of </w:t>
      </w:r>
      <w:r>
        <w:rPr>
          <w:rFonts w:ascii="Cambria" w:hAnsi="Cambria"/>
          <w:i/>
        </w:rPr>
        <w:t>Phytophthora ramorum</w:t>
      </w:r>
      <w:r>
        <w:rPr>
          <w:rFonts w:ascii="Cambria" w:hAnsi="Cambria"/>
        </w:rPr>
        <w:t xml:space="preserve"> on ornamental plants in France’, </w:t>
      </w:r>
      <w:r>
        <w:rPr>
          <w:rFonts w:ascii="Cambria" w:hAnsi="Cambria"/>
          <w:i/>
        </w:rPr>
        <w:t>Plant Disease</w:t>
      </w:r>
      <w:r>
        <w:rPr>
          <w:rFonts w:ascii="Cambria" w:hAnsi="Cambria"/>
        </w:rPr>
        <w:t>, 91: 1359.</w:t>
      </w:r>
    </w:p>
    <w:p w:rsidR="00E94405" w:rsidRDefault="00A11609">
      <w:pPr>
        <w:autoSpaceDE w:val="0"/>
        <w:autoSpaceDN w:val="0"/>
        <w:adjustRightInd w:val="0"/>
        <w:spacing w:before="200"/>
        <w:rPr>
          <w:rFonts w:ascii="Cambria" w:hAnsi="Cambria"/>
        </w:rPr>
      </w:pPr>
      <w:r>
        <w:rPr>
          <w:rFonts w:ascii="Cambria" w:hAnsi="Cambria"/>
        </w:rPr>
        <w:t xml:space="preserve">Hwang, J, Jeffers, SN &amp; Oak, SW 2007, ‘Occurrence and distribution of </w:t>
      </w:r>
      <w:r>
        <w:rPr>
          <w:rFonts w:ascii="Cambria" w:hAnsi="Cambria"/>
          <w:i/>
        </w:rPr>
        <w:t>Phytophthora pseudosyringae</w:t>
      </w:r>
      <w:r>
        <w:rPr>
          <w:rFonts w:ascii="Cambria" w:hAnsi="Cambria"/>
        </w:rPr>
        <w:t xml:space="preserve"> in forest streams of North Carolina’, </w:t>
      </w:r>
      <w:r>
        <w:rPr>
          <w:rFonts w:ascii="Cambria" w:hAnsi="Cambria"/>
          <w:i/>
        </w:rPr>
        <w:t>Phytopathology</w:t>
      </w:r>
      <w:r>
        <w:rPr>
          <w:rFonts w:ascii="Cambria" w:hAnsi="Cambria"/>
        </w:rPr>
        <w:t>,</w:t>
      </w:r>
      <w:r>
        <w:rPr>
          <w:rFonts w:ascii="Cambria" w:hAnsi="Cambria"/>
          <w:i/>
        </w:rPr>
        <w:t xml:space="preserve"> </w:t>
      </w:r>
      <w:r>
        <w:rPr>
          <w:rFonts w:ascii="Cambria" w:hAnsi="Cambria"/>
        </w:rPr>
        <w:t>97: S49.</w:t>
      </w:r>
    </w:p>
    <w:p w:rsidR="00E94405" w:rsidRDefault="00A11609">
      <w:pPr>
        <w:autoSpaceDE w:val="0"/>
        <w:autoSpaceDN w:val="0"/>
        <w:adjustRightInd w:val="0"/>
        <w:spacing w:before="200"/>
        <w:rPr>
          <w:rFonts w:ascii="Cambria" w:hAnsi="Cambria"/>
          <w:color w:val="000000"/>
        </w:rPr>
      </w:pPr>
      <w:r>
        <w:rPr>
          <w:rFonts w:ascii="Cambria" w:hAnsi="Cambria"/>
          <w:color w:val="000000"/>
        </w:rPr>
        <w:lastRenderedPageBreak/>
        <w:t>Hyder</w:t>
      </w:r>
      <w:r>
        <w:rPr>
          <w:rFonts w:ascii="Cambria" w:hAnsi="Cambria"/>
        </w:rPr>
        <w:t>,</w:t>
      </w:r>
      <w:r>
        <w:rPr>
          <w:rFonts w:ascii="Cambria" w:hAnsi="Cambria"/>
          <w:color w:val="000000"/>
        </w:rPr>
        <w:t xml:space="preserve"> N, Coffey</w:t>
      </w:r>
      <w:r>
        <w:rPr>
          <w:rFonts w:ascii="Cambria" w:hAnsi="Cambria"/>
        </w:rPr>
        <w:t>,</w:t>
      </w:r>
      <w:r>
        <w:rPr>
          <w:rFonts w:ascii="Cambria" w:hAnsi="Cambria"/>
          <w:color w:val="000000"/>
        </w:rPr>
        <w:t xml:space="preserve"> MD</w:t>
      </w:r>
      <w:r>
        <w:rPr>
          <w:rFonts w:ascii="Cambria" w:hAnsi="Cambria"/>
        </w:rPr>
        <w:t xml:space="preserve"> &amp;</w:t>
      </w:r>
      <w:r>
        <w:rPr>
          <w:rFonts w:ascii="Cambria" w:hAnsi="Cambria"/>
          <w:color w:val="000000"/>
        </w:rPr>
        <w:t xml:space="preserve"> Stanghellini</w:t>
      </w:r>
      <w:r>
        <w:rPr>
          <w:rFonts w:ascii="Cambria" w:hAnsi="Cambria"/>
        </w:rPr>
        <w:t>,</w:t>
      </w:r>
      <w:r>
        <w:rPr>
          <w:rFonts w:ascii="Cambria" w:hAnsi="Cambria"/>
          <w:color w:val="000000"/>
        </w:rPr>
        <w:t xml:space="preserve"> ME 2009</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Viability of oomycetes propagules following ingestion and excretion by fungus gnats, shore flies, and snails</w:t>
      </w:r>
      <w:r>
        <w:rPr>
          <w:rFonts w:ascii="Cambria" w:hAnsi="Cambria"/>
        </w:rPr>
        <w:t xml:space="preserve">’, </w:t>
      </w:r>
      <w:r>
        <w:rPr>
          <w:rFonts w:ascii="Cambria" w:hAnsi="Cambria"/>
          <w:i/>
        </w:rPr>
        <w:t>Plant Disease</w:t>
      </w:r>
      <w:r>
        <w:rPr>
          <w:rFonts w:ascii="Cambria" w:hAnsi="Cambria"/>
        </w:rPr>
        <w:t>,</w:t>
      </w:r>
      <w:r>
        <w:rPr>
          <w:rFonts w:ascii="Cambria" w:hAnsi="Cambria"/>
          <w:color w:val="000000"/>
        </w:rPr>
        <w:t xml:space="preserve"> 93:720–726.</w:t>
      </w:r>
    </w:p>
    <w:p w:rsidR="00E94405" w:rsidRDefault="00A11609">
      <w:pPr>
        <w:autoSpaceDE w:val="0"/>
        <w:autoSpaceDN w:val="0"/>
        <w:adjustRightInd w:val="0"/>
        <w:spacing w:before="200"/>
        <w:rPr>
          <w:rFonts w:ascii="Cambria" w:hAnsi="Cambria"/>
        </w:rPr>
      </w:pPr>
      <w:r>
        <w:rPr>
          <w:rFonts w:ascii="Cambria" w:hAnsi="Cambria"/>
        </w:rPr>
        <w:t xml:space="preserve">IBIS World 2008, </w:t>
      </w:r>
      <w:r>
        <w:rPr>
          <w:rFonts w:ascii="Cambria" w:hAnsi="Cambria"/>
          <w:i/>
        </w:rPr>
        <w:t>Plant nurseries in Australia</w:t>
      </w:r>
      <w:r>
        <w:rPr>
          <w:rFonts w:ascii="Cambria" w:hAnsi="Cambria"/>
        </w:rPr>
        <w:t>, IBISWorld Industry Report A0111, accessed April 2014, http://tools.afr.com/search/_files percent5Cpdf percent5Csamplereport.pdf.</w:t>
      </w:r>
    </w:p>
    <w:p w:rsidR="00E94405" w:rsidRDefault="00A11609">
      <w:pPr>
        <w:autoSpaceDE w:val="0"/>
        <w:autoSpaceDN w:val="0"/>
        <w:adjustRightInd w:val="0"/>
        <w:spacing w:before="200"/>
        <w:rPr>
          <w:rFonts w:ascii="Cambria" w:hAnsi="Cambria"/>
        </w:rPr>
      </w:pPr>
      <w:r>
        <w:rPr>
          <w:rFonts w:ascii="Cambria" w:hAnsi="Cambria"/>
        </w:rPr>
        <w:t>Inman, AJ, Townend, VC, Barnes, AV, Lane, CR, Hughes, KJD, Griffin, RL &amp; Eales, SJ 2003, ‘First report of ramorum dieback (</w:t>
      </w:r>
      <w:r>
        <w:rPr>
          <w:rFonts w:ascii="Cambria" w:hAnsi="Cambria"/>
          <w:i/>
        </w:rPr>
        <w:t>Phytophthora ramorum</w:t>
      </w:r>
      <w:r>
        <w:rPr>
          <w:rFonts w:ascii="Cambria" w:hAnsi="Cambria"/>
        </w:rPr>
        <w:t xml:space="preserve">) on </w:t>
      </w:r>
      <w:r>
        <w:rPr>
          <w:rFonts w:ascii="Cambria" w:hAnsi="Cambria"/>
          <w:i/>
        </w:rPr>
        <w:t xml:space="preserve">Pieris </w:t>
      </w:r>
      <w:r>
        <w:rPr>
          <w:rFonts w:ascii="Cambria" w:hAnsi="Cambria"/>
        </w:rPr>
        <w:t xml:space="preserve">in England’, </w:t>
      </w:r>
      <w:r>
        <w:rPr>
          <w:rFonts w:ascii="Cambria" w:hAnsi="Cambria"/>
          <w:i/>
        </w:rPr>
        <w:t>New Disease Reports</w:t>
      </w:r>
      <w:r>
        <w:rPr>
          <w:rFonts w:ascii="Cambria" w:hAnsi="Cambria"/>
        </w:rPr>
        <w:t>, 7: 7.</w:t>
      </w:r>
    </w:p>
    <w:p w:rsidR="00E94405" w:rsidRDefault="00A11609">
      <w:pPr>
        <w:spacing w:before="200"/>
        <w:rPr>
          <w:rFonts w:ascii="Cambria" w:hAnsi="Cambria"/>
        </w:rPr>
      </w:pPr>
      <w:r>
        <w:rPr>
          <w:rFonts w:ascii="Cambria" w:eastAsiaTheme="minorEastAsia" w:hAnsi="Cambria"/>
          <w:lang w:bidi="en-US"/>
        </w:rPr>
        <w:t>Ireland, KB, Hardy, GESJ &amp; Kriticos</w:t>
      </w:r>
      <w:r>
        <w:rPr>
          <w:rFonts w:ascii="Cambria" w:hAnsi="Cambria"/>
        </w:rPr>
        <w:t>, DJ 2013,</w:t>
      </w:r>
      <w:r>
        <w:rPr>
          <w:rFonts w:ascii="Cambria" w:eastAsiaTheme="minorEastAsia" w:hAnsi="Cambria"/>
          <w:lang w:bidi="en-US"/>
        </w:rPr>
        <w:t xml:space="preserve"> Combining Inferential and Deductive</w:t>
      </w:r>
      <w:r>
        <w:rPr>
          <w:rFonts w:ascii="Cambria" w:hAnsi="Cambria"/>
        </w:rPr>
        <w:t xml:space="preserve"> </w:t>
      </w:r>
      <w:r>
        <w:rPr>
          <w:rFonts w:ascii="Cambria" w:eastAsiaTheme="minorEastAsia" w:hAnsi="Cambria"/>
          <w:lang w:bidi="en-US"/>
        </w:rPr>
        <w:t>Approaches to Estimate the Potential Geographical Range of the Invasive Plant Pathogen,</w:t>
      </w:r>
      <w:r>
        <w:rPr>
          <w:rFonts w:ascii="Cambria" w:hAnsi="Cambria"/>
        </w:rPr>
        <w:t xml:space="preserve"> </w:t>
      </w:r>
      <w:r>
        <w:rPr>
          <w:rFonts w:ascii="Cambria" w:eastAsiaTheme="minorEastAsia" w:hAnsi="Cambria"/>
          <w:i/>
          <w:lang w:bidi="en-US"/>
        </w:rPr>
        <w:t>Phytophthora ramorum</w:t>
      </w:r>
      <w:r>
        <w:rPr>
          <w:rFonts w:ascii="Cambria" w:eastAsiaTheme="minorEastAsia" w:hAnsi="Cambria"/>
          <w:lang w:bidi="en-US"/>
        </w:rPr>
        <w:t xml:space="preserve">. </w:t>
      </w:r>
      <w:r>
        <w:rPr>
          <w:rFonts w:ascii="Cambria" w:eastAsiaTheme="minorEastAsia" w:hAnsi="Cambria"/>
          <w:i/>
          <w:lang w:bidi="en-US"/>
        </w:rPr>
        <w:t>PloS one</w:t>
      </w:r>
      <w:r>
        <w:rPr>
          <w:rFonts w:ascii="Cambria" w:eastAsiaTheme="minorEastAsia" w:hAnsi="Cambria"/>
          <w:lang w:bidi="en-US"/>
        </w:rPr>
        <w:t>, 8</w:t>
      </w:r>
      <w:r>
        <w:rPr>
          <w:rFonts w:ascii="Cambria" w:hAnsi="Cambria"/>
        </w:rPr>
        <w:t xml:space="preserve">: </w:t>
      </w:r>
      <w:r>
        <w:rPr>
          <w:rFonts w:ascii="Cambria" w:eastAsiaTheme="minorEastAsia" w:hAnsi="Cambria"/>
          <w:lang w:bidi="en-US"/>
        </w:rPr>
        <w:t>5</w:t>
      </w:r>
      <w:r>
        <w:rPr>
          <w:rFonts w:ascii="Cambria" w:hAnsi="Cambria"/>
        </w:rPr>
        <w:t xml:space="preserve">: </w:t>
      </w:r>
      <w:r>
        <w:rPr>
          <w:rFonts w:ascii="Cambria" w:eastAsiaTheme="minorEastAsia" w:hAnsi="Cambria"/>
          <w:lang w:bidi="en-US"/>
        </w:rPr>
        <w:t>e63508.</w:t>
      </w:r>
    </w:p>
    <w:p w:rsidR="00E94405" w:rsidRDefault="00A11609">
      <w:pPr>
        <w:autoSpaceDE w:val="0"/>
        <w:autoSpaceDN w:val="0"/>
        <w:adjustRightInd w:val="0"/>
        <w:spacing w:before="200"/>
        <w:rPr>
          <w:rFonts w:ascii="Cambria" w:hAnsi="Cambria"/>
        </w:rPr>
      </w:pPr>
      <w:r>
        <w:rPr>
          <w:rFonts w:ascii="Cambria" w:hAnsi="Cambria"/>
          <w:color w:val="000000"/>
        </w:rPr>
        <w:t>Ivors</w:t>
      </w:r>
      <w:r>
        <w:rPr>
          <w:rFonts w:ascii="Cambria" w:hAnsi="Cambria"/>
        </w:rPr>
        <w:t>,</w:t>
      </w:r>
      <w:r>
        <w:rPr>
          <w:rFonts w:ascii="Cambria" w:hAnsi="Cambria"/>
          <w:color w:val="000000"/>
        </w:rPr>
        <w:t xml:space="preserve"> K, Garbelotto</w:t>
      </w:r>
      <w:r>
        <w:rPr>
          <w:rFonts w:ascii="Cambria" w:hAnsi="Cambria"/>
        </w:rPr>
        <w:t>,</w:t>
      </w:r>
      <w:r>
        <w:rPr>
          <w:rFonts w:ascii="Cambria" w:hAnsi="Cambria"/>
          <w:color w:val="000000"/>
        </w:rPr>
        <w:t xml:space="preserve"> M, Vries</w:t>
      </w:r>
      <w:r>
        <w:rPr>
          <w:rFonts w:ascii="Cambria" w:hAnsi="Cambria"/>
        </w:rPr>
        <w:t>,</w:t>
      </w:r>
      <w:r>
        <w:rPr>
          <w:rFonts w:ascii="Cambria" w:hAnsi="Cambria"/>
          <w:color w:val="000000"/>
        </w:rPr>
        <w:t xml:space="preserve"> IDE, Ruyter-Spira</w:t>
      </w:r>
      <w:r>
        <w:rPr>
          <w:rFonts w:ascii="Cambria" w:hAnsi="Cambria"/>
        </w:rPr>
        <w:t>,</w:t>
      </w:r>
      <w:r>
        <w:rPr>
          <w:rFonts w:ascii="Cambria" w:hAnsi="Cambria"/>
          <w:color w:val="000000"/>
        </w:rPr>
        <w:t xml:space="preserve"> C, Hekkert</w:t>
      </w:r>
      <w:r>
        <w:rPr>
          <w:rFonts w:ascii="Cambria" w:hAnsi="Cambria"/>
        </w:rPr>
        <w:t>,</w:t>
      </w:r>
      <w:r>
        <w:rPr>
          <w:rFonts w:ascii="Cambria" w:hAnsi="Cambria"/>
          <w:color w:val="000000"/>
        </w:rPr>
        <w:t xml:space="preserve"> BTE, Rosenzweig</w:t>
      </w:r>
      <w:r>
        <w:rPr>
          <w:rFonts w:ascii="Cambria" w:hAnsi="Cambria"/>
        </w:rPr>
        <w:t>,</w:t>
      </w:r>
      <w:r>
        <w:rPr>
          <w:rFonts w:ascii="Cambria" w:hAnsi="Cambria"/>
          <w:color w:val="000000"/>
        </w:rPr>
        <w:t xml:space="preserve"> N</w:t>
      </w:r>
      <w:r>
        <w:rPr>
          <w:rFonts w:ascii="Cambria" w:hAnsi="Cambria"/>
        </w:rPr>
        <w:t xml:space="preserve"> &amp;</w:t>
      </w:r>
      <w:r>
        <w:rPr>
          <w:rFonts w:ascii="Cambria" w:hAnsi="Cambria"/>
          <w:color w:val="000000"/>
        </w:rPr>
        <w:t xml:space="preserve"> Bonants</w:t>
      </w:r>
      <w:r>
        <w:rPr>
          <w:rFonts w:ascii="Cambria" w:hAnsi="Cambria"/>
        </w:rPr>
        <w:t>,</w:t>
      </w:r>
      <w:r>
        <w:rPr>
          <w:rFonts w:ascii="Cambria" w:hAnsi="Cambria"/>
          <w:color w:val="000000"/>
        </w:rPr>
        <w:t xml:space="preserve"> P 2006</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Microsatellite markers identify three lineages of </w:t>
      </w:r>
      <w:r>
        <w:rPr>
          <w:rFonts w:ascii="Cambria" w:hAnsi="Cambria"/>
          <w:i/>
        </w:rPr>
        <w:t>Phytophthora ramorum</w:t>
      </w:r>
      <w:r>
        <w:rPr>
          <w:rFonts w:ascii="Cambria" w:hAnsi="Cambria"/>
          <w:color w:val="000000"/>
        </w:rPr>
        <w:t xml:space="preserve"> in US nurseries, yet single lineages in US forest and European nursery populations</w:t>
      </w:r>
      <w:r>
        <w:rPr>
          <w:rFonts w:ascii="Cambria" w:hAnsi="Cambria"/>
        </w:rPr>
        <w:t xml:space="preserve">’, </w:t>
      </w:r>
      <w:r>
        <w:rPr>
          <w:rFonts w:ascii="Cambria" w:hAnsi="Cambria"/>
          <w:i/>
          <w:color w:val="000000"/>
        </w:rPr>
        <w:t>Molecular Ecology</w:t>
      </w:r>
      <w:r>
        <w:rPr>
          <w:rFonts w:ascii="Cambria" w:hAnsi="Cambria"/>
        </w:rPr>
        <w:t>,</w:t>
      </w:r>
      <w:r>
        <w:rPr>
          <w:rFonts w:ascii="Cambria" w:hAnsi="Cambria"/>
          <w:i/>
          <w:color w:val="000000"/>
        </w:rPr>
        <w:t xml:space="preserve"> </w:t>
      </w:r>
      <w:r>
        <w:rPr>
          <w:rFonts w:ascii="Cambria" w:hAnsi="Cambria"/>
          <w:color w:val="000000"/>
        </w:rPr>
        <w:t>15: 1493–1505.</w:t>
      </w:r>
      <w:r>
        <w:rPr>
          <w:rFonts w:ascii="Cambria" w:hAnsi="Cambria"/>
        </w:rPr>
        <w:t xml:space="preserve"> </w:t>
      </w:r>
    </w:p>
    <w:p w:rsidR="00E94405" w:rsidRDefault="00A11609">
      <w:pPr>
        <w:autoSpaceDE w:val="0"/>
        <w:autoSpaceDN w:val="0"/>
        <w:adjustRightInd w:val="0"/>
        <w:spacing w:before="200"/>
        <w:rPr>
          <w:rFonts w:ascii="Cambria" w:hAnsi="Cambria"/>
        </w:rPr>
      </w:pPr>
      <w:r>
        <w:rPr>
          <w:rFonts w:ascii="Cambria" w:hAnsi="Cambria"/>
        </w:rPr>
        <w:t xml:space="preserve">Ivors, KI, Hayden, KJ, Bonants, PJM, Rizzo, DM &amp; Garbelotto, M 2004, ‘AFLP and phylogenetic analyses of North American and European populations of </w:t>
      </w:r>
      <w:r>
        <w:rPr>
          <w:rFonts w:ascii="Cambria" w:hAnsi="Cambria"/>
          <w:i/>
        </w:rPr>
        <w:t>Phytophthora ramorum</w:t>
      </w:r>
      <w:r>
        <w:rPr>
          <w:rFonts w:ascii="Cambria" w:hAnsi="Cambria"/>
        </w:rPr>
        <w:t xml:space="preserve">’, </w:t>
      </w:r>
      <w:r>
        <w:rPr>
          <w:rFonts w:ascii="Cambria" w:hAnsi="Cambria"/>
          <w:i/>
        </w:rPr>
        <w:t>Mycological Research</w:t>
      </w:r>
      <w:r>
        <w:rPr>
          <w:rFonts w:ascii="Cambria" w:hAnsi="Cambria"/>
        </w:rPr>
        <w:t xml:space="preserve">, 108: 378–392. </w:t>
      </w:r>
    </w:p>
    <w:p w:rsidR="00E94405" w:rsidRDefault="00A11609">
      <w:pPr>
        <w:autoSpaceDE w:val="0"/>
        <w:autoSpaceDN w:val="0"/>
        <w:adjustRightInd w:val="0"/>
        <w:spacing w:before="200"/>
        <w:rPr>
          <w:rFonts w:ascii="Cambria" w:hAnsi="Cambria"/>
        </w:rPr>
      </w:pPr>
      <w:r>
        <w:rPr>
          <w:rFonts w:ascii="Cambria" w:hAnsi="Cambria"/>
          <w:color w:val="000000"/>
        </w:rPr>
        <w:t>Jeger</w:t>
      </w:r>
      <w:r>
        <w:rPr>
          <w:rFonts w:ascii="Cambria" w:hAnsi="Cambria"/>
        </w:rPr>
        <w:t>,</w:t>
      </w:r>
      <w:r>
        <w:rPr>
          <w:rFonts w:ascii="Cambria" w:hAnsi="Cambria"/>
          <w:color w:val="000000"/>
        </w:rPr>
        <w:t xml:space="preserve"> MJ, Pautasso</w:t>
      </w:r>
      <w:r>
        <w:rPr>
          <w:rFonts w:ascii="Cambria" w:hAnsi="Cambria"/>
        </w:rPr>
        <w:t>,</w:t>
      </w:r>
      <w:r>
        <w:rPr>
          <w:rFonts w:ascii="Cambria" w:hAnsi="Cambria"/>
          <w:color w:val="000000"/>
        </w:rPr>
        <w:t xml:space="preserve"> M, Holdenrieder</w:t>
      </w:r>
      <w:r>
        <w:rPr>
          <w:rFonts w:ascii="Cambria" w:hAnsi="Cambria"/>
        </w:rPr>
        <w:t>,</w:t>
      </w:r>
      <w:r>
        <w:rPr>
          <w:rFonts w:ascii="Cambria" w:hAnsi="Cambria"/>
          <w:color w:val="000000"/>
        </w:rPr>
        <w:t xml:space="preserve"> O</w:t>
      </w:r>
      <w:r>
        <w:rPr>
          <w:rFonts w:ascii="Cambria" w:hAnsi="Cambria"/>
        </w:rPr>
        <w:t xml:space="preserve"> &amp;</w:t>
      </w:r>
      <w:r>
        <w:rPr>
          <w:rFonts w:ascii="Cambria" w:hAnsi="Cambria"/>
          <w:color w:val="000000"/>
        </w:rPr>
        <w:t xml:space="preserve"> Shaw</w:t>
      </w:r>
      <w:r>
        <w:rPr>
          <w:rFonts w:ascii="Cambria" w:hAnsi="Cambria"/>
        </w:rPr>
        <w:t>,</w:t>
      </w:r>
      <w:r>
        <w:rPr>
          <w:rFonts w:ascii="Cambria" w:hAnsi="Cambria"/>
          <w:color w:val="000000"/>
        </w:rPr>
        <w:t xml:space="preserve"> MW 2007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Modelling disease spread and control in networks: implications for plant sciences</w:t>
      </w:r>
      <w:r>
        <w:rPr>
          <w:rFonts w:ascii="Cambria" w:hAnsi="Cambria"/>
        </w:rPr>
        <w:t xml:space="preserve">’, </w:t>
      </w:r>
      <w:r>
        <w:rPr>
          <w:rFonts w:ascii="Cambria" w:hAnsi="Cambria"/>
          <w:i/>
          <w:color w:val="000000"/>
        </w:rPr>
        <w:t>New Phytologist</w:t>
      </w:r>
      <w:r>
        <w:rPr>
          <w:rFonts w:ascii="Cambria" w:hAnsi="Cambria"/>
        </w:rPr>
        <w:t>,</w:t>
      </w:r>
      <w:r>
        <w:rPr>
          <w:rFonts w:ascii="Cambria" w:hAnsi="Cambria"/>
          <w:color w:val="000000"/>
        </w:rPr>
        <w:t xml:space="preserve"> 174: 279–297.</w:t>
      </w:r>
    </w:p>
    <w:p w:rsidR="00E94405" w:rsidRDefault="00A11609">
      <w:pPr>
        <w:autoSpaceDE w:val="0"/>
        <w:autoSpaceDN w:val="0"/>
        <w:adjustRightInd w:val="0"/>
        <w:spacing w:before="200"/>
        <w:rPr>
          <w:rFonts w:ascii="Cambria" w:hAnsi="Cambria"/>
        </w:rPr>
      </w:pPr>
      <w:r>
        <w:rPr>
          <w:rFonts w:ascii="Cambria" w:hAnsi="Cambria"/>
          <w:color w:val="000000"/>
        </w:rPr>
        <w:t>Jones</w:t>
      </w:r>
      <w:r>
        <w:rPr>
          <w:rFonts w:ascii="Cambria" w:hAnsi="Cambria"/>
        </w:rPr>
        <w:t>,</w:t>
      </w:r>
      <w:r>
        <w:rPr>
          <w:rFonts w:ascii="Cambria" w:hAnsi="Cambria"/>
          <w:color w:val="000000"/>
        </w:rPr>
        <w:t xml:space="preserve"> DR 2003</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Revised datasheet of </w:t>
      </w:r>
      <w:r>
        <w:rPr>
          <w:rFonts w:ascii="Cambria" w:hAnsi="Cambria"/>
          <w:i/>
          <w:color w:val="000000"/>
        </w:rPr>
        <w:t>Phytophthora ramorum</w:t>
      </w:r>
      <w:r>
        <w:rPr>
          <w:rFonts w:ascii="Cambria" w:hAnsi="Cambria"/>
          <w:color w:val="000000"/>
        </w:rPr>
        <w:t>’,</w:t>
      </w:r>
      <w:r>
        <w:rPr>
          <w:rFonts w:ascii="Cambria" w:hAnsi="Cambria"/>
          <w:i/>
        </w:rPr>
        <w:t xml:space="preserve"> </w:t>
      </w:r>
      <w:r>
        <w:rPr>
          <w:rFonts w:ascii="Cambria" w:hAnsi="Cambria"/>
        </w:rPr>
        <w:t>CSL Forest Research.</w:t>
      </w:r>
    </w:p>
    <w:p w:rsidR="00E94405" w:rsidRDefault="00A11609">
      <w:pPr>
        <w:autoSpaceDE w:val="0"/>
        <w:autoSpaceDN w:val="0"/>
        <w:adjustRightInd w:val="0"/>
        <w:spacing w:before="200"/>
        <w:rPr>
          <w:rFonts w:ascii="Cambria" w:hAnsi="Cambria"/>
        </w:rPr>
      </w:pPr>
      <w:r>
        <w:rPr>
          <w:rFonts w:ascii="Cambria" w:hAnsi="Cambria"/>
          <w:color w:val="000000"/>
        </w:rPr>
        <w:t>Judelson</w:t>
      </w:r>
      <w:r>
        <w:rPr>
          <w:rFonts w:ascii="Cambria" w:hAnsi="Cambria"/>
        </w:rPr>
        <w:t>,</w:t>
      </w:r>
      <w:r>
        <w:rPr>
          <w:rFonts w:ascii="Cambria" w:hAnsi="Cambria"/>
          <w:color w:val="000000"/>
        </w:rPr>
        <w:t xml:space="preserve"> HS</w:t>
      </w:r>
      <w:r>
        <w:rPr>
          <w:rFonts w:ascii="Cambria" w:hAnsi="Cambria"/>
        </w:rPr>
        <w:t xml:space="preserve"> &amp;</w:t>
      </w:r>
      <w:r>
        <w:rPr>
          <w:rFonts w:ascii="Cambria" w:hAnsi="Cambria"/>
          <w:color w:val="000000"/>
        </w:rPr>
        <w:t xml:space="preserve"> Blanco</w:t>
      </w:r>
      <w:r>
        <w:rPr>
          <w:rFonts w:ascii="Cambria" w:hAnsi="Cambria"/>
        </w:rPr>
        <w:t>,</w:t>
      </w:r>
      <w:r>
        <w:rPr>
          <w:rFonts w:ascii="Cambria" w:hAnsi="Cambria"/>
          <w:color w:val="000000"/>
        </w:rPr>
        <w:t xml:space="preserve"> FA 2005</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The spores of </w:t>
      </w:r>
      <w:r>
        <w:rPr>
          <w:rFonts w:ascii="Cambria" w:hAnsi="Cambria"/>
          <w:i/>
          <w:color w:val="000000"/>
        </w:rPr>
        <w:t>Phytophthora</w:t>
      </w:r>
      <w:r>
        <w:rPr>
          <w:rFonts w:ascii="Cambria" w:hAnsi="Cambria"/>
        </w:rPr>
        <w:t xml:space="preserve">: Weapons of the plant destroyer’, </w:t>
      </w:r>
      <w:r>
        <w:rPr>
          <w:rFonts w:ascii="Cambria" w:hAnsi="Cambria"/>
          <w:i/>
          <w:color w:val="000000"/>
        </w:rPr>
        <w:t>Nat</w:t>
      </w:r>
      <w:r>
        <w:rPr>
          <w:rFonts w:ascii="Cambria" w:hAnsi="Cambria"/>
          <w:i/>
        </w:rPr>
        <w:t>ure</w:t>
      </w:r>
      <w:r>
        <w:rPr>
          <w:rFonts w:ascii="Cambria" w:hAnsi="Cambria"/>
          <w:i/>
          <w:color w:val="000000"/>
        </w:rPr>
        <w:t xml:space="preserve"> Review</w:t>
      </w:r>
      <w:r>
        <w:rPr>
          <w:rFonts w:ascii="Cambria" w:hAnsi="Cambria"/>
          <w:i/>
        </w:rPr>
        <w:t>s</w:t>
      </w:r>
      <w:r>
        <w:rPr>
          <w:rFonts w:ascii="Cambria" w:hAnsi="Cambria"/>
          <w:i/>
          <w:color w:val="000000"/>
        </w:rPr>
        <w:t xml:space="preserve"> Microbiology</w:t>
      </w:r>
      <w:r>
        <w:rPr>
          <w:rFonts w:ascii="Cambria" w:hAnsi="Cambria"/>
        </w:rPr>
        <w:t>, 3: 47</w:t>
      </w:r>
      <w:r>
        <w:rPr>
          <w:rFonts w:ascii="Cambria" w:hAnsi="Cambria"/>
          <w:color w:val="000000"/>
        </w:rPr>
        <w:t>–58.</w:t>
      </w:r>
    </w:p>
    <w:p w:rsidR="00E94405" w:rsidRDefault="00A11609">
      <w:pPr>
        <w:autoSpaceDE w:val="0"/>
        <w:autoSpaceDN w:val="0"/>
        <w:adjustRightInd w:val="0"/>
        <w:spacing w:before="200"/>
        <w:rPr>
          <w:rFonts w:ascii="Cambria" w:hAnsi="Cambria"/>
        </w:rPr>
      </w:pPr>
      <w:r>
        <w:rPr>
          <w:rFonts w:ascii="Cambria" w:hAnsi="Cambria"/>
        </w:rPr>
        <w:t xml:space="preserve">Jung, T 2009, ‘Beech decline in Central Europe driven by the interaction between </w:t>
      </w:r>
      <w:r>
        <w:rPr>
          <w:rFonts w:ascii="Cambria" w:hAnsi="Cambria"/>
          <w:i/>
          <w:color w:val="000000"/>
        </w:rPr>
        <w:t>Phytophthora</w:t>
      </w:r>
      <w:r>
        <w:rPr>
          <w:rFonts w:ascii="Cambria" w:hAnsi="Cambria"/>
        </w:rPr>
        <w:t xml:space="preserve"> infections and climatic extremes’, </w:t>
      </w:r>
      <w:r>
        <w:rPr>
          <w:rFonts w:ascii="Cambria" w:hAnsi="Cambria"/>
          <w:i/>
          <w:color w:val="000000"/>
        </w:rPr>
        <w:t>Forest Pathology</w:t>
      </w:r>
      <w:r>
        <w:rPr>
          <w:rFonts w:ascii="Cambria" w:hAnsi="Cambria"/>
        </w:rPr>
        <w:t>, 39: 73–94.</w:t>
      </w:r>
    </w:p>
    <w:p w:rsidR="00E94405" w:rsidRDefault="00A11609">
      <w:pPr>
        <w:autoSpaceDE w:val="0"/>
        <w:autoSpaceDN w:val="0"/>
        <w:adjustRightInd w:val="0"/>
        <w:spacing w:before="200"/>
        <w:rPr>
          <w:rFonts w:ascii="Cambria" w:hAnsi="Cambria"/>
        </w:rPr>
      </w:pPr>
      <w:r>
        <w:rPr>
          <w:rFonts w:ascii="Cambria" w:hAnsi="Cambria"/>
        </w:rPr>
        <w:t>Jung, T, Cooke, DEL, Blaschke, H, Duncan, JM &amp; Osswald, W 1999, ‘</w:t>
      </w:r>
      <w:r>
        <w:rPr>
          <w:rFonts w:ascii="Cambria" w:hAnsi="Cambria"/>
          <w:i/>
          <w:color w:val="000000"/>
        </w:rPr>
        <w:t>Phytophthora quercine</w:t>
      </w:r>
      <w:r>
        <w:rPr>
          <w:rFonts w:ascii="Cambria" w:hAnsi="Cambria"/>
        </w:rPr>
        <w:t xml:space="preserve"> sp.</w:t>
      </w:r>
      <w:r>
        <w:rPr>
          <w:rFonts w:ascii="Cambria" w:hAnsi="Cambria"/>
          <w:i/>
          <w:color w:val="000000"/>
        </w:rPr>
        <w:t>nov</w:t>
      </w:r>
      <w:r>
        <w:rPr>
          <w:rFonts w:ascii="Cambria" w:hAnsi="Cambria"/>
        </w:rPr>
        <w:t xml:space="preserve">, causing root rot of European oaks’, </w:t>
      </w:r>
      <w:r>
        <w:rPr>
          <w:rFonts w:ascii="Cambria" w:hAnsi="Cambria"/>
          <w:i/>
          <w:color w:val="000000"/>
        </w:rPr>
        <w:t>Mycologic</w:t>
      </w:r>
      <w:r>
        <w:rPr>
          <w:rFonts w:ascii="Cambria" w:hAnsi="Cambria"/>
          <w:color w:val="000000"/>
        </w:rPr>
        <w:t>al</w:t>
      </w:r>
      <w:r>
        <w:rPr>
          <w:rFonts w:ascii="Cambria" w:hAnsi="Cambria"/>
          <w:i/>
          <w:color w:val="000000"/>
        </w:rPr>
        <w:t xml:space="preserve"> Research</w:t>
      </w:r>
      <w:r>
        <w:rPr>
          <w:rFonts w:ascii="Cambria" w:hAnsi="Cambria"/>
        </w:rPr>
        <w:t>, 103: 785–798.</w:t>
      </w:r>
    </w:p>
    <w:p w:rsidR="00E94405" w:rsidRDefault="00A11609">
      <w:pPr>
        <w:autoSpaceDE w:val="0"/>
        <w:autoSpaceDN w:val="0"/>
        <w:adjustRightInd w:val="0"/>
        <w:spacing w:before="200"/>
        <w:rPr>
          <w:rFonts w:ascii="Cambria" w:hAnsi="Cambria"/>
        </w:rPr>
      </w:pPr>
      <w:r>
        <w:rPr>
          <w:rFonts w:ascii="Cambria" w:hAnsi="Cambria"/>
        </w:rPr>
        <w:t>Jung, T, Nechwatal, J, Cooke, DEL, Hartmann, G, Blaschke, M, Osswald, WF, Duncan, JM &amp; Delatour, C 2003, ‘</w:t>
      </w:r>
      <w:r>
        <w:rPr>
          <w:rFonts w:ascii="Cambria" w:hAnsi="Cambria"/>
          <w:i/>
          <w:color w:val="000000"/>
        </w:rPr>
        <w:t>Phytophthora pseudosyringae</w:t>
      </w:r>
      <w:r>
        <w:rPr>
          <w:rFonts w:ascii="Cambria" w:hAnsi="Cambria"/>
        </w:rPr>
        <w:t xml:space="preserve"> sp. </w:t>
      </w:r>
      <w:r>
        <w:rPr>
          <w:rFonts w:ascii="Cambria" w:hAnsi="Cambria"/>
          <w:i/>
          <w:color w:val="000000"/>
        </w:rPr>
        <w:t>nov</w:t>
      </w:r>
      <w:r>
        <w:rPr>
          <w:rFonts w:ascii="Cambria" w:hAnsi="Cambria"/>
        </w:rPr>
        <w:t xml:space="preserve">, a new species causing root and collar rot of deciduous tree species in Europe’, </w:t>
      </w:r>
      <w:r>
        <w:rPr>
          <w:rFonts w:ascii="Cambria" w:hAnsi="Cambria"/>
          <w:i/>
          <w:color w:val="000000"/>
        </w:rPr>
        <w:t>Mycologic</w:t>
      </w:r>
      <w:r>
        <w:rPr>
          <w:rFonts w:ascii="Cambria" w:hAnsi="Cambria"/>
          <w:color w:val="000000"/>
        </w:rPr>
        <w:t>al</w:t>
      </w:r>
      <w:r>
        <w:rPr>
          <w:rFonts w:ascii="Cambria" w:hAnsi="Cambria"/>
          <w:i/>
          <w:color w:val="000000"/>
        </w:rPr>
        <w:t xml:space="preserve"> Research</w:t>
      </w:r>
      <w:r>
        <w:rPr>
          <w:rFonts w:ascii="Cambria" w:hAnsi="Cambria"/>
        </w:rPr>
        <w:t>, 107: 772–789.</w:t>
      </w:r>
    </w:p>
    <w:p w:rsidR="00E94405" w:rsidRDefault="00A11609">
      <w:pPr>
        <w:autoSpaceDE w:val="0"/>
        <w:autoSpaceDN w:val="0"/>
        <w:adjustRightInd w:val="0"/>
        <w:spacing w:before="200"/>
        <w:rPr>
          <w:rFonts w:ascii="Cambria" w:hAnsi="Cambria"/>
        </w:rPr>
      </w:pPr>
      <w:r>
        <w:rPr>
          <w:rFonts w:ascii="Cambria" w:hAnsi="Cambria"/>
        </w:rPr>
        <w:t xml:space="preserve">Jung, T, Vannini, A &amp; Brasier, CM 2007, ‘Progress in understanding </w:t>
      </w:r>
      <w:r>
        <w:rPr>
          <w:rFonts w:ascii="Cambria" w:hAnsi="Cambria"/>
          <w:i/>
          <w:color w:val="000000"/>
        </w:rPr>
        <w:t>Phytophthora</w:t>
      </w:r>
      <w:r>
        <w:rPr>
          <w:rFonts w:ascii="Cambria" w:hAnsi="Cambria"/>
        </w:rPr>
        <w:t xml:space="preserve"> diseases of trees in Europe 2004–2007’, In: ‘</w:t>
      </w:r>
      <w:r>
        <w:rPr>
          <w:rFonts w:ascii="Cambria" w:hAnsi="Cambria"/>
          <w:i/>
        </w:rPr>
        <w:t>Phytophthora</w:t>
      </w:r>
      <w:r>
        <w:rPr>
          <w:rFonts w:ascii="Cambria" w:hAnsi="Cambria"/>
        </w:rPr>
        <w:t xml:space="preserve">s in forests and natural ecosystems’, </w:t>
      </w:r>
      <w:r>
        <w:rPr>
          <w:rFonts w:ascii="Cambria" w:hAnsi="Cambria"/>
          <w:i/>
        </w:rPr>
        <w:t>Proceedings of the Fourth Meeting of the International Union of Forest Research Organizations</w:t>
      </w:r>
      <w:r>
        <w:rPr>
          <w:rFonts w:ascii="Cambria" w:hAnsi="Cambria"/>
        </w:rPr>
        <w:t xml:space="preserve"> (IUFRO) Working Party S07.02.09 August 26–31, 2007, Monterey, California, accessed Feburary 2013, http://www.fs.fed.us/psw/publications/documents/psw_gtr221/psw_gtr221.</w:t>
      </w:r>
    </w:p>
    <w:p w:rsidR="00E94405" w:rsidRDefault="00A11609">
      <w:pPr>
        <w:autoSpaceDE w:val="0"/>
        <w:autoSpaceDN w:val="0"/>
        <w:adjustRightInd w:val="0"/>
        <w:spacing w:before="200"/>
        <w:rPr>
          <w:rFonts w:ascii="Cambria" w:hAnsi="Cambria"/>
          <w:color w:val="000000"/>
        </w:rPr>
      </w:pPr>
      <w:r>
        <w:rPr>
          <w:rFonts w:ascii="Cambria" w:hAnsi="Cambria"/>
          <w:color w:val="000000"/>
        </w:rPr>
        <w:t>Kelly</w:t>
      </w:r>
      <w:r>
        <w:rPr>
          <w:rFonts w:ascii="Cambria" w:hAnsi="Cambria"/>
        </w:rPr>
        <w:t>,</w:t>
      </w:r>
      <w:r>
        <w:rPr>
          <w:rFonts w:ascii="Cambria" w:hAnsi="Cambria"/>
          <w:color w:val="000000"/>
        </w:rPr>
        <w:t xml:space="preserve"> NM</w:t>
      </w:r>
      <w:r>
        <w:rPr>
          <w:rFonts w:ascii="Cambria" w:hAnsi="Cambria"/>
        </w:rPr>
        <w:t xml:space="preserve"> &amp;</w:t>
      </w:r>
      <w:r>
        <w:rPr>
          <w:rFonts w:ascii="Cambria" w:hAnsi="Cambria"/>
          <w:color w:val="000000"/>
        </w:rPr>
        <w:t xml:space="preserve"> Meentemeyer</w:t>
      </w:r>
      <w:r>
        <w:rPr>
          <w:rFonts w:ascii="Cambria" w:hAnsi="Cambria"/>
        </w:rPr>
        <w:t>,</w:t>
      </w:r>
      <w:r>
        <w:rPr>
          <w:rFonts w:ascii="Cambria" w:hAnsi="Cambria"/>
          <w:color w:val="000000"/>
        </w:rPr>
        <w:t xml:space="preserve"> R 2002</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Landscape dynamics of the spread of sudden oak death</w:t>
      </w:r>
      <w:r>
        <w:rPr>
          <w:rFonts w:ascii="Cambria" w:hAnsi="Cambria"/>
        </w:rPr>
        <w:t xml:space="preserve">’, </w:t>
      </w:r>
      <w:r>
        <w:rPr>
          <w:rFonts w:ascii="Cambria" w:hAnsi="Cambria"/>
          <w:i/>
          <w:color w:val="000000"/>
        </w:rPr>
        <w:t>Photogrammetric Engineering and Remote Sensing</w:t>
      </w:r>
      <w:r>
        <w:rPr>
          <w:rFonts w:ascii="Cambria" w:hAnsi="Cambria"/>
        </w:rPr>
        <w:t>,</w:t>
      </w:r>
      <w:r>
        <w:rPr>
          <w:rFonts w:ascii="Cambria" w:hAnsi="Cambria"/>
          <w:color w:val="000000"/>
        </w:rPr>
        <w:t xml:space="preserve"> 68: 1001–1009.</w:t>
      </w:r>
    </w:p>
    <w:p w:rsidR="00E94405" w:rsidRDefault="00A11609">
      <w:pPr>
        <w:autoSpaceDE w:val="0"/>
        <w:autoSpaceDN w:val="0"/>
        <w:adjustRightInd w:val="0"/>
        <w:spacing w:before="200"/>
        <w:rPr>
          <w:rFonts w:ascii="Cambria" w:hAnsi="Cambria"/>
          <w:color w:val="000000"/>
        </w:rPr>
      </w:pPr>
      <w:r>
        <w:rPr>
          <w:rFonts w:ascii="Cambria" w:hAnsi="Cambria"/>
          <w:color w:val="000000"/>
        </w:rPr>
        <w:lastRenderedPageBreak/>
        <w:t>Kliejunas</w:t>
      </w:r>
      <w:r>
        <w:rPr>
          <w:rFonts w:ascii="Cambria" w:hAnsi="Cambria"/>
        </w:rPr>
        <w:t>,</w:t>
      </w:r>
      <w:r>
        <w:rPr>
          <w:rFonts w:ascii="Cambria" w:hAnsi="Cambria"/>
          <w:color w:val="000000"/>
        </w:rPr>
        <w:t xml:space="preserve"> J 2000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Sudden oak death, </w:t>
      </w:r>
      <w:r>
        <w:rPr>
          <w:rFonts w:ascii="Cambria" w:hAnsi="Cambria"/>
          <w:i/>
          <w:color w:val="000000"/>
        </w:rPr>
        <w:t>Phytophthora</w:t>
      </w:r>
      <w:r>
        <w:rPr>
          <w:rFonts w:ascii="Cambria" w:hAnsi="Cambria"/>
          <w:color w:val="000000"/>
        </w:rPr>
        <w:t xml:space="preserve"> sp., pest risk assessment</w:t>
      </w:r>
      <w:r>
        <w:rPr>
          <w:rFonts w:ascii="Cambria" w:hAnsi="Cambria"/>
        </w:rPr>
        <w:t xml:space="preserve">’, http://camfer.cnr.berkeley.edu/oaks/SODPRA.html. </w:t>
      </w:r>
    </w:p>
    <w:p w:rsidR="00E94405" w:rsidRDefault="00A11609">
      <w:pPr>
        <w:autoSpaceDE w:val="0"/>
        <w:autoSpaceDN w:val="0"/>
        <w:adjustRightInd w:val="0"/>
        <w:spacing w:before="200"/>
        <w:rPr>
          <w:rFonts w:ascii="Cambria" w:hAnsi="Cambria"/>
        </w:rPr>
      </w:pPr>
      <w:r>
        <w:rPr>
          <w:rFonts w:ascii="Cambria" w:hAnsi="Cambria"/>
          <w:color w:val="000000"/>
        </w:rPr>
        <w:t>Kliejunas</w:t>
      </w:r>
      <w:r>
        <w:rPr>
          <w:rFonts w:ascii="Cambria" w:hAnsi="Cambria"/>
        </w:rPr>
        <w:t>,</w:t>
      </w:r>
      <w:r>
        <w:rPr>
          <w:rFonts w:ascii="Cambria" w:hAnsi="Cambria"/>
          <w:color w:val="000000"/>
        </w:rPr>
        <w:t xml:space="preserve"> J 2003</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A pest risk assessment of </w:t>
      </w:r>
      <w:r>
        <w:rPr>
          <w:rFonts w:ascii="Cambria" w:hAnsi="Cambria"/>
          <w:i/>
        </w:rPr>
        <w:t>Phytophthora ramorum</w:t>
      </w:r>
      <w:r>
        <w:rPr>
          <w:rFonts w:ascii="Cambria" w:hAnsi="Cambria"/>
          <w:color w:val="000000"/>
        </w:rPr>
        <w:t xml:space="preserve"> </w:t>
      </w:r>
      <w:r>
        <w:rPr>
          <w:rFonts w:ascii="Cambria" w:hAnsi="Cambria"/>
        </w:rPr>
        <w:t>in North America’,</w:t>
      </w:r>
      <w:r>
        <w:rPr>
          <w:rFonts w:ascii="Cambria" w:hAnsi="Cambria"/>
          <w:color w:val="000000"/>
        </w:rPr>
        <w:t xml:space="preserve"> </w:t>
      </w:r>
      <w:r>
        <w:rPr>
          <w:rFonts w:ascii="Cambria" w:hAnsi="Cambria"/>
        </w:rPr>
        <w:t>USDA Forest Service, http://www.suddenoakdeath.org/pdf/RevisedPRA.8.03.pdf.</w:t>
      </w:r>
      <w:r>
        <w:rPr>
          <w:rFonts w:ascii="Cambria" w:hAnsi="Cambria"/>
          <w:color w:val="000000"/>
        </w:rPr>
        <w:t xml:space="preserve"> </w:t>
      </w:r>
    </w:p>
    <w:p w:rsidR="00E94405" w:rsidRDefault="00A11609">
      <w:pPr>
        <w:spacing w:before="200"/>
        <w:rPr>
          <w:rFonts w:ascii="Cambria" w:hAnsi="Cambria"/>
          <w:color w:val="000000"/>
        </w:rPr>
      </w:pPr>
      <w:r>
        <w:rPr>
          <w:rFonts w:ascii="Cambria" w:hAnsi="Cambria"/>
          <w:color w:val="000000"/>
        </w:rPr>
        <w:t>Kliejunas, JT 2010,</w:t>
      </w:r>
      <w:r>
        <w:rPr>
          <w:rFonts w:ascii="Cambria" w:eastAsiaTheme="minorEastAsia" w:hAnsi="Cambria"/>
          <w:color w:val="000000"/>
          <w:lang w:bidi="en-US"/>
        </w:rPr>
        <w:t xml:space="preserve"> </w:t>
      </w:r>
      <w:r>
        <w:rPr>
          <w:rFonts w:ascii="Cambria" w:hAnsi="Cambria"/>
          <w:color w:val="000000"/>
        </w:rPr>
        <w:t>‘</w:t>
      </w:r>
      <w:r>
        <w:rPr>
          <w:rFonts w:ascii="Cambria" w:eastAsiaTheme="minorEastAsia" w:hAnsi="Cambria"/>
          <w:color w:val="000000"/>
          <w:lang w:bidi="en-US"/>
        </w:rPr>
        <w:t xml:space="preserve">Sudden oak death and </w:t>
      </w:r>
      <w:r>
        <w:rPr>
          <w:rFonts w:ascii="Cambria" w:eastAsiaTheme="minorEastAsia" w:hAnsi="Cambria"/>
          <w:i/>
          <w:color w:val="000000"/>
          <w:lang w:bidi="en-US"/>
        </w:rPr>
        <w:t>Phytophthora ramorum</w:t>
      </w:r>
      <w:r>
        <w:rPr>
          <w:rFonts w:ascii="Cambria" w:eastAsiaTheme="minorEastAsia" w:hAnsi="Cambria"/>
          <w:color w:val="000000"/>
          <w:lang w:bidi="en-US"/>
        </w:rPr>
        <w:t>: a summary of the literature</w:t>
      </w:r>
      <w:r>
        <w:rPr>
          <w:rFonts w:ascii="Cambria" w:hAnsi="Cambria"/>
          <w:color w:val="000000"/>
        </w:rPr>
        <w:t xml:space="preserve">’, </w:t>
      </w:r>
      <w:r>
        <w:rPr>
          <w:rFonts w:ascii="Cambria" w:hAnsi="Cambria"/>
        </w:rPr>
        <w:t xml:space="preserve">USDA Forest Service, http://www.suddenoakdeath.org/wp-content/uploads/2010/03/psw_gtr234.pdf. </w:t>
      </w:r>
    </w:p>
    <w:p w:rsidR="00E94405" w:rsidRDefault="00A11609">
      <w:pPr>
        <w:autoSpaceDE w:val="0"/>
        <w:autoSpaceDN w:val="0"/>
        <w:adjustRightInd w:val="0"/>
        <w:spacing w:before="200"/>
        <w:rPr>
          <w:rFonts w:ascii="Cambria" w:hAnsi="Cambria"/>
        </w:rPr>
      </w:pPr>
      <w:r>
        <w:rPr>
          <w:rFonts w:ascii="Cambria" w:hAnsi="Cambria"/>
        </w:rPr>
        <w:t>Kuljian, H &amp;</w:t>
      </w:r>
      <w:r>
        <w:rPr>
          <w:rFonts w:ascii="Cambria" w:hAnsi="Cambria"/>
          <w:color w:val="000000"/>
        </w:rPr>
        <w:t xml:space="preserve"> Varner</w:t>
      </w:r>
      <w:r>
        <w:rPr>
          <w:rFonts w:ascii="Cambria" w:hAnsi="Cambria"/>
        </w:rPr>
        <w:t>,</w:t>
      </w:r>
      <w:r>
        <w:rPr>
          <w:rFonts w:ascii="Cambria" w:hAnsi="Cambria"/>
          <w:color w:val="000000"/>
        </w:rPr>
        <w:t xml:space="preserve"> JM 2010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The effects of sudden oak death on foliar moisture content and crown fire potential in tanoak</w:t>
      </w:r>
      <w:r>
        <w:rPr>
          <w:rFonts w:ascii="Cambria" w:hAnsi="Cambria"/>
        </w:rPr>
        <w:t xml:space="preserve">’, </w:t>
      </w:r>
      <w:r>
        <w:rPr>
          <w:rFonts w:ascii="Cambria" w:hAnsi="Cambria"/>
          <w:i/>
          <w:color w:val="000000"/>
        </w:rPr>
        <w:t>Forest Ecology and Management</w:t>
      </w:r>
      <w:r>
        <w:rPr>
          <w:rFonts w:ascii="Cambria" w:hAnsi="Cambria"/>
        </w:rPr>
        <w:t>,</w:t>
      </w:r>
      <w:r>
        <w:rPr>
          <w:rFonts w:ascii="Cambria" w:hAnsi="Cambria"/>
          <w:color w:val="000000"/>
        </w:rPr>
        <w:t xml:space="preserve"> 259: 2103–2110.</w:t>
      </w:r>
    </w:p>
    <w:p w:rsidR="00E94405" w:rsidRDefault="00A11609">
      <w:pPr>
        <w:autoSpaceDE w:val="0"/>
        <w:autoSpaceDN w:val="0"/>
        <w:adjustRightInd w:val="0"/>
        <w:spacing w:before="200"/>
        <w:rPr>
          <w:rFonts w:ascii="Cambria" w:hAnsi="Cambria"/>
        </w:rPr>
      </w:pPr>
      <w:r>
        <w:rPr>
          <w:rFonts w:ascii="Cambria" w:hAnsi="Cambria"/>
        </w:rPr>
        <w:t>Lane, CR, Beales, PA, Hughes, KJD, Tomlinson, JA, Inman, AJ &amp; Warwick, K 2004, ‘First report of ramorum dieback (</w:t>
      </w:r>
      <w:r>
        <w:rPr>
          <w:rFonts w:ascii="Cambria" w:hAnsi="Cambria"/>
          <w:i/>
        </w:rPr>
        <w:t>Phytophthora ramorum</w:t>
      </w:r>
      <w:r>
        <w:rPr>
          <w:rFonts w:ascii="Cambria" w:hAnsi="Cambria"/>
        </w:rPr>
        <w:t>) on container-grown English yew (</w:t>
      </w:r>
      <w:r>
        <w:rPr>
          <w:rFonts w:ascii="Cambria" w:hAnsi="Cambria"/>
          <w:i/>
        </w:rPr>
        <w:t>Taxus baccata</w:t>
      </w:r>
      <w:r>
        <w:rPr>
          <w:rFonts w:ascii="Cambria" w:hAnsi="Cambria"/>
        </w:rPr>
        <w:t xml:space="preserve">) in England’, </w:t>
      </w:r>
      <w:r>
        <w:rPr>
          <w:rFonts w:ascii="Cambria" w:hAnsi="Cambria"/>
          <w:i/>
        </w:rPr>
        <w:t>Plant Pathology</w:t>
      </w:r>
      <w:r>
        <w:rPr>
          <w:rFonts w:ascii="Cambria" w:hAnsi="Cambria"/>
        </w:rPr>
        <w:t>, 53: 522.</w:t>
      </w:r>
    </w:p>
    <w:p w:rsidR="00E94405" w:rsidRDefault="00A11609">
      <w:pPr>
        <w:autoSpaceDE w:val="0"/>
        <w:autoSpaceDN w:val="0"/>
        <w:adjustRightInd w:val="0"/>
        <w:spacing w:before="200"/>
        <w:rPr>
          <w:rFonts w:ascii="Cambria" w:hAnsi="Cambria"/>
        </w:rPr>
      </w:pPr>
      <w:r>
        <w:rPr>
          <w:rFonts w:ascii="Cambria" w:hAnsi="Cambria"/>
        </w:rPr>
        <w:t xml:space="preserve">Lane, CR, Hobben, E, Walker, L, Barton, VC, Inman, AJ, Hughes, KJD, Swan, H, Colyer, A &amp; Barker, I 2007, ‘Evaluation of a rapid diagnostic field test kit for identification of a </w:t>
      </w:r>
      <w:r>
        <w:rPr>
          <w:rFonts w:ascii="Cambria" w:hAnsi="Cambria"/>
          <w:i/>
        </w:rPr>
        <w:t>Phytophthora</w:t>
      </w:r>
      <w:r>
        <w:rPr>
          <w:rFonts w:ascii="Cambria" w:hAnsi="Cambria"/>
        </w:rPr>
        <w:t xml:space="preserve"> species, including </w:t>
      </w:r>
      <w:r>
        <w:rPr>
          <w:rFonts w:ascii="Cambria" w:hAnsi="Cambria"/>
          <w:i/>
        </w:rPr>
        <w:t>P. ramorum</w:t>
      </w:r>
      <w:r>
        <w:rPr>
          <w:rFonts w:ascii="Cambria" w:hAnsi="Cambria"/>
        </w:rPr>
        <w:t xml:space="preserve"> and </w:t>
      </w:r>
      <w:r>
        <w:rPr>
          <w:rFonts w:ascii="Cambria" w:hAnsi="Cambria"/>
          <w:i/>
        </w:rPr>
        <w:t>P. kernoviae</w:t>
      </w:r>
      <w:r>
        <w:rPr>
          <w:rFonts w:ascii="Cambria" w:hAnsi="Cambria"/>
        </w:rPr>
        <w:t xml:space="preserve"> at the point of inspection’, </w:t>
      </w:r>
      <w:r>
        <w:rPr>
          <w:rFonts w:ascii="Cambria" w:hAnsi="Cambria"/>
          <w:i/>
        </w:rPr>
        <w:t>Plant Pathology</w:t>
      </w:r>
      <w:r>
        <w:rPr>
          <w:rFonts w:ascii="Cambria" w:hAnsi="Cambria"/>
        </w:rPr>
        <w:t>, 56: 828–835.</w:t>
      </w:r>
    </w:p>
    <w:p w:rsidR="00E94405" w:rsidRDefault="00A11609">
      <w:pPr>
        <w:autoSpaceDE w:val="0"/>
        <w:autoSpaceDN w:val="0"/>
        <w:adjustRightInd w:val="0"/>
        <w:spacing w:before="200"/>
        <w:rPr>
          <w:rFonts w:ascii="Cambria" w:hAnsi="Cambria"/>
        </w:rPr>
      </w:pPr>
      <w:r>
        <w:rPr>
          <w:rFonts w:ascii="Cambria" w:hAnsi="Cambria"/>
        </w:rPr>
        <w:t xml:space="preserve">Lewis, CD &amp; Parke, JL 2006, ‘Pathways of infection for </w:t>
      </w:r>
      <w:r>
        <w:rPr>
          <w:rFonts w:ascii="Cambria" w:hAnsi="Cambria"/>
          <w:i/>
        </w:rPr>
        <w:t>Phytophthora ramorum</w:t>
      </w:r>
      <w:r>
        <w:rPr>
          <w:rFonts w:ascii="Cambria" w:hAnsi="Cambria"/>
        </w:rPr>
        <w:t xml:space="preserve"> in </w:t>
      </w:r>
      <w:r>
        <w:rPr>
          <w:rFonts w:ascii="Cambria" w:hAnsi="Cambria"/>
          <w:i/>
        </w:rPr>
        <w:t>Rhododendron</w:t>
      </w:r>
      <w:r>
        <w:rPr>
          <w:rFonts w:ascii="Cambria" w:hAnsi="Cambria"/>
        </w:rPr>
        <w:t xml:space="preserve">’, </w:t>
      </w:r>
      <w:r>
        <w:rPr>
          <w:rFonts w:ascii="Cambria" w:hAnsi="Cambria"/>
          <w:i/>
        </w:rPr>
        <w:t>Proceedings of the Sudden Oak Death Second Science Symposium: The State of Our Knowledge</w:t>
      </w:r>
      <w:r>
        <w:rPr>
          <w:rFonts w:ascii="Cambria" w:hAnsi="Cambria"/>
        </w:rPr>
        <w:t>, General technical report PSW-GTR-196, 295–297.</w:t>
      </w:r>
    </w:p>
    <w:p w:rsidR="00E94405" w:rsidRDefault="00A11609">
      <w:pPr>
        <w:autoSpaceDE w:val="0"/>
        <w:autoSpaceDN w:val="0"/>
        <w:adjustRightInd w:val="0"/>
        <w:spacing w:before="200"/>
        <w:rPr>
          <w:rFonts w:ascii="Cambria" w:hAnsi="Cambria"/>
        </w:rPr>
      </w:pPr>
      <w:r>
        <w:rPr>
          <w:rFonts w:ascii="Cambria" w:hAnsi="Cambria"/>
          <w:color w:val="000000"/>
        </w:rPr>
        <w:t>Lilja,</w:t>
      </w:r>
      <w:r>
        <w:rPr>
          <w:rFonts w:ascii="Cambria" w:hAnsi="Cambria"/>
        </w:rPr>
        <w:t xml:space="preserve"> </w:t>
      </w:r>
      <w:r>
        <w:rPr>
          <w:rFonts w:ascii="Cambria" w:hAnsi="Cambria"/>
          <w:color w:val="000000"/>
        </w:rPr>
        <w:t>A, Rytkönen</w:t>
      </w:r>
      <w:r>
        <w:rPr>
          <w:rFonts w:ascii="Cambria" w:hAnsi="Cambria"/>
        </w:rPr>
        <w:t>,</w:t>
      </w:r>
      <w:r>
        <w:rPr>
          <w:rFonts w:ascii="Cambria" w:hAnsi="Cambria"/>
          <w:color w:val="000000"/>
        </w:rPr>
        <w:t xml:space="preserve"> A, Kokkola</w:t>
      </w:r>
      <w:r>
        <w:rPr>
          <w:rFonts w:ascii="Cambria" w:hAnsi="Cambria"/>
        </w:rPr>
        <w:t>,</w:t>
      </w:r>
      <w:r>
        <w:rPr>
          <w:rFonts w:ascii="Cambria" w:hAnsi="Cambria"/>
          <w:color w:val="000000"/>
        </w:rPr>
        <w:t xml:space="preserve"> M, Parikka</w:t>
      </w:r>
      <w:r>
        <w:rPr>
          <w:rFonts w:ascii="Cambria" w:hAnsi="Cambria"/>
        </w:rPr>
        <w:t>,</w:t>
      </w:r>
      <w:r>
        <w:rPr>
          <w:rFonts w:ascii="Cambria" w:hAnsi="Cambria"/>
          <w:color w:val="000000"/>
        </w:rPr>
        <w:t xml:space="preserve"> P</w:t>
      </w:r>
      <w:r>
        <w:rPr>
          <w:rFonts w:ascii="Cambria" w:hAnsi="Cambria"/>
        </w:rPr>
        <w:t xml:space="preserve"> &amp;</w:t>
      </w:r>
      <w:r>
        <w:rPr>
          <w:rFonts w:ascii="Cambria" w:hAnsi="Cambria"/>
          <w:color w:val="000000"/>
        </w:rPr>
        <w:t xml:space="preserve"> Hantula</w:t>
      </w:r>
      <w:r>
        <w:rPr>
          <w:rFonts w:ascii="Cambria" w:hAnsi="Cambria"/>
        </w:rPr>
        <w:t>,</w:t>
      </w:r>
      <w:r>
        <w:rPr>
          <w:rFonts w:ascii="Cambria" w:hAnsi="Cambria"/>
          <w:color w:val="000000"/>
        </w:rPr>
        <w:t xml:space="preserve"> J 2007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and </w:t>
      </w:r>
      <w:r>
        <w:rPr>
          <w:rFonts w:ascii="Cambria" w:hAnsi="Cambria"/>
          <w:i/>
          <w:color w:val="000000"/>
        </w:rPr>
        <w:t>P. inflata</w:t>
      </w:r>
      <w:r>
        <w:rPr>
          <w:rFonts w:ascii="Cambria" w:hAnsi="Cambria"/>
          <w:color w:val="000000"/>
        </w:rPr>
        <w:t xml:space="preserve"> in ornamental rhododendrons in Finland</w:t>
      </w:r>
      <w:r>
        <w:rPr>
          <w:rFonts w:ascii="Cambria" w:hAnsi="Cambria"/>
        </w:rPr>
        <w:t xml:space="preserve">’, </w:t>
      </w:r>
      <w:r>
        <w:rPr>
          <w:rFonts w:ascii="Cambria" w:hAnsi="Cambria"/>
          <w:i/>
          <w:color w:val="000000"/>
        </w:rPr>
        <w:t>Disease Notes</w:t>
      </w:r>
      <w:r>
        <w:rPr>
          <w:rFonts w:ascii="Cambria" w:hAnsi="Cambria"/>
        </w:rPr>
        <w:t>,</w:t>
      </w:r>
      <w:r>
        <w:rPr>
          <w:rFonts w:ascii="Cambria" w:hAnsi="Cambria"/>
          <w:color w:val="000000"/>
        </w:rPr>
        <w:t xml:space="preserve"> 91: 1055.</w:t>
      </w:r>
    </w:p>
    <w:p w:rsidR="00E94405" w:rsidRDefault="00A11609">
      <w:pPr>
        <w:autoSpaceDE w:val="0"/>
        <w:autoSpaceDN w:val="0"/>
        <w:adjustRightInd w:val="0"/>
        <w:spacing w:before="200"/>
        <w:rPr>
          <w:rFonts w:ascii="Cambria" w:hAnsi="Cambria"/>
        </w:rPr>
      </w:pPr>
      <w:r>
        <w:rPr>
          <w:rFonts w:ascii="Cambria" w:hAnsi="Cambria"/>
          <w:color w:val="000000"/>
        </w:rPr>
        <w:t>Linderman</w:t>
      </w:r>
      <w:r>
        <w:rPr>
          <w:rFonts w:ascii="Cambria" w:hAnsi="Cambria"/>
        </w:rPr>
        <w:t>,</w:t>
      </w:r>
      <w:r>
        <w:rPr>
          <w:rFonts w:ascii="Cambria" w:hAnsi="Cambria"/>
          <w:color w:val="000000"/>
        </w:rPr>
        <w:t xml:space="preserve"> RG</w:t>
      </w:r>
      <w:r>
        <w:rPr>
          <w:rFonts w:ascii="Cambria" w:hAnsi="Cambria"/>
        </w:rPr>
        <w:t xml:space="preserve"> &amp;</w:t>
      </w:r>
      <w:r>
        <w:rPr>
          <w:rFonts w:ascii="Cambria" w:hAnsi="Cambria"/>
          <w:color w:val="000000"/>
        </w:rPr>
        <w:t xml:space="preserve"> Davis</w:t>
      </w:r>
      <w:r>
        <w:rPr>
          <w:rFonts w:ascii="Cambria" w:hAnsi="Cambria"/>
        </w:rPr>
        <w:t>,</w:t>
      </w:r>
      <w:r>
        <w:rPr>
          <w:rFonts w:ascii="Cambria" w:hAnsi="Cambria"/>
          <w:color w:val="000000"/>
        </w:rPr>
        <w:t xml:space="preserve"> EA 2006a</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Survival of </w:t>
      </w:r>
      <w:r>
        <w:rPr>
          <w:rFonts w:ascii="Cambria" w:hAnsi="Cambria"/>
          <w:i/>
        </w:rPr>
        <w:t>Phytophthora ramorum</w:t>
      </w:r>
      <w:r>
        <w:rPr>
          <w:rFonts w:ascii="Cambria" w:hAnsi="Cambria"/>
          <w:color w:val="000000"/>
        </w:rPr>
        <w:t xml:space="preserve"> </w:t>
      </w:r>
      <w:r>
        <w:rPr>
          <w:rFonts w:ascii="Cambria" w:hAnsi="Cambria"/>
        </w:rPr>
        <w:t xml:space="preserve">compared to other species of </w:t>
      </w:r>
      <w:r>
        <w:rPr>
          <w:rFonts w:ascii="Cambria" w:hAnsi="Cambria"/>
          <w:i/>
          <w:color w:val="000000"/>
        </w:rPr>
        <w:t>Phytophthora</w:t>
      </w:r>
      <w:r>
        <w:rPr>
          <w:rFonts w:ascii="Cambria" w:hAnsi="Cambria"/>
          <w:color w:val="000000"/>
        </w:rPr>
        <w:t xml:space="preserve"> </w:t>
      </w:r>
      <w:r>
        <w:rPr>
          <w:rFonts w:ascii="Cambria" w:hAnsi="Cambria"/>
        </w:rPr>
        <w:t>in potting media components, compost</w:t>
      </w:r>
      <w:r>
        <w:rPr>
          <w:rFonts w:ascii="Cambria" w:hAnsi="Cambria"/>
          <w:color w:val="000000"/>
        </w:rPr>
        <w:t>, and soil</w:t>
      </w:r>
      <w:r>
        <w:rPr>
          <w:rFonts w:ascii="Cambria" w:hAnsi="Cambria"/>
        </w:rPr>
        <w:t xml:space="preserve">’, </w:t>
      </w:r>
      <w:r>
        <w:rPr>
          <w:rFonts w:ascii="Cambria" w:hAnsi="Cambria"/>
          <w:i/>
          <w:color w:val="000000"/>
        </w:rPr>
        <w:t>HortTechnology</w:t>
      </w:r>
      <w:r>
        <w:rPr>
          <w:rFonts w:ascii="Cambria" w:hAnsi="Cambria"/>
        </w:rPr>
        <w:t>, 16: 502</w:t>
      </w:r>
      <w:r>
        <w:rPr>
          <w:rFonts w:ascii="Cambria" w:hAnsi="Cambria"/>
          <w:color w:val="000000"/>
        </w:rPr>
        <w:t>–507.</w:t>
      </w:r>
    </w:p>
    <w:p w:rsidR="00E94405" w:rsidRDefault="00A11609">
      <w:pPr>
        <w:autoSpaceDE w:val="0"/>
        <w:autoSpaceDN w:val="0"/>
        <w:adjustRightInd w:val="0"/>
        <w:spacing w:before="200"/>
        <w:rPr>
          <w:rFonts w:ascii="Cambria" w:hAnsi="Cambria"/>
        </w:rPr>
      </w:pPr>
      <w:r>
        <w:rPr>
          <w:rFonts w:ascii="Cambria" w:hAnsi="Cambria"/>
          <w:color w:val="000000"/>
        </w:rPr>
        <w:t>Linderman</w:t>
      </w:r>
      <w:r>
        <w:rPr>
          <w:rFonts w:ascii="Cambria" w:hAnsi="Cambria"/>
        </w:rPr>
        <w:t>,</w:t>
      </w:r>
      <w:r>
        <w:rPr>
          <w:rFonts w:ascii="Cambria" w:hAnsi="Cambria"/>
          <w:color w:val="000000"/>
        </w:rPr>
        <w:t xml:space="preserve"> RG</w:t>
      </w:r>
      <w:r>
        <w:rPr>
          <w:rFonts w:ascii="Cambria" w:hAnsi="Cambria"/>
        </w:rPr>
        <w:t xml:space="preserve"> &amp;</w:t>
      </w:r>
      <w:r>
        <w:rPr>
          <w:rFonts w:ascii="Cambria" w:hAnsi="Cambria"/>
          <w:color w:val="000000"/>
        </w:rPr>
        <w:t xml:space="preserve"> Davis</w:t>
      </w:r>
      <w:r>
        <w:rPr>
          <w:rFonts w:ascii="Cambria" w:hAnsi="Cambria"/>
        </w:rPr>
        <w:t>,</w:t>
      </w:r>
      <w:r>
        <w:rPr>
          <w:rFonts w:ascii="Cambria" w:hAnsi="Cambria"/>
          <w:color w:val="000000"/>
        </w:rPr>
        <w:t xml:space="preserve"> EA 2006b</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Survival of </w:t>
      </w:r>
      <w:r>
        <w:rPr>
          <w:rFonts w:ascii="Cambria" w:hAnsi="Cambria"/>
          <w:i/>
          <w:color w:val="000000"/>
        </w:rPr>
        <w:t>Phytophthora</w:t>
      </w:r>
      <w:r>
        <w:rPr>
          <w:rFonts w:ascii="Cambria" w:hAnsi="Cambria"/>
          <w:color w:val="000000"/>
        </w:rPr>
        <w:t xml:space="preserve"> species and other pathogens in soilless media components or soil and their eradication with aerated steam</w:t>
      </w:r>
      <w:r>
        <w:rPr>
          <w:rFonts w:ascii="Cambria" w:hAnsi="Cambria"/>
        </w:rPr>
        <w:t xml:space="preserve">’, </w:t>
      </w:r>
      <w:r>
        <w:rPr>
          <w:rFonts w:ascii="Cambria" w:hAnsi="Cambria"/>
          <w:i/>
          <w:color w:val="000000"/>
        </w:rPr>
        <w:t>Proceedings of the Sudden Oak Death Second Science Symposium: The State of Our Knowledge</w:t>
      </w:r>
      <w:r>
        <w:rPr>
          <w:rFonts w:ascii="Cambria" w:hAnsi="Cambria"/>
          <w:i/>
        </w:rPr>
        <w:t xml:space="preserve">, </w:t>
      </w:r>
      <w:r>
        <w:rPr>
          <w:rFonts w:ascii="Cambria" w:hAnsi="Cambria"/>
          <w:color w:val="000000"/>
        </w:rPr>
        <w:t>Gen</w:t>
      </w:r>
      <w:r>
        <w:rPr>
          <w:rFonts w:ascii="Cambria" w:hAnsi="Cambria"/>
        </w:rPr>
        <w:t xml:space="preserve">eral technical report </w:t>
      </w:r>
      <w:r>
        <w:rPr>
          <w:rFonts w:ascii="Cambria" w:hAnsi="Cambria"/>
          <w:color w:val="000000"/>
        </w:rPr>
        <w:t>PSW-GTR-196</w:t>
      </w:r>
      <w:r>
        <w:rPr>
          <w:rFonts w:ascii="Cambria" w:hAnsi="Cambria"/>
        </w:rPr>
        <w:t>, 299–302.</w:t>
      </w:r>
    </w:p>
    <w:p w:rsidR="00E94405" w:rsidRDefault="00A11609">
      <w:pPr>
        <w:autoSpaceDE w:val="0"/>
        <w:autoSpaceDN w:val="0"/>
        <w:adjustRightInd w:val="0"/>
        <w:spacing w:before="200"/>
        <w:rPr>
          <w:rFonts w:ascii="Cambria" w:hAnsi="Cambria"/>
        </w:rPr>
      </w:pPr>
      <w:r>
        <w:rPr>
          <w:rFonts w:ascii="Cambria" w:hAnsi="Cambria"/>
        </w:rPr>
        <w:t xml:space="preserve">Linzer, R, Rizzo, D &amp; Garbelotto, M 2006, ‘AFLP analysis of </w:t>
      </w:r>
      <w:r>
        <w:rPr>
          <w:rFonts w:ascii="Cambria" w:hAnsi="Cambria"/>
          <w:i/>
          <w:color w:val="000000"/>
        </w:rPr>
        <w:t>Phytophthora nemorosa</w:t>
      </w:r>
      <w:r>
        <w:rPr>
          <w:rFonts w:ascii="Cambria" w:hAnsi="Cambria"/>
        </w:rPr>
        <w:t xml:space="preserve"> and </w:t>
      </w:r>
      <w:r>
        <w:rPr>
          <w:rFonts w:ascii="Cambria" w:hAnsi="Cambria"/>
          <w:i/>
          <w:color w:val="000000"/>
        </w:rPr>
        <w:t>P. pseudosyringae</w:t>
      </w:r>
      <w:r>
        <w:rPr>
          <w:rFonts w:ascii="Cambria" w:hAnsi="Cambria"/>
        </w:rPr>
        <w:t xml:space="preserve"> genetic structure in North America’, </w:t>
      </w:r>
      <w:r>
        <w:rPr>
          <w:rFonts w:ascii="Cambria" w:hAnsi="Cambria"/>
          <w:i/>
          <w:color w:val="000000"/>
        </w:rPr>
        <w:t>Proceedings of the Sudden Oak Death Second Science Symposium: The State of Our Knowledge</w:t>
      </w:r>
      <w:r>
        <w:rPr>
          <w:rFonts w:ascii="Cambria" w:hAnsi="Cambria"/>
          <w:i/>
        </w:rPr>
        <w:t xml:space="preserve">, </w:t>
      </w:r>
      <w:r>
        <w:rPr>
          <w:rFonts w:ascii="Cambria" w:hAnsi="Cambria"/>
        </w:rPr>
        <w:t>General technical report PSW-GTR-196.</w:t>
      </w:r>
    </w:p>
    <w:p w:rsidR="00E94405" w:rsidRDefault="00A11609">
      <w:pPr>
        <w:autoSpaceDE w:val="0"/>
        <w:autoSpaceDN w:val="0"/>
        <w:adjustRightInd w:val="0"/>
        <w:spacing w:before="200"/>
        <w:rPr>
          <w:rFonts w:ascii="Cambria" w:hAnsi="Cambria"/>
        </w:rPr>
      </w:pPr>
      <w:r>
        <w:rPr>
          <w:rFonts w:ascii="Cambria" w:hAnsi="Cambria"/>
        </w:rPr>
        <w:t>Linzer, RE &amp; Garbelotto, M 2008, ‘</w:t>
      </w:r>
      <w:r>
        <w:rPr>
          <w:rFonts w:ascii="Cambria" w:hAnsi="Cambria"/>
          <w:color w:val="000000"/>
        </w:rPr>
        <w:t xml:space="preserve">Pathogenicity variation in two West Coast forest </w:t>
      </w:r>
      <w:r>
        <w:rPr>
          <w:rFonts w:ascii="Cambria" w:hAnsi="Cambria"/>
          <w:i/>
          <w:color w:val="000000"/>
        </w:rPr>
        <w:t>Phytophthoras, Phytophthora nemorosa</w:t>
      </w:r>
      <w:r>
        <w:rPr>
          <w:rFonts w:ascii="Cambria" w:hAnsi="Cambria"/>
        </w:rPr>
        <w:t xml:space="preserve"> and </w:t>
      </w:r>
      <w:r>
        <w:rPr>
          <w:rFonts w:ascii="Cambria" w:hAnsi="Cambria"/>
          <w:i/>
          <w:color w:val="000000"/>
        </w:rPr>
        <w:t>P. pseudosyringae</w:t>
      </w:r>
      <w:r>
        <w:rPr>
          <w:rFonts w:ascii="Cambria" w:hAnsi="Cambria"/>
        </w:rPr>
        <w:t xml:space="preserve">, to bay laurel’, </w:t>
      </w:r>
      <w:r>
        <w:rPr>
          <w:rFonts w:ascii="Cambria" w:hAnsi="Cambria"/>
          <w:i/>
          <w:color w:val="000000"/>
        </w:rPr>
        <w:t>Proceedings of the Sudden Oak Death 3rd Science Symposium</w:t>
      </w:r>
      <w:r>
        <w:rPr>
          <w:rFonts w:ascii="Cambria" w:hAnsi="Cambria"/>
        </w:rPr>
        <w:t>, General Technical Report PSW-GTR-214,</w:t>
      </w:r>
      <w:r>
        <w:rPr>
          <w:rFonts w:ascii="Cambria" w:hAnsi="Cambria"/>
          <w:color w:val="000000"/>
        </w:rPr>
        <w:t xml:space="preserve"> 19–26.</w:t>
      </w:r>
    </w:p>
    <w:p w:rsidR="00E94405" w:rsidRDefault="00A11609">
      <w:pPr>
        <w:autoSpaceDE w:val="0"/>
        <w:autoSpaceDN w:val="0"/>
        <w:adjustRightInd w:val="0"/>
        <w:spacing w:before="200"/>
        <w:rPr>
          <w:rFonts w:ascii="Cambria" w:hAnsi="Cambria"/>
        </w:rPr>
      </w:pPr>
      <w:r>
        <w:rPr>
          <w:rFonts w:ascii="Cambria" w:hAnsi="Cambria"/>
        </w:rPr>
        <w:t xml:space="preserve">Linzer, RE, Rizzo, DM, Cacciola, SO &amp; Garbelotto, M 2009, ‘AFLPs detect low genetic diversity for </w:t>
      </w:r>
      <w:r>
        <w:rPr>
          <w:rFonts w:ascii="Cambria" w:hAnsi="Cambria"/>
          <w:i/>
          <w:color w:val="000000"/>
        </w:rPr>
        <w:t>Phytophthora nemorosa</w:t>
      </w:r>
      <w:r>
        <w:rPr>
          <w:rFonts w:ascii="Cambria" w:hAnsi="Cambria"/>
        </w:rPr>
        <w:t xml:space="preserve"> and </w:t>
      </w:r>
      <w:r>
        <w:rPr>
          <w:rFonts w:ascii="Cambria" w:hAnsi="Cambria"/>
          <w:i/>
          <w:color w:val="000000"/>
        </w:rPr>
        <w:t>P. pseudosyringae</w:t>
      </w:r>
      <w:r>
        <w:rPr>
          <w:rFonts w:ascii="Cambria" w:hAnsi="Cambria"/>
        </w:rPr>
        <w:t xml:space="preserve"> in the US and Europe’, </w:t>
      </w:r>
      <w:r>
        <w:rPr>
          <w:rFonts w:ascii="Cambria" w:hAnsi="Cambria"/>
          <w:i/>
          <w:color w:val="000000"/>
        </w:rPr>
        <w:t>Mycological Research</w:t>
      </w:r>
      <w:r>
        <w:rPr>
          <w:rFonts w:ascii="Cambria" w:hAnsi="Cambria"/>
        </w:rPr>
        <w:t>, 113: 298–307.</w:t>
      </w:r>
    </w:p>
    <w:p w:rsidR="00E94405" w:rsidRDefault="00A11609">
      <w:pPr>
        <w:autoSpaceDE w:val="0"/>
        <w:autoSpaceDN w:val="0"/>
        <w:adjustRightInd w:val="0"/>
        <w:spacing w:before="200"/>
        <w:rPr>
          <w:rFonts w:ascii="Cambria" w:hAnsi="Cambria"/>
        </w:rPr>
      </w:pPr>
      <w:r>
        <w:rPr>
          <w:rFonts w:ascii="Cambria" w:hAnsi="Cambria"/>
          <w:color w:val="000000"/>
        </w:rPr>
        <w:t>Maloney</w:t>
      </w:r>
      <w:r>
        <w:rPr>
          <w:rFonts w:ascii="Cambria" w:hAnsi="Cambria"/>
        </w:rPr>
        <w:t>,</w:t>
      </w:r>
      <w:r>
        <w:rPr>
          <w:rFonts w:ascii="Cambria" w:hAnsi="Cambria"/>
          <w:color w:val="000000"/>
        </w:rPr>
        <w:t xml:space="preserve"> PE, Lynch</w:t>
      </w:r>
      <w:r>
        <w:rPr>
          <w:rFonts w:ascii="Cambria" w:hAnsi="Cambria"/>
        </w:rPr>
        <w:t>,</w:t>
      </w:r>
      <w:r>
        <w:rPr>
          <w:rFonts w:ascii="Cambria" w:hAnsi="Cambria"/>
          <w:color w:val="000000"/>
        </w:rPr>
        <w:t xml:space="preserve"> SC, Kane</w:t>
      </w:r>
      <w:r>
        <w:rPr>
          <w:rFonts w:ascii="Cambria" w:hAnsi="Cambria"/>
        </w:rPr>
        <w:t>,</w:t>
      </w:r>
      <w:r>
        <w:rPr>
          <w:rFonts w:ascii="Cambria" w:hAnsi="Cambria"/>
          <w:color w:val="000000"/>
        </w:rPr>
        <w:t xml:space="preserve"> SF, Jensen</w:t>
      </w:r>
      <w:r>
        <w:rPr>
          <w:rFonts w:ascii="Cambria" w:hAnsi="Cambria"/>
        </w:rPr>
        <w:t>,</w:t>
      </w:r>
      <w:r>
        <w:rPr>
          <w:rFonts w:ascii="Cambria" w:hAnsi="Cambria"/>
          <w:color w:val="000000"/>
        </w:rPr>
        <w:t xml:space="preserve"> CE</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2005</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Establishment of an emerging generalist pathogen in redwood forest communities</w:t>
      </w:r>
      <w:r>
        <w:rPr>
          <w:rFonts w:ascii="Cambria" w:hAnsi="Cambria"/>
        </w:rPr>
        <w:t xml:space="preserve">’, </w:t>
      </w:r>
      <w:r>
        <w:rPr>
          <w:rFonts w:ascii="Cambria" w:hAnsi="Cambria"/>
          <w:i/>
          <w:color w:val="000000"/>
        </w:rPr>
        <w:t>Journal of Ecology</w:t>
      </w:r>
      <w:r>
        <w:rPr>
          <w:rFonts w:ascii="Cambria" w:hAnsi="Cambria"/>
        </w:rPr>
        <w:t>,</w:t>
      </w:r>
      <w:r>
        <w:rPr>
          <w:rFonts w:ascii="Cambria" w:hAnsi="Cambria"/>
          <w:color w:val="000000"/>
        </w:rPr>
        <w:t xml:space="preserve"> 93: 899–905.</w:t>
      </w:r>
      <w:r>
        <w:rPr>
          <w:rFonts w:ascii="Cambria" w:hAnsi="Cambria"/>
        </w:rPr>
        <w:t xml:space="preserve"> </w:t>
      </w:r>
    </w:p>
    <w:p w:rsidR="00E94405" w:rsidRDefault="00A11609">
      <w:pPr>
        <w:autoSpaceDE w:val="0"/>
        <w:autoSpaceDN w:val="0"/>
        <w:adjustRightInd w:val="0"/>
        <w:spacing w:before="200"/>
        <w:rPr>
          <w:rFonts w:ascii="Cambria" w:hAnsi="Cambria"/>
        </w:rPr>
      </w:pPr>
      <w:r>
        <w:rPr>
          <w:rFonts w:ascii="Cambria" w:hAnsi="Cambria"/>
        </w:rPr>
        <w:lastRenderedPageBreak/>
        <w:t xml:space="preserve">Maloney, PE, Rizzo, DM, Koike, ST, Harnik, TY &amp; Garbelotto, M 2002, ‘First report of </w:t>
      </w:r>
      <w:r>
        <w:rPr>
          <w:rFonts w:ascii="Cambria" w:hAnsi="Cambria"/>
          <w:i/>
          <w:color w:val="000000"/>
        </w:rPr>
        <w:t>Phytophthora ramorum</w:t>
      </w:r>
      <w:r>
        <w:rPr>
          <w:rFonts w:ascii="Cambria" w:hAnsi="Cambria"/>
        </w:rPr>
        <w:t xml:space="preserve"> on coast redwood in California’, </w:t>
      </w:r>
      <w:r>
        <w:rPr>
          <w:rFonts w:ascii="Cambria" w:hAnsi="Cambria"/>
          <w:i/>
          <w:color w:val="000000"/>
        </w:rPr>
        <w:t>Plant Disease</w:t>
      </w:r>
      <w:r>
        <w:rPr>
          <w:rFonts w:ascii="Cambria" w:hAnsi="Cambria"/>
        </w:rPr>
        <w:t xml:space="preserve"> 86: 1274.</w:t>
      </w:r>
    </w:p>
    <w:p w:rsidR="00E94405" w:rsidRDefault="00A11609">
      <w:pPr>
        <w:autoSpaceDE w:val="0"/>
        <w:autoSpaceDN w:val="0"/>
        <w:adjustRightInd w:val="0"/>
        <w:spacing w:before="200"/>
        <w:rPr>
          <w:rFonts w:ascii="Cambria" w:hAnsi="Cambria"/>
        </w:rPr>
      </w:pPr>
      <w:r>
        <w:rPr>
          <w:rFonts w:ascii="Cambria" w:hAnsi="Cambria"/>
        </w:rPr>
        <w:t xml:space="preserve">Martin, FN &amp; Tooley, PW 2003, ‘Phylogenetic relationships of </w:t>
      </w:r>
      <w:r>
        <w:rPr>
          <w:rFonts w:ascii="Cambria" w:hAnsi="Cambria"/>
          <w:i/>
          <w:color w:val="000000"/>
        </w:rPr>
        <w:t>Phytophthora ramorum, P. nemorosa,</w:t>
      </w:r>
      <w:r>
        <w:rPr>
          <w:rFonts w:ascii="Cambria" w:hAnsi="Cambria"/>
        </w:rPr>
        <w:t xml:space="preserve"> and </w:t>
      </w:r>
      <w:r>
        <w:rPr>
          <w:rFonts w:ascii="Cambria" w:hAnsi="Cambria"/>
          <w:i/>
          <w:color w:val="000000"/>
        </w:rPr>
        <w:t>P. pseudosyringae</w:t>
      </w:r>
      <w:r>
        <w:rPr>
          <w:rFonts w:ascii="Cambria" w:hAnsi="Cambria"/>
        </w:rPr>
        <w:t xml:space="preserve">, three species recovered from areas in California with sudden oak death’, </w:t>
      </w:r>
      <w:r>
        <w:rPr>
          <w:rFonts w:ascii="Cambria" w:hAnsi="Cambria"/>
          <w:i/>
          <w:color w:val="000000"/>
        </w:rPr>
        <w:t>Mycological Research</w:t>
      </w:r>
      <w:r>
        <w:rPr>
          <w:rFonts w:ascii="Cambria" w:hAnsi="Cambria"/>
        </w:rPr>
        <w:t>, 107: 1379–1391.</w:t>
      </w:r>
    </w:p>
    <w:p w:rsidR="00E94405" w:rsidRDefault="00A11609">
      <w:pPr>
        <w:autoSpaceDE w:val="0"/>
        <w:autoSpaceDN w:val="0"/>
        <w:adjustRightInd w:val="0"/>
        <w:spacing w:before="200"/>
        <w:rPr>
          <w:rFonts w:ascii="Cambria" w:hAnsi="Cambria"/>
        </w:rPr>
      </w:pPr>
      <w:r>
        <w:rPr>
          <w:rFonts w:ascii="Cambria" w:hAnsi="Cambria"/>
        </w:rPr>
        <w:t xml:space="preserve">Martin, FN 2008, ‘Mitochondrial haplotype determination in the oomycete plant pathogen </w:t>
      </w:r>
      <w:r>
        <w:rPr>
          <w:rFonts w:ascii="Cambria" w:hAnsi="Cambria"/>
          <w:i/>
          <w:color w:val="000000"/>
        </w:rPr>
        <w:t>Phytophthora ramorum</w:t>
      </w:r>
      <w:r>
        <w:rPr>
          <w:rFonts w:ascii="Cambria" w:hAnsi="Cambria"/>
        </w:rPr>
        <w:t xml:space="preserve">’. </w:t>
      </w:r>
      <w:r>
        <w:rPr>
          <w:rFonts w:ascii="Cambria" w:hAnsi="Cambria"/>
          <w:i/>
          <w:color w:val="000000"/>
        </w:rPr>
        <w:t>Current Genetics</w:t>
      </w:r>
      <w:r>
        <w:rPr>
          <w:rFonts w:ascii="Cambria" w:hAnsi="Cambria"/>
        </w:rPr>
        <w:t xml:space="preserve"> 54: 23–34.</w:t>
      </w:r>
    </w:p>
    <w:p w:rsidR="00E94405" w:rsidRDefault="00A11609">
      <w:pPr>
        <w:autoSpaceDE w:val="0"/>
        <w:autoSpaceDN w:val="0"/>
        <w:adjustRightInd w:val="0"/>
        <w:spacing w:before="200"/>
        <w:rPr>
          <w:rFonts w:ascii="Cambria" w:hAnsi="Cambria"/>
        </w:rPr>
      </w:pPr>
      <w:r>
        <w:rPr>
          <w:rFonts w:ascii="Cambria" w:hAnsi="Cambria"/>
        </w:rPr>
        <w:t xml:space="preserve">Martin, FN, Abad, ZG, Balci, Y &amp; Ivors, K 2012, ‘Identification and detection of </w:t>
      </w:r>
      <w:r>
        <w:rPr>
          <w:rFonts w:ascii="Cambria" w:hAnsi="Cambria"/>
          <w:i/>
          <w:color w:val="000000"/>
        </w:rPr>
        <w:t>Phytophthora</w:t>
      </w:r>
      <w:r>
        <w:rPr>
          <w:rFonts w:ascii="Cambria" w:hAnsi="Cambria"/>
        </w:rPr>
        <w:t xml:space="preserve">: reviewing our progress, identifying our needs’, </w:t>
      </w:r>
      <w:r>
        <w:rPr>
          <w:rFonts w:ascii="Cambria" w:hAnsi="Cambria"/>
          <w:i/>
          <w:color w:val="000000"/>
        </w:rPr>
        <w:t>Plant Disease</w:t>
      </w:r>
      <w:r>
        <w:rPr>
          <w:rFonts w:ascii="Cambria" w:hAnsi="Cambria"/>
        </w:rPr>
        <w:t>, 96: 1081–1103.</w:t>
      </w:r>
    </w:p>
    <w:p w:rsidR="00E94405" w:rsidRDefault="00A11609">
      <w:pPr>
        <w:autoSpaceDE w:val="0"/>
        <w:autoSpaceDN w:val="0"/>
        <w:adjustRightInd w:val="0"/>
        <w:spacing w:before="200"/>
        <w:rPr>
          <w:rFonts w:ascii="Cambria" w:hAnsi="Cambria"/>
        </w:rPr>
      </w:pPr>
      <w:r>
        <w:rPr>
          <w:rFonts w:ascii="Cambria" w:hAnsi="Cambria"/>
        </w:rPr>
        <w:t xml:space="preserve">Martin, FN, Tooley, PW &amp; Blomquist, C 2004, ‘Molecular detection of </w:t>
      </w:r>
      <w:r>
        <w:rPr>
          <w:rFonts w:ascii="Cambria" w:hAnsi="Cambria"/>
          <w:i/>
          <w:color w:val="000000"/>
        </w:rPr>
        <w:t>Phytophthora ramorum</w:t>
      </w:r>
      <w:r>
        <w:rPr>
          <w:rFonts w:ascii="Cambria" w:hAnsi="Cambria"/>
        </w:rPr>
        <w:t xml:space="preserve">, the causal agent of sudden oak death in California, and two additional species commonly recovered from diseased plant material’, </w:t>
      </w:r>
      <w:r>
        <w:rPr>
          <w:rFonts w:ascii="Cambria" w:hAnsi="Cambria"/>
          <w:i/>
          <w:color w:val="000000"/>
        </w:rPr>
        <w:t>Phytopathology</w:t>
      </w:r>
      <w:r>
        <w:rPr>
          <w:rFonts w:ascii="Cambria" w:hAnsi="Cambria"/>
        </w:rPr>
        <w:t>, 94: 621–631.</w:t>
      </w:r>
    </w:p>
    <w:p w:rsidR="00E94405" w:rsidRDefault="00A11609">
      <w:pPr>
        <w:autoSpaceDE w:val="0"/>
        <w:autoSpaceDN w:val="0"/>
        <w:adjustRightInd w:val="0"/>
        <w:spacing w:before="200"/>
        <w:rPr>
          <w:rFonts w:ascii="Cambria" w:hAnsi="Cambria"/>
        </w:rPr>
      </w:pPr>
      <w:r>
        <w:rPr>
          <w:rFonts w:ascii="Cambria" w:hAnsi="Cambria"/>
          <w:color w:val="000000"/>
        </w:rPr>
        <w:t>Mascheretti</w:t>
      </w:r>
      <w:r>
        <w:rPr>
          <w:rFonts w:ascii="Cambria" w:hAnsi="Cambria"/>
        </w:rPr>
        <w:t>,</w:t>
      </w:r>
      <w:r>
        <w:rPr>
          <w:rFonts w:ascii="Cambria" w:hAnsi="Cambria"/>
          <w:color w:val="000000"/>
        </w:rPr>
        <w:t xml:space="preserve"> S, Croucher</w:t>
      </w:r>
      <w:r>
        <w:rPr>
          <w:rFonts w:ascii="Cambria" w:hAnsi="Cambria"/>
        </w:rPr>
        <w:t>,</w:t>
      </w:r>
      <w:r>
        <w:rPr>
          <w:rFonts w:ascii="Cambria" w:hAnsi="Cambria"/>
          <w:color w:val="000000"/>
        </w:rPr>
        <w:t xml:space="preserve"> P, Kozanitas</w:t>
      </w:r>
      <w:r>
        <w:rPr>
          <w:rFonts w:ascii="Cambria" w:hAnsi="Cambria"/>
        </w:rPr>
        <w:t>,</w:t>
      </w:r>
      <w:r>
        <w:rPr>
          <w:rFonts w:ascii="Cambria" w:hAnsi="Cambria"/>
          <w:color w:val="000000"/>
        </w:rPr>
        <w:t xml:space="preserve"> M, Baker</w:t>
      </w:r>
      <w:r>
        <w:rPr>
          <w:rFonts w:ascii="Cambria" w:hAnsi="Cambria"/>
        </w:rPr>
        <w:t>,</w:t>
      </w:r>
      <w:r>
        <w:rPr>
          <w:rFonts w:ascii="Cambria" w:hAnsi="Cambria"/>
          <w:color w:val="000000"/>
        </w:rPr>
        <w:t xml:space="preserve"> L</w:t>
      </w:r>
      <w:r>
        <w:rPr>
          <w:rFonts w:ascii="Cambria" w:hAnsi="Cambria"/>
        </w:rPr>
        <w:t xml:space="preserve"> &amp;</w:t>
      </w:r>
      <w:r>
        <w:rPr>
          <w:rFonts w:ascii="Cambria" w:hAnsi="Cambria"/>
          <w:color w:val="000000"/>
        </w:rPr>
        <w:t xml:space="preserve"> Garbelotto</w:t>
      </w:r>
      <w:r>
        <w:rPr>
          <w:rFonts w:ascii="Cambria" w:hAnsi="Cambria"/>
        </w:rPr>
        <w:t>,</w:t>
      </w:r>
      <w:r>
        <w:rPr>
          <w:rFonts w:ascii="Cambria" w:hAnsi="Cambria"/>
          <w:color w:val="000000"/>
        </w:rPr>
        <w:t xml:space="preserve"> M 2009</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Genetic epidemiology of the sudden oak death pathogen </w:t>
      </w:r>
      <w:r>
        <w:rPr>
          <w:rFonts w:ascii="Cambria" w:hAnsi="Cambria"/>
          <w:i/>
        </w:rPr>
        <w:t>Phytophthora ramorum</w:t>
      </w:r>
      <w:r>
        <w:rPr>
          <w:rFonts w:ascii="Cambria" w:hAnsi="Cambria"/>
          <w:color w:val="000000"/>
        </w:rPr>
        <w:t xml:space="preserve"> in California</w:t>
      </w:r>
      <w:r>
        <w:rPr>
          <w:rFonts w:ascii="Cambria" w:hAnsi="Cambria"/>
        </w:rPr>
        <w:t xml:space="preserve">’, </w:t>
      </w:r>
      <w:r>
        <w:rPr>
          <w:rFonts w:ascii="Cambria" w:hAnsi="Cambria"/>
          <w:i/>
          <w:color w:val="000000"/>
        </w:rPr>
        <w:t>Molecular Ecology</w:t>
      </w:r>
      <w:r>
        <w:rPr>
          <w:rFonts w:ascii="Cambria" w:hAnsi="Cambria"/>
        </w:rPr>
        <w:t>,</w:t>
      </w:r>
      <w:r>
        <w:rPr>
          <w:rFonts w:ascii="Cambria" w:hAnsi="Cambria"/>
          <w:color w:val="000000"/>
        </w:rPr>
        <w:t xml:space="preserve"> 18: 4577–4590.</w:t>
      </w:r>
      <w:r>
        <w:rPr>
          <w:rFonts w:ascii="Cambria" w:hAnsi="Cambria"/>
        </w:rPr>
        <w:t xml:space="preserve"> </w:t>
      </w:r>
    </w:p>
    <w:p w:rsidR="00E94405" w:rsidRDefault="00A11609">
      <w:pPr>
        <w:autoSpaceDE w:val="0"/>
        <w:autoSpaceDN w:val="0"/>
        <w:adjustRightInd w:val="0"/>
        <w:spacing w:before="200"/>
        <w:rPr>
          <w:rFonts w:ascii="Cambria" w:hAnsi="Cambria"/>
        </w:rPr>
      </w:pPr>
      <w:r>
        <w:rPr>
          <w:rFonts w:ascii="Cambria" w:hAnsi="Cambria"/>
        </w:rPr>
        <w:t xml:space="preserve">Mascheretti, S, Croucher, P, Vettraino, A, Prospero, S &amp; Garbelotto, M 2008, ‘Reconstruction of the sudden oak death epidemic in California through microsatellite analysis of the pathogen </w:t>
      </w:r>
      <w:r>
        <w:rPr>
          <w:rFonts w:ascii="Cambria" w:hAnsi="Cambria"/>
          <w:i/>
        </w:rPr>
        <w:t>Phytophthora ramorum</w:t>
      </w:r>
      <w:r>
        <w:rPr>
          <w:rFonts w:ascii="Cambria" w:hAnsi="Cambria"/>
        </w:rPr>
        <w:t xml:space="preserve">’, </w:t>
      </w:r>
      <w:r>
        <w:rPr>
          <w:rFonts w:ascii="Cambria" w:hAnsi="Cambria"/>
          <w:i/>
          <w:color w:val="000000"/>
        </w:rPr>
        <w:t>Molecular Ecology</w:t>
      </w:r>
      <w:r>
        <w:rPr>
          <w:rFonts w:ascii="Cambria" w:hAnsi="Cambria"/>
        </w:rPr>
        <w:t>, 17: 2755–2768.</w:t>
      </w:r>
    </w:p>
    <w:p w:rsidR="00E94405" w:rsidRDefault="00A11609">
      <w:pPr>
        <w:autoSpaceDE w:val="0"/>
        <w:autoSpaceDN w:val="0"/>
        <w:adjustRightInd w:val="0"/>
        <w:spacing w:before="200"/>
        <w:rPr>
          <w:rFonts w:ascii="Cambria" w:hAnsi="Cambria"/>
          <w:color w:val="000000"/>
        </w:rPr>
      </w:pPr>
      <w:r>
        <w:rPr>
          <w:rFonts w:ascii="Cambria" w:hAnsi="Cambria"/>
          <w:color w:val="000000"/>
        </w:rPr>
        <w:t>Mathew</w:t>
      </w:r>
      <w:r>
        <w:rPr>
          <w:rFonts w:ascii="Cambria" w:hAnsi="Cambria"/>
        </w:rPr>
        <w:t>,</w:t>
      </w:r>
      <w:r>
        <w:rPr>
          <w:rFonts w:ascii="Cambria" w:hAnsi="Cambria"/>
          <w:color w:val="000000"/>
        </w:rPr>
        <w:t xml:space="preserve"> SK</w:t>
      </w:r>
      <w:r>
        <w:rPr>
          <w:rFonts w:ascii="Cambria" w:hAnsi="Cambria"/>
        </w:rPr>
        <w:t xml:space="preserve"> &amp;</w:t>
      </w:r>
      <w:r>
        <w:rPr>
          <w:rFonts w:ascii="Cambria" w:hAnsi="Cambria"/>
          <w:color w:val="000000"/>
        </w:rPr>
        <w:t xml:space="preserve"> Beena</w:t>
      </w:r>
      <w:r>
        <w:rPr>
          <w:rFonts w:ascii="Cambria" w:hAnsi="Cambria"/>
        </w:rPr>
        <w:t>,</w:t>
      </w:r>
      <w:r>
        <w:rPr>
          <w:rFonts w:ascii="Cambria" w:hAnsi="Cambria"/>
          <w:color w:val="000000"/>
        </w:rPr>
        <w:t xml:space="preserve"> S 2012</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A new record of </w:t>
      </w:r>
      <w:r>
        <w:rPr>
          <w:rFonts w:ascii="Cambria" w:hAnsi="Cambria"/>
          <w:i/>
          <w:color w:val="000000"/>
        </w:rPr>
        <w:t>Phytophthora ramorum</w:t>
      </w:r>
      <w:r>
        <w:rPr>
          <w:rFonts w:ascii="Cambria" w:hAnsi="Cambria"/>
          <w:color w:val="000000"/>
        </w:rPr>
        <w:t xml:space="preserve"> causing leaf fall and shoot rot of nutmeg (</w:t>
      </w:r>
      <w:r>
        <w:rPr>
          <w:rFonts w:ascii="Cambria" w:hAnsi="Cambria"/>
          <w:i/>
          <w:color w:val="000000"/>
        </w:rPr>
        <w:t>Myristica fragrans</w:t>
      </w:r>
      <w:r>
        <w:rPr>
          <w:rFonts w:ascii="Cambria" w:hAnsi="Cambria"/>
          <w:color w:val="000000"/>
        </w:rPr>
        <w:t>)</w:t>
      </w:r>
      <w:r>
        <w:rPr>
          <w:rFonts w:ascii="Cambria" w:hAnsi="Cambria"/>
        </w:rPr>
        <w:t xml:space="preserve">’, </w:t>
      </w:r>
      <w:r>
        <w:rPr>
          <w:rFonts w:ascii="Cambria" w:hAnsi="Cambria"/>
          <w:i/>
          <w:color w:val="000000"/>
        </w:rPr>
        <w:t>Journal of Mycology and Plant Pathology</w:t>
      </w:r>
      <w:r>
        <w:rPr>
          <w:rFonts w:ascii="Cambria" w:hAnsi="Cambria"/>
        </w:rPr>
        <w:t>,</w:t>
      </w:r>
      <w:r>
        <w:rPr>
          <w:rFonts w:ascii="Cambria" w:hAnsi="Cambria"/>
          <w:color w:val="000000"/>
        </w:rPr>
        <w:t xml:space="preserve"> 42: 529–530. </w:t>
      </w:r>
    </w:p>
    <w:p w:rsidR="00E94405" w:rsidRDefault="00A11609">
      <w:pPr>
        <w:autoSpaceDE w:val="0"/>
        <w:autoSpaceDN w:val="0"/>
        <w:adjustRightInd w:val="0"/>
        <w:spacing w:before="200"/>
        <w:rPr>
          <w:rFonts w:ascii="Cambria" w:hAnsi="Cambria"/>
          <w:color w:val="000000"/>
        </w:rPr>
      </w:pPr>
      <w:r>
        <w:rPr>
          <w:rFonts w:ascii="Cambria" w:hAnsi="Cambria"/>
          <w:color w:val="000000"/>
        </w:rPr>
        <w:t>McGregor, BM 1987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Tropical products transport handbook</w:t>
      </w:r>
      <w:r>
        <w:rPr>
          <w:rFonts w:ascii="Cambria" w:hAnsi="Cambria"/>
        </w:rPr>
        <w:t>’,</w:t>
      </w:r>
      <w:r>
        <w:rPr>
          <w:rFonts w:ascii="Cambria" w:hAnsi="Cambria"/>
          <w:color w:val="000000"/>
        </w:rPr>
        <w:t xml:space="preserve"> Agriculture Handbook No. 668. United States Department of Agriculture, Washington, DC.</w:t>
      </w:r>
    </w:p>
    <w:p w:rsidR="00E94405" w:rsidRDefault="00A11609">
      <w:pPr>
        <w:autoSpaceDE w:val="0"/>
        <w:autoSpaceDN w:val="0"/>
        <w:adjustRightInd w:val="0"/>
        <w:spacing w:before="200"/>
        <w:rPr>
          <w:rFonts w:ascii="Cambria" w:hAnsi="Cambria"/>
          <w:color w:val="000000"/>
        </w:rPr>
      </w:pPr>
      <w:r>
        <w:rPr>
          <w:rFonts w:ascii="Cambria" w:hAnsi="Cambria"/>
          <w:color w:val="000000"/>
        </w:rPr>
        <w:t>Meshriy</w:t>
      </w:r>
      <w:r>
        <w:rPr>
          <w:rFonts w:ascii="Cambria" w:hAnsi="Cambria"/>
        </w:rPr>
        <w:t>,</w:t>
      </w:r>
      <w:r>
        <w:rPr>
          <w:rFonts w:ascii="Cambria" w:hAnsi="Cambria"/>
          <w:color w:val="000000"/>
        </w:rPr>
        <w:t xml:space="preserve"> M, Hüberli</w:t>
      </w:r>
      <w:r>
        <w:rPr>
          <w:rFonts w:ascii="Cambria" w:hAnsi="Cambria"/>
        </w:rPr>
        <w:t>,</w:t>
      </w:r>
      <w:r>
        <w:rPr>
          <w:rFonts w:ascii="Cambria" w:hAnsi="Cambria"/>
          <w:color w:val="000000"/>
        </w:rPr>
        <w:t xml:space="preserve"> D, Tamar</w:t>
      </w:r>
      <w:r>
        <w:rPr>
          <w:rFonts w:ascii="Cambria" w:hAnsi="Cambria"/>
        </w:rPr>
        <w:t>,</w:t>
      </w:r>
      <w:r>
        <w:rPr>
          <w:rFonts w:ascii="Cambria" w:hAnsi="Cambria"/>
          <w:color w:val="000000"/>
        </w:rPr>
        <w:t xml:space="preserve"> H, Miles</w:t>
      </w:r>
      <w:r>
        <w:rPr>
          <w:rFonts w:ascii="Cambria" w:hAnsi="Cambria"/>
        </w:rPr>
        <w:t>,</w:t>
      </w:r>
      <w:r>
        <w:rPr>
          <w:rFonts w:ascii="Cambria" w:hAnsi="Cambria"/>
          <w:color w:val="000000"/>
        </w:rPr>
        <w:t xml:space="preserve"> L, Reuther</w:t>
      </w:r>
      <w:r>
        <w:rPr>
          <w:rFonts w:ascii="Cambria" w:hAnsi="Cambria"/>
        </w:rPr>
        <w:t>,</w:t>
      </w:r>
      <w:r>
        <w:rPr>
          <w:rFonts w:ascii="Cambria" w:hAnsi="Cambria"/>
          <w:color w:val="000000"/>
        </w:rPr>
        <w:t xml:space="preserve"> K</w:t>
      </w:r>
      <w:r>
        <w:rPr>
          <w:rFonts w:ascii="Cambria" w:hAnsi="Cambria"/>
        </w:rPr>
        <w:t xml:space="preserve"> &amp;</w:t>
      </w:r>
      <w:r>
        <w:rPr>
          <w:rFonts w:ascii="Cambria" w:hAnsi="Cambria"/>
          <w:color w:val="000000"/>
        </w:rPr>
        <w:t xml:space="preserve"> Garbelotto</w:t>
      </w:r>
      <w:r>
        <w:rPr>
          <w:rFonts w:ascii="Cambria" w:hAnsi="Cambria"/>
        </w:rPr>
        <w:t>,</w:t>
      </w:r>
      <w:r>
        <w:rPr>
          <w:rFonts w:ascii="Cambria" w:hAnsi="Cambria"/>
          <w:color w:val="000000"/>
        </w:rPr>
        <w:t xml:space="preserve"> M 2006</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Variation in susceptibility of </w:t>
      </w:r>
      <w:r>
        <w:rPr>
          <w:rFonts w:ascii="Cambria" w:hAnsi="Cambria"/>
          <w:i/>
          <w:color w:val="000000"/>
        </w:rPr>
        <w:t>Umbellularia californica</w:t>
      </w:r>
      <w:r>
        <w:rPr>
          <w:rFonts w:ascii="Cambria" w:hAnsi="Cambria"/>
          <w:color w:val="000000"/>
        </w:rPr>
        <w:t xml:space="preserve"> (bay laurel) to </w:t>
      </w:r>
      <w:r>
        <w:rPr>
          <w:rFonts w:ascii="Cambria" w:hAnsi="Cambria"/>
          <w:i/>
        </w:rPr>
        <w:t>Phytophthora ramorum</w:t>
      </w:r>
      <w:r>
        <w:rPr>
          <w:rFonts w:ascii="Cambria" w:hAnsi="Cambria"/>
        </w:rPr>
        <w:t>’</w:t>
      </w:r>
      <w:r>
        <w:rPr>
          <w:rFonts w:ascii="Cambria" w:hAnsi="Cambria"/>
          <w:color w:val="000000"/>
        </w:rPr>
        <w:t>,</w:t>
      </w:r>
      <w:r>
        <w:rPr>
          <w:rFonts w:ascii="Cambria" w:hAnsi="Cambria"/>
          <w:i/>
        </w:rPr>
        <w:t xml:space="preserve"> Proceedings of the Sudden Oak Death Second Science Symposium: The State of Our Knowledge, </w:t>
      </w:r>
      <w:r>
        <w:rPr>
          <w:rFonts w:ascii="Cambria" w:hAnsi="Cambria"/>
          <w:color w:val="000000"/>
        </w:rPr>
        <w:t>Gen</w:t>
      </w:r>
      <w:r>
        <w:rPr>
          <w:rFonts w:ascii="Cambria" w:hAnsi="Cambria"/>
        </w:rPr>
        <w:t xml:space="preserve">eral technical report </w:t>
      </w:r>
      <w:r>
        <w:rPr>
          <w:rFonts w:ascii="Cambria" w:hAnsi="Cambria"/>
          <w:color w:val="000000"/>
        </w:rPr>
        <w:t>PSW-GTR-196</w:t>
      </w:r>
      <w:r>
        <w:rPr>
          <w:rFonts w:ascii="Cambria" w:hAnsi="Cambria"/>
        </w:rPr>
        <w:t>, 87–89.</w:t>
      </w:r>
    </w:p>
    <w:p w:rsidR="00E94405" w:rsidRDefault="00A11609">
      <w:pPr>
        <w:autoSpaceDE w:val="0"/>
        <w:autoSpaceDN w:val="0"/>
        <w:adjustRightInd w:val="0"/>
        <w:spacing w:before="200"/>
        <w:rPr>
          <w:rFonts w:ascii="Cambria" w:hAnsi="Cambria"/>
          <w:color w:val="000000"/>
        </w:rPr>
      </w:pPr>
      <w:r>
        <w:rPr>
          <w:rFonts w:ascii="Cambria" w:hAnsi="Cambria"/>
          <w:color w:val="000000"/>
        </w:rPr>
        <w:t>Metz</w:t>
      </w:r>
      <w:r>
        <w:rPr>
          <w:rFonts w:ascii="Cambria" w:hAnsi="Cambria"/>
        </w:rPr>
        <w:t>,</w:t>
      </w:r>
      <w:r>
        <w:rPr>
          <w:rFonts w:ascii="Cambria" w:hAnsi="Cambria"/>
          <w:color w:val="000000"/>
        </w:rPr>
        <w:t xml:space="preserve"> M, Frangioso</w:t>
      </w:r>
      <w:r>
        <w:rPr>
          <w:rFonts w:ascii="Cambria" w:hAnsi="Cambria"/>
        </w:rPr>
        <w:t>,</w:t>
      </w:r>
      <w:r>
        <w:rPr>
          <w:rFonts w:ascii="Cambria" w:hAnsi="Cambria"/>
          <w:color w:val="000000"/>
        </w:rPr>
        <w:t xml:space="preserve"> K, Meentemeyer</w:t>
      </w:r>
      <w:r>
        <w:rPr>
          <w:rFonts w:ascii="Cambria" w:hAnsi="Cambria"/>
        </w:rPr>
        <w:t>,</w:t>
      </w:r>
      <w:r>
        <w:rPr>
          <w:rFonts w:ascii="Cambria" w:hAnsi="Cambria"/>
          <w:color w:val="000000"/>
        </w:rPr>
        <w:t xml:space="preserve"> R</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 2011</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Interacting disturbances: wildfire severity affected by stage of forest disease invasion</w:t>
      </w:r>
      <w:r>
        <w:rPr>
          <w:rFonts w:ascii="Cambria" w:hAnsi="Cambria"/>
        </w:rPr>
        <w:t xml:space="preserve">’, </w:t>
      </w:r>
      <w:r>
        <w:rPr>
          <w:rFonts w:ascii="Cambria" w:hAnsi="Cambria"/>
          <w:i/>
          <w:color w:val="000000"/>
        </w:rPr>
        <w:t>Ecological Applications</w:t>
      </w:r>
      <w:r>
        <w:rPr>
          <w:rFonts w:ascii="Cambria" w:hAnsi="Cambria"/>
        </w:rPr>
        <w:t>,</w:t>
      </w:r>
      <w:r>
        <w:rPr>
          <w:rFonts w:ascii="Cambria" w:hAnsi="Cambria"/>
          <w:color w:val="000000"/>
        </w:rPr>
        <w:t xml:space="preserve"> 21: 313–320.</w:t>
      </w:r>
    </w:p>
    <w:p w:rsidR="00E94405" w:rsidRDefault="00A11609">
      <w:pPr>
        <w:autoSpaceDE w:val="0"/>
        <w:autoSpaceDN w:val="0"/>
        <w:adjustRightInd w:val="0"/>
        <w:spacing w:before="200"/>
        <w:rPr>
          <w:rFonts w:ascii="Cambria" w:hAnsi="Cambria"/>
          <w:color w:val="000000"/>
        </w:rPr>
      </w:pPr>
      <w:r>
        <w:rPr>
          <w:rFonts w:ascii="Cambria" w:hAnsi="Cambria"/>
          <w:color w:val="000000"/>
        </w:rPr>
        <w:t>Metz</w:t>
      </w:r>
      <w:r>
        <w:rPr>
          <w:rFonts w:ascii="Cambria" w:hAnsi="Cambria"/>
        </w:rPr>
        <w:t>,</w:t>
      </w:r>
      <w:r>
        <w:rPr>
          <w:rFonts w:ascii="Cambria" w:hAnsi="Cambria"/>
          <w:color w:val="000000"/>
        </w:rPr>
        <w:t xml:space="preserve"> M, Frangioso</w:t>
      </w:r>
      <w:r>
        <w:rPr>
          <w:rFonts w:ascii="Cambria" w:hAnsi="Cambria"/>
        </w:rPr>
        <w:t>,</w:t>
      </w:r>
      <w:r>
        <w:rPr>
          <w:rFonts w:ascii="Cambria" w:hAnsi="Cambria"/>
          <w:color w:val="000000"/>
        </w:rPr>
        <w:t xml:space="preserve"> K, Meentemeyer</w:t>
      </w:r>
      <w:r>
        <w:rPr>
          <w:rFonts w:ascii="Cambria" w:hAnsi="Cambria"/>
        </w:rPr>
        <w:t>,</w:t>
      </w:r>
      <w:r>
        <w:rPr>
          <w:rFonts w:ascii="Cambria" w:hAnsi="Cambria"/>
          <w:color w:val="000000"/>
        </w:rPr>
        <w:t xml:space="preserve"> R</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w:t>
      </w:r>
      <w:r>
        <w:rPr>
          <w:rFonts w:ascii="Cambria" w:hAnsi="Cambria"/>
        </w:rPr>
        <w:t>M</w:t>
      </w:r>
      <w:r>
        <w:rPr>
          <w:rFonts w:ascii="Cambria" w:hAnsi="Cambria"/>
          <w:color w:val="000000"/>
        </w:rPr>
        <w:t xml:space="preserve"> 2010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Interacting disturbances: did sudden oak death mortality in Big Sur worsen the impacts of the 2008 Basin Complex wildfire?</w:t>
      </w:r>
      <w:r>
        <w:rPr>
          <w:rFonts w:ascii="Cambria" w:hAnsi="Cambria"/>
        </w:rPr>
        <w:t>’,</w:t>
      </w:r>
      <w:r>
        <w:rPr>
          <w:rFonts w:ascii="Cambria" w:hAnsi="Cambria"/>
          <w:color w:val="000000"/>
        </w:rPr>
        <w:t xml:space="preserve"> </w:t>
      </w:r>
      <w:r>
        <w:rPr>
          <w:rFonts w:ascii="Cambria" w:hAnsi="Cambria"/>
          <w:i/>
          <w:color w:val="000000"/>
        </w:rPr>
        <w:t>Proceedings of the 4th Sudden Oak Death Symposium</w:t>
      </w:r>
      <w:r>
        <w:rPr>
          <w:rFonts w:ascii="Cambria" w:hAnsi="Cambria"/>
          <w:color w:val="000000"/>
        </w:rPr>
        <w:t>, 258–261.</w:t>
      </w:r>
    </w:p>
    <w:p w:rsidR="00E94405" w:rsidRDefault="00A11609">
      <w:pPr>
        <w:autoSpaceDE w:val="0"/>
        <w:autoSpaceDN w:val="0"/>
        <w:adjustRightInd w:val="0"/>
        <w:spacing w:before="200"/>
        <w:rPr>
          <w:rFonts w:ascii="Cambria" w:hAnsi="Cambria"/>
          <w:color w:val="000000"/>
        </w:rPr>
      </w:pPr>
      <w:r>
        <w:rPr>
          <w:rFonts w:ascii="Cambria" w:hAnsi="Cambria"/>
          <w:color w:val="000000"/>
        </w:rPr>
        <w:t>Moralejo</w:t>
      </w:r>
      <w:r>
        <w:rPr>
          <w:rFonts w:ascii="Cambria" w:hAnsi="Cambria"/>
        </w:rPr>
        <w:t>,</w:t>
      </w:r>
      <w:r>
        <w:rPr>
          <w:rFonts w:ascii="Cambria" w:hAnsi="Cambria"/>
          <w:color w:val="000000"/>
        </w:rPr>
        <w:t xml:space="preserve"> E, Denman</w:t>
      </w:r>
      <w:r>
        <w:rPr>
          <w:rFonts w:ascii="Cambria" w:hAnsi="Cambria"/>
        </w:rPr>
        <w:t>,</w:t>
      </w:r>
      <w:r>
        <w:rPr>
          <w:rFonts w:ascii="Cambria" w:hAnsi="Cambria"/>
          <w:color w:val="000000"/>
        </w:rPr>
        <w:t xml:space="preserve"> S, Beales</w:t>
      </w:r>
      <w:r>
        <w:rPr>
          <w:rFonts w:ascii="Cambria" w:hAnsi="Cambria"/>
        </w:rPr>
        <w:t>,</w:t>
      </w:r>
      <w:r>
        <w:rPr>
          <w:rFonts w:ascii="Cambria" w:hAnsi="Cambria"/>
          <w:color w:val="000000"/>
        </w:rPr>
        <w:t xml:space="preserve"> P</w:t>
      </w:r>
      <w:r>
        <w:rPr>
          <w:rFonts w:ascii="Cambria" w:hAnsi="Cambria"/>
        </w:rPr>
        <w:t xml:space="preserve"> &amp;</w:t>
      </w:r>
      <w:r>
        <w:rPr>
          <w:rFonts w:ascii="Cambria" w:hAnsi="Cambria"/>
          <w:color w:val="000000"/>
        </w:rPr>
        <w:t xml:space="preserve"> Webber</w:t>
      </w:r>
      <w:r>
        <w:rPr>
          <w:rFonts w:ascii="Cambria" w:hAnsi="Cambria"/>
        </w:rPr>
        <w:t>,</w:t>
      </w:r>
      <w:r>
        <w:rPr>
          <w:rFonts w:ascii="Cambria" w:hAnsi="Cambria"/>
          <w:color w:val="000000"/>
        </w:rPr>
        <w:t xml:space="preserve"> J 2007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Report on the ability of key tree and nontree hosts to support inoculum production of </w:t>
      </w:r>
      <w:r>
        <w:rPr>
          <w:rFonts w:ascii="Cambria" w:hAnsi="Cambria"/>
          <w:i/>
        </w:rPr>
        <w:t>Phytophthora ramorum</w:t>
      </w:r>
      <w:r>
        <w:rPr>
          <w:rFonts w:ascii="Cambria" w:hAnsi="Cambria"/>
          <w:color w:val="000000"/>
        </w:rPr>
        <w:t>’,</w:t>
      </w:r>
      <w:r>
        <w:rPr>
          <w:rFonts w:ascii="Cambria" w:hAnsi="Cambria"/>
          <w:i/>
        </w:rPr>
        <w:t xml:space="preserve"> </w:t>
      </w:r>
      <w:r>
        <w:rPr>
          <w:rFonts w:ascii="Cambria" w:hAnsi="Cambria"/>
          <w:color w:val="000000"/>
        </w:rPr>
        <w:t>EU Sixth Framework Project RAPRA</w:t>
      </w:r>
      <w:r>
        <w:rPr>
          <w:rFonts w:ascii="Cambria" w:hAnsi="Cambria"/>
        </w:rPr>
        <w:t>,</w:t>
      </w:r>
      <w:r>
        <w:rPr>
          <w:rFonts w:ascii="Cambria" w:hAnsi="Cambria"/>
          <w:color w:val="000000"/>
        </w:rPr>
        <w:t xml:space="preserve"> Deliverable Report 27</w:t>
      </w:r>
      <w:r>
        <w:rPr>
          <w:rFonts w:ascii="Cambria" w:hAnsi="Cambria"/>
        </w:rPr>
        <w:t>,</w:t>
      </w:r>
      <w:r>
        <w:rPr>
          <w:rFonts w:ascii="Cambria" w:hAnsi="Cambria"/>
          <w:color w:val="000000"/>
        </w:rPr>
        <w:t xml:space="preserve"> http://rapra.csl.gov.uk</w:t>
      </w:r>
      <w:r>
        <w:rPr>
          <w:rFonts w:ascii="Cambria" w:hAnsi="Cambria"/>
        </w:rPr>
        <w:t>.</w:t>
      </w:r>
    </w:p>
    <w:p w:rsidR="00E94405" w:rsidRDefault="00A11609">
      <w:pPr>
        <w:autoSpaceDE w:val="0"/>
        <w:autoSpaceDN w:val="0"/>
        <w:adjustRightInd w:val="0"/>
        <w:spacing w:before="200"/>
        <w:rPr>
          <w:rFonts w:ascii="Cambria" w:hAnsi="Cambria"/>
        </w:rPr>
      </w:pPr>
      <w:r>
        <w:rPr>
          <w:rFonts w:ascii="Cambria" w:hAnsi="Cambria"/>
          <w:color w:val="000000"/>
        </w:rPr>
        <w:t>Moralejo</w:t>
      </w:r>
      <w:r>
        <w:rPr>
          <w:rFonts w:ascii="Cambria" w:hAnsi="Cambria"/>
        </w:rPr>
        <w:t>,</w:t>
      </w:r>
      <w:r>
        <w:rPr>
          <w:rFonts w:ascii="Cambria" w:hAnsi="Cambria"/>
          <w:color w:val="000000"/>
        </w:rPr>
        <w:t xml:space="preserve"> E, García-Muñoz</w:t>
      </w:r>
      <w:r>
        <w:rPr>
          <w:rFonts w:ascii="Cambria" w:hAnsi="Cambria"/>
        </w:rPr>
        <w:t>,</w:t>
      </w:r>
      <w:r>
        <w:rPr>
          <w:rFonts w:ascii="Cambria" w:hAnsi="Cambria"/>
          <w:color w:val="000000"/>
        </w:rPr>
        <w:t xml:space="preserve"> JA</w:t>
      </w:r>
      <w:r>
        <w:rPr>
          <w:rFonts w:ascii="Cambria" w:hAnsi="Cambria"/>
        </w:rPr>
        <w:t xml:space="preserve"> &amp;</w:t>
      </w:r>
      <w:r>
        <w:rPr>
          <w:rFonts w:ascii="Cambria" w:hAnsi="Cambria"/>
          <w:color w:val="000000"/>
        </w:rPr>
        <w:t xml:space="preserve"> Descals</w:t>
      </w:r>
      <w:r>
        <w:rPr>
          <w:rFonts w:ascii="Cambria" w:hAnsi="Cambria"/>
        </w:rPr>
        <w:t>,</w:t>
      </w:r>
      <w:r>
        <w:rPr>
          <w:rFonts w:ascii="Cambria" w:hAnsi="Cambria"/>
          <w:color w:val="000000"/>
        </w:rPr>
        <w:t xml:space="preserve"> E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Susceptibility of Iberian trees to </w:t>
      </w:r>
      <w:r>
        <w:rPr>
          <w:rFonts w:ascii="Cambria" w:hAnsi="Cambria"/>
          <w:i/>
          <w:color w:val="000000"/>
        </w:rPr>
        <w:t>Phytophthora ramorum</w:t>
      </w:r>
      <w:r>
        <w:rPr>
          <w:rFonts w:ascii="Cambria" w:hAnsi="Cambria"/>
          <w:color w:val="000000"/>
        </w:rPr>
        <w:t xml:space="preserve"> and </w:t>
      </w:r>
      <w:r>
        <w:rPr>
          <w:rFonts w:ascii="Cambria" w:hAnsi="Cambria"/>
          <w:i/>
          <w:color w:val="000000"/>
        </w:rPr>
        <w:t>P. cinnamomi</w:t>
      </w:r>
      <w:r>
        <w:rPr>
          <w:rFonts w:ascii="Cambria" w:hAnsi="Cambria"/>
        </w:rPr>
        <w:t xml:space="preserve">’, </w:t>
      </w:r>
      <w:r>
        <w:rPr>
          <w:rFonts w:ascii="Cambria" w:hAnsi="Cambria"/>
          <w:i/>
          <w:color w:val="000000"/>
        </w:rPr>
        <w:t>Plant Pathology</w:t>
      </w:r>
      <w:r>
        <w:rPr>
          <w:rFonts w:ascii="Cambria" w:hAnsi="Cambria"/>
        </w:rPr>
        <w:t>,</w:t>
      </w:r>
      <w:r>
        <w:rPr>
          <w:rFonts w:ascii="Cambria" w:hAnsi="Cambria"/>
          <w:color w:val="000000"/>
        </w:rPr>
        <w:t xml:space="preserve"> 58: 271–283.</w:t>
      </w:r>
      <w:r>
        <w:rPr>
          <w:rFonts w:ascii="Cambria" w:hAnsi="Cambria"/>
        </w:rPr>
        <w:t xml:space="preserve"> </w:t>
      </w:r>
    </w:p>
    <w:p w:rsidR="00E94405" w:rsidRDefault="00A11609">
      <w:pPr>
        <w:autoSpaceDE w:val="0"/>
        <w:autoSpaceDN w:val="0"/>
        <w:adjustRightInd w:val="0"/>
        <w:spacing w:before="200"/>
        <w:rPr>
          <w:rFonts w:ascii="Cambria" w:hAnsi="Cambria"/>
        </w:rPr>
      </w:pPr>
      <w:r>
        <w:rPr>
          <w:rFonts w:ascii="Cambria" w:hAnsi="Cambria"/>
        </w:rPr>
        <w:lastRenderedPageBreak/>
        <w:t xml:space="preserve">Moralejo, E, Puig, M, Garcia, JA &amp; Descals, E 2006, ‘Stromata, sporangiomata and chlamydosori of </w:t>
      </w:r>
      <w:r>
        <w:rPr>
          <w:rFonts w:ascii="Cambria" w:hAnsi="Cambria"/>
          <w:i/>
        </w:rPr>
        <w:t>Phytophthora ramorum</w:t>
      </w:r>
      <w:r>
        <w:rPr>
          <w:rFonts w:ascii="Cambria" w:hAnsi="Cambria"/>
        </w:rPr>
        <w:t xml:space="preserve"> on inoculated Mediterranean woody plants’, </w:t>
      </w:r>
      <w:r>
        <w:rPr>
          <w:rFonts w:ascii="Cambria" w:hAnsi="Cambria"/>
          <w:i/>
          <w:color w:val="000000"/>
        </w:rPr>
        <w:t>Mycological Research</w:t>
      </w:r>
      <w:r>
        <w:rPr>
          <w:rFonts w:ascii="Cambria" w:hAnsi="Cambria"/>
        </w:rPr>
        <w:t>, 110: 1323–1332.</w:t>
      </w:r>
    </w:p>
    <w:p w:rsidR="00E94405" w:rsidRDefault="00A11609">
      <w:pPr>
        <w:autoSpaceDE w:val="0"/>
        <w:autoSpaceDN w:val="0"/>
        <w:adjustRightInd w:val="0"/>
        <w:spacing w:before="200"/>
        <w:rPr>
          <w:rFonts w:ascii="Cambria" w:hAnsi="Cambria"/>
          <w:color w:val="000000"/>
        </w:rPr>
      </w:pPr>
      <w:r>
        <w:rPr>
          <w:rFonts w:ascii="Cambria" w:hAnsi="Cambria"/>
          <w:color w:val="000000"/>
        </w:rPr>
        <w:t>Mostowfizadeh-Ghalamfarsa, R, Banihashemi, Z</w:t>
      </w:r>
      <w:r>
        <w:rPr>
          <w:rFonts w:ascii="Cambria" w:hAnsi="Cambria"/>
        </w:rPr>
        <w:t xml:space="preserve"> &amp;</w:t>
      </w:r>
      <w:r>
        <w:rPr>
          <w:rFonts w:ascii="Cambria" w:hAnsi="Cambria"/>
          <w:color w:val="000000"/>
        </w:rPr>
        <w:t xml:space="preserve"> Cooke, DEL 2008</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Phytophthora parsiana</w:t>
      </w:r>
      <w:r>
        <w:rPr>
          <w:rFonts w:ascii="Cambria" w:hAnsi="Cambria"/>
          <w:color w:val="000000"/>
        </w:rPr>
        <w:t xml:space="preserve"> sp.</w:t>
      </w:r>
      <w:r>
        <w:rPr>
          <w:rFonts w:ascii="Cambria" w:hAnsi="Cambria"/>
          <w:i/>
          <w:color w:val="000000"/>
        </w:rPr>
        <w:t xml:space="preserve"> nov</w:t>
      </w:r>
      <w:r>
        <w:rPr>
          <w:rFonts w:ascii="Cambria" w:hAnsi="Cambria"/>
          <w:color w:val="000000"/>
        </w:rPr>
        <w:t>., a new high-temperature tolerant species</w:t>
      </w:r>
      <w:r>
        <w:rPr>
          <w:rFonts w:ascii="Cambria" w:hAnsi="Cambria"/>
        </w:rPr>
        <w:t xml:space="preserve">’, </w:t>
      </w:r>
      <w:r>
        <w:rPr>
          <w:rFonts w:ascii="Cambria" w:hAnsi="Cambria"/>
          <w:i/>
          <w:color w:val="000000"/>
        </w:rPr>
        <w:t>Mycological Research</w:t>
      </w:r>
      <w:r>
        <w:rPr>
          <w:rFonts w:ascii="Cambria" w:hAnsi="Cambria"/>
        </w:rPr>
        <w:t>,</w:t>
      </w:r>
      <w:r>
        <w:rPr>
          <w:rFonts w:ascii="Cambria" w:hAnsi="Cambria"/>
          <w:color w:val="000000"/>
        </w:rPr>
        <w:t xml:space="preserve"> 112: 783 –794. </w:t>
      </w:r>
    </w:p>
    <w:p w:rsidR="00E94405" w:rsidRDefault="00A11609">
      <w:pPr>
        <w:autoSpaceDE w:val="0"/>
        <w:autoSpaceDN w:val="0"/>
        <w:adjustRightInd w:val="0"/>
        <w:spacing w:before="200"/>
        <w:rPr>
          <w:rFonts w:ascii="Cambria" w:hAnsi="Cambria"/>
          <w:color w:val="000000"/>
        </w:rPr>
      </w:pPr>
      <w:r>
        <w:rPr>
          <w:rFonts w:ascii="Cambria" w:hAnsi="Cambria"/>
          <w:color w:val="000000"/>
        </w:rPr>
        <w:t>Murphy</w:t>
      </w:r>
      <w:r>
        <w:rPr>
          <w:rFonts w:ascii="Cambria" w:hAnsi="Cambria"/>
        </w:rPr>
        <w:t>,</w:t>
      </w:r>
      <w:r>
        <w:rPr>
          <w:rFonts w:ascii="Cambria" w:hAnsi="Cambria"/>
          <w:color w:val="000000"/>
        </w:rPr>
        <w:t xml:space="preserve"> SK</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2003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on canyon live oak in California</w:t>
      </w:r>
      <w:r>
        <w:rPr>
          <w:rFonts w:ascii="Cambria" w:hAnsi="Cambria"/>
        </w:rPr>
        <w:t xml:space="preserve">’, </w:t>
      </w:r>
      <w:r>
        <w:rPr>
          <w:rFonts w:ascii="Cambria" w:hAnsi="Cambria"/>
          <w:i/>
        </w:rPr>
        <w:t>Plant Disease</w:t>
      </w:r>
      <w:r>
        <w:rPr>
          <w:rFonts w:ascii="Cambria" w:hAnsi="Cambria"/>
        </w:rPr>
        <w:t>,</w:t>
      </w:r>
      <w:r>
        <w:rPr>
          <w:rFonts w:ascii="Cambria" w:hAnsi="Cambria"/>
          <w:color w:val="000000"/>
        </w:rPr>
        <w:t xml:space="preserve"> 87: 315.</w:t>
      </w:r>
    </w:p>
    <w:p w:rsidR="00E94405" w:rsidRDefault="00A11609">
      <w:pPr>
        <w:autoSpaceDE w:val="0"/>
        <w:autoSpaceDN w:val="0"/>
        <w:adjustRightInd w:val="0"/>
        <w:spacing w:before="200"/>
        <w:rPr>
          <w:rFonts w:ascii="Cambria" w:hAnsi="Cambria"/>
          <w:color w:val="000000"/>
        </w:rPr>
      </w:pPr>
      <w:r>
        <w:rPr>
          <w:rFonts w:ascii="Cambria" w:hAnsi="Cambria"/>
          <w:color w:val="000000"/>
        </w:rPr>
        <w:t>Murphy</w:t>
      </w:r>
      <w:r>
        <w:rPr>
          <w:rFonts w:ascii="Cambria" w:hAnsi="Cambria"/>
        </w:rPr>
        <w:t>,</w:t>
      </w:r>
      <w:r>
        <w:rPr>
          <w:rFonts w:ascii="Cambria" w:hAnsi="Cambria"/>
          <w:color w:val="000000"/>
        </w:rPr>
        <w:t xml:space="preserve"> SK</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2005</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Incidence of </w:t>
      </w:r>
      <w:r>
        <w:rPr>
          <w:rFonts w:ascii="Cambria" w:hAnsi="Cambria"/>
          <w:i/>
        </w:rPr>
        <w:t>Phytophthora ramorum</w:t>
      </w:r>
      <w:r>
        <w:rPr>
          <w:rFonts w:ascii="Cambria" w:hAnsi="Cambria"/>
          <w:color w:val="000000"/>
        </w:rPr>
        <w:t xml:space="preserve">, </w:t>
      </w:r>
      <w:r>
        <w:rPr>
          <w:rFonts w:ascii="Cambria" w:hAnsi="Cambria"/>
          <w:i/>
          <w:color w:val="000000"/>
        </w:rPr>
        <w:t>P. nemorosa</w:t>
      </w:r>
      <w:r>
        <w:rPr>
          <w:rFonts w:ascii="Cambria" w:hAnsi="Cambria"/>
          <w:color w:val="000000"/>
        </w:rPr>
        <w:t xml:space="preserve"> and </w:t>
      </w:r>
      <w:r>
        <w:rPr>
          <w:rFonts w:ascii="Cambria" w:hAnsi="Cambria"/>
          <w:i/>
          <w:color w:val="000000"/>
        </w:rPr>
        <w:t>P. pseudosyringae</w:t>
      </w:r>
      <w:r>
        <w:rPr>
          <w:rFonts w:ascii="Cambria" w:hAnsi="Cambria"/>
          <w:color w:val="000000"/>
        </w:rPr>
        <w:t xml:space="preserve"> in three coastal California forest communities</w:t>
      </w:r>
      <w:r>
        <w:rPr>
          <w:rFonts w:ascii="Cambria" w:hAnsi="Cambria"/>
        </w:rPr>
        <w:t xml:space="preserve">’, </w:t>
      </w:r>
      <w:r>
        <w:rPr>
          <w:rFonts w:ascii="Cambria" w:hAnsi="Cambria"/>
          <w:i/>
        </w:rPr>
        <w:t>Proceedings of the Second Sudden Oak Death Science Symposium</w:t>
      </w:r>
      <w:r>
        <w:rPr>
          <w:rFonts w:ascii="Cambria" w:hAnsi="Cambria"/>
          <w:color w:val="000000"/>
        </w:rPr>
        <w:t>, Gen</w:t>
      </w:r>
      <w:r>
        <w:rPr>
          <w:rFonts w:ascii="Cambria" w:hAnsi="Cambria"/>
        </w:rPr>
        <w:t xml:space="preserve">eral </w:t>
      </w:r>
      <w:r>
        <w:rPr>
          <w:rFonts w:ascii="Cambria" w:hAnsi="Cambria"/>
          <w:color w:val="000000"/>
        </w:rPr>
        <w:t>Tech</w:t>
      </w:r>
      <w:r>
        <w:rPr>
          <w:rFonts w:ascii="Cambria" w:hAnsi="Cambria"/>
        </w:rPr>
        <w:t xml:space="preserve">nical </w:t>
      </w:r>
      <w:r>
        <w:rPr>
          <w:rFonts w:ascii="Cambria" w:hAnsi="Cambria"/>
          <w:color w:val="000000"/>
        </w:rPr>
        <w:t>Rep</w:t>
      </w:r>
      <w:r>
        <w:rPr>
          <w:rFonts w:ascii="Cambria" w:hAnsi="Cambria"/>
        </w:rPr>
        <w:t>ort</w:t>
      </w:r>
      <w:r>
        <w:rPr>
          <w:rFonts w:ascii="Cambria" w:hAnsi="Cambria"/>
          <w:color w:val="000000"/>
        </w:rPr>
        <w:t xml:space="preserve"> PSW-197.</w:t>
      </w:r>
    </w:p>
    <w:p w:rsidR="00E94405" w:rsidRDefault="00A11609">
      <w:pPr>
        <w:autoSpaceDE w:val="0"/>
        <w:autoSpaceDN w:val="0"/>
        <w:adjustRightInd w:val="0"/>
        <w:spacing w:before="200"/>
        <w:rPr>
          <w:rFonts w:ascii="Cambria" w:hAnsi="Cambria"/>
          <w:color w:val="000000"/>
        </w:rPr>
      </w:pPr>
      <w:r>
        <w:rPr>
          <w:rFonts w:ascii="Cambria" w:hAnsi="Cambria"/>
          <w:color w:val="000000"/>
        </w:rPr>
        <w:t>Murphy</w:t>
      </w:r>
      <w:r>
        <w:rPr>
          <w:rFonts w:ascii="Cambria" w:hAnsi="Cambria"/>
        </w:rPr>
        <w:t>,</w:t>
      </w:r>
      <w:r>
        <w:rPr>
          <w:rFonts w:ascii="Cambria" w:hAnsi="Cambria"/>
          <w:color w:val="000000"/>
        </w:rPr>
        <w:t xml:space="preserve"> SK</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2006</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Incidence of </w:t>
      </w:r>
      <w:r>
        <w:rPr>
          <w:rFonts w:ascii="Cambria" w:hAnsi="Cambria"/>
          <w:i/>
        </w:rPr>
        <w:t>Phytophthora ramorum</w:t>
      </w:r>
      <w:r>
        <w:rPr>
          <w:rFonts w:ascii="Cambria" w:hAnsi="Cambria"/>
          <w:color w:val="000000"/>
        </w:rPr>
        <w:t xml:space="preserve">, </w:t>
      </w:r>
      <w:r>
        <w:rPr>
          <w:rFonts w:ascii="Cambria" w:hAnsi="Cambria"/>
          <w:i/>
          <w:color w:val="000000"/>
        </w:rPr>
        <w:t>P. nemorosa</w:t>
      </w:r>
      <w:r>
        <w:rPr>
          <w:rFonts w:ascii="Cambria" w:hAnsi="Cambria"/>
          <w:color w:val="000000"/>
        </w:rPr>
        <w:t xml:space="preserve"> and </w:t>
      </w:r>
      <w:r>
        <w:rPr>
          <w:rFonts w:ascii="Cambria" w:hAnsi="Cambria"/>
          <w:i/>
          <w:color w:val="000000"/>
        </w:rPr>
        <w:t xml:space="preserve">P. pseudosyringae </w:t>
      </w:r>
      <w:r>
        <w:rPr>
          <w:rFonts w:ascii="Cambria" w:hAnsi="Cambria"/>
          <w:color w:val="000000"/>
        </w:rPr>
        <w:t>in three coastal California forest communities</w:t>
      </w:r>
      <w:r>
        <w:rPr>
          <w:rFonts w:ascii="Cambria" w:hAnsi="Cambria"/>
        </w:rPr>
        <w:t>’,</w:t>
      </w:r>
      <w:r>
        <w:rPr>
          <w:rFonts w:ascii="Cambria" w:hAnsi="Cambria"/>
          <w:color w:val="000000"/>
        </w:rPr>
        <w:t xml:space="preserve"> </w:t>
      </w:r>
      <w:r>
        <w:rPr>
          <w:rFonts w:ascii="Cambria" w:hAnsi="Cambria"/>
          <w:i/>
          <w:color w:val="000000"/>
        </w:rPr>
        <w:t>Proceedings of the Sudden Oak Death Second Science Symposium: The State of Our Knowledge</w:t>
      </w:r>
      <w:r>
        <w:rPr>
          <w:rFonts w:ascii="Cambria" w:hAnsi="Cambria"/>
        </w:rPr>
        <w:t xml:space="preserve">, </w:t>
      </w:r>
      <w:r>
        <w:rPr>
          <w:rFonts w:ascii="Cambria" w:hAnsi="Cambria"/>
          <w:color w:val="000000"/>
        </w:rPr>
        <w:t>Gen</w:t>
      </w:r>
      <w:r>
        <w:rPr>
          <w:rFonts w:ascii="Cambria" w:hAnsi="Cambria"/>
        </w:rPr>
        <w:t xml:space="preserve">eral technical report </w:t>
      </w:r>
      <w:r>
        <w:rPr>
          <w:rFonts w:ascii="Cambria" w:hAnsi="Cambria"/>
          <w:color w:val="000000"/>
        </w:rPr>
        <w:t>PSW-GTR-196</w:t>
      </w:r>
      <w:r>
        <w:rPr>
          <w:rFonts w:ascii="Cambria" w:hAnsi="Cambria"/>
        </w:rPr>
        <w:t xml:space="preserve">, </w:t>
      </w:r>
      <w:r>
        <w:rPr>
          <w:rFonts w:ascii="Cambria" w:hAnsi="Cambria"/>
          <w:color w:val="000000"/>
        </w:rPr>
        <w:t>69–71.</w:t>
      </w:r>
    </w:p>
    <w:p w:rsidR="00E94405" w:rsidRDefault="00A11609">
      <w:pPr>
        <w:autoSpaceDE w:val="0"/>
        <w:autoSpaceDN w:val="0"/>
        <w:adjustRightInd w:val="0"/>
        <w:spacing w:before="200"/>
        <w:rPr>
          <w:rFonts w:ascii="Cambria" w:hAnsi="Cambria"/>
        </w:rPr>
      </w:pPr>
      <w:r>
        <w:rPr>
          <w:rFonts w:ascii="Cambria" w:hAnsi="Cambria"/>
        </w:rPr>
        <w:t xml:space="preserve">Murphy, SK, Bienapfl, J, Rizzo, DM, Valachovic, Y &amp; Lee, C 2006, ‘Monitoring </w:t>
      </w:r>
      <w:r>
        <w:rPr>
          <w:rFonts w:ascii="Cambria" w:hAnsi="Cambria"/>
          <w:i/>
        </w:rPr>
        <w:t>Phytophthora ramorum</w:t>
      </w:r>
      <w:r>
        <w:rPr>
          <w:rFonts w:ascii="Cambria" w:hAnsi="Cambria"/>
        </w:rPr>
        <w:t xml:space="preserve"> distribution in streams within Coastal California watersheds’ [Abstract], </w:t>
      </w:r>
      <w:r>
        <w:rPr>
          <w:rFonts w:ascii="Cambria" w:hAnsi="Cambria"/>
          <w:i/>
          <w:color w:val="000000"/>
        </w:rPr>
        <w:t>Sudden Oak Death Second Science Symposium:</w:t>
      </w:r>
      <w:r>
        <w:rPr>
          <w:rFonts w:ascii="Cambria" w:hAnsi="Cambria"/>
        </w:rPr>
        <w:t xml:space="preserve"> </w:t>
      </w:r>
      <w:r>
        <w:rPr>
          <w:rFonts w:ascii="Cambria" w:hAnsi="Cambria"/>
          <w:i/>
          <w:color w:val="000000"/>
        </w:rPr>
        <w:t>The State of Our Knowledge</w:t>
      </w:r>
      <w:r>
        <w:rPr>
          <w:rFonts w:ascii="Cambria" w:hAnsi="Cambria"/>
          <w:color w:val="000000"/>
        </w:rPr>
        <w:t xml:space="preserve">, </w:t>
      </w:r>
      <w:r>
        <w:rPr>
          <w:rFonts w:ascii="Cambria" w:hAnsi="Cambria"/>
        </w:rPr>
        <w:t>531.</w:t>
      </w:r>
    </w:p>
    <w:p w:rsidR="00E94405" w:rsidRDefault="00A11609">
      <w:pPr>
        <w:autoSpaceDE w:val="0"/>
        <w:autoSpaceDN w:val="0"/>
        <w:adjustRightInd w:val="0"/>
        <w:spacing w:before="200"/>
        <w:rPr>
          <w:rFonts w:ascii="Cambria" w:hAnsi="Cambria"/>
          <w:color w:val="000000"/>
        </w:rPr>
      </w:pPr>
      <w:r>
        <w:rPr>
          <w:rFonts w:ascii="Cambria" w:hAnsi="Cambria"/>
          <w:color w:val="000000"/>
        </w:rPr>
        <w:t>Murphy</w:t>
      </w:r>
      <w:r>
        <w:rPr>
          <w:rFonts w:ascii="Cambria" w:hAnsi="Cambria"/>
        </w:rPr>
        <w:t>,</w:t>
      </w:r>
      <w:r>
        <w:rPr>
          <w:rFonts w:ascii="Cambria" w:hAnsi="Cambria"/>
          <w:color w:val="000000"/>
        </w:rPr>
        <w:t xml:space="preserve"> SK, Wickland</w:t>
      </w:r>
      <w:r>
        <w:rPr>
          <w:rFonts w:ascii="Cambria" w:hAnsi="Cambria"/>
        </w:rPr>
        <w:t>,</w:t>
      </w:r>
      <w:r>
        <w:rPr>
          <w:rFonts w:ascii="Cambria" w:hAnsi="Cambria"/>
          <w:color w:val="000000"/>
        </w:rPr>
        <w:t xml:space="preserve"> AC, Lynch</w:t>
      </w:r>
      <w:r>
        <w:rPr>
          <w:rFonts w:ascii="Cambria" w:hAnsi="Cambria"/>
        </w:rPr>
        <w:t>,</w:t>
      </w:r>
      <w:r>
        <w:rPr>
          <w:rFonts w:ascii="Cambria" w:hAnsi="Cambria"/>
          <w:color w:val="000000"/>
        </w:rPr>
        <w:t xml:space="preserve"> SC, Jensen</w:t>
      </w:r>
      <w:r>
        <w:rPr>
          <w:rFonts w:ascii="Cambria" w:hAnsi="Cambria"/>
        </w:rPr>
        <w:t>,</w:t>
      </w:r>
      <w:r>
        <w:rPr>
          <w:rFonts w:ascii="Cambria" w:hAnsi="Cambria"/>
          <w:color w:val="000000"/>
        </w:rPr>
        <w:t xml:space="preserve"> CE, Maloney</w:t>
      </w:r>
      <w:r>
        <w:rPr>
          <w:rFonts w:ascii="Cambria" w:hAnsi="Cambria"/>
        </w:rPr>
        <w:t>,</w:t>
      </w:r>
      <w:r>
        <w:rPr>
          <w:rFonts w:ascii="Cambria" w:hAnsi="Cambria"/>
          <w:color w:val="000000"/>
        </w:rPr>
        <w:t xml:space="preserve"> PE</w:t>
      </w:r>
      <w:r>
        <w:rPr>
          <w:rFonts w:ascii="Cambria" w:hAnsi="Cambria"/>
        </w:rPr>
        <w:t xml:space="preserve"> &amp;</w:t>
      </w:r>
      <w:r>
        <w:rPr>
          <w:rFonts w:ascii="Cambria" w:hAnsi="Cambria"/>
          <w:color w:val="000000"/>
        </w:rPr>
        <w:t xml:space="preserve"> Rizzo</w:t>
      </w:r>
      <w:r>
        <w:rPr>
          <w:rFonts w:ascii="Cambria" w:hAnsi="Cambria"/>
        </w:rPr>
        <w:t>,</w:t>
      </w:r>
      <w:r>
        <w:rPr>
          <w:rFonts w:ascii="Cambria" w:hAnsi="Cambria"/>
          <w:color w:val="000000"/>
        </w:rPr>
        <w:t xml:space="preserve"> DM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Distribution of </w:t>
      </w:r>
      <w:r>
        <w:rPr>
          <w:rFonts w:ascii="Cambria" w:hAnsi="Cambria"/>
          <w:i/>
        </w:rPr>
        <w:t>Phytophthora ramorum</w:t>
      </w:r>
      <w:r>
        <w:rPr>
          <w:rFonts w:ascii="Cambria" w:hAnsi="Cambria"/>
          <w:color w:val="000000"/>
        </w:rPr>
        <w:t xml:space="preserve">, </w:t>
      </w:r>
      <w:r>
        <w:rPr>
          <w:rFonts w:ascii="Cambria" w:hAnsi="Cambria"/>
          <w:i/>
          <w:color w:val="000000"/>
        </w:rPr>
        <w:t>P. nemorosa</w:t>
      </w:r>
      <w:r>
        <w:rPr>
          <w:rFonts w:ascii="Cambria" w:hAnsi="Cambria"/>
          <w:color w:val="000000"/>
        </w:rPr>
        <w:t xml:space="preserve"> and</w:t>
      </w:r>
      <w:r>
        <w:rPr>
          <w:rFonts w:ascii="Cambria" w:hAnsi="Cambria"/>
          <w:i/>
          <w:color w:val="000000"/>
        </w:rPr>
        <w:t xml:space="preserve"> P. pseudosyringae</w:t>
      </w:r>
      <w:r>
        <w:rPr>
          <w:rFonts w:ascii="Cambria" w:hAnsi="Cambria"/>
          <w:color w:val="000000"/>
        </w:rPr>
        <w:t xml:space="preserve"> in Native Coastal California Forest Communities</w:t>
      </w:r>
      <w:r>
        <w:rPr>
          <w:rFonts w:ascii="Cambria" w:hAnsi="Cambria"/>
        </w:rPr>
        <w:t xml:space="preserve">’, </w:t>
      </w:r>
      <w:r>
        <w:rPr>
          <w:rFonts w:ascii="Cambria" w:hAnsi="Cambria"/>
          <w:i/>
          <w:color w:val="000000"/>
        </w:rPr>
        <w:t>Proceedings of the Sudden Oak Death Third Science Symposium</w:t>
      </w:r>
      <w:r>
        <w:rPr>
          <w:rFonts w:ascii="Cambria" w:hAnsi="Cambria"/>
          <w:color w:val="000000"/>
        </w:rPr>
        <w:t>,</w:t>
      </w:r>
      <w:r>
        <w:rPr>
          <w:rFonts w:ascii="Cambria" w:hAnsi="Cambria"/>
          <w:i/>
          <w:color w:val="000000"/>
        </w:rPr>
        <w:t xml:space="preserve"> </w:t>
      </w:r>
      <w:r>
        <w:rPr>
          <w:rFonts w:ascii="Cambria" w:hAnsi="Cambria"/>
          <w:color w:val="000000"/>
        </w:rPr>
        <w:t>51</w:t>
      </w:r>
      <w:r>
        <w:rPr>
          <w:rFonts w:ascii="Cambria" w:hAnsi="Cambria"/>
        </w:rPr>
        <w:t>–</w:t>
      </w:r>
      <w:r>
        <w:rPr>
          <w:rFonts w:ascii="Cambria" w:hAnsi="Cambria"/>
          <w:color w:val="000000"/>
        </w:rPr>
        <w:t>54</w:t>
      </w:r>
      <w:r>
        <w:rPr>
          <w:rFonts w:ascii="Cambria" w:hAnsi="Cambria"/>
        </w:rPr>
        <w:t>.</w:t>
      </w:r>
    </w:p>
    <w:p w:rsidR="00E94405" w:rsidRDefault="00A11609">
      <w:pPr>
        <w:autoSpaceDE w:val="0"/>
        <w:autoSpaceDN w:val="0"/>
        <w:adjustRightInd w:val="0"/>
        <w:spacing w:before="200"/>
        <w:rPr>
          <w:rFonts w:ascii="Cambria" w:hAnsi="Cambria"/>
          <w:color w:val="000000"/>
        </w:rPr>
      </w:pPr>
      <w:r>
        <w:rPr>
          <w:rFonts w:ascii="Cambria" w:hAnsi="Cambria"/>
          <w:color w:val="000000"/>
        </w:rPr>
        <w:t>NAPPO (North American Plant Protection Organisation) 2003, ‘</w:t>
      </w:r>
      <w:r>
        <w:rPr>
          <w:rFonts w:ascii="Cambria" w:hAnsi="Cambria"/>
          <w:i/>
          <w:color w:val="000000"/>
        </w:rPr>
        <w:t xml:space="preserve">NAPPO position on soil movement’, </w:t>
      </w:r>
      <w:r>
        <w:rPr>
          <w:rFonts w:ascii="Cambria" w:hAnsi="Cambria"/>
          <w:color w:val="000000"/>
        </w:rPr>
        <w:t xml:space="preserve">accessed June 2014, </w:t>
      </w:r>
      <w:r>
        <w:rPr>
          <w:rFonts w:ascii="Cambria" w:hAnsi="Cambria"/>
        </w:rPr>
        <w:t>http://www.nappo.org/en/data/files/download/Positions percent20and percent20Decisions/PNo.1-Soil percent20Movement-e.pdf</w:t>
      </w:r>
      <w:r>
        <w:rPr>
          <w:rFonts w:ascii="Cambria" w:hAnsi="Cambria"/>
          <w:color w:val="000000"/>
        </w:rPr>
        <w:t xml:space="preserve"> </w:t>
      </w:r>
    </w:p>
    <w:p w:rsidR="00E94405" w:rsidRDefault="00A11609">
      <w:pPr>
        <w:autoSpaceDE w:val="0"/>
        <w:autoSpaceDN w:val="0"/>
        <w:adjustRightInd w:val="0"/>
        <w:spacing w:before="200"/>
        <w:rPr>
          <w:rFonts w:ascii="Cambria" w:hAnsi="Cambria"/>
        </w:rPr>
      </w:pPr>
      <w:r>
        <w:rPr>
          <w:rFonts w:ascii="Cambria" w:hAnsi="Cambria"/>
          <w:color w:val="000000"/>
        </w:rPr>
        <w:t xml:space="preserve">NAPPO </w:t>
      </w:r>
      <w:r>
        <w:rPr>
          <w:rFonts w:ascii="Cambria" w:hAnsi="Cambria"/>
        </w:rPr>
        <w:t xml:space="preserve">(North American Plant Protection Organisation) </w:t>
      </w:r>
      <w:r>
        <w:rPr>
          <w:rFonts w:ascii="Cambria" w:hAnsi="Cambria"/>
          <w:color w:val="000000"/>
        </w:rPr>
        <w:t>2006</w:t>
      </w:r>
      <w:r>
        <w:rPr>
          <w:rFonts w:ascii="Cambria" w:hAnsi="Cambria"/>
        </w:rPr>
        <w:t>, ‘</w:t>
      </w:r>
      <w:r>
        <w:rPr>
          <w:rFonts w:ascii="Cambria" w:hAnsi="Cambria"/>
          <w:i/>
          <w:color w:val="000000"/>
        </w:rPr>
        <w:t>Phytophthora kernoviae</w:t>
      </w:r>
      <w:r>
        <w:rPr>
          <w:rFonts w:ascii="Cambria" w:hAnsi="Cambria"/>
          <w:color w:val="000000"/>
        </w:rPr>
        <w:t xml:space="preserve"> found for the first time in New Zealand</w:t>
      </w:r>
      <w:r>
        <w:rPr>
          <w:rFonts w:ascii="Cambria" w:hAnsi="Cambria"/>
        </w:rPr>
        <w:t xml:space="preserve">’, </w:t>
      </w:r>
      <w:r>
        <w:rPr>
          <w:rFonts w:ascii="Cambria" w:hAnsi="Cambria"/>
          <w:i/>
          <w:color w:val="000000"/>
        </w:rPr>
        <w:t>Pest Alert</w:t>
      </w:r>
      <w:r>
        <w:rPr>
          <w:rFonts w:ascii="Cambria" w:hAnsi="Cambria"/>
          <w:color w:val="000000"/>
        </w:rPr>
        <w:t xml:space="preserve">, </w:t>
      </w:r>
      <w:r>
        <w:rPr>
          <w:rFonts w:ascii="Cambria" w:hAnsi="Cambria"/>
        </w:rPr>
        <w:t>www.pestalert.org.</w:t>
      </w:r>
    </w:p>
    <w:p w:rsidR="00E94405" w:rsidRDefault="00A11609">
      <w:pPr>
        <w:autoSpaceDE w:val="0"/>
        <w:autoSpaceDN w:val="0"/>
        <w:adjustRightInd w:val="0"/>
        <w:spacing w:before="200"/>
        <w:rPr>
          <w:rFonts w:ascii="Cambria" w:hAnsi="Cambria"/>
        </w:rPr>
      </w:pPr>
      <w:r>
        <w:rPr>
          <w:rFonts w:ascii="Cambria" w:hAnsi="Cambria"/>
          <w:color w:val="000000"/>
        </w:rPr>
        <w:t>Noble, R</w:t>
      </w:r>
      <w:r>
        <w:rPr>
          <w:rFonts w:ascii="Cambria" w:hAnsi="Cambria"/>
        </w:rPr>
        <w:t xml:space="preserve"> &amp;</w:t>
      </w:r>
      <w:r>
        <w:rPr>
          <w:rFonts w:ascii="Cambria" w:hAnsi="Cambria"/>
          <w:color w:val="000000"/>
        </w:rPr>
        <w:t xml:space="preserve"> Roberts, SJ 2004, ‘Eradication of plant pathogens and nematodes during composting: a review’, </w:t>
      </w:r>
      <w:r>
        <w:rPr>
          <w:rFonts w:ascii="Cambria" w:hAnsi="Cambria"/>
          <w:i/>
          <w:color w:val="000000"/>
        </w:rPr>
        <w:t>Plant Pathology</w:t>
      </w:r>
      <w:r>
        <w:rPr>
          <w:rFonts w:ascii="Cambria" w:hAnsi="Cambria"/>
        </w:rPr>
        <w:t>,</w:t>
      </w:r>
      <w:r>
        <w:rPr>
          <w:rFonts w:ascii="Cambria" w:hAnsi="Cambria"/>
          <w:color w:val="000000"/>
        </w:rPr>
        <w:t xml:space="preserve"> 53</w:t>
      </w:r>
      <w:r>
        <w:rPr>
          <w:rFonts w:ascii="Cambria" w:hAnsi="Cambria"/>
        </w:rPr>
        <w:t xml:space="preserve">: </w:t>
      </w:r>
      <w:r>
        <w:rPr>
          <w:rFonts w:ascii="Cambria" w:hAnsi="Cambria"/>
          <w:color w:val="000000"/>
        </w:rPr>
        <w:t>548–568.</w:t>
      </w:r>
    </w:p>
    <w:p w:rsidR="00E94405" w:rsidRDefault="00A11609">
      <w:pPr>
        <w:autoSpaceDE w:val="0"/>
        <w:autoSpaceDN w:val="0"/>
        <w:adjustRightInd w:val="0"/>
        <w:spacing w:before="200"/>
        <w:rPr>
          <w:rFonts w:ascii="Cambria" w:hAnsi="Cambria"/>
        </w:rPr>
      </w:pPr>
      <w:r>
        <w:rPr>
          <w:rFonts w:ascii="Cambria" w:hAnsi="Cambria"/>
          <w:color w:val="000000"/>
        </w:rPr>
        <w:t>Nogueira</w:t>
      </w:r>
      <w:r>
        <w:rPr>
          <w:rFonts w:ascii="Cambria" w:hAnsi="Cambria"/>
        </w:rPr>
        <w:t>,</w:t>
      </w:r>
      <w:r>
        <w:rPr>
          <w:rFonts w:ascii="Cambria" w:hAnsi="Cambria"/>
          <w:color w:val="000000"/>
        </w:rPr>
        <w:t xml:space="preserve"> MLB, </w:t>
      </w:r>
      <w:r>
        <w:rPr>
          <w:rFonts w:ascii="Cambria" w:hAnsi="Cambria"/>
        </w:rPr>
        <w:t xml:space="preserve">de </w:t>
      </w:r>
      <w:r>
        <w:rPr>
          <w:rFonts w:ascii="Cambria" w:hAnsi="Cambria"/>
          <w:color w:val="000000"/>
        </w:rPr>
        <w:t>Silva</w:t>
      </w:r>
      <w:r>
        <w:rPr>
          <w:rFonts w:ascii="Cambria" w:hAnsi="Cambria"/>
        </w:rPr>
        <w:t>,</w:t>
      </w:r>
      <w:r>
        <w:rPr>
          <w:rFonts w:ascii="Cambria" w:hAnsi="Cambria"/>
          <w:color w:val="000000"/>
        </w:rPr>
        <w:t xml:space="preserve"> PP</w:t>
      </w:r>
      <w:r>
        <w:rPr>
          <w:rFonts w:ascii="Cambria" w:hAnsi="Cambria"/>
        </w:rPr>
        <w:t xml:space="preserve"> &amp;</w:t>
      </w:r>
      <w:r>
        <w:rPr>
          <w:rFonts w:ascii="Cambria" w:hAnsi="Cambria"/>
          <w:color w:val="000000"/>
        </w:rPr>
        <w:t xml:space="preserve"> Bartnicki-Garcia</w:t>
      </w:r>
      <w:r>
        <w:rPr>
          <w:rFonts w:ascii="Cambria" w:hAnsi="Cambria"/>
        </w:rPr>
        <w:t>,</w:t>
      </w:r>
      <w:r>
        <w:rPr>
          <w:rFonts w:ascii="Cambria" w:hAnsi="Cambria"/>
          <w:color w:val="000000"/>
        </w:rPr>
        <w:t xml:space="preserve"> S 1977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Membrane fusion during secretion: A hypothesis based on electron microscope observation of </w:t>
      </w:r>
      <w:r>
        <w:rPr>
          <w:rFonts w:ascii="Cambria" w:hAnsi="Cambria"/>
          <w:i/>
          <w:color w:val="000000"/>
        </w:rPr>
        <w:t>Phytophthora palmivora</w:t>
      </w:r>
      <w:r>
        <w:rPr>
          <w:rFonts w:ascii="Cambria" w:hAnsi="Cambria"/>
          <w:color w:val="000000"/>
        </w:rPr>
        <w:t xml:space="preserve"> zoospores during encystment</w:t>
      </w:r>
      <w:r>
        <w:rPr>
          <w:rFonts w:ascii="Cambria" w:hAnsi="Cambria"/>
        </w:rPr>
        <w:t xml:space="preserve">’, </w:t>
      </w:r>
      <w:r>
        <w:rPr>
          <w:rFonts w:ascii="Cambria" w:hAnsi="Cambria"/>
          <w:i/>
          <w:color w:val="000000"/>
        </w:rPr>
        <w:t>The Journal of Cell Biology</w:t>
      </w:r>
      <w:r>
        <w:rPr>
          <w:rFonts w:ascii="Cambria" w:hAnsi="Cambria"/>
        </w:rPr>
        <w:t>,</w:t>
      </w:r>
      <w:r>
        <w:rPr>
          <w:rFonts w:ascii="Cambria" w:hAnsi="Cambria"/>
          <w:color w:val="000000"/>
        </w:rPr>
        <w:t xml:space="preserve"> 73: 161</w:t>
      </w:r>
      <w:r>
        <w:rPr>
          <w:rFonts w:ascii="Cambria" w:hAnsi="Cambria"/>
        </w:rPr>
        <w:t>–</w:t>
      </w:r>
      <w:r>
        <w:rPr>
          <w:rFonts w:ascii="Cambria" w:hAnsi="Cambria"/>
          <w:color w:val="000000"/>
        </w:rPr>
        <w:t>181.</w:t>
      </w:r>
    </w:p>
    <w:p w:rsidR="00E94405" w:rsidRDefault="00A11609">
      <w:pPr>
        <w:autoSpaceDE w:val="0"/>
        <w:autoSpaceDN w:val="0"/>
        <w:adjustRightInd w:val="0"/>
        <w:spacing w:before="200"/>
        <w:rPr>
          <w:rFonts w:ascii="Cambria" w:hAnsi="Cambria"/>
        </w:rPr>
      </w:pPr>
      <w:r>
        <w:rPr>
          <w:rFonts w:ascii="Cambria" w:hAnsi="Cambria"/>
          <w:color w:val="000000"/>
        </w:rPr>
        <w:t>O’Gara</w:t>
      </w:r>
      <w:r>
        <w:rPr>
          <w:rFonts w:ascii="Cambria" w:hAnsi="Cambria"/>
        </w:rPr>
        <w:t>,</w:t>
      </w:r>
      <w:r>
        <w:rPr>
          <w:rFonts w:ascii="Cambria" w:hAnsi="Cambria"/>
          <w:color w:val="000000"/>
        </w:rPr>
        <w:t xml:space="preserve"> E, Huberli</w:t>
      </w:r>
      <w:r>
        <w:rPr>
          <w:rFonts w:ascii="Cambria" w:hAnsi="Cambria"/>
        </w:rPr>
        <w:t>,</w:t>
      </w:r>
      <w:r>
        <w:rPr>
          <w:rFonts w:ascii="Cambria" w:hAnsi="Cambria"/>
          <w:color w:val="000000"/>
        </w:rPr>
        <w:t xml:space="preserve"> D</w:t>
      </w:r>
      <w:r>
        <w:rPr>
          <w:rFonts w:ascii="Cambria" w:hAnsi="Cambria"/>
        </w:rPr>
        <w:t xml:space="preserve"> &amp;</w:t>
      </w:r>
      <w:r>
        <w:rPr>
          <w:rFonts w:ascii="Cambria" w:hAnsi="Cambria"/>
          <w:color w:val="000000"/>
        </w:rPr>
        <w:t xml:space="preserve"> Hardy</w:t>
      </w:r>
      <w:r>
        <w:rPr>
          <w:rFonts w:ascii="Cambria" w:hAnsi="Cambria"/>
        </w:rPr>
        <w:t>,</w:t>
      </w:r>
      <w:r>
        <w:rPr>
          <w:rFonts w:ascii="Cambria" w:hAnsi="Cambria"/>
          <w:color w:val="000000"/>
        </w:rPr>
        <w:t xml:space="preserve"> G 2005</w:t>
      </w:r>
      <w:r>
        <w:rPr>
          <w:rFonts w:ascii="Cambria" w:hAnsi="Cambria"/>
        </w:rPr>
        <w:t>,</w:t>
      </w:r>
      <w:r>
        <w:rPr>
          <w:rFonts w:ascii="Cambria" w:hAnsi="Cambria"/>
          <w:color w:val="000000"/>
        </w:rPr>
        <w:t xml:space="preserve"> </w:t>
      </w:r>
      <w:r>
        <w:rPr>
          <w:rFonts w:ascii="Cambria" w:hAnsi="Cambria"/>
        </w:rPr>
        <w:t>‘</w:t>
      </w:r>
      <w:r>
        <w:rPr>
          <w:rFonts w:ascii="Cambria" w:hAnsi="Cambria"/>
          <w:i/>
        </w:rPr>
        <w:t>Phytophthora ramorum</w:t>
      </w:r>
      <w:r>
        <w:rPr>
          <w:rFonts w:ascii="Cambria" w:hAnsi="Cambria"/>
          <w:color w:val="000000"/>
        </w:rPr>
        <w:t>: a threat to Australia?</w:t>
      </w:r>
      <w:r>
        <w:rPr>
          <w:rFonts w:ascii="Cambria" w:hAnsi="Cambria"/>
        </w:rPr>
        <w:t xml:space="preserve">’, </w:t>
      </w:r>
      <w:r>
        <w:rPr>
          <w:rFonts w:ascii="Cambria" w:hAnsi="Cambria"/>
          <w:i/>
          <w:color w:val="000000"/>
        </w:rPr>
        <w:t>Australasian Plant Conservation</w:t>
      </w:r>
      <w:r>
        <w:rPr>
          <w:rFonts w:ascii="Cambria" w:hAnsi="Cambria"/>
        </w:rPr>
        <w:t>,</w:t>
      </w:r>
      <w:r>
        <w:rPr>
          <w:rFonts w:ascii="Cambria" w:hAnsi="Cambria"/>
          <w:color w:val="000000"/>
        </w:rPr>
        <w:t xml:space="preserve"> 13: 22</w:t>
      </w:r>
      <w:r>
        <w:rPr>
          <w:rFonts w:ascii="Cambria" w:hAnsi="Cambria"/>
        </w:rPr>
        <w:t>–</w:t>
      </w:r>
      <w:r>
        <w:rPr>
          <w:rFonts w:ascii="Cambria" w:hAnsi="Cambria"/>
          <w:color w:val="000000"/>
        </w:rPr>
        <w:t>24.</w:t>
      </w:r>
    </w:p>
    <w:p w:rsidR="00E94405" w:rsidRDefault="00A11609">
      <w:pPr>
        <w:autoSpaceDE w:val="0"/>
        <w:autoSpaceDN w:val="0"/>
        <w:adjustRightInd w:val="0"/>
        <w:spacing w:before="200"/>
        <w:rPr>
          <w:rFonts w:ascii="Cambria" w:hAnsi="Cambria"/>
        </w:rPr>
      </w:pPr>
      <w:r>
        <w:rPr>
          <w:rFonts w:ascii="Cambria" w:hAnsi="Cambria"/>
          <w:color w:val="000000"/>
        </w:rPr>
        <w:t>Olejarski</w:t>
      </w:r>
      <w:r>
        <w:rPr>
          <w:rFonts w:ascii="Cambria" w:hAnsi="Cambria"/>
        </w:rPr>
        <w:t>,</w:t>
      </w:r>
      <w:r>
        <w:rPr>
          <w:rFonts w:ascii="Cambria" w:hAnsi="Cambria"/>
          <w:color w:val="000000"/>
        </w:rPr>
        <w:t xml:space="preserve"> I, Kubiak</w:t>
      </w:r>
      <w:r>
        <w:rPr>
          <w:rFonts w:ascii="Cambria" w:hAnsi="Cambria"/>
        </w:rPr>
        <w:t>,</w:t>
      </w:r>
      <w:r>
        <w:rPr>
          <w:rFonts w:ascii="Cambria" w:hAnsi="Cambria"/>
          <w:color w:val="000000"/>
        </w:rPr>
        <w:t xml:space="preserve"> K, Nowakowska</w:t>
      </w:r>
      <w:r>
        <w:rPr>
          <w:rFonts w:ascii="Cambria" w:hAnsi="Cambria"/>
        </w:rPr>
        <w:t>,</w:t>
      </w:r>
      <w:r>
        <w:rPr>
          <w:rFonts w:ascii="Cambria" w:hAnsi="Cambria"/>
          <w:color w:val="000000"/>
        </w:rPr>
        <w:t xml:space="preserve"> J, Jung</w:t>
      </w:r>
      <w:r>
        <w:rPr>
          <w:rFonts w:ascii="Cambria" w:hAnsi="Cambria"/>
        </w:rPr>
        <w:t>,</w:t>
      </w:r>
      <w:r>
        <w:rPr>
          <w:rFonts w:ascii="Cambria" w:hAnsi="Cambria"/>
          <w:color w:val="000000"/>
        </w:rPr>
        <w:t xml:space="preserve"> T</w:t>
      </w:r>
      <w:r>
        <w:rPr>
          <w:rFonts w:ascii="Cambria" w:hAnsi="Cambria"/>
        </w:rPr>
        <w:t xml:space="preserve"> &amp;</w:t>
      </w:r>
      <w:r>
        <w:rPr>
          <w:rFonts w:ascii="Cambria" w:hAnsi="Cambria"/>
          <w:color w:val="000000"/>
        </w:rPr>
        <w:t xml:space="preserve"> Oszako</w:t>
      </w:r>
      <w:r>
        <w:rPr>
          <w:rFonts w:ascii="Cambria" w:hAnsi="Cambria"/>
        </w:rPr>
        <w:t>,</w:t>
      </w:r>
      <w:r>
        <w:rPr>
          <w:rFonts w:ascii="Cambria" w:hAnsi="Cambria"/>
          <w:color w:val="000000"/>
        </w:rPr>
        <w:t xml:space="preserve"> T 2012</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The occurrence of </w:t>
      </w:r>
      <w:r>
        <w:rPr>
          <w:rFonts w:ascii="Cambria" w:hAnsi="Cambria"/>
          <w:i/>
          <w:color w:val="000000"/>
        </w:rPr>
        <w:t>Phytophthora</w:t>
      </w:r>
      <w:r>
        <w:rPr>
          <w:rFonts w:ascii="Cambria" w:hAnsi="Cambria"/>
          <w:color w:val="000000"/>
        </w:rPr>
        <w:t xml:space="preserve"> species in European Ecological Network NATURA 2000 in Poland</w:t>
      </w:r>
      <w:r>
        <w:rPr>
          <w:rFonts w:ascii="Cambria" w:hAnsi="Cambria"/>
        </w:rPr>
        <w:t>', In: ‘</w:t>
      </w:r>
      <w:r>
        <w:rPr>
          <w:rFonts w:ascii="Cambria" w:hAnsi="Cambria"/>
          <w:i/>
        </w:rPr>
        <w:t>Phytophthora</w:t>
      </w:r>
      <w:r>
        <w:rPr>
          <w:rFonts w:ascii="Cambria" w:hAnsi="Cambria"/>
        </w:rPr>
        <w:t xml:space="preserve"> in Forests and Natural Ecosystems’, </w:t>
      </w:r>
      <w:r>
        <w:rPr>
          <w:rFonts w:ascii="Cambria" w:hAnsi="Cambria"/>
          <w:i/>
          <w:color w:val="000000"/>
        </w:rPr>
        <w:t>The Sixth Meeting of the International Union of Forest Research Organizations IUFRO Working Party</w:t>
      </w:r>
      <w:r>
        <w:rPr>
          <w:rFonts w:ascii="Cambria" w:hAnsi="Cambria"/>
          <w:color w:val="000000"/>
        </w:rPr>
        <w:t xml:space="preserve"> </w:t>
      </w:r>
      <w:r>
        <w:rPr>
          <w:rFonts w:ascii="Cambria" w:hAnsi="Cambria"/>
        </w:rPr>
        <w:t>[</w:t>
      </w:r>
      <w:r>
        <w:rPr>
          <w:rFonts w:ascii="Cambria" w:hAnsi="Cambria"/>
          <w:color w:val="000000"/>
        </w:rPr>
        <w:t>Meeting abstracts</w:t>
      </w:r>
      <w:r>
        <w:rPr>
          <w:rFonts w:ascii="Cambria" w:hAnsi="Cambria"/>
        </w:rPr>
        <w:t>],</w:t>
      </w:r>
      <w:r>
        <w:rPr>
          <w:rFonts w:ascii="Cambria" w:hAnsi="Cambria"/>
          <w:color w:val="000000"/>
        </w:rPr>
        <w:t xml:space="preserve"> Córdoba (Spain)</w:t>
      </w:r>
      <w:r>
        <w:rPr>
          <w:rFonts w:ascii="Cambria" w:hAnsi="Cambria"/>
        </w:rPr>
        <w:t xml:space="preserve"> </w:t>
      </w:r>
      <w:r>
        <w:rPr>
          <w:rFonts w:ascii="Cambria" w:hAnsi="Cambria"/>
          <w:color w:val="000000"/>
        </w:rPr>
        <w:t>September 2012</w:t>
      </w:r>
      <w:r>
        <w:rPr>
          <w:rFonts w:ascii="Cambria" w:hAnsi="Cambria"/>
        </w:rPr>
        <w:t>, http://iufrophytophthora2012.org/downloads/IUFRO2012_BookofAbstracts.pdf</w:t>
      </w:r>
      <w:r>
        <w:rPr>
          <w:rFonts w:ascii="Cambria" w:hAnsi="Cambria"/>
          <w:color w:val="000000"/>
        </w:rPr>
        <w:t xml:space="preserve"> accessed Feb 2012.</w:t>
      </w:r>
    </w:p>
    <w:p w:rsidR="00E94405" w:rsidRDefault="00A11609">
      <w:pPr>
        <w:autoSpaceDE w:val="0"/>
        <w:autoSpaceDN w:val="0"/>
        <w:adjustRightInd w:val="0"/>
        <w:spacing w:before="200"/>
        <w:rPr>
          <w:rFonts w:ascii="Cambria" w:hAnsi="Cambria"/>
        </w:rPr>
      </w:pPr>
      <w:r>
        <w:rPr>
          <w:rFonts w:ascii="Cambria" w:hAnsi="Cambria"/>
        </w:rPr>
        <w:lastRenderedPageBreak/>
        <w:t xml:space="preserve">Orlikowski, LB &amp; Szkuta, G 2004, ‘First report of </w:t>
      </w:r>
      <w:r>
        <w:rPr>
          <w:rFonts w:ascii="Cambria" w:hAnsi="Cambria"/>
          <w:i/>
          <w:color w:val="000000"/>
        </w:rPr>
        <w:t>Phytophthora ramorum</w:t>
      </w:r>
      <w:r>
        <w:rPr>
          <w:rFonts w:ascii="Cambria" w:hAnsi="Cambria"/>
        </w:rPr>
        <w:t xml:space="preserve"> on </w:t>
      </w:r>
      <w:r>
        <w:rPr>
          <w:rFonts w:ascii="Cambria" w:hAnsi="Cambria"/>
          <w:i/>
          <w:color w:val="000000"/>
        </w:rPr>
        <w:t>Calluna vulgaris, Photinia fraseri</w:t>
      </w:r>
      <w:r>
        <w:rPr>
          <w:rFonts w:ascii="Cambria" w:hAnsi="Cambria"/>
        </w:rPr>
        <w:t xml:space="preserve"> and </w:t>
      </w:r>
      <w:r>
        <w:rPr>
          <w:rFonts w:ascii="Cambria" w:hAnsi="Cambria"/>
          <w:i/>
          <w:color w:val="000000"/>
        </w:rPr>
        <w:t>Pieris japonica</w:t>
      </w:r>
      <w:r>
        <w:rPr>
          <w:rFonts w:ascii="Cambria" w:hAnsi="Cambria"/>
        </w:rPr>
        <w:t xml:space="preserve"> in Polish container-ornamental nurseries’, </w:t>
      </w:r>
      <w:r>
        <w:rPr>
          <w:rFonts w:ascii="Cambria" w:hAnsi="Cambria"/>
          <w:i/>
          <w:color w:val="000000"/>
        </w:rPr>
        <w:t>Phytopathologia Polonica</w:t>
      </w:r>
      <w:r>
        <w:rPr>
          <w:rFonts w:ascii="Cambria" w:hAnsi="Cambria"/>
        </w:rPr>
        <w:t>, 34: 87–92.</w:t>
      </w:r>
    </w:p>
    <w:p w:rsidR="00E94405" w:rsidRDefault="00A11609">
      <w:pPr>
        <w:autoSpaceDE w:val="0"/>
        <w:autoSpaceDN w:val="0"/>
        <w:adjustRightInd w:val="0"/>
        <w:spacing w:before="200"/>
        <w:rPr>
          <w:rFonts w:ascii="Cambria" w:hAnsi="Cambria"/>
        </w:rPr>
      </w:pPr>
      <w:r>
        <w:rPr>
          <w:rFonts w:ascii="Cambria" w:hAnsi="Cambria"/>
          <w:color w:val="000000"/>
        </w:rPr>
        <w:t>Orlikowski, LB, Ptaszek, M, Orlikowska, T</w:t>
      </w:r>
      <w:r>
        <w:rPr>
          <w:rFonts w:ascii="Cambria" w:hAnsi="Cambria"/>
        </w:rPr>
        <w:t xml:space="preserve"> &amp;</w:t>
      </w:r>
      <w:r>
        <w:rPr>
          <w:rFonts w:ascii="Cambria" w:hAnsi="Cambria"/>
          <w:color w:val="000000"/>
        </w:rPr>
        <w:t xml:space="preserve"> Trzewik, T 2010, </w:t>
      </w:r>
      <w:r>
        <w:rPr>
          <w:rFonts w:ascii="Cambria" w:hAnsi="Cambria"/>
        </w:rPr>
        <w:t>‘</w:t>
      </w:r>
      <w:r>
        <w:rPr>
          <w:rFonts w:ascii="Cambria" w:hAnsi="Cambria"/>
          <w:i/>
          <w:color w:val="000000"/>
        </w:rPr>
        <w:t>Phytophthora</w:t>
      </w:r>
      <w:r>
        <w:rPr>
          <w:rFonts w:ascii="Cambria" w:hAnsi="Cambria"/>
          <w:color w:val="000000"/>
        </w:rPr>
        <w:t xml:space="preserve"> </w:t>
      </w:r>
      <w:r>
        <w:rPr>
          <w:rFonts w:ascii="Cambria" w:hAnsi="Cambria"/>
        </w:rPr>
        <w:t xml:space="preserve">species, new pathogens in landscape and gardens’, </w:t>
      </w:r>
      <w:r>
        <w:rPr>
          <w:rFonts w:ascii="Cambria" w:hAnsi="Cambria"/>
          <w:i/>
          <w:color w:val="000000"/>
        </w:rPr>
        <w:t>Botanikos Sodo Raštai</w:t>
      </w:r>
      <w:r>
        <w:rPr>
          <w:rFonts w:ascii="Cambria" w:hAnsi="Cambria"/>
        </w:rPr>
        <w:t>, 14: 133–138</w:t>
      </w:r>
      <w:r>
        <w:rPr>
          <w:rFonts w:ascii="Cambria" w:hAnsi="Cambria"/>
          <w:color w:val="000000"/>
        </w:rPr>
        <w:t>.</w:t>
      </w:r>
      <w:r>
        <w:rPr>
          <w:rFonts w:ascii="Cambria" w:hAnsi="Cambria"/>
        </w:rPr>
        <w:t xml:space="preserve"> </w:t>
      </w:r>
    </w:p>
    <w:p w:rsidR="00E94405" w:rsidRDefault="00A11609">
      <w:pPr>
        <w:autoSpaceDE w:val="0"/>
        <w:autoSpaceDN w:val="0"/>
        <w:adjustRightInd w:val="0"/>
        <w:spacing w:before="200"/>
        <w:rPr>
          <w:rFonts w:ascii="Cambria" w:hAnsi="Cambria"/>
        </w:rPr>
      </w:pPr>
      <w:r>
        <w:rPr>
          <w:rFonts w:ascii="Cambria" w:hAnsi="Cambria"/>
          <w:color w:val="000000"/>
        </w:rPr>
        <w:t>Osterbauer</w:t>
      </w:r>
      <w:r>
        <w:rPr>
          <w:rFonts w:ascii="Cambria" w:hAnsi="Cambria"/>
        </w:rPr>
        <w:t>,</w:t>
      </w:r>
      <w:r>
        <w:rPr>
          <w:rFonts w:ascii="Cambria" w:hAnsi="Cambria"/>
          <w:color w:val="000000"/>
        </w:rPr>
        <w:t xml:space="preserve"> NK 2004</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Phytophthora ramorum</w:t>
      </w:r>
      <w:r>
        <w:rPr>
          <w:rFonts w:ascii="Cambria" w:hAnsi="Cambria"/>
          <w:color w:val="000000"/>
        </w:rPr>
        <w:t xml:space="preserve"> </w:t>
      </w:r>
      <w:r>
        <w:rPr>
          <w:rFonts w:ascii="Cambria" w:hAnsi="Cambria"/>
          <w:i/>
          <w:color w:val="000000"/>
        </w:rPr>
        <w:t>Pest risk assessment for Oregon</w:t>
      </w:r>
      <w:r>
        <w:rPr>
          <w:rFonts w:ascii="Cambria" w:hAnsi="Cambria"/>
          <w:color w:val="000000"/>
        </w:rPr>
        <w:t>’</w:t>
      </w:r>
      <w:r>
        <w:rPr>
          <w:rFonts w:ascii="Cambria" w:hAnsi="Cambria"/>
        </w:rPr>
        <w:t>,</w:t>
      </w:r>
      <w:r>
        <w:rPr>
          <w:rFonts w:ascii="Cambria" w:hAnsi="Cambria"/>
          <w:color w:val="000000"/>
        </w:rPr>
        <w:t xml:space="preserve"> accessed December 2004</w:t>
      </w:r>
      <w:r>
        <w:rPr>
          <w:rFonts w:ascii="Cambria" w:hAnsi="Cambria"/>
        </w:rPr>
        <w:t xml:space="preserve">, </w:t>
      </w:r>
      <w:r>
        <w:rPr>
          <w:rFonts w:ascii="Cambria" w:hAnsi="Cambria"/>
          <w:color w:val="000000"/>
        </w:rPr>
        <w:t>http://oda.state.or.us/plant/ppd/path/SOD/SOD_PRA_Oregon_2=03.pdf.</w:t>
      </w:r>
    </w:p>
    <w:p w:rsidR="00E94405" w:rsidRDefault="00A11609">
      <w:pPr>
        <w:autoSpaceDE w:val="0"/>
        <w:autoSpaceDN w:val="0"/>
        <w:adjustRightInd w:val="0"/>
        <w:spacing w:before="200"/>
        <w:rPr>
          <w:rFonts w:ascii="Cambria" w:hAnsi="Cambria"/>
        </w:rPr>
      </w:pPr>
      <w:r>
        <w:rPr>
          <w:rFonts w:ascii="Cambria" w:hAnsi="Cambria"/>
        </w:rPr>
        <w:t>Parke, J, Oh, E, Voelker, S, Hansen, E, Buckles, G &amp; Lachenbruch, B 2008, ‘</w:t>
      </w:r>
      <w:r>
        <w:rPr>
          <w:rFonts w:ascii="Cambria" w:hAnsi="Cambria"/>
          <w:i/>
        </w:rPr>
        <w:t>Phytophthora ramorum</w:t>
      </w:r>
      <w:r>
        <w:rPr>
          <w:rFonts w:ascii="Cambria" w:hAnsi="Cambria"/>
        </w:rPr>
        <w:t xml:space="preserve"> infects Tanoak sapwood and is associated with reduced sap flux and specific conductivity of xylem’, </w:t>
      </w:r>
      <w:r>
        <w:rPr>
          <w:rFonts w:ascii="Cambria" w:hAnsi="Cambria"/>
          <w:i/>
          <w:color w:val="000000"/>
        </w:rPr>
        <w:t>Proceedings of the Sudden Oak Death Third Science Symposium</w:t>
      </w:r>
      <w:r>
        <w:rPr>
          <w:rFonts w:ascii="Cambria" w:hAnsi="Cambria"/>
        </w:rPr>
        <w:t>, http://www.fs.fed.us/psw/publications/documents/psw_gtr214/psw_gtr214_153_parke.pdf.</w:t>
      </w:r>
    </w:p>
    <w:p w:rsidR="00E94405" w:rsidRDefault="00A11609">
      <w:pPr>
        <w:autoSpaceDE w:val="0"/>
        <w:autoSpaceDN w:val="0"/>
        <w:adjustRightInd w:val="0"/>
        <w:spacing w:before="200"/>
        <w:rPr>
          <w:rFonts w:ascii="Cambria" w:hAnsi="Cambria"/>
        </w:rPr>
      </w:pPr>
      <w:r>
        <w:rPr>
          <w:rFonts w:ascii="Cambria" w:hAnsi="Cambria"/>
        </w:rPr>
        <w:t>Parke, J, Pscheidt, J &amp; Linderman, R 2004a, ‘</w:t>
      </w:r>
      <w:r>
        <w:rPr>
          <w:rFonts w:ascii="Cambria" w:hAnsi="Cambria"/>
          <w:i/>
        </w:rPr>
        <w:t>Phytophthora ramorum</w:t>
      </w:r>
      <w:r>
        <w:rPr>
          <w:rFonts w:ascii="Cambria" w:hAnsi="Cambria"/>
        </w:rPr>
        <w:t>: A guide for Washington nurseries’, Oregon State University Extension Service, accessed March 2013, http://www.suddenoakdeath.org/.</w:t>
      </w:r>
    </w:p>
    <w:p w:rsidR="00E94405" w:rsidRDefault="00A11609">
      <w:pPr>
        <w:autoSpaceDE w:val="0"/>
        <w:autoSpaceDN w:val="0"/>
        <w:adjustRightInd w:val="0"/>
        <w:spacing w:before="200"/>
        <w:rPr>
          <w:rFonts w:ascii="Cambria" w:hAnsi="Cambria"/>
        </w:rPr>
      </w:pPr>
      <w:r>
        <w:rPr>
          <w:rFonts w:ascii="Cambria" w:hAnsi="Cambria"/>
        </w:rPr>
        <w:t xml:space="preserve">Parke, JL &amp; Lewis, C 2007, ‘Root and stem infection of </w:t>
      </w:r>
      <w:r>
        <w:rPr>
          <w:rFonts w:ascii="Cambria" w:hAnsi="Cambria"/>
          <w:i/>
          <w:color w:val="000000"/>
        </w:rPr>
        <w:t>Rhododendron</w:t>
      </w:r>
      <w:r>
        <w:rPr>
          <w:rFonts w:ascii="Cambria" w:hAnsi="Cambria"/>
        </w:rPr>
        <w:t xml:space="preserve"> from potting medium infested with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91: 1265–1270.</w:t>
      </w:r>
    </w:p>
    <w:p w:rsidR="00E94405" w:rsidRDefault="00A11609">
      <w:pPr>
        <w:autoSpaceDE w:val="0"/>
        <w:autoSpaceDN w:val="0"/>
        <w:adjustRightInd w:val="0"/>
        <w:spacing w:before="200"/>
        <w:rPr>
          <w:rFonts w:ascii="Cambria" w:hAnsi="Cambria"/>
        </w:rPr>
      </w:pPr>
      <w:r>
        <w:rPr>
          <w:rFonts w:ascii="Cambria" w:hAnsi="Cambria"/>
        </w:rPr>
        <w:t>Parke, JL &amp; Lucas, S 2008, ‘Sudden oak death and ramorum blight’, The Plant Health Instructor, accessed May 2011, http://www.apsnet.org/edcenter/intropp/lessons/fungi/Oomycetes/Pages/SuddenOakDeath.aspx.</w:t>
      </w:r>
    </w:p>
    <w:p w:rsidR="00E94405" w:rsidRDefault="00A11609">
      <w:pPr>
        <w:autoSpaceDE w:val="0"/>
        <w:autoSpaceDN w:val="0"/>
        <w:adjustRightInd w:val="0"/>
        <w:spacing w:before="200"/>
        <w:rPr>
          <w:rFonts w:ascii="Cambria" w:hAnsi="Cambria"/>
        </w:rPr>
      </w:pPr>
      <w:r>
        <w:rPr>
          <w:rFonts w:ascii="Cambria" w:hAnsi="Cambria"/>
        </w:rPr>
        <w:t>Parke, JL &amp; Rizzo, DM 2011, ‘</w:t>
      </w:r>
      <w:r>
        <w:rPr>
          <w:rFonts w:ascii="Cambria" w:hAnsi="Cambria"/>
          <w:i/>
        </w:rPr>
        <w:t>Phytophthora ramorum</w:t>
      </w:r>
      <w:r>
        <w:rPr>
          <w:rFonts w:ascii="Cambria" w:hAnsi="Cambria"/>
        </w:rPr>
        <w:t xml:space="preserve">’, </w:t>
      </w:r>
      <w:r>
        <w:rPr>
          <w:rFonts w:ascii="Cambria" w:hAnsi="Cambria"/>
          <w:i/>
        </w:rPr>
        <w:t>Forest Phytophthoras</w:t>
      </w:r>
      <w:r>
        <w:rPr>
          <w:rFonts w:ascii="Cambria" w:hAnsi="Cambria"/>
        </w:rPr>
        <w:t>, 1, doi: 10.5399/osu/fp.1.1.1821.</w:t>
      </w:r>
    </w:p>
    <w:p w:rsidR="00E94405" w:rsidRDefault="00A11609">
      <w:pPr>
        <w:autoSpaceDE w:val="0"/>
        <w:autoSpaceDN w:val="0"/>
        <w:adjustRightInd w:val="0"/>
        <w:spacing w:before="200"/>
        <w:rPr>
          <w:rFonts w:ascii="Cambria" w:hAnsi="Cambria"/>
          <w:color w:val="000000"/>
        </w:rPr>
      </w:pPr>
      <w:r>
        <w:rPr>
          <w:rFonts w:ascii="Cambria" w:hAnsi="Cambria"/>
          <w:color w:val="000000"/>
        </w:rPr>
        <w:t>Parke</w:t>
      </w:r>
      <w:r>
        <w:rPr>
          <w:rFonts w:ascii="Cambria" w:hAnsi="Cambria"/>
        </w:rPr>
        <w:t>,</w:t>
      </w:r>
      <w:r>
        <w:rPr>
          <w:rFonts w:ascii="Cambria" w:hAnsi="Cambria"/>
          <w:color w:val="000000"/>
        </w:rPr>
        <w:t xml:space="preserve"> JL, Hansen</w:t>
      </w:r>
      <w:r>
        <w:rPr>
          <w:rFonts w:ascii="Cambria" w:hAnsi="Cambria"/>
        </w:rPr>
        <w:t>,</w:t>
      </w:r>
      <w:r>
        <w:rPr>
          <w:rFonts w:ascii="Cambria" w:hAnsi="Cambria"/>
          <w:color w:val="000000"/>
        </w:rPr>
        <w:t xml:space="preserve"> E, Buckles</w:t>
      </w:r>
      <w:r>
        <w:rPr>
          <w:rFonts w:ascii="Cambria" w:hAnsi="Cambria"/>
        </w:rPr>
        <w:t>,</w:t>
      </w:r>
      <w:r>
        <w:rPr>
          <w:rFonts w:ascii="Cambria" w:hAnsi="Cambria"/>
          <w:color w:val="000000"/>
        </w:rPr>
        <w:t xml:space="preserve"> G, Voelker</w:t>
      </w:r>
      <w:r>
        <w:rPr>
          <w:rFonts w:ascii="Cambria" w:hAnsi="Cambria"/>
        </w:rPr>
        <w:t>,</w:t>
      </w:r>
      <w:r>
        <w:rPr>
          <w:rFonts w:ascii="Cambria" w:hAnsi="Cambria"/>
          <w:color w:val="000000"/>
        </w:rPr>
        <w:t xml:space="preserve"> S, Collins</w:t>
      </w:r>
      <w:r>
        <w:rPr>
          <w:rFonts w:ascii="Cambria" w:hAnsi="Cambria"/>
        </w:rPr>
        <w:t>,</w:t>
      </w:r>
      <w:r>
        <w:rPr>
          <w:rFonts w:ascii="Cambria" w:hAnsi="Cambria"/>
          <w:color w:val="000000"/>
        </w:rPr>
        <w:t xml:space="preserve"> B</w:t>
      </w:r>
      <w:r>
        <w:rPr>
          <w:rFonts w:ascii="Cambria" w:hAnsi="Cambria"/>
        </w:rPr>
        <w:t xml:space="preserve"> &amp;</w:t>
      </w:r>
      <w:r>
        <w:rPr>
          <w:rFonts w:ascii="Cambria" w:hAnsi="Cambria"/>
          <w:color w:val="000000"/>
        </w:rPr>
        <w:t xml:space="preserve"> Lachenbruch</w:t>
      </w:r>
      <w:r>
        <w:rPr>
          <w:rFonts w:ascii="Cambria" w:hAnsi="Cambria"/>
        </w:rPr>
        <w:t>,</w:t>
      </w:r>
      <w:r>
        <w:rPr>
          <w:rFonts w:ascii="Cambria" w:hAnsi="Cambria"/>
          <w:color w:val="000000"/>
        </w:rPr>
        <w:t xml:space="preserve"> B 2007</w:t>
      </w:r>
      <w:r>
        <w:rPr>
          <w:rFonts w:ascii="Cambria" w:hAnsi="Cambria"/>
        </w:rPr>
        <w:t>a,</w:t>
      </w:r>
      <w:r>
        <w:rPr>
          <w:rFonts w:ascii="Cambria" w:hAnsi="Cambria"/>
          <w:color w:val="000000"/>
        </w:rPr>
        <w:t xml:space="preserve"> </w:t>
      </w:r>
      <w:r>
        <w:rPr>
          <w:rFonts w:ascii="Cambria" w:hAnsi="Cambria"/>
        </w:rPr>
        <w:t>‘</w:t>
      </w:r>
      <w:r>
        <w:rPr>
          <w:rFonts w:ascii="Cambria" w:hAnsi="Cambria"/>
          <w:i/>
        </w:rPr>
        <w:t>Phytophthora ramorum</w:t>
      </w:r>
      <w:r>
        <w:rPr>
          <w:rFonts w:ascii="Cambria" w:hAnsi="Cambria"/>
          <w:color w:val="000000"/>
        </w:rPr>
        <w:t xml:space="preserve"> infects sapwood and is associated with reduced specific conductivity of xylem vessels in tanoak</w:t>
      </w:r>
      <w:r>
        <w:rPr>
          <w:rFonts w:ascii="Cambria" w:hAnsi="Cambria"/>
        </w:rPr>
        <w:t xml:space="preserve">’, </w:t>
      </w:r>
      <w:r>
        <w:rPr>
          <w:rFonts w:ascii="Cambria" w:hAnsi="Cambria"/>
          <w:i/>
          <w:color w:val="000000"/>
        </w:rPr>
        <w:t>Sudden Oak Death Symposium III</w:t>
      </w:r>
      <w:r>
        <w:rPr>
          <w:rFonts w:ascii="Cambria" w:hAnsi="Cambria"/>
          <w:color w:val="000000"/>
        </w:rPr>
        <w:t>.</w:t>
      </w:r>
    </w:p>
    <w:p w:rsidR="00E94405" w:rsidRDefault="00A11609">
      <w:pPr>
        <w:autoSpaceDE w:val="0"/>
        <w:autoSpaceDN w:val="0"/>
        <w:adjustRightInd w:val="0"/>
        <w:spacing w:before="200"/>
        <w:rPr>
          <w:rFonts w:ascii="Cambria" w:hAnsi="Cambria"/>
        </w:rPr>
      </w:pPr>
      <w:r>
        <w:rPr>
          <w:rFonts w:ascii="Cambria" w:hAnsi="Cambria"/>
        </w:rPr>
        <w:t xml:space="preserve">Parke, JL, Hansen, EM &amp; Linderman, RG 2002a, ‘Sporulation potential of </w:t>
      </w:r>
      <w:r>
        <w:rPr>
          <w:rFonts w:ascii="Cambria" w:hAnsi="Cambria"/>
          <w:i/>
        </w:rPr>
        <w:t>Phytophthora ramorum</w:t>
      </w:r>
      <w:r>
        <w:rPr>
          <w:rFonts w:ascii="Cambria" w:hAnsi="Cambria"/>
        </w:rPr>
        <w:t xml:space="preserve"> on leaf disks from selected hosts’ [Abstract], </w:t>
      </w:r>
      <w:r>
        <w:rPr>
          <w:rFonts w:ascii="Cambria" w:hAnsi="Cambria"/>
          <w:i/>
          <w:color w:val="000000"/>
        </w:rPr>
        <w:t>Proceedings of the Sudden Oak Death, A Science Symposium</w:t>
      </w:r>
      <w:r>
        <w:rPr>
          <w:rFonts w:ascii="Cambria" w:hAnsi="Cambria"/>
        </w:rPr>
        <w:t>, 33.</w:t>
      </w:r>
    </w:p>
    <w:p w:rsidR="00E94405" w:rsidRDefault="00A11609">
      <w:pPr>
        <w:autoSpaceDE w:val="0"/>
        <w:autoSpaceDN w:val="0"/>
        <w:adjustRightInd w:val="0"/>
        <w:spacing w:before="200"/>
        <w:rPr>
          <w:rFonts w:ascii="Cambria" w:hAnsi="Cambria"/>
        </w:rPr>
      </w:pPr>
      <w:r>
        <w:rPr>
          <w:rFonts w:ascii="Cambria" w:hAnsi="Cambria"/>
        </w:rPr>
        <w:t xml:space="preserve">Parke, JL, Linderman, RG, Osterbauer, NK &amp; Griesbach, JA 2004b, ‘Detection of </w:t>
      </w:r>
      <w:r>
        <w:rPr>
          <w:rFonts w:ascii="Cambria" w:hAnsi="Cambria"/>
          <w:i/>
        </w:rPr>
        <w:t>Phytophthora ramorum</w:t>
      </w:r>
      <w:r>
        <w:rPr>
          <w:rFonts w:ascii="Cambria" w:hAnsi="Cambria"/>
        </w:rPr>
        <w:t xml:space="preserve"> blight in Oregon nurseries and completion of Koch's postulates on </w:t>
      </w:r>
      <w:r>
        <w:rPr>
          <w:rFonts w:ascii="Cambria" w:hAnsi="Cambria"/>
          <w:i/>
          <w:color w:val="000000"/>
        </w:rPr>
        <w:t>Pieris</w:t>
      </w:r>
      <w:r>
        <w:rPr>
          <w:rFonts w:ascii="Cambria" w:hAnsi="Cambria"/>
        </w:rPr>
        <w:t xml:space="preserve">, </w:t>
      </w:r>
      <w:r>
        <w:rPr>
          <w:rFonts w:ascii="Cambria" w:hAnsi="Cambria"/>
          <w:i/>
          <w:color w:val="000000"/>
        </w:rPr>
        <w:t>Rhododendron</w:t>
      </w:r>
      <w:r>
        <w:rPr>
          <w:rFonts w:ascii="Cambria" w:hAnsi="Cambria"/>
        </w:rPr>
        <w:t xml:space="preserve">, </w:t>
      </w:r>
      <w:r>
        <w:rPr>
          <w:rFonts w:ascii="Cambria" w:hAnsi="Cambria"/>
          <w:i/>
          <w:color w:val="000000"/>
        </w:rPr>
        <w:t>Viburnum</w:t>
      </w:r>
      <w:r>
        <w:rPr>
          <w:rFonts w:ascii="Cambria" w:hAnsi="Cambria"/>
        </w:rPr>
        <w:t xml:space="preserve"> and </w:t>
      </w:r>
      <w:r>
        <w:rPr>
          <w:rFonts w:ascii="Cambria" w:hAnsi="Cambria"/>
          <w:i/>
          <w:color w:val="000000"/>
        </w:rPr>
        <w:t>Camellia</w:t>
      </w:r>
      <w:r>
        <w:rPr>
          <w:rFonts w:ascii="Cambria" w:hAnsi="Cambria"/>
          <w:color w:val="000000"/>
        </w:rPr>
        <w:t xml:space="preserve">’, </w:t>
      </w:r>
      <w:r>
        <w:rPr>
          <w:rFonts w:ascii="Cambria" w:hAnsi="Cambria"/>
          <w:i/>
        </w:rPr>
        <w:t>Plant Disease</w:t>
      </w:r>
      <w:r>
        <w:rPr>
          <w:rFonts w:ascii="Cambria" w:hAnsi="Cambria"/>
          <w:color w:val="000000"/>
        </w:rPr>
        <w:t>,</w:t>
      </w:r>
      <w:r>
        <w:rPr>
          <w:rFonts w:ascii="Cambria" w:hAnsi="Cambria"/>
        </w:rPr>
        <w:t xml:space="preserve"> 88: 87.</w:t>
      </w:r>
    </w:p>
    <w:p w:rsidR="00E94405" w:rsidRDefault="00A11609">
      <w:pPr>
        <w:autoSpaceDE w:val="0"/>
        <w:autoSpaceDN w:val="0"/>
        <w:adjustRightInd w:val="0"/>
        <w:spacing w:before="200"/>
        <w:rPr>
          <w:rFonts w:ascii="Cambria" w:hAnsi="Cambria"/>
        </w:rPr>
      </w:pPr>
      <w:r>
        <w:rPr>
          <w:rFonts w:ascii="Cambria" w:hAnsi="Cambria"/>
        </w:rPr>
        <w:t xml:space="preserve">Parke, JL, Linderman, RJ, Hummer, K &amp; Hansen, EM 2002b, ‘Assessing the susceptibility of Pacific Northwest nursery plants to </w:t>
      </w:r>
      <w:r>
        <w:rPr>
          <w:rFonts w:ascii="Cambria" w:hAnsi="Cambria"/>
          <w:i/>
        </w:rPr>
        <w:t>Phytophthora ramorum</w:t>
      </w:r>
      <w:r>
        <w:rPr>
          <w:rFonts w:ascii="Cambria" w:hAnsi="Cambria"/>
        </w:rPr>
        <w:t xml:space="preserve"> using a detached leaf assay’ [Abstract], </w:t>
      </w:r>
      <w:r>
        <w:rPr>
          <w:rFonts w:ascii="Cambria" w:hAnsi="Cambria"/>
          <w:i/>
          <w:color w:val="000000"/>
        </w:rPr>
        <w:t>Proceedings of the Sudden Oak Death, A Science Symposium</w:t>
      </w:r>
      <w:r>
        <w:rPr>
          <w:rFonts w:ascii="Cambria" w:hAnsi="Cambria"/>
        </w:rPr>
        <w:t>, 84–85.</w:t>
      </w:r>
    </w:p>
    <w:p w:rsidR="00E94405" w:rsidRDefault="00A11609">
      <w:pPr>
        <w:autoSpaceDE w:val="0"/>
        <w:autoSpaceDN w:val="0"/>
        <w:adjustRightInd w:val="0"/>
        <w:spacing w:before="200"/>
        <w:rPr>
          <w:rFonts w:ascii="Cambria" w:hAnsi="Cambria"/>
        </w:rPr>
      </w:pPr>
      <w:r>
        <w:rPr>
          <w:rFonts w:ascii="Cambria" w:hAnsi="Cambria"/>
        </w:rPr>
        <w:t xml:space="preserve">Parke, JL, Linderman, RJ, Hummer, K &amp; Hansen, EM 2002c, ‘Differential susceptibility to </w:t>
      </w:r>
      <w:r>
        <w:rPr>
          <w:rFonts w:ascii="Cambria" w:hAnsi="Cambria"/>
          <w:i/>
        </w:rPr>
        <w:t>Phytophthora ramorum</w:t>
      </w:r>
      <w:r>
        <w:rPr>
          <w:rFonts w:ascii="Cambria" w:hAnsi="Cambria"/>
        </w:rPr>
        <w:t xml:space="preserve"> among </w:t>
      </w:r>
      <w:r>
        <w:rPr>
          <w:rFonts w:ascii="Cambria" w:hAnsi="Cambria"/>
          <w:i/>
          <w:color w:val="000000"/>
        </w:rPr>
        <w:t>Vaccinium</w:t>
      </w:r>
      <w:r>
        <w:rPr>
          <w:rFonts w:ascii="Cambria" w:hAnsi="Cambria"/>
        </w:rPr>
        <w:t xml:space="preserve"> species and cultivars’ [Abstract], </w:t>
      </w:r>
      <w:r>
        <w:rPr>
          <w:rFonts w:ascii="Cambria" w:hAnsi="Cambria"/>
          <w:i/>
          <w:color w:val="000000"/>
        </w:rPr>
        <w:t>Proceedings of the Sudden Oak Death, A Science Symposium</w:t>
      </w:r>
      <w:r>
        <w:rPr>
          <w:rFonts w:ascii="Cambria" w:hAnsi="Cambria"/>
        </w:rPr>
        <w:t>, 83–84.</w:t>
      </w:r>
    </w:p>
    <w:p w:rsidR="00E94405" w:rsidRDefault="00A11609">
      <w:pPr>
        <w:autoSpaceDE w:val="0"/>
        <w:autoSpaceDN w:val="0"/>
        <w:adjustRightInd w:val="0"/>
        <w:spacing w:before="200"/>
        <w:rPr>
          <w:rFonts w:ascii="Cambria" w:hAnsi="Cambria"/>
        </w:rPr>
      </w:pPr>
      <w:r>
        <w:rPr>
          <w:rFonts w:ascii="Cambria" w:hAnsi="Cambria"/>
        </w:rPr>
        <w:lastRenderedPageBreak/>
        <w:t>Parke, JL, Oh, E, Voelker, S, Hansen, EM, Buckles, G &amp; Lachenbruch, B 2007b, ‘</w:t>
      </w:r>
      <w:r>
        <w:rPr>
          <w:rFonts w:ascii="Cambria" w:hAnsi="Cambria"/>
          <w:i/>
        </w:rPr>
        <w:t>Phytophthora ramorum</w:t>
      </w:r>
      <w:r>
        <w:rPr>
          <w:rFonts w:ascii="Cambria" w:hAnsi="Cambria"/>
        </w:rPr>
        <w:t xml:space="preserve"> colonizes tanoak xylem and is associated with reduced stem water transport’, </w:t>
      </w:r>
      <w:r>
        <w:rPr>
          <w:rFonts w:ascii="Cambria" w:hAnsi="Cambria"/>
          <w:i/>
          <w:color w:val="000000"/>
        </w:rPr>
        <w:t>Phytopathology</w:t>
      </w:r>
      <w:r>
        <w:rPr>
          <w:rFonts w:ascii="Cambria" w:hAnsi="Cambria"/>
        </w:rPr>
        <w:t xml:space="preserve">, 97: 1558–1567. </w:t>
      </w:r>
    </w:p>
    <w:p w:rsidR="00E94405" w:rsidRDefault="00A11609">
      <w:pPr>
        <w:autoSpaceDE w:val="0"/>
        <w:autoSpaceDN w:val="0"/>
        <w:adjustRightInd w:val="0"/>
        <w:spacing w:before="200"/>
        <w:rPr>
          <w:rFonts w:ascii="Cambria" w:hAnsi="Cambria"/>
        </w:rPr>
      </w:pPr>
      <w:r>
        <w:rPr>
          <w:rFonts w:ascii="Cambria" w:hAnsi="Cambria"/>
        </w:rPr>
        <w:t xml:space="preserve">Pintos Varela, C, Mansilla Vázquez, JP &amp; Aguín Casal, O 2003, ‘First Report of </w:t>
      </w:r>
      <w:r>
        <w:rPr>
          <w:rFonts w:ascii="Cambria" w:hAnsi="Cambria"/>
          <w:i/>
        </w:rPr>
        <w:t>Phytophthora ramorum</w:t>
      </w:r>
      <w:r>
        <w:rPr>
          <w:rFonts w:ascii="Cambria" w:hAnsi="Cambria"/>
        </w:rPr>
        <w:t xml:space="preserve"> on </w:t>
      </w:r>
      <w:r>
        <w:rPr>
          <w:rFonts w:ascii="Cambria" w:hAnsi="Cambria"/>
          <w:i/>
        </w:rPr>
        <w:t>Camellia japonica</w:t>
      </w:r>
      <w:r>
        <w:rPr>
          <w:rFonts w:ascii="Cambria" w:hAnsi="Cambria"/>
        </w:rPr>
        <w:t xml:space="preserve"> in Spain’, </w:t>
      </w:r>
      <w:r>
        <w:rPr>
          <w:rFonts w:ascii="Cambria" w:hAnsi="Cambria"/>
          <w:i/>
        </w:rPr>
        <w:t>Plant Disease</w:t>
      </w:r>
      <w:r>
        <w:rPr>
          <w:rFonts w:ascii="Cambria" w:hAnsi="Cambria"/>
        </w:rPr>
        <w:t>, 87: 1396.</w:t>
      </w:r>
    </w:p>
    <w:p w:rsidR="00E94405" w:rsidRDefault="00A11609">
      <w:pPr>
        <w:autoSpaceDE w:val="0"/>
        <w:autoSpaceDN w:val="0"/>
        <w:adjustRightInd w:val="0"/>
        <w:spacing w:before="200"/>
        <w:rPr>
          <w:rFonts w:ascii="Cambria" w:hAnsi="Cambria"/>
        </w:rPr>
      </w:pPr>
      <w:r>
        <w:rPr>
          <w:rFonts w:ascii="Cambria" w:hAnsi="Cambria"/>
        </w:rPr>
        <w:t xml:space="preserve">Pogoda, F &amp; Werres, S 2004, ‘Histological studies of </w:t>
      </w:r>
      <w:r>
        <w:rPr>
          <w:rFonts w:ascii="Cambria" w:hAnsi="Cambria"/>
          <w:i/>
        </w:rPr>
        <w:t>Phytophthora ramorum</w:t>
      </w:r>
      <w:r>
        <w:rPr>
          <w:rFonts w:ascii="Cambria" w:hAnsi="Cambria"/>
        </w:rPr>
        <w:t xml:space="preserve"> in </w:t>
      </w:r>
      <w:r>
        <w:rPr>
          <w:rFonts w:ascii="Cambria" w:hAnsi="Cambria"/>
          <w:i/>
        </w:rPr>
        <w:t>Rhododendron</w:t>
      </w:r>
      <w:r>
        <w:rPr>
          <w:rFonts w:ascii="Cambria" w:hAnsi="Cambria"/>
        </w:rPr>
        <w:t xml:space="preserve"> twigs’, </w:t>
      </w:r>
      <w:r>
        <w:rPr>
          <w:rFonts w:ascii="Cambria" w:hAnsi="Cambria"/>
          <w:i/>
        </w:rPr>
        <w:t>Canadian Journal of Botany</w:t>
      </w:r>
      <w:r>
        <w:rPr>
          <w:rFonts w:ascii="Cambria" w:hAnsi="Cambria"/>
        </w:rPr>
        <w:t xml:space="preserve">, 82: 1481–1489. </w:t>
      </w:r>
    </w:p>
    <w:p w:rsidR="00E94405" w:rsidRDefault="00A11609">
      <w:pPr>
        <w:autoSpaceDE w:val="0"/>
        <w:autoSpaceDN w:val="0"/>
        <w:adjustRightInd w:val="0"/>
        <w:spacing w:before="200"/>
        <w:rPr>
          <w:rFonts w:ascii="Cambria" w:hAnsi="Cambria"/>
        </w:rPr>
      </w:pPr>
      <w:r>
        <w:rPr>
          <w:rFonts w:ascii="Cambria" w:hAnsi="Cambria"/>
        </w:rPr>
        <w:t xml:space="preserve">Prospero, S, Grünwald, NJ, Winton, LM &amp; Hansen, EM 2009, ‘Migration patterns of the emerging plant pathogen </w:t>
      </w:r>
      <w:r>
        <w:rPr>
          <w:rFonts w:ascii="Cambria" w:hAnsi="Cambria"/>
          <w:i/>
        </w:rPr>
        <w:t>Phytophthora ramorum</w:t>
      </w:r>
      <w:r>
        <w:rPr>
          <w:rFonts w:ascii="Cambria" w:hAnsi="Cambria"/>
        </w:rPr>
        <w:t xml:space="preserve"> on the West Coast of the United States of America’, </w:t>
      </w:r>
      <w:r>
        <w:rPr>
          <w:rFonts w:ascii="Cambria" w:hAnsi="Cambria"/>
          <w:i/>
        </w:rPr>
        <w:t>Phytopathology</w:t>
      </w:r>
      <w:r>
        <w:rPr>
          <w:rFonts w:ascii="Cambria" w:hAnsi="Cambria"/>
        </w:rPr>
        <w:t>,</w:t>
      </w:r>
      <w:r>
        <w:rPr>
          <w:rFonts w:ascii="Cambria" w:hAnsi="Cambria"/>
          <w:i/>
        </w:rPr>
        <w:t xml:space="preserve"> </w:t>
      </w:r>
      <w:r>
        <w:rPr>
          <w:rFonts w:ascii="Cambria" w:hAnsi="Cambria"/>
        </w:rPr>
        <w:t xml:space="preserve">99: 739–749. </w:t>
      </w:r>
    </w:p>
    <w:p w:rsidR="00E94405" w:rsidRDefault="00A11609">
      <w:pPr>
        <w:autoSpaceDE w:val="0"/>
        <w:autoSpaceDN w:val="0"/>
        <w:adjustRightInd w:val="0"/>
        <w:spacing w:before="200"/>
        <w:rPr>
          <w:rFonts w:ascii="Cambria" w:hAnsi="Cambria"/>
        </w:rPr>
      </w:pPr>
      <w:r>
        <w:rPr>
          <w:rFonts w:ascii="Cambria" w:hAnsi="Cambria"/>
        </w:rPr>
        <w:t xml:space="preserve">Prospero, S, Hansen, EM, Grünwald, NJ &amp; Winton, LM 2007, ‘Population dynamics of the sudden oak death pathogen </w:t>
      </w:r>
      <w:r>
        <w:rPr>
          <w:rFonts w:ascii="Cambria" w:hAnsi="Cambria"/>
          <w:i/>
        </w:rPr>
        <w:t>Phytophthora ramorum</w:t>
      </w:r>
      <w:r>
        <w:rPr>
          <w:rFonts w:ascii="Cambria" w:hAnsi="Cambria"/>
        </w:rPr>
        <w:t xml:space="preserve"> in Oregon from 2001 to 2004’, </w:t>
      </w:r>
      <w:r>
        <w:rPr>
          <w:rFonts w:ascii="Cambria" w:hAnsi="Cambria"/>
          <w:i/>
        </w:rPr>
        <w:t>Molecular Ecology</w:t>
      </w:r>
      <w:r>
        <w:rPr>
          <w:rFonts w:ascii="Cambria" w:hAnsi="Cambria"/>
        </w:rPr>
        <w:t>, 16: 2958–2973.</w:t>
      </w:r>
    </w:p>
    <w:p w:rsidR="00E94405" w:rsidRDefault="00A11609">
      <w:pPr>
        <w:autoSpaceDE w:val="0"/>
        <w:autoSpaceDN w:val="0"/>
        <w:adjustRightInd w:val="0"/>
        <w:spacing w:before="200"/>
        <w:rPr>
          <w:rFonts w:ascii="Cambria" w:hAnsi="Cambria"/>
          <w:color w:val="000000"/>
        </w:rPr>
      </w:pPr>
      <w:r>
        <w:rPr>
          <w:rFonts w:ascii="Cambria" w:hAnsi="Cambria"/>
        </w:rPr>
        <w:t xml:space="preserve">Purse, BV, Graeser, P, Searle, K, Edwards, C &amp; Harris, C 2013, ‘Challenges in predicting invasive reservoir hosts of emerging pathogens: mapping </w:t>
      </w:r>
      <w:r>
        <w:rPr>
          <w:rFonts w:ascii="Cambria" w:hAnsi="Cambria"/>
          <w:i/>
        </w:rPr>
        <w:t>Rhododendron ponticum</w:t>
      </w:r>
      <w:r>
        <w:rPr>
          <w:rFonts w:ascii="Cambria" w:hAnsi="Cambria"/>
        </w:rPr>
        <w:t xml:space="preserve"> as a foliar host for </w:t>
      </w:r>
      <w:r>
        <w:rPr>
          <w:rFonts w:ascii="Cambria" w:hAnsi="Cambria"/>
          <w:i/>
        </w:rPr>
        <w:t>Phytophthora ramorum</w:t>
      </w:r>
      <w:r>
        <w:rPr>
          <w:rFonts w:ascii="Cambria" w:hAnsi="Cambria"/>
        </w:rPr>
        <w:t xml:space="preserve"> and </w:t>
      </w:r>
      <w:r>
        <w:rPr>
          <w:rFonts w:ascii="Cambria" w:hAnsi="Cambria"/>
          <w:i/>
        </w:rPr>
        <w:t>Phytophthora kernoviae</w:t>
      </w:r>
      <w:r>
        <w:rPr>
          <w:rFonts w:ascii="Cambria" w:hAnsi="Cambria"/>
        </w:rPr>
        <w:t xml:space="preserve"> in the UK’, </w:t>
      </w:r>
      <w:r>
        <w:rPr>
          <w:rFonts w:ascii="Cambria" w:hAnsi="Cambria"/>
          <w:i/>
        </w:rPr>
        <w:t>Biological Invasions</w:t>
      </w:r>
      <w:r>
        <w:rPr>
          <w:rFonts w:ascii="Cambria" w:hAnsi="Cambria"/>
        </w:rPr>
        <w:t>, 15: 529–545.</w:t>
      </w:r>
    </w:p>
    <w:p w:rsidR="00E94405" w:rsidRDefault="00A11609">
      <w:pPr>
        <w:autoSpaceDE w:val="0"/>
        <w:autoSpaceDN w:val="0"/>
        <w:adjustRightInd w:val="0"/>
        <w:spacing w:before="200"/>
        <w:rPr>
          <w:rFonts w:ascii="Cambria" w:hAnsi="Cambria"/>
          <w:color w:val="000000"/>
        </w:rPr>
      </w:pPr>
      <w:r>
        <w:rPr>
          <w:rFonts w:ascii="Cambria" w:hAnsi="Cambria"/>
          <w:color w:val="000000"/>
        </w:rPr>
        <w:t>Ramsfield</w:t>
      </w:r>
      <w:r>
        <w:rPr>
          <w:rFonts w:ascii="Cambria" w:hAnsi="Cambria"/>
        </w:rPr>
        <w:t>,</w:t>
      </w:r>
      <w:r>
        <w:rPr>
          <w:rFonts w:ascii="Cambria" w:hAnsi="Cambria"/>
          <w:color w:val="000000"/>
        </w:rPr>
        <w:t xml:space="preserve"> TD, Dick</w:t>
      </w:r>
      <w:r>
        <w:rPr>
          <w:rFonts w:ascii="Cambria" w:hAnsi="Cambria"/>
        </w:rPr>
        <w:t>,</w:t>
      </w:r>
      <w:r>
        <w:rPr>
          <w:rFonts w:ascii="Cambria" w:hAnsi="Cambria"/>
          <w:color w:val="000000"/>
        </w:rPr>
        <w:t xml:space="preserve"> MA, Beever</w:t>
      </w:r>
      <w:r>
        <w:rPr>
          <w:rFonts w:ascii="Cambria" w:hAnsi="Cambria"/>
        </w:rPr>
        <w:t>,</w:t>
      </w:r>
      <w:r>
        <w:rPr>
          <w:rFonts w:ascii="Cambria" w:hAnsi="Cambria"/>
          <w:color w:val="000000"/>
        </w:rPr>
        <w:t xml:space="preserve"> RE</w:t>
      </w:r>
      <w:r>
        <w:rPr>
          <w:rFonts w:ascii="Cambria" w:hAnsi="Cambria"/>
        </w:rPr>
        <w:t xml:space="preserve"> &amp;</w:t>
      </w:r>
      <w:r>
        <w:rPr>
          <w:rFonts w:ascii="Cambria" w:hAnsi="Cambria"/>
          <w:color w:val="000000"/>
        </w:rPr>
        <w:t xml:space="preserve"> Horner</w:t>
      </w:r>
      <w:r>
        <w:rPr>
          <w:rFonts w:ascii="Cambria" w:hAnsi="Cambria"/>
        </w:rPr>
        <w:t>,</w:t>
      </w:r>
      <w:r>
        <w:rPr>
          <w:rFonts w:ascii="Cambria" w:hAnsi="Cambria"/>
          <w:color w:val="000000"/>
        </w:rPr>
        <w:t xml:space="preserve"> IJ 2007, </w:t>
      </w:r>
      <w:r>
        <w:rPr>
          <w:rFonts w:ascii="Cambria" w:hAnsi="Cambria"/>
        </w:rPr>
        <w:t>‘</w:t>
      </w:r>
      <w:r>
        <w:rPr>
          <w:rFonts w:ascii="Cambria" w:hAnsi="Cambria"/>
          <w:i/>
          <w:color w:val="000000"/>
        </w:rPr>
        <w:t>Phytophthora kernoviae</w:t>
      </w:r>
      <w:r>
        <w:rPr>
          <w:rFonts w:ascii="Cambria" w:hAnsi="Cambria"/>
          <w:color w:val="000000"/>
        </w:rPr>
        <w:t xml:space="preserve"> – of southern hemisphere origin?</w:t>
      </w:r>
      <w:r>
        <w:rPr>
          <w:rFonts w:ascii="Cambria" w:hAnsi="Cambria"/>
        </w:rPr>
        <w:t>’</w:t>
      </w:r>
      <w:r>
        <w:rPr>
          <w:rFonts w:ascii="Cambria" w:hAnsi="Cambria"/>
          <w:color w:val="000000"/>
        </w:rPr>
        <w:t xml:space="preserve">, </w:t>
      </w:r>
      <w:r>
        <w:rPr>
          <w:rFonts w:ascii="Cambria" w:hAnsi="Cambria"/>
          <w:i/>
          <w:color w:val="000000"/>
        </w:rPr>
        <w:t>4th IUFRO Phytophthoras in Forests &amp; Natural Ecosystems</w:t>
      </w:r>
      <w:r>
        <w:rPr>
          <w:rFonts w:ascii="Cambria" w:hAnsi="Cambria"/>
        </w:rPr>
        <w:t>.</w:t>
      </w:r>
    </w:p>
    <w:p w:rsidR="00E94405" w:rsidRDefault="00A11609">
      <w:pPr>
        <w:autoSpaceDE w:val="0"/>
        <w:autoSpaceDN w:val="0"/>
        <w:adjustRightInd w:val="0"/>
        <w:spacing w:before="200"/>
        <w:rPr>
          <w:rFonts w:ascii="Cambria" w:hAnsi="Cambria"/>
          <w:color w:val="000000"/>
        </w:rPr>
      </w:pPr>
      <w:r>
        <w:rPr>
          <w:rFonts w:ascii="Cambria" w:hAnsi="Cambria"/>
          <w:color w:val="000000"/>
        </w:rPr>
        <w:t>Ramsfield</w:t>
      </w:r>
      <w:r>
        <w:rPr>
          <w:rFonts w:ascii="Cambria" w:hAnsi="Cambria"/>
        </w:rPr>
        <w:t>,</w:t>
      </w:r>
      <w:r>
        <w:rPr>
          <w:rFonts w:ascii="Cambria" w:hAnsi="Cambria"/>
          <w:color w:val="000000"/>
        </w:rPr>
        <w:t xml:space="preserve"> TD, Dick</w:t>
      </w:r>
      <w:r>
        <w:rPr>
          <w:rFonts w:ascii="Cambria" w:hAnsi="Cambria"/>
        </w:rPr>
        <w:t>,</w:t>
      </w:r>
      <w:r>
        <w:rPr>
          <w:rFonts w:ascii="Cambria" w:hAnsi="Cambria"/>
          <w:color w:val="000000"/>
        </w:rPr>
        <w:t xml:space="preserve"> MA, Beever</w:t>
      </w:r>
      <w:r>
        <w:rPr>
          <w:rFonts w:ascii="Cambria" w:hAnsi="Cambria"/>
        </w:rPr>
        <w:t>,</w:t>
      </w:r>
      <w:r>
        <w:rPr>
          <w:rFonts w:ascii="Cambria" w:hAnsi="Cambria"/>
          <w:color w:val="000000"/>
        </w:rPr>
        <w:t xml:space="preserve"> RE, Horner</w:t>
      </w:r>
      <w:r>
        <w:rPr>
          <w:rFonts w:ascii="Cambria" w:hAnsi="Cambria"/>
        </w:rPr>
        <w:t>,</w:t>
      </w:r>
      <w:r>
        <w:rPr>
          <w:rFonts w:ascii="Cambria" w:hAnsi="Cambria"/>
          <w:color w:val="000000"/>
        </w:rPr>
        <w:t xml:space="preserve"> IJ, McAlonan</w:t>
      </w:r>
      <w:r>
        <w:rPr>
          <w:rFonts w:ascii="Cambria" w:hAnsi="Cambria"/>
        </w:rPr>
        <w:t>,</w:t>
      </w:r>
      <w:r>
        <w:rPr>
          <w:rFonts w:ascii="Cambria" w:hAnsi="Cambria"/>
          <w:color w:val="000000"/>
        </w:rPr>
        <w:t xml:space="preserve"> MJ</w:t>
      </w:r>
      <w:r>
        <w:rPr>
          <w:rFonts w:ascii="Cambria" w:hAnsi="Cambria"/>
        </w:rPr>
        <w:t xml:space="preserve"> &amp;</w:t>
      </w:r>
      <w:r>
        <w:rPr>
          <w:rFonts w:ascii="Cambria" w:hAnsi="Cambria"/>
          <w:color w:val="000000"/>
        </w:rPr>
        <w:t xml:space="preserve"> Hill</w:t>
      </w:r>
      <w:r>
        <w:rPr>
          <w:rFonts w:ascii="Cambria" w:hAnsi="Cambria"/>
        </w:rPr>
        <w:t>,</w:t>
      </w:r>
      <w:r>
        <w:rPr>
          <w:rFonts w:ascii="Cambria" w:hAnsi="Cambria"/>
          <w:color w:val="000000"/>
        </w:rPr>
        <w:t xml:space="preserve"> CF 2009</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 xml:space="preserve">Phytophthora kernoviae </w:t>
      </w:r>
      <w:r>
        <w:rPr>
          <w:rFonts w:ascii="Cambria" w:hAnsi="Cambria"/>
          <w:color w:val="000000"/>
        </w:rPr>
        <w:t>in New Zealand</w:t>
      </w:r>
      <w:r>
        <w:rPr>
          <w:rFonts w:ascii="Cambria" w:hAnsi="Cambria"/>
        </w:rPr>
        <w:t>’,</w:t>
      </w:r>
      <w:r>
        <w:rPr>
          <w:rFonts w:ascii="Cambria" w:hAnsi="Cambria"/>
          <w:color w:val="000000"/>
        </w:rPr>
        <w:t xml:space="preserve"> </w:t>
      </w:r>
      <w:r>
        <w:rPr>
          <w:rFonts w:ascii="Cambria" w:hAnsi="Cambria"/>
          <w:i/>
          <w:color w:val="000000"/>
        </w:rPr>
        <w:t>Proceedings of the 4th meeting of the International Union of Forest Research Organizations</w:t>
      </w:r>
      <w:r>
        <w:rPr>
          <w:rFonts w:ascii="Cambria" w:hAnsi="Cambria"/>
          <w:color w:val="000000"/>
        </w:rPr>
        <w:t xml:space="preserve"> (IUFRO)</w:t>
      </w:r>
      <w:r>
        <w:rPr>
          <w:rFonts w:ascii="Cambria" w:hAnsi="Cambria"/>
        </w:rPr>
        <w:t xml:space="preserve">, </w:t>
      </w:r>
      <w:r>
        <w:rPr>
          <w:rFonts w:ascii="Cambria" w:hAnsi="Cambria"/>
          <w:color w:val="000000"/>
        </w:rPr>
        <w:t>Working Party S07.02.09</w:t>
      </w:r>
      <w:r>
        <w:rPr>
          <w:rFonts w:ascii="Cambria" w:hAnsi="Cambria"/>
        </w:rPr>
        <w:t>,</w:t>
      </w:r>
      <w:r>
        <w:rPr>
          <w:rFonts w:ascii="Cambria" w:hAnsi="Cambria"/>
          <w:color w:val="000000"/>
        </w:rPr>
        <w:t xml:space="preserve"> Gen</w:t>
      </w:r>
      <w:r>
        <w:rPr>
          <w:rFonts w:ascii="Cambria" w:hAnsi="Cambria"/>
        </w:rPr>
        <w:t xml:space="preserve">eral technical report </w:t>
      </w:r>
      <w:r>
        <w:rPr>
          <w:rFonts w:ascii="Cambria" w:hAnsi="Cambria"/>
          <w:color w:val="000000"/>
        </w:rPr>
        <w:t>PSW-GTR-221</w:t>
      </w:r>
      <w:r>
        <w:rPr>
          <w:rFonts w:ascii="Cambria" w:hAnsi="Cambria"/>
        </w:rPr>
        <w:t xml:space="preserve">, </w:t>
      </w:r>
      <w:r>
        <w:rPr>
          <w:rFonts w:ascii="Cambria" w:hAnsi="Cambria"/>
          <w:color w:val="000000"/>
        </w:rPr>
        <w:t>47–53.</w:t>
      </w:r>
    </w:p>
    <w:p w:rsidR="00E94405" w:rsidRDefault="00A11609">
      <w:pPr>
        <w:autoSpaceDE w:val="0"/>
        <w:autoSpaceDN w:val="0"/>
        <w:adjustRightInd w:val="0"/>
        <w:spacing w:before="200"/>
        <w:rPr>
          <w:rFonts w:ascii="Cambria" w:hAnsi="Cambria"/>
        </w:rPr>
      </w:pPr>
      <w:r>
        <w:rPr>
          <w:rFonts w:ascii="Cambria" w:hAnsi="Cambria"/>
          <w:color w:val="000000"/>
        </w:rPr>
        <w:t>Randall, RP 2007,</w:t>
      </w:r>
      <w:r>
        <w:rPr>
          <w:rFonts w:ascii="Cambria" w:hAnsi="Cambria"/>
          <w:i/>
          <w:color w:val="000000"/>
        </w:rPr>
        <w:t xml:space="preserve"> </w:t>
      </w:r>
      <w:r>
        <w:rPr>
          <w:rFonts w:ascii="Cambria" w:hAnsi="Cambria"/>
          <w:color w:val="000000"/>
        </w:rPr>
        <w:t>‘</w:t>
      </w:r>
      <w:r>
        <w:rPr>
          <w:rFonts w:ascii="Cambria" w:hAnsi="Cambria"/>
          <w:i/>
          <w:color w:val="000000"/>
        </w:rPr>
        <w:t>The introduced flora of Australia and its weed status</w:t>
      </w:r>
      <w:r>
        <w:rPr>
          <w:rFonts w:ascii="Cambria" w:hAnsi="Cambria"/>
        </w:rPr>
        <w:t>’</w:t>
      </w:r>
      <w:r>
        <w:rPr>
          <w:rFonts w:ascii="Cambria" w:hAnsi="Cambria"/>
          <w:color w:val="000000"/>
        </w:rPr>
        <w:t>, CRC for Australian Weed Management, Department of Agriculture and Food, Western Australia.</w:t>
      </w:r>
    </w:p>
    <w:p w:rsidR="00E94405" w:rsidRDefault="00A11609">
      <w:pPr>
        <w:autoSpaceDE w:val="0"/>
        <w:autoSpaceDN w:val="0"/>
        <w:adjustRightInd w:val="0"/>
        <w:spacing w:before="200"/>
        <w:rPr>
          <w:rFonts w:ascii="Cambria" w:hAnsi="Cambria"/>
          <w:color w:val="000000"/>
        </w:rPr>
      </w:pPr>
      <w:r>
        <w:rPr>
          <w:rFonts w:ascii="Cambria" w:hAnsi="Cambria"/>
          <w:color w:val="000000"/>
        </w:rPr>
        <w:t>RAPRA Database 2012</w:t>
      </w:r>
      <w:r>
        <w:rPr>
          <w:rFonts w:ascii="Cambria" w:hAnsi="Cambria"/>
        </w:rPr>
        <w:t>,</w:t>
      </w:r>
      <w:r>
        <w:rPr>
          <w:rFonts w:ascii="Cambria" w:hAnsi="Cambria"/>
          <w:color w:val="000000"/>
        </w:rPr>
        <w:t xml:space="preserve"> </w:t>
      </w:r>
      <w:r>
        <w:rPr>
          <w:rFonts w:ascii="Cambria" w:hAnsi="Cambria"/>
        </w:rPr>
        <w:t>http://rapra.csl.gov.uk/</w:t>
      </w:r>
      <w:r>
        <w:rPr>
          <w:rFonts w:ascii="Cambria" w:hAnsi="Cambria"/>
          <w:color w:val="000000"/>
        </w:rPr>
        <w:t xml:space="preserve"> Online version of: Sansford</w:t>
      </w:r>
      <w:r>
        <w:rPr>
          <w:rFonts w:ascii="Cambria" w:hAnsi="Cambria"/>
        </w:rPr>
        <w:t>,</w:t>
      </w:r>
      <w:r>
        <w:rPr>
          <w:rFonts w:ascii="Cambria" w:hAnsi="Cambria"/>
          <w:color w:val="000000"/>
        </w:rPr>
        <w:t xml:space="preserve"> CE, Inman</w:t>
      </w:r>
      <w:r>
        <w:rPr>
          <w:rFonts w:ascii="Cambria" w:hAnsi="Cambria"/>
        </w:rPr>
        <w:t>,</w:t>
      </w:r>
      <w:r>
        <w:rPr>
          <w:rFonts w:ascii="Cambria" w:hAnsi="Cambria"/>
          <w:color w:val="000000"/>
        </w:rPr>
        <w:t xml:space="preserve"> AJ, Baker</w:t>
      </w:r>
      <w:r>
        <w:rPr>
          <w:rFonts w:ascii="Cambria" w:hAnsi="Cambria"/>
        </w:rPr>
        <w:t>,</w:t>
      </w:r>
      <w:r>
        <w:rPr>
          <w:rFonts w:ascii="Cambria" w:hAnsi="Cambria"/>
          <w:color w:val="000000"/>
        </w:rPr>
        <w:t xml:space="preserve"> R, Brasier</w:t>
      </w:r>
      <w:r>
        <w:rPr>
          <w:rFonts w:ascii="Cambria" w:hAnsi="Cambria"/>
        </w:rPr>
        <w:t>,</w:t>
      </w:r>
      <w:r>
        <w:rPr>
          <w:rFonts w:ascii="Cambria" w:hAnsi="Cambria"/>
          <w:color w:val="000000"/>
        </w:rPr>
        <w:t xml:space="preserve"> C, Frankel</w:t>
      </w:r>
      <w:r>
        <w:rPr>
          <w:rFonts w:ascii="Cambria" w:hAnsi="Cambria"/>
        </w:rPr>
        <w:t>,</w:t>
      </w:r>
      <w:r>
        <w:rPr>
          <w:rFonts w:ascii="Cambria" w:hAnsi="Cambria"/>
          <w:color w:val="000000"/>
        </w:rPr>
        <w:t xml:space="preserve"> S, de Gruyter</w:t>
      </w:r>
      <w:r>
        <w:rPr>
          <w:rFonts w:ascii="Cambria" w:hAnsi="Cambria"/>
        </w:rPr>
        <w:t>,</w:t>
      </w:r>
      <w:r>
        <w:rPr>
          <w:rFonts w:ascii="Cambria" w:hAnsi="Cambria"/>
          <w:color w:val="000000"/>
        </w:rPr>
        <w:t xml:space="preserve"> J, Husson</w:t>
      </w:r>
      <w:r>
        <w:rPr>
          <w:rFonts w:ascii="Cambria" w:hAnsi="Cambria"/>
        </w:rPr>
        <w:t>,</w:t>
      </w:r>
      <w:r>
        <w:rPr>
          <w:rFonts w:ascii="Cambria" w:hAnsi="Cambria"/>
          <w:color w:val="000000"/>
        </w:rPr>
        <w:t xml:space="preserve"> C, Kehlenbeck</w:t>
      </w:r>
      <w:r>
        <w:rPr>
          <w:rFonts w:ascii="Cambria" w:hAnsi="Cambria"/>
        </w:rPr>
        <w:t>,</w:t>
      </w:r>
      <w:r>
        <w:rPr>
          <w:rFonts w:ascii="Cambria" w:hAnsi="Cambria"/>
          <w:color w:val="000000"/>
        </w:rPr>
        <w:t xml:space="preserve"> H, Kessel</w:t>
      </w:r>
      <w:r>
        <w:rPr>
          <w:rFonts w:ascii="Cambria" w:hAnsi="Cambria"/>
        </w:rPr>
        <w:t>,</w:t>
      </w:r>
      <w:r>
        <w:rPr>
          <w:rFonts w:ascii="Cambria" w:hAnsi="Cambria"/>
          <w:color w:val="000000"/>
        </w:rPr>
        <w:t xml:space="preserve"> G, Moralejo</w:t>
      </w:r>
      <w:r>
        <w:rPr>
          <w:rFonts w:ascii="Cambria" w:hAnsi="Cambria"/>
        </w:rPr>
        <w:t>,</w:t>
      </w:r>
      <w:r>
        <w:rPr>
          <w:rFonts w:ascii="Cambria" w:hAnsi="Cambria"/>
          <w:color w:val="000000"/>
        </w:rPr>
        <w:t xml:space="preserve"> E, Steeghs</w:t>
      </w:r>
      <w:r>
        <w:rPr>
          <w:rFonts w:ascii="Cambria" w:hAnsi="Cambria"/>
        </w:rPr>
        <w:t>,</w:t>
      </w:r>
      <w:r>
        <w:rPr>
          <w:rFonts w:ascii="Cambria" w:hAnsi="Cambria"/>
          <w:color w:val="000000"/>
        </w:rPr>
        <w:t xml:space="preserve"> M, Webber</w:t>
      </w:r>
      <w:r>
        <w:rPr>
          <w:rFonts w:ascii="Cambria" w:hAnsi="Cambria"/>
        </w:rPr>
        <w:t>,</w:t>
      </w:r>
      <w:r>
        <w:rPr>
          <w:rFonts w:ascii="Cambria" w:hAnsi="Cambria"/>
          <w:color w:val="000000"/>
        </w:rPr>
        <w:t xml:space="preserve"> J</w:t>
      </w:r>
      <w:r>
        <w:rPr>
          <w:rFonts w:ascii="Cambria" w:hAnsi="Cambria"/>
        </w:rPr>
        <w:t xml:space="preserve"> &amp;</w:t>
      </w:r>
      <w:r>
        <w:rPr>
          <w:rFonts w:ascii="Cambria" w:hAnsi="Cambria"/>
          <w:color w:val="000000"/>
        </w:rPr>
        <w:t xml:space="preserve"> Werres</w:t>
      </w:r>
      <w:r>
        <w:rPr>
          <w:rFonts w:ascii="Cambria" w:hAnsi="Cambria"/>
        </w:rPr>
        <w:t>,</w:t>
      </w:r>
      <w:r>
        <w:rPr>
          <w:rFonts w:ascii="Cambria" w:hAnsi="Cambria"/>
          <w:color w:val="000000"/>
        </w:rPr>
        <w:t xml:space="preserve"> S 2008</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Report on the risk of entry, establishment, spread and socio-economic loss and environmental impact and the appropriate level of management for Phytophthora ramorum for the EU</w:t>
      </w:r>
      <w:r>
        <w:rPr>
          <w:rFonts w:ascii="Cambria" w:hAnsi="Cambria"/>
        </w:rPr>
        <w:t xml:space="preserve">’, </w:t>
      </w:r>
      <w:r>
        <w:rPr>
          <w:rFonts w:ascii="Cambria" w:hAnsi="Cambria"/>
          <w:color w:val="000000"/>
        </w:rPr>
        <w:t>Deliverable Report 28</w:t>
      </w:r>
      <w:r>
        <w:rPr>
          <w:rFonts w:ascii="Cambria" w:hAnsi="Cambria"/>
        </w:rPr>
        <w:t>,</w:t>
      </w:r>
      <w:r>
        <w:rPr>
          <w:rFonts w:ascii="Cambria" w:hAnsi="Cambria"/>
          <w:color w:val="000000"/>
        </w:rPr>
        <w:t xml:space="preserve"> EU Sixth Framework Project RAPRA. </w:t>
      </w:r>
    </w:p>
    <w:p w:rsidR="00E94405" w:rsidRDefault="00A11609">
      <w:pPr>
        <w:autoSpaceDE w:val="0"/>
        <w:autoSpaceDN w:val="0"/>
        <w:adjustRightInd w:val="0"/>
        <w:spacing w:before="200"/>
        <w:rPr>
          <w:rFonts w:ascii="Cambria" w:hAnsi="Cambria"/>
          <w:color w:val="000000"/>
        </w:rPr>
      </w:pPr>
      <w:r>
        <w:rPr>
          <w:rFonts w:ascii="Cambria" w:hAnsi="Cambria"/>
          <w:color w:val="000000"/>
        </w:rPr>
        <w:t>Reeser</w:t>
      </w:r>
      <w:r>
        <w:rPr>
          <w:rFonts w:ascii="Cambria" w:hAnsi="Cambria"/>
        </w:rPr>
        <w:t>,</w:t>
      </w:r>
      <w:r>
        <w:rPr>
          <w:rFonts w:ascii="Cambria" w:hAnsi="Cambria"/>
          <w:color w:val="000000"/>
        </w:rPr>
        <w:t xml:space="preserve"> P, Sutton</w:t>
      </w:r>
      <w:r>
        <w:rPr>
          <w:rFonts w:ascii="Cambria" w:hAnsi="Cambria"/>
        </w:rPr>
        <w:t>,</w:t>
      </w:r>
      <w:r>
        <w:rPr>
          <w:rFonts w:ascii="Cambria" w:hAnsi="Cambria"/>
          <w:color w:val="000000"/>
        </w:rPr>
        <w:t xml:space="preserve"> W, Hansen</w:t>
      </w:r>
      <w:r>
        <w:rPr>
          <w:rFonts w:ascii="Cambria" w:hAnsi="Cambria"/>
        </w:rPr>
        <w:t>,</w:t>
      </w:r>
      <w:r>
        <w:rPr>
          <w:rFonts w:ascii="Cambria" w:hAnsi="Cambria"/>
          <w:color w:val="000000"/>
        </w:rPr>
        <w:t xml:space="preserve"> EM, Remigi</w:t>
      </w:r>
      <w:r>
        <w:rPr>
          <w:rFonts w:ascii="Cambria" w:hAnsi="Cambria"/>
        </w:rPr>
        <w:t>,</w:t>
      </w:r>
      <w:r>
        <w:rPr>
          <w:rFonts w:ascii="Cambria" w:hAnsi="Cambria"/>
          <w:color w:val="000000"/>
        </w:rPr>
        <w:t xml:space="preserve"> P</w:t>
      </w:r>
      <w:r>
        <w:rPr>
          <w:rFonts w:ascii="Cambria" w:hAnsi="Cambria"/>
        </w:rPr>
        <w:t xml:space="preserve"> &amp;</w:t>
      </w:r>
      <w:r>
        <w:rPr>
          <w:rFonts w:ascii="Cambria" w:hAnsi="Cambria"/>
          <w:color w:val="000000"/>
        </w:rPr>
        <w:t xml:space="preserve"> Adams</w:t>
      </w:r>
      <w:r>
        <w:rPr>
          <w:rFonts w:ascii="Cambria" w:hAnsi="Cambria"/>
        </w:rPr>
        <w:t>,</w:t>
      </w:r>
      <w:r>
        <w:rPr>
          <w:rFonts w:ascii="Cambria" w:hAnsi="Cambria"/>
          <w:color w:val="000000"/>
        </w:rPr>
        <w:t xml:space="preserve"> GC 2011</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Phytophthora</w:t>
      </w:r>
      <w:r>
        <w:rPr>
          <w:rFonts w:ascii="Cambria" w:hAnsi="Cambria"/>
          <w:color w:val="000000"/>
        </w:rPr>
        <w:t xml:space="preserve"> species in forest streams in Oregon and Alaska</w:t>
      </w:r>
      <w:r>
        <w:rPr>
          <w:rFonts w:ascii="Cambria" w:hAnsi="Cambria"/>
        </w:rPr>
        <w:t xml:space="preserve">’, </w:t>
      </w:r>
      <w:r>
        <w:rPr>
          <w:rFonts w:ascii="Cambria" w:hAnsi="Cambria"/>
          <w:i/>
          <w:color w:val="000000"/>
        </w:rPr>
        <w:t>Mycologia</w:t>
      </w:r>
      <w:r>
        <w:rPr>
          <w:rFonts w:ascii="Cambria" w:hAnsi="Cambria"/>
        </w:rPr>
        <w:t>,</w:t>
      </w:r>
      <w:r>
        <w:rPr>
          <w:rFonts w:ascii="Cambria" w:hAnsi="Cambria"/>
          <w:color w:val="000000"/>
        </w:rPr>
        <w:t xml:space="preserve"> 103: 22–35.</w:t>
      </w:r>
    </w:p>
    <w:p w:rsidR="00E94405" w:rsidRDefault="00A11609">
      <w:pPr>
        <w:autoSpaceDE w:val="0"/>
        <w:autoSpaceDN w:val="0"/>
        <w:adjustRightInd w:val="0"/>
        <w:spacing w:before="200"/>
        <w:rPr>
          <w:rFonts w:ascii="Cambria" w:hAnsi="Cambria"/>
          <w:color w:val="000000"/>
        </w:rPr>
      </w:pPr>
      <w:r>
        <w:rPr>
          <w:rFonts w:ascii="Cambria" w:hAnsi="Cambria"/>
          <w:color w:val="000000"/>
        </w:rPr>
        <w:t>Riedel</w:t>
      </w:r>
      <w:r>
        <w:rPr>
          <w:rFonts w:ascii="Cambria" w:hAnsi="Cambria"/>
        </w:rPr>
        <w:t>,</w:t>
      </w:r>
      <w:r>
        <w:rPr>
          <w:rFonts w:ascii="Cambria" w:hAnsi="Cambria"/>
          <w:color w:val="000000"/>
        </w:rPr>
        <w:t xml:space="preserve"> M, Calmin</w:t>
      </w:r>
      <w:r>
        <w:rPr>
          <w:rFonts w:ascii="Cambria" w:hAnsi="Cambria"/>
        </w:rPr>
        <w:t>,</w:t>
      </w:r>
      <w:r>
        <w:rPr>
          <w:rFonts w:ascii="Cambria" w:hAnsi="Cambria"/>
          <w:color w:val="000000"/>
        </w:rPr>
        <w:t xml:space="preserve"> G, Belbahri</w:t>
      </w:r>
      <w:r>
        <w:rPr>
          <w:rFonts w:ascii="Cambria" w:hAnsi="Cambria"/>
        </w:rPr>
        <w:t>,</w:t>
      </w:r>
      <w:r>
        <w:rPr>
          <w:rFonts w:ascii="Cambria" w:hAnsi="Cambria"/>
          <w:color w:val="000000"/>
        </w:rPr>
        <w:t xml:space="preserve"> L, Lefort</w:t>
      </w:r>
      <w:r>
        <w:rPr>
          <w:rFonts w:ascii="Cambria" w:hAnsi="Cambria"/>
        </w:rPr>
        <w:t xml:space="preserve">, </w:t>
      </w:r>
      <w:r>
        <w:rPr>
          <w:rFonts w:ascii="Cambria" w:hAnsi="Cambria"/>
          <w:color w:val="000000"/>
        </w:rPr>
        <w:t>F, Goetz</w:t>
      </w:r>
      <w:r>
        <w:rPr>
          <w:rFonts w:ascii="Cambria" w:hAnsi="Cambria"/>
        </w:rPr>
        <w:t>,</w:t>
      </w:r>
      <w:r>
        <w:rPr>
          <w:rFonts w:ascii="Cambria" w:hAnsi="Cambria"/>
          <w:color w:val="000000"/>
        </w:rPr>
        <w:t xml:space="preserve"> M, Wagner</w:t>
      </w:r>
      <w:r>
        <w:rPr>
          <w:rFonts w:ascii="Cambria" w:hAnsi="Cambria"/>
        </w:rPr>
        <w:t>,</w:t>
      </w:r>
      <w:r>
        <w:rPr>
          <w:rFonts w:ascii="Cambria" w:hAnsi="Cambria"/>
          <w:color w:val="000000"/>
        </w:rPr>
        <w:t xml:space="preserve"> S</w:t>
      </w:r>
      <w:r>
        <w:rPr>
          <w:rFonts w:ascii="Cambria" w:hAnsi="Cambria"/>
        </w:rPr>
        <w:t xml:space="preserve"> &amp;</w:t>
      </w:r>
      <w:r>
        <w:rPr>
          <w:rFonts w:ascii="Cambria" w:hAnsi="Cambria"/>
          <w:color w:val="000000"/>
        </w:rPr>
        <w:t xml:space="preserve"> Werres</w:t>
      </w:r>
      <w:r>
        <w:rPr>
          <w:rFonts w:ascii="Cambria" w:hAnsi="Cambria"/>
        </w:rPr>
        <w:t>,</w:t>
      </w:r>
      <w:r>
        <w:rPr>
          <w:rFonts w:ascii="Cambria" w:hAnsi="Cambria"/>
          <w:color w:val="000000"/>
        </w:rPr>
        <w:t xml:space="preserve"> S 2009</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Green Fluorescent Protein (GFP) as a reporter gene for the plant pathogenic oomycete </w:t>
      </w:r>
      <w:r>
        <w:rPr>
          <w:rFonts w:ascii="Cambria" w:hAnsi="Cambria"/>
          <w:i/>
        </w:rPr>
        <w:t>Phytophthora ramorum</w:t>
      </w:r>
      <w:r>
        <w:rPr>
          <w:rFonts w:ascii="Cambria" w:hAnsi="Cambria"/>
        </w:rPr>
        <w:t xml:space="preserve">’, </w:t>
      </w:r>
      <w:r>
        <w:rPr>
          <w:rFonts w:ascii="Cambria" w:hAnsi="Cambria"/>
          <w:i/>
          <w:color w:val="000000"/>
        </w:rPr>
        <w:t>Journal of Eukaryotic Microbiology</w:t>
      </w:r>
      <w:r>
        <w:rPr>
          <w:rFonts w:ascii="Cambria" w:hAnsi="Cambria"/>
        </w:rPr>
        <w:t>,</w:t>
      </w:r>
      <w:r>
        <w:rPr>
          <w:rFonts w:ascii="Cambria" w:hAnsi="Cambria"/>
          <w:color w:val="000000"/>
        </w:rPr>
        <w:t xml:space="preserve"> 56: 130–135.</w:t>
      </w:r>
    </w:p>
    <w:p w:rsidR="00E94405" w:rsidRDefault="00A11609">
      <w:pPr>
        <w:autoSpaceDE w:val="0"/>
        <w:autoSpaceDN w:val="0"/>
        <w:adjustRightInd w:val="0"/>
        <w:spacing w:before="200"/>
        <w:rPr>
          <w:rFonts w:ascii="Cambria" w:hAnsi="Cambria"/>
          <w:color w:val="000000"/>
        </w:rPr>
      </w:pPr>
      <w:r>
        <w:rPr>
          <w:rFonts w:ascii="Cambria" w:hAnsi="Cambria"/>
          <w:color w:val="000000"/>
        </w:rPr>
        <w:t>Riley</w:t>
      </w:r>
      <w:r>
        <w:rPr>
          <w:rFonts w:ascii="Cambria" w:hAnsi="Cambria"/>
        </w:rPr>
        <w:t>,</w:t>
      </w:r>
      <w:r>
        <w:rPr>
          <w:rFonts w:ascii="Cambria" w:hAnsi="Cambria"/>
          <w:color w:val="000000"/>
        </w:rPr>
        <w:t xml:space="preserve"> KL</w:t>
      </w:r>
      <w:r>
        <w:rPr>
          <w:rFonts w:ascii="Cambria" w:hAnsi="Cambria"/>
        </w:rPr>
        <w:t xml:space="preserve"> &amp;</w:t>
      </w:r>
      <w:r>
        <w:rPr>
          <w:rFonts w:ascii="Cambria" w:hAnsi="Cambria"/>
          <w:color w:val="000000"/>
        </w:rPr>
        <w:t xml:space="preserve"> Chastagner</w:t>
      </w:r>
      <w:r>
        <w:rPr>
          <w:rFonts w:ascii="Cambria" w:hAnsi="Cambria"/>
        </w:rPr>
        <w:t>,</w:t>
      </w:r>
      <w:r>
        <w:rPr>
          <w:rFonts w:ascii="Cambria" w:hAnsi="Cambria"/>
          <w:color w:val="000000"/>
        </w:rPr>
        <w:t xml:space="preserve"> GA 2011</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infecting mistletoe in California</w:t>
      </w:r>
      <w:r>
        <w:rPr>
          <w:rFonts w:ascii="Cambria" w:hAnsi="Cambria"/>
        </w:rPr>
        <w:t xml:space="preserve">’, </w:t>
      </w:r>
      <w:r>
        <w:rPr>
          <w:rFonts w:ascii="Cambria" w:hAnsi="Cambria"/>
          <w:i/>
          <w:color w:val="000000"/>
        </w:rPr>
        <w:t>Plant Health Progress</w:t>
      </w:r>
      <w:r>
        <w:rPr>
          <w:rFonts w:ascii="Cambria" w:hAnsi="Cambria"/>
        </w:rPr>
        <w:t>,</w:t>
      </w:r>
      <w:r>
        <w:rPr>
          <w:rFonts w:ascii="Cambria" w:hAnsi="Cambria"/>
          <w:color w:val="000000"/>
        </w:rPr>
        <w:t xml:space="preserve"> doi: 10.1094/PHP-2011-0209-02-BF.</w:t>
      </w:r>
    </w:p>
    <w:p w:rsidR="00E94405" w:rsidRDefault="00A11609">
      <w:pPr>
        <w:autoSpaceDE w:val="0"/>
        <w:autoSpaceDN w:val="0"/>
        <w:adjustRightInd w:val="0"/>
        <w:spacing w:before="200"/>
        <w:rPr>
          <w:rFonts w:ascii="Cambria" w:hAnsi="Cambria"/>
          <w:color w:val="000000"/>
        </w:rPr>
      </w:pPr>
      <w:r>
        <w:rPr>
          <w:rFonts w:ascii="Cambria" w:hAnsi="Cambria"/>
          <w:color w:val="000000"/>
        </w:rPr>
        <w:lastRenderedPageBreak/>
        <w:t>Riley</w:t>
      </w:r>
      <w:r>
        <w:rPr>
          <w:rFonts w:ascii="Cambria" w:hAnsi="Cambria"/>
        </w:rPr>
        <w:t>,</w:t>
      </w:r>
      <w:r>
        <w:rPr>
          <w:rFonts w:ascii="Cambria" w:hAnsi="Cambria"/>
          <w:color w:val="000000"/>
        </w:rPr>
        <w:t xml:space="preserve"> KL, Chastagner</w:t>
      </w:r>
      <w:r>
        <w:rPr>
          <w:rFonts w:ascii="Cambria" w:hAnsi="Cambria"/>
        </w:rPr>
        <w:t>,</w:t>
      </w:r>
      <w:r>
        <w:rPr>
          <w:rFonts w:ascii="Cambria" w:hAnsi="Cambria"/>
          <w:color w:val="000000"/>
        </w:rPr>
        <w:t xml:space="preserve"> GA</w:t>
      </w:r>
      <w:r>
        <w:rPr>
          <w:rFonts w:ascii="Cambria" w:hAnsi="Cambria"/>
        </w:rPr>
        <w:t xml:space="preserve"> &amp;</w:t>
      </w:r>
      <w:r>
        <w:rPr>
          <w:rFonts w:ascii="Cambria" w:hAnsi="Cambria"/>
          <w:color w:val="000000"/>
        </w:rPr>
        <w:t xml:space="preserve"> Blomquist</w:t>
      </w:r>
      <w:r>
        <w:rPr>
          <w:rFonts w:ascii="Cambria" w:hAnsi="Cambria"/>
        </w:rPr>
        <w:t>,</w:t>
      </w:r>
      <w:r>
        <w:rPr>
          <w:rFonts w:ascii="Cambria" w:hAnsi="Cambria"/>
          <w:color w:val="000000"/>
        </w:rPr>
        <w:t xml:space="preserve"> C 2011</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infecting grand fir in California</w:t>
      </w:r>
      <w:r>
        <w:rPr>
          <w:rFonts w:ascii="Cambria" w:hAnsi="Cambria"/>
        </w:rPr>
        <w:t xml:space="preserve">’, </w:t>
      </w:r>
      <w:r>
        <w:rPr>
          <w:rFonts w:ascii="Cambria" w:hAnsi="Cambria"/>
          <w:i/>
          <w:color w:val="000000"/>
        </w:rPr>
        <w:t>Plant Health Progress</w:t>
      </w:r>
      <w:r>
        <w:rPr>
          <w:rFonts w:ascii="Cambria" w:hAnsi="Cambria"/>
        </w:rPr>
        <w:t>,</w:t>
      </w:r>
      <w:r>
        <w:rPr>
          <w:rFonts w:ascii="Cambria" w:hAnsi="Cambria"/>
          <w:color w:val="000000"/>
        </w:rPr>
        <w:t xml:space="preserve"> </w:t>
      </w:r>
      <w:r>
        <w:rPr>
          <w:rFonts w:ascii="Cambria" w:hAnsi="Cambria"/>
        </w:rPr>
        <w:t>d</w:t>
      </w:r>
      <w:r>
        <w:rPr>
          <w:rFonts w:ascii="Cambria" w:hAnsi="Cambria"/>
          <w:color w:val="000000"/>
        </w:rPr>
        <w:t>oi: 10.1094/PHP-2011-0401-01-BR.</w:t>
      </w:r>
    </w:p>
    <w:p w:rsidR="00E94405" w:rsidRDefault="00A11609">
      <w:pPr>
        <w:autoSpaceDE w:val="0"/>
        <w:autoSpaceDN w:val="0"/>
        <w:adjustRightInd w:val="0"/>
        <w:spacing w:before="200"/>
        <w:rPr>
          <w:rFonts w:ascii="Cambria" w:hAnsi="Cambria"/>
          <w:color w:val="000000"/>
        </w:rPr>
      </w:pPr>
      <w:r>
        <w:rPr>
          <w:rFonts w:ascii="Cambria" w:hAnsi="Cambria"/>
          <w:color w:val="000000"/>
        </w:rPr>
        <w:t>Ristaino</w:t>
      </w:r>
      <w:r>
        <w:rPr>
          <w:rFonts w:ascii="Cambria" w:hAnsi="Cambria"/>
        </w:rPr>
        <w:t>,</w:t>
      </w:r>
      <w:r>
        <w:rPr>
          <w:rFonts w:ascii="Cambria" w:hAnsi="Cambria"/>
          <w:color w:val="000000"/>
        </w:rPr>
        <w:t xml:space="preserve"> JB</w:t>
      </w:r>
      <w:r>
        <w:rPr>
          <w:rFonts w:ascii="Cambria" w:hAnsi="Cambria"/>
        </w:rPr>
        <w:t xml:space="preserve"> &amp;</w:t>
      </w:r>
      <w:r>
        <w:rPr>
          <w:rFonts w:ascii="Cambria" w:hAnsi="Cambria"/>
          <w:color w:val="000000"/>
        </w:rPr>
        <w:t xml:space="preserve"> Gumpertz</w:t>
      </w:r>
      <w:r>
        <w:rPr>
          <w:rFonts w:ascii="Cambria" w:hAnsi="Cambria"/>
        </w:rPr>
        <w:t>,</w:t>
      </w:r>
      <w:r>
        <w:rPr>
          <w:rFonts w:ascii="Cambria" w:hAnsi="Cambria"/>
          <w:color w:val="000000"/>
        </w:rPr>
        <w:t xml:space="preserve"> ML 2000</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New frontiers in the study of dispersal and spatial analysis of epidemics caused by species in the genus </w:t>
      </w:r>
      <w:r>
        <w:rPr>
          <w:rFonts w:ascii="Cambria" w:hAnsi="Cambria"/>
          <w:i/>
          <w:color w:val="000000"/>
        </w:rPr>
        <w:t>Phytophthora</w:t>
      </w:r>
      <w:r>
        <w:rPr>
          <w:rFonts w:ascii="Cambria" w:hAnsi="Cambria"/>
        </w:rPr>
        <w:t xml:space="preserve">’, </w:t>
      </w:r>
      <w:r>
        <w:rPr>
          <w:rFonts w:ascii="Cambria" w:hAnsi="Cambria"/>
          <w:i/>
          <w:color w:val="000000"/>
        </w:rPr>
        <w:t>Annual Review of Phytopathology</w:t>
      </w:r>
      <w:r>
        <w:rPr>
          <w:rFonts w:ascii="Cambria" w:hAnsi="Cambria"/>
        </w:rPr>
        <w:t>,</w:t>
      </w:r>
      <w:r>
        <w:rPr>
          <w:rFonts w:ascii="Cambria" w:hAnsi="Cambria"/>
          <w:color w:val="000000"/>
        </w:rPr>
        <w:t xml:space="preserve"> 38: 541–576.</w:t>
      </w:r>
    </w:p>
    <w:p w:rsidR="00E94405" w:rsidRDefault="00A11609">
      <w:pPr>
        <w:autoSpaceDE w:val="0"/>
        <w:autoSpaceDN w:val="0"/>
        <w:adjustRightInd w:val="0"/>
        <w:spacing w:before="200"/>
        <w:rPr>
          <w:rFonts w:ascii="Cambria" w:hAnsi="Cambria"/>
        </w:rPr>
      </w:pPr>
      <w:r>
        <w:rPr>
          <w:rFonts w:ascii="Cambria" w:hAnsi="Cambria"/>
        </w:rPr>
        <w:t xml:space="preserve">Rizzo, DM &amp; Garbelotto, M 2003, ‘Sudden oak death: endangering California and Oregon forest ecosystems’, </w:t>
      </w:r>
      <w:r>
        <w:rPr>
          <w:rFonts w:ascii="Cambria" w:hAnsi="Cambria"/>
          <w:i/>
          <w:color w:val="000000"/>
        </w:rPr>
        <w:t>Frontiers in Ecology and the Environment</w:t>
      </w:r>
      <w:r>
        <w:rPr>
          <w:rFonts w:ascii="Cambria" w:hAnsi="Cambria"/>
        </w:rPr>
        <w:t>, 5: 197–204.</w:t>
      </w:r>
    </w:p>
    <w:p w:rsidR="00E94405" w:rsidRDefault="00A11609">
      <w:pPr>
        <w:autoSpaceDE w:val="0"/>
        <w:autoSpaceDN w:val="0"/>
        <w:adjustRightInd w:val="0"/>
        <w:spacing w:before="200"/>
        <w:rPr>
          <w:rFonts w:ascii="Cambria" w:hAnsi="Cambria"/>
        </w:rPr>
      </w:pPr>
      <w:r>
        <w:rPr>
          <w:rFonts w:ascii="Cambria" w:hAnsi="Cambria"/>
          <w:color w:val="000000"/>
        </w:rPr>
        <w:t>Rizzo</w:t>
      </w:r>
      <w:r>
        <w:rPr>
          <w:rFonts w:ascii="Cambria" w:hAnsi="Cambria"/>
        </w:rPr>
        <w:t>,</w:t>
      </w:r>
      <w:r>
        <w:rPr>
          <w:rFonts w:ascii="Cambria" w:hAnsi="Cambria"/>
          <w:color w:val="000000"/>
        </w:rPr>
        <w:t xml:space="preserve"> DM, Garbelotto</w:t>
      </w:r>
      <w:r>
        <w:rPr>
          <w:rFonts w:ascii="Cambria" w:hAnsi="Cambria"/>
        </w:rPr>
        <w:t>,</w:t>
      </w:r>
      <w:r>
        <w:rPr>
          <w:rFonts w:ascii="Cambria" w:hAnsi="Cambria"/>
          <w:color w:val="000000"/>
        </w:rPr>
        <w:t xml:space="preserve"> M</w:t>
      </w:r>
      <w:r>
        <w:rPr>
          <w:rFonts w:ascii="Cambria" w:hAnsi="Cambria"/>
        </w:rPr>
        <w:t xml:space="preserve"> &amp;</w:t>
      </w:r>
      <w:r>
        <w:rPr>
          <w:rFonts w:ascii="Cambria" w:hAnsi="Cambria"/>
          <w:color w:val="000000"/>
        </w:rPr>
        <w:t xml:space="preserve"> Hansen</w:t>
      </w:r>
      <w:r>
        <w:rPr>
          <w:rFonts w:ascii="Cambria" w:hAnsi="Cambria"/>
        </w:rPr>
        <w:t>,</w:t>
      </w:r>
      <w:r>
        <w:rPr>
          <w:rFonts w:ascii="Cambria" w:hAnsi="Cambria"/>
          <w:color w:val="000000"/>
        </w:rPr>
        <w:t xml:space="preserve"> E 2005</w:t>
      </w:r>
      <w:r>
        <w:rPr>
          <w:rFonts w:ascii="Cambria" w:hAnsi="Cambria"/>
        </w:rPr>
        <w:t>,</w:t>
      </w:r>
      <w:r>
        <w:rPr>
          <w:rFonts w:ascii="Cambria" w:hAnsi="Cambria"/>
          <w:color w:val="000000"/>
        </w:rPr>
        <w:t xml:space="preserve"> </w:t>
      </w:r>
      <w:r>
        <w:rPr>
          <w:rFonts w:ascii="Cambria" w:hAnsi="Cambria"/>
        </w:rPr>
        <w:t>‘</w:t>
      </w:r>
      <w:r>
        <w:rPr>
          <w:rFonts w:ascii="Cambria" w:hAnsi="Cambria"/>
          <w:i/>
        </w:rPr>
        <w:t>Phytophthora ramorum</w:t>
      </w:r>
      <w:r>
        <w:rPr>
          <w:rFonts w:ascii="Cambria" w:hAnsi="Cambria"/>
          <w:color w:val="000000"/>
        </w:rPr>
        <w:t>: integrative research and management of an emerging pathogen in California and Oregon forests</w:t>
      </w:r>
      <w:r>
        <w:rPr>
          <w:rFonts w:ascii="Cambria" w:hAnsi="Cambria"/>
        </w:rPr>
        <w:t xml:space="preserve">’, </w:t>
      </w:r>
      <w:r>
        <w:rPr>
          <w:rFonts w:ascii="Cambria" w:hAnsi="Cambria"/>
          <w:i/>
          <w:color w:val="000000"/>
        </w:rPr>
        <w:t>Annual Review of Phytopathology</w:t>
      </w:r>
      <w:r>
        <w:rPr>
          <w:rFonts w:ascii="Cambria" w:hAnsi="Cambria"/>
        </w:rPr>
        <w:t>,</w:t>
      </w:r>
      <w:r>
        <w:rPr>
          <w:rFonts w:ascii="Cambria" w:hAnsi="Cambria"/>
          <w:i/>
          <w:color w:val="000000"/>
        </w:rPr>
        <w:t xml:space="preserve"> </w:t>
      </w:r>
      <w:r>
        <w:rPr>
          <w:rFonts w:ascii="Cambria" w:hAnsi="Cambria"/>
          <w:color w:val="000000"/>
        </w:rPr>
        <w:t>43: 309–335.</w:t>
      </w:r>
    </w:p>
    <w:p w:rsidR="00E94405" w:rsidRDefault="00A11609">
      <w:pPr>
        <w:autoSpaceDE w:val="0"/>
        <w:autoSpaceDN w:val="0"/>
        <w:adjustRightInd w:val="0"/>
        <w:spacing w:before="200"/>
        <w:rPr>
          <w:rFonts w:ascii="Cambria" w:hAnsi="Cambria"/>
        </w:rPr>
      </w:pPr>
      <w:r>
        <w:rPr>
          <w:rFonts w:ascii="Cambria" w:hAnsi="Cambria"/>
        </w:rPr>
        <w:t>Rizzo, DM, Garbelotto, M, Davidson, JM, Slaughter, GW &amp; Koike, ST 2002a, ‘</w:t>
      </w:r>
      <w:r>
        <w:rPr>
          <w:rFonts w:ascii="Cambria" w:hAnsi="Cambria"/>
          <w:i/>
        </w:rPr>
        <w:t>Phytophthora ramorum</w:t>
      </w:r>
      <w:r>
        <w:rPr>
          <w:rFonts w:ascii="Cambria" w:hAnsi="Cambria"/>
        </w:rPr>
        <w:t xml:space="preserve"> and Sudden Oak Death in California: I. Host Relationships’, </w:t>
      </w:r>
      <w:r>
        <w:rPr>
          <w:rFonts w:ascii="Cambria" w:hAnsi="Cambria"/>
          <w:i/>
          <w:color w:val="000000"/>
        </w:rPr>
        <w:t>Proceedings of the 5th Symposium on California Oak Woodlands</w:t>
      </w:r>
      <w:r>
        <w:rPr>
          <w:rFonts w:ascii="Cambria" w:hAnsi="Cambria"/>
        </w:rPr>
        <w:t>, General technical report PSW-GTR-184, 733–740.</w:t>
      </w:r>
    </w:p>
    <w:p w:rsidR="00E94405" w:rsidRDefault="00A11609">
      <w:pPr>
        <w:autoSpaceDE w:val="0"/>
        <w:autoSpaceDN w:val="0"/>
        <w:adjustRightInd w:val="0"/>
        <w:spacing w:before="200"/>
        <w:rPr>
          <w:rFonts w:ascii="Cambria" w:hAnsi="Cambria"/>
          <w:color w:val="000000"/>
        </w:rPr>
      </w:pPr>
      <w:r>
        <w:rPr>
          <w:rFonts w:ascii="Cambria" w:hAnsi="Cambria"/>
          <w:color w:val="000000"/>
        </w:rPr>
        <w:t>Rizzo</w:t>
      </w:r>
      <w:r>
        <w:rPr>
          <w:rFonts w:ascii="Cambria" w:hAnsi="Cambria"/>
        </w:rPr>
        <w:t>,</w:t>
      </w:r>
      <w:r>
        <w:rPr>
          <w:rFonts w:ascii="Cambria" w:hAnsi="Cambria"/>
          <w:color w:val="000000"/>
        </w:rPr>
        <w:t xml:space="preserve"> DM, Garbelotto</w:t>
      </w:r>
      <w:r>
        <w:rPr>
          <w:rFonts w:ascii="Cambria" w:hAnsi="Cambria"/>
        </w:rPr>
        <w:t>,</w:t>
      </w:r>
      <w:r>
        <w:rPr>
          <w:rFonts w:ascii="Cambria" w:hAnsi="Cambria"/>
          <w:color w:val="000000"/>
        </w:rPr>
        <w:t xml:space="preserve"> M, Davidson</w:t>
      </w:r>
      <w:r>
        <w:rPr>
          <w:rFonts w:ascii="Cambria" w:hAnsi="Cambria"/>
        </w:rPr>
        <w:t>,</w:t>
      </w:r>
      <w:r>
        <w:rPr>
          <w:rFonts w:ascii="Cambria" w:hAnsi="Cambria"/>
          <w:color w:val="000000"/>
        </w:rPr>
        <w:t xml:space="preserve"> JM, Slaughter</w:t>
      </w:r>
      <w:r>
        <w:rPr>
          <w:rFonts w:ascii="Cambria" w:hAnsi="Cambria"/>
        </w:rPr>
        <w:t>,</w:t>
      </w:r>
      <w:r>
        <w:rPr>
          <w:rFonts w:ascii="Cambria" w:hAnsi="Cambria"/>
          <w:color w:val="000000"/>
        </w:rPr>
        <w:t xml:space="preserve"> GW</w:t>
      </w:r>
      <w:r>
        <w:rPr>
          <w:rFonts w:ascii="Cambria" w:hAnsi="Cambria"/>
        </w:rPr>
        <w:t xml:space="preserve"> &amp;</w:t>
      </w:r>
      <w:r>
        <w:rPr>
          <w:rFonts w:ascii="Cambria" w:hAnsi="Cambria"/>
          <w:color w:val="000000"/>
        </w:rPr>
        <w:t xml:space="preserve"> Koike</w:t>
      </w:r>
      <w:r>
        <w:rPr>
          <w:rFonts w:ascii="Cambria" w:hAnsi="Cambria"/>
        </w:rPr>
        <w:t>,</w:t>
      </w:r>
      <w:r>
        <w:rPr>
          <w:rFonts w:ascii="Cambria" w:hAnsi="Cambria"/>
          <w:color w:val="000000"/>
        </w:rPr>
        <w:t xml:space="preserve"> ST 2002b</w:t>
      </w:r>
      <w:r>
        <w:rPr>
          <w:rFonts w:ascii="Cambria" w:hAnsi="Cambria"/>
        </w:rPr>
        <w:t>,</w:t>
      </w:r>
      <w:r>
        <w:rPr>
          <w:rFonts w:ascii="Cambria" w:hAnsi="Cambria"/>
          <w:color w:val="000000"/>
        </w:rPr>
        <w:t xml:space="preserve"> </w:t>
      </w:r>
      <w:r>
        <w:rPr>
          <w:rFonts w:ascii="Cambria" w:hAnsi="Cambria"/>
        </w:rPr>
        <w:t>‘</w:t>
      </w:r>
      <w:r>
        <w:rPr>
          <w:rFonts w:ascii="Cambria" w:hAnsi="Cambria"/>
          <w:i/>
        </w:rPr>
        <w:t>Phytophthora ramorum</w:t>
      </w:r>
      <w:r>
        <w:rPr>
          <w:rFonts w:ascii="Cambria" w:hAnsi="Cambria"/>
          <w:color w:val="000000"/>
        </w:rPr>
        <w:t xml:space="preserve"> as the cause of extensive mortality of </w:t>
      </w:r>
      <w:r>
        <w:rPr>
          <w:rFonts w:ascii="Cambria" w:hAnsi="Cambria"/>
          <w:i/>
          <w:color w:val="000000"/>
        </w:rPr>
        <w:t>Quercus</w:t>
      </w:r>
      <w:r>
        <w:rPr>
          <w:rFonts w:ascii="Cambria" w:hAnsi="Cambria"/>
          <w:color w:val="000000"/>
        </w:rPr>
        <w:t xml:space="preserve"> </w:t>
      </w:r>
      <w:r>
        <w:rPr>
          <w:rFonts w:ascii="Cambria" w:hAnsi="Cambria"/>
        </w:rPr>
        <w:t>species</w:t>
      </w:r>
      <w:r>
        <w:rPr>
          <w:rFonts w:ascii="Cambria" w:hAnsi="Cambria"/>
          <w:color w:val="000000"/>
        </w:rPr>
        <w:t xml:space="preserve"> and </w:t>
      </w:r>
      <w:r>
        <w:rPr>
          <w:rFonts w:ascii="Cambria" w:hAnsi="Cambria"/>
          <w:i/>
          <w:color w:val="000000"/>
        </w:rPr>
        <w:t>Lithocarpus densiflorus</w:t>
      </w:r>
      <w:r>
        <w:rPr>
          <w:rFonts w:ascii="Cambria" w:hAnsi="Cambria"/>
          <w:color w:val="000000"/>
        </w:rPr>
        <w:t xml:space="preserve"> in California</w:t>
      </w:r>
      <w:r>
        <w:rPr>
          <w:rFonts w:ascii="Cambria" w:hAnsi="Cambria"/>
        </w:rPr>
        <w:t xml:space="preserve">’, </w:t>
      </w:r>
      <w:r>
        <w:rPr>
          <w:rFonts w:ascii="Cambria" w:hAnsi="Cambria"/>
          <w:i/>
        </w:rPr>
        <w:t>Plant Disease</w:t>
      </w:r>
      <w:r>
        <w:rPr>
          <w:rFonts w:ascii="Cambria" w:hAnsi="Cambria"/>
        </w:rPr>
        <w:t>,</w:t>
      </w:r>
      <w:r>
        <w:rPr>
          <w:rFonts w:ascii="Cambria" w:hAnsi="Cambria"/>
          <w:color w:val="000000"/>
        </w:rPr>
        <w:t xml:space="preserve"> 86: 205</w:t>
      </w:r>
      <w:r>
        <w:rPr>
          <w:rFonts w:ascii="Cambria" w:hAnsi="Cambria"/>
        </w:rPr>
        <w:t>–2</w:t>
      </w:r>
      <w:r>
        <w:rPr>
          <w:rFonts w:ascii="Cambria" w:hAnsi="Cambria"/>
          <w:color w:val="000000"/>
        </w:rPr>
        <w:t>14.</w:t>
      </w:r>
    </w:p>
    <w:p w:rsidR="00E94405" w:rsidRDefault="00A11609">
      <w:pPr>
        <w:autoSpaceDE w:val="0"/>
        <w:autoSpaceDN w:val="0"/>
        <w:adjustRightInd w:val="0"/>
        <w:spacing w:before="200"/>
        <w:rPr>
          <w:rFonts w:ascii="Cambria" w:hAnsi="Cambria"/>
        </w:rPr>
      </w:pPr>
      <w:r>
        <w:rPr>
          <w:rFonts w:ascii="Cambria" w:hAnsi="Cambria"/>
        </w:rPr>
        <w:t>Rooney-Latham, S, Honeycutt, E, Ochoa, J, Grünwald, NJ &amp; Blomquist, CL 2013, ‘First report of Camphor Tree (</w:t>
      </w:r>
      <w:r>
        <w:rPr>
          <w:rFonts w:ascii="Cambria" w:hAnsi="Cambria"/>
          <w:i/>
        </w:rPr>
        <w:t>Cinnamomum camphora</w:t>
      </w:r>
      <w:r>
        <w:rPr>
          <w:rFonts w:ascii="Cambria" w:hAnsi="Cambria"/>
        </w:rPr>
        <w:t xml:space="preserve">) as a host plant of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97: 1377.</w:t>
      </w:r>
    </w:p>
    <w:p w:rsidR="00E94405" w:rsidRDefault="00A11609">
      <w:pPr>
        <w:autoSpaceDE w:val="0"/>
        <w:autoSpaceDN w:val="0"/>
        <w:adjustRightInd w:val="0"/>
        <w:spacing w:before="200"/>
        <w:rPr>
          <w:rFonts w:ascii="Cambria" w:hAnsi="Cambria"/>
        </w:rPr>
      </w:pPr>
      <w:r>
        <w:rPr>
          <w:rFonts w:ascii="Cambria" w:hAnsi="Cambria"/>
          <w:color w:val="000000"/>
        </w:rPr>
        <w:t>Rytkönen</w:t>
      </w:r>
      <w:r>
        <w:rPr>
          <w:rFonts w:ascii="Cambria" w:hAnsi="Cambria"/>
        </w:rPr>
        <w:t>,</w:t>
      </w:r>
      <w:r>
        <w:rPr>
          <w:rFonts w:ascii="Cambria" w:hAnsi="Cambria"/>
          <w:color w:val="000000"/>
        </w:rPr>
        <w:t xml:space="preserve"> A, Lilja</w:t>
      </w:r>
      <w:r>
        <w:rPr>
          <w:rFonts w:ascii="Cambria" w:hAnsi="Cambria"/>
        </w:rPr>
        <w:t>,</w:t>
      </w:r>
      <w:r>
        <w:rPr>
          <w:rFonts w:ascii="Cambria" w:hAnsi="Cambria"/>
          <w:color w:val="000000"/>
        </w:rPr>
        <w:t xml:space="preserve"> A, Parikka</w:t>
      </w:r>
      <w:r>
        <w:rPr>
          <w:rFonts w:ascii="Cambria" w:hAnsi="Cambria"/>
        </w:rPr>
        <w:t>,</w:t>
      </w:r>
      <w:r>
        <w:rPr>
          <w:rFonts w:ascii="Cambria" w:hAnsi="Cambria"/>
          <w:color w:val="000000"/>
        </w:rPr>
        <w:t xml:space="preserve"> P, Hannukkala</w:t>
      </w:r>
      <w:r>
        <w:rPr>
          <w:rFonts w:ascii="Cambria" w:hAnsi="Cambria"/>
        </w:rPr>
        <w:t xml:space="preserve">, </w:t>
      </w:r>
      <w:r>
        <w:rPr>
          <w:rFonts w:ascii="Cambria" w:hAnsi="Cambria"/>
          <w:color w:val="000000"/>
        </w:rPr>
        <w:t>A, Kokkola</w:t>
      </w:r>
      <w:r>
        <w:rPr>
          <w:rFonts w:ascii="Cambria" w:hAnsi="Cambria"/>
        </w:rPr>
        <w:t>,</w:t>
      </w:r>
      <w:r>
        <w:rPr>
          <w:rFonts w:ascii="Cambria" w:hAnsi="Cambria"/>
          <w:color w:val="000000"/>
        </w:rPr>
        <w:t xml:space="preserve"> M</w:t>
      </w:r>
      <w:r>
        <w:rPr>
          <w:rFonts w:ascii="Cambria" w:hAnsi="Cambria"/>
        </w:rPr>
        <w:t xml:space="preserve"> &amp;</w:t>
      </w:r>
      <w:r>
        <w:rPr>
          <w:rFonts w:ascii="Cambria" w:hAnsi="Cambria"/>
          <w:color w:val="000000"/>
        </w:rPr>
        <w:t xml:space="preserve"> Hantula</w:t>
      </w:r>
      <w:r>
        <w:rPr>
          <w:rFonts w:ascii="Cambria" w:hAnsi="Cambria"/>
        </w:rPr>
        <w:t>,</w:t>
      </w:r>
      <w:r>
        <w:rPr>
          <w:rFonts w:ascii="Cambria" w:hAnsi="Cambria"/>
          <w:color w:val="000000"/>
        </w:rPr>
        <w:t xml:space="preserve"> J</w:t>
      </w:r>
      <w:r>
        <w:rPr>
          <w:rFonts w:ascii="Cambria" w:hAnsi="Cambria"/>
        </w:rPr>
        <w:t xml:space="preserve"> </w:t>
      </w:r>
      <w:r>
        <w:rPr>
          <w:rFonts w:ascii="Cambria" w:hAnsi="Cambria"/>
          <w:color w:val="000000"/>
        </w:rPr>
        <w:t>2007</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Phytophthora</w:t>
      </w:r>
      <w:r>
        <w:rPr>
          <w:rFonts w:ascii="Cambria" w:hAnsi="Cambria"/>
          <w:color w:val="000000"/>
        </w:rPr>
        <w:t xml:space="preserve"> species</w:t>
      </w:r>
      <w:r>
        <w:rPr>
          <w:rFonts w:ascii="Cambria" w:hAnsi="Cambria"/>
        </w:rPr>
        <w:t>’, In: ‘</w:t>
      </w:r>
      <w:r>
        <w:rPr>
          <w:rFonts w:ascii="Cambria" w:hAnsi="Cambria"/>
          <w:i/>
          <w:color w:val="000000"/>
        </w:rPr>
        <w:t>Phytophthora</w:t>
      </w:r>
      <w:r>
        <w:rPr>
          <w:rFonts w:ascii="Cambria" w:hAnsi="Cambria"/>
        </w:rPr>
        <w:t xml:space="preserve">s in Forests and Natural Ecosystems’, </w:t>
      </w:r>
      <w:r>
        <w:rPr>
          <w:rFonts w:ascii="Cambria" w:hAnsi="Cambria"/>
          <w:i/>
          <w:color w:val="000000"/>
        </w:rPr>
        <w:t>Finlandin Meeting Abstracts of the Fourth International IUFRO Working Party</w:t>
      </w:r>
      <w:r>
        <w:rPr>
          <w:rFonts w:ascii="Cambria" w:hAnsi="Cambria"/>
        </w:rPr>
        <w:t xml:space="preserve">, 62. </w:t>
      </w:r>
    </w:p>
    <w:p w:rsidR="00E94405" w:rsidRDefault="00A11609">
      <w:pPr>
        <w:autoSpaceDE w:val="0"/>
        <w:autoSpaceDN w:val="0"/>
        <w:adjustRightInd w:val="0"/>
        <w:spacing w:before="200"/>
        <w:rPr>
          <w:rFonts w:ascii="Cambria" w:hAnsi="Cambria"/>
        </w:rPr>
      </w:pPr>
      <w:r>
        <w:rPr>
          <w:rFonts w:ascii="Cambria" w:hAnsi="Cambria"/>
        </w:rPr>
        <w:t xml:space="preserve">Sansford, C 2012, ‘Revised Rapid Assessment of the need for a detailed Pest Risk Analysis for </w:t>
      </w:r>
      <w:r>
        <w:rPr>
          <w:rFonts w:ascii="Cambria" w:hAnsi="Cambria"/>
          <w:i/>
        </w:rPr>
        <w:t>Phytophthora pseudosyringae</w:t>
      </w:r>
      <w:r>
        <w:rPr>
          <w:rFonts w:ascii="Cambria" w:hAnsi="Cambria"/>
        </w:rPr>
        <w:t xml:space="preserve">’, Food and Environment Research Agency (FERA), http://www.fera.defra.gov.uk/plants/plantHealth/pestsDiseases/documents/phytophthoraPseudosyringae0312.pdf , Accessed March 2014. </w:t>
      </w:r>
    </w:p>
    <w:p w:rsidR="00E94405" w:rsidRDefault="00A11609">
      <w:pPr>
        <w:autoSpaceDE w:val="0"/>
        <w:autoSpaceDN w:val="0"/>
        <w:adjustRightInd w:val="0"/>
        <w:spacing w:before="200"/>
        <w:rPr>
          <w:rFonts w:ascii="Cambria" w:hAnsi="Cambria"/>
        </w:rPr>
      </w:pPr>
      <w:r>
        <w:rPr>
          <w:rFonts w:ascii="Cambria" w:hAnsi="Cambria"/>
        </w:rPr>
        <w:t xml:space="preserve">Sansford, CE 2008, ‘Revised summary pest risk analysis for </w:t>
      </w:r>
      <w:r>
        <w:rPr>
          <w:rFonts w:ascii="Cambria" w:hAnsi="Cambria"/>
          <w:i/>
        </w:rPr>
        <w:t>Phytophthora kernoviae</w:t>
      </w:r>
      <w:r>
        <w:rPr>
          <w:rFonts w:ascii="Cambria" w:hAnsi="Cambria"/>
          <w:color w:val="000000"/>
        </w:rPr>
        <w:t xml:space="preserve">’, </w:t>
      </w:r>
      <w:r>
        <w:rPr>
          <w:rFonts w:ascii="Cambria" w:hAnsi="Cambria"/>
        </w:rPr>
        <w:t xml:space="preserve">CSL Forest Research, http://www.fera.defra.gov.uk/plants/plantHealth/pestsDiseases/documents/pker.pdf. </w:t>
      </w:r>
    </w:p>
    <w:p w:rsidR="00E94405" w:rsidRDefault="00A11609">
      <w:pPr>
        <w:autoSpaceDE w:val="0"/>
        <w:autoSpaceDN w:val="0"/>
        <w:adjustRightInd w:val="0"/>
        <w:spacing w:before="200"/>
        <w:rPr>
          <w:rFonts w:ascii="Cambria" w:hAnsi="Cambria"/>
        </w:rPr>
      </w:pPr>
      <w:r>
        <w:rPr>
          <w:rFonts w:ascii="Cambria" w:hAnsi="Cambria"/>
        </w:rPr>
        <w:t xml:space="preserve">Sansford, CE, Inman, AJ, Baker, R, Brasier, C, Frankel, S, de Gruyter, J, Husson, C, Kehlenbeck, H, Kessel, G, Moralejo, E, Steeghs, M, Webber, J &amp; Werres, S 2009, ‘Report on the risk of entry, establishment, spread and socio-economic loss and environmental impact and the appropriate level of management for </w:t>
      </w:r>
      <w:r>
        <w:rPr>
          <w:rFonts w:ascii="Cambria" w:hAnsi="Cambria"/>
          <w:i/>
        </w:rPr>
        <w:t>Phytophthora ramorum</w:t>
      </w:r>
      <w:r>
        <w:rPr>
          <w:rFonts w:ascii="Cambria" w:hAnsi="Cambria"/>
        </w:rPr>
        <w:t xml:space="preserve"> for the EU’, EU Sixth Framework Project RAPRA, Deliverable Report 28, http://rapra.csl.gov.uk/.</w:t>
      </w:r>
    </w:p>
    <w:p w:rsidR="00E94405" w:rsidRDefault="00A11609">
      <w:pPr>
        <w:autoSpaceDE w:val="0"/>
        <w:autoSpaceDN w:val="0"/>
        <w:adjustRightInd w:val="0"/>
        <w:spacing w:before="200"/>
        <w:rPr>
          <w:rFonts w:ascii="Cambria" w:hAnsi="Cambria"/>
        </w:rPr>
      </w:pPr>
      <w:r>
        <w:rPr>
          <w:rFonts w:ascii="Cambria" w:hAnsi="Cambria"/>
        </w:rPr>
        <w:t xml:space="preserve">Savidor, A, Ryan, S, Donahoo, RS, Hurtado-Gonzales, O, Land, ML, Shah, MB, Lamour, KH &amp; McDonald, WH 2008, ‘Cross-species global proteomics reveals conserved and unique processes in </w:t>
      </w:r>
      <w:r>
        <w:rPr>
          <w:rFonts w:ascii="Cambria" w:hAnsi="Cambria"/>
          <w:i/>
        </w:rPr>
        <w:t>Phytophthora sojae</w:t>
      </w:r>
      <w:r>
        <w:rPr>
          <w:rFonts w:ascii="Cambria" w:hAnsi="Cambria"/>
        </w:rPr>
        <w:t xml:space="preserve"> and </w:t>
      </w:r>
      <w:r>
        <w:rPr>
          <w:rFonts w:ascii="Cambria" w:hAnsi="Cambria"/>
          <w:i/>
        </w:rPr>
        <w:t>Phytophthora ramorum</w:t>
      </w:r>
      <w:r>
        <w:rPr>
          <w:rFonts w:ascii="Cambria" w:hAnsi="Cambria"/>
        </w:rPr>
        <w:t xml:space="preserve">’, </w:t>
      </w:r>
      <w:r>
        <w:rPr>
          <w:rFonts w:ascii="Cambria" w:hAnsi="Cambria"/>
          <w:i/>
        </w:rPr>
        <w:t>Molecular &amp; Cellular Proteomics</w:t>
      </w:r>
      <w:r>
        <w:rPr>
          <w:rFonts w:ascii="Cambria" w:hAnsi="Cambria"/>
        </w:rPr>
        <w:t>, 7.8: 1501–1516.</w:t>
      </w:r>
    </w:p>
    <w:p w:rsidR="00E94405" w:rsidRDefault="00A11609">
      <w:pPr>
        <w:autoSpaceDE w:val="0"/>
        <w:autoSpaceDN w:val="0"/>
        <w:adjustRightInd w:val="0"/>
        <w:spacing w:before="200"/>
        <w:rPr>
          <w:rFonts w:ascii="Cambria" w:hAnsi="Cambria"/>
        </w:rPr>
      </w:pPr>
      <w:r>
        <w:rPr>
          <w:rFonts w:ascii="Cambria" w:hAnsi="Cambria"/>
        </w:rPr>
        <w:lastRenderedPageBreak/>
        <w:t xml:space="preserve">Scanu, B, Jones, B &amp; Webber, JF 2012, ‘A new disease of </w:t>
      </w:r>
      <w:r>
        <w:rPr>
          <w:rFonts w:ascii="Cambria" w:hAnsi="Cambria"/>
          <w:i/>
        </w:rPr>
        <w:t>Nothofagus</w:t>
      </w:r>
      <w:r>
        <w:rPr>
          <w:rFonts w:ascii="Cambria" w:hAnsi="Cambria"/>
        </w:rPr>
        <w:t xml:space="preserve"> in Britain caused by </w:t>
      </w:r>
      <w:r>
        <w:rPr>
          <w:rFonts w:ascii="Cambria" w:hAnsi="Cambria"/>
          <w:i/>
        </w:rPr>
        <w:t>Phytophthora pseudosyringae</w:t>
      </w:r>
      <w:r>
        <w:rPr>
          <w:rFonts w:ascii="Cambria" w:hAnsi="Cambria"/>
        </w:rPr>
        <w:t xml:space="preserve">’, </w:t>
      </w:r>
      <w:r>
        <w:rPr>
          <w:rFonts w:ascii="Cambria" w:hAnsi="Cambria"/>
          <w:i/>
        </w:rPr>
        <w:t>New Disease Reports</w:t>
      </w:r>
      <w:r>
        <w:rPr>
          <w:rFonts w:ascii="Cambria" w:hAnsi="Cambria"/>
        </w:rPr>
        <w:t>, 25: 27.</w:t>
      </w:r>
    </w:p>
    <w:p w:rsidR="00E94405" w:rsidRDefault="00A11609">
      <w:pPr>
        <w:autoSpaceDE w:val="0"/>
        <w:autoSpaceDN w:val="0"/>
        <w:adjustRightInd w:val="0"/>
        <w:spacing w:before="200"/>
        <w:rPr>
          <w:rFonts w:ascii="Cambria" w:hAnsi="Cambria"/>
        </w:rPr>
      </w:pPr>
      <w:r>
        <w:rPr>
          <w:rFonts w:ascii="Cambria" w:hAnsi="Cambria"/>
        </w:rPr>
        <w:t xml:space="preserve">Scanu, B, Linaldeddu, BT &amp; Franceschini, A 2010, ‘First report of </w:t>
      </w:r>
      <w:r>
        <w:rPr>
          <w:rFonts w:ascii="Cambria" w:hAnsi="Cambria"/>
          <w:i/>
        </w:rPr>
        <w:t>Phytophthora pseudosyringae</w:t>
      </w:r>
      <w:r>
        <w:rPr>
          <w:rFonts w:ascii="Cambria" w:hAnsi="Cambria"/>
        </w:rPr>
        <w:t xml:space="preserve"> associated with ink disease of </w:t>
      </w:r>
      <w:r>
        <w:rPr>
          <w:rFonts w:ascii="Cambria" w:hAnsi="Cambria"/>
          <w:i/>
        </w:rPr>
        <w:t>Castanea sativa</w:t>
      </w:r>
      <w:r>
        <w:rPr>
          <w:rFonts w:ascii="Cambria" w:hAnsi="Cambria"/>
        </w:rPr>
        <w:t xml:space="preserve"> in Italy’, </w:t>
      </w:r>
      <w:r>
        <w:rPr>
          <w:rFonts w:ascii="Cambria" w:hAnsi="Cambria"/>
          <w:i/>
        </w:rPr>
        <w:t>Plant Disease</w:t>
      </w:r>
      <w:r>
        <w:rPr>
          <w:rFonts w:ascii="Cambria" w:hAnsi="Cambria"/>
        </w:rPr>
        <w:t>, 94: 1068.</w:t>
      </w:r>
    </w:p>
    <w:p w:rsidR="00E94405" w:rsidRDefault="00A11609">
      <w:pPr>
        <w:autoSpaceDE w:val="0"/>
        <w:autoSpaceDN w:val="0"/>
        <w:adjustRightInd w:val="0"/>
        <w:spacing w:before="200"/>
        <w:rPr>
          <w:rFonts w:ascii="Cambria" w:hAnsi="Cambria"/>
        </w:rPr>
      </w:pPr>
      <w:r>
        <w:rPr>
          <w:rFonts w:ascii="Cambria" w:hAnsi="Cambria"/>
        </w:rPr>
        <w:t xml:space="preserve">Schwingle, BW &amp; Blanchette, RA 2008, ‘Host range investigations of new, undescribed, and common </w:t>
      </w:r>
      <w:r>
        <w:rPr>
          <w:rFonts w:ascii="Cambria" w:hAnsi="Cambria"/>
          <w:i/>
        </w:rPr>
        <w:t>Phytophthora</w:t>
      </w:r>
      <w:r>
        <w:rPr>
          <w:rFonts w:ascii="Cambria" w:hAnsi="Cambria"/>
        </w:rPr>
        <w:t xml:space="preserve"> species isolated from ornamental nurseries in Minnesota’, </w:t>
      </w:r>
      <w:r>
        <w:rPr>
          <w:rFonts w:ascii="Cambria" w:hAnsi="Cambria"/>
          <w:i/>
        </w:rPr>
        <w:t>Plant Disease</w:t>
      </w:r>
      <w:r>
        <w:rPr>
          <w:rFonts w:ascii="Cambria" w:hAnsi="Cambria"/>
        </w:rPr>
        <w:t>,</w:t>
      </w:r>
      <w:r>
        <w:rPr>
          <w:rFonts w:ascii="Cambria" w:hAnsi="Cambria"/>
          <w:i/>
        </w:rPr>
        <w:t xml:space="preserve"> </w:t>
      </w:r>
      <w:r>
        <w:rPr>
          <w:rFonts w:ascii="Cambria" w:hAnsi="Cambria"/>
        </w:rPr>
        <w:t>92: 642–647.</w:t>
      </w:r>
    </w:p>
    <w:p w:rsidR="00E94405" w:rsidRDefault="00A11609">
      <w:pPr>
        <w:autoSpaceDE w:val="0"/>
        <w:autoSpaceDN w:val="0"/>
        <w:adjustRightInd w:val="0"/>
        <w:spacing w:before="200"/>
        <w:rPr>
          <w:rFonts w:ascii="Cambria" w:hAnsi="Cambria"/>
        </w:rPr>
      </w:pPr>
      <w:r>
        <w:rPr>
          <w:rFonts w:ascii="Cambria" w:hAnsi="Cambria"/>
        </w:rPr>
        <w:t>Schwingle, BW, Smith, JA &amp; Blanchette, RA 2007, ‘</w:t>
      </w:r>
      <w:r>
        <w:rPr>
          <w:rFonts w:ascii="Cambria" w:hAnsi="Cambria"/>
          <w:i/>
        </w:rPr>
        <w:t>Phytophthora</w:t>
      </w:r>
      <w:r>
        <w:rPr>
          <w:rFonts w:ascii="Cambria" w:hAnsi="Cambria"/>
        </w:rPr>
        <w:t xml:space="preserve"> species associated with diseased woody ornamentals in Minnesota nurseries’, </w:t>
      </w:r>
      <w:r>
        <w:rPr>
          <w:rFonts w:ascii="Cambria" w:hAnsi="Cambria"/>
          <w:i/>
        </w:rPr>
        <w:t>Plant Disease</w:t>
      </w:r>
      <w:r>
        <w:rPr>
          <w:rFonts w:ascii="Cambria" w:hAnsi="Cambria"/>
        </w:rPr>
        <w:t>, 91: 97–102.</w:t>
      </w:r>
    </w:p>
    <w:p w:rsidR="00E94405" w:rsidRDefault="00A11609">
      <w:pPr>
        <w:autoSpaceDE w:val="0"/>
        <w:autoSpaceDN w:val="0"/>
        <w:adjustRightInd w:val="0"/>
        <w:spacing w:before="200"/>
        <w:rPr>
          <w:rFonts w:ascii="Cambria" w:hAnsi="Cambria"/>
        </w:rPr>
      </w:pPr>
      <w:r>
        <w:rPr>
          <w:rFonts w:ascii="Cambria" w:hAnsi="Cambria"/>
        </w:rPr>
        <w:t xml:space="preserve">Schwingle, BW, Smith, JA, Blanchette, RA, Gould, S, Blanchette, BL, Pokorny, J &amp; Cohen, SD 2006, ‘First report of dieback and leaf lesions on </w:t>
      </w:r>
      <w:r>
        <w:rPr>
          <w:rFonts w:ascii="Cambria" w:hAnsi="Cambria"/>
          <w:i/>
        </w:rPr>
        <w:t>Rhododendron</w:t>
      </w:r>
      <w:r>
        <w:rPr>
          <w:rFonts w:ascii="Cambria" w:hAnsi="Cambria"/>
        </w:rPr>
        <w:t xml:space="preserve"> sp. caused by </w:t>
      </w:r>
      <w:r>
        <w:rPr>
          <w:rFonts w:ascii="Cambria" w:hAnsi="Cambria"/>
          <w:i/>
        </w:rPr>
        <w:t>Phytophthora hedraiandra</w:t>
      </w:r>
      <w:r>
        <w:rPr>
          <w:rFonts w:ascii="Cambria" w:hAnsi="Cambria"/>
        </w:rPr>
        <w:t xml:space="preserve"> in the United States’, </w:t>
      </w:r>
      <w:r>
        <w:rPr>
          <w:rFonts w:ascii="Cambria" w:hAnsi="Cambria"/>
          <w:i/>
        </w:rPr>
        <w:t>Plant Disease</w:t>
      </w:r>
      <w:r>
        <w:rPr>
          <w:rFonts w:ascii="Cambria" w:hAnsi="Cambria"/>
        </w:rPr>
        <w:t>, 90; 109.</w:t>
      </w:r>
    </w:p>
    <w:p w:rsidR="00E94405" w:rsidRDefault="00A11609">
      <w:pPr>
        <w:autoSpaceDE w:val="0"/>
        <w:autoSpaceDN w:val="0"/>
        <w:adjustRightInd w:val="0"/>
        <w:spacing w:before="200"/>
        <w:rPr>
          <w:rFonts w:ascii="Cambria" w:hAnsi="Cambria"/>
          <w:color w:val="000000"/>
        </w:rPr>
      </w:pPr>
      <w:r>
        <w:rPr>
          <w:rFonts w:ascii="Cambria" w:hAnsi="Cambria"/>
          <w:color w:val="000000"/>
        </w:rPr>
        <w:t>Scianna</w:t>
      </w:r>
      <w:r>
        <w:rPr>
          <w:rFonts w:ascii="Cambria" w:hAnsi="Cambria"/>
        </w:rPr>
        <w:t>,</w:t>
      </w:r>
      <w:r>
        <w:rPr>
          <w:rFonts w:ascii="Cambria" w:hAnsi="Cambria"/>
          <w:color w:val="000000"/>
        </w:rPr>
        <w:t xml:space="preserve"> JD, Knudson</w:t>
      </w:r>
      <w:r>
        <w:rPr>
          <w:rFonts w:ascii="Cambria" w:hAnsi="Cambria"/>
        </w:rPr>
        <w:t>,</w:t>
      </w:r>
      <w:r>
        <w:rPr>
          <w:rFonts w:ascii="Cambria" w:hAnsi="Cambria"/>
          <w:color w:val="000000"/>
        </w:rPr>
        <w:t xml:space="preserve"> MK</w:t>
      </w:r>
      <w:r>
        <w:rPr>
          <w:rFonts w:ascii="Cambria" w:hAnsi="Cambria"/>
        </w:rPr>
        <w:t xml:space="preserve"> &amp;</w:t>
      </w:r>
      <w:r>
        <w:rPr>
          <w:rFonts w:ascii="Cambria" w:hAnsi="Cambria"/>
          <w:color w:val="000000"/>
        </w:rPr>
        <w:t xml:space="preserve"> Dickerson</w:t>
      </w:r>
      <w:r>
        <w:rPr>
          <w:rFonts w:ascii="Cambria" w:hAnsi="Cambria"/>
        </w:rPr>
        <w:t>,</w:t>
      </w:r>
      <w:r>
        <w:rPr>
          <w:rFonts w:ascii="Cambria" w:hAnsi="Cambria"/>
          <w:color w:val="000000"/>
        </w:rPr>
        <w:t xml:space="preserve"> JA 2003</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Sudden Oak Death (SOD)</w:t>
      </w:r>
      <w:r>
        <w:rPr>
          <w:rFonts w:ascii="Cambria" w:hAnsi="Cambria"/>
          <w:color w:val="000000"/>
        </w:rPr>
        <w:t>’</w:t>
      </w:r>
      <w:r>
        <w:rPr>
          <w:rFonts w:ascii="Cambria" w:hAnsi="Cambria"/>
        </w:rPr>
        <w:t>,</w:t>
      </w:r>
      <w:r>
        <w:rPr>
          <w:rFonts w:ascii="Cambria" w:hAnsi="Cambria"/>
          <w:color w:val="000000"/>
        </w:rPr>
        <w:t xml:space="preserve"> USDA Natural Resourcs Conservation Services</w:t>
      </w:r>
      <w:r>
        <w:rPr>
          <w:rFonts w:ascii="Cambria" w:hAnsi="Cambria"/>
        </w:rPr>
        <w:t xml:space="preserve">, </w:t>
      </w:r>
      <w:r>
        <w:rPr>
          <w:rFonts w:ascii="Cambria" w:hAnsi="Cambria"/>
          <w:i/>
          <w:color w:val="000000"/>
        </w:rPr>
        <w:t>Plant Materials Technic</w:t>
      </w:r>
      <w:r>
        <w:rPr>
          <w:rFonts w:ascii="Cambria" w:hAnsi="Cambria"/>
          <w:color w:val="000000"/>
        </w:rPr>
        <w:t>al</w:t>
      </w:r>
      <w:r>
        <w:rPr>
          <w:rFonts w:ascii="Cambria" w:hAnsi="Cambria"/>
          <w:i/>
          <w:color w:val="000000"/>
        </w:rPr>
        <w:t xml:space="preserve"> Note No. MT-44</w:t>
      </w:r>
      <w:r>
        <w:rPr>
          <w:rFonts w:ascii="Cambria" w:hAnsi="Cambria"/>
        </w:rPr>
        <w:t xml:space="preserve">, </w:t>
      </w:r>
      <w:r>
        <w:rPr>
          <w:rFonts w:ascii="Cambria" w:hAnsi="Cambria"/>
          <w:color w:val="000000"/>
        </w:rPr>
        <w:t xml:space="preserve"> </w:t>
      </w:r>
      <w:r>
        <w:rPr>
          <w:rFonts w:ascii="Cambria" w:hAnsi="Cambria"/>
        </w:rPr>
        <w:t>ftp://ftp-fc.sc.egov.usda.gov/MT/www/technical/plants/technotes/pmtechnoteMT44.pdf</w:t>
      </w:r>
    </w:p>
    <w:p w:rsidR="00E94405" w:rsidRDefault="00A11609">
      <w:pPr>
        <w:autoSpaceDE w:val="0"/>
        <w:autoSpaceDN w:val="0"/>
        <w:adjustRightInd w:val="0"/>
        <w:spacing w:before="200"/>
        <w:rPr>
          <w:rFonts w:ascii="Cambria" w:hAnsi="Cambria"/>
          <w:color w:val="000000"/>
        </w:rPr>
      </w:pPr>
      <w:r>
        <w:rPr>
          <w:rFonts w:ascii="Cambria" w:hAnsi="Cambria"/>
        </w:rPr>
        <w:t xml:space="preserve">Shishkoff, N (2007) ‘Persistence of </w:t>
      </w:r>
      <w:r>
        <w:rPr>
          <w:rFonts w:ascii="Cambria" w:hAnsi="Cambria"/>
          <w:i/>
        </w:rPr>
        <w:t>Phytophthora ramorum</w:t>
      </w:r>
      <w:r>
        <w:rPr>
          <w:rFonts w:ascii="Cambria" w:hAnsi="Cambria"/>
        </w:rPr>
        <w:t xml:space="preserve"> in soil mix and roots of nursery ornamentals’, </w:t>
      </w:r>
      <w:r>
        <w:rPr>
          <w:rFonts w:ascii="Cambria" w:hAnsi="Cambria"/>
          <w:i/>
        </w:rPr>
        <w:t>Plant Disease</w:t>
      </w:r>
      <w:r>
        <w:rPr>
          <w:rFonts w:ascii="Cambria" w:hAnsi="Cambria"/>
        </w:rPr>
        <w:t>, 91: 1245–1249.</w:t>
      </w:r>
    </w:p>
    <w:p w:rsidR="00E94405" w:rsidRDefault="00A11609">
      <w:pPr>
        <w:autoSpaceDE w:val="0"/>
        <w:autoSpaceDN w:val="0"/>
        <w:adjustRightInd w:val="0"/>
        <w:spacing w:before="200"/>
        <w:rPr>
          <w:rFonts w:ascii="Cambria" w:hAnsi="Cambria"/>
          <w:color w:val="000000"/>
        </w:rPr>
      </w:pPr>
      <w:r>
        <w:rPr>
          <w:rFonts w:ascii="Cambria" w:hAnsi="Cambria"/>
        </w:rPr>
        <w:t>Shurtleff, MC &amp; Averre, CW 1997, ‘</w:t>
      </w:r>
      <w:r>
        <w:rPr>
          <w:rFonts w:ascii="Cambria" w:hAnsi="Cambria"/>
          <w:i/>
        </w:rPr>
        <w:t>Glossary of Plant-Pathological Terms</w:t>
      </w:r>
      <w:r>
        <w:rPr>
          <w:rFonts w:ascii="Cambria" w:hAnsi="Cambria"/>
        </w:rPr>
        <w:t>’, American Phytopathology Society Press, St. Paul, MN.</w:t>
      </w:r>
    </w:p>
    <w:p w:rsidR="00E94405" w:rsidRDefault="00A11609">
      <w:pPr>
        <w:autoSpaceDE w:val="0"/>
        <w:autoSpaceDN w:val="0"/>
        <w:adjustRightInd w:val="0"/>
        <w:spacing w:before="200"/>
        <w:rPr>
          <w:rFonts w:ascii="Cambria" w:hAnsi="Cambria"/>
          <w:color w:val="000000"/>
        </w:rPr>
      </w:pPr>
      <w:r>
        <w:rPr>
          <w:rFonts w:ascii="Cambria" w:hAnsi="Cambria"/>
          <w:color w:val="000000"/>
        </w:rPr>
        <w:t>Stenlid</w:t>
      </w:r>
      <w:r>
        <w:rPr>
          <w:rFonts w:ascii="Cambria" w:hAnsi="Cambria"/>
        </w:rPr>
        <w:t>,</w:t>
      </w:r>
      <w:r>
        <w:rPr>
          <w:rFonts w:ascii="Cambria" w:hAnsi="Cambria"/>
          <w:color w:val="000000"/>
        </w:rPr>
        <w:t xml:space="preserve"> J, Oliva</w:t>
      </w:r>
      <w:r>
        <w:rPr>
          <w:rFonts w:ascii="Cambria" w:hAnsi="Cambria"/>
        </w:rPr>
        <w:t>,</w:t>
      </w:r>
      <w:r>
        <w:rPr>
          <w:rFonts w:ascii="Cambria" w:hAnsi="Cambria"/>
          <w:color w:val="000000"/>
        </w:rPr>
        <w:t xml:space="preserve"> J, Boberg</w:t>
      </w:r>
      <w:r>
        <w:rPr>
          <w:rFonts w:ascii="Cambria" w:hAnsi="Cambria"/>
        </w:rPr>
        <w:t>,</w:t>
      </w:r>
      <w:r>
        <w:rPr>
          <w:rFonts w:ascii="Cambria" w:hAnsi="Cambria"/>
          <w:color w:val="000000"/>
        </w:rPr>
        <w:t xml:space="preserve"> JB</w:t>
      </w:r>
      <w:r>
        <w:rPr>
          <w:rFonts w:ascii="Cambria" w:hAnsi="Cambria"/>
        </w:rPr>
        <w:t xml:space="preserve"> &amp;</w:t>
      </w:r>
      <w:r>
        <w:rPr>
          <w:rFonts w:ascii="Cambria" w:hAnsi="Cambria"/>
          <w:color w:val="000000"/>
        </w:rPr>
        <w:t xml:space="preserve"> Hopkins</w:t>
      </w:r>
      <w:r>
        <w:rPr>
          <w:rFonts w:ascii="Cambria" w:hAnsi="Cambria"/>
        </w:rPr>
        <w:t>,</w:t>
      </w:r>
      <w:r>
        <w:rPr>
          <w:rFonts w:ascii="Cambria" w:hAnsi="Cambria"/>
          <w:color w:val="000000"/>
        </w:rPr>
        <w:t xml:space="preserve"> AJM 2011</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Emerging diseases in European forest ecosystems and responses in society</w:t>
      </w:r>
      <w:r>
        <w:rPr>
          <w:rFonts w:ascii="Cambria" w:hAnsi="Cambria"/>
        </w:rPr>
        <w:t>’,</w:t>
      </w:r>
      <w:r>
        <w:rPr>
          <w:rFonts w:ascii="Cambria" w:hAnsi="Cambria"/>
          <w:color w:val="000000"/>
        </w:rPr>
        <w:t xml:space="preserve"> </w:t>
      </w:r>
      <w:r>
        <w:rPr>
          <w:rFonts w:ascii="Cambria" w:hAnsi="Cambria"/>
          <w:i/>
          <w:color w:val="000000"/>
        </w:rPr>
        <w:t>Forests</w:t>
      </w:r>
      <w:r>
        <w:rPr>
          <w:rFonts w:ascii="Cambria" w:hAnsi="Cambria"/>
        </w:rPr>
        <w:t>,</w:t>
      </w:r>
      <w:r>
        <w:rPr>
          <w:rFonts w:ascii="Cambria" w:hAnsi="Cambria"/>
          <w:color w:val="000000"/>
        </w:rPr>
        <w:t xml:space="preserve"> 2: 486–504.</w:t>
      </w:r>
    </w:p>
    <w:p w:rsidR="00E94405" w:rsidRDefault="00A11609">
      <w:pPr>
        <w:autoSpaceDE w:val="0"/>
        <w:autoSpaceDN w:val="0"/>
        <w:adjustRightInd w:val="0"/>
        <w:spacing w:before="200"/>
        <w:rPr>
          <w:rFonts w:ascii="Cambria" w:hAnsi="Cambria"/>
          <w:color w:val="000000"/>
        </w:rPr>
      </w:pPr>
      <w:r>
        <w:rPr>
          <w:rFonts w:ascii="Cambria" w:hAnsi="Cambria"/>
        </w:rPr>
        <w:t>Sundheim, L, Herrero, ML, Rafoss,</w:t>
      </w:r>
      <w:r>
        <w:rPr>
          <w:rFonts w:ascii="Cambria" w:hAnsi="Cambria"/>
          <w:color w:val="000000"/>
        </w:rPr>
        <w:t xml:space="preserve"> T</w:t>
      </w:r>
      <w:r>
        <w:rPr>
          <w:rFonts w:ascii="Cambria" w:hAnsi="Cambria"/>
        </w:rPr>
        <w:t xml:space="preserve"> &amp;</w:t>
      </w:r>
      <w:r>
        <w:rPr>
          <w:rFonts w:ascii="Cambria" w:hAnsi="Cambria"/>
          <w:color w:val="000000"/>
        </w:rPr>
        <w:t xml:space="preserve"> Toppe</w:t>
      </w:r>
      <w:r>
        <w:rPr>
          <w:rFonts w:ascii="Cambria" w:hAnsi="Cambria"/>
        </w:rPr>
        <w:t>,</w:t>
      </w:r>
      <w:r>
        <w:rPr>
          <w:rFonts w:ascii="Cambria" w:hAnsi="Cambria"/>
          <w:color w:val="000000"/>
        </w:rPr>
        <w:t xml:space="preserve"> B 2009</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Pest risk assessment of </w:t>
      </w:r>
      <w:r>
        <w:rPr>
          <w:rFonts w:ascii="Cambria" w:hAnsi="Cambria"/>
          <w:i/>
        </w:rPr>
        <w:t>Phytophthora ramorum</w:t>
      </w:r>
      <w:r>
        <w:rPr>
          <w:rFonts w:ascii="Cambria" w:hAnsi="Cambria"/>
          <w:color w:val="000000"/>
        </w:rPr>
        <w:t xml:space="preserve"> in Norway</w:t>
      </w:r>
      <w:r>
        <w:rPr>
          <w:rFonts w:ascii="Cambria" w:hAnsi="Cambria"/>
        </w:rPr>
        <w:t>’,</w:t>
      </w:r>
      <w:r>
        <w:rPr>
          <w:rFonts w:ascii="Cambria" w:hAnsi="Cambria"/>
          <w:color w:val="000000"/>
        </w:rPr>
        <w:t xml:space="preserve"> </w:t>
      </w:r>
      <w:r>
        <w:rPr>
          <w:rFonts w:ascii="Cambria" w:hAnsi="Cambria"/>
          <w:i/>
          <w:color w:val="000000"/>
        </w:rPr>
        <w:t>Opinion of the Panel on Plant Health of the Norwegian Scientific Committee for Food Safety</w:t>
      </w:r>
      <w:r>
        <w:rPr>
          <w:rFonts w:ascii="Cambria" w:hAnsi="Cambria"/>
          <w:color w:val="000000"/>
        </w:rPr>
        <w:t>, ISBN 978-82-8082-351-9.</w:t>
      </w:r>
    </w:p>
    <w:p w:rsidR="00E94405" w:rsidRDefault="00A11609">
      <w:pPr>
        <w:spacing w:before="200"/>
        <w:rPr>
          <w:rFonts w:ascii="Cambria" w:hAnsi="Cambria"/>
        </w:rPr>
      </w:pPr>
      <w:r>
        <w:rPr>
          <w:rFonts w:ascii="Cambria" w:hAnsi="Cambria"/>
        </w:rPr>
        <w:t xml:space="preserve">Sutton, W, Hansen EM, Reeser PW, Kanaskie, A 2009, ‘Stream monitoring for detection of </w:t>
      </w:r>
      <w:r>
        <w:rPr>
          <w:rFonts w:ascii="Cambria" w:hAnsi="Cambria"/>
          <w:i/>
        </w:rPr>
        <w:t xml:space="preserve">Phytophthora ramorum </w:t>
      </w:r>
      <w:r>
        <w:rPr>
          <w:rFonts w:ascii="Cambria" w:hAnsi="Cambria"/>
        </w:rPr>
        <w:t xml:space="preserve">in Oregon tanoak forests’, </w:t>
      </w:r>
      <w:r>
        <w:rPr>
          <w:rFonts w:ascii="Cambria" w:hAnsi="Cambria"/>
          <w:i/>
        </w:rPr>
        <w:t>Plant Disease</w:t>
      </w:r>
      <w:r>
        <w:rPr>
          <w:rFonts w:ascii="Cambria" w:hAnsi="Cambria"/>
        </w:rPr>
        <w:t>, 93: 1182–1186.</w:t>
      </w:r>
    </w:p>
    <w:p w:rsidR="00E94405" w:rsidRDefault="00A11609">
      <w:pPr>
        <w:autoSpaceDE w:val="0"/>
        <w:autoSpaceDN w:val="0"/>
        <w:adjustRightInd w:val="0"/>
        <w:spacing w:before="200"/>
        <w:rPr>
          <w:rFonts w:ascii="Cambria" w:hAnsi="Cambria"/>
          <w:color w:val="000000"/>
        </w:rPr>
      </w:pPr>
      <w:r>
        <w:rPr>
          <w:rFonts w:ascii="Cambria" w:hAnsi="Cambria"/>
          <w:color w:val="000000"/>
        </w:rPr>
        <w:t>Swain</w:t>
      </w:r>
      <w:r>
        <w:rPr>
          <w:rFonts w:ascii="Cambria" w:hAnsi="Cambria"/>
        </w:rPr>
        <w:t>,</w:t>
      </w:r>
      <w:r>
        <w:rPr>
          <w:rFonts w:ascii="Cambria" w:hAnsi="Cambria"/>
          <w:color w:val="000000"/>
        </w:rPr>
        <w:t xml:space="preserve"> S, Harnik</w:t>
      </w:r>
      <w:r>
        <w:rPr>
          <w:rFonts w:ascii="Cambria" w:hAnsi="Cambria"/>
        </w:rPr>
        <w:t>,</w:t>
      </w:r>
      <w:r>
        <w:rPr>
          <w:rFonts w:ascii="Cambria" w:hAnsi="Cambria"/>
          <w:color w:val="000000"/>
        </w:rPr>
        <w:t xml:space="preserve"> T, Mejia-Chang</w:t>
      </w:r>
      <w:r>
        <w:rPr>
          <w:rFonts w:ascii="Cambria" w:hAnsi="Cambria"/>
        </w:rPr>
        <w:t>,</w:t>
      </w:r>
      <w:r>
        <w:rPr>
          <w:rFonts w:ascii="Cambria" w:hAnsi="Cambria"/>
          <w:color w:val="000000"/>
        </w:rPr>
        <w:t xml:space="preserve"> M, Hayden</w:t>
      </w:r>
      <w:r>
        <w:rPr>
          <w:rFonts w:ascii="Cambria" w:hAnsi="Cambria"/>
        </w:rPr>
        <w:t>,</w:t>
      </w:r>
      <w:r>
        <w:rPr>
          <w:rFonts w:ascii="Cambria" w:hAnsi="Cambria"/>
          <w:color w:val="000000"/>
        </w:rPr>
        <w:t xml:space="preserve"> K, Bakx</w:t>
      </w:r>
      <w:r>
        <w:rPr>
          <w:rFonts w:ascii="Cambria" w:hAnsi="Cambria"/>
        </w:rPr>
        <w:t>,</w:t>
      </w:r>
      <w:r>
        <w:rPr>
          <w:rFonts w:ascii="Cambria" w:hAnsi="Cambria"/>
          <w:color w:val="000000"/>
        </w:rPr>
        <w:t xml:space="preserve"> W, Creque</w:t>
      </w:r>
      <w:r>
        <w:rPr>
          <w:rFonts w:ascii="Cambria" w:hAnsi="Cambria"/>
        </w:rPr>
        <w:t>,</w:t>
      </w:r>
      <w:r>
        <w:rPr>
          <w:rFonts w:ascii="Cambria" w:hAnsi="Cambria"/>
          <w:color w:val="000000"/>
        </w:rPr>
        <w:t xml:space="preserve"> J</w:t>
      </w:r>
      <w:r>
        <w:rPr>
          <w:rFonts w:ascii="Cambria" w:hAnsi="Cambria"/>
        </w:rPr>
        <w:t xml:space="preserve"> &amp;</w:t>
      </w:r>
      <w:r>
        <w:rPr>
          <w:rFonts w:ascii="Cambria" w:hAnsi="Cambria"/>
          <w:color w:val="000000"/>
        </w:rPr>
        <w:t xml:space="preserve"> Garbelotto</w:t>
      </w:r>
      <w:r>
        <w:rPr>
          <w:rFonts w:ascii="Cambria" w:hAnsi="Cambria"/>
        </w:rPr>
        <w:t>,</w:t>
      </w:r>
      <w:r>
        <w:rPr>
          <w:rFonts w:ascii="Cambria" w:hAnsi="Cambria"/>
          <w:color w:val="000000"/>
        </w:rPr>
        <w:t xml:space="preserve"> M 2006</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Composting is an effective treatment option for sanitization of </w:t>
      </w:r>
      <w:r>
        <w:rPr>
          <w:rFonts w:ascii="Cambria" w:hAnsi="Cambria"/>
          <w:i/>
        </w:rPr>
        <w:t>Phytophthora ramorum</w:t>
      </w:r>
      <w:r>
        <w:rPr>
          <w:rFonts w:ascii="Cambria" w:hAnsi="Cambria"/>
          <w:color w:val="000000"/>
        </w:rPr>
        <w:t>-infected plant material</w:t>
      </w:r>
      <w:r>
        <w:rPr>
          <w:rFonts w:ascii="Cambria" w:hAnsi="Cambria"/>
        </w:rPr>
        <w:t xml:space="preserve">’, </w:t>
      </w:r>
      <w:r>
        <w:rPr>
          <w:rFonts w:ascii="Cambria" w:hAnsi="Cambria"/>
          <w:i/>
          <w:color w:val="000000"/>
        </w:rPr>
        <w:t>Journal of Applied Microbiology</w:t>
      </w:r>
      <w:r>
        <w:rPr>
          <w:rFonts w:ascii="Cambria" w:hAnsi="Cambria"/>
        </w:rPr>
        <w:t>,</w:t>
      </w:r>
      <w:r>
        <w:rPr>
          <w:rFonts w:ascii="Cambria" w:hAnsi="Cambria"/>
          <w:color w:val="000000"/>
        </w:rPr>
        <w:t xml:space="preserve"> 101: 815–827.</w:t>
      </w:r>
    </w:p>
    <w:p w:rsidR="00E94405" w:rsidRDefault="00A11609">
      <w:pPr>
        <w:autoSpaceDE w:val="0"/>
        <w:autoSpaceDN w:val="0"/>
        <w:adjustRightInd w:val="0"/>
        <w:spacing w:before="200"/>
        <w:rPr>
          <w:rFonts w:ascii="Cambria" w:hAnsi="Cambria"/>
        </w:rPr>
      </w:pPr>
      <w:r>
        <w:rPr>
          <w:rFonts w:ascii="Cambria" w:hAnsi="Cambria"/>
        </w:rPr>
        <w:t xml:space="preserve">Swain, S, Harnik, T, Mejia-Chang, M, Hayden, K, Creque, J &amp; Garbelotto, M 2002, ‘Survivability of </w:t>
      </w:r>
      <w:r>
        <w:rPr>
          <w:rFonts w:ascii="Cambria" w:hAnsi="Cambria"/>
          <w:i/>
        </w:rPr>
        <w:t>Phytophthora ramorum</w:t>
      </w:r>
      <w:r>
        <w:rPr>
          <w:rFonts w:ascii="Cambria" w:hAnsi="Cambria"/>
        </w:rPr>
        <w:t xml:space="preserve"> in the composting process’ [Abstract], </w:t>
      </w:r>
      <w:r>
        <w:rPr>
          <w:rFonts w:ascii="Cambria" w:hAnsi="Cambria"/>
          <w:i/>
          <w:color w:val="000000"/>
        </w:rPr>
        <w:t>Proceedings of Sudden Oak Death, A Science Symposium</w:t>
      </w:r>
      <w:r>
        <w:rPr>
          <w:rFonts w:ascii="Cambria" w:hAnsi="Cambria"/>
        </w:rPr>
        <w:t>, 44.</w:t>
      </w:r>
    </w:p>
    <w:p w:rsidR="00E94405" w:rsidRDefault="00A11609">
      <w:pPr>
        <w:autoSpaceDE w:val="0"/>
        <w:autoSpaceDN w:val="0"/>
        <w:adjustRightInd w:val="0"/>
        <w:spacing w:before="200"/>
        <w:rPr>
          <w:rFonts w:ascii="Cambria" w:hAnsi="Cambria"/>
        </w:rPr>
      </w:pPr>
      <w:r>
        <w:rPr>
          <w:rFonts w:ascii="Cambria" w:hAnsi="Cambria"/>
        </w:rPr>
        <w:t xml:space="preserve">Swiecki, TJ &amp; Bernhardt, E 2002b, ‘Evaluation of stem water potential and other tree and stand variables as risk factors for </w:t>
      </w:r>
      <w:r>
        <w:rPr>
          <w:rFonts w:ascii="Cambria" w:hAnsi="Cambria"/>
          <w:i/>
        </w:rPr>
        <w:t>Phytophthora ramorum</w:t>
      </w:r>
      <w:r>
        <w:rPr>
          <w:rFonts w:ascii="Cambria" w:hAnsi="Cambria"/>
        </w:rPr>
        <w:t xml:space="preserve"> canker development in coast live oak’, </w:t>
      </w:r>
      <w:r>
        <w:rPr>
          <w:rFonts w:ascii="Cambria" w:hAnsi="Cambria"/>
          <w:i/>
        </w:rPr>
        <w:t xml:space="preserve">Fifth Symposium on California OakWoodlands, </w:t>
      </w:r>
      <w:r>
        <w:rPr>
          <w:rFonts w:ascii="Cambria" w:hAnsi="Cambria"/>
        </w:rPr>
        <w:t>General technical report PSW-GTR-184, 787–798.</w:t>
      </w:r>
    </w:p>
    <w:p w:rsidR="00E94405" w:rsidRDefault="00A11609">
      <w:pPr>
        <w:autoSpaceDE w:val="0"/>
        <w:autoSpaceDN w:val="0"/>
        <w:adjustRightInd w:val="0"/>
        <w:spacing w:before="200"/>
        <w:rPr>
          <w:rFonts w:ascii="Cambria" w:hAnsi="Cambria"/>
        </w:rPr>
      </w:pPr>
      <w:r>
        <w:rPr>
          <w:rFonts w:ascii="Cambria" w:hAnsi="Cambria"/>
        </w:rPr>
        <w:lastRenderedPageBreak/>
        <w:t>Swiecki, TJ &amp; Bernhardt, E 2010, ‘</w:t>
      </w:r>
      <w:r>
        <w:rPr>
          <w:rFonts w:ascii="Cambria" w:hAnsi="Cambria"/>
          <w:color w:val="000000"/>
        </w:rPr>
        <w:t xml:space="preserve">Long-term trends in coast live oak and tanoak stands affected by </w:t>
      </w:r>
      <w:r>
        <w:rPr>
          <w:rFonts w:ascii="Cambria" w:hAnsi="Cambria"/>
          <w:i/>
          <w:color w:val="000000"/>
        </w:rPr>
        <w:t>Phytophthora ramorum</w:t>
      </w:r>
      <w:r>
        <w:rPr>
          <w:rFonts w:ascii="Cambria" w:hAnsi="Cambria"/>
          <w:color w:val="000000"/>
        </w:rPr>
        <w:t xml:space="preserve"> canker (sudden oak death)</w:t>
      </w:r>
      <w:r>
        <w:rPr>
          <w:rFonts w:ascii="Cambria" w:hAnsi="Cambria"/>
        </w:rPr>
        <w:t xml:space="preserve">’, </w:t>
      </w:r>
      <w:r>
        <w:rPr>
          <w:rFonts w:ascii="Cambria" w:hAnsi="Cambria"/>
          <w:i/>
          <w:color w:val="000000"/>
        </w:rPr>
        <w:t>Sudden Oak Death Fourth Science Symposium</w:t>
      </w:r>
      <w:r>
        <w:rPr>
          <w:rFonts w:ascii="Cambria" w:hAnsi="Cambria"/>
        </w:rPr>
        <w:t xml:space="preserve">, </w:t>
      </w:r>
      <w:r>
        <w:rPr>
          <w:rFonts w:ascii="Cambria" w:hAnsi="Cambria"/>
          <w:color w:val="000000"/>
        </w:rPr>
        <w:t>207</w:t>
      </w:r>
      <w:r>
        <w:rPr>
          <w:rFonts w:ascii="Cambria" w:hAnsi="Cambria"/>
        </w:rPr>
        <w:t>–209</w:t>
      </w:r>
      <w:r>
        <w:rPr>
          <w:rFonts w:ascii="Cambria" w:hAnsi="Cambria"/>
          <w:color w:val="000000"/>
        </w:rPr>
        <w:t>.</w:t>
      </w:r>
    </w:p>
    <w:p w:rsidR="00E94405" w:rsidRDefault="00A11609">
      <w:pPr>
        <w:autoSpaceDE w:val="0"/>
        <w:autoSpaceDN w:val="0"/>
        <w:adjustRightInd w:val="0"/>
        <w:spacing w:before="200"/>
        <w:rPr>
          <w:rFonts w:ascii="Cambria" w:hAnsi="Cambria"/>
        </w:rPr>
      </w:pPr>
      <w:r>
        <w:rPr>
          <w:rFonts w:ascii="Cambria" w:hAnsi="Cambria"/>
        </w:rPr>
        <w:t xml:space="preserve">Swiecki, TJ &amp; Bernhardt, EA 2002a, ‘Factors related to </w:t>
      </w:r>
      <w:r>
        <w:rPr>
          <w:rFonts w:ascii="Cambria" w:hAnsi="Cambria"/>
          <w:i/>
        </w:rPr>
        <w:t>Phytophthora</w:t>
      </w:r>
      <w:r>
        <w:rPr>
          <w:rFonts w:ascii="Cambria" w:hAnsi="Cambria"/>
        </w:rPr>
        <w:t xml:space="preserve"> canker (sudden oak death) disease risk and disease progress in coast live oak and tanoak’, Report for USDA Forest Service, Phytosphere Research Project No. 2001-0802.</w:t>
      </w:r>
    </w:p>
    <w:p w:rsidR="00E94405" w:rsidRDefault="00A11609">
      <w:pPr>
        <w:autoSpaceDE w:val="0"/>
        <w:autoSpaceDN w:val="0"/>
        <w:adjustRightInd w:val="0"/>
        <w:spacing w:before="200"/>
        <w:rPr>
          <w:rFonts w:ascii="Cambria" w:hAnsi="Cambria"/>
        </w:rPr>
      </w:pPr>
      <w:r>
        <w:rPr>
          <w:rFonts w:ascii="Cambria" w:hAnsi="Cambria"/>
        </w:rPr>
        <w:t>Talgø, V</w:t>
      </w:r>
      <w:r>
        <w:rPr>
          <w:rFonts w:ascii="Cambria" w:hAnsi="Cambria"/>
          <w:color w:val="000000"/>
        </w:rPr>
        <w:t>, Herrero</w:t>
      </w:r>
      <w:r>
        <w:rPr>
          <w:rFonts w:ascii="Cambria" w:hAnsi="Cambria"/>
        </w:rPr>
        <w:t>,</w:t>
      </w:r>
      <w:r>
        <w:rPr>
          <w:rFonts w:ascii="Cambria" w:hAnsi="Cambria"/>
          <w:color w:val="000000"/>
        </w:rPr>
        <w:t xml:space="preserve"> ML, Brurberg</w:t>
      </w:r>
      <w:r>
        <w:rPr>
          <w:rFonts w:ascii="Cambria" w:hAnsi="Cambria"/>
        </w:rPr>
        <w:t>,</w:t>
      </w:r>
      <w:r>
        <w:rPr>
          <w:rFonts w:ascii="Cambria" w:hAnsi="Cambria"/>
          <w:color w:val="000000"/>
        </w:rPr>
        <w:t xml:space="preserve"> MB</w:t>
      </w:r>
      <w:r>
        <w:rPr>
          <w:rFonts w:ascii="Cambria" w:hAnsi="Cambria"/>
        </w:rPr>
        <w:t xml:space="preserve"> &amp;</w:t>
      </w:r>
      <w:r>
        <w:rPr>
          <w:rFonts w:ascii="Cambria" w:hAnsi="Cambria"/>
          <w:color w:val="000000"/>
        </w:rPr>
        <w:t xml:space="preserve"> Stensvand</w:t>
      </w:r>
      <w:r>
        <w:rPr>
          <w:rFonts w:ascii="Cambria" w:hAnsi="Cambria"/>
        </w:rPr>
        <w:t>,</w:t>
      </w:r>
      <w:r>
        <w:rPr>
          <w:rFonts w:ascii="Cambria" w:hAnsi="Cambria"/>
          <w:color w:val="000000"/>
        </w:rPr>
        <w:t xml:space="preserve"> A 2012</w:t>
      </w:r>
      <w:r>
        <w:rPr>
          <w:rFonts w:ascii="Cambria" w:hAnsi="Cambria"/>
        </w:rPr>
        <w:t>,</w:t>
      </w:r>
      <w:r>
        <w:rPr>
          <w:rFonts w:ascii="Cambria" w:hAnsi="Cambria"/>
          <w:color w:val="000000"/>
        </w:rPr>
        <w:t xml:space="preserve"> </w:t>
      </w:r>
      <w:r>
        <w:rPr>
          <w:rFonts w:ascii="Cambria" w:hAnsi="Cambria"/>
        </w:rPr>
        <w:t>‘</w:t>
      </w:r>
      <w:r>
        <w:rPr>
          <w:rFonts w:ascii="Cambria" w:hAnsi="Cambria"/>
          <w:i/>
          <w:color w:val="000000"/>
        </w:rPr>
        <w:t>Phytophthora</w:t>
      </w:r>
      <w:r>
        <w:rPr>
          <w:rFonts w:ascii="Cambria" w:hAnsi="Cambria"/>
        </w:rPr>
        <w:t>–baiting in Norwegian waterways’[Meeting abstract], In: ‘</w:t>
      </w:r>
      <w:r>
        <w:rPr>
          <w:rFonts w:ascii="Cambria" w:hAnsi="Cambria"/>
          <w:i/>
        </w:rPr>
        <w:t>Phytophthora</w:t>
      </w:r>
      <w:r>
        <w:rPr>
          <w:rFonts w:ascii="Cambria" w:hAnsi="Cambria"/>
        </w:rPr>
        <w:t xml:space="preserve"> in Forests and Natural Ecosystems’, </w:t>
      </w:r>
      <w:r>
        <w:rPr>
          <w:rFonts w:ascii="Cambria" w:hAnsi="Cambria"/>
          <w:i/>
          <w:color w:val="000000"/>
        </w:rPr>
        <w:t>The Sixth Meeting of the International Union of Forest Research Organizations IUFRO Working Party</w:t>
      </w:r>
      <w:r>
        <w:rPr>
          <w:rFonts w:ascii="Cambria" w:hAnsi="Cambria"/>
          <w:color w:val="000000"/>
        </w:rPr>
        <w:t>,</w:t>
      </w:r>
      <w:r>
        <w:rPr>
          <w:rFonts w:ascii="Cambria" w:hAnsi="Cambria"/>
        </w:rPr>
        <w:t xml:space="preserve"> http://iufrophytophthora2012.org/downloads/IUFRO2012_BookofAbstracts.pdf </w:t>
      </w:r>
    </w:p>
    <w:p w:rsidR="00E94405" w:rsidRDefault="00A11609">
      <w:pPr>
        <w:autoSpaceDE w:val="0"/>
        <w:autoSpaceDN w:val="0"/>
        <w:adjustRightInd w:val="0"/>
        <w:spacing w:before="200"/>
        <w:rPr>
          <w:rFonts w:ascii="Cambria" w:hAnsi="Cambria"/>
          <w:color w:val="000000"/>
        </w:rPr>
      </w:pPr>
      <w:r>
        <w:rPr>
          <w:rFonts w:ascii="Cambria" w:hAnsi="Cambria"/>
          <w:color w:val="000000"/>
        </w:rPr>
        <w:t>Theman</w:t>
      </w:r>
      <w:r>
        <w:rPr>
          <w:rFonts w:ascii="Cambria" w:hAnsi="Cambria"/>
        </w:rPr>
        <w:t>,</w:t>
      </w:r>
      <w:r>
        <w:rPr>
          <w:rFonts w:ascii="Cambria" w:hAnsi="Cambria"/>
          <w:color w:val="000000"/>
        </w:rPr>
        <w:t xml:space="preserve"> K, Werres</w:t>
      </w:r>
      <w:r>
        <w:rPr>
          <w:rFonts w:ascii="Cambria" w:hAnsi="Cambria"/>
        </w:rPr>
        <w:t>,</w:t>
      </w:r>
      <w:r>
        <w:rPr>
          <w:rFonts w:ascii="Cambria" w:hAnsi="Cambria"/>
          <w:color w:val="000000"/>
        </w:rPr>
        <w:t xml:space="preserve"> S, Lüttmann</w:t>
      </w:r>
      <w:r>
        <w:rPr>
          <w:rFonts w:ascii="Cambria" w:hAnsi="Cambria"/>
        </w:rPr>
        <w:t>,</w:t>
      </w:r>
      <w:r>
        <w:rPr>
          <w:rFonts w:ascii="Cambria" w:hAnsi="Cambria"/>
          <w:color w:val="000000"/>
        </w:rPr>
        <w:t xml:space="preserve"> R</w:t>
      </w:r>
      <w:r>
        <w:rPr>
          <w:rFonts w:ascii="Cambria" w:hAnsi="Cambria"/>
        </w:rPr>
        <w:t xml:space="preserve"> &amp;</w:t>
      </w:r>
      <w:r>
        <w:rPr>
          <w:rFonts w:ascii="Cambria" w:hAnsi="Cambria"/>
          <w:color w:val="000000"/>
        </w:rPr>
        <w:t xml:space="preserve"> Diener</w:t>
      </w:r>
      <w:r>
        <w:rPr>
          <w:rFonts w:ascii="Cambria" w:hAnsi="Cambria"/>
        </w:rPr>
        <w:t>,</w:t>
      </w:r>
      <w:r>
        <w:rPr>
          <w:rFonts w:ascii="Cambria" w:hAnsi="Cambria"/>
          <w:color w:val="000000"/>
        </w:rPr>
        <w:t xml:space="preserve"> HA 2002</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Observations of </w:t>
      </w:r>
      <w:r>
        <w:rPr>
          <w:rFonts w:ascii="Cambria" w:hAnsi="Cambria"/>
          <w:i/>
          <w:color w:val="000000"/>
        </w:rPr>
        <w:t>Phytophthora</w:t>
      </w:r>
      <w:r>
        <w:rPr>
          <w:rFonts w:ascii="Cambria" w:hAnsi="Cambria"/>
          <w:color w:val="000000"/>
        </w:rPr>
        <w:t xml:space="preserve"> </w:t>
      </w:r>
      <w:r>
        <w:rPr>
          <w:rFonts w:ascii="Cambria" w:hAnsi="Cambria"/>
        </w:rPr>
        <w:t>species</w:t>
      </w:r>
      <w:r>
        <w:rPr>
          <w:rFonts w:ascii="Cambria" w:hAnsi="Cambria"/>
          <w:color w:val="000000"/>
        </w:rPr>
        <w:t xml:space="preserve"> in water recirculation systems in commercial hardy ornamental nursery stock</w:t>
      </w:r>
      <w:r>
        <w:rPr>
          <w:rFonts w:ascii="Cambria" w:hAnsi="Cambria"/>
        </w:rPr>
        <w:t xml:space="preserve">’, </w:t>
      </w:r>
      <w:r>
        <w:rPr>
          <w:rFonts w:ascii="Cambria" w:hAnsi="Cambria"/>
          <w:i/>
          <w:color w:val="000000"/>
        </w:rPr>
        <w:t>European Journal of Plant Pathology</w:t>
      </w:r>
      <w:r>
        <w:rPr>
          <w:rFonts w:ascii="Cambria" w:hAnsi="Cambria"/>
        </w:rPr>
        <w:t>,</w:t>
      </w:r>
      <w:r>
        <w:rPr>
          <w:rFonts w:ascii="Cambria" w:hAnsi="Cambria"/>
          <w:color w:val="000000"/>
        </w:rPr>
        <w:t xml:space="preserve"> 108, 337</w:t>
      </w:r>
      <w:r>
        <w:rPr>
          <w:rFonts w:ascii="Cambria" w:hAnsi="Cambria"/>
        </w:rPr>
        <w:t>–</w:t>
      </w:r>
      <w:r>
        <w:rPr>
          <w:rFonts w:ascii="Cambria" w:hAnsi="Cambria"/>
          <w:color w:val="000000"/>
        </w:rPr>
        <w:t>343.</w:t>
      </w:r>
    </w:p>
    <w:p w:rsidR="00E94405" w:rsidRDefault="00A11609">
      <w:pPr>
        <w:autoSpaceDE w:val="0"/>
        <w:autoSpaceDN w:val="0"/>
        <w:adjustRightInd w:val="0"/>
        <w:spacing w:before="200"/>
        <w:rPr>
          <w:rFonts w:ascii="Cambria" w:hAnsi="Cambria"/>
        </w:rPr>
      </w:pPr>
      <w:r>
        <w:rPr>
          <w:rFonts w:ascii="Cambria" w:hAnsi="Cambria"/>
        </w:rPr>
        <w:t xml:space="preserve">Tjosvold, SA, Buermeyer, KR, Blomquist, C &amp; Frankel, S 2005, ‘Nursery guide for diseases caused by </w:t>
      </w:r>
      <w:r>
        <w:rPr>
          <w:rFonts w:ascii="Cambria" w:hAnsi="Cambria"/>
          <w:i/>
        </w:rPr>
        <w:t>Phytophthora ramorum</w:t>
      </w:r>
      <w:r>
        <w:rPr>
          <w:rFonts w:ascii="Cambria" w:hAnsi="Cambria"/>
        </w:rPr>
        <w:t xml:space="preserve"> on ornamentals: diagnosis and management’, </w:t>
      </w:r>
      <w:r>
        <w:rPr>
          <w:rFonts w:ascii="Cambria" w:hAnsi="Cambria"/>
          <w:i/>
          <w:color w:val="000000"/>
        </w:rPr>
        <w:t>Agriculture and Natural Resources, Publication</w:t>
      </w:r>
      <w:r>
        <w:rPr>
          <w:rFonts w:ascii="Cambria" w:hAnsi="Cambria"/>
        </w:rPr>
        <w:t>,</w:t>
      </w:r>
      <w:r>
        <w:rPr>
          <w:rFonts w:ascii="Cambria" w:hAnsi="Cambria"/>
          <w:i/>
          <w:color w:val="000000"/>
        </w:rPr>
        <w:t xml:space="preserve"> </w:t>
      </w:r>
      <w:r>
        <w:rPr>
          <w:rFonts w:ascii="Cambria" w:hAnsi="Cambria"/>
        </w:rPr>
        <w:t>8156.</w:t>
      </w:r>
    </w:p>
    <w:p w:rsidR="00E94405" w:rsidRDefault="00A11609">
      <w:pPr>
        <w:autoSpaceDE w:val="0"/>
        <w:autoSpaceDN w:val="0"/>
        <w:adjustRightInd w:val="0"/>
        <w:spacing w:before="200"/>
        <w:rPr>
          <w:rFonts w:ascii="Cambria" w:hAnsi="Cambria"/>
        </w:rPr>
      </w:pPr>
      <w:r>
        <w:rPr>
          <w:rFonts w:ascii="Cambria" w:hAnsi="Cambria"/>
        </w:rPr>
        <w:t xml:space="preserve">Tjosvold, SA, Chambers, DL, Davidson, JM &amp; Rizzo, DM 2002, ‘Incidence of </w:t>
      </w:r>
      <w:r>
        <w:rPr>
          <w:rFonts w:ascii="Cambria" w:hAnsi="Cambria"/>
          <w:i/>
        </w:rPr>
        <w:t>Phytophthora ramorum</w:t>
      </w:r>
      <w:r>
        <w:rPr>
          <w:rFonts w:ascii="Cambria" w:hAnsi="Cambria"/>
        </w:rPr>
        <w:t xml:space="preserve"> inoculum found in soil collected from a hiking trail and hikers’ shoes in a California Park’ [Abstract], </w:t>
      </w:r>
      <w:r>
        <w:rPr>
          <w:rFonts w:ascii="Cambria" w:hAnsi="Cambria"/>
          <w:i/>
          <w:color w:val="000000"/>
        </w:rPr>
        <w:t>Proceedings of Sudden Oak Death, A Science Symposium</w:t>
      </w:r>
      <w:r>
        <w:rPr>
          <w:rFonts w:ascii="Cambria" w:hAnsi="Cambria"/>
        </w:rPr>
        <w:t>, 53.</w:t>
      </w:r>
    </w:p>
    <w:p w:rsidR="00E94405" w:rsidRDefault="00A11609">
      <w:pPr>
        <w:autoSpaceDE w:val="0"/>
        <w:autoSpaceDN w:val="0"/>
        <w:adjustRightInd w:val="0"/>
        <w:spacing w:before="200"/>
        <w:rPr>
          <w:rFonts w:ascii="Cambria" w:hAnsi="Cambria"/>
        </w:rPr>
      </w:pPr>
      <w:r>
        <w:rPr>
          <w:rFonts w:ascii="Cambria" w:hAnsi="Cambria"/>
          <w:color w:val="000000"/>
        </w:rPr>
        <w:t>Tjosvold</w:t>
      </w:r>
      <w:r>
        <w:rPr>
          <w:rFonts w:ascii="Cambria" w:hAnsi="Cambria"/>
        </w:rPr>
        <w:t>,</w:t>
      </w:r>
      <w:r>
        <w:rPr>
          <w:rFonts w:ascii="Cambria" w:hAnsi="Cambria"/>
          <w:color w:val="000000"/>
        </w:rPr>
        <w:t xml:space="preserve"> SA, Chambers</w:t>
      </w:r>
      <w:r>
        <w:rPr>
          <w:rFonts w:ascii="Cambria" w:hAnsi="Cambria"/>
        </w:rPr>
        <w:t>,</w:t>
      </w:r>
      <w:r>
        <w:rPr>
          <w:rFonts w:ascii="Cambria" w:hAnsi="Cambria"/>
          <w:color w:val="000000"/>
        </w:rPr>
        <w:t xml:space="preserve"> DL, Fichtner</w:t>
      </w:r>
      <w:r>
        <w:rPr>
          <w:rFonts w:ascii="Cambria" w:hAnsi="Cambria"/>
        </w:rPr>
        <w:t>,</w:t>
      </w:r>
      <w:r>
        <w:rPr>
          <w:rFonts w:ascii="Cambria" w:hAnsi="Cambria"/>
          <w:color w:val="000000"/>
        </w:rPr>
        <w:t xml:space="preserve"> EJ, Koike</w:t>
      </w:r>
      <w:r>
        <w:rPr>
          <w:rFonts w:ascii="Cambria" w:hAnsi="Cambria"/>
        </w:rPr>
        <w:t>,</w:t>
      </w:r>
      <w:r>
        <w:rPr>
          <w:rFonts w:ascii="Cambria" w:hAnsi="Cambria"/>
          <w:color w:val="000000"/>
        </w:rPr>
        <w:t xml:space="preserve"> ST</w:t>
      </w:r>
      <w:r>
        <w:rPr>
          <w:rFonts w:ascii="Cambria" w:hAnsi="Cambria"/>
        </w:rPr>
        <w:t xml:space="preserve"> &amp;</w:t>
      </w:r>
      <w:r>
        <w:rPr>
          <w:rFonts w:ascii="Cambria" w:hAnsi="Cambria"/>
          <w:color w:val="000000"/>
        </w:rPr>
        <w:t xml:space="preserve"> Mori</w:t>
      </w:r>
      <w:r>
        <w:rPr>
          <w:rFonts w:ascii="Cambria" w:hAnsi="Cambria"/>
        </w:rPr>
        <w:t>,</w:t>
      </w:r>
      <w:r>
        <w:rPr>
          <w:rFonts w:ascii="Cambria" w:hAnsi="Cambria"/>
          <w:color w:val="000000"/>
        </w:rPr>
        <w:t xml:space="preserve"> SR 2009</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Disease risk of potting media infested with </w:t>
      </w:r>
      <w:r>
        <w:rPr>
          <w:rFonts w:ascii="Cambria" w:hAnsi="Cambria"/>
          <w:i/>
        </w:rPr>
        <w:t>Phytophthora ramorum</w:t>
      </w:r>
      <w:r>
        <w:rPr>
          <w:rFonts w:ascii="Cambria" w:hAnsi="Cambria"/>
          <w:color w:val="000000"/>
        </w:rPr>
        <w:t xml:space="preserve"> under nursery conditions</w:t>
      </w:r>
      <w:r>
        <w:rPr>
          <w:rFonts w:ascii="Cambria" w:hAnsi="Cambria"/>
        </w:rPr>
        <w:t xml:space="preserve">’, </w:t>
      </w:r>
      <w:r>
        <w:rPr>
          <w:rFonts w:ascii="Cambria" w:hAnsi="Cambria"/>
          <w:i/>
          <w:color w:val="000000"/>
        </w:rPr>
        <w:t>Phytopathology</w:t>
      </w:r>
      <w:r>
        <w:rPr>
          <w:rFonts w:ascii="Cambria" w:hAnsi="Cambria"/>
        </w:rPr>
        <w:t>,</w:t>
      </w:r>
      <w:r>
        <w:rPr>
          <w:rFonts w:ascii="Cambria" w:hAnsi="Cambria"/>
          <w:color w:val="000000"/>
        </w:rPr>
        <w:t xml:space="preserve"> 93: 371–376.</w:t>
      </w:r>
    </w:p>
    <w:p w:rsidR="00E94405" w:rsidRDefault="00A11609">
      <w:pPr>
        <w:autoSpaceDE w:val="0"/>
        <w:autoSpaceDN w:val="0"/>
        <w:adjustRightInd w:val="0"/>
        <w:spacing w:before="200"/>
        <w:rPr>
          <w:rFonts w:ascii="Cambria" w:hAnsi="Cambria"/>
        </w:rPr>
      </w:pPr>
      <w:r>
        <w:rPr>
          <w:rFonts w:ascii="Cambria" w:hAnsi="Cambria"/>
        </w:rPr>
        <w:t xml:space="preserve">Tjosvold, SA, Koike, ST &amp; Chambers, DL 2008, ‘Evaluation of fungicides for the control of </w:t>
      </w:r>
      <w:r>
        <w:rPr>
          <w:rFonts w:ascii="Cambria" w:hAnsi="Cambria"/>
          <w:i/>
        </w:rPr>
        <w:t>Phytophthora ramorum</w:t>
      </w:r>
      <w:r>
        <w:rPr>
          <w:rFonts w:ascii="Cambria" w:hAnsi="Cambria"/>
        </w:rPr>
        <w:t xml:space="preserve"> infecting </w:t>
      </w:r>
      <w:r>
        <w:rPr>
          <w:rFonts w:ascii="Cambria" w:hAnsi="Cambria"/>
          <w:i/>
          <w:color w:val="000000"/>
        </w:rPr>
        <w:t>Rhododendron</w:t>
      </w:r>
      <w:r>
        <w:rPr>
          <w:rFonts w:ascii="Cambria" w:hAnsi="Cambria"/>
        </w:rPr>
        <w:t xml:space="preserve">, </w:t>
      </w:r>
      <w:r>
        <w:rPr>
          <w:rFonts w:ascii="Cambria" w:hAnsi="Cambria"/>
          <w:i/>
          <w:color w:val="000000"/>
        </w:rPr>
        <w:t>Camellia</w:t>
      </w:r>
      <w:r>
        <w:rPr>
          <w:rFonts w:ascii="Cambria" w:hAnsi="Cambria"/>
        </w:rPr>
        <w:t>,</w:t>
      </w:r>
      <w:r>
        <w:rPr>
          <w:rFonts w:ascii="Cambria" w:hAnsi="Cambria"/>
          <w:i/>
          <w:color w:val="000000"/>
        </w:rPr>
        <w:t xml:space="preserve"> Pieris</w:t>
      </w:r>
      <w:r>
        <w:rPr>
          <w:rFonts w:ascii="Cambria" w:hAnsi="Cambria"/>
        </w:rPr>
        <w:t xml:space="preserve">, and </w:t>
      </w:r>
      <w:r>
        <w:rPr>
          <w:rFonts w:ascii="Cambria" w:hAnsi="Cambria"/>
          <w:i/>
          <w:color w:val="000000"/>
        </w:rPr>
        <w:t>Viburnum</w:t>
      </w:r>
      <w:r>
        <w:rPr>
          <w:rFonts w:ascii="Cambria" w:hAnsi="Cambria"/>
        </w:rPr>
        <w:t xml:space="preserve">’, </w:t>
      </w:r>
      <w:r>
        <w:rPr>
          <w:rFonts w:ascii="Cambria" w:hAnsi="Cambria"/>
          <w:i/>
          <w:color w:val="000000"/>
        </w:rPr>
        <w:t>Plant Health Progress</w:t>
      </w:r>
      <w:r>
        <w:rPr>
          <w:rFonts w:ascii="Cambria" w:hAnsi="Cambria"/>
        </w:rPr>
        <w:t xml:space="preserve"> 13, accessed May 2013, http://cesantacruz.ucdavis.edu/files/51742.pdf. </w:t>
      </w:r>
    </w:p>
    <w:p w:rsidR="00E94405" w:rsidRDefault="00A11609">
      <w:pPr>
        <w:autoSpaceDE w:val="0"/>
        <w:autoSpaceDN w:val="0"/>
        <w:adjustRightInd w:val="0"/>
        <w:spacing w:before="200"/>
        <w:rPr>
          <w:rFonts w:ascii="Cambria" w:hAnsi="Cambria"/>
          <w:color w:val="000000"/>
        </w:rPr>
      </w:pPr>
      <w:r>
        <w:rPr>
          <w:rFonts w:ascii="Cambria" w:hAnsi="Cambria"/>
          <w:color w:val="000000"/>
        </w:rPr>
        <w:t>Tooley</w:t>
      </w:r>
      <w:r>
        <w:rPr>
          <w:rFonts w:ascii="Cambria" w:hAnsi="Cambria"/>
        </w:rPr>
        <w:t>,</w:t>
      </w:r>
      <w:r>
        <w:rPr>
          <w:rFonts w:ascii="Cambria" w:hAnsi="Cambria"/>
          <w:color w:val="000000"/>
        </w:rPr>
        <w:t xml:space="preserve"> PW, Browning</w:t>
      </w:r>
      <w:r>
        <w:rPr>
          <w:rFonts w:ascii="Cambria" w:hAnsi="Cambria"/>
        </w:rPr>
        <w:t>,</w:t>
      </w:r>
      <w:r>
        <w:rPr>
          <w:rFonts w:ascii="Cambria" w:hAnsi="Cambria"/>
          <w:color w:val="000000"/>
        </w:rPr>
        <w:t xml:space="preserve"> M</w:t>
      </w:r>
      <w:r>
        <w:rPr>
          <w:rFonts w:ascii="Cambria" w:hAnsi="Cambria"/>
        </w:rPr>
        <w:t xml:space="preserve"> &amp;</w:t>
      </w:r>
      <w:r>
        <w:rPr>
          <w:rFonts w:ascii="Cambria" w:hAnsi="Cambria"/>
          <w:color w:val="000000"/>
        </w:rPr>
        <w:t xml:space="preserve"> Berner</w:t>
      </w:r>
      <w:r>
        <w:rPr>
          <w:rFonts w:ascii="Cambria" w:hAnsi="Cambria"/>
        </w:rPr>
        <w:t>,</w:t>
      </w:r>
      <w:r>
        <w:rPr>
          <w:rFonts w:ascii="Cambria" w:hAnsi="Cambria"/>
          <w:color w:val="000000"/>
        </w:rPr>
        <w:t xml:space="preserve"> D 2008</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Recovery of </w:t>
      </w:r>
      <w:r>
        <w:rPr>
          <w:rFonts w:ascii="Cambria" w:hAnsi="Cambria"/>
          <w:i/>
          <w:color w:val="000000"/>
        </w:rPr>
        <w:t>Phytophthora ramorum</w:t>
      </w:r>
      <w:r>
        <w:rPr>
          <w:rFonts w:ascii="Cambria" w:hAnsi="Cambria"/>
          <w:color w:val="000000"/>
        </w:rPr>
        <w:t xml:space="preserve"> following exposure to temperature extremes</w:t>
      </w:r>
      <w:r>
        <w:rPr>
          <w:rFonts w:ascii="Cambria" w:hAnsi="Cambria"/>
        </w:rPr>
        <w:t xml:space="preserve">’, </w:t>
      </w:r>
      <w:r>
        <w:rPr>
          <w:rFonts w:ascii="Cambria" w:hAnsi="Cambria"/>
          <w:i/>
          <w:color w:val="000000"/>
        </w:rPr>
        <w:t>Plant Disease</w:t>
      </w:r>
      <w:r>
        <w:rPr>
          <w:rFonts w:ascii="Cambria" w:hAnsi="Cambria"/>
        </w:rPr>
        <w:t>,</w:t>
      </w:r>
      <w:r>
        <w:rPr>
          <w:rFonts w:ascii="Cambria" w:hAnsi="Cambria"/>
          <w:color w:val="000000"/>
        </w:rPr>
        <w:t xml:space="preserve"> 92: 431–437.</w:t>
      </w:r>
    </w:p>
    <w:p w:rsidR="00E94405" w:rsidRDefault="00A11609">
      <w:pPr>
        <w:autoSpaceDE w:val="0"/>
        <w:autoSpaceDN w:val="0"/>
        <w:adjustRightInd w:val="0"/>
        <w:spacing w:before="200"/>
        <w:rPr>
          <w:rFonts w:ascii="Cambria" w:hAnsi="Cambria"/>
        </w:rPr>
      </w:pPr>
      <w:r>
        <w:rPr>
          <w:rFonts w:ascii="Cambria" w:hAnsi="Cambria"/>
        </w:rPr>
        <w:t xml:space="preserve">Tooley, PW, Kyde, KL &amp; Englander, L 2004, ‘Susceptibility of selected ericaceous ornamental host species to </w:t>
      </w:r>
      <w:r>
        <w:rPr>
          <w:rFonts w:ascii="Cambria" w:hAnsi="Cambria"/>
          <w:i/>
        </w:rPr>
        <w:t>Phytophthora ramorum</w:t>
      </w:r>
      <w:r>
        <w:rPr>
          <w:rFonts w:ascii="Cambria" w:hAnsi="Cambria"/>
        </w:rPr>
        <w:t xml:space="preserve">’, </w:t>
      </w:r>
      <w:r>
        <w:rPr>
          <w:rFonts w:ascii="Cambria" w:hAnsi="Cambria"/>
          <w:i/>
        </w:rPr>
        <w:t>Plant Disease</w:t>
      </w:r>
      <w:r>
        <w:rPr>
          <w:rFonts w:ascii="Cambria" w:hAnsi="Cambria"/>
        </w:rPr>
        <w:t>, 88: 993–999.</w:t>
      </w:r>
    </w:p>
    <w:p w:rsidR="00E94405" w:rsidRDefault="00A11609">
      <w:pPr>
        <w:autoSpaceDE w:val="0"/>
        <w:autoSpaceDN w:val="0"/>
        <w:adjustRightInd w:val="0"/>
        <w:spacing w:before="200"/>
        <w:rPr>
          <w:rFonts w:ascii="Cambria" w:hAnsi="Cambria"/>
          <w:color w:val="000000"/>
        </w:rPr>
      </w:pPr>
      <w:r>
        <w:rPr>
          <w:rFonts w:ascii="Cambria" w:hAnsi="Cambria"/>
          <w:color w:val="000000"/>
        </w:rPr>
        <w:t>Tsopelas</w:t>
      </w:r>
      <w:r>
        <w:rPr>
          <w:rFonts w:ascii="Cambria" w:hAnsi="Cambria"/>
        </w:rPr>
        <w:t>,</w:t>
      </w:r>
      <w:r>
        <w:rPr>
          <w:rFonts w:ascii="Cambria" w:hAnsi="Cambria"/>
          <w:color w:val="000000"/>
        </w:rPr>
        <w:t xml:space="preserve"> P, Paplomatas</w:t>
      </w:r>
      <w:r>
        <w:rPr>
          <w:rFonts w:ascii="Cambria" w:hAnsi="Cambria"/>
        </w:rPr>
        <w:t>,</w:t>
      </w:r>
      <w:r>
        <w:rPr>
          <w:rFonts w:ascii="Cambria" w:hAnsi="Cambria"/>
          <w:color w:val="000000"/>
        </w:rPr>
        <w:t xml:space="preserve"> E, Tjamos</w:t>
      </w:r>
      <w:r>
        <w:rPr>
          <w:rFonts w:ascii="Cambria" w:hAnsi="Cambria"/>
        </w:rPr>
        <w:t>,</w:t>
      </w:r>
      <w:r>
        <w:rPr>
          <w:rFonts w:ascii="Cambria" w:hAnsi="Cambria"/>
          <w:color w:val="000000"/>
        </w:rPr>
        <w:t xml:space="preserve"> S, Soulioti</w:t>
      </w:r>
      <w:r>
        <w:rPr>
          <w:rFonts w:ascii="Cambria" w:hAnsi="Cambria"/>
        </w:rPr>
        <w:t>,</w:t>
      </w:r>
      <w:r>
        <w:rPr>
          <w:rFonts w:ascii="Cambria" w:hAnsi="Cambria"/>
          <w:color w:val="000000"/>
        </w:rPr>
        <w:t xml:space="preserve"> N</w:t>
      </w:r>
      <w:r>
        <w:rPr>
          <w:rFonts w:ascii="Cambria" w:hAnsi="Cambria"/>
        </w:rPr>
        <w:t xml:space="preserve"> &amp;</w:t>
      </w:r>
      <w:r>
        <w:rPr>
          <w:rFonts w:ascii="Cambria" w:hAnsi="Cambria"/>
          <w:color w:val="000000"/>
        </w:rPr>
        <w:t xml:space="preserve"> Kalomoira</w:t>
      </w:r>
      <w:r>
        <w:rPr>
          <w:rFonts w:ascii="Cambria" w:hAnsi="Cambria"/>
        </w:rPr>
        <w:t>,</w:t>
      </w:r>
      <w:r>
        <w:rPr>
          <w:rFonts w:ascii="Cambria" w:hAnsi="Cambria"/>
          <w:color w:val="000000"/>
        </w:rPr>
        <w:t xml:space="preserve"> E 2011</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rPr>
        <w:t>Phytophthora ramorum</w:t>
      </w:r>
      <w:r>
        <w:rPr>
          <w:rFonts w:ascii="Cambria" w:hAnsi="Cambria"/>
          <w:color w:val="000000"/>
        </w:rPr>
        <w:t xml:space="preserve"> on </w:t>
      </w:r>
      <w:r>
        <w:rPr>
          <w:rFonts w:ascii="Cambria" w:hAnsi="Cambria"/>
          <w:i/>
          <w:color w:val="000000"/>
        </w:rPr>
        <w:t>Rhododendron</w:t>
      </w:r>
      <w:r>
        <w:rPr>
          <w:rFonts w:ascii="Cambria" w:hAnsi="Cambria"/>
          <w:color w:val="000000"/>
        </w:rPr>
        <w:t xml:space="preserve"> in Greece</w:t>
      </w:r>
      <w:r>
        <w:rPr>
          <w:rFonts w:ascii="Cambria" w:hAnsi="Cambria"/>
        </w:rPr>
        <w:t xml:space="preserve">’, </w:t>
      </w:r>
      <w:r>
        <w:rPr>
          <w:rFonts w:ascii="Cambria" w:hAnsi="Cambria"/>
          <w:i/>
        </w:rPr>
        <w:t>Plant Disease</w:t>
      </w:r>
      <w:r>
        <w:rPr>
          <w:rFonts w:ascii="Cambria" w:hAnsi="Cambria"/>
        </w:rPr>
        <w:t>,</w:t>
      </w:r>
      <w:r>
        <w:rPr>
          <w:rFonts w:ascii="Cambria" w:hAnsi="Cambria"/>
          <w:color w:val="000000"/>
        </w:rPr>
        <w:t xml:space="preserve"> 95: 223.</w:t>
      </w:r>
    </w:p>
    <w:p w:rsidR="00E94405" w:rsidRDefault="00A11609">
      <w:pPr>
        <w:spacing w:before="200"/>
        <w:rPr>
          <w:rFonts w:ascii="Cambria" w:hAnsi="Cambria"/>
        </w:rPr>
      </w:pPr>
      <w:r>
        <w:rPr>
          <w:rFonts w:ascii="Cambria" w:hAnsi="Cambria"/>
        </w:rPr>
        <w:t>Turner, J, Jennings, P, &amp; Humphries, G 2005, ‘</w:t>
      </w:r>
      <w:r>
        <w:rPr>
          <w:rFonts w:ascii="Cambria" w:hAnsi="Cambria"/>
          <w:i/>
        </w:rPr>
        <w:t>Phytophthora ramorum</w:t>
      </w:r>
      <w:r>
        <w:rPr>
          <w:rFonts w:ascii="Cambria" w:hAnsi="Cambria"/>
        </w:rPr>
        <w:t xml:space="preserve"> epidemiology: sporulation potential, dispersal, infection, latency and survival’, Department for Environment, Food and Rural Affairs (DEFRA) Project Report PH0194, http://randd.defra.gov.uk/Document.aspx.</w:t>
      </w:r>
    </w:p>
    <w:p w:rsidR="00E94405" w:rsidRDefault="00A11609">
      <w:pPr>
        <w:autoSpaceDE w:val="0"/>
        <w:autoSpaceDN w:val="0"/>
        <w:adjustRightInd w:val="0"/>
        <w:spacing w:before="200"/>
        <w:rPr>
          <w:rFonts w:ascii="Cambria" w:hAnsi="Cambria"/>
          <w:color w:val="000000"/>
        </w:rPr>
      </w:pPr>
      <w:r>
        <w:rPr>
          <w:rFonts w:ascii="Cambria" w:hAnsi="Cambria"/>
          <w:color w:val="000000"/>
          <w:lang w:bidi="en-US"/>
        </w:rPr>
        <w:t>Turner, J</w:t>
      </w:r>
      <w:r>
        <w:rPr>
          <w:rFonts w:ascii="Cambria" w:hAnsi="Cambria"/>
          <w:color w:val="000000"/>
        </w:rPr>
        <w:t>A</w:t>
      </w:r>
      <w:r>
        <w:rPr>
          <w:rFonts w:ascii="Cambria" w:hAnsi="Cambria"/>
          <w:color w:val="000000"/>
          <w:lang w:bidi="en-US"/>
        </w:rPr>
        <w:t xml:space="preserve"> </w:t>
      </w:r>
      <w:r>
        <w:rPr>
          <w:rFonts w:ascii="Cambria" w:hAnsi="Cambria"/>
          <w:color w:val="000000"/>
        </w:rPr>
        <w:t xml:space="preserve">&amp; </w:t>
      </w:r>
      <w:r>
        <w:rPr>
          <w:rFonts w:ascii="Cambria" w:hAnsi="Cambria"/>
          <w:color w:val="000000"/>
          <w:lang w:bidi="en-US"/>
        </w:rPr>
        <w:t>Jennings, P 2008</w:t>
      </w:r>
      <w:r>
        <w:rPr>
          <w:rFonts w:ascii="Cambria" w:hAnsi="Cambria"/>
          <w:color w:val="000000"/>
        </w:rPr>
        <w:t>,</w:t>
      </w:r>
      <w:r>
        <w:rPr>
          <w:rFonts w:ascii="Cambria" w:hAnsi="Cambria"/>
          <w:color w:val="000000"/>
          <w:lang w:bidi="en-US"/>
        </w:rPr>
        <w:t xml:space="preserve"> </w:t>
      </w:r>
      <w:r>
        <w:rPr>
          <w:rFonts w:ascii="Cambria" w:eastAsiaTheme="minorEastAsia" w:hAnsi="Cambria"/>
          <w:i/>
          <w:color w:val="000000"/>
          <w:lang w:bidi="en-US"/>
        </w:rPr>
        <w:t>Report indicating the limiting and optimal</w:t>
      </w:r>
      <w:r>
        <w:rPr>
          <w:rFonts w:ascii="Cambria" w:hAnsi="Cambria"/>
          <w:i/>
          <w:color w:val="000000"/>
        </w:rPr>
        <w:t xml:space="preserve"> </w:t>
      </w:r>
      <w:r>
        <w:rPr>
          <w:rFonts w:ascii="Cambria" w:eastAsiaTheme="minorEastAsia" w:hAnsi="Cambria"/>
          <w:i/>
          <w:color w:val="000000"/>
          <w:lang w:bidi="en-US"/>
        </w:rPr>
        <w:t>environmental conditions for production, germination and survival of sporangia</w:t>
      </w:r>
      <w:r>
        <w:rPr>
          <w:rFonts w:ascii="Cambria" w:hAnsi="Cambria"/>
          <w:i/>
          <w:color w:val="000000"/>
        </w:rPr>
        <w:t xml:space="preserve"> </w:t>
      </w:r>
      <w:r>
        <w:rPr>
          <w:rFonts w:ascii="Cambria" w:eastAsiaTheme="minorEastAsia" w:hAnsi="Cambria"/>
          <w:i/>
          <w:color w:val="000000"/>
          <w:lang w:bidi="en-US"/>
        </w:rPr>
        <w:t>and zoospores</w:t>
      </w:r>
      <w:r>
        <w:rPr>
          <w:rFonts w:ascii="Cambria" w:hAnsi="Cambria"/>
          <w:color w:val="000000"/>
        </w:rPr>
        <w:t xml:space="preserve">, </w:t>
      </w:r>
      <w:r>
        <w:rPr>
          <w:rFonts w:ascii="Cambria" w:eastAsiaTheme="minorEastAsia" w:hAnsi="Cambria"/>
          <w:color w:val="000000"/>
          <w:lang w:bidi="en-US"/>
        </w:rPr>
        <w:t>Deliverable Report 7. Sand Hutton, York, UK: Forest Research.</w:t>
      </w:r>
      <w:r>
        <w:rPr>
          <w:rFonts w:ascii="Cambria" w:hAnsi="Cambria"/>
          <w:color w:val="000000"/>
        </w:rPr>
        <w:t xml:space="preserve"> </w:t>
      </w:r>
    </w:p>
    <w:p w:rsidR="00E94405" w:rsidRDefault="00A11609">
      <w:pPr>
        <w:autoSpaceDE w:val="0"/>
        <w:autoSpaceDN w:val="0"/>
        <w:adjustRightInd w:val="0"/>
        <w:spacing w:before="200"/>
        <w:rPr>
          <w:rFonts w:ascii="Cambria" w:hAnsi="Cambria"/>
        </w:rPr>
      </w:pPr>
      <w:r>
        <w:rPr>
          <w:rFonts w:ascii="Cambria" w:hAnsi="Cambria"/>
          <w:color w:val="000000"/>
        </w:rPr>
        <w:lastRenderedPageBreak/>
        <w:t>Turner, JA, Jennings, P &amp; Humphries 2006, ‘</w:t>
      </w:r>
      <w:r>
        <w:rPr>
          <w:rFonts w:ascii="Cambria" w:hAnsi="Cambria"/>
          <w:i/>
          <w:color w:val="000000"/>
        </w:rPr>
        <w:t>P. ramorum/P. kernoviae</w:t>
      </w:r>
      <w:r>
        <w:rPr>
          <w:rFonts w:ascii="Cambria" w:hAnsi="Cambria"/>
          <w:color w:val="000000"/>
        </w:rPr>
        <w:t xml:space="preserve">: Development of post-eradication strategies for management/treatment of contaminated substrates and inoculum at outbreak sites’, </w:t>
      </w:r>
      <w:r>
        <w:rPr>
          <w:rFonts w:ascii="Cambria" w:hAnsi="Cambria"/>
          <w:i/>
          <w:color w:val="000000"/>
        </w:rPr>
        <w:t>Internal quarterly reports 1, 2 and 3</w:t>
      </w:r>
      <w:r>
        <w:rPr>
          <w:rFonts w:ascii="Cambria" w:hAnsi="Cambria"/>
          <w:color w:val="000000"/>
        </w:rPr>
        <w:t>, DEFRA Project number PH0414.</w:t>
      </w:r>
    </w:p>
    <w:p w:rsidR="00E94405" w:rsidRDefault="00A11609">
      <w:pPr>
        <w:autoSpaceDE w:val="0"/>
        <w:autoSpaceDN w:val="0"/>
        <w:adjustRightInd w:val="0"/>
        <w:spacing w:before="200"/>
        <w:rPr>
          <w:rFonts w:ascii="Cambria" w:hAnsi="Cambria"/>
        </w:rPr>
      </w:pPr>
      <w:r>
        <w:rPr>
          <w:rFonts w:ascii="Cambria" w:hAnsi="Cambria"/>
          <w:color w:val="000000"/>
        </w:rPr>
        <w:t>Varela</w:t>
      </w:r>
      <w:r>
        <w:rPr>
          <w:rFonts w:ascii="Cambria" w:hAnsi="Cambria"/>
        </w:rPr>
        <w:t>,</w:t>
      </w:r>
      <w:r>
        <w:rPr>
          <w:rFonts w:ascii="Cambria" w:hAnsi="Cambria"/>
          <w:color w:val="000000"/>
        </w:rPr>
        <w:t xml:space="preserve"> CP, Vazquez</w:t>
      </w:r>
      <w:r>
        <w:rPr>
          <w:rFonts w:ascii="Cambria" w:hAnsi="Cambria"/>
        </w:rPr>
        <w:t>,</w:t>
      </w:r>
      <w:r>
        <w:rPr>
          <w:rFonts w:ascii="Cambria" w:hAnsi="Cambria"/>
          <w:color w:val="000000"/>
        </w:rPr>
        <w:t xml:space="preserve"> JPM, Casal</w:t>
      </w:r>
      <w:r>
        <w:rPr>
          <w:rFonts w:ascii="Cambria" w:hAnsi="Cambria"/>
        </w:rPr>
        <w:t>,</w:t>
      </w:r>
      <w:r>
        <w:rPr>
          <w:rFonts w:ascii="Cambria" w:hAnsi="Cambria"/>
          <w:color w:val="000000"/>
        </w:rPr>
        <w:t xml:space="preserve"> OA</w:t>
      </w:r>
      <w:r>
        <w:rPr>
          <w:rFonts w:ascii="Cambria" w:hAnsi="Cambria"/>
        </w:rPr>
        <w:t xml:space="preserve"> &amp;</w:t>
      </w:r>
      <w:r>
        <w:rPr>
          <w:rFonts w:ascii="Cambria" w:hAnsi="Cambria"/>
          <w:color w:val="000000"/>
        </w:rPr>
        <w:t xml:space="preserve"> Martinez</w:t>
      </w:r>
      <w:r>
        <w:rPr>
          <w:rFonts w:ascii="Cambria" w:hAnsi="Cambria"/>
        </w:rPr>
        <w:t>,</w:t>
      </w:r>
      <w:r>
        <w:rPr>
          <w:rFonts w:ascii="Cambria" w:hAnsi="Cambria"/>
          <w:color w:val="000000"/>
        </w:rPr>
        <w:t xml:space="preserve"> CR 2007</w:t>
      </w:r>
      <w:r>
        <w:rPr>
          <w:rFonts w:ascii="Cambria" w:hAnsi="Cambria"/>
        </w:rPr>
        <w:t>,</w:t>
      </w:r>
      <w:r>
        <w:rPr>
          <w:rFonts w:ascii="Cambria" w:hAnsi="Cambria"/>
          <w:color w:val="000000"/>
        </w:rPr>
        <w:t xml:space="preserve"> </w:t>
      </w:r>
      <w:r>
        <w:rPr>
          <w:rFonts w:ascii="Cambria" w:hAnsi="Cambria"/>
        </w:rPr>
        <w:t>‘</w:t>
      </w:r>
      <w:r>
        <w:rPr>
          <w:rFonts w:ascii="Cambria" w:hAnsi="Cambria"/>
          <w:color w:val="000000"/>
        </w:rPr>
        <w:t xml:space="preserve">First report of </w:t>
      </w:r>
      <w:r>
        <w:rPr>
          <w:rFonts w:ascii="Cambria" w:hAnsi="Cambria"/>
          <w:i/>
          <w:color w:val="000000"/>
        </w:rPr>
        <w:t xml:space="preserve">Phytophthora pseudosyringae </w:t>
      </w:r>
      <w:r>
        <w:rPr>
          <w:rFonts w:ascii="Cambria" w:hAnsi="Cambria"/>
        </w:rPr>
        <w:t xml:space="preserve">on chestnut nursery stock in Spain’, </w:t>
      </w:r>
      <w:r>
        <w:rPr>
          <w:rFonts w:ascii="Cambria" w:hAnsi="Cambria"/>
          <w:i/>
        </w:rPr>
        <w:t>Plant Disease</w:t>
      </w:r>
      <w:r>
        <w:rPr>
          <w:rFonts w:ascii="Cambria" w:hAnsi="Cambria"/>
        </w:rPr>
        <w:t xml:space="preserve"> 91: 1517.</w:t>
      </w:r>
    </w:p>
    <w:p w:rsidR="00E94405" w:rsidRDefault="00A11609">
      <w:pPr>
        <w:autoSpaceDE w:val="0"/>
        <w:autoSpaceDN w:val="0"/>
        <w:adjustRightInd w:val="0"/>
        <w:spacing w:before="200"/>
        <w:rPr>
          <w:rFonts w:ascii="Cambria" w:hAnsi="Cambria"/>
        </w:rPr>
      </w:pPr>
      <w:r>
        <w:rPr>
          <w:rFonts w:ascii="Cambria" w:hAnsi="Cambria"/>
        </w:rPr>
        <w:t xml:space="preserve">Vettraino, AM, Ceccarelli, B &amp; Vannini, A 2009, ‘Susceptibility of some Italian ornamental and forestry species to </w:t>
      </w:r>
      <w:r>
        <w:rPr>
          <w:rFonts w:ascii="Cambria" w:hAnsi="Cambria"/>
          <w:i/>
        </w:rPr>
        <w:t>Phytophthora ramorum</w:t>
      </w:r>
      <w:r>
        <w:rPr>
          <w:rFonts w:ascii="Cambria" w:hAnsi="Cambria"/>
        </w:rPr>
        <w:t>,’ In: ‘</w:t>
      </w:r>
      <w:r>
        <w:rPr>
          <w:rFonts w:ascii="Cambria" w:hAnsi="Cambria"/>
          <w:i/>
          <w:color w:val="000000"/>
        </w:rPr>
        <w:t>Phytophthora</w:t>
      </w:r>
      <w:r>
        <w:rPr>
          <w:rFonts w:ascii="Cambria" w:hAnsi="Cambria"/>
        </w:rPr>
        <w:t xml:space="preserve">s in Forests and Natural Ecosystems’, </w:t>
      </w:r>
      <w:r>
        <w:rPr>
          <w:rFonts w:ascii="Cambria" w:hAnsi="Cambria"/>
          <w:i/>
          <w:color w:val="000000"/>
        </w:rPr>
        <w:t>Proceedings of the 4th Meeting of IUFRO Working Party</w:t>
      </w:r>
      <w:r>
        <w:rPr>
          <w:rFonts w:ascii="Cambria" w:hAnsi="Cambria"/>
        </w:rPr>
        <w:t xml:space="preserve"> S07.02.09, PSW-GTR-221: 137–139.</w:t>
      </w:r>
    </w:p>
    <w:p w:rsidR="00E94405" w:rsidRDefault="00A11609">
      <w:pPr>
        <w:autoSpaceDE w:val="0"/>
        <w:autoSpaceDN w:val="0"/>
        <w:adjustRightInd w:val="0"/>
        <w:spacing w:before="200"/>
        <w:rPr>
          <w:rFonts w:ascii="Cambria" w:hAnsi="Cambria"/>
        </w:rPr>
      </w:pPr>
      <w:r>
        <w:rPr>
          <w:rFonts w:ascii="Cambria" w:hAnsi="Cambria"/>
        </w:rPr>
        <w:t>Vettraino, AM, Hüberli, D &amp; Garbelotto, M 2008, ‘</w:t>
      </w:r>
      <w:r>
        <w:rPr>
          <w:rFonts w:ascii="Cambria" w:hAnsi="Cambria"/>
          <w:i/>
        </w:rPr>
        <w:t>Phytophthora ramorum</w:t>
      </w:r>
      <w:r>
        <w:rPr>
          <w:rFonts w:ascii="Cambria" w:hAnsi="Cambria"/>
        </w:rPr>
        <w:t xml:space="preserve"> infection of coast live oak leaves in Californian forests and its capacity to sporulate in vitro’, </w:t>
      </w:r>
      <w:r>
        <w:rPr>
          <w:rFonts w:ascii="Cambria" w:hAnsi="Cambria"/>
          <w:i/>
          <w:color w:val="000000"/>
        </w:rPr>
        <w:t>Australasian Plant Pathology</w:t>
      </w:r>
      <w:r>
        <w:rPr>
          <w:rFonts w:ascii="Cambria" w:hAnsi="Cambria"/>
        </w:rPr>
        <w:t>, 37: 72–73.</w:t>
      </w:r>
    </w:p>
    <w:p w:rsidR="00E94405" w:rsidRDefault="00A11609">
      <w:pPr>
        <w:autoSpaceDE w:val="0"/>
        <w:autoSpaceDN w:val="0"/>
        <w:adjustRightInd w:val="0"/>
        <w:spacing w:before="200"/>
        <w:rPr>
          <w:rFonts w:ascii="Cambria" w:hAnsi="Cambria"/>
        </w:rPr>
      </w:pPr>
      <w:r>
        <w:rPr>
          <w:rFonts w:ascii="Cambria" w:hAnsi="Cambria"/>
        </w:rPr>
        <w:t>Vettraino, AM, Hüberli, D, Swain, S, Bienapfl, JC, Smith, A &amp; Garbelotto, M 2006a, ‘First report of infection of Maiden-Hair Fern (</w:t>
      </w:r>
      <w:r>
        <w:rPr>
          <w:rFonts w:ascii="Cambria" w:hAnsi="Cambria"/>
          <w:i/>
          <w:color w:val="000000"/>
        </w:rPr>
        <w:t>Adiantum jordanii</w:t>
      </w:r>
      <w:r>
        <w:rPr>
          <w:rFonts w:ascii="Cambria" w:hAnsi="Cambria"/>
        </w:rPr>
        <w:t xml:space="preserve"> and </w:t>
      </w:r>
      <w:r>
        <w:rPr>
          <w:rFonts w:ascii="Cambria" w:hAnsi="Cambria"/>
          <w:i/>
          <w:color w:val="000000"/>
        </w:rPr>
        <w:t>A. aleuticum</w:t>
      </w:r>
      <w:r>
        <w:rPr>
          <w:rFonts w:ascii="Cambria" w:hAnsi="Cambria"/>
        </w:rPr>
        <w:t xml:space="preserve">) by </w:t>
      </w:r>
      <w:r>
        <w:rPr>
          <w:rFonts w:ascii="Cambria" w:hAnsi="Cambria"/>
          <w:i/>
        </w:rPr>
        <w:t>Phytophthora ramorum</w:t>
      </w:r>
      <w:r>
        <w:rPr>
          <w:rFonts w:ascii="Cambria" w:hAnsi="Cambria"/>
        </w:rPr>
        <w:t xml:space="preserve"> in California’, </w:t>
      </w:r>
      <w:r>
        <w:rPr>
          <w:rFonts w:ascii="Cambria" w:hAnsi="Cambria"/>
          <w:i/>
        </w:rPr>
        <w:t>Plant Disease</w:t>
      </w:r>
      <w:r>
        <w:rPr>
          <w:rFonts w:ascii="Cambria" w:hAnsi="Cambria"/>
        </w:rPr>
        <w:t>, 90: 379.</w:t>
      </w:r>
    </w:p>
    <w:p w:rsidR="00E94405" w:rsidRDefault="00A11609">
      <w:pPr>
        <w:autoSpaceDE w:val="0"/>
        <w:autoSpaceDN w:val="0"/>
        <w:adjustRightInd w:val="0"/>
        <w:spacing w:before="200"/>
        <w:rPr>
          <w:rFonts w:ascii="Cambria" w:hAnsi="Cambria"/>
        </w:rPr>
      </w:pPr>
      <w:r>
        <w:rPr>
          <w:rFonts w:ascii="Cambria" w:hAnsi="Cambria"/>
        </w:rPr>
        <w:t xml:space="preserve">Vettraino, AM, Hüberli, D, Swain, S, Smith, A &amp; Garbelotto, M 2006b, ‘A new report of </w:t>
      </w:r>
      <w:r>
        <w:rPr>
          <w:rFonts w:ascii="Cambria" w:hAnsi="Cambria"/>
          <w:i/>
        </w:rPr>
        <w:t>Phytophthora ramorum</w:t>
      </w:r>
      <w:r>
        <w:rPr>
          <w:rFonts w:ascii="Cambria" w:hAnsi="Cambria"/>
        </w:rPr>
        <w:t xml:space="preserve"> on </w:t>
      </w:r>
      <w:r>
        <w:rPr>
          <w:rFonts w:ascii="Cambria" w:hAnsi="Cambria"/>
          <w:i/>
          <w:color w:val="000000"/>
        </w:rPr>
        <w:t>Rhamnus purshiana</w:t>
      </w:r>
      <w:r>
        <w:rPr>
          <w:rFonts w:ascii="Cambria" w:hAnsi="Cambria"/>
        </w:rPr>
        <w:t xml:space="preserve"> in Northern California’, </w:t>
      </w:r>
      <w:r>
        <w:rPr>
          <w:rFonts w:ascii="Cambria" w:hAnsi="Cambria"/>
          <w:i/>
        </w:rPr>
        <w:t>Plant Disease</w:t>
      </w:r>
      <w:r>
        <w:rPr>
          <w:rFonts w:ascii="Cambria" w:hAnsi="Cambria"/>
        </w:rPr>
        <w:t>, 90: 246.</w:t>
      </w:r>
    </w:p>
    <w:p w:rsidR="00E94405" w:rsidRDefault="00A11609">
      <w:pPr>
        <w:autoSpaceDE w:val="0"/>
        <w:autoSpaceDN w:val="0"/>
        <w:adjustRightInd w:val="0"/>
        <w:spacing w:before="200"/>
        <w:rPr>
          <w:rFonts w:ascii="Cambria" w:hAnsi="Cambria"/>
        </w:rPr>
      </w:pPr>
      <w:r>
        <w:rPr>
          <w:rFonts w:ascii="Cambria" w:hAnsi="Cambria"/>
        </w:rPr>
        <w:t>Waterhouse, GM 1963, ‘</w:t>
      </w:r>
      <w:r>
        <w:rPr>
          <w:rFonts w:ascii="Cambria" w:hAnsi="Cambria"/>
          <w:i/>
        </w:rPr>
        <w:t>Key to the species of Phytophthora</w:t>
      </w:r>
      <w:r>
        <w:rPr>
          <w:rFonts w:ascii="Cambria" w:hAnsi="Cambria"/>
        </w:rPr>
        <w:t>’, Commonwealth Mycological Institute Kew, UK, 92.</w:t>
      </w:r>
    </w:p>
    <w:p w:rsidR="00E94405" w:rsidRDefault="00A11609">
      <w:pPr>
        <w:autoSpaceDE w:val="0"/>
        <w:autoSpaceDN w:val="0"/>
        <w:adjustRightInd w:val="0"/>
        <w:spacing w:before="200"/>
        <w:rPr>
          <w:rFonts w:ascii="Cambria" w:hAnsi="Cambria"/>
        </w:rPr>
      </w:pPr>
      <w:r>
        <w:rPr>
          <w:rFonts w:ascii="Cambria" w:hAnsi="Cambria"/>
        </w:rPr>
        <w:t xml:space="preserve">Webber, J 2010, ‘Pest risk analysis and invasion pathways for plant pathogens’, </w:t>
      </w:r>
      <w:r>
        <w:rPr>
          <w:rFonts w:ascii="Cambria" w:hAnsi="Cambria"/>
          <w:i/>
        </w:rPr>
        <w:t>New Zealand</w:t>
      </w:r>
      <w:r>
        <w:rPr>
          <w:rFonts w:ascii="Cambria" w:hAnsi="Cambria"/>
        </w:rPr>
        <w:t xml:space="preserve"> </w:t>
      </w:r>
      <w:r>
        <w:rPr>
          <w:rFonts w:ascii="Cambria" w:hAnsi="Cambria"/>
          <w:i/>
        </w:rPr>
        <w:t>Journal of Forestry Science</w:t>
      </w:r>
      <w:r>
        <w:rPr>
          <w:rFonts w:ascii="Cambria" w:hAnsi="Cambria"/>
        </w:rPr>
        <w:t>, 40: 45–55.</w:t>
      </w:r>
    </w:p>
    <w:p w:rsidR="00E94405" w:rsidRDefault="00A11609">
      <w:pPr>
        <w:autoSpaceDE w:val="0"/>
        <w:autoSpaceDN w:val="0"/>
        <w:adjustRightInd w:val="0"/>
        <w:spacing w:before="200"/>
        <w:rPr>
          <w:rFonts w:ascii="Cambria" w:hAnsi="Cambria"/>
        </w:rPr>
      </w:pPr>
      <w:r>
        <w:rPr>
          <w:rFonts w:ascii="Cambria" w:hAnsi="Cambria"/>
        </w:rPr>
        <w:t xml:space="preserve">Webber, JF &amp; Rose, J 2007, ‘Dissemination of aerial and root infecting </w:t>
      </w:r>
      <w:r>
        <w:rPr>
          <w:rFonts w:ascii="Cambria" w:hAnsi="Cambria"/>
          <w:i/>
        </w:rPr>
        <w:t>Phytophthora</w:t>
      </w:r>
      <w:r>
        <w:rPr>
          <w:rFonts w:ascii="Cambria" w:hAnsi="Cambria"/>
        </w:rPr>
        <w:t xml:space="preserve">s by human vectors’ [Abstract], </w:t>
      </w:r>
      <w:r>
        <w:rPr>
          <w:rFonts w:ascii="Cambria" w:hAnsi="Cambria"/>
          <w:i/>
        </w:rPr>
        <w:t>Proceedings of the Sudden Oak Death Symposium III</w:t>
      </w:r>
      <w:r>
        <w:rPr>
          <w:rFonts w:ascii="Cambria" w:hAnsi="Cambria"/>
        </w:rPr>
        <w:t xml:space="preserve">, 88: 275–278. </w:t>
      </w:r>
    </w:p>
    <w:p w:rsidR="00E94405" w:rsidRDefault="00A11609">
      <w:pPr>
        <w:autoSpaceDE w:val="0"/>
        <w:autoSpaceDN w:val="0"/>
        <w:adjustRightInd w:val="0"/>
        <w:spacing w:before="200"/>
        <w:rPr>
          <w:rFonts w:ascii="Cambria" w:hAnsi="Cambria"/>
        </w:rPr>
      </w:pPr>
      <w:r>
        <w:rPr>
          <w:rFonts w:ascii="Cambria" w:hAnsi="Cambria"/>
        </w:rPr>
        <w:t xml:space="preserve">Webber, JF 2008, ‘Status of </w:t>
      </w:r>
      <w:r>
        <w:rPr>
          <w:rFonts w:ascii="Cambria" w:hAnsi="Cambria"/>
          <w:i/>
        </w:rPr>
        <w:t>Phytophthora ramorum</w:t>
      </w:r>
      <w:r>
        <w:rPr>
          <w:rFonts w:ascii="Cambria" w:hAnsi="Cambria"/>
        </w:rPr>
        <w:t xml:space="preserve"> and </w:t>
      </w:r>
      <w:r>
        <w:rPr>
          <w:rFonts w:ascii="Cambria" w:hAnsi="Cambria"/>
          <w:i/>
        </w:rPr>
        <w:t>P. kernoviae</w:t>
      </w:r>
      <w:r>
        <w:rPr>
          <w:rFonts w:ascii="Cambria" w:hAnsi="Cambria"/>
        </w:rPr>
        <w:t xml:space="preserve"> in Europe’, </w:t>
      </w:r>
      <w:r>
        <w:rPr>
          <w:rFonts w:ascii="Cambria" w:hAnsi="Cambria"/>
          <w:i/>
        </w:rPr>
        <w:t>Proceedings of the Sudden Oak Death 3rd Science Symposium</w:t>
      </w:r>
      <w:r>
        <w:rPr>
          <w:rFonts w:ascii="Cambria" w:hAnsi="Cambria"/>
        </w:rPr>
        <w:t>, General technical report PSW-GTR-214, 19–26.</w:t>
      </w:r>
    </w:p>
    <w:p w:rsidR="00E94405" w:rsidRDefault="00A11609">
      <w:pPr>
        <w:autoSpaceDE w:val="0"/>
        <w:autoSpaceDN w:val="0"/>
        <w:adjustRightInd w:val="0"/>
        <w:spacing w:before="200"/>
        <w:rPr>
          <w:rFonts w:ascii="Cambria" w:hAnsi="Cambria"/>
        </w:rPr>
      </w:pPr>
      <w:r>
        <w:rPr>
          <w:rFonts w:ascii="Cambria" w:hAnsi="Cambria"/>
        </w:rPr>
        <w:t>Webber, JF, Mullett, M &amp; Brasier, CM 2010a, ‘Dieback and mortality of plantation Japanese larch (</w:t>
      </w:r>
      <w:r>
        <w:rPr>
          <w:rFonts w:ascii="Cambria" w:hAnsi="Cambria"/>
          <w:i/>
        </w:rPr>
        <w:t>Larix kaempferi</w:t>
      </w:r>
      <w:r>
        <w:rPr>
          <w:rFonts w:ascii="Cambria" w:hAnsi="Cambria"/>
        </w:rPr>
        <w:t xml:space="preserve">) associated with infection by </w:t>
      </w:r>
      <w:r>
        <w:rPr>
          <w:rFonts w:ascii="Cambria" w:hAnsi="Cambria"/>
          <w:i/>
        </w:rPr>
        <w:t>Phytophthora ramorum</w:t>
      </w:r>
      <w:r>
        <w:rPr>
          <w:rFonts w:ascii="Cambria" w:hAnsi="Cambria"/>
        </w:rPr>
        <w:t xml:space="preserve">’, </w:t>
      </w:r>
      <w:r>
        <w:rPr>
          <w:rFonts w:ascii="Cambria" w:hAnsi="Cambria"/>
          <w:i/>
        </w:rPr>
        <w:t>New Disease Reports</w:t>
      </w:r>
      <w:r>
        <w:rPr>
          <w:rFonts w:ascii="Cambria" w:hAnsi="Cambria"/>
        </w:rPr>
        <w:t>,</w:t>
      </w:r>
      <w:r>
        <w:rPr>
          <w:rFonts w:ascii="Cambria" w:hAnsi="Cambria"/>
          <w:i/>
        </w:rPr>
        <w:t xml:space="preserve"> </w:t>
      </w:r>
      <w:r>
        <w:rPr>
          <w:rFonts w:ascii="Cambria" w:hAnsi="Cambria"/>
        </w:rPr>
        <w:t>22: 19.</w:t>
      </w:r>
    </w:p>
    <w:p w:rsidR="00E94405" w:rsidRDefault="00A11609">
      <w:pPr>
        <w:autoSpaceDE w:val="0"/>
        <w:autoSpaceDN w:val="0"/>
        <w:adjustRightInd w:val="0"/>
        <w:spacing w:before="200"/>
        <w:rPr>
          <w:rFonts w:ascii="Cambria" w:hAnsi="Cambria"/>
        </w:rPr>
      </w:pPr>
      <w:r>
        <w:rPr>
          <w:rFonts w:ascii="Cambria" w:hAnsi="Cambria"/>
        </w:rPr>
        <w:t xml:space="preserve">Webber, JF, Turner, J &amp; Jennings, P 2010b, ‘Report on research undertaken between October 2009 to March 2010, on </w:t>
      </w:r>
      <w:r>
        <w:rPr>
          <w:rFonts w:ascii="Cambria" w:hAnsi="Cambria"/>
          <w:i/>
        </w:rPr>
        <w:t>Phytophthora ramorum</w:t>
      </w:r>
      <w:r>
        <w:rPr>
          <w:rFonts w:ascii="Cambria" w:hAnsi="Cambria"/>
        </w:rPr>
        <w:t xml:space="preserve"> incited dieback of larch (</w:t>
      </w:r>
      <w:r>
        <w:rPr>
          <w:rFonts w:ascii="Cambria" w:hAnsi="Cambria"/>
          <w:i/>
        </w:rPr>
        <w:t>Larix kaempferi</w:t>
      </w:r>
      <w:r>
        <w:rPr>
          <w:rFonts w:ascii="Cambria" w:hAnsi="Cambria"/>
        </w:rPr>
        <w:t>)’, Forest Research (UK) Report, accessed November 2013, http://fera.defra.gov.uk/plants/plantHealth/pestsDiseases/phytophthora/documents/larchReport.pdf.</w:t>
      </w:r>
    </w:p>
    <w:p w:rsidR="00E94405" w:rsidRDefault="00A11609">
      <w:pPr>
        <w:autoSpaceDE w:val="0"/>
        <w:autoSpaceDN w:val="0"/>
        <w:adjustRightInd w:val="0"/>
        <w:spacing w:before="200"/>
        <w:rPr>
          <w:rFonts w:ascii="Cambria" w:hAnsi="Cambria"/>
        </w:rPr>
      </w:pPr>
      <w:r>
        <w:rPr>
          <w:rFonts w:ascii="Cambria" w:hAnsi="Cambria"/>
        </w:rPr>
        <w:t xml:space="preserve">Werres, S &amp; De Merlier, D 2003, ‘First detection of </w:t>
      </w:r>
      <w:r>
        <w:rPr>
          <w:rFonts w:ascii="Cambria" w:hAnsi="Cambria"/>
          <w:i/>
        </w:rPr>
        <w:t>Phytophthora ramorum</w:t>
      </w:r>
      <w:r>
        <w:rPr>
          <w:rFonts w:ascii="Cambria" w:hAnsi="Cambria"/>
        </w:rPr>
        <w:t xml:space="preserve"> mating type A2 in Europe’, </w:t>
      </w:r>
      <w:r>
        <w:rPr>
          <w:rFonts w:ascii="Cambria" w:hAnsi="Cambria"/>
          <w:i/>
        </w:rPr>
        <w:t>Plant Disease</w:t>
      </w:r>
      <w:r>
        <w:rPr>
          <w:rFonts w:ascii="Cambria" w:hAnsi="Cambria"/>
        </w:rPr>
        <w:t>, 87: 1266.</w:t>
      </w:r>
    </w:p>
    <w:p w:rsidR="00E94405" w:rsidRDefault="00A11609">
      <w:pPr>
        <w:autoSpaceDE w:val="0"/>
        <w:autoSpaceDN w:val="0"/>
        <w:adjustRightInd w:val="0"/>
        <w:spacing w:before="200"/>
        <w:rPr>
          <w:rFonts w:ascii="Cambria" w:hAnsi="Cambria"/>
        </w:rPr>
      </w:pPr>
      <w:r>
        <w:rPr>
          <w:rFonts w:ascii="Cambria" w:hAnsi="Cambria"/>
        </w:rPr>
        <w:t xml:space="preserve">Werres, S &amp; Kaminski, K 2005, ‘Characterisation of European and North American </w:t>
      </w:r>
      <w:r>
        <w:rPr>
          <w:rFonts w:ascii="Cambria" w:hAnsi="Cambria"/>
          <w:i/>
        </w:rPr>
        <w:t>Phytophthora ramorum</w:t>
      </w:r>
      <w:r>
        <w:rPr>
          <w:rFonts w:ascii="Cambria" w:hAnsi="Cambria"/>
        </w:rPr>
        <w:t xml:space="preserve"> isolates due to their morphology and mating behaviour in vitro with heterothallic </w:t>
      </w:r>
      <w:r>
        <w:rPr>
          <w:rFonts w:ascii="Cambria" w:hAnsi="Cambria"/>
          <w:i/>
          <w:color w:val="000000"/>
        </w:rPr>
        <w:t>Phytophthora</w:t>
      </w:r>
      <w:r>
        <w:rPr>
          <w:rFonts w:ascii="Cambria" w:hAnsi="Cambria"/>
        </w:rPr>
        <w:t xml:space="preserve"> species’, </w:t>
      </w:r>
      <w:r>
        <w:rPr>
          <w:rFonts w:ascii="Cambria" w:hAnsi="Cambria"/>
          <w:i/>
          <w:color w:val="000000"/>
        </w:rPr>
        <w:t>Mycological Research</w:t>
      </w:r>
      <w:r>
        <w:rPr>
          <w:rFonts w:ascii="Cambria" w:hAnsi="Cambria"/>
        </w:rPr>
        <w:t>, 109: 860–871.</w:t>
      </w:r>
    </w:p>
    <w:p w:rsidR="00E94405" w:rsidRDefault="00A11609">
      <w:pPr>
        <w:autoSpaceDE w:val="0"/>
        <w:autoSpaceDN w:val="0"/>
        <w:adjustRightInd w:val="0"/>
        <w:spacing w:before="200"/>
        <w:rPr>
          <w:rFonts w:ascii="Cambria" w:hAnsi="Cambria"/>
        </w:rPr>
      </w:pPr>
      <w:r>
        <w:rPr>
          <w:rFonts w:ascii="Cambria" w:hAnsi="Cambria"/>
        </w:rPr>
        <w:lastRenderedPageBreak/>
        <w:t xml:space="preserve">Werres, S &amp; Zielke, B 2003, ‘First studies on the pairing of </w:t>
      </w:r>
      <w:r>
        <w:rPr>
          <w:rFonts w:ascii="Cambria" w:hAnsi="Cambria"/>
          <w:i/>
        </w:rPr>
        <w:t>Phytophthora ramorum</w:t>
      </w:r>
      <w:r>
        <w:rPr>
          <w:rFonts w:ascii="Cambria" w:hAnsi="Cambria"/>
        </w:rPr>
        <w:t xml:space="preserve">’, </w:t>
      </w:r>
      <w:r>
        <w:rPr>
          <w:rFonts w:ascii="Cambria" w:hAnsi="Cambria"/>
          <w:i/>
        </w:rPr>
        <w:t>Journal of</w:t>
      </w:r>
      <w:r>
        <w:rPr>
          <w:rFonts w:ascii="Cambria" w:hAnsi="Cambria"/>
        </w:rPr>
        <w:t xml:space="preserve"> </w:t>
      </w:r>
      <w:r>
        <w:rPr>
          <w:rFonts w:ascii="Cambria" w:hAnsi="Cambria"/>
          <w:i/>
        </w:rPr>
        <w:t>Plant Disease</w:t>
      </w:r>
      <w:r>
        <w:rPr>
          <w:rFonts w:ascii="Cambria" w:hAnsi="Cambria"/>
        </w:rPr>
        <w:t xml:space="preserve"> </w:t>
      </w:r>
      <w:r>
        <w:rPr>
          <w:rFonts w:ascii="Cambria" w:hAnsi="Cambria"/>
          <w:i/>
        </w:rPr>
        <w:t>and Protection</w:t>
      </w:r>
      <w:r>
        <w:rPr>
          <w:rFonts w:ascii="Cambria" w:hAnsi="Cambria"/>
        </w:rPr>
        <w:t>, 110: 129–130.</w:t>
      </w:r>
    </w:p>
    <w:p w:rsidR="00E94405" w:rsidRDefault="00A11609">
      <w:pPr>
        <w:autoSpaceDE w:val="0"/>
        <w:autoSpaceDN w:val="0"/>
        <w:adjustRightInd w:val="0"/>
        <w:spacing w:before="200"/>
        <w:rPr>
          <w:rFonts w:ascii="Cambria" w:hAnsi="Cambria"/>
        </w:rPr>
      </w:pPr>
      <w:r>
        <w:rPr>
          <w:rFonts w:ascii="Cambria" w:hAnsi="Cambria"/>
        </w:rPr>
        <w:t>Werres, S, Marwitz, R, Man In‘T Veld, WA, De Cock, AWAM, Bonants, PJM, De Weerdt, M, Themann, K, Ilieva, E &amp; Baayen, RP 2001, ‘</w:t>
      </w:r>
      <w:r>
        <w:rPr>
          <w:rFonts w:ascii="Cambria" w:hAnsi="Cambria"/>
          <w:i/>
        </w:rPr>
        <w:t>Phytophthora ramorum</w:t>
      </w:r>
      <w:r>
        <w:rPr>
          <w:rFonts w:ascii="Cambria" w:hAnsi="Cambria"/>
        </w:rPr>
        <w:t xml:space="preserve"> sp. </w:t>
      </w:r>
      <w:r>
        <w:rPr>
          <w:rFonts w:ascii="Cambria" w:hAnsi="Cambria"/>
          <w:i/>
        </w:rPr>
        <w:t>nov</w:t>
      </w:r>
      <w:r>
        <w:rPr>
          <w:rFonts w:ascii="Cambria" w:hAnsi="Cambria"/>
        </w:rPr>
        <w:t xml:space="preserve">., a new pathogen on </w:t>
      </w:r>
      <w:r>
        <w:rPr>
          <w:rFonts w:ascii="Cambria" w:hAnsi="Cambria"/>
          <w:i/>
        </w:rPr>
        <w:t>Rhododendron</w:t>
      </w:r>
      <w:r>
        <w:rPr>
          <w:rFonts w:ascii="Cambria" w:hAnsi="Cambria"/>
        </w:rPr>
        <w:t xml:space="preserve"> and </w:t>
      </w:r>
      <w:r>
        <w:rPr>
          <w:rFonts w:ascii="Cambria" w:hAnsi="Cambria"/>
          <w:i/>
        </w:rPr>
        <w:t>Viburnum</w:t>
      </w:r>
      <w:r>
        <w:rPr>
          <w:rFonts w:ascii="Cambria" w:hAnsi="Cambria"/>
        </w:rPr>
        <w:t xml:space="preserve">’, </w:t>
      </w:r>
      <w:r>
        <w:rPr>
          <w:rFonts w:ascii="Cambria" w:hAnsi="Cambria"/>
          <w:i/>
        </w:rPr>
        <w:t>Mycological Research</w:t>
      </w:r>
      <w:r>
        <w:rPr>
          <w:rFonts w:ascii="Cambria" w:hAnsi="Cambria"/>
        </w:rPr>
        <w:t>, 105: 1155–1165.</w:t>
      </w:r>
    </w:p>
    <w:p w:rsidR="00E94405" w:rsidRDefault="00A11609">
      <w:pPr>
        <w:autoSpaceDE w:val="0"/>
        <w:autoSpaceDN w:val="0"/>
        <w:adjustRightInd w:val="0"/>
        <w:spacing w:before="200"/>
        <w:rPr>
          <w:rFonts w:ascii="Cambria" w:hAnsi="Cambria"/>
        </w:rPr>
      </w:pPr>
      <w:r>
        <w:rPr>
          <w:rFonts w:ascii="Cambria" w:hAnsi="Cambria"/>
        </w:rPr>
        <w:t xml:space="preserve">Weste, G &amp; Marks, GC 1987, ‘The biology of </w:t>
      </w:r>
      <w:r>
        <w:rPr>
          <w:rFonts w:ascii="Cambria" w:hAnsi="Cambria"/>
          <w:i/>
        </w:rPr>
        <w:t>Phytophthora cinnamomi</w:t>
      </w:r>
      <w:r>
        <w:rPr>
          <w:rFonts w:ascii="Cambria" w:hAnsi="Cambria"/>
        </w:rPr>
        <w:t xml:space="preserve"> in Australasian forests’, </w:t>
      </w:r>
      <w:r>
        <w:rPr>
          <w:rFonts w:ascii="Cambria" w:hAnsi="Cambria"/>
          <w:i/>
        </w:rPr>
        <w:t>Annual Review of Phytopathology</w:t>
      </w:r>
      <w:r>
        <w:rPr>
          <w:rFonts w:ascii="Cambria" w:hAnsi="Cambria"/>
        </w:rPr>
        <w:t xml:space="preserve">, 25: 207–229. </w:t>
      </w:r>
    </w:p>
    <w:p w:rsidR="00E94405" w:rsidRDefault="00A11609">
      <w:pPr>
        <w:autoSpaceDE w:val="0"/>
        <w:autoSpaceDN w:val="0"/>
        <w:adjustRightInd w:val="0"/>
        <w:spacing w:before="200"/>
        <w:rPr>
          <w:rFonts w:ascii="Cambria" w:hAnsi="Cambria"/>
        </w:rPr>
      </w:pPr>
      <w:r>
        <w:rPr>
          <w:rFonts w:ascii="Cambria" w:hAnsi="Cambria"/>
        </w:rPr>
        <w:t xml:space="preserve">Wickland, AC &amp; Rizzo, DM 2006, ‘Ecology of </w:t>
      </w:r>
      <w:r>
        <w:rPr>
          <w:rFonts w:ascii="Cambria" w:hAnsi="Cambria"/>
          <w:i/>
        </w:rPr>
        <w:t>Phytophthora nemorosa</w:t>
      </w:r>
      <w:r>
        <w:rPr>
          <w:rFonts w:ascii="Cambria" w:hAnsi="Cambria"/>
        </w:rPr>
        <w:t xml:space="preserve"> and </w:t>
      </w:r>
      <w:r>
        <w:rPr>
          <w:rFonts w:ascii="Cambria" w:hAnsi="Cambria"/>
          <w:i/>
        </w:rPr>
        <w:t>P. pseudosyringae</w:t>
      </w:r>
      <w:r>
        <w:rPr>
          <w:rFonts w:ascii="Cambria" w:hAnsi="Cambria"/>
        </w:rPr>
        <w:t xml:space="preserve"> in mixed evergreen forests’, </w:t>
      </w:r>
      <w:r>
        <w:rPr>
          <w:rFonts w:ascii="Cambria" w:hAnsi="Cambria"/>
          <w:i/>
        </w:rPr>
        <w:t>Proceedings of the Sudden Oak Death Second Science Symposium: The State of Our Knowledge</w:t>
      </w:r>
      <w:r>
        <w:rPr>
          <w:rFonts w:ascii="Cambria" w:hAnsi="Cambria"/>
        </w:rPr>
        <w:t>, General Technical Report PSW-GTR-196, 73.</w:t>
      </w:r>
    </w:p>
    <w:p w:rsidR="00E94405" w:rsidRDefault="00A11609">
      <w:pPr>
        <w:autoSpaceDE w:val="0"/>
        <w:autoSpaceDN w:val="0"/>
        <w:adjustRightInd w:val="0"/>
        <w:spacing w:before="200"/>
        <w:rPr>
          <w:rFonts w:ascii="Cambria" w:hAnsi="Cambria"/>
        </w:rPr>
      </w:pPr>
      <w:r>
        <w:rPr>
          <w:rFonts w:ascii="Cambria" w:hAnsi="Cambria"/>
        </w:rPr>
        <w:t xml:space="preserve">Wickland, AC, Jensen, CE &amp; Rizzo, DM 2008, ‘Geographic distribution, disease symptoms and pathogenicity of </w:t>
      </w:r>
      <w:r>
        <w:rPr>
          <w:rFonts w:ascii="Cambria" w:hAnsi="Cambria"/>
          <w:i/>
        </w:rPr>
        <w:t>Phytophthora nemorosa</w:t>
      </w:r>
      <w:r>
        <w:rPr>
          <w:rFonts w:ascii="Cambria" w:hAnsi="Cambria"/>
        </w:rPr>
        <w:t xml:space="preserve"> and </w:t>
      </w:r>
      <w:r>
        <w:rPr>
          <w:rFonts w:ascii="Cambria" w:hAnsi="Cambria"/>
          <w:i/>
        </w:rPr>
        <w:t>P. pseudosyringae</w:t>
      </w:r>
      <w:r>
        <w:rPr>
          <w:rFonts w:ascii="Cambria" w:hAnsi="Cambria"/>
        </w:rPr>
        <w:t xml:space="preserve"> in California, USA’, </w:t>
      </w:r>
      <w:r>
        <w:rPr>
          <w:rFonts w:ascii="Cambria" w:hAnsi="Cambria"/>
          <w:i/>
        </w:rPr>
        <w:t>Forest Pathology</w:t>
      </w:r>
      <w:r>
        <w:rPr>
          <w:rFonts w:ascii="Cambria" w:hAnsi="Cambria"/>
        </w:rPr>
        <w:t>, 38: 288–298.</w:t>
      </w:r>
    </w:p>
    <w:p w:rsidR="00E94405" w:rsidRDefault="00A11609">
      <w:pPr>
        <w:autoSpaceDE w:val="0"/>
        <w:autoSpaceDN w:val="0"/>
        <w:adjustRightInd w:val="0"/>
        <w:spacing w:before="200"/>
        <w:rPr>
          <w:rFonts w:ascii="Cambria" w:hAnsi="Cambria"/>
        </w:rPr>
      </w:pPr>
      <w:r>
        <w:rPr>
          <w:rFonts w:ascii="Cambria" w:hAnsi="Cambria"/>
        </w:rPr>
        <w:t xml:space="preserve">Widmer, T 2011, ‘Effect of temperature on survival of </w:t>
      </w:r>
      <w:r>
        <w:rPr>
          <w:rFonts w:ascii="Cambria" w:hAnsi="Cambria"/>
          <w:i/>
        </w:rPr>
        <w:t>Phytophthora kernoviae</w:t>
      </w:r>
      <w:r>
        <w:rPr>
          <w:rFonts w:ascii="Cambria" w:hAnsi="Cambria"/>
        </w:rPr>
        <w:t xml:space="preserve"> oospores, sporangia, and mycelium’, </w:t>
      </w:r>
      <w:r>
        <w:rPr>
          <w:rFonts w:ascii="Cambria" w:hAnsi="Cambria"/>
          <w:i/>
        </w:rPr>
        <w:t>New Zealand Journal of Forestry Science</w:t>
      </w:r>
      <w:r>
        <w:rPr>
          <w:rFonts w:ascii="Cambria" w:hAnsi="Cambria"/>
        </w:rPr>
        <w:t>, 41S: S15–S23, www.scionresearch.com/nzjfs.</w:t>
      </w:r>
    </w:p>
    <w:p w:rsidR="00E94405" w:rsidRDefault="00A11609">
      <w:pPr>
        <w:autoSpaceDE w:val="0"/>
        <w:autoSpaceDN w:val="0"/>
        <w:adjustRightInd w:val="0"/>
        <w:spacing w:before="200"/>
        <w:rPr>
          <w:rFonts w:ascii="Cambria" w:hAnsi="Cambria"/>
        </w:rPr>
      </w:pPr>
      <w:r>
        <w:rPr>
          <w:rFonts w:ascii="Cambria" w:hAnsi="Cambria"/>
        </w:rPr>
        <w:t>Widmer, TL 2010, ‘</w:t>
      </w:r>
      <w:r>
        <w:rPr>
          <w:rFonts w:ascii="Cambria" w:hAnsi="Cambria"/>
          <w:i/>
        </w:rPr>
        <w:t>Phytophthora kernoviae</w:t>
      </w:r>
      <w:r>
        <w:rPr>
          <w:rFonts w:ascii="Cambria" w:hAnsi="Cambria"/>
        </w:rPr>
        <w:t xml:space="preserve"> oospore maturity, germination and infection’, </w:t>
      </w:r>
      <w:r>
        <w:rPr>
          <w:rFonts w:ascii="Cambria" w:hAnsi="Cambria"/>
          <w:i/>
        </w:rPr>
        <w:t>Fungal Biology</w:t>
      </w:r>
      <w:r>
        <w:rPr>
          <w:rFonts w:ascii="Cambria" w:hAnsi="Cambria"/>
        </w:rPr>
        <w:t>, 114: 661–668.</w:t>
      </w:r>
    </w:p>
    <w:p w:rsidR="00E94405" w:rsidRDefault="00A11609">
      <w:pPr>
        <w:autoSpaceDE w:val="0"/>
        <w:autoSpaceDN w:val="0"/>
        <w:adjustRightInd w:val="0"/>
        <w:spacing w:before="200"/>
        <w:rPr>
          <w:rFonts w:ascii="Cambria" w:hAnsi="Cambria"/>
        </w:rPr>
      </w:pPr>
      <w:r>
        <w:rPr>
          <w:rFonts w:ascii="Cambria" w:hAnsi="Cambria"/>
        </w:rPr>
        <w:t xml:space="preserve">Wingfield, MJ, Slippers, B &amp; Wingfield, BD 2010, ‘Novel associations between pathogens, insects and tree species threaten world forests’, </w:t>
      </w:r>
      <w:r>
        <w:rPr>
          <w:rFonts w:ascii="Cambria" w:hAnsi="Cambria"/>
          <w:i/>
        </w:rPr>
        <w:t>New Zealand Journal of Forestry Science</w:t>
      </w:r>
      <w:r>
        <w:rPr>
          <w:rFonts w:ascii="Cambria" w:hAnsi="Cambria"/>
        </w:rPr>
        <w:t>, 40: 95–103.</w:t>
      </w:r>
    </w:p>
    <w:p w:rsidR="00E94405" w:rsidRDefault="00A11609">
      <w:pPr>
        <w:autoSpaceDE w:val="0"/>
        <w:autoSpaceDN w:val="0"/>
        <w:adjustRightInd w:val="0"/>
        <w:spacing w:before="200"/>
        <w:rPr>
          <w:rFonts w:ascii="Cambria" w:hAnsi="Cambria"/>
        </w:rPr>
      </w:pPr>
      <w:r>
        <w:rPr>
          <w:rFonts w:ascii="Cambria" w:hAnsi="Cambria"/>
        </w:rPr>
        <w:t xml:space="preserve">Wong, K 2008, ‘Canadian </w:t>
      </w:r>
      <w:r>
        <w:rPr>
          <w:rFonts w:ascii="Cambria" w:hAnsi="Cambria"/>
          <w:i/>
        </w:rPr>
        <w:t>Phytophthora ramorum</w:t>
      </w:r>
      <w:r>
        <w:rPr>
          <w:rFonts w:ascii="Cambria" w:hAnsi="Cambria"/>
        </w:rPr>
        <w:t xml:space="preserve"> 2006 Update’, </w:t>
      </w:r>
      <w:r>
        <w:rPr>
          <w:rFonts w:ascii="Cambria" w:hAnsi="Cambria"/>
          <w:i/>
        </w:rPr>
        <w:t>Proceedings of the Sudden Oak Death Third Science Symposium</w:t>
      </w:r>
      <w:r>
        <w:rPr>
          <w:rFonts w:ascii="Cambria" w:hAnsi="Cambria"/>
        </w:rPr>
        <w:t>, General technical Report PSW-GTR-214, 35–36.</w:t>
      </w:r>
    </w:p>
    <w:p w:rsidR="00E94405" w:rsidRDefault="00A11609">
      <w:pPr>
        <w:pStyle w:val="pagetitletext"/>
        <w:spacing w:before="200" w:after="200" w:afterAutospacing="0"/>
        <w:rPr>
          <w:rFonts w:ascii="Cambria" w:hAnsi="Cambria"/>
          <w:sz w:val="22"/>
          <w:szCs w:val="22"/>
          <w:lang w:val="en-AU"/>
        </w:rPr>
      </w:pPr>
      <w:r>
        <w:rPr>
          <w:rFonts w:ascii="Cambria" w:hAnsi="Cambria"/>
          <w:b w:val="0"/>
          <w:bCs w:val="0"/>
          <w:color w:val="000000"/>
          <w:sz w:val="22"/>
          <w:szCs w:val="22"/>
          <w:lang w:val="en-AU"/>
        </w:rPr>
        <w:t>WTO (World Trade Organisation) 1995, ‘Agreement on Sanitary and Phytosanitary Measures’ http://www.wto.org/english/res_e/booksp_e/analytic_index_e/sps_01_e.htm#pA.</w:t>
      </w:r>
    </w:p>
    <w:p w:rsidR="00E94405" w:rsidRDefault="00A11609">
      <w:pPr>
        <w:spacing w:before="200"/>
        <w:rPr>
          <w:rFonts w:ascii="Cambria" w:hAnsi="Cambria"/>
        </w:rPr>
      </w:pPr>
      <w:r>
        <w:rPr>
          <w:rFonts w:ascii="Cambria" w:hAnsi="Cambria"/>
        </w:rPr>
        <w:t xml:space="preserve">Yakabe, LE, Blomquist, CL, Thomas, SL &amp; MacDonald, JD 2009, ‘Identification and frequency of </w:t>
      </w:r>
      <w:r>
        <w:rPr>
          <w:rFonts w:ascii="Cambria" w:hAnsi="Cambria"/>
          <w:i/>
        </w:rPr>
        <w:t>Phytophthora</w:t>
      </w:r>
      <w:r>
        <w:rPr>
          <w:rFonts w:ascii="Cambria" w:hAnsi="Cambria"/>
        </w:rPr>
        <w:t xml:space="preserve"> species associated with foliar diseases in California ornamental nurseries’, </w:t>
      </w:r>
      <w:r>
        <w:rPr>
          <w:rFonts w:ascii="Cambria" w:hAnsi="Cambria"/>
          <w:i/>
        </w:rPr>
        <w:t>Plant Disease</w:t>
      </w:r>
      <w:r>
        <w:rPr>
          <w:rFonts w:ascii="Cambria" w:hAnsi="Cambria"/>
        </w:rPr>
        <w:t>, 93: 883–890.</w:t>
      </w:r>
    </w:p>
    <w:sectPr w:rsidR="00E94405" w:rsidSect="00E94405">
      <w:headerReference w:type="default" r:id="rId50"/>
      <w:pgSz w:w="11906" w:h="16838"/>
      <w:pgMar w:top="1418" w:right="1418" w:bottom="1418" w:left="1418"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AE7" w:rsidRDefault="00870AE7">
      <w:r>
        <w:separator/>
      </w:r>
    </w:p>
  </w:endnote>
  <w:endnote w:type="continuationSeparator" w:id="0">
    <w:p w:rsidR="00870AE7" w:rsidRDefault="00870AE7">
      <w:r>
        <w:continuationSeparator/>
      </w:r>
    </w:p>
  </w:endnote>
  <w:endnote w:type="continuationNotice" w:id="1">
    <w:p w:rsidR="00870AE7" w:rsidRDefault="00870AE7">
      <w:pPr>
        <w:pStyle w:val="Footer"/>
        <w:jc w:val="lef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hruti">
    <w:panose1 w:val="020B0502040204020203"/>
    <w:charset w:val="01"/>
    <w:family w:val="roman"/>
    <w:notTrueType/>
    <w:pitch w:val="variable"/>
    <w:sig w:usb0="00000000" w:usb1="00000000" w:usb2="00000000" w:usb3="00000000" w:csb0="00000000" w:csb1="00000000"/>
  </w:font>
  <w:font w:name="TimesNewRomanPSMT">
    <w:altName w:val="MS Mincho"/>
    <w:panose1 w:val="00000000000000000000"/>
    <w:charset w:val="00"/>
    <w:family w:val="roman"/>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E94405">
    <w:pPr>
      <w:pStyle w:val="Footer"/>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Footer"/>
      <w:tabs>
        <w:tab w:val="clear" w:pos="4536"/>
        <w:tab w:val="center" w:pos="9072"/>
      </w:tabs>
      <w:jc w:val="left"/>
    </w:pPr>
    <w:r>
      <w:t>Australian Government Department of Agriculture</w:t>
    </w:r>
    <w:r>
      <w:tab/>
    </w:r>
    <w:fldSimple w:instr=" PAGE   \* MERGEFORMAT ">
      <w:r>
        <w:t>xxviii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Footer"/>
      <w:tabs>
        <w:tab w:val="clear" w:pos="4536"/>
        <w:tab w:val="center" w:pos="9072"/>
      </w:tabs>
      <w:jc w:val="left"/>
    </w:pPr>
    <w:r>
      <w:t>Australian Government Department of Agriculture</w:t>
    </w:r>
    <w:r>
      <w:tab/>
    </w:r>
    <w:fldSimple w:instr=" PAGE   \* MERGEFORMAT ">
      <w:r w:rsidR="00667FFD">
        <w:rPr>
          <w:noProof/>
        </w:rPr>
        <w:t>68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Footer"/>
      <w:tabs>
        <w:tab w:val="clear" w:pos="4536"/>
        <w:tab w:val="center" w:pos="9072"/>
      </w:tabs>
      <w:jc w:val="left"/>
    </w:pPr>
    <w:r>
      <w:t>Australian Government Department of Agriculture</w:t>
    </w:r>
    <w:r>
      <w:tab/>
    </w:r>
    <w:fldSimple w:instr=" PAGE   \* MERGEFORMAT ">
      <w:r w:rsidR="00667FFD">
        <w:rPr>
          <w:noProof/>
        </w:rPr>
        <w:t>viii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Footer"/>
      <w:tabs>
        <w:tab w:val="clear" w:pos="4536"/>
        <w:tab w:val="center" w:pos="9072"/>
        <w:tab w:val="left" w:pos="9590"/>
      </w:tabs>
      <w:jc w:val="left"/>
    </w:pPr>
    <w:r>
      <w:t>Australian Government Department of Agriculture</w:t>
    </w:r>
    <w:r>
      <w:tab/>
    </w:r>
    <w:r>
      <w:tab/>
    </w:r>
    <w:r>
      <w:tab/>
    </w:r>
    <w:r>
      <w:tab/>
    </w:r>
    <w:r>
      <w:tab/>
    </w:r>
    <w:r>
      <w:tab/>
    </w:r>
    <w:r>
      <w:tab/>
    </w:r>
    <w:r>
      <w:tab/>
    </w:r>
    <w:fldSimple w:instr=" PAGE   \* MERGEFORMAT ">
      <w:r w:rsidR="00667FFD">
        <w:rPr>
          <w:noProof/>
        </w:rPr>
        <w:t>85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Footer"/>
      <w:tabs>
        <w:tab w:val="clear" w:pos="4536"/>
        <w:tab w:val="center" w:pos="9072"/>
        <w:tab w:val="left" w:pos="9590"/>
      </w:tabs>
      <w:jc w:val="left"/>
    </w:pPr>
    <w:r>
      <w:t>Australian Government Department of Agriculture</w:t>
    </w:r>
    <w:r>
      <w:tab/>
    </w:r>
    <w:fldSimple w:instr=" PAGE   \* MERGEFORMAT ">
      <w:r w:rsidR="00667FFD">
        <w:rPr>
          <w:noProof/>
        </w:rPr>
        <w:t>117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AE7" w:rsidRDefault="00870AE7">
      <w:r>
        <w:separator/>
      </w:r>
    </w:p>
  </w:footnote>
  <w:footnote w:type="continuationSeparator" w:id="0">
    <w:p w:rsidR="00870AE7" w:rsidRDefault="00870AE7">
      <w:r>
        <w:continuationSeparator/>
      </w:r>
    </w:p>
  </w:footnote>
  <w:footnote w:type="continuationNotice" w:id="1">
    <w:p w:rsidR="00870AE7" w:rsidRDefault="00870AE7">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s>
      <w:jc w:val="left"/>
    </w:pPr>
    <w:r>
      <w:rPr>
        <w:noProof/>
      </w:rPr>
      <w:drawing>
        <wp:inline distT="0" distB="0" distL="0" distR="0">
          <wp:extent cx="2765425" cy="629285"/>
          <wp:effectExtent l="19050" t="0" r="0" b="0"/>
          <wp:docPr id="6" name="Picture 2" descr="The Australian Government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ustralian Government Department of Agriculture logo"/>
                  <pic:cNvPicPr>
                    <a:picLocks noChangeAspect="1" noChangeArrowheads="1"/>
                  </pic:cNvPicPr>
                </pic:nvPicPr>
                <pic:blipFill>
                  <a:blip r:embed="rId1"/>
                  <a:srcRect/>
                  <a:stretch>
                    <a:fillRect/>
                  </a:stretch>
                </pic:blipFill>
                <pic:spPr bwMode="auto">
                  <a:xfrm>
                    <a:off x="0" y="0"/>
                    <a:ext cx="2765425" cy="629285"/>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Method of pest risk analysis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The pathogens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Pest risk assessment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Pest risk management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13041"/>
      </w:tabs>
      <w:jc w:val="left"/>
    </w:pPr>
    <w:r>
      <w:t xml:space="preserve">Draft review of policy: </w:t>
    </w:r>
    <w:r>
      <w:rPr>
        <w:i/>
      </w:rPr>
      <w:t xml:space="preserve">Phytophthora ramorum </w:t>
    </w:r>
    <w:r>
      <w:t>host propagative material</w:t>
    </w:r>
    <w:r>
      <w:tab/>
      <w:t>Appendix 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Appendix B</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Appendix C</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Glossary</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References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E94405">
    <w:pPr>
      <w:pStyle w:val="Header"/>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s>
      <w:jc w:val="left"/>
    </w:pPr>
    <w:r>
      <w:t xml:space="preserve">Draft Review of policy: </w:t>
    </w:r>
    <w:r>
      <w:rPr>
        <w:i/>
      </w:rPr>
      <w:t>Phytophthora ramorum</w:t>
    </w:r>
    <w:r>
      <w:t xml:space="preserve"> host propagative material </w:t>
    </w:r>
    <w:r>
      <w:tab/>
      <w:t>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s>
      <w:jc w:val="left"/>
    </w:pPr>
    <w:r>
      <w:t xml:space="preserve">Draft review of policy: </w:t>
    </w:r>
    <w:r>
      <w:rPr>
        <w:i/>
      </w:rPr>
      <w:t xml:space="preserve">Phytophthora </w:t>
    </w:r>
    <w:r>
      <w:t xml:space="preserve">species host propagative material </w:t>
    </w:r>
    <w:r>
      <w:tab/>
      <w:t>Contents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s>
      <w:jc w:val="left"/>
    </w:pPr>
    <w:r>
      <w:t xml:space="preserve">Draft review of policy: </w:t>
    </w:r>
    <w:r>
      <w:rPr>
        <w:i/>
      </w:rPr>
      <w:t xml:space="preserve">Phytophthora ramorum </w:t>
    </w:r>
    <w:r>
      <w:t xml:space="preserve">host propagative material </w:t>
    </w:r>
    <w:r>
      <w:tab/>
      <w:t>Contents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s>
      <w:jc w:val="left"/>
    </w:pPr>
    <w:r>
      <w:t xml:space="preserve">Draft review of policy: </w:t>
    </w:r>
    <w:r>
      <w:rPr>
        <w:i/>
      </w:rPr>
      <w:t xml:space="preserve">Phytophthora ramorum </w:t>
    </w:r>
    <w:r>
      <w:t>host propagative material</w:t>
    </w:r>
    <w:r>
      <w:tab/>
      <w:t>Maps of Australia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s>
      <w:jc w:val="left"/>
    </w:pPr>
    <w:r>
      <w:t xml:space="preserve">Draft review of policy: </w:t>
    </w:r>
    <w:r>
      <w:rPr>
        <w:i/>
      </w:rPr>
      <w:t xml:space="preserve">Phytophthora ramorum </w:t>
    </w:r>
    <w:r>
      <w:t>host propagative material</w:t>
    </w:r>
    <w:r>
      <w:tab/>
      <w:t>Acronyms and abbreviations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 xml:space="preserve">Phytophthora ramorum </w:t>
    </w:r>
    <w:r>
      <w:t>host propagative material</w:t>
    </w:r>
    <w:r>
      <w:tab/>
      <w:t>Summary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05" w:rsidRDefault="00A11609">
    <w:pPr>
      <w:pStyle w:val="Header"/>
      <w:tabs>
        <w:tab w:val="clear" w:pos="4820"/>
        <w:tab w:val="center" w:pos="8505"/>
        <w:tab w:val="center" w:pos="13041"/>
      </w:tabs>
      <w:jc w:val="left"/>
    </w:pPr>
    <w:r>
      <w:t xml:space="preserve">Draft review of policy: </w:t>
    </w:r>
    <w:r>
      <w:rPr>
        <w:i/>
      </w:rPr>
      <w:t>Phytophthora</w:t>
    </w:r>
    <w:r>
      <w:t xml:space="preserve"> </w:t>
    </w:r>
    <w:r>
      <w:rPr>
        <w:i/>
      </w:rPr>
      <w:t xml:space="preserve">ramorum </w:t>
    </w:r>
    <w:r>
      <w:t>host propagative material</w:t>
    </w:r>
    <w:r>
      <w:tab/>
      <w:t>Introduction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0ACCC22"/>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4">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90B13A5"/>
    <w:multiLevelType w:val="hybridMultilevel"/>
    <w:tmpl w:val="2E827DBA"/>
    <w:lvl w:ilvl="0" w:tplc="11F2F2E8">
      <w:start w:val="1"/>
      <w:numFmt w:val="bullet"/>
      <w:pStyle w:val="Style1dotpoints"/>
      <w:lvlText w:val=""/>
      <w:lvlJc w:val="left"/>
      <w:pPr>
        <w:tabs>
          <w:tab w:val="num" w:pos="720"/>
        </w:tabs>
        <w:ind w:left="720" w:hanging="360"/>
      </w:pPr>
      <w:rPr>
        <w:rFonts w:ascii="Symbol" w:hAnsi="Symbol" w:hint="default"/>
      </w:rPr>
    </w:lvl>
    <w:lvl w:ilvl="1" w:tplc="747A065E" w:tentative="1">
      <w:start w:val="1"/>
      <w:numFmt w:val="bullet"/>
      <w:lvlText w:val="o"/>
      <w:lvlJc w:val="left"/>
      <w:pPr>
        <w:tabs>
          <w:tab w:val="num" w:pos="1440"/>
        </w:tabs>
        <w:ind w:left="1440" w:hanging="360"/>
      </w:pPr>
      <w:rPr>
        <w:rFonts w:ascii="Courier New" w:hAnsi="Courier New" w:cs="Wingdings" w:hint="default"/>
      </w:rPr>
    </w:lvl>
    <w:lvl w:ilvl="2" w:tplc="C59208D4" w:tentative="1">
      <w:start w:val="1"/>
      <w:numFmt w:val="bullet"/>
      <w:lvlText w:val=""/>
      <w:lvlJc w:val="left"/>
      <w:pPr>
        <w:tabs>
          <w:tab w:val="num" w:pos="2160"/>
        </w:tabs>
        <w:ind w:left="2160" w:hanging="360"/>
      </w:pPr>
      <w:rPr>
        <w:rFonts w:ascii="Wingdings" w:hAnsi="Wingdings" w:hint="default"/>
      </w:rPr>
    </w:lvl>
    <w:lvl w:ilvl="3" w:tplc="1C0AF53A" w:tentative="1">
      <w:start w:val="1"/>
      <w:numFmt w:val="bullet"/>
      <w:lvlText w:val=""/>
      <w:lvlJc w:val="left"/>
      <w:pPr>
        <w:tabs>
          <w:tab w:val="num" w:pos="2880"/>
        </w:tabs>
        <w:ind w:left="2880" w:hanging="360"/>
      </w:pPr>
      <w:rPr>
        <w:rFonts w:ascii="Symbol" w:hAnsi="Symbol" w:hint="default"/>
      </w:rPr>
    </w:lvl>
    <w:lvl w:ilvl="4" w:tplc="60CC01A8" w:tentative="1">
      <w:start w:val="1"/>
      <w:numFmt w:val="bullet"/>
      <w:lvlText w:val="o"/>
      <w:lvlJc w:val="left"/>
      <w:pPr>
        <w:tabs>
          <w:tab w:val="num" w:pos="3600"/>
        </w:tabs>
        <w:ind w:left="3600" w:hanging="360"/>
      </w:pPr>
      <w:rPr>
        <w:rFonts w:ascii="Courier New" w:hAnsi="Courier New" w:cs="Wingdings" w:hint="default"/>
      </w:rPr>
    </w:lvl>
    <w:lvl w:ilvl="5" w:tplc="0B9228F8" w:tentative="1">
      <w:start w:val="1"/>
      <w:numFmt w:val="bullet"/>
      <w:lvlText w:val=""/>
      <w:lvlJc w:val="left"/>
      <w:pPr>
        <w:tabs>
          <w:tab w:val="num" w:pos="4320"/>
        </w:tabs>
        <w:ind w:left="4320" w:hanging="360"/>
      </w:pPr>
      <w:rPr>
        <w:rFonts w:ascii="Wingdings" w:hAnsi="Wingdings" w:hint="default"/>
      </w:rPr>
    </w:lvl>
    <w:lvl w:ilvl="6" w:tplc="29AC0AB6" w:tentative="1">
      <w:start w:val="1"/>
      <w:numFmt w:val="bullet"/>
      <w:lvlText w:val=""/>
      <w:lvlJc w:val="left"/>
      <w:pPr>
        <w:tabs>
          <w:tab w:val="num" w:pos="5040"/>
        </w:tabs>
        <w:ind w:left="5040" w:hanging="360"/>
      </w:pPr>
      <w:rPr>
        <w:rFonts w:ascii="Symbol" w:hAnsi="Symbol" w:hint="default"/>
      </w:rPr>
    </w:lvl>
    <w:lvl w:ilvl="7" w:tplc="61A2F294" w:tentative="1">
      <w:start w:val="1"/>
      <w:numFmt w:val="bullet"/>
      <w:lvlText w:val="o"/>
      <w:lvlJc w:val="left"/>
      <w:pPr>
        <w:tabs>
          <w:tab w:val="num" w:pos="5760"/>
        </w:tabs>
        <w:ind w:left="5760" w:hanging="360"/>
      </w:pPr>
      <w:rPr>
        <w:rFonts w:ascii="Courier New" w:hAnsi="Courier New" w:cs="Wingdings" w:hint="default"/>
      </w:rPr>
    </w:lvl>
    <w:lvl w:ilvl="8" w:tplc="C172CAB6" w:tentative="1">
      <w:start w:val="1"/>
      <w:numFmt w:val="bullet"/>
      <w:lvlText w:val=""/>
      <w:lvlJc w:val="left"/>
      <w:pPr>
        <w:tabs>
          <w:tab w:val="num" w:pos="6480"/>
        </w:tabs>
        <w:ind w:left="6480" w:hanging="360"/>
      </w:pPr>
      <w:rPr>
        <w:rFonts w:ascii="Wingdings" w:hAnsi="Wingdings" w:hint="default"/>
      </w:rPr>
    </w:lvl>
  </w:abstractNum>
  <w:abstractNum w:abstractNumId="6">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7">
    <w:nsid w:val="0D3E4203"/>
    <w:multiLevelType w:val="hybridMultilevel"/>
    <w:tmpl w:val="B7804F4E"/>
    <w:lvl w:ilvl="0" w:tplc="DCAEAB4A">
      <w:start w:val="1"/>
      <w:numFmt w:val="bullet"/>
      <w:pStyle w:val="Dot"/>
      <w:lvlText w:val=""/>
      <w:lvlJc w:val="left"/>
      <w:pPr>
        <w:tabs>
          <w:tab w:val="num" w:pos="360"/>
        </w:tabs>
        <w:ind w:left="284" w:hanging="284"/>
      </w:pPr>
      <w:rPr>
        <w:rFonts w:ascii="Wingdings" w:hAnsi="Wingdings" w:hint="default"/>
      </w:rPr>
    </w:lvl>
    <w:lvl w:ilvl="1" w:tplc="C6509A0E">
      <w:start w:val="1"/>
      <w:numFmt w:val="bullet"/>
      <w:lvlText w:val=""/>
      <w:lvlJc w:val="left"/>
      <w:pPr>
        <w:tabs>
          <w:tab w:val="num" w:pos="1440"/>
        </w:tabs>
        <w:ind w:left="1440" w:hanging="360"/>
      </w:pPr>
      <w:rPr>
        <w:rFonts w:ascii="Symbol" w:hAnsi="Symbol" w:hint="default"/>
        <w:sz w:val="16"/>
      </w:rPr>
    </w:lvl>
    <w:lvl w:ilvl="2" w:tplc="75C69CD2">
      <w:start w:val="1"/>
      <w:numFmt w:val="bullet"/>
      <w:lvlText w:val=""/>
      <w:lvlJc w:val="left"/>
      <w:pPr>
        <w:tabs>
          <w:tab w:val="num" w:pos="2160"/>
        </w:tabs>
        <w:ind w:left="2160" w:hanging="360"/>
      </w:pPr>
      <w:rPr>
        <w:rFonts w:ascii="Wingdings" w:hAnsi="Wingdings" w:hint="default"/>
      </w:rPr>
    </w:lvl>
    <w:lvl w:ilvl="3" w:tplc="B1B642E6">
      <w:start w:val="1"/>
      <w:numFmt w:val="bullet"/>
      <w:lvlText w:val=""/>
      <w:lvlJc w:val="left"/>
      <w:pPr>
        <w:tabs>
          <w:tab w:val="num" w:pos="2880"/>
        </w:tabs>
        <w:ind w:left="2880" w:hanging="360"/>
      </w:pPr>
      <w:rPr>
        <w:rFonts w:ascii="Symbol" w:hAnsi="Symbol" w:hint="default"/>
      </w:rPr>
    </w:lvl>
    <w:lvl w:ilvl="4" w:tplc="DB8288C6" w:tentative="1">
      <w:start w:val="1"/>
      <w:numFmt w:val="bullet"/>
      <w:lvlText w:val="o"/>
      <w:lvlJc w:val="left"/>
      <w:pPr>
        <w:tabs>
          <w:tab w:val="num" w:pos="3600"/>
        </w:tabs>
        <w:ind w:left="3600" w:hanging="360"/>
      </w:pPr>
      <w:rPr>
        <w:rFonts w:ascii="Courier New" w:hAnsi="Courier New" w:hint="default"/>
      </w:rPr>
    </w:lvl>
    <w:lvl w:ilvl="5" w:tplc="7464AD30" w:tentative="1">
      <w:start w:val="1"/>
      <w:numFmt w:val="bullet"/>
      <w:lvlText w:val=""/>
      <w:lvlJc w:val="left"/>
      <w:pPr>
        <w:tabs>
          <w:tab w:val="num" w:pos="4320"/>
        </w:tabs>
        <w:ind w:left="4320" w:hanging="360"/>
      </w:pPr>
      <w:rPr>
        <w:rFonts w:ascii="Wingdings" w:hAnsi="Wingdings" w:hint="default"/>
      </w:rPr>
    </w:lvl>
    <w:lvl w:ilvl="6" w:tplc="7F0697D2" w:tentative="1">
      <w:start w:val="1"/>
      <w:numFmt w:val="bullet"/>
      <w:lvlText w:val=""/>
      <w:lvlJc w:val="left"/>
      <w:pPr>
        <w:tabs>
          <w:tab w:val="num" w:pos="5040"/>
        </w:tabs>
        <w:ind w:left="5040" w:hanging="360"/>
      </w:pPr>
      <w:rPr>
        <w:rFonts w:ascii="Symbol" w:hAnsi="Symbol" w:hint="default"/>
      </w:rPr>
    </w:lvl>
    <w:lvl w:ilvl="7" w:tplc="F1C243AC" w:tentative="1">
      <w:start w:val="1"/>
      <w:numFmt w:val="bullet"/>
      <w:lvlText w:val="o"/>
      <w:lvlJc w:val="left"/>
      <w:pPr>
        <w:tabs>
          <w:tab w:val="num" w:pos="5760"/>
        </w:tabs>
        <w:ind w:left="5760" w:hanging="360"/>
      </w:pPr>
      <w:rPr>
        <w:rFonts w:ascii="Courier New" w:hAnsi="Courier New" w:hint="default"/>
      </w:rPr>
    </w:lvl>
    <w:lvl w:ilvl="8" w:tplc="7EEA365C" w:tentative="1">
      <w:start w:val="1"/>
      <w:numFmt w:val="bullet"/>
      <w:lvlText w:val=""/>
      <w:lvlJc w:val="left"/>
      <w:pPr>
        <w:tabs>
          <w:tab w:val="num" w:pos="6480"/>
        </w:tabs>
        <w:ind w:left="6480" w:hanging="360"/>
      </w:pPr>
      <w:rPr>
        <w:rFonts w:ascii="Wingdings" w:hAnsi="Wingdings" w:hint="default"/>
      </w:rPr>
    </w:lvl>
  </w:abstractNum>
  <w:abstractNum w:abstractNumId="8">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96B606F"/>
    <w:multiLevelType w:val="hybridMultilevel"/>
    <w:tmpl w:val="E0560262"/>
    <w:lvl w:ilvl="0" w:tplc="CE4483FE">
      <w:start w:val="1"/>
      <w:numFmt w:val="bullet"/>
      <w:pStyle w:val="TableBullet"/>
      <w:lvlText w:val=""/>
      <w:lvlJc w:val="left"/>
      <w:pPr>
        <w:ind w:left="720" w:hanging="360"/>
      </w:pPr>
      <w:rPr>
        <w:rFonts w:ascii="Symbol" w:hAnsi="Symbol" w:hint="default"/>
      </w:rPr>
    </w:lvl>
    <w:lvl w:ilvl="1" w:tplc="4A16C5BE" w:tentative="1">
      <w:start w:val="1"/>
      <w:numFmt w:val="bullet"/>
      <w:lvlText w:val="o"/>
      <w:lvlJc w:val="left"/>
      <w:pPr>
        <w:ind w:left="1440" w:hanging="360"/>
      </w:pPr>
      <w:rPr>
        <w:rFonts w:ascii="Courier New" w:hAnsi="Courier New" w:cs="Courier New" w:hint="default"/>
      </w:rPr>
    </w:lvl>
    <w:lvl w:ilvl="2" w:tplc="C1DE12C8" w:tentative="1">
      <w:start w:val="1"/>
      <w:numFmt w:val="bullet"/>
      <w:lvlText w:val=""/>
      <w:lvlJc w:val="left"/>
      <w:pPr>
        <w:ind w:left="2160" w:hanging="360"/>
      </w:pPr>
      <w:rPr>
        <w:rFonts w:ascii="Wingdings" w:hAnsi="Wingdings" w:hint="default"/>
      </w:rPr>
    </w:lvl>
    <w:lvl w:ilvl="3" w:tplc="DE6A3E74" w:tentative="1">
      <w:start w:val="1"/>
      <w:numFmt w:val="bullet"/>
      <w:lvlText w:val=""/>
      <w:lvlJc w:val="left"/>
      <w:pPr>
        <w:ind w:left="2880" w:hanging="360"/>
      </w:pPr>
      <w:rPr>
        <w:rFonts w:ascii="Symbol" w:hAnsi="Symbol" w:hint="default"/>
      </w:rPr>
    </w:lvl>
    <w:lvl w:ilvl="4" w:tplc="3FF60CEA" w:tentative="1">
      <w:start w:val="1"/>
      <w:numFmt w:val="bullet"/>
      <w:lvlText w:val="o"/>
      <w:lvlJc w:val="left"/>
      <w:pPr>
        <w:ind w:left="3600" w:hanging="360"/>
      </w:pPr>
      <w:rPr>
        <w:rFonts w:ascii="Courier New" w:hAnsi="Courier New" w:cs="Courier New" w:hint="default"/>
      </w:rPr>
    </w:lvl>
    <w:lvl w:ilvl="5" w:tplc="B36019C0" w:tentative="1">
      <w:start w:val="1"/>
      <w:numFmt w:val="bullet"/>
      <w:lvlText w:val=""/>
      <w:lvlJc w:val="left"/>
      <w:pPr>
        <w:ind w:left="4320" w:hanging="360"/>
      </w:pPr>
      <w:rPr>
        <w:rFonts w:ascii="Wingdings" w:hAnsi="Wingdings" w:hint="default"/>
      </w:rPr>
    </w:lvl>
    <w:lvl w:ilvl="6" w:tplc="3EFA4EA2" w:tentative="1">
      <w:start w:val="1"/>
      <w:numFmt w:val="bullet"/>
      <w:lvlText w:val=""/>
      <w:lvlJc w:val="left"/>
      <w:pPr>
        <w:ind w:left="5040" w:hanging="360"/>
      </w:pPr>
      <w:rPr>
        <w:rFonts w:ascii="Symbol" w:hAnsi="Symbol" w:hint="default"/>
      </w:rPr>
    </w:lvl>
    <w:lvl w:ilvl="7" w:tplc="09A8ED50" w:tentative="1">
      <w:start w:val="1"/>
      <w:numFmt w:val="bullet"/>
      <w:lvlText w:val="o"/>
      <w:lvlJc w:val="left"/>
      <w:pPr>
        <w:ind w:left="5760" w:hanging="360"/>
      </w:pPr>
      <w:rPr>
        <w:rFonts w:ascii="Courier New" w:hAnsi="Courier New" w:cs="Courier New" w:hint="default"/>
      </w:rPr>
    </w:lvl>
    <w:lvl w:ilvl="8" w:tplc="B69860C0" w:tentative="1">
      <w:start w:val="1"/>
      <w:numFmt w:val="bullet"/>
      <w:lvlText w:val=""/>
      <w:lvlJc w:val="left"/>
      <w:pPr>
        <w:ind w:left="6480" w:hanging="360"/>
      </w:pPr>
      <w:rPr>
        <w:rFonts w:ascii="Wingdings" w:hAnsi="Wingdings" w:hint="default"/>
      </w:rPr>
    </w:lvl>
  </w:abstractNum>
  <w:abstractNum w:abstractNumId="10">
    <w:nsid w:val="1E7D63AA"/>
    <w:multiLevelType w:val="multilevel"/>
    <w:tmpl w:val="04F0B7D2"/>
    <w:numStyleLink w:val="Bullet"/>
  </w:abstractNum>
  <w:abstractNum w:abstractNumId="11">
    <w:nsid w:val="218E7654"/>
    <w:multiLevelType w:val="hybridMultilevel"/>
    <w:tmpl w:val="A9FC9300"/>
    <w:lvl w:ilvl="0" w:tplc="F9A827B4">
      <w:start w:val="1"/>
      <w:numFmt w:val="bullet"/>
      <w:lvlText w:val=""/>
      <w:lvlJc w:val="left"/>
      <w:pPr>
        <w:tabs>
          <w:tab w:val="num" w:pos="360"/>
        </w:tabs>
        <w:ind w:left="360" w:hanging="360"/>
      </w:pPr>
      <w:rPr>
        <w:rFonts w:ascii="Symbol" w:hAnsi="Symbol" w:hint="default"/>
        <w:sz w:val="16"/>
        <w:szCs w:val="16"/>
      </w:rPr>
    </w:lvl>
    <w:lvl w:ilvl="1" w:tplc="E490FD18">
      <w:start w:val="1"/>
      <w:numFmt w:val="bullet"/>
      <w:lvlText w:val="o"/>
      <w:lvlJc w:val="left"/>
      <w:pPr>
        <w:tabs>
          <w:tab w:val="num" w:pos="1440"/>
        </w:tabs>
        <w:ind w:left="1440" w:hanging="360"/>
      </w:pPr>
      <w:rPr>
        <w:rFonts w:ascii="Courier New" w:hAnsi="Courier New" w:cs="Courier New" w:hint="default"/>
      </w:rPr>
    </w:lvl>
    <w:lvl w:ilvl="2" w:tplc="29AC2208">
      <w:start w:val="1"/>
      <w:numFmt w:val="bullet"/>
      <w:lvlText w:val=""/>
      <w:lvlJc w:val="left"/>
      <w:pPr>
        <w:tabs>
          <w:tab w:val="num" w:pos="2160"/>
        </w:tabs>
        <w:ind w:left="2160" w:hanging="360"/>
      </w:pPr>
      <w:rPr>
        <w:rFonts w:ascii="Wingdings" w:hAnsi="Wingdings" w:cs="Wingdings" w:hint="default"/>
      </w:rPr>
    </w:lvl>
    <w:lvl w:ilvl="3" w:tplc="D4EE2F4E">
      <w:start w:val="1"/>
      <w:numFmt w:val="bullet"/>
      <w:lvlText w:val=""/>
      <w:lvlJc w:val="left"/>
      <w:pPr>
        <w:tabs>
          <w:tab w:val="num" w:pos="2880"/>
        </w:tabs>
        <w:ind w:left="2880" w:hanging="360"/>
      </w:pPr>
      <w:rPr>
        <w:rFonts w:ascii="Symbol" w:hAnsi="Symbol" w:cs="Symbol" w:hint="default"/>
      </w:rPr>
    </w:lvl>
    <w:lvl w:ilvl="4" w:tplc="2940C0EE">
      <w:start w:val="1"/>
      <w:numFmt w:val="bullet"/>
      <w:lvlText w:val="o"/>
      <w:lvlJc w:val="left"/>
      <w:pPr>
        <w:tabs>
          <w:tab w:val="num" w:pos="3600"/>
        </w:tabs>
        <w:ind w:left="3600" w:hanging="360"/>
      </w:pPr>
      <w:rPr>
        <w:rFonts w:ascii="Courier New" w:hAnsi="Courier New" w:cs="Courier New" w:hint="default"/>
      </w:rPr>
    </w:lvl>
    <w:lvl w:ilvl="5" w:tplc="F288D2F2">
      <w:start w:val="1"/>
      <w:numFmt w:val="bullet"/>
      <w:lvlText w:val=""/>
      <w:lvlJc w:val="left"/>
      <w:pPr>
        <w:tabs>
          <w:tab w:val="num" w:pos="4320"/>
        </w:tabs>
        <w:ind w:left="4320" w:hanging="360"/>
      </w:pPr>
      <w:rPr>
        <w:rFonts w:ascii="Wingdings" w:hAnsi="Wingdings" w:cs="Wingdings" w:hint="default"/>
      </w:rPr>
    </w:lvl>
    <w:lvl w:ilvl="6" w:tplc="24E82DB6">
      <w:start w:val="1"/>
      <w:numFmt w:val="bullet"/>
      <w:lvlText w:val=""/>
      <w:lvlJc w:val="left"/>
      <w:pPr>
        <w:tabs>
          <w:tab w:val="num" w:pos="5040"/>
        </w:tabs>
        <w:ind w:left="5040" w:hanging="360"/>
      </w:pPr>
      <w:rPr>
        <w:rFonts w:ascii="Symbol" w:hAnsi="Symbol" w:cs="Symbol" w:hint="default"/>
      </w:rPr>
    </w:lvl>
    <w:lvl w:ilvl="7" w:tplc="F126F10C">
      <w:start w:val="1"/>
      <w:numFmt w:val="bullet"/>
      <w:lvlText w:val="o"/>
      <w:lvlJc w:val="left"/>
      <w:pPr>
        <w:tabs>
          <w:tab w:val="num" w:pos="5760"/>
        </w:tabs>
        <w:ind w:left="5760" w:hanging="360"/>
      </w:pPr>
      <w:rPr>
        <w:rFonts w:ascii="Courier New" w:hAnsi="Courier New" w:cs="Courier New" w:hint="default"/>
      </w:rPr>
    </w:lvl>
    <w:lvl w:ilvl="8" w:tplc="F9DADECE">
      <w:start w:val="1"/>
      <w:numFmt w:val="bullet"/>
      <w:lvlText w:val=""/>
      <w:lvlJc w:val="left"/>
      <w:pPr>
        <w:tabs>
          <w:tab w:val="num" w:pos="6480"/>
        </w:tabs>
        <w:ind w:left="6480" w:hanging="360"/>
      </w:pPr>
      <w:rPr>
        <w:rFonts w:ascii="Wingdings" w:hAnsi="Wingdings" w:cs="Wingdings" w:hint="default"/>
      </w:rPr>
    </w:lvl>
  </w:abstractNum>
  <w:abstractNum w:abstractNumId="12">
    <w:nsid w:val="249802CB"/>
    <w:multiLevelType w:val="hybridMultilevel"/>
    <w:tmpl w:val="55A869CE"/>
    <w:lvl w:ilvl="0" w:tplc="605AF894">
      <w:start w:val="1"/>
      <w:numFmt w:val="decimal"/>
      <w:pStyle w:val="Heading1Numbered"/>
      <w:lvlText w:val="%1"/>
      <w:lvlJc w:val="left"/>
      <w:pPr>
        <w:ind w:left="720" w:hanging="360"/>
      </w:pPr>
      <w:rPr>
        <w:rFonts w:hint="default"/>
        <w:color w:val="auto"/>
      </w:rPr>
    </w:lvl>
    <w:lvl w:ilvl="1" w:tplc="0AF81582" w:tentative="1">
      <w:start w:val="1"/>
      <w:numFmt w:val="lowerLetter"/>
      <w:lvlText w:val="%2."/>
      <w:lvlJc w:val="left"/>
      <w:pPr>
        <w:ind w:left="1440" w:hanging="360"/>
      </w:pPr>
    </w:lvl>
    <w:lvl w:ilvl="2" w:tplc="6EE6F4F2" w:tentative="1">
      <w:start w:val="1"/>
      <w:numFmt w:val="lowerRoman"/>
      <w:lvlText w:val="%3."/>
      <w:lvlJc w:val="right"/>
      <w:pPr>
        <w:ind w:left="2160" w:hanging="180"/>
      </w:pPr>
    </w:lvl>
    <w:lvl w:ilvl="3" w:tplc="79A2C414" w:tentative="1">
      <w:start w:val="1"/>
      <w:numFmt w:val="decimal"/>
      <w:lvlText w:val="%4."/>
      <w:lvlJc w:val="left"/>
      <w:pPr>
        <w:ind w:left="2880" w:hanging="360"/>
      </w:pPr>
    </w:lvl>
    <w:lvl w:ilvl="4" w:tplc="C11E1CE2" w:tentative="1">
      <w:start w:val="1"/>
      <w:numFmt w:val="lowerLetter"/>
      <w:lvlText w:val="%5."/>
      <w:lvlJc w:val="left"/>
      <w:pPr>
        <w:ind w:left="3600" w:hanging="360"/>
      </w:pPr>
    </w:lvl>
    <w:lvl w:ilvl="5" w:tplc="4D8C4876" w:tentative="1">
      <w:start w:val="1"/>
      <w:numFmt w:val="lowerRoman"/>
      <w:lvlText w:val="%6."/>
      <w:lvlJc w:val="right"/>
      <w:pPr>
        <w:ind w:left="4320" w:hanging="180"/>
      </w:pPr>
    </w:lvl>
    <w:lvl w:ilvl="6" w:tplc="241EE080" w:tentative="1">
      <w:start w:val="1"/>
      <w:numFmt w:val="decimal"/>
      <w:lvlText w:val="%7."/>
      <w:lvlJc w:val="left"/>
      <w:pPr>
        <w:ind w:left="5040" w:hanging="360"/>
      </w:pPr>
    </w:lvl>
    <w:lvl w:ilvl="7" w:tplc="17D8FEA0" w:tentative="1">
      <w:start w:val="1"/>
      <w:numFmt w:val="lowerLetter"/>
      <w:lvlText w:val="%8."/>
      <w:lvlJc w:val="left"/>
      <w:pPr>
        <w:ind w:left="5760" w:hanging="360"/>
      </w:pPr>
    </w:lvl>
    <w:lvl w:ilvl="8" w:tplc="F642FD88" w:tentative="1">
      <w:start w:val="1"/>
      <w:numFmt w:val="lowerRoman"/>
      <w:lvlText w:val="%9."/>
      <w:lvlJc w:val="right"/>
      <w:pPr>
        <w:ind w:left="6480" w:hanging="180"/>
      </w:pPr>
    </w:lvl>
  </w:abstractNum>
  <w:abstractNum w:abstractNumId="13">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38AE29D2"/>
    <w:multiLevelType w:val="multilevel"/>
    <w:tmpl w:val="2CDE8968"/>
    <w:lvl w:ilvl="0">
      <w:start w:val="1"/>
      <w:numFmt w:val="upperLetter"/>
      <w:pStyle w:val="AppendixHeading1"/>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9F065E7"/>
    <w:multiLevelType w:val="hybridMultilevel"/>
    <w:tmpl w:val="1DBABC90"/>
    <w:lvl w:ilvl="0" w:tplc="F9A827B4">
      <w:start w:val="1"/>
      <w:numFmt w:val="bullet"/>
      <w:lvlText w:val=""/>
      <w:lvlJc w:val="left"/>
      <w:pPr>
        <w:tabs>
          <w:tab w:val="num" w:pos="360"/>
        </w:tabs>
        <w:ind w:left="360" w:hanging="360"/>
      </w:pPr>
      <w:rPr>
        <w:rFonts w:ascii="Symbol" w:hAnsi="Symbol" w:hint="default"/>
        <w:sz w:val="16"/>
        <w:szCs w:val="16"/>
      </w:rPr>
    </w:lvl>
    <w:lvl w:ilvl="1" w:tplc="72E408A2">
      <w:start w:val="1"/>
      <w:numFmt w:val="bullet"/>
      <w:lvlText w:val=""/>
      <w:lvlJc w:val="left"/>
      <w:pPr>
        <w:tabs>
          <w:tab w:val="num" w:pos="1440"/>
        </w:tabs>
        <w:ind w:left="1440" w:hanging="360"/>
      </w:pPr>
      <w:rPr>
        <w:rFonts w:ascii="Symbol" w:hAnsi="Symbol" w:cs="Symbol" w:hint="default"/>
        <w:color w:val="auto"/>
        <w:sz w:val="16"/>
        <w:szCs w:val="16"/>
      </w:rPr>
    </w:lvl>
    <w:lvl w:ilvl="2" w:tplc="29AC2208">
      <w:start w:val="1"/>
      <w:numFmt w:val="bullet"/>
      <w:lvlText w:val=""/>
      <w:lvlJc w:val="left"/>
      <w:pPr>
        <w:tabs>
          <w:tab w:val="num" w:pos="2160"/>
        </w:tabs>
        <w:ind w:left="2160" w:hanging="360"/>
      </w:pPr>
      <w:rPr>
        <w:rFonts w:ascii="Wingdings" w:hAnsi="Wingdings" w:cs="Wingdings" w:hint="default"/>
      </w:rPr>
    </w:lvl>
    <w:lvl w:ilvl="3" w:tplc="D4EE2F4E">
      <w:start w:val="1"/>
      <w:numFmt w:val="bullet"/>
      <w:lvlText w:val=""/>
      <w:lvlJc w:val="left"/>
      <w:pPr>
        <w:tabs>
          <w:tab w:val="num" w:pos="2880"/>
        </w:tabs>
        <w:ind w:left="2880" w:hanging="360"/>
      </w:pPr>
      <w:rPr>
        <w:rFonts w:ascii="Symbol" w:hAnsi="Symbol" w:cs="Symbol" w:hint="default"/>
      </w:rPr>
    </w:lvl>
    <w:lvl w:ilvl="4" w:tplc="2940C0EE">
      <w:start w:val="1"/>
      <w:numFmt w:val="bullet"/>
      <w:lvlText w:val="o"/>
      <w:lvlJc w:val="left"/>
      <w:pPr>
        <w:tabs>
          <w:tab w:val="num" w:pos="3600"/>
        </w:tabs>
        <w:ind w:left="3600" w:hanging="360"/>
      </w:pPr>
      <w:rPr>
        <w:rFonts w:ascii="Courier New" w:hAnsi="Courier New" w:cs="Courier New" w:hint="default"/>
      </w:rPr>
    </w:lvl>
    <w:lvl w:ilvl="5" w:tplc="F288D2F2">
      <w:start w:val="1"/>
      <w:numFmt w:val="bullet"/>
      <w:lvlText w:val=""/>
      <w:lvlJc w:val="left"/>
      <w:pPr>
        <w:tabs>
          <w:tab w:val="num" w:pos="4320"/>
        </w:tabs>
        <w:ind w:left="4320" w:hanging="360"/>
      </w:pPr>
      <w:rPr>
        <w:rFonts w:ascii="Wingdings" w:hAnsi="Wingdings" w:cs="Wingdings" w:hint="default"/>
      </w:rPr>
    </w:lvl>
    <w:lvl w:ilvl="6" w:tplc="24E82DB6">
      <w:start w:val="1"/>
      <w:numFmt w:val="bullet"/>
      <w:lvlText w:val=""/>
      <w:lvlJc w:val="left"/>
      <w:pPr>
        <w:tabs>
          <w:tab w:val="num" w:pos="5040"/>
        </w:tabs>
        <w:ind w:left="5040" w:hanging="360"/>
      </w:pPr>
      <w:rPr>
        <w:rFonts w:ascii="Symbol" w:hAnsi="Symbol" w:cs="Symbol" w:hint="default"/>
      </w:rPr>
    </w:lvl>
    <w:lvl w:ilvl="7" w:tplc="F126F10C">
      <w:start w:val="1"/>
      <w:numFmt w:val="bullet"/>
      <w:lvlText w:val="o"/>
      <w:lvlJc w:val="left"/>
      <w:pPr>
        <w:tabs>
          <w:tab w:val="num" w:pos="5760"/>
        </w:tabs>
        <w:ind w:left="5760" w:hanging="360"/>
      </w:pPr>
      <w:rPr>
        <w:rFonts w:ascii="Courier New" w:hAnsi="Courier New" w:cs="Courier New" w:hint="default"/>
      </w:rPr>
    </w:lvl>
    <w:lvl w:ilvl="8" w:tplc="F9DADECE">
      <w:start w:val="1"/>
      <w:numFmt w:val="bullet"/>
      <w:lvlText w:val=""/>
      <w:lvlJc w:val="left"/>
      <w:pPr>
        <w:tabs>
          <w:tab w:val="num" w:pos="6480"/>
        </w:tabs>
        <w:ind w:left="6480" w:hanging="360"/>
      </w:pPr>
      <w:rPr>
        <w:rFonts w:ascii="Wingdings" w:hAnsi="Wingdings" w:cs="Wingdings" w:hint="default"/>
      </w:rPr>
    </w:lvl>
  </w:abstractNum>
  <w:abstractNum w:abstractNumId="16">
    <w:nsid w:val="3A551C78"/>
    <w:multiLevelType w:val="hybridMultilevel"/>
    <w:tmpl w:val="A6AA52EC"/>
    <w:lvl w:ilvl="0" w:tplc="E17019EA">
      <w:start w:val="1"/>
      <w:numFmt w:val="decimal"/>
      <w:pStyle w:val="Heading2Numbered"/>
      <w:lvlText w:val="1.%1"/>
      <w:lvlJc w:val="left"/>
      <w:pPr>
        <w:ind w:left="360" w:hanging="360"/>
      </w:pPr>
      <w:rPr>
        <w:rFonts w:hint="default"/>
      </w:rPr>
    </w:lvl>
    <w:lvl w:ilvl="1" w:tplc="9C18E4D8" w:tentative="1">
      <w:start w:val="1"/>
      <w:numFmt w:val="lowerLetter"/>
      <w:pStyle w:val="Heading2Numbered"/>
      <w:lvlText w:val="%2."/>
      <w:lvlJc w:val="left"/>
      <w:pPr>
        <w:ind w:left="1440" w:hanging="360"/>
      </w:pPr>
    </w:lvl>
    <w:lvl w:ilvl="2" w:tplc="F4A85BD4" w:tentative="1">
      <w:start w:val="1"/>
      <w:numFmt w:val="lowerRoman"/>
      <w:lvlText w:val="%3."/>
      <w:lvlJc w:val="right"/>
      <w:pPr>
        <w:ind w:left="2160" w:hanging="180"/>
      </w:pPr>
    </w:lvl>
    <w:lvl w:ilvl="3" w:tplc="61404E74" w:tentative="1">
      <w:start w:val="1"/>
      <w:numFmt w:val="decimal"/>
      <w:lvlText w:val="%4."/>
      <w:lvlJc w:val="left"/>
      <w:pPr>
        <w:ind w:left="2880" w:hanging="360"/>
      </w:pPr>
    </w:lvl>
    <w:lvl w:ilvl="4" w:tplc="525C01DE" w:tentative="1">
      <w:start w:val="1"/>
      <w:numFmt w:val="lowerLetter"/>
      <w:lvlText w:val="%5."/>
      <w:lvlJc w:val="left"/>
      <w:pPr>
        <w:ind w:left="3600" w:hanging="360"/>
      </w:pPr>
    </w:lvl>
    <w:lvl w:ilvl="5" w:tplc="0EA29C8A" w:tentative="1">
      <w:start w:val="1"/>
      <w:numFmt w:val="lowerRoman"/>
      <w:lvlText w:val="%6."/>
      <w:lvlJc w:val="right"/>
      <w:pPr>
        <w:ind w:left="4320" w:hanging="180"/>
      </w:pPr>
    </w:lvl>
    <w:lvl w:ilvl="6" w:tplc="DF404046" w:tentative="1">
      <w:start w:val="1"/>
      <w:numFmt w:val="decimal"/>
      <w:lvlText w:val="%7."/>
      <w:lvlJc w:val="left"/>
      <w:pPr>
        <w:ind w:left="5040" w:hanging="360"/>
      </w:pPr>
    </w:lvl>
    <w:lvl w:ilvl="7" w:tplc="4EE87C6A" w:tentative="1">
      <w:start w:val="1"/>
      <w:numFmt w:val="lowerLetter"/>
      <w:lvlText w:val="%8."/>
      <w:lvlJc w:val="left"/>
      <w:pPr>
        <w:ind w:left="5760" w:hanging="360"/>
      </w:pPr>
    </w:lvl>
    <w:lvl w:ilvl="8" w:tplc="6834EFEE" w:tentative="1">
      <w:start w:val="1"/>
      <w:numFmt w:val="lowerRoman"/>
      <w:lvlText w:val="%9."/>
      <w:lvlJc w:val="right"/>
      <w:pPr>
        <w:ind w:left="6480" w:hanging="180"/>
      </w:pPr>
    </w:lvl>
  </w:abstractNum>
  <w:abstractNum w:abstractNumId="17">
    <w:nsid w:val="3D2A3E94"/>
    <w:multiLevelType w:val="multilevel"/>
    <w:tmpl w:val="4344E3E6"/>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8">
    <w:nsid w:val="3FDD470D"/>
    <w:multiLevelType w:val="singleLevel"/>
    <w:tmpl w:val="B664CF16"/>
    <w:lvl w:ilvl="0">
      <w:start w:val="1"/>
      <w:numFmt w:val="decimal"/>
      <w:pStyle w:val="ListNumber"/>
      <w:lvlText w:val="%1)"/>
      <w:lvlJc w:val="left"/>
      <w:pPr>
        <w:ind w:left="360" w:hanging="360"/>
      </w:pPr>
      <w:rPr>
        <w:color w:val="auto"/>
      </w:rPr>
    </w:lvl>
  </w:abstractNum>
  <w:abstractNum w:abstractNumId="19">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20">
    <w:nsid w:val="427A7CD6"/>
    <w:multiLevelType w:val="hybridMultilevel"/>
    <w:tmpl w:val="E9C27EBC"/>
    <w:lvl w:ilvl="0" w:tplc="7C36B4A2">
      <w:start w:val="1"/>
      <w:numFmt w:val="bullet"/>
      <w:pStyle w:val="style1dotpoints0"/>
      <w:lvlText w:val=""/>
      <w:lvlJc w:val="left"/>
      <w:pPr>
        <w:tabs>
          <w:tab w:val="num" w:pos="357"/>
        </w:tabs>
        <w:ind w:left="357" w:hanging="357"/>
      </w:pPr>
      <w:rPr>
        <w:rFonts w:ascii="Symbol" w:hAnsi="Symbol" w:hint="default"/>
      </w:rPr>
    </w:lvl>
    <w:lvl w:ilvl="1" w:tplc="1C1CC42E" w:tentative="1">
      <w:start w:val="1"/>
      <w:numFmt w:val="bullet"/>
      <w:lvlText w:val="o"/>
      <w:lvlJc w:val="left"/>
      <w:pPr>
        <w:tabs>
          <w:tab w:val="num" w:pos="1440"/>
        </w:tabs>
        <w:ind w:left="1440" w:hanging="360"/>
      </w:pPr>
      <w:rPr>
        <w:rFonts w:ascii="Courier New" w:hAnsi="Courier New" w:cs="Courier New" w:hint="default"/>
      </w:rPr>
    </w:lvl>
    <w:lvl w:ilvl="2" w:tplc="CF325450" w:tentative="1">
      <w:start w:val="1"/>
      <w:numFmt w:val="bullet"/>
      <w:lvlText w:val=""/>
      <w:lvlJc w:val="left"/>
      <w:pPr>
        <w:tabs>
          <w:tab w:val="num" w:pos="2160"/>
        </w:tabs>
        <w:ind w:left="2160" w:hanging="360"/>
      </w:pPr>
      <w:rPr>
        <w:rFonts w:ascii="Wingdings" w:hAnsi="Wingdings" w:hint="default"/>
      </w:rPr>
    </w:lvl>
    <w:lvl w:ilvl="3" w:tplc="042A2A24" w:tentative="1">
      <w:start w:val="1"/>
      <w:numFmt w:val="bullet"/>
      <w:lvlText w:val=""/>
      <w:lvlJc w:val="left"/>
      <w:pPr>
        <w:tabs>
          <w:tab w:val="num" w:pos="2880"/>
        </w:tabs>
        <w:ind w:left="2880" w:hanging="360"/>
      </w:pPr>
      <w:rPr>
        <w:rFonts w:ascii="Symbol" w:hAnsi="Symbol" w:hint="default"/>
      </w:rPr>
    </w:lvl>
    <w:lvl w:ilvl="4" w:tplc="2182C19C" w:tentative="1">
      <w:start w:val="1"/>
      <w:numFmt w:val="bullet"/>
      <w:lvlText w:val="o"/>
      <w:lvlJc w:val="left"/>
      <w:pPr>
        <w:tabs>
          <w:tab w:val="num" w:pos="3600"/>
        </w:tabs>
        <w:ind w:left="3600" w:hanging="360"/>
      </w:pPr>
      <w:rPr>
        <w:rFonts w:ascii="Courier New" w:hAnsi="Courier New" w:cs="Courier New" w:hint="default"/>
      </w:rPr>
    </w:lvl>
    <w:lvl w:ilvl="5" w:tplc="1A7C83CA" w:tentative="1">
      <w:start w:val="1"/>
      <w:numFmt w:val="bullet"/>
      <w:lvlText w:val=""/>
      <w:lvlJc w:val="left"/>
      <w:pPr>
        <w:tabs>
          <w:tab w:val="num" w:pos="4320"/>
        </w:tabs>
        <w:ind w:left="4320" w:hanging="360"/>
      </w:pPr>
      <w:rPr>
        <w:rFonts w:ascii="Wingdings" w:hAnsi="Wingdings" w:hint="default"/>
      </w:rPr>
    </w:lvl>
    <w:lvl w:ilvl="6" w:tplc="54B63D76" w:tentative="1">
      <w:start w:val="1"/>
      <w:numFmt w:val="bullet"/>
      <w:lvlText w:val=""/>
      <w:lvlJc w:val="left"/>
      <w:pPr>
        <w:tabs>
          <w:tab w:val="num" w:pos="5040"/>
        </w:tabs>
        <w:ind w:left="5040" w:hanging="360"/>
      </w:pPr>
      <w:rPr>
        <w:rFonts w:ascii="Symbol" w:hAnsi="Symbol" w:hint="default"/>
      </w:rPr>
    </w:lvl>
    <w:lvl w:ilvl="7" w:tplc="6BC624CA" w:tentative="1">
      <w:start w:val="1"/>
      <w:numFmt w:val="bullet"/>
      <w:lvlText w:val="o"/>
      <w:lvlJc w:val="left"/>
      <w:pPr>
        <w:tabs>
          <w:tab w:val="num" w:pos="5760"/>
        </w:tabs>
        <w:ind w:left="5760" w:hanging="360"/>
      </w:pPr>
      <w:rPr>
        <w:rFonts w:ascii="Courier New" w:hAnsi="Courier New" w:cs="Courier New" w:hint="default"/>
      </w:rPr>
    </w:lvl>
    <w:lvl w:ilvl="8" w:tplc="A9CA4CCC" w:tentative="1">
      <w:start w:val="1"/>
      <w:numFmt w:val="bullet"/>
      <w:lvlText w:val=""/>
      <w:lvlJc w:val="left"/>
      <w:pPr>
        <w:tabs>
          <w:tab w:val="num" w:pos="6480"/>
        </w:tabs>
        <w:ind w:left="6480" w:hanging="360"/>
      </w:pPr>
      <w:rPr>
        <w:rFonts w:ascii="Wingdings" w:hAnsi="Wingdings" w:hint="default"/>
      </w:rPr>
    </w:lvl>
  </w:abstractNum>
  <w:abstractNum w:abstractNumId="21">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2">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23">
    <w:nsid w:val="48DE2E4A"/>
    <w:multiLevelType w:val="hybridMultilevel"/>
    <w:tmpl w:val="B7086130"/>
    <w:lvl w:ilvl="0" w:tplc="24AE72F6">
      <w:start w:val="1"/>
      <w:numFmt w:val="bullet"/>
      <w:pStyle w:val="BoxTextBullet"/>
      <w:lvlText w:val=""/>
      <w:lvlJc w:val="left"/>
      <w:pPr>
        <w:ind w:left="720" w:hanging="360"/>
      </w:pPr>
      <w:rPr>
        <w:rFonts w:ascii="Symbol" w:hAnsi="Symbol" w:hint="default"/>
      </w:rPr>
    </w:lvl>
    <w:lvl w:ilvl="1" w:tplc="B9C8BBD2" w:tentative="1">
      <w:start w:val="1"/>
      <w:numFmt w:val="bullet"/>
      <w:lvlText w:val="o"/>
      <w:lvlJc w:val="left"/>
      <w:pPr>
        <w:ind w:left="1440" w:hanging="360"/>
      </w:pPr>
      <w:rPr>
        <w:rFonts w:ascii="Courier New" w:hAnsi="Courier New" w:cs="Courier New" w:hint="default"/>
      </w:rPr>
    </w:lvl>
    <w:lvl w:ilvl="2" w:tplc="1FA68A60" w:tentative="1">
      <w:start w:val="1"/>
      <w:numFmt w:val="bullet"/>
      <w:lvlText w:val=""/>
      <w:lvlJc w:val="left"/>
      <w:pPr>
        <w:ind w:left="2160" w:hanging="360"/>
      </w:pPr>
      <w:rPr>
        <w:rFonts w:ascii="Wingdings" w:hAnsi="Wingdings" w:hint="default"/>
      </w:rPr>
    </w:lvl>
    <w:lvl w:ilvl="3" w:tplc="2D626EB0" w:tentative="1">
      <w:start w:val="1"/>
      <w:numFmt w:val="bullet"/>
      <w:lvlText w:val=""/>
      <w:lvlJc w:val="left"/>
      <w:pPr>
        <w:ind w:left="2880" w:hanging="360"/>
      </w:pPr>
      <w:rPr>
        <w:rFonts w:ascii="Symbol" w:hAnsi="Symbol" w:hint="default"/>
      </w:rPr>
    </w:lvl>
    <w:lvl w:ilvl="4" w:tplc="F060228A" w:tentative="1">
      <w:start w:val="1"/>
      <w:numFmt w:val="bullet"/>
      <w:lvlText w:val="o"/>
      <w:lvlJc w:val="left"/>
      <w:pPr>
        <w:ind w:left="3600" w:hanging="360"/>
      </w:pPr>
      <w:rPr>
        <w:rFonts w:ascii="Courier New" w:hAnsi="Courier New" w:cs="Courier New" w:hint="default"/>
      </w:rPr>
    </w:lvl>
    <w:lvl w:ilvl="5" w:tplc="6F581E98" w:tentative="1">
      <w:start w:val="1"/>
      <w:numFmt w:val="bullet"/>
      <w:lvlText w:val=""/>
      <w:lvlJc w:val="left"/>
      <w:pPr>
        <w:ind w:left="4320" w:hanging="360"/>
      </w:pPr>
      <w:rPr>
        <w:rFonts w:ascii="Wingdings" w:hAnsi="Wingdings" w:hint="default"/>
      </w:rPr>
    </w:lvl>
    <w:lvl w:ilvl="6" w:tplc="F462D9DA" w:tentative="1">
      <w:start w:val="1"/>
      <w:numFmt w:val="bullet"/>
      <w:lvlText w:val=""/>
      <w:lvlJc w:val="left"/>
      <w:pPr>
        <w:ind w:left="5040" w:hanging="360"/>
      </w:pPr>
      <w:rPr>
        <w:rFonts w:ascii="Symbol" w:hAnsi="Symbol" w:hint="default"/>
      </w:rPr>
    </w:lvl>
    <w:lvl w:ilvl="7" w:tplc="284C699E" w:tentative="1">
      <w:start w:val="1"/>
      <w:numFmt w:val="bullet"/>
      <w:lvlText w:val="o"/>
      <w:lvlJc w:val="left"/>
      <w:pPr>
        <w:ind w:left="5760" w:hanging="360"/>
      </w:pPr>
      <w:rPr>
        <w:rFonts w:ascii="Courier New" w:hAnsi="Courier New" w:cs="Courier New" w:hint="default"/>
      </w:rPr>
    </w:lvl>
    <w:lvl w:ilvl="8" w:tplc="6A12AC62" w:tentative="1">
      <w:start w:val="1"/>
      <w:numFmt w:val="bullet"/>
      <w:lvlText w:val=""/>
      <w:lvlJc w:val="left"/>
      <w:pPr>
        <w:ind w:left="6480" w:hanging="360"/>
      </w:pPr>
      <w:rPr>
        <w:rFonts w:ascii="Wingdings" w:hAnsi="Wingdings" w:hint="default"/>
      </w:rPr>
    </w:lvl>
  </w:abstractNum>
  <w:abstractNum w:abstractNumId="24">
    <w:nsid w:val="50CA1481"/>
    <w:multiLevelType w:val="multilevel"/>
    <w:tmpl w:val="D7B850B4"/>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DE9790E"/>
    <w:multiLevelType w:val="hybridMultilevel"/>
    <w:tmpl w:val="A63A8898"/>
    <w:lvl w:ilvl="0" w:tplc="F9A827B4">
      <w:start w:val="1"/>
      <w:numFmt w:val="bullet"/>
      <w:pStyle w:val="dot0"/>
      <w:lvlText w:val=""/>
      <w:lvlJc w:val="left"/>
      <w:pPr>
        <w:tabs>
          <w:tab w:val="num" w:pos="567"/>
        </w:tabs>
        <w:ind w:left="567" w:hanging="567"/>
      </w:pPr>
      <w:rPr>
        <w:rFonts w:ascii="Symbol" w:hAnsi="Symbol" w:hint="default"/>
        <w:sz w:val="16"/>
      </w:rPr>
    </w:lvl>
    <w:lvl w:ilvl="1" w:tplc="0C090003">
      <w:start w:val="1"/>
      <w:numFmt w:val="bullet"/>
      <w:lvlText w:val=""/>
      <w:lvlJc w:val="left"/>
      <w:pPr>
        <w:tabs>
          <w:tab w:val="num" w:pos="900"/>
        </w:tabs>
        <w:ind w:left="900" w:hanging="360"/>
      </w:pPr>
      <w:rPr>
        <w:rFonts w:ascii="Symbol" w:hAnsi="Symbol"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28">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30">
    <w:nsid w:val="73D80683"/>
    <w:multiLevelType w:val="hybridMultilevel"/>
    <w:tmpl w:val="D50CB452"/>
    <w:lvl w:ilvl="0" w:tplc="D2FA395C">
      <w:start w:val="1"/>
      <w:numFmt w:val="bullet"/>
      <w:lvlText w:val=""/>
      <w:lvlJc w:val="left"/>
      <w:pPr>
        <w:tabs>
          <w:tab w:val="num" w:pos="360"/>
        </w:tabs>
        <w:ind w:left="360" w:hanging="360"/>
      </w:pPr>
      <w:rPr>
        <w:rFonts w:ascii="Symbol" w:hAnsi="Symbol" w:hint="default"/>
        <w:sz w:val="16"/>
      </w:rPr>
    </w:lvl>
    <w:lvl w:ilvl="1" w:tplc="DB4212BC">
      <w:start w:val="1"/>
      <w:numFmt w:val="bullet"/>
      <w:lvlText w:val=""/>
      <w:lvlJc w:val="left"/>
      <w:pPr>
        <w:tabs>
          <w:tab w:val="num" w:pos="644"/>
        </w:tabs>
        <w:ind w:left="644" w:hanging="360"/>
      </w:pPr>
      <w:rPr>
        <w:rFonts w:ascii="Symbol" w:hAnsi="Symbol" w:hint="default"/>
        <w:sz w:val="16"/>
      </w:rPr>
    </w:lvl>
    <w:lvl w:ilvl="2" w:tplc="2F9E4278">
      <w:start w:val="1"/>
      <w:numFmt w:val="bullet"/>
      <w:lvlText w:val=""/>
      <w:lvlJc w:val="left"/>
      <w:pPr>
        <w:tabs>
          <w:tab w:val="num" w:pos="2160"/>
        </w:tabs>
        <w:ind w:left="2160" w:hanging="360"/>
      </w:pPr>
      <w:rPr>
        <w:rFonts w:ascii="Wingdings" w:hAnsi="Wingdings" w:hint="default"/>
      </w:rPr>
    </w:lvl>
    <w:lvl w:ilvl="3" w:tplc="86FE5C5E" w:tentative="1">
      <w:start w:val="1"/>
      <w:numFmt w:val="bullet"/>
      <w:lvlText w:val=""/>
      <w:lvlJc w:val="left"/>
      <w:pPr>
        <w:tabs>
          <w:tab w:val="num" w:pos="2880"/>
        </w:tabs>
        <w:ind w:left="2880" w:hanging="360"/>
      </w:pPr>
      <w:rPr>
        <w:rFonts w:ascii="Symbol" w:hAnsi="Symbol" w:hint="default"/>
      </w:rPr>
    </w:lvl>
    <w:lvl w:ilvl="4" w:tplc="F5044EEA" w:tentative="1">
      <w:start w:val="1"/>
      <w:numFmt w:val="bullet"/>
      <w:lvlText w:val="o"/>
      <w:lvlJc w:val="left"/>
      <w:pPr>
        <w:tabs>
          <w:tab w:val="num" w:pos="3600"/>
        </w:tabs>
        <w:ind w:left="3600" w:hanging="360"/>
      </w:pPr>
      <w:rPr>
        <w:rFonts w:ascii="Courier New" w:hAnsi="Courier New" w:cs="Courier New" w:hint="default"/>
      </w:rPr>
    </w:lvl>
    <w:lvl w:ilvl="5" w:tplc="FB5ED11A" w:tentative="1">
      <w:start w:val="1"/>
      <w:numFmt w:val="bullet"/>
      <w:lvlText w:val=""/>
      <w:lvlJc w:val="left"/>
      <w:pPr>
        <w:tabs>
          <w:tab w:val="num" w:pos="4320"/>
        </w:tabs>
        <w:ind w:left="4320" w:hanging="360"/>
      </w:pPr>
      <w:rPr>
        <w:rFonts w:ascii="Wingdings" w:hAnsi="Wingdings" w:hint="default"/>
      </w:rPr>
    </w:lvl>
    <w:lvl w:ilvl="6" w:tplc="7F4E37CC" w:tentative="1">
      <w:start w:val="1"/>
      <w:numFmt w:val="bullet"/>
      <w:lvlText w:val=""/>
      <w:lvlJc w:val="left"/>
      <w:pPr>
        <w:tabs>
          <w:tab w:val="num" w:pos="5040"/>
        </w:tabs>
        <w:ind w:left="5040" w:hanging="360"/>
      </w:pPr>
      <w:rPr>
        <w:rFonts w:ascii="Symbol" w:hAnsi="Symbol" w:hint="default"/>
      </w:rPr>
    </w:lvl>
    <w:lvl w:ilvl="7" w:tplc="206E7EE8" w:tentative="1">
      <w:start w:val="1"/>
      <w:numFmt w:val="bullet"/>
      <w:lvlText w:val="o"/>
      <w:lvlJc w:val="left"/>
      <w:pPr>
        <w:tabs>
          <w:tab w:val="num" w:pos="5760"/>
        </w:tabs>
        <w:ind w:left="5760" w:hanging="360"/>
      </w:pPr>
      <w:rPr>
        <w:rFonts w:ascii="Courier New" w:hAnsi="Courier New" w:cs="Courier New" w:hint="default"/>
      </w:rPr>
    </w:lvl>
    <w:lvl w:ilvl="8" w:tplc="226AC4A6" w:tentative="1">
      <w:start w:val="1"/>
      <w:numFmt w:val="bullet"/>
      <w:lvlText w:val=""/>
      <w:lvlJc w:val="left"/>
      <w:pPr>
        <w:tabs>
          <w:tab w:val="num" w:pos="6480"/>
        </w:tabs>
        <w:ind w:left="6480" w:hanging="360"/>
      </w:pPr>
      <w:rPr>
        <w:rFonts w:ascii="Wingdings" w:hAnsi="Wingdings" w:hint="default"/>
      </w:rPr>
    </w:lvl>
  </w:abstractNum>
  <w:abstractNum w:abstractNumId="31">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32">
    <w:nsid w:val="755049DD"/>
    <w:multiLevelType w:val="hybridMultilevel"/>
    <w:tmpl w:val="C4C8BB3C"/>
    <w:lvl w:ilvl="0" w:tplc="35EE77D2">
      <w:start w:val="1"/>
      <w:numFmt w:val="decimal"/>
      <w:pStyle w:val="Heading3Numbered"/>
      <w:lvlText w:val="1.%1.1"/>
      <w:lvlJc w:val="left"/>
      <w:pPr>
        <w:ind w:left="360" w:hanging="360"/>
      </w:pPr>
      <w:rPr>
        <w:rFonts w:hint="default"/>
      </w:rPr>
    </w:lvl>
    <w:lvl w:ilvl="1" w:tplc="25C2CFDC" w:tentative="1">
      <w:start w:val="1"/>
      <w:numFmt w:val="lowerLetter"/>
      <w:lvlText w:val="%2."/>
      <w:lvlJc w:val="left"/>
      <w:pPr>
        <w:ind w:left="1440" w:hanging="360"/>
      </w:pPr>
    </w:lvl>
    <w:lvl w:ilvl="2" w:tplc="E506C862" w:tentative="1">
      <w:start w:val="1"/>
      <w:numFmt w:val="lowerRoman"/>
      <w:pStyle w:val="Heading3Numbered"/>
      <w:lvlText w:val="%3."/>
      <w:lvlJc w:val="right"/>
      <w:pPr>
        <w:ind w:left="2160" w:hanging="180"/>
      </w:pPr>
    </w:lvl>
    <w:lvl w:ilvl="3" w:tplc="04BE5710" w:tentative="1">
      <w:start w:val="1"/>
      <w:numFmt w:val="decimal"/>
      <w:lvlText w:val="%4."/>
      <w:lvlJc w:val="left"/>
      <w:pPr>
        <w:ind w:left="2880" w:hanging="360"/>
      </w:pPr>
    </w:lvl>
    <w:lvl w:ilvl="4" w:tplc="9342F3A8" w:tentative="1">
      <w:start w:val="1"/>
      <w:numFmt w:val="lowerLetter"/>
      <w:lvlText w:val="%5."/>
      <w:lvlJc w:val="left"/>
      <w:pPr>
        <w:ind w:left="3600" w:hanging="360"/>
      </w:pPr>
    </w:lvl>
    <w:lvl w:ilvl="5" w:tplc="128266DE" w:tentative="1">
      <w:start w:val="1"/>
      <w:numFmt w:val="lowerRoman"/>
      <w:lvlText w:val="%6."/>
      <w:lvlJc w:val="right"/>
      <w:pPr>
        <w:ind w:left="4320" w:hanging="180"/>
      </w:pPr>
    </w:lvl>
    <w:lvl w:ilvl="6" w:tplc="BF4AF61A" w:tentative="1">
      <w:start w:val="1"/>
      <w:numFmt w:val="decimal"/>
      <w:lvlText w:val="%7."/>
      <w:lvlJc w:val="left"/>
      <w:pPr>
        <w:ind w:left="5040" w:hanging="360"/>
      </w:pPr>
    </w:lvl>
    <w:lvl w:ilvl="7" w:tplc="C546AC32" w:tentative="1">
      <w:start w:val="1"/>
      <w:numFmt w:val="lowerLetter"/>
      <w:lvlText w:val="%8."/>
      <w:lvlJc w:val="left"/>
      <w:pPr>
        <w:ind w:left="5760" w:hanging="360"/>
      </w:pPr>
    </w:lvl>
    <w:lvl w:ilvl="8" w:tplc="835C0A7E" w:tentative="1">
      <w:start w:val="1"/>
      <w:numFmt w:val="lowerRoman"/>
      <w:lvlText w:val="%9."/>
      <w:lvlJc w:val="right"/>
      <w:pPr>
        <w:ind w:left="6480" w:hanging="180"/>
      </w:pPr>
    </w:lvl>
  </w:abstractNum>
  <w:abstractNum w:abstractNumId="33">
    <w:nsid w:val="7B802132"/>
    <w:multiLevelType w:val="hybridMultilevel"/>
    <w:tmpl w:val="0D1656FE"/>
    <w:lvl w:ilvl="0" w:tplc="C9B4A858">
      <w:start w:val="1"/>
      <w:numFmt w:val="decimal"/>
      <w:pStyle w:val="DSUSubparaChar"/>
      <w:lvlText w:val="%1."/>
      <w:lvlJc w:val="left"/>
      <w:pPr>
        <w:tabs>
          <w:tab w:val="num" w:pos="936"/>
        </w:tabs>
        <w:ind w:left="0" w:firstLine="0"/>
      </w:pPr>
      <w:rPr>
        <w:rFonts w:hint="default"/>
      </w:rPr>
    </w:lvl>
    <w:lvl w:ilvl="1" w:tplc="B93A7D08">
      <w:start w:val="1"/>
      <w:numFmt w:val="bullet"/>
      <w:lvlText w:val="o"/>
      <w:lvlJc w:val="left"/>
      <w:pPr>
        <w:tabs>
          <w:tab w:val="num" w:pos="1440"/>
        </w:tabs>
        <w:ind w:left="1440" w:hanging="360"/>
      </w:pPr>
      <w:rPr>
        <w:rFonts w:ascii="Courier New" w:hAnsi="Courier New" w:cs="Courier New" w:hint="default"/>
      </w:rPr>
    </w:lvl>
    <w:lvl w:ilvl="2" w:tplc="00BA3FA0" w:tentative="1">
      <w:start w:val="1"/>
      <w:numFmt w:val="lowerRoman"/>
      <w:lvlText w:val="%3."/>
      <w:lvlJc w:val="right"/>
      <w:pPr>
        <w:tabs>
          <w:tab w:val="num" w:pos="2160"/>
        </w:tabs>
        <w:ind w:left="2160" w:hanging="180"/>
      </w:pPr>
    </w:lvl>
    <w:lvl w:ilvl="3" w:tplc="7098D6F2" w:tentative="1">
      <w:start w:val="1"/>
      <w:numFmt w:val="decimal"/>
      <w:lvlText w:val="%4."/>
      <w:lvlJc w:val="left"/>
      <w:pPr>
        <w:tabs>
          <w:tab w:val="num" w:pos="2880"/>
        </w:tabs>
        <w:ind w:left="2880" w:hanging="360"/>
      </w:pPr>
    </w:lvl>
    <w:lvl w:ilvl="4" w:tplc="8D5ECF42" w:tentative="1">
      <w:start w:val="1"/>
      <w:numFmt w:val="lowerLetter"/>
      <w:lvlText w:val="%5."/>
      <w:lvlJc w:val="left"/>
      <w:pPr>
        <w:tabs>
          <w:tab w:val="num" w:pos="3600"/>
        </w:tabs>
        <w:ind w:left="3600" w:hanging="360"/>
      </w:pPr>
    </w:lvl>
    <w:lvl w:ilvl="5" w:tplc="95EA97BA" w:tentative="1">
      <w:start w:val="1"/>
      <w:numFmt w:val="lowerRoman"/>
      <w:lvlText w:val="%6."/>
      <w:lvlJc w:val="right"/>
      <w:pPr>
        <w:tabs>
          <w:tab w:val="num" w:pos="4320"/>
        </w:tabs>
        <w:ind w:left="4320" w:hanging="180"/>
      </w:pPr>
    </w:lvl>
    <w:lvl w:ilvl="6" w:tplc="2752B99E" w:tentative="1">
      <w:start w:val="1"/>
      <w:numFmt w:val="decimal"/>
      <w:lvlText w:val="%7."/>
      <w:lvlJc w:val="left"/>
      <w:pPr>
        <w:tabs>
          <w:tab w:val="num" w:pos="5040"/>
        </w:tabs>
        <w:ind w:left="5040" w:hanging="360"/>
      </w:pPr>
    </w:lvl>
    <w:lvl w:ilvl="7" w:tplc="7DB4FEE6" w:tentative="1">
      <w:start w:val="1"/>
      <w:numFmt w:val="lowerLetter"/>
      <w:lvlText w:val="%8."/>
      <w:lvlJc w:val="left"/>
      <w:pPr>
        <w:tabs>
          <w:tab w:val="num" w:pos="5760"/>
        </w:tabs>
        <w:ind w:left="5760" w:hanging="360"/>
      </w:pPr>
    </w:lvl>
    <w:lvl w:ilvl="8" w:tplc="84B483A2"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12"/>
  </w:num>
  <w:num w:numId="4">
    <w:abstractNumId w:val="18"/>
  </w:num>
  <w:num w:numId="5">
    <w:abstractNumId w:val="29"/>
  </w:num>
  <w:num w:numId="6">
    <w:abstractNumId w:val="0"/>
    <w:lvlOverride w:ilvl="0">
      <w:startOverride w:val="1"/>
    </w:lvlOverride>
  </w:num>
  <w:num w:numId="7">
    <w:abstractNumId w:val="23"/>
  </w:num>
  <w:num w:numId="8">
    <w:abstractNumId w:val="9"/>
  </w:num>
  <w:num w:numId="9">
    <w:abstractNumId w:val="16"/>
  </w:num>
  <w:num w:numId="10">
    <w:abstractNumId w:val="32"/>
  </w:num>
  <w:num w:numId="11">
    <w:abstractNumId w:val="28"/>
  </w:num>
  <w:num w:numId="12">
    <w:abstractNumId w:val="31"/>
  </w:num>
  <w:num w:numId="13">
    <w:abstractNumId w:val="33"/>
  </w:num>
  <w:num w:numId="14">
    <w:abstractNumId w:val="3"/>
  </w:num>
  <w:num w:numId="15">
    <w:abstractNumId w:val="6"/>
  </w:num>
  <w:num w:numId="16">
    <w:abstractNumId w:val="27"/>
  </w:num>
  <w:num w:numId="17">
    <w:abstractNumId w:val="14"/>
  </w:num>
  <w:num w:numId="18">
    <w:abstractNumId w:val="8"/>
  </w:num>
  <w:num w:numId="19">
    <w:abstractNumId w:val="10"/>
  </w:num>
  <w:num w:numId="20">
    <w:abstractNumId w:val="22"/>
  </w:num>
  <w:num w:numId="21">
    <w:abstractNumId w:val="24"/>
  </w:num>
  <w:num w:numId="22">
    <w:abstractNumId w:val="5"/>
  </w:num>
  <w:num w:numId="23">
    <w:abstractNumId w:val="19"/>
  </w:num>
  <w:num w:numId="24">
    <w:abstractNumId w:val="21"/>
  </w:num>
  <w:num w:numId="25">
    <w:abstractNumId w:val="25"/>
  </w:num>
  <w:num w:numId="26">
    <w:abstractNumId w:val="20"/>
  </w:num>
  <w:num w:numId="27">
    <w:abstractNumId w:val="13"/>
  </w:num>
  <w:num w:numId="28">
    <w:abstractNumId w:val="4"/>
  </w:num>
  <w:num w:numId="29">
    <w:abstractNumId w:val="26"/>
  </w:num>
  <w:num w:numId="30">
    <w:abstractNumId w:val="7"/>
  </w:num>
  <w:num w:numId="31">
    <w:abstractNumId w:val="30"/>
  </w:num>
  <w:num w:numId="32">
    <w:abstractNumId w:val="11"/>
  </w:num>
  <w:num w:numId="33">
    <w:abstractNumId w:val="15"/>
  </w:num>
  <w:num w:numId="34">
    <w:abstractNumId w:val="17"/>
  </w:num>
  <w:num w:numId="35">
    <w:abstractNumId w:val="2"/>
  </w:num>
  <w:num w:numId="36">
    <w:abstractNumId w:val="2"/>
  </w:num>
  <w:num w:numId="37">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hideSpellingErrors/>
  <w:linkStyles/>
  <w:stylePaneSortMethod w:val="0000"/>
  <w:defaultTabStop w:val="720"/>
  <w:drawingGridHorizontalSpacing w:val="110"/>
  <w:displayHorizontalDrawingGridEvery w:val="2"/>
  <w:characterSpacingControl w:val="doNotCompress"/>
  <w:hdrShapeDefaults>
    <o:shapedefaults v:ext="edit" spidmax="39938"/>
  </w:hdrShapeDefaults>
  <w:footnotePr>
    <w:footnote w:id="-1"/>
    <w:footnote w:id="0"/>
    <w:footnote w:id="1"/>
  </w:footnotePr>
  <w:endnotePr>
    <w:endnote w:id="-1"/>
    <w:endnote w:id="0"/>
    <w:endnote w:id="1"/>
  </w:endnotePr>
  <w:compat/>
  <w:rsids>
    <w:rsidRoot w:val="00E94405"/>
    <w:rsid w:val="000D37BE"/>
    <w:rsid w:val="00667FFD"/>
    <w:rsid w:val="00870AE7"/>
    <w:rsid w:val="00A11609"/>
    <w:rsid w:val="00E9440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5" w:qFormat="1"/>
    <w:lsdException w:name="heading 5" w:uiPriority="6"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nhideWhenUsed="0"/>
    <w:lsdException w:name="toc 5" w:unhideWhenUsed="0"/>
    <w:lsdException w:name="toc 6" w:unhideWhenUsed="0"/>
    <w:lsdException w:name="toc 7" w:unhideWhenUsed="0"/>
    <w:lsdException w:name="toc 8" w:unhideWhenUsed="0"/>
    <w:lsdException w:name="toc 9" w:unhideWhenUsed="0"/>
    <w:lsdException w:name="caption" w:uiPriority="0" w:qFormat="1"/>
    <w:lsdException w:name="List Bullet" w:uiPriority="7" w:qFormat="1"/>
    <w:lsdException w:name="List Number" w:qFormat="1"/>
    <w:lsdException w:name="List Bullet 2" w:qFormat="1"/>
    <w:lsdException w:name="List Bullet 3" w:unhideWhenUsed="0"/>
    <w:lsdException w:name="List Bullet 4" w:unhideWhenUsed="0"/>
    <w:lsdException w:name="List Bullet 5" w:unhideWhenUsed="0"/>
    <w:lsdException w:name="List Number 2" w:uiPriority="10" w:qFormat="1"/>
    <w:lsdException w:name="List Number 3" w:uiPriority="11" w:qFormat="1"/>
    <w:lsdException w:name="List Number 4" w:unhideWhenUsed="0"/>
    <w:lsdException w:name="List Number 5" w:unhideWhenUsed="0"/>
    <w:lsdException w:name="Title" w:semiHidden="0" w:uiPriority="22" w:unhideWhenUsed="0" w:qFormat="1"/>
    <w:lsdException w:name="Default Paragraph Font" w:uiPriority="1"/>
    <w:lsdException w:name="Body Text" w:uiPriority="0"/>
    <w:lsdException w:name="Subtitle" w:uiPriority="11" w:unhideWhenUsed="0" w:qFormat="1"/>
    <w:lsdException w:name="Hyperlink" w:qFormat="1"/>
    <w:lsdException w:name="Strong" w:semiHidden="0" w:uiPriority="22" w:unhideWhenUsed="0" w:qFormat="1"/>
    <w:lsdException w:name="Emphasis" w:semiHidden="0" w:uiPriority="20" w:unhideWhenUsed="0" w:qFormat="1"/>
    <w:lsdException w:name="Table List 3"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FFD"/>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E94405"/>
    <w:pPr>
      <w:keepNext/>
      <w:keepLines/>
      <w:pageBreakBefore/>
      <w:numPr>
        <w:numId w:val="34"/>
      </w:numPr>
      <w:spacing w:after="240"/>
      <w:outlineLvl w:val="0"/>
    </w:pPr>
    <w:rPr>
      <w:rFonts w:ascii="Calibri" w:hAnsi="Calibri"/>
      <w:bCs/>
      <w:color w:val="000000"/>
      <w:sz w:val="56"/>
      <w:szCs w:val="28"/>
    </w:rPr>
  </w:style>
  <w:style w:type="paragraph" w:styleId="Heading2">
    <w:name w:val="heading 2"/>
    <w:aliases w:val="p"/>
    <w:basedOn w:val="Normal"/>
    <w:next w:val="Normal"/>
    <w:link w:val="Heading2Char"/>
    <w:uiPriority w:val="9"/>
    <w:qFormat/>
    <w:rsid w:val="00E94405"/>
    <w:pPr>
      <w:keepNext/>
      <w:keepLines/>
      <w:numPr>
        <w:ilvl w:val="1"/>
        <w:numId w:val="34"/>
      </w:numPr>
      <w:outlineLvl w:val="1"/>
    </w:pPr>
    <w:rPr>
      <w:rFonts w:ascii="Calibri" w:hAnsi="Calibri"/>
      <w:b/>
      <w:bCs/>
      <w:sz w:val="36"/>
      <w:szCs w:val="26"/>
    </w:rPr>
  </w:style>
  <w:style w:type="paragraph" w:styleId="Heading3">
    <w:name w:val="heading 3"/>
    <w:basedOn w:val="Normal"/>
    <w:next w:val="Normal"/>
    <w:link w:val="Heading3Char"/>
    <w:qFormat/>
    <w:rsid w:val="00E9440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5"/>
    <w:qFormat/>
    <w:rsid w:val="00E94405"/>
    <w:pPr>
      <w:keepNext/>
      <w:keepLines/>
      <w:outlineLvl w:val="3"/>
    </w:pPr>
    <w:rPr>
      <w:rFonts w:ascii="Calibri" w:hAnsi="Calibri"/>
      <w:b/>
      <w:bCs/>
      <w:iCs/>
    </w:rPr>
  </w:style>
  <w:style w:type="paragraph" w:styleId="Heading5">
    <w:name w:val="heading 5"/>
    <w:aliases w:val="s,s1,s2,s3,s4,s5"/>
    <w:basedOn w:val="Normal"/>
    <w:next w:val="Normal"/>
    <w:link w:val="Heading5Char"/>
    <w:uiPriority w:val="6"/>
    <w:qFormat/>
    <w:rsid w:val="00E94405"/>
    <w:pPr>
      <w:keepNext/>
      <w:keepLines/>
      <w:outlineLvl w:val="4"/>
    </w:pPr>
    <w:rPr>
      <w:rFonts w:ascii="Calibri" w:hAnsi="Calibri"/>
      <w:b/>
      <w:i/>
    </w:rPr>
  </w:style>
  <w:style w:type="paragraph" w:styleId="Heading6">
    <w:name w:val="heading 6"/>
    <w:basedOn w:val="Normal"/>
    <w:next w:val="Normal"/>
    <w:link w:val="Heading6Char"/>
    <w:uiPriority w:val="9"/>
    <w:qFormat/>
    <w:rsid w:val="00E94405"/>
    <w:pPr>
      <w:keepNext/>
      <w:tabs>
        <w:tab w:val="num" w:pos="1152"/>
      </w:tabs>
      <w:ind w:left="1152" w:hanging="1152"/>
      <w:outlineLvl w:val="5"/>
    </w:pPr>
    <w:rPr>
      <w:rFonts w:ascii="Arial" w:hAnsi="Arial"/>
      <w:b/>
      <w:szCs w:val="20"/>
    </w:rPr>
  </w:style>
  <w:style w:type="paragraph" w:styleId="Heading7">
    <w:name w:val="heading 7"/>
    <w:basedOn w:val="Normal"/>
    <w:next w:val="Normal"/>
    <w:link w:val="Heading7Char"/>
    <w:uiPriority w:val="9"/>
    <w:qFormat/>
    <w:rsid w:val="00E94405"/>
    <w:pPr>
      <w:keepNext/>
      <w:tabs>
        <w:tab w:val="num" w:pos="1296"/>
      </w:tabs>
      <w:spacing w:before="20" w:after="20" w:line="240" w:lineRule="atLeast"/>
      <w:ind w:left="1296" w:hanging="1296"/>
      <w:jc w:val="center"/>
      <w:outlineLvl w:val="6"/>
    </w:pPr>
    <w:rPr>
      <w:rFonts w:ascii="Arial" w:hAnsi="Arial" w:cs="Arial"/>
      <w:b/>
      <w:bCs/>
      <w:sz w:val="20"/>
    </w:rPr>
  </w:style>
  <w:style w:type="paragraph" w:styleId="Heading8">
    <w:name w:val="heading 8"/>
    <w:basedOn w:val="Normal"/>
    <w:next w:val="Normal"/>
    <w:link w:val="Heading8Char"/>
    <w:uiPriority w:val="9"/>
    <w:qFormat/>
    <w:rsid w:val="00E94405"/>
    <w:pPr>
      <w:keepNext/>
      <w:tabs>
        <w:tab w:val="num" w:pos="1440"/>
      </w:tabs>
      <w:ind w:left="1440" w:hanging="1440"/>
      <w:outlineLvl w:val="7"/>
    </w:pPr>
    <w:rPr>
      <w:rFonts w:ascii="Helvetica" w:hAnsi="Helvetica"/>
      <w:b/>
      <w:bCs/>
      <w:sz w:val="20"/>
    </w:rPr>
  </w:style>
  <w:style w:type="paragraph" w:styleId="Heading9">
    <w:name w:val="heading 9"/>
    <w:basedOn w:val="Normal"/>
    <w:next w:val="Normal"/>
    <w:link w:val="Heading9Char"/>
    <w:uiPriority w:val="9"/>
    <w:qFormat/>
    <w:rsid w:val="00E94405"/>
    <w:pPr>
      <w:tabs>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rsid w:val="00667FF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667FFD"/>
  </w:style>
  <w:style w:type="paragraph" w:styleId="CommentText">
    <w:name w:val="annotation text"/>
    <w:basedOn w:val="Normal"/>
    <w:link w:val="CommentTextChar"/>
    <w:uiPriority w:val="99"/>
    <w:unhideWhenUsed/>
    <w:rsid w:val="00E94405"/>
    <w:rPr>
      <w:sz w:val="20"/>
      <w:szCs w:val="20"/>
    </w:rPr>
  </w:style>
  <w:style w:type="character" w:customStyle="1" w:styleId="CommentTextChar">
    <w:name w:val="Comment Text Char"/>
    <w:basedOn w:val="DefaultParagraphFont"/>
    <w:link w:val="CommentText"/>
    <w:uiPriority w:val="99"/>
    <w:rsid w:val="00E94405"/>
    <w:rPr>
      <w:rFonts w:eastAsia="Times New Roman"/>
      <w:sz w:val="20"/>
      <w:szCs w:val="20"/>
    </w:rPr>
  </w:style>
  <w:style w:type="paragraph" w:styleId="Header">
    <w:name w:val="header"/>
    <w:basedOn w:val="Normal"/>
    <w:link w:val="HeaderChar"/>
    <w:uiPriority w:val="99"/>
    <w:rsid w:val="00E94405"/>
    <w:pPr>
      <w:tabs>
        <w:tab w:val="center" w:pos="4820"/>
      </w:tabs>
      <w:jc w:val="center"/>
    </w:pPr>
    <w:rPr>
      <w:rFonts w:ascii="Calibri" w:hAnsi="Calibri"/>
      <w:sz w:val="20"/>
    </w:rPr>
  </w:style>
  <w:style w:type="character" w:customStyle="1" w:styleId="HeaderChar">
    <w:name w:val="Header Char"/>
    <w:basedOn w:val="DefaultParagraphFont"/>
    <w:link w:val="Header"/>
    <w:uiPriority w:val="99"/>
    <w:rsid w:val="00E94405"/>
    <w:rPr>
      <w:rFonts w:ascii="Calibri" w:eastAsia="Times New Roman" w:hAnsi="Calibri"/>
      <w:sz w:val="20"/>
      <w:szCs w:val="24"/>
      <w:lang w:eastAsia="en-US"/>
    </w:rPr>
  </w:style>
  <w:style w:type="paragraph" w:styleId="Footer">
    <w:name w:val="footer"/>
    <w:basedOn w:val="Normal"/>
    <w:link w:val="FooterChar"/>
    <w:uiPriority w:val="99"/>
    <w:rsid w:val="00E94405"/>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99"/>
    <w:rsid w:val="00E94405"/>
    <w:rPr>
      <w:rFonts w:ascii="Calibri" w:eastAsia="Times New Roman" w:hAnsi="Calibri"/>
      <w:sz w:val="20"/>
      <w:szCs w:val="24"/>
      <w:lang w:eastAsia="en-US"/>
    </w:rPr>
  </w:style>
  <w:style w:type="character" w:styleId="CommentReference">
    <w:name w:val="annotation reference"/>
    <w:basedOn w:val="DefaultParagraphFont"/>
    <w:uiPriority w:val="99"/>
    <w:unhideWhenUsed/>
    <w:rsid w:val="00E94405"/>
    <w:rPr>
      <w:sz w:val="16"/>
      <w:szCs w:val="16"/>
    </w:rPr>
  </w:style>
  <w:style w:type="paragraph" w:styleId="CommentSubject">
    <w:name w:val="annotation subject"/>
    <w:basedOn w:val="CommentText"/>
    <w:next w:val="CommentText"/>
    <w:link w:val="CommentSubjectChar"/>
    <w:uiPriority w:val="99"/>
    <w:unhideWhenUsed/>
    <w:rsid w:val="00E94405"/>
    <w:rPr>
      <w:b/>
      <w:bCs/>
    </w:rPr>
  </w:style>
  <w:style w:type="character" w:customStyle="1" w:styleId="CommentSubjectChar">
    <w:name w:val="Comment Subject Char"/>
    <w:basedOn w:val="CommentTextChar"/>
    <w:link w:val="CommentSubject"/>
    <w:uiPriority w:val="99"/>
    <w:rsid w:val="00E94405"/>
    <w:rPr>
      <w:rFonts w:eastAsia="Times New Roman"/>
      <w:b/>
      <w:bCs/>
      <w:sz w:val="20"/>
      <w:szCs w:val="20"/>
    </w:rPr>
  </w:style>
  <w:style w:type="paragraph" w:styleId="BalloonText">
    <w:name w:val="Balloon Text"/>
    <w:basedOn w:val="Normal"/>
    <w:link w:val="BalloonTextChar"/>
    <w:uiPriority w:val="99"/>
    <w:unhideWhenUsed/>
    <w:rsid w:val="00E94405"/>
    <w:rPr>
      <w:rFonts w:ascii="Calibri" w:hAnsi="Calibri"/>
      <w:sz w:val="18"/>
      <w:szCs w:val="18"/>
    </w:rPr>
  </w:style>
  <w:style w:type="character" w:customStyle="1" w:styleId="BalloonTextChar">
    <w:name w:val="Balloon Text Char"/>
    <w:basedOn w:val="DefaultParagraphFont"/>
    <w:link w:val="BalloonText"/>
    <w:uiPriority w:val="99"/>
    <w:rsid w:val="00E94405"/>
    <w:rPr>
      <w:rFonts w:ascii="Calibri" w:eastAsia="Times New Roman" w:hAnsi="Calibri"/>
      <w:sz w:val="18"/>
      <w:szCs w:val="18"/>
      <w:lang w:eastAsia="en-US"/>
    </w:rPr>
  </w:style>
  <w:style w:type="table" w:styleId="TableGrid">
    <w:name w:val="Table Grid"/>
    <w:basedOn w:val="TableNormal"/>
    <w:uiPriority w:val="99"/>
    <w:rsid w:val="00E94405"/>
    <w:pPr>
      <w:spacing w:before="60" w:after="60"/>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address">
    <w:name w:val="Footer address"/>
    <w:basedOn w:val="Footer"/>
    <w:semiHidden/>
    <w:qFormat/>
    <w:rsid w:val="00E94405"/>
    <w:rPr>
      <w:sz w:val="16"/>
    </w:rPr>
  </w:style>
  <w:style w:type="character" w:customStyle="1" w:styleId="Heading1NumberedChar">
    <w:name w:val="Heading 1 Numbered Char"/>
    <w:basedOn w:val="Heading1Char"/>
    <w:link w:val="Heading1Numbered"/>
    <w:uiPriority w:val="2"/>
    <w:rsid w:val="00E94405"/>
  </w:style>
  <w:style w:type="character" w:customStyle="1" w:styleId="Heading1Char">
    <w:name w:val="Heading 1 Char"/>
    <w:basedOn w:val="DefaultParagraphFont"/>
    <w:link w:val="Heading1"/>
    <w:uiPriority w:val="9"/>
    <w:rsid w:val="00E94405"/>
    <w:rPr>
      <w:rFonts w:ascii="Calibri" w:eastAsia="Times New Roman" w:hAnsi="Calibri"/>
      <w:bCs/>
      <w:noProof/>
      <w:color w:val="000000"/>
      <w:sz w:val="56"/>
      <w:szCs w:val="28"/>
    </w:rPr>
  </w:style>
  <w:style w:type="paragraph" w:customStyle="1" w:styleId="Heading1Numbered">
    <w:name w:val="Heading 1 Numbered"/>
    <w:basedOn w:val="Heading1"/>
    <w:next w:val="Normal"/>
    <w:link w:val="Heading1NumberedChar"/>
    <w:uiPriority w:val="2"/>
    <w:qFormat/>
    <w:rsid w:val="00E94405"/>
    <w:pPr>
      <w:numPr>
        <w:numId w:val="3"/>
      </w:numPr>
      <w:ind w:left="709" w:hanging="709"/>
    </w:pPr>
  </w:style>
  <w:style w:type="character" w:customStyle="1" w:styleId="Heading2Char">
    <w:name w:val="Heading 2 Char"/>
    <w:aliases w:val="p Char"/>
    <w:basedOn w:val="DefaultParagraphFont"/>
    <w:link w:val="Heading2"/>
    <w:uiPriority w:val="9"/>
    <w:rsid w:val="00E94405"/>
    <w:rPr>
      <w:rFonts w:ascii="Calibri" w:eastAsia="Times New Roman" w:hAnsi="Calibri"/>
      <w:b/>
      <w:bCs/>
      <w:noProof/>
      <w:sz w:val="36"/>
      <w:szCs w:val="26"/>
    </w:rPr>
  </w:style>
  <w:style w:type="character" w:customStyle="1" w:styleId="Heading3Char">
    <w:name w:val="Heading 3 Char"/>
    <w:basedOn w:val="DefaultParagraphFont"/>
    <w:link w:val="Heading3"/>
    <w:rsid w:val="00E94405"/>
    <w:rPr>
      <w:rFonts w:ascii="Arial" w:eastAsia="Times New Roman" w:hAnsi="Arial" w:cs="Arial"/>
      <w:b/>
      <w:bCs/>
      <w:noProof/>
      <w:sz w:val="26"/>
      <w:szCs w:val="26"/>
    </w:rPr>
  </w:style>
  <w:style w:type="character" w:customStyle="1" w:styleId="Heading4Char">
    <w:name w:val="Heading 4 Char"/>
    <w:basedOn w:val="DefaultParagraphFont"/>
    <w:link w:val="Heading4"/>
    <w:uiPriority w:val="9"/>
    <w:rsid w:val="00E94405"/>
    <w:rPr>
      <w:rFonts w:ascii="Calibri" w:eastAsia="Times New Roman" w:hAnsi="Calibri"/>
      <w:b/>
      <w:bCs/>
      <w:iCs/>
      <w:sz w:val="24"/>
      <w:szCs w:val="24"/>
      <w:lang w:eastAsia="en-US"/>
    </w:rPr>
  </w:style>
  <w:style w:type="character" w:customStyle="1" w:styleId="Heading5Char">
    <w:name w:val="Heading 5 Char"/>
    <w:aliases w:val="s Char,s1 Char,s2 Char,s3 Char,s4 Char,s5 Char"/>
    <w:basedOn w:val="DefaultParagraphFont"/>
    <w:link w:val="Heading5"/>
    <w:uiPriority w:val="9"/>
    <w:rsid w:val="00E94405"/>
    <w:rPr>
      <w:rFonts w:ascii="Calibri" w:eastAsia="Times New Roman" w:hAnsi="Calibri"/>
      <w:b/>
      <w:i/>
      <w:sz w:val="24"/>
      <w:szCs w:val="24"/>
      <w:lang w:eastAsia="en-US"/>
    </w:rPr>
  </w:style>
  <w:style w:type="paragraph" w:styleId="Quote">
    <w:name w:val="Quote"/>
    <w:basedOn w:val="Normal"/>
    <w:next w:val="Normal"/>
    <w:link w:val="QuoteChar"/>
    <w:uiPriority w:val="29"/>
    <w:qFormat/>
    <w:rsid w:val="00E94405"/>
    <w:pPr>
      <w:ind w:left="709" w:right="567"/>
    </w:pPr>
    <w:rPr>
      <w:iCs/>
      <w:color w:val="000000"/>
    </w:rPr>
  </w:style>
  <w:style w:type="character" w:customStyle="1" w:styleId="QuoteChar">
    <w:name w:val="Quote Char"/>
    <w:basedOn w:val="DefaultParagraphFont"/>
    <w:link w:val="Quote"/>
    <w:uiPriority w:val="29"/>
    <w:rsid w:val="00E94405"/>
    <w:rPr>
      <w:rFonts w:eastAsia="Times New Roman"/>
      <w:iCs/>
      <w:color w:val="000000"/>
      <w:szCs w:val="24"/>
      <w:lang w:eastAsia="en-US"/>
    </w:rPr>
  </w:style>
  <w:style w:type="paragraph" w:customStyle="1" w:styleId="BoxText">
    <w:name w:val="Box Text"/>
    <w:basedOn w:val="Normal"/>
    <w:uiPriority w:val="19"/>
    <w:qFormat/>
    <w:rsid w:val="00E94405"/>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rsid w:val="00E94405"/>
    <w:pPr>
      <w:keepNext/>
      <w:spacing w:after="120"/>
    </w:pPr>
    <w:rPr>
      <w:rFonts w:ascii="Calibri" w:hAnsi="Calibri"/>
      <w:b/>
      <w:bCs/>
      <w:szCs w:val="18"/>
    </w:rPr>
  </w:style>
  <w:style w:type="paragraph" w:customStyle="1" w:styleId="FigureTableNoteSource">
    <w:name w:val="Figure/Table Note/Source"/>
    <w:basedOn w:val="Normal"/>
    <w:next w:val="Normal"/>
    <w:uiPriority w:val="16"/>
    <w:qFormat/>
    <w:rsid w:val="00E94405"/>
    <w:pPr>
      <w:spacing w:before="120" w:line="264" w:lineRule="auto"/>
      <w:contextualSpacing/>
    </w:pPr>
    <w:rPr>
      <w:rFonts w:ascii="Calibri" w:hAnsi="Calibri"/>
      <w:sz w:val="18"/>
    </w:rPr>
  </w:style>
  <w:style w:type="paragraph" w:styleId="Title">
    <w:name w:val="Title"/>
    <w:aliases w:val="Title 1"/>
    <w:basedOn w:val="Normal"/>
    <w:next w:val="Subtitle"/>
    <w:link w:val="TitleChar"/>
    <w:uiPriority w:val="22"/>
    <w:qFormat/>
    <w:rsid w:val="00E94405"/>
    <w:pPr>
      <w:spacing w:before="240" w:after="120"/>
    </w:pPr>
    <w:rPr>
      <w:rFonts w:ascii="Calibri" w:hAnsi="Calibri"/>
      <w:b/>
      <w:sz w:val="72"/>
      <w:szCs w:val="72"/>
    </w:rPr>
  </w:style>
  <w:style w:type="character" w:customStyle="1" w:styleId="TitleChar">
    <w:name w:val="Title Char"/>
    <w:aliases w:val="Title 1 Char"/>
    <w:basedOn w:val="DefaultParagraphFont"/>
    <w:link w:val="Title"/>
    <w:uiPriority w:val="22"/>
    <w:rsid w:val="00E94405"/>
    <w:rPr>
      <w:rFonts w:ascii="Calibri" w:eastAsia="Times New Roman" w:hAnsi="Calibri"/>
      <w:b/>
      <w:sz w:val="72"/>
      <w:szCs w:val="72"/>
      <w:lang w:eastAsia="en-US"/>
    </w:rPr>
  </w:style>
  <w:style w:type="paragraph" w:styleId="Subtitle">
    <w:name w:val="Subtitle"/>
    <w:basedOn w:val="Normal"/>
    <w:next w:val="Normal"/>
    <w:link w:val="SubtitleChar"/>
    <w:uiPriority w:val="11"/>
    <w:qFormat/>
    <w:rsid w:val="00E94405"/>
    <w:pPr>
      <w:spacing w:after="840"/>
    </w:pPr>
    <w:rPr>
      <w:rFonts w:ascii="Calibri" w:hAnsi="Calibri" w:cs="Calibri"/>
      <w:sz w:val="68"/>
      <w:szCs w:val="72"/>
    </w:rPr>
  </w:style>
  <w:style w:type="character" w:customStyle="1" w:styleId="SubtitleChar">
    <w:name w:val="Subtitle Char"/>
    <w:basedOn w:val="DefaultParagraphFont"/>
    <w:link w:val="Subtitle"/>
    <w:uiPriority w:val="11"/>
    <w:rsid w:val="00E94405"/>
    <w:rPr>
      <w:rFonts w:ascii="Calibri" w:eastAsia="Times New Roman" w:hAnsi="Calibri" w:cs="Calibri"/>
      <w:sz w:val="68"/>
      <w:szCs w:val="72"/>
      <w:lang w:eastAsia="en-US"/>
    </w:rPr>
  </w:style>
  <w:style w:type="paragraph" w:styleId="TOCHeading">
    <w:name w:val="TOC Heading"/>
    <w:basedOn w:val="Heading1"/>
    <w:next w:val="Normal"/>
    <w:uiPriority w:val="39"/>
    <w:qFormat/>
    <w:rsid w:val="00E94405"/>
    <w:pPr>
      <w:numPr>
        <w:numId w:val="0"/>
      </w:numPr>
      <w:spacing w:before="480" w:after="0"/>
      <w:outlineLvl w:val="9"/>
    </w:pPr>
    <w:rPr>
      <w:lang w:val="en-US"/>
    </w:rPr>
  </w:style>
  <w:style w:type="paragraph" w:styleId="TOC1">
    <w:name w:val="toc 1"/>
    <w:basedOn w:val="Normal"/>
    <w:next w:val="Normal"/>
    <w:uiPriority w:val="39"/>
    <w:unhideWhenUsed/>
    <w:rsid w:val="00E94405"/>
    <w:pPr>
      <w:tabs>
        <w:tab w:val="left" w:pos="426"/>
        <w:tab w:val="right" w:leader="dot" w:pos="9072"/>
      </w:tabs>
      <w:spacing w:before="120" w:after="120"/>
    </w:pPr>
    <w:rPr>
      <w:b/>
    </w:rPr>
  </w:style>
  <w:style w:type="paragraph" w:styleId="TOC2">
    <w:name w:val="toc 2"/>
    <w:basedOn w:val="Normal"/>
    <w:next w:val="Normal"/>
    <w:uiPriority w:val="39"/>
    <w:unhideWhenUsed/>
    <w:rsid w:val="00E94405"/>
    <w:pPr>
      <w:tabs>
        <w:tab w:val="right" w:leader="dot" w:pos="9060"/>
      </w:tabs>
      <w:spacing w:before="120" w:after="120"/>
      <w:ind w:firstLine="425"/>
    </w:pPr>
  </w:style>
  <w:style w:type="paragraph" w:styleId="TOC3">
    <w:name w:val="toc 3"/>
    <w:basedOn w:val="Normal"/>
    <w:next w:val="Normal"/>
    <w:uiPriority w:val="39"/>
    <w:unhideWhenUsed/>
    <w:rsid w:val="00E94405"/>
    <w:pPr>
      <w:tabs>
        <w:tab w:val="right" w:leader="dot" w:pos="9072"/>
      </w:tabs>
      <w:spacing w:before="120" w:after="120"/>
      <w:ind w:firstLine="851"/>
    </w:pPr>
  </w:style>
  <w:style w:type="character" w:styleId="Hyperlink">
    <w:name w:val="Hyperlink"/>
    <w:basedOn w:val="DefaultParagraphFont"/>
    <w:uiPriority w:val="99"/>
    <w:qFormat/>
    <w:rsid w:val="00E94405"/>
    <w:rPr>
      <w:color w:val="165788"/>
      <w:u w:val="single"/>
    </w:rPr>
  </w:style>
  <w:style w:type="paragraph" w:styleId="ListBullet">
    <w:name w:val="List Bullet"/>
    <w:basedOn w:val="Normal"/>
    <w:uiPriority w:val="7"/>
    <w:qFormat/>
    <w:rsid w:val="00E94405"/>
    <w:pPr>
      <w:numPr>
        <w:numId w:val="1"/>
      </w:numPr>
      <w:spacing w:before="120" w:after="120"/>
    </w:pPr>
  </w:style>
  <w:style w:type="paragraph" w:styleId="TableofFigures">
    <w:name w:val="table of figures"/>
    <w:aliases w:val="Table of Tables,Tables and Figures"/>
    <w:basedOn w:val="Normal"/>
    <w:next w:val="Normal"/>
    <w:uiPriority w:val="99"/>
    <w:rsid w:val="00E94405"/>
    <w:pPr>
      <w:spacing w:before="120" w:after="120"/>
    </w:pPr>
  </w:style>
  <w:style w:type="paragraph" w:styleId="ListBullet2">
    <w:name w:val="List Bullet 2"/>
    <w:basedOn w:val="Normal"/>
    <w:uiPriority w:val="99"/>
    <w:qFormat/>
    <w:rsid w:val="00E94405"/>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E94405"/>
    <w:pPr>
      <w:numPr>
        <w:numId w:val="4"/>
      </w:numPr>
      <w:tabs>
        <w:tab w:val="left" w:pos="284"/>
      </w:tabs>
      <w:spacing w:before="120" w:after="120"/>
      <w:ind w:left="284" w:hanging="284"/>
    </w:pPr>
  </w:style>
  <w:style w:type="paragraph" w:styleId="ListNumber2">
    <w:name w:val="List Number 2"/>
    <w:uiPriority w:val="10"/>
    <w:qFormat/>
    <w:rsid w:val="00E94405"/>
    <w:pPr>
      <w:numPr>
        <w:numId w:val="5"/>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E94405"/>
    <w:pPr>
      <w:numPr>
        <w:numId w:val="6"/>
      </w:numPr>
      <w:tabs>
        <w:tab w:val="clear" w:pos="926"/>
        <w:tab w:val="num" w:pos="851"/>
      </w:tabs>
      <w:spacing w:before="120" w:after="120" w:line="264" w:lineRule="auto"/>
      <w:ind w:left="851" w:hanging="284"/>
    </w:pPr>
    <w:rPr>
      <w:rFonts w:eastAsia="Times New Roman"/>
      <w:sz w:val="22"/>
      <w:szCs w:val="24"/>
      <w:lang w:eastAsia="en-US"/>
    </w:rPr>
  </w:style>
  <w:style w:type="table" w:customStyle="1" w:styleId="LightShading1">
    <w:name w:val="Light Shading1"/>
    <w:basedOn w:val="TableNormal"/>
    <w:uiPriority w:val="60"/>
    <w:rsid w:val="00E944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E94405"/>
    <w:rPr>
      <w:color w:val="E36C0A"/>
      <w:lang w:val="en-US"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E94405"/>
    <w:pPr>
      <w:spacing w:before="60" w:after="60"/>
    </w:pPr>
    <w:rPr>
      <w:sz w:val="18"/>
    </w:rPr>
  </w:style>
  <w:style w:type="table" w:styleId="TableGrid1">
    <w:name w:val="Table Grid 1"/>
    <w:basedOn w:val="TableNormal"/>
    <w:uiPriority w:val="99"/>
    <w:semiHidden/>
    <w:unhideWhenUsed/>
    <w:rsid w:val="00E94405"/>
    <w:pPr>
      <w:spacing w:after="20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E94405"/>
    <w:pPr>
      <w:keepNext/>
    </w:pPr>
    <w:rPr>
      <w:b/>
    </w:rPr>
  </w:style>
  <w:style w:type="character" w:styleId="PlaceholderText">
    <w:name w:val="Placeholder Text"/>
    <w:basedOn w:val="DefaultParagraphFont"/>
    <w:uiPriority w:val="99"/>
    <w:semiHidden/>
    <w:rsid w:val="00E94405"/>
    <w:rPr>
      <w:color w:val="808080"/>
    </w:rPr>
  </w:style>
  <w:style w:type="paragraph" w:customStyle="1" w:styleId="Author">
    <w:name w:val="Author"/>
    <w:basedOn w:val="Normal"/>
    <w:next w:val="Normal"/>
    <w:uiPriority w:val="24"/>
    <w:qFormat/>
    <w:rsid w:val="00E94405"/>
    <w:pPr>
      <w:spacing w:after="60"/>
    </w:pPr>
    <w:rPr>
      <w:b/>
      <w:sz w:val="28"/>
      <w:szCs w:val="28"/>
    </w:rPr>
  </w:style>
  <w:style w:type="paragraph" w:customStyle="1" w:styleId="AuthorOrganisationAffiliation">
    <w:name w:val="Author Organisation/Affiliation"/>
    <w:basedOn w:val="Normal"/>
    <w:next w:val="Normal"/>
    <w:uiPriority w:val="25"/>
    <w:qFormat/>
    <w:rsid w:val="00E94405"/>
    <w:pPr>
      <w:spacing w:after="720"/>
    </w:pPr>
  </w:style>
  <w:style w:type="character" w:styleId="Strong">
    <w:name w:val="Strong"/>
    <w:basedOn w:val="DefaultParagraphFont"/>
    <w:uiPriority w:val="22"/>
    <w:qFormat/>
    <w:rsid w:val="00E94405"/>
    <w:rPr>
      <w:b/>
      <w:bCs/>
    </w:rPr>
  </w:style>
  <w:style w:type="paragraph" w:customStyle="1" w:styleId="Glossary">
    <w:name w:val="Glossary"/>
    <w:basedOn w:val="Normal"/>
    <w:link w:val="GlossaryChar"/>
    <w:uiPriority w:val="28"/>
    <w:qFormat/>
    <w:rsid w:val="00E94405"/>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E94405"/>
    <w:rPr>
      <w:rFonts w:eastAsia="Calibri"/>
      <w:color w:val="000000"/>
      <w:lang w:eastAsia="en-US"/>
    </w:rPr>
  </w:style>
  <w:style w:type="character" w:styleId="Emphasis">
    <w:name w:val="Emphasis"/>
    <w:basedOn w:val="DefaultParagraphFont"/>
    <w:uiPriority w:val="20"/>
    <w:qFormat/>
    <w:rsid w:val="00E94405"/>
    <w:rPr>
      <w:i/>
      <w:iCs/>
    </w:rPr>
  </w:style>
  <w:style w:type="paragraph" w:styleId="TOAHeading">
    <w:name w:val="toa heading"/>
    <w:basedOn w:val="Heading1"/>
    <w:next w:val="Normal"/>
    <w:uiPriority w:val="99"/>
    <w:semiHidden/>
    <w:unhideWhenUsed/>
    <w:rsid w:val="00E94405"/>
    <w:pPr>
      <w:spacing w:before="120"/>
    </w:pPr>
    <w:rPr>
      <w:b/>
      <w:bCs w:val="0"/>
      <w:sz w:val="24"/>
    </w:rPr>
  </w:style>
  <w:style w:type="paragraph" w:styleId="NormalWeb">
    <w:name w:val="Normal (Web)"/>
    <w:basedOn w:val="Normal"/>
    <w:uiPriority w:val="99"/>
    <w:unhideWhenUsed/>
    <w:rsid w:val="00E94405"/>
    <w:pPr>
      <w:spacing w:after="168" w:line="168" w:lineRule="atLeast"/>
      <w:jc w:val="both"/>
    </w:pPr>
    <w:rPr>
      <w:sz w:val="13"/>
      <w:szCs w:val="13"/>
    </w:rPr>
  </w:style>
  <w:style w:type="paragraph" w:customStyle="1" w:styleId="BoxTextBullet">
    <w:name w:val="Box Text Bullet"/>
    <w:basedOn w:val="BoxText"/>
    <w:uiPriority w:val="21"/>
    <w:qFormat/>
    <w:rsid w:val="00E94405"/>
    <w:pPr>
      <w:numPr>
        <w:numId w:val="7"/>
      </w:numPr>
      <w:ind w:left="357" w:hanging="357"/>
    </w:pPr>
  </w:style>
  <w:style w:type="paragraph" w:customStyle="1" w:styleId="TableBullet">
    <w:name w:val="Table Bullet"/>
    <w:basedOn w:val="TableText"/>
    <w:uiPriority w:val="15"/>
    <w:qFormat/>
    <w:rsid w:val="00E94405"/>
    <w:pPr>
      <w:numPr>
        <w:numId w:val="8"/>
      </w:numPr>
    </w:pPr>
  </w:style>
  <w:style w:type="paragraph" w:styleId="DocumentMap">
    <w:name w:val="Document Map"/>
    <w:basedOn w:val="Normal"/>
    <w:link w:val="DocumentMapChar"/>
    <w:uiPriority w:val="99"/>
    <w:unhideWhenUsed/>
    <w:rsid w:val="00E94405"/>
    <w:rPr>
      <w:rFonts w:ascii="Tahoma" w:hAnsi="Tahoma" w:cs="Tahoma"/>
      <w:sz w:val="16"/>
      <w:szCs w:val="16"/>
    </w:rPr>
  </w:style>
  <w:style w:type="character" w:customStyle="1" w:styleId="DocumentMapChar">
    <w:name w:val="Document Map Char"/>
    <w:basedOn w:val="DefaultParagraphFont"/>
    <w:link w:val="DocumentMap"/>
    <w:uiPriority w:val="99"/>
    <w:rsid w:val="00E94405"/>
    <w:rPr>
      <w:rFonts w:ascii="Tahoma" w:eastAsia="Times New Roman" w:hAnsi="Tahoma" w:cs="Tahoma"/>
      <w:sz w:val="16"/>
      <w:szCs w:val="16"/>
    </w:rPr>
  </w:style>
  <w:style w:type="paragraph" w:customStyle="1" w:styleId="TOCHeadingsamepage">
    <w:name w:val="TOC Heading (same page)"/>
    <w:basedOn w:val="TOCHeading"/>
    <w:next w:val="Normal"/>
    <w:uiPriority w:val="39"/>
    <w:rsid w:val="00E94405"/>
    <w:pPr>
      <w:pageBreakBefore w:val="0"/>
    </w:pPr>
  </w:style>
  <w:style w:type="paragraph" w:customStyle="1" w:styleId="BoxHeading">
    <w:name w:val="Box Heading"/>
    <w:basedOn w:val="BoxText"/>
    <w:uiPriority w:val="20"/>
    <w:qFormat/>
    <w:rsid w:val="00E94405"/>
    <w:rPr>
      <w:b/>
    </w:rPr>
  </w:style>
  <w:style w:type="paragraph" w:customStyle="1" w:styleId="Picture">
    <w:name w:val="Picture"/>
    <w:basedOn w:val="Normal"/>
    <w:uiPriority w:val="17"/>
    <w:qFormat/>
    <w:rsid w:val="00E94405"/>
    <w:pPr>
      <w:spacing w:before="120" w:after="120"/>
    </w:pPr>
  </w:style>
  <w:style w:type="paragraph" w:customStyle="1" w:styleId="Securityclassification">
    <w:name w:val="Security classification"/>
    <w:basedOn w:val="Header"/>
    <w:next w:val="Header"/>
    <w:uiPriority w:val="26"/>
    <w:qFormat/>
    <w:rsid w:val="00E94405"/>
    <w:rPr>
      <w:b/>
      <w:caps/>
      <w:color w:val="FF0000"/>
      <w:sz w:val="36"/>
      <w:szCs w:val="36"/>
    </w:rPr>
  </w:style>
  <w:style w:type="paragraph" w:customStyle="1" w:styleId="DisseminationLimitingMarker">
    <w:name w:val="Dissemination Limiting Marker"/>
    <w:basedOn w:val="Header"/>
    <w:next w:val="Header"/>
    <w:uiPriority w:val="27"/>
    <w:qFormat/>
    <w:rsid w:val="00E94405"/>
    <w:rPr>
      <w:b/>
      <w:color w:val="FF0000"/>
      <w:sz w:val="36"/>
      <w:szCs w:val="36"/>
    </w:rPr>
  </w:style>
  <w:style w:type="paragraph" w:styleId="FootnoteText">
    <w:name w:val="footnote text"/>
    <w:basedOn w:val="Normal"/>
    <w:link w:val="FootnoteTextChar"/>
    <w:uiPriority w:val="99"/>
    <w:unhideWhenUsed/>
    <w:rsid w:val="00E94405"/>
    <w:pPr>
      <w:spacing w:after="60" w:line="264" w:lineRule="auto"/>
    </w:pPr>
    <w:rPr>
      <w:sz w:val="20"/>
      <w:szCs w:val="20"/>
    </w:rPr>
  </w:style>
  <w:style w:type="character" w:customStyle="1" w:styleId="FootnoteTextChar">
    <w:name w:val="Footnote Text Char"/>
    <w:basedOn w:val="DefaultParagraphFont"/>
    <w:link w:val="FootnoteText"/>
    <w:uiPriority w:val="99"/>
    <w:rsid w:val="00E94405"/>
    <w:rPr>
      <w:rFonts w:eastAsia="Times New Roman"/>
      <w:sz w:val="20"/>
      <w:szCs w:val="20"/>
    </w:rPr>
  </w:style>
  <w:style w:type="character" w:styleId="FootnoteReference">
    <w:name w:val="footnote reference"/>
    <w:basedOn w:val="DefaultParagraphFont"/>
    <w:uiPriority w:val="99"/>
    <w:unhideWhenUsed/>
    <w:rsid w:val="00E94405"/>
    <w:rPr>
      <w:vertAlign w:val="superscript"/>
    </w:rPr>
  </w:style>
  <w:style w:type="paragraph" w:styleId="EndnoteText">
    <w:name w:val="endnote text"/>
    <w:basedOn w:val="Normal"/>
    <w:link w:val="EndnoteTextChar"/>
    <w:uiPriority w:val="99"/>
    <w:unhideWhenUsed/>
    <w:rsid w:val="00E94405"/>
    <w:pPr>
      <w:spacing w:after="60" w:line="264" w:lineRule="auto"/>
    </w:pPr>
    <w:rPr>
      <w:sz w:val="20"/>
      <w:szCs w:val="20"/>
    </w:rPr>
  </w:style>
  <w:style w:type="character" w:customStyle="1" w:styleId="EndnoteTextChar">
    <w:name w:val="Endnote Text Char"/>
    <w:basedOn w:val="DefaultParagraphFont"/>
    <w:link w:val="EndnoteText"/>
    <w:uiPriority w:val="99"/>
    <w:rsid w:val="00E94405"/>
    <w:rPr>
      <w:rFonts w:eastAsia="Times New Roman"/>
      <w:sz w:val="20"/>
      <w:szCs w:val="20"/>
    </w:rPr>
  </w:style>
  <w:style w:type="character" w:styleId="EndnoteReference">
    <w:name w:val="endnote reference"/>
    <w:basedOn w:val="DefaultParagraphFont"/>
    <w:uiPriority w:val="99"/>
    <w:unhideWhenUsed/>
    <w:rsid w:val="00E94405"/>
    <w:rPr>
      <w:vertAlign w:val="superscript"/>
    </w:rPr>
  </w:style>
  <w:style w:type="character" w:styleId="FollowedHyperlink">
    <w:name w:val="FollowedHyperlink"/>
    <w:basedOn w:val="DefaultParagraphFont"/>
    <w:uiPriority w:val="99"/>
    <w:unhideWhenUsed/>
    <w:rsid w:val="00E94405"/>
    <w:rPr>
      <w:color w:val="800080"/>
      <w:u w:val="single"/>
    </w:rPr>
  </w:style>
  <w:style w:type="paragraph" w:customStyle="1" w:styleId="BoxSource">
    <w:name w:val="Box Source"/>
    <w:basedOn w:val="FigureTableNoteSource"/>
    <w:uiPriority w:val="22"/>
    <w:qFormat/>
    <w:rsid w:val="00E94405"/>
    <w:pPr>
      <w:pBdr>
        <w:top w:val="single" w:sz="4" w:space="10" w:color="auto"/>
        <w:left w:val="single" w:sz="4" w:space="10" w:color="auto"/>
        <w:bottom w:val="single" w:sz="4" w:space="10" w:color="auto"/>
        <w:right w:val="single" w:sz="4" w:space="10" w:color="auto"/>
      </w:pBdr>
    </w:pPr>
    <w:rPr>
      <w:lang w:val="en-US"/>
    </w:rPr>
  </w:style>
  <w:style w:type="paragraph" w:customStyle="1" w:styleId="Heading2Numbered">
    <w:name w:val="Heading 2 Numbered"/>
    <w:basedOn w:val="Heading2"/>
    <w:next w:val="Normal"/>
    <w:qFormat/>
    <w:rsid w:val="00E94405"/>
    <w:pPr>
      <w:numPr>
        <w:numId w:val="9"/>
      </w:numPr>
    </w:pPr>
  </w:style>
  <w:style w:type="paragraph" w:customStyle="1" w:styleId="Heading3Numbered">
    <w:name w:val="Heading 3 Numbered"/>
    <w:basedOn w:val="Heading3"/>
    <w:next w:val="Normal"/>
    <w:link w:val="Heading3NumberedChar"/>
    <w:qFormat/>
    <w:rsid w:val="00E94405"/>
    <w:pPr>
      <w:numPr>
        <w:numId w:val="10"/>
      </w:numPr>
    </w:pPr>
  </w:style>
  <w:style w:type="character" w:customStyle="1" w:styleId="Heading3NumberedChar">
    <w:name w:val="Heading 3 Numbered Char"/>
    <w:basedOn w:val="Heading3Char"/>
    <w:link w:val="Heading3Numbered"/>
    <w:rsid w:val="00E94405"/>
  </w:style>
  <w:style w:type="paragraph" w:customStyle="1" w:styleId="TableText0">
    <w:name w:val="TableText"/>
    <w:basedOn w:val="Normal"/>
    <w:link w:val="TableTextChar0"/>
    <w:rsid w:val="00E94405"/>
    <w:pPr>
      <w:keepNext/>
      <w:spacing w:before="60" w:after="60"/>
    </w:pPr>
    <w:rPr>
      <w:color w:val="000000"/>
      <w:sz w:val="16"/>
      <w:szCs w:val="20"/>
    </w:rPr>
  </w:style>
  <w:style w:type="character" w:customStyle="1" w:styleId="TableTextChar0">
    <w:name w:val="TableText Char"/>
    <w:basedOn w:val="DefaultParagraphFont"/>
    <w:link w:val="TableText0"/>
    <w:rsid w:val="00E94405"/>
    <w:rPr>
      <w:rFonts w:ascii="Times New Roman" w:eastAsia="Times New Roman" w:hAnsi="Times New Roman"/>
      <w:color w:val="000000"/>
      <w:sz w:val="16"/>
      <w:lang w:eastAsia="en-US"/>
    </w:rPr>
  </w:style>
  <w:style w:type="paragraph" w:customStyle="1" w:styleId="TableNotes">
    <w:name w:val="TableNotes"/>
    <w:basedOn w:val="Normal"/>
    <w:link w:val="TableNotesChar"/>
    <w:uiPriority w:val="99"/>
    <w:rsid w:val="00E94405"/>
    <w:pPr>
      <w:spacing w:before="40" w:after="180"/>
    </w:pPr>
    <w:rPr>
      <w:rFonts w:ascii="Arial Narrow" w:hAnsi="Arial Narrow"/>
      <w:color w:val="000000"/>
      <w:sz w:val="16"/>
    </w:rPr>
  </w:style>
  <w:style w:type="character" w:customStyle="1" w:styleId="TableNotesChar">
    <w:name w:val="TableNotes Char"/>
    <w:basedOn w:val="DefaultParagraphFont"/>
    <w:link w:val="TableNotes"/>
    <w:rsid w:val="00E94405"/>
    <w:rPr>
      <w:rFonts w:ascii="Arial Narrow" w:eastAsia="Times New Roman" w:hAnsi="Arial Narrow"/>
      <w:color w:val="000000"/>
      <w:sz w:val="16"/>
      <w:szCs w:val="24"/>
      <w:lang w:eastAsia="en-US"/>
    </w:rPr>
  </w:style>
  <w:style w:type="paragraph" w:customStyle="1" w:styleId="AQISNum">
    <w:name w:val="AQIS Num"/>
    <w:basedOn w:val="Normal"/>
    <w:next w:val="Normal"/>
    <w:link w:val="AQISNumChar"/>
    <w:rsid w:val="00E94405"/>
    <w:pPr>
      <w:spacing w:before="60" w:line="280" w:lineRule="atLeast"/>
    </w:pPr>
    <w:rPr>
      <w:szCs w:val="20"/>
    </w:rPr>
  </w:style>
  <w:style w:type="character" w:customStyle="1" w:styleId="TableTextChar">
    <w:name w:val="Table Text Char"/>
    <w:basedOn w:val="DefaultParagraphFont"/>
    <w:link w:val="TableText"/>
    <w:uiPriority w:val="13"/>
    <w:rsid w:val="00E94405"/>
    <w:rPr>
      <w:rFonts w:eastAsia="Times New Roman"/>
      <w:sz w:val="18"/>
      <w:szCs w:val="24"/>
      <w:lang w:eastAsia="en-US"/>
    </w:rPr>
  </w:style>
  <w:style w:type="character" w:customStyle="1" w:styleId="AQISNumChar">
    <w:name w:val="AQIS Num Char"/>
    <w:basedOn w:val="DefaultParagraphFont"/>
    <w:link w:val="AQISNum"/>
    <w:rsid w:val="00E94405"/>
    <w:rPr>
      <w:rFonts w:ascii="Times New Roman" w:eastAsia="Times New Roman" w:hAnsi="Times New Roman"/>
      <w:sz w:val="24"/>
      <w:lang w:eastAsia="en-US"/>
    </w:rPr>
  </w:style>
  <w:style w:type="paragraph" w:styleId="ListParagraph">
    <w:name w:val="List Paragraph"/>
    <w:basedOn w:val="Normal"/>
    <w:uiPriority w:val="34"/>
    <w:qFormat/>
    <w:rsid w:val="00E94405"/>
    <w:pPr>
      <w:overflowPunct w:val="0"/>
      <w:autoSpaceDE w:val="0"/>
      <w:autoSpaceDN w:val="0"/>
      <w:adjustRightInd w:val="0"/>
      <w:ind w:left="720"/>
      <w:contextualSpacing/>
      <w:textAlignment w:val="baseline"/>
    </w:pPr>
    <w:rPr>
      <w:szCs w:val="20"/>
    </w:rPr>
  </w:style>
  <w:style w:type="paragraph" w:customStyle="1" w:styleId="AQISBullet">
    <w:name w:val="AQIS Bullet"/>
    <w:basedOn w:val="Normal"/>
    <w:next w:val="Normal"/>
    <w:uiPriority w:val="99"/>
    <w:rsid w:val="00E94405"/>
    <w:pPr>
      <w:widowControl w:val="0"/>
      <w:tabs>
        <w:tab w:val="num" w:pos="360"/>
      </w:tabs>
      <w:adjustRightInd w:val="0"/>
      <w:spacing w:before="60" w:line="280" w:lineRule="atLeast"/>
      <w:ind w:left="360" w:hanging="360"/>
      <w:jc w:val="both"/>
      <w:textAlignment w:val="baseline"/>
    </w:pPr>
    <w:rPr>
      <w:szCs w:val="20"/>
    </w:rPr>
  </w:style>
  <w:style w:type="paragraph" w:customStyle="1" w:styleId="AQISTable">
    <w:name w:val="AQIS Table"/>
    <w:basedOn w:val="Normal"/>
    <w:next w:val="Normal"/>
    <w:uiPriority w:val="99"/>
    <w:rsid w:val="00E94405"/>
    <w:pPr>
      <w:widowControl w:val="0"/>
      <w:tabs>
        <w:tab w:val="num" w:pos="360"/>
      </w:tabs>
      <w:adjustRightInd w:val="0"/>
      <w:spacing w:before="360" w:after="360" w:line="280" w:lineRule="atLeast"/>
      <w:ind w:left="360" w:hanging="360"/>
      <w:jc w:val="center"/>
      <w:textAlignment w:val="baseline"/>
    </w:pPr>
    <w:rPr>
      <w:rFonts w:ascii="Arial" w:hAnsi="Arial"/>
      <w:b/>
      <w:szCs w:val="20"/>
    </w:rPr>
  </w:style>
  <w:style w:type="paragraph" w:customStyle="1" w:styleId="Bullets">
    <w:name w:val="Bullets"/>
    <w:basedOn w:val="Normal"/>
    <w:link w:val="BulletsChar"/>
    <w:uiPriority w:val="99"/>
    <w:qFormat/>
    <w:rsid w:val="00E94405"/>
    <w:pPr>
      <w:spacing w:after="60" w:line="280" w:lineRule="atLeast"/>
      <w:jc w:val="both"/>
    </w:pPr>
  </w:style>
  <w:style w:type="character" w:customStyle="1" w:styleId="BulletsChar">
    <w:name w:val="Bullets Char"/>
    <w:basedOn w:val="DefaultParagraphFont"/>
    <w:link w:val="Bullets"/>
    <w:uiPriority w:val="99"/>
    <w:locked/>
    <w:rsid w:val="00E94405"/>
    <w:rPr>
      <w:rFonts w:ascii="Times New Roman" w:eastAsia="Times New Roman" w:hAnsi="Times New Roman"/>
      <w:sz w:val="24"/>
      <w:szCs w:val="24"/>
      <w:lang w:eastAsia="en-US"/>
    </w:rPr>
  </w:style>
  <w:style w:type="paragraph" w:customStyle="1" w:styleId="AQISText">
    <w:name w:val="AQIS Text"/>
    <w:basedOn w:val="Normal"/>
    <w:link w:val="AQISTextChar"/>
    <w:rsid w:val="00E94405"/>
    <w:pPr>
      <w:widowControl w:val="0"/>
      <w:adjustRightInd w:val="0"/>
      <w:spacing w:before="160" w:line="280" w:lineRule="atLeast"/>
      <w:jc w:val="both"/>
      <w:textAlignment w:val="baseline"/>
    </w:pPr>
    <w:rPr>
      <w:szCs w:val="20"/>
    </w:rPr>
  </w:style>
  <w:style w:type="character" w:customStyle="1" w:styleId="AQISTextChar">
    <w:name w:val="AQIS Text Char"/>
    <w:basedOn w:val="DefaultParagraphFont"/>
    <w:link w:val="AQISText"/>
    <w:rsid w:val="00E94405"/>
    <w:rPr>
      <w:rFonts w:ascii="Times New Roman" w:eastAsia="Times New Roman" w:hAnsi="Times New Roman"/>
      <w:sz w:val="22"/>
      <w:lang w:eastAsia="en-US"/>
    </w:rPr>
  </w:style>
  <w:style w:type="paragraph" w:styleId="BodyText2">
    <w:name w:val="Body Text 2"/>
    <w:basedOn w:val="Normal"/>
    <w:link w:val="BodyText2Char"/>
    <w:uiPriority w:val="99"/>
    <w:rsid w:val="00E94405"/>
    <w:pPr>
      <w:spacing w:line="288" w:lineRule="auto"/>
      <w:jc w:val="both"/>
    </w:pPr>
    <w:rPr>
      <w:szCs w:val="20"/>
    </w:rPr>
  </w:style>
  <w:style w:type="character" w:customStyle="1" w:styleId="BodyText2Char">
    <w:name w:val="Body Text 2 Char"/>
    <w:basedOn w:val="DefaultParagraphFont"/>
    <w:link w:val="BodyText2"/>
    <w:uiPriority w:val="99"/>
    <w:rsid w:val="00E94405"/>
    <w:rPr>
      <w:rFonts w:ascii="Times New Roman" w:eastAsia="Times New Roman" w:hAnsi="Times New Roman"/>
      <w:sz w:val="24"/>
      <w:lang w:eastAsia="en-US"/>
    </w:rPr>
  </w:style>
  <w:style w:type="paragraph" w:customStyle="1" w:styleId="BAHeader3">
    <w:name w:val="BA Header 3"/>
    <w:basedOn w:val="Normal"/>
    <w:next w:val="Normal"/>
    <w:link w:val="BAHeader3CharChar"/>
    <w:uiPriority w:val="99"/>
    <w:rsid w:val="00E94405"/>
    <w:pPr>
      <w:keepNext/>
      <w:keepLines/>
      <w:numPr>
        <w:ilvl w:val="2"/>
        <w:numId w:val="11"/>
      </w:numPr>
      <w:spacing w:before="360" w:after="120" w:line="340" w:lineRule="atLeast"/>
      <w:outlineLvl w:val="2"/>
    </w:pPr>
    <w:rPr>
      <w:rFonts w:ascii="Arial" w:hAnsi="Arial"/>
      <w:b/>
    </w:rPr>
  </w:style>
  <w:style w:type="paragraph" w:customStyle="1" w:styleId="BAHeader1">
    <w:name w:val="BA Header 1"/>
    <w:basedOn w:val="Normal"/>
    <w:next w:val="Normal"/>
    <w:link w:val="BAHeader1CharChar"/>
    <w:uiPriority w:val="99"/>
    <w:rsid w:val="00E94405"/>
    <w:pPr>
      <w:pageBreakBefore/>
      <w:widowControl w:val="0"/>
      <w:numPr>
        <w:numId w:val="11"/>
      </w:numPr>
      <w:pBdr>
        <w:bottom w:val="single" w:sz="4" w:space="1" w:color="auto"/>
      </w:pBdr>
      <w:spacing w:before="120" w:after="360" w:line="340" w:lineRule="atLeast"/>
      <w:outlineLvl w:val="0"/>
    </w:pPr>
    <w:rPr>
      <w:rFonts w:ascii="Arial" w:hAnsi="Arial"/>
      <w:b/>
      <w:sz w:val="28"/>
      <w:szCs w:val="28"/>
    </w:rPr>
  </w:style>
  <w:style w:type="paragraph" w:customStyle="1" w:styleId="BAHeader2">
    <w:name w:val="BA Header 2"/>
    <w:basedOn w:val="Normal"/>
    <w:next w:val="Normal"/>
    <w:link w:val="BAHeader2CharChar"/>
    <w:uiPriority w:val="99"/>
    <w:rsid w:val="00E94405"/>
    <w:pPr>
      <w:keepNext/>
      <w:keepLines/>
      <w:widowControl w:val="0"/>
      <w:numPr>
        <w:ilvl w:val="1"/>
        <w:numId w:val="11"/>
      </w:numPr>
      <w:spacing w:before="360" w:after="120" w:line="340" w:lineRule="atLeast"/>
      <w:outlineLvl w:val="1"/>
    </w:pPr>
    <w:rPr>
      <w:rFonts w:ascii="Arial" w:hAnsi="Arial"/>
      <w:b/>
      <w:sz w:val="28"/>
      <w:szCs w:val="28"/>
    </w:rPr>
  </w:style>
  <w:style w:type="character" w:customStyle="1" w:styleId="BAHeader2CharChar">
    <w:name w:val="BA Header 2 Char Char"/>
    <w:basedOn w:val="DefaultParagraphFont"/>
    <w:link w:val="BAHeader2"/>
    <w:uiPriority w:val="99"/>
    <w:rsid w:val="00E94405"/>
    <w:rPr>
      <w:rFonts w:ascii="Arial" w:eastAsia="Times New Roman" w:hAnsi="Arial"/>
      <w:b/>
      <w:noProof/>
      <w:sz w:val="28"/>
      <w:szCs w:val="28"/>
    </w:rPr>
  </w:style>
  <w:style w:type="paragraph" w:customStyle="1" w:styleId="Default">
    <w:name w:val="Default"/>
    <w:rsid w:val="00E94405"/>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unhideWhenUsed/>
    <w:rsid w:val="00E94405"/>
    <w:pPr>
      <w:spacing w:after="120"/>
      <w:ind w:left="283"/>
    </w:pPr>
  </w:style>
  <w:style w:type="character" w:customStyle="1" w:styleId="BodyTextIndentChar">
    <w:name w:val="Body Text Indent Char"/>
    <w:basedOn w:val="DefaultParagraphFont"/>
    <w:link w:val="BodyTextIndent"/>
    <w:uiPriority w:val="99"/>
    <w:rsid w:val="00E94405"/>
    <w:rPr>
      <w:rFonts w:eastAsia="Times New Roman"/>
      <w:sz w:val="22"/>
      <w:szCs w:val="24"/>
      <w:lang w:eastAsia="en-US"/>
    </w:rPr>
  </w:style>
  <w:style w:type="character" w:customStyle="1" w:styleId="Heading6Char">
    <w:name w:val="Heading 6 Char"/>
    <w:basedOn w:val="DefaultParagraphFont"/>
    <w:link w:val="Heading6"/>
    <w:uiPriority w:val="9"/>
    <w:rsid w:val="00E94405"/>
    <w:rPr>
      <w:rFonts w:ascii="Arial" w:eastAsia="Times New Roman" w:hAnsi="Arial"/>
      <w:b/>
      <w:sz w:val="22"/>
      <w:lang w:eastAsia="en-US"/>
    </w:rPr>
  </w:style>
  <w:style w:type="character" w:customStyle="1" w:styleId="Heading7Char">
    <w:name w:val="Heading 7 Char"/>
    <w:basedOn w:val="DefaultParagraphFont"/>
    <w:link w:val="Heading7"/>
    <w:uiPriority w:val="9"/>
    <w:rsid w:val="00E94405"/>
    <w:rPr>
      <w:rFonts w:ascii="Arial" w:eastAsia="Times New Roman" w:hAnsi="Arial" w:cs="Arial"/>
      <w:b/>
      <w:bCs/>
      <w:szCs w:val="24"/>
      <w:lang w:eastAsia="en-US"/>
    </w:rPr>
  </w:style>
  <w:style w:type="character" w:customStyle="1" w:styleId="Heading8Char">
    <w:name w:val="Heading 8 Char"/>
    <w:basedOn w:val="DefaultParagraphFont"/>
    <w:link w:val="Heading8"/>
    <w:uiPriority w:val="9"/>
    <w:rsid w:val="00E94405"/>
    <w:rPr>
      <w:rFonts w:ascii="Helvetica" w:eastAsia="Times New Roman" w:hAnsi="Helvetica"/>
      <w:b/>
      <w:bCs/>
      <w:szCs w:val="24"/>
      <w:lang w:eastAsia="en-US"/>
    </w:rPr>
  </w:style>
  <w:style w:type="character" w:customStyle="1" w:styleId="Heading9Char">
    <w:name w:val="Heading 9 Char"/>
    <w:basedOn w:val="DefaultParagraphFont"/>
    <w:link w:val="Heading9"/>
    <w:uiPriority w:val="9"/>
    <w:rsid w:val="00E94405"/>
    <w:rPr>
      <w:rFonts w:ascii="Arial" w:eastAsia="Times New Roman" w:hAnsi="Arial" w:cs="Arial"/>
      <w:sz w:val="22"/>
      <w:szCs w:val="22"/>
      <w:lang w:eastAsia="en-US"/>
    </w:rPr>
  </w:style>
  <w:style w:type="paragraph" w:styleId="ListBullet3">
    <w:name w:val="List Bullet 3"/>
    <w:basedOn w:val="Normal"/>
    <w:autoRedefine/>
    <w:uiPriority w:val="99"/>
    <w:rsid w:val="00E94405"/>
    <w:pPr>
      <w:widowControl w:val="0"/>
      <w:tabs>
        <w:tab w:val="num" w:pos="0"/>
      </w:tabs>
      <w:spacing w:before="40" w:after="40" w:line="240" w:lineRule="atLeast"/>
      <w:ind w:left="72"/>
    </w:pPr>
    <w:rPr>
      <w:rFonts w:ascii="Verdana" w:hAnsi="Verdana" w:cs="Arial"/>
      <w:b/>
      <w:sz w:val="18"/>
      <w:szCs w:val="18"/>
    </w:rPr>
  </w:style>
  <w:style w:type="paragraph" w:customStyle="1" w:styleId="AQISPlate">
    <w:name w:val="AQIS Plate"/>
    <w:basedOn w:val="Normal"/>
    <w:next w:val="Normal"/>
    <w:uiPriority w:val="99"/>
    <w:rsid w:val="00E94405"/>
    <w:pPr>
      <w:tabs>
        <w:tab w:val="num" w:pos="720"/>
      </w:tabs>
      <w:spacing w:before="240" w:after="120" w:line="340" w:lineRule="atLeast"/>
      <w:ind w:left="360" w:hanging="360"/>
      <w:jc w:val="center"/>
    </w:pPr>
    <w:rPr>
      <w:b/>
      <w:szCs w:val="20"/>
    </w:rPr>
  </w:style>
  <w:style w:type="paragraph" w:customStyle="1" w:styleId="DotPoint">
    <w:name w:val="DotPoint"/>
    <w:basedOn w:val="Normal"/>
    <w:uiPriority w:val="99"/>
    <w:rsid w:val="00E94405"/>
    <w:pPr>
      <w:tabs>
        <w:tab w:val="num" w:pos="1557"/>
      </w:tabs>
      <w:overflowPunct w:val="0"/>
      <w:autoSpaceDE w:val="0"/>
      <w:autoSpaceDN w:val="0"/>
      <w:adjustRightInd w:val="0"/>
      <w:ind w:left="1557" w:hanging="425"/>
      <w:textAlignment w:val="baseline"/>
    </w:pPr>
    <w:rPr>
      <w:szCs w:val="20"/>
    </w:rPr>
  </w:style>
  <w:style w:type="paragraph" w:customStyle="1" w:styleId="Table">
    <w:name w:val="Table"/>
    <w:basedOn w:val="Normal"/>
    <w:uiPriority w:val="99"/>
    <w:qFormat/>
    <w:rsid w:val="00E94405"/>
    <w:pPr>
      <w:widowControl w:val="0"/>
      <w:numPr>
        <w:numId w:val="12"/>
      </w:numPr>
      <w:spacing w:line="340" w:lineRule="atLeast"/>
      <w:jc w:val="center"/>
    </w:pPr>
    <w:rPr>
      <w:rFonts w:ascii="Arial" w:hAnsi="Arial"/>
      <w:b/>
      <w:sz w:val="20"/>
      <w:szCs w:val="20"/>
    </w:rPr>
  </w:style>
  <w:style w:type="paragraph" w:styleId="BodyText3">
    <w:name w:val="Body Text 3"/>
    <w:basedOn w:val="Normal"/>
    <w:link w:val="BodyText3Char"/>
    <w:uiPriority w:val="99"/>
    <w:rsid w:val="00E94405"/>
    <w:pPr>
      <w:widowControl w:val="0"/>
      <w:spacing w:before="120" w:after="240" w:line="340" w:lineRule="atLeast"/>
    </w:pPr>
    <w:rPr>
      <w:rFonts w:ascii="Arial" w:hAnsi="Arial"/>
      <w:b/>
      <w:sz w:val="28"/>
      <w:szCs w:val="20"/>
    </w:rPr>
  </w:style>
  <w:style w:type="character" w:customStyle="1" w:styleId="BodyText3Char">
    <w:name w:val="Body Text 3 Char"/>
    <w:basedOn w:val="DefaultParagraphFont"/>
    <w:link w:val="BodyText3"/>
    <w:uiPriority w:val="99"/>
    <w:rsid w:val="00E94405"/>
    <w:rPr>
      <w:rFonts w:ascii="Arial" w:eastAsia="Times New Roman" w:hAnsi="Arial"/>
      <w:b/>
      <w:sz w:val="28"/>
      <w:lang w:eastAsia="en-US"/>
    </w:rPr>
  </w:style>
  <w:style w:type="paragraph" w:customStyle="1" w:styleId="AQIS3">
    <w:name w:val="AQIS3"/>
    <w:basedOn w:val="Normal"/>
    <w:next w:val="AQISText"/>
    <w:uiPriority w:val="99"/>
    <w:rsid w:val="00E94405"/>
    <w:pPr>
      <w:keepNext/>
      <w:keepLines/>
      <w:spacing w:before="600" w:after="120" w:line="340" w:lineRule="atLeast"/>
    </w:pPr>
    <w:rPr>
      <w:rFonts w:ascii="Arial" w:hAnsi="Arial"/>
      <w:b/>
      <w:caps/>
      <w:szCs w:val="20"/>
    </w:rPr>
  </w:style>
  <w:style w:type="paragraph" w:customStyle="1" w:styleId="AQISTextCharCharChar">
    <w:name w:val="AQIS Text Char Char Char"/>
    <w:basedOn w:val="Normal"/>
    <w:uiPriority w:val="99"/>
    <w:rsid w:val="00E94405"/>
    <w:pPr>
      <w:spacing w:before="160" w:line="280" w:lineRule="atLeast"/>
    </w:pPr>
  </w:style>
  <w:style w:type="paragraph" w:customStyle="1" w:styleId="AQISTableText">
    <w:name w:val="AQIS Table Text"/>
    <w:basedOn w:val="AQISText"/>
    <w:link w:val="AQISTableTextChar"/>
    <w:uiPriority w:val="99"/>
    <w:rsid w:val="00E94405"/>
    <w:pPr>
      <w:widowControl/>
      <w:adjustRightInd/>
      <w:spacing w:before="60" w:after="60"/>
      <w:jc w:val="left"/>
      <w:textAlignment w:val="auto"/>
    </w:pPr>
    <w:rPr>
      <w:sz w:val="20"/>
    </w:rPr>
  </w:style>
  <w:style w:type="paragraph" w:customStyle="1" w:styleId="AQIS6">
    <w:name w:val="AQIS6"/>
    <w:basedOn w:val="AQISText"/>
    <w:next w:val="AQISText"/>
    <w:uiPriority w:val="99"/>
    <w:rsid w:val="00E94405"/>
    <w:pPr>
      <w:keepNext/>
      <w:keepLines/>
      <w:widowControl/>
      <w:adjustRightInd/>
      <w:spacing w:before="360"/>
      <w:jc w:val="left"/>
      <w:textAlignment w:val="auto"/>
    </w:pPr>
    <w:rPr>
      <w:rFonts w:ascii="Arial" w:hAnsi="Arial"/>
      <w:b/>
    </w:rPr>
  </w:style>
  <w:style w:type="paragraph" w:styleId="BodyText">
    <w:name w:val="Body Text"/>
    <w:basedOn w:val="Normal"/>
    <w:link w:val="BodyTextChar"/>
    <w:rsid w:val="00E94405"/>
    <w:pPr>
      <w:widowControl w:val="0"/>
      <w:spacing w:before="240" w:after="120" w:line="340" w:lineRule="atLeast"/>
      <w:jc w:val="center"/>
    </w:pPr>
    <w:rPr>
      <w:b/>
      <w:sz w:val="28"/>
      <w:szCs w:val="20"/>
    </w:rPr>
  </w:style>
  <w:style w:type="character" w:customStyle="1" w:styleId="BodyTextChar">
    <w:name w:val="Body Text Char"/>
    <w:basedOn w:val="DefaultParagraphFont"/>
    <w:link w:val="BodyText"/>
    <w:rsid w:val="00E94405"/>
    <w:rPr>
      <w:rFonts w:ascii="Times New Roman" w:eastAsia="Times New Roman" w:hAnsi="Times New Roman"/>
      <w:b/>
      <w:sz w:val="28"/>
      <w:lang w:eastAsia="en-US"/>
    </w:rPr>
  </w:style>
  <w:style w:type="paragraph" w:customStyle="1" w:styleId="AQISsub2">
    <w:name w:val="AQISsub 2"/>
    <w:basedOn w:val="Normal"/>
    <w:next w:val="Normal"/>
    <w:uiPriority w:val="99"/>
    <w:rsid w:val="00E94405"/>
    <w:pPr>
      <w:keepNext/>
      <w:keepLines/>
      <w:widowControl w:val="0"/>
      <w:tabs>
        <w:tab w:val="num" w:pos="360"/>
      </w:tabs>
      <w:spacing w:before="120" w:after="60" w:line="340" w:lineRule="atLeast"/>
      <w:ind w:left="360" w:hanging="360"/>
    </w:pPr>
    <w:rPr>
      <w:rFonts w:ascii="Arial" w:hAnsi="Arial"/>
      <w:b/>
      <w:sz w:val="20"/>
      <w:szCs w:val="20"/>
    </w:rPr>
  </w:style>
  <w:style w:type="paragraph" w:customStyle="1" w:styleId="AQIS2">
    <w:name w:val="AQIS2"/>
    <w:basedOn w:val="AQIS1"/>
    <w:uiPriority w:val="99"/>
    <w:rsid w:val="00E94405"/>
    <w:pPr>
      <w:pBdr>
        <w:bottom w:val="single" w:sz="8" w:space="1" w:color="auto"/>
      </w:pBdr>
      <w:spacing w:after="480"/>
    </w:pPr>
    <w:rPr>
      <w:sz w:val="26"/>
    </w:rPr>
  </w:style>
  <w:style w:type="paragraph" w:customStyle="1" w:styleId="AQIS1">
    <w:name w:val="AQIS1"/>
    <w:basedOn w:val="Normal"/>
    <w:next w:val="AQISText"/>
    <w:uiPriority w:val="99"/>
    <w:rsid w:val="00E94405"/>
    <w:pPr>
      <w:widowControl w:val="0"/>
      <w:pBdr>
        <w:bottom w:val="single" w:sz="4" w:space="1" w:color="auto"/>
      </w:pBdr>
      <w:spacing w:before="120" w:after="360" w:line="340" w:lineRule="atLeast"/>
      <w:jc w:val="right"/>
    </w:pPr>
    <w:rPr>
      <w:rFonts w:ascii="Arial" w:hAnsi="Arial"/>
      <w:b/>
      <w:caps/>
      <w:sz w:val="28"/>
      <w:szCs w:val="20"/>
    </w:rPr>
  </w:style>
  <w:style w:type="paragraph" w:styleId="BodyTextIndent3">
    <w:name w:val="Body Text Indent 3"/>
    <w:basedOn w:val="Normal"/>
    <w:link w:val="BodyTextIndent3Char"/>
    <w:uiPriority w:val="99"/>
    <w:rsid w:val="00E94405"/>
    <w:pPr>
      <w:ind w:left="1440" w:hanging="1440"/>
      <w:jc w:val="both"/>
    </w:pPr>
  </w:style>
  <w:style w:type="character" w:customStyle="1" w:styleId="BodyTextIndent3Char">
    <w:name w:val="Body Text Indent 3 Char"/>
    <w:basedOn w:val="DefaultParagraphFont"/>
    <w:link w:val="BodyTextIndent3"/>
    <w:uiPriority w:val="99"/>
    <w:rsid w:val="00E94405"/>
    <w:rPr>
      <w:rFonts w:ascii="Times New Roman" w:eastAsia="Times New Roman" w:hAnsi="Times New Roman"/>
      <w:sz w:val="24"/>
      <w:szCs w:val="24"/>
      <w:lang w:eastAsia="en-US"/>
    </w:rPr>
  </w:style>
  <w:style w:type="paragraph" w:customStyle="1" w:styleId="References">
    <w:name w:val="References"/>
    <w:basedOn w:val="BodyText"/>
    <w:link w:val="ReferencesChar"/>
    <w:uiPriority w:val="99"/>
    <w:rsid w:val="00E94405"/>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uiPriority w:val="99"/>
    <w:rsid w:val="00E94405"/>
  </w:style>
  <w:style w:type="paragraph" w:customStyle="1" w:styleId="para">
    <w:name w:val="para"/>
    <w:basedOn w:val="Normal"/>
    <w:next w:val="Normal"/>
    <w:uiPriority w:val="99"/>
    <w:rsid w:val="00E94405"/>
    <w:pPr>
      <w:spacing w:before="120" w:after="240"/>
    </w:pPr>
    <w:rPr>
      <w:szCs w:val="20"/>
    </w:rPr>
  </w:style>
  <w:style w:type="paragraph" w:styleId="BodyTextIndent2">
    <w:name w:val="Body Text Indent 2"/>
    <w:basedOn w:val="Normal"/>
    <w:link w:val="BodyTextIndent2Char"/>
    <w:uiPriority w:val="99"/>
    <w:rsid w:val="00E94405"/>
    <w:pPr>
      <w:spacing w:before="160" w:after="120" w:line="300" w:lineRule="atLeast"/>
      <w:ind w:left="1259" w:hanging="1259"/>
      <w:jc w:val="both"/>
    </w:pPr>
    <w:rPr>
      <w:rFonts w:ascii="Arial" w:hAnsi="Arial" w:cs="Arial"/>
      <w:b/>
      <w:bCs/>
    </w:rPr>
  </w:style>
  <w:style w:type="character" w:customStyle="1" w:styleId="BodyTextIndent2Char">
    <w:name w:val="Body Text Indent 2 Char"/>
    <w:basedOn w:val="DefaultParagraphFont"/>
    <w:link w:val="BodyTextIndent2"/>
    <w:uiPriority w:val="99"/>
    <w:rsid w:val="00E94405"/>
    <w:rPr>
      <w:rFonts w:ascii="Arial" w:eastAsia="Times New Roman" w:hAnsi="Arial" w:cs="Arial"/>
      <w:b/>
      <w:bCs/>
      <w:sz w:val="22"/>
      <w:szCs w:val="24"/>
      <w:lang w:eastAsia="en-US"/>
    </w:rPr>
  </w:style>
  <w:style w:type="paragraph" w:customStyle="1" w:styleId="AQIS5">
    <w:name w:val="AQIS5"/>
    <w:basedOn w:val="Normal"/>
    <w:next w:val="AQISText"/>
    <w:link w:val="AQIS5Char"/>
    <w:uiPriority w:val="99"/>
    <w:rsid w:val="00E94405"/>
    <w:pPr>
      <w:keepNext/>
      <w:keepLines/>
      <w:widowControl w:val="0"/>
      <w:spacing w:before="360" w:line="340" w:lineRule="atLeast"/>
    </w:pPr>
    <w:rPr>
      <w:rFonts w:ascii="Arial" w:hAnsi="Arial"/>
      <w:b/>
      <w:szCs w:val="20"/>
    </w:rPr>
  </w:style>
  <w:style w:type="paragraph" w:styleId="TOC4">
    <w:name w:val="toc 4"/>
    <w:basedOn w:val="Normal"/>
    <w:next w:val="Normal"/>
    <w:autoRedefine/>
    <w:uiPriority w:val="99"/>
    <w:semiHidden/>
    <w:rsid w:val="00E94405"/>
    <w:pPr>
      <w:tabs>
        <w:tab w:val="left" w:pos="1800"/>
        <w:tab w:val="right" w:leader="dot" w:pos="8755"/>
      </w:tabs>
      <w:spacing w:before="20" w:after="20" w:line="240" w:lineRule="atLeast"/>
      <w:ind w:left="1800" w:hanging="1080"/>
    </w:pPr>
    <w:rPr>
      <w:rFonts w:ascii="Helvetica" w:hAnsi="Helvetica"/>
      <w:i/>
      <w:sz w:val="20"/>
      <w:szCs w:val="20"/>
    </w:rPr>
  </w:style>
  <w:style w:type="paragraph" w:styleId="TOC5">
    <w:name w:val="toc 5"/>
    <w:basedOn w:val="Normal"/>
    <w:next w:val="Normal"/>
    <w:autoRedefine/>
    <w:uiPriority w:val="99"/>
    <w:semiHidden/>
    <w:rsid w:val="00E94405"/>
    <w:pPr>
      <w:tabs>
        <w:tab w:val="left" w:pos="2040"/>
        <w:tab w:val="right" w:leader="dot" w:pos="8755"/>
      </w:tabs>
      <w:ind w:left="960"/>
    </w:pPr>
    <w:rPr>
      <w:rFonts w:ascii="Arial" w:hAnsi="Arial" w:cs="Arial"/>
      <w:sz w:val="20"/>
      <w:szCs w:val="20"/>
    </w:rPr>
  </w:style>
  <w:style w:type="paragraph" w:styleId="TOC6">
    <w:name w:val="toc 6"/>
    <w:basedOn w:val="Normal"/>
    <w:next w:val="Normal"/>
    <w:autoRedefine/>
    <w:uiPriority w:val="99"/>
    <w:semiHidden/>
    <w:rsid w:val="00E94405"/>
    <w:pPr>
      <w:ind w:left="1200"/>
    </w:pPr>
  </w:style>
  <w:style w:type="paragraph" w:styleId="TOC7">
    <w:name w:val="toc 7"/>
    <w:basedOn w:val="Normal"/>
    <w:next w:val="Normal"/>
    <w:autoRedefine/>
    <w:uiPriority w:val="99"/>
    <w:semiHidden/>
    <w:rsid w:val="00E94405"/>
    <w:pPr>
      <w:ind w:left="1440"/>
    </w:pPr>
  </w:style>
  <w:style w:type="paragraph" w:styleId="TOC8">
    <w:name w:val="toc 8"/>
    <w:basedOn w:val="Normal"/>
    <w:next w:val="Normal"/>
    <w:autoRedefine/>
    <w:uiPriority w:val="99"/>
    <w:semiHidden/>
    <w:rsid w:val="00E94405"/>
    <w:pPr>
      <w:ind w:left="1680"/>
    </w:pPr>
  </w:style>
  <w:style w:type="paragraph" w:styleId="TOC9">
    <w:name w:val="toc 9"/>
    <w:basedOn w:val="Normal"/>
    <w:next w:val="Normal"/>
    <w:autoRedefine/>
    <w:uiPriority w:val="99"/>
    <w:semiHidden/>
    <w:rsid w:val="00E94405"/>
    <w:pPr>
      <w:ind w:left="1920"/>
    </w:pPr>
  </w:style>
  <w:style w:type="character" w:customStyle="1" w:styleId="goohl0">
    <w:name w:val="goohl0"/>
    <w:basedOn w:val="DefaultParagraphFont"/>
    <w:uiPriority w:val="99"/>
    <w:rsid w:val="00E94405"/>
  </w:style>
  <w:style w:type="character" w:customStyle="1" w:styleId="goohl1">
    <w:name w:val="goohl1"/>
    <w:basedOn w:val="DefaultParagraphFont"/>
    <w:uiPriority w:val="99"/>
    <w:rsid w:val="00E94405"/>
  </w:style>
  <w:style w:type="character" w:customStyle="1" w:styleId="goohl2">
    <w:name w:val="goohl2"/>
    <w:basedOn w:val="DefaultParagraphFont"/>
    <w:uiPriority w:val="99"/>
    <w:rsid w:val="00E94405"/>
  </w:style>
  <w:style w:type="character" w:customStyle="1" w:styleId="goohl3">
    <w:name w:val="goohl3"/>
    <w:basedOn w:val="DefaultParagraphFont"/>
    <w:uiPriority w:val="99"/>
    <w:rsid w:val="00E94405"/>
  </w:style>
  <w:style w:type="character" w:customStyle="1" w:styleId="homesmall">
    <w:name w:val="homesmall"/>
    <w:basedOn w:val="DefaultParagraphFont"/>
    <w:uiPriority w:val="99"/>
    <w:rsid w:val="00E94405"/>
  </w:style>
  <w:style w:type="paragraph" w:styleId="PlainText">
    <w:name w:val="Plain Text"/>
    <w:basedOn w:val="Normal"/>
    <w:link w:val="PlainTextChar"/>
    <w:uiPriority w:val="99"/>
    <w:rsid w:val="00E94405"/>
    <w:rPr>
      <w:rFonts w:ascii="Courier New" w:hAnsi="Courier New"/>
      <w:sz w:val="20"/>
      <w:szCs w:val="20"/>
    </w:rPr>
  </w:style>
  <w:style w:type="character" w:customStyle="1" w:styleId="PlainTextChar">
    <w:name w:val="Plain Text Char"/>
    <w:basedOn w:val="DefaultParagraphFont"/>
    <w:link w:val="PlainText"/>
    <w:uiPriority w:val="99"/>
    <w:rsid w:val="00E94405"/>
    <w:rPr>
      <w:rFonts w:ascii="Courier New" w:eastAsia="Times New Roman" w:hAnsi="Courier New"/>
      <w:lang w:eastAsia="en-US"/>
    </w:rPr>
  </w:style>
  <w:style w:type="paragraph" w:styleId="NormalIndent">
    <w:name w:val="Normal Indent"/>
    <w:basedOn w:val="Normal"/>
    <w:uiPriority w:val="99"/>
    <w:rsid w:val="00E94405"/>
    <w:pPr>
      <w:widowControl w:val="0"/>
      <w:spacing w:line="340" w:lineRule="atLeast"/>
      <w:ind w:left="720"/>
    </w:pPr>
    <w:rPr>
      <w:szCs w:val="20"/>
    </w:rPr>
  </w:style>
  <w:style w:type="paragraph" w:customStyle="1" w:styleId="DSUSubparaChar">
    <w:name w:val="DSU Sub para Char"/>
    <w:basedOn w:val="Normal"/>
    <w:rsid w:val="00E94405"/>
    <w:pPr>
      <w:numPr>
        <w:numId w:val="13"/>
      </w:numPr>
      <w:autoSpaceDE w:val="0"/>
      <w:autoSpaceDN w:val="0"/>
      <w:adjustRightInd w:val="0"/>
      <w:spacing w:before="240" w:after="240"/>
    </w:pPr>
    <w:rPr>
      <w:rFonts w:ascii="TimesNewRoman" w:eastAsia="SimSun" w:hAnsi="TimesNewRoman"/>
      <w:lang w:eastAsia="zh-CN"/>
    </w:rPr>
  </w:style>
  <w:style w:type="paragraph" w:customStyle="1" w:styleId="Heading1Egypt">
    <w:name w:val="Heading 1 Egypt"/>
    <w:basedOn w:val="Heading4"/>
    <w:next w:val="AQISText"/>
    <w:autoRedefine/>
    <w:rsid w:val="00E94405"/>
    <w:pPr>
      <w:keepLines w:val="0"/>
      <w:widowControl w:val="0"/>
      <w:numPr>
        <w:numId w:val="14"/>
      </w:numPr>
      <w:tabs>
        <w:tab w:val="clear" w:pos="360"/>
        <w:tab w:val="num" w:pos="432"/>
      </w:tabs>
      <w:spacing w:before="240" w:after="60" w:line="340" w:lineRule="atLeast"/>
      <w:ind w:left="432" w:hanging="432"/>
    </w:pPr>
    <w:rPr>
      <w:rFonts w:ascii="Arial" w:hAnsi="Arial"/>
      <w:bCs w:val="0"/>
      <w:iCs w:val="0"/>
      <w:caps/>
      <w:sz w:val="28"/>
      <w:szCs w:val="20"/>
    </w:rPr>
  </w:style>
  <w:style w:type="paragraph" w:customStyle="1" w:styleId="Heading3Egypt">
    <w:name w:val="Heading 3 Egypt"/>
    <w:basedOn w:val="Heading2"/>
    <w:autoRedefine/>
    <w:rsid w:val="00E94405"/>
    <w:pPr>
      <w:keepLines w:val="0"/>
      <w:numPr>
        <w:ilvl w:val="2"/>
        <w:numId w:val="14"/>
      </w:numPr>
      <w:tabs>
        <w:tab w:val="left" w:pos="1134"/>
      </w:tabs>
      <w:spacing w:before="240" w:after="60"/>
    </w:pPr>
    <w:rPr>
      <w:rFonts w:ascii="Arial" w:hAnsi="Arial"/>
      <w:bCs w:val="0"/>
      <w:i/>
      <w:sz w:val="24"/>
      <w:szCs w:val="20"/>
    </w:rPr>
  </w:style>
  <w:style w:type="paragraph" w:customStyle="1" w:styleId="Heading2Egypt">
    <w:name w:val="Heading 2 Egypt"/>
    <w:basedOn w:val="Heading1Egypt"/>
    <w:next w:val="AQISText"/>
    <w:autoRedefine/>
    <w:rsid w:val="00E94405"/>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uiPriority w:val="99"/>
    <w:rsid w:val="00E94405"/>
    <w:pPr>
      <w:keepNext/>
      <w:keepLines/>
      <w:widowControl w:val="0"/>
      <w:spacing w:before="360" w:line="340" w:lineRule="atLeast"/>
    </w:pPr>
    <w:rPr>
      <w:rFonts w:ascii="Arial" w:hAnsi="Arial"/>
      <w:b/>
      <w:szCs w:val="20"/>
    </w:rPr>
  </w:style>
  <w:style w:type="paragraph" w:customStyle="1" w:styleId="BAText1">
    <w:name w:val="BA Text 1"/>
    <w:basedOn w:val="Normal"/>
    <w:link w:val="BAText1Char"/>
    <w:uiPriority w:val="99"/>
    <w:rsid w:val="00E94405"/>
    <w:pPr>
      <w:spacing w:line="280" w:lineRule="atLeast"/>
      <w:jc w:val="both"/>
    </w:pPr>
    <w:rPr>
      <w:rFonts w:ascii="Times" w:hAnsi="Times"/>
    </w:rPr>
  </w:style>
  <w:style w:type="character" w:customStyle="1" w:styleId="BAText1Char">
    <w:name w:val="BA Text 1 Char"/>
    <w:basedOn w:val="DefaultParagraphFont"/>
    <w:link w:val="BAText1"/>
    <w:uiPriority w:val="99"/>
    <w:rsid w:val="00E94405"/>
    <w:rPr>
      <w:rFonts w:ascii="Times" w:eastAsia="Times New Roman" w:hAnsi="Times"/>
      <w:sz w:val="24"/>
      <w:szCs w:val="24"/>
      <w:lang w:eastAsia="en-US"/>
    </w:rPr>
  </w:style>
  <w:style w:type="paragraph" w:customStyle="1" w:styleId="BAText">
    <w:name w:val="BA Text"/>
    <w:basedOn w:val="Normal"/>
    <w:link w:val="BATextCharChar"/>
    <w:uiPriority w:val="99"/>
    <w:rsid w:val="00E94405"/>
    <w:pPr>
      <w:spacing w:after="120" w:line="260" w:lineRule="atLeast"/>
    </w:pPr>
    <w:rPr>
      <w:bCs/>
      <w:szCs w:val="20"/>
    </w:rPr>
  </w:style>
  <w:style w:type="character" w:customStyle="1" w:styleId="BATextCharChar">
    <w:name w:val="BA Text Char Char"/>
    <w:basedOn w:val="DefaultParagraphFont"/>
    <w:link w:val="BAText"/>
    <w:uiPriority w:val="99"/>
    <w:rsid w:val="00E94405"/>
    <w:rPr>
      <w:rFonts w:ascii="Times New Roman" w:eastAsia="Times New Roman" w:hAnsi="Times New Roman"/>
      <w:bCs/>
      <w:sz w:val="22"/>
      <w:lang w:eastAsia="en-US"/>
    </w:rPr>
  </w:style>
  <w:style w:type="paragraph" w:customStyle="1" w:styleId="BAText1bullet">
    <w:name w:val="BA Text 1 bullet"/>
    <w:basedOn w:val="BAText1"/>
    <w:link w:val="BAText1bulletChar"/>
    <w:uiPriority w:val="99"/>
    <w:rsid w:val="00E94405"/>
  </w:style>
  <w:style w:type="paragraph" w:customStyle="1" w:styleId="BAReftext1">
    <w:name w:val="BA Ref text 1"/>
    <w:basedOn w:val="Normal"/>
    <w:link w:val="BAReftext1Char"/>
    <w:uiPriority w:val="99"/>
    <w:rsid w:val="00E94405"/>
    <w:pPr>
      <w:tabs>
        <w:tab w:val="left" w:pos="360"/>
      </w:tabs>
      <w:spacing w:before="180" w:line="200" w:lineRule="atLeast"/>
      <w:ind w:left="357" w:hanging="357"/>
      <w:jc w:val="both"/>
    </w:pPr>
    <w:rPr>
      <w:rFonts w:ascii="Times" w:hAnsi="Times"/>
    </w:rPr>
  </w:style>
  <w:style w:type="character" w:customStyle="1" w:styleId="BAReftext1Char">
    <w:name w:val="BA Ref text 1 Char"/>
    <w:basedOn w:val="DefaultParagraphFont"/>
    <w:link w:val="BAReftext1"/>
    <w:uiPriority w:val="99"/>
    <w:rsid w:val="00E94405"/>
    <w:rPr>
      <w:rFonts w:ascii="Times" w:eastAsia="Times New Roman" w:hAnsi="Times"/>
      <w:sz w:val="24"/>
      <w:szCs w:val="22"/>
      <w:lang w:eastAsia="en-US"/>
    </w:rPr>
  </w:style>
  <w:style w:type="paragraph" w:customStyle="1" w:styleId="references0">
    <w:name w:val="references"/>
    <w:basedOn w:val="paraChar"/>
    <w:uiPriority w:val="99"/>
    <w:rsid w:val="00E94405"/>
    <w:pPr>
      <w:numPr>
        <w:numId w:val="0"/>
      </w:numPr>
      <w:tabs>
        <w:tab w:val="num" w:pos="567"/>
      </w:tabs>
      <w:ind w:left="851" w:hanging="851"/>
    </w:pPr>
  </w:style>
  <w:style w:type="paragraph" w:customStyle="1" w:styleId="paraChar">
    <w:name w:val="para Char"/>
    <w:basedOn w:val="Normal"/>
    <w:next w:val="Normal"/>
    <w:uiPriority w:val="99"/>
    <w:rsid w:val="00E94405"/>
    <w:pPr>
      <w:numPr>
        <w:numId w:val="15"/>
      </w:numPr>
      <w:tabs>
        <w:tab w:val="clear" w:pos="360"/>
      </w:tabs>
      <w:spacing w:before="120" w:after="240"/>
      <w:ind w:left="0" w:firstLine="0"/>
    </w:pPr>
    <w:rPr>
      <w:szCs w:val="20"/>
    </w:rPr>
  </w:style>
  <w:style w:type="character" w:customStyle="1" w:styleId="bigger1">
    <w:name w:val="bigger1"/>
    <w:basedOn w:val="DefaultParagraphFont"/>
    <w:uiPriority w:val="99"/>
    <w:rsid w:val="00E94405"/>
    <w:rPr>
      <w:sz w:val="27"/>
      <w:szCs w:val="27"/>
    </w:rPr>
  </w:style>
  <w:style w:type="paragraph" w:customStyle="1" w:styleId="fieldvalue">
    <w:name w:val="fieldvalue"/>
    <w:basedOn w:val="Normal"/>
    <w:uiPriority w:val="99"/>
    <w:rsid w:val="00E94405"/>
    <w:pPr>
      <w:spacing w:before="15" w:after="45"/>
      <w:ind w:right="90"/>
    </w:pPr>
    <w:rPr>
      <w:rFonts w:ascii="Verdana" w:hAnsi="Verdana"/>
      <w:color w:val="000000"/>
      <w:sz w:val="17"/>
      <w:szCs w:val="17"/>
    </w:rPr>
  </w:style>
  <w:style w:type="paragraph" w:customStyle="1" w:styleId="hangingnoindent">
    <w:name w:val="hangingnoindent"/>
    <w:basedOn w:val="Normal"/>
    <w:uiPriority w:val="99"/>
    <w:rsid w:val="00E94405"/>
    <w:pPr>
      <w:spacing w:after="120"/>
      <w:ind w:left="480" w:hanging="480"/>
    </w:pPr>
    <w:rPr>
      <w:sz w:val="19"/>
      <w:szCs w:val="19"/>
    </w:rPr>
  </w:style>
  <w:style w:type="paragraph" w:customStyle="1" w:styleId="AQISReferences">
    <w:name w:val="AQIS References"/>
    <w:basedOn w:val="Normal"/>
    <w:link w:val="AQISReferencesCharChar"/>
    <w:uiPriority w:val="99"/>
    <w:rsid w:val="00E94405"/>
    <w:pPr>
      <w:tabs>
        <w:tab w:val="left" w:pos="567"/>
        <w:tab w:val="left" w:pos="1134"/>
        <w:tab w:val="left" w:pos="1701"/>
        <w:tab w:val="left" w:pos="2268"/>
        <w:tab w:val="left" w:pos="2835"/>
        <w:tab w:val="left" w:pos="3402"/>
        <w:tab w:val="left" w:pos="3969"/>
      </w:tabs>
      <w:spacing w:after="120" w:line="288" w:lineRule="auto"/>
      <w:ind w:left="284" w:hanging="284"/>
    </w:pPr>
  </w:style>
  <w:style w:type="character" w:customStyle="1" w:styleId="AQISReferencesCharChar">
    <w:name w:val="AQIS References Char Char"/>
    <w:basedOn w:val="DefaultParagraphFont"/>
    <w:link w:val="AQISReferences"/>
    <w:uiPriority w:val="99"/>
    <w:rsid w:val="00E94405"/>
    <w:rPr>
      <w:rFonts w:ascii="Times New Roman" w:eastAsia="Times New Roman" w:hAnsi="Times New Roman"/>
      <w:sz w:val="24"/>
      <w:szCs w:val="24"/>
      <w:lang w:eastAsia="en-US"/>
    </w:rPr>
  </w:style>
  <w:style w:type="paragraph" w:customStyle="1" w:styleId="AQISFigure">
    <w:name w:val="AQIS Figure"/>
    <w:basedOn w:val="AQISText"/>
    <w:next w:val="AQISText"/>
    <w:uiPriority w:val="99"/>
    <w:rsid w:val="00E94405"/>
    <w:pPr>
      <w:widowControl/>
      <w:tabs>
        <w:tab w:val="left" w:pos="1134"/>
        <w:tab w:val="left" w:pos="1418"/>
      </w:tabs>
      <w:adjustRightInd/>
      <w:spacing w:before="360" w:after="360"/>
      <w:jc w:val="center"/>
      <w:textAlignment w:val="auto"/>
    </w:pPr>
    <w:rPr>
      <w:rFonts w:ascii="Arial" w:hAnsi="Arial"/>
      <w:b/>
    </w:rPr>
  </w:style>
  <w:style w:type="character" w:customStyle="1" w:styleId="BAHeader3CharChar">
    <w:name w:val="BA Header 3 Char Char"/>
    <w:basedOn w:val="DefaultParagraphFont"/>
    <w:link w:val="BAHeader3"/>
    <w:uiPriority w:val="99"/>
    <w:rsid w:val="00E94405"/>
    <w:rPr>
      <w:rFonts w:ascii="Arial" w:eastAsia="Times New Roman" w:hAnsi="Arial"/>
      <w:b/>
      <w:noProof/>
      <w:sz w:val="24"/>
      <w:szCs w:val="24"/>
    </w:rPr>
  </w:style>
  <w:style w:type="paragraph" w:customStyle="1" w:styleId="Bulletsingle">
    <w:name w:val="Bullet (single)"/>
    <w:basedOn w:val="Normal"/>
    <w:uiPriority w:val="99"/>
    <w:rsid w:val="00E94405"/>
    <w:pPr>
      <w:widowControl w:val="0"/>
      <w:numPr>
        <w:numId w:val="16"/>
      </w:numPr>
      <w:spacing w:before="60" w:line="340" w:lineRule="atLeast"/>
    </w:pPr>
    <w:rPr>
      <w:szCs w:val="20"/>
    </w:rPr>
  </w:style>
  <w:style w:type="paragraph" w:customStyle="1" w:styleId="dot0">
    <w:name w:val="dot"/>
    <w:basedOn w:val="Normal"/>
    <w:uiPriority w:val="99"/>
    <w:rsid w:val="00E94405"/>
    <w:pPr>
      <w:numPr>
        <w:numId w:val="29"/>
      </w:numPr>
    </w:pPr>
  </w:style>
  <w:style w:type="paragraph" w:customStyle="1" w:styleId="aqisnum0">
    <w:name w:val="aqisnum"/>
    <w:basedOn w:val="Normal"/>
    <w:uiPriority w:val="99"/>
    <w:rsid w:val="00E94405"/>
    <w:pPr>
      <w:spacing w:before="100" w:beforeAutospacing="1" w:after="100" w:afterAutospacing="1"/>
    </w:pPr>
  </w:style>
  <w:style w:type="table" w:styleId="TableSimple1">
    <w:name w:val="Table Simple 1"/>
    <w:basedOn w:val="TableNormal"/>
    <w:uiPriority w:val="99"/>
    <w:rsid w:val="00E94405"/>
    <w:pPr>
      <w:widowControl w:val="0"/>
      <w:spacing w:line="340" w:lineRule="atLeast"/>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uiPriority w:val="99"/>
    <w:rsid w:val="00E94405"/>
    <w:rPr>
      <w:rFonts w:ascii="arial sans-serif small" w:hAnsi="arial sans-serif small" w:hint="default"/>
      <w:color w:val="333333"/>
      <w:sz w:val="20"/>
      <w:szCs w:val="20"/>
    </w:rPr>
  </w:style>
  <w:style w:type="paragraph" w:customStyle="1" w:styleId="AppendixHeading1">
    <w:name w:val="Appendix Heading 1."/>
    <w:basedOn w:val="Heading1"/>
    <w:next w:val="Normal"/>
    <w:uiPriority w:val="99"/>
    <w:rsid w:val="00E94405"/>
    <w:pPr>
      <w:keepNext w:val="0"/>
      <w:keepLines w:val="0"/>
      <w:pageBreakBefore w:val="0"/>
      <w:widowControl w:val="0"/>
      <w:numPr>
        <w:numId w:val="17"/>
      </w:numPr>
      <w:pBdr>
        <w:bottom w:val="single" w:sz="4" w:space="1" w:color="auto"/>
      </w:pBdr>
      <w:tabs>
        <w:tab w:val="left" w:pos="1980"/>
      </w:tabs>
      <w:spacing w:before="120" w:after="360" w:line="340" w:lineRule="atLeast"/>
      <w:jc w:val="both"/>
    </w:pPr>
    <w:rPr>
      <w:rFonts w:ascii="Arial" w:hAnsi="Arial"/>
      <w:b/>
      <w:bCs w:val="0"/>
      <w:color w:val="auto"/>
      <w:sz w:val="28"/>
    </w:rPr>
  </w:style>
  <w:style w:type="paragraph" w:customStyle="1" w:styleId="Char1">
    <w:name w:val="Char1"/>
    <w:basedOn w:val="Normal"/>
    <w:uiPriority w:val="99"/>
    <w:rsid w:val="00E94405"/>
    <w:rPr>
      <w:rFonts w:ascii="Arial" w:hAnsi="Arial"/>
      <w:szCs w:val="20"/>
    </w:rPr>
  </w:style>
  <w:style w:type="paragraph" w:customStyle="1" w:styleId="BAAppend1">
    <w:name w:val="BA Append 1"/>
    <w:basedOn w:val="BAHeader1"/>
    <w:uiPriority w:val="99"/>
    <w:rsid w:val="00E94405"/>
    <w:pPr>
      <w:numPr>
        <w:numId w:val="0"/>
      </w:numPr>
    </w:pPr>
  </w:style>
  <w:style w:type="paragraph" w:customStyle="1" w:styleId="BAFigureHeading">
    <w:name w:val="BA Figure Heading"/>
    <w:basedOn w:val="Normal"/>
    <w:autoRedefine/>
    <w:uiPriority w:val="99"/>
    <w:rsid w:val="00E94405"/>
    <w:pPr>
      <w:spacing w:before="60" w:after="60"/>
    </w:pPr>
    <w:rPr>
      <w:rFonts w:ascii="Arial" w:hAnsi="Arial"/>
      <w:b/>
      <w:bCs/>
    </w:rPr>
  </w:style>
  <w:style w:type="character" w:customStyle="1" w:styleId="BAHeader1CharChar">
    <w:name w:val="BA Header 1 Char Char"/>
    <w:basedOn w:val="DefaultParagraphFont"/>
    <w:link w:val="BAHeader1"/>
    <w:uiPriority w:val="99"/>
    <w:rsid w:val="00E94405"/>
    <w:rPr>
      <w:rFonts w:ascii="Arial" w:eastAsia="Times New Roman" w:hAnsi="Arial"/>
      <w:b/>
      <w:noProof/>
      <w:sz w:val="28"/>
      <w:szCs w:val="28"/>
    </w:rPr>
  </w:style>
  <w:style w:type="paragraph" w:customStyle="1" w:styleId="Headernonumb">
    <w:name w:val="Header no numb"/>
    <w:basedOn w:val="BAHeader1"/>
    <w:uiPriority w:val="99"/>
    <w:rsid w:val="00E94405"/>
    <w:pPr>
      <w:numPr>
        <w:numId w:val="0"/>
      </w:numPr>
    </w:pPr>
  </w:style>
  <w:style w:type="paragraph" w:customStyle="1" w:styleId="NormalBulletafter">
    <w:name w:val="Normal Bullet after"/>
    <w:basedOn w:val="Normal"/>
    <w:uiPriority w:val="99"/>
    <w:rsid w:val="00E94405"/>
    <w:pPr>
      <w:spacing w:after="120"/>
    </w:pPr>
  </w:style>
  <w:style w:type="numbering" w:customStyle="1" w:styleId="Bullet">
    <w:name w:val="Bullet"/>
    <w:basedOn w:val="NoList"/>
    <w:link w:val="BulletChar"/>
    <w:rsid w:val="00E94405"/>
    <w:pPr>
      <w:numPr>
        <w:numId w:val="18"/>
      </w:numPr>
    </w:pPr>
  </w:style>
  <w:style w:type="paragraph" w:customStyle="1" w:styleId="Bulletlast">
    <w:name w:val="Bullet last"/>
    <w:basedOn w:val="Normal"/>
    <w:uiPriority w:val="99"/>
    <w:rsid w:val="00E94405"/>
    <w:pPr>
      <w:numPr>
        <w:numId w:val="19"/>
      </w:numPr>
      <w:spacing w:after="240"/>
    </w:pPr>
  </w:style>
  <w:style w:type="character" w:customStyle="1" w:styleId="bluetitle">
    <w:name w:val="bluetitle"/>
    <w:basedOn w:val="DefaultParagraphFont"/>
    <w:uiPriority w:val="99"/>
    <w:rsid w:val="00E94405"/>
  </w:style>
  <w:style w:type="paragraph" w:customStyle="1" w:styleId="BATableheader">
    <w:name w:val="BA Table header"/>
    <w:basedOn w:val="AQISText"/>
    <w:next w:val="AQISText"/>
    <w:uiPriority w:val="99"/>
    <w:rsid w:val="00E94405"/>
    <w:pPr>
      <w:widowControl/>
      <w:tabs>
        <w:tab w:val="num" w:pos="1134"/>
      </w:tabs>
      <w:adjustRightInd/>
      <w:spacing w:before="360" w:after="60"/>
      <w:ind w:left="1134" w:hanging="1134"/>
      <w:jc w:val="left"/>
      <w:textAlignment w:val="auto"/>
    </w:pPr>
    <w:rPr>
      <w:rFonts w:ascii="Arial" w:hAnsi="Arial"/>
      <w:b/>
    </w:rPr>
  </w:style>
  <w:style w:type="paragraph" w:customStyle="1" w:styleId="BAHeader4">
    <w:name w:val="BA Header 4"/>
    <w:link w:val="BAHeader4CharChar"/>
    <w:uiPriority w:val="99"/>
    <w:rsid w:val="00E94405"/>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uiPriority w:val="99"/>
    <w:rsid w:val="00E94405"/>
    <w:pPr>
      <w:numPr>
        <w:ilvl w:val="0"/>
        <w:numId w:val="0"/>
      </w:numPr>
      <w:tabs>
        <w:tab w:val="num" w:pos="1620"/>
      </w:tabs>
      <w:outlineLvl w:val="9"/>
    </w:pPr>
    <w:rPr>
      <w:sz w:val="20"/>
      <w:szCs w:val="20"/>
      <w:u w:val="single"/>
    </w:rPr>
  </w:style>
  <w:style w:type="paragraph" w:customStyle="1" w:styleId="Heading2a">
    <w:name w:val="Heading 2a"/>
    <w:basedOn w:val="Heading2"/>
    <w:uiPriority w:val="99"/>
    <w:rsid w:val="00E94405"/>
    <w:pPr>
      <w:keepLines w:val="0"/>
      <w:overflowPunct w:val="0"/>
      <w:autoSpaceDE w:val="0"/>
      <w:autoSpaceDN w:val="0"/>
      <w:adjustRightInd w:val="0"/>
      <w:spacing w:before="360" w:after="120" w:line="340" w:lineRule="atLeast"/>
      <w:textAlignment w:val="baseline"/>
      <w:outlineLvl w:val="9"/>
    </w:pPr>
    <w:rPr>
      <w:rFonts w:ascii="Arial" w:hAnsi="Arial" w:cs="Arial"/>
      <w:color w:val="000000"/>
      <w:sz w:val="28"/>
      <w:szCs w:val="20"/>
    </w:rPr>
  </w:style>
  <w:style w:type="paragraph" w:customStyle="1" w:styleId="BodyIndent">
    <w:name w:val="BodyIndent"/>
    <w:basedOn w:val="Normal"/>
    <w:uiPriority w:val="99"/>
    <w:rsid w:val="00E94405"/>
    <w:pPr>
      <w:numPr>
        <w:numId w:val="20"/>
      </w:numPr>
      <w:tabs>
        <w:tab w:val="left" w:pos="567"/>
        <w:tab w:val="left" w:pos="1134"/>
        <w:tab w:val="left" w:pos="1701"/>
        <w:tab w:val="left" w:pos="2268"/>
        <w:tab w:val="left" w:pos="2835"/>
        <w:tab w:val="left" w:pos="3402"/>
        <w:tab w:val="left" w:pos="3969"/>
      </w:tabs>
      <w:spacing w:before="120" w:after="120"/>
      <w:jc w:val="both"/>
    </w:pPr>
    <w:rPr>
      <w:szCs w:val="20"/>
    </w:rPr>
  </w:style>
  <w:style w:type="character" w:customStyle="1" w:styleId="BAHeader5Char">
    <w:name w:val="BA Header 5 Char"/>
    <w:basedOn w:val="DefaultParagraphFont"/>
    <w:link w:val="BAHeader5"/>
    <w:uiPriority w:val="99"/>
    <w:rsid w:val="00E94405"/>
    <w:rPr>
      <w:rFonts w:ascii="Arial" w:eastAsia="Times New Roman" w:hAnsi="Arial"/>
      <w:b/>
      <w:u w:val="single"/>
      <w:lang w:eastAsia="en-US"/>
    </w:rPr>
  </w:style>
  <w:style w:type="character" w:customStyle="1" w:styleId="BAHeader4CharChar">
    <w:name w:val="BA Header 4 Char Char"/>
    <w:basedOn w:val="BAHeader3CharChar"/>
    <w:link w:val="BAHeader4"/>
    <w:uiPriority w:val="99"/>
    <w:locked/>
    <w:rsid w:val="00E94405"/>
    <w:rPr>
      <w:rFonts w:ascii="Times New Roman" w:eastAsia="Times New Roman" w:hAnsi="Times New Roman"/>
      <w:b/>
      <w:sz w:val="24"/>
      <w:szCs w:val="22"/>
      <w:lang w:eastAsia="en-US"/>
    </w:rPr>
  </w:style>
  <w:style w:type="paragraph" w:customStyle="1" w:styleId="FigureName">
    <w:name w:val="FigureName"/>
    <w:basedOn w:val="Normal"/>
    <w:uiPriority w:val="99"/>
    <w:rsid w:val="00E94405"/>
    <w:pPr>
      <w:keepNext/>
      <w:keepLines/>
      <w:tabs>
        <w:tab w:val="left" w:pos="1276"/>
      </w:tabs>
      <w:spacing w:before="360" w:after="360" w:line="240" w:lineRule="atLeast"/>
      <w:ind w:left="1276" w:hanging="1276"/>
      <w:outlineLvl w:val="8"/>
    </w:pPr>
    <w:rPr>
      <w:rFonts w:ascii="Arial" w:hAnsi="Arial"/>
      <w:b/>
      <w:color w:val="000000"/>
    </w:rPr>
  </w:style>
  <w:style w:type="paragraph" w:customStyle="1" w:styleId="TableName">
    <w:name w:val="TableName"/>
    <w:basedOn w:val="Normal"/>
    <w:rsid w:val="00E94405"/>
    <w:pPr>
      <w:keepNext/>
      <w:keepLines/>
      <w:tabs>
        <w:tab w:val="left" w:pos="1440"/>
      </w:tabs>
      <w:spacing w:before="240" w:after="120"/>
      <w:ind w:left="1440" w:hanging="1440"/>
    </w:pPr>
    <w:rPr>
      <w:rFonts w:ascii="Arial Bold" w:hAnsi="Arial Bold"/>
      <w:b/>
      <w:color w:val="000000"/>
    </w:rPr>
  </w:style>
  <w:style w:type="character" w:customStyle="1" w:styleId="nlmyear">
    <w:name w:val="nlm_year"/>
    <w:basedOn w:val="DefaultParagraphFont"/>
    <w:uiPriority w:val="99"/>
    <w:rsid w:val="00E94405"/>
  </w:style>
  <w:style w:type="character" w:customStyle="1" w:styleId="citationsource-book1">
    <w:name w:val="citation_source-book1"/>
    <w:basedOn w:val="DefaultParagraphFont"/>
    <w:uiPriority w:val="99"/>
    <w:rsid w:val="00E94405"/>
    <w:rPr>
      <w:i/>
      <w:iCs/>
    </w:rPr>
  </w:style>
  <w:style w:type="character" w:customStyle="1" w:styleId="nlmpublisher-name">
    <w:name w:val="nlm_publisher-name"/>
    <w:basedOn w:val="DefaultParagraphFont"/>
    <w:uiPriority w:val="99"/>
    <w:rsid w:val="00E94405"/>
  </w:style>
  <w:style w:type="character" w:customStyle="1" w:styleId="nlmpublisher-loc">
    <w:name w:val="nlm_publisher-loc"/>
    <w:basedOn w:val="DefaultParagraphFont"/>
    <w:uiPriority w:val="99"/>
    <w:rsid w:val="00E94405"/>
  </w:style>
  <w:style w:type="character" w:customStyle="1" w:styleId="nlmarticle-title">
    <w:name w:val="nlm_article-title"/>
    <w:basedOn w:val="DefaultParagraphFont"/>
    <w:uiPriority w:val="99"/>
    <w:rsid w:val="00E94405"/>
  </w:style>
  <w:style w:type="character" w:customStyle="1" w:styleId="citationsource-journal1">
    <w:name w:val="citation_source-journal1"/>
    <w:basedOn w:val="DefaultParagraphFont"/>
    <w:uiPriority w:val="99"/>
    <w:rsid w:val="00E94405"/>
    <w:rPr>
      <w:i/>
      <w:iCs/>
    </w:rPr>
  </w:style>
  <w:style w:type="character" w:customStyle="1" w:styleId="nlmfpage">
    <w:name w:val="nlm_fpage"/>
    <w:basedOn w:val="DefaultParagraphFont"/>
    <w:uiPriority w:val="99"/>
    <w:rsid w:val="00E94405"/>
  </w:style>
  <w:style w:type="character" w:customStyle="1" w:styleId="nlmlpage">
    <w:name w:val="nlm_lpage"/>
    <w:basedOn w:val="DefaultParagraphFont"/>
    <w:uiPriority w:val="99"/>
    <w:rsid w:val="00E94405"/>
  </w:style>
  <w:style w:type="paragraph" w:customStyle="1" w:styleId="CharChar1Char">
    <w:name w:val="Char Char1 Char"/>
    <w:basedOn w:val="Normal"/>
    <w:uiPriority w:val="99"/>
    <w:rsid w:val="00E94405"/>
    <w:rPr>
      <w:rFonts w:ascii="Arial" w:hAnsi="Arial"/>
      <w:szCs w:val="20"/>
    </w:rPr>
  </w:style>
  <w:style w:type="paragraph" w:customStyle="1" w:styleId="A1Heading1">
    <w:name w:val="A1Heading 1"/>
    <w:basedOn w:val="Heading1"/>
    <w:link w:val="A1Heading1Char"/>
    <w:uiPriority w:val="99"/>
    <w:rsid w:val="00E94405"/>
    <w:pPr>
      <w:keepLines w:val="0"/>
      <w:pageBreakBefore w:val="0"/>
      <w:numPr>
        <w:numId w:val="21"/>
      </w:numPr>
      <w:tabs>
        <w:tab w:val="left" w:pos="1276"/>
      </w:tabs>
      <w:spacing w:before="300"/>
    </w:pPr>
    <w:rPr>
      <w:rFonts w:ascii="Arial" w:hAnsi="Arial"/>
      <w:b/>
      <w:color w:val="auto"/>
      <w:sz w:val="28"/>
      <w:szCs w:val="20"/>
    </w:rPr>
  </w:style>
  <w:style w:type="character" w:customStyle="1" w:styleId="A1Heading1Char">
    <w:name w:val="A1Heading 1 Char"/>
    <w:basedOn w:val="DefaultParagraphFont"/>
    <w:link w:val="A1Heading1"/>
    <w:uiPriority w:val="99"/>
    <w:rsid w:val="00E94405"/>
    <w:rPr>
      <w:rFonts w:ascii="Arial" w:eastAsia="Times New Roman" w:hAnsi="Arial"/>
      <w:b/>
      <w:bCs/>
      <w:noProof/>
      <w:sz w:val="28"/>
    </w:rPr>
  </w:style>
  <w:style w:type="paragraph" w:customStyle="1" w:styleId="A1Heading2">
    <w:name w:val="A1Heading 2"/>
    <w:basedOn w:val="Heading2"/>
    <w:uiPriority w:val="99"/>
    <w:rsid w:val="00E94405"/>
    <w:pPr>
      <w:keepLines w:val="0"/>
      <w:numPr>
        <w:numId w:val="21"/>
      </w:numPr>
      <w:spacing w:before="360" w:after="120"/>
      <w:jc w:val="both"/>
    </w:pPr>
    <w:rPr>
      <w:rFonts w:ascii="Arial" w:hAnsi="Arial"/>
      <w:b w:val="0"/>
      <w:bCs w:val="0"/>
      <w:sz w:val="28"/>
      <w:szCs w:val="20"/>
    </w:rPr>
  </w:style>
  <w:style w:type="paragraph" w:customStyle="1" w:styleId="A1Heading3">
    <w:name w:val="A1Heading 3"/>
    <w:basedOn w:val="Heading3"/>
    <w:uiPriority w:val="99"/>
    <w:rsid w:val="00E94405"/>
    <w:pPr>
      <w:tabs>
        <w:tab w:val="num" w:pos="432"/>
      </w:tabs>
      <w:spacing w:before="120" w:after="120"/>
      <w:ind w:left="432" w:hanging="432"/>
    </w:pPr>
    <w:rPr>
      <w:bCs w:val="0"/>
      <w:sz w:val="24"/>
      <w:szCs w:val="20"/>
    </w:rPr>
  </w:style>
  <w:style w:type="paragraph" w:customStyle="1" w:styleId="Style1dotpoints">
    <w:name w:val="Style1dotpoints"/>
    <w:basedOn w:val="Normal"/>
    <w:uiPriority w:val="99"/>
    <w:rsid w:val="00E94405"/>
    <w:pPr>
      <w:numPr>
        <w:numId w:val="22"/>
      </w:numPr>
      <w:spacing w:before="160"/>
      <w:ind w:left="714" w:hanging="357"/>
      <w:jc w:val="both"/>
    </w:pPr>
    <w:rPr>
      <w:b/>
      <w:szCs w:val="20"/>
    </w:rPr>
  </w:style>
  <w:style w:type="paragraph" w:customStyle="1" w:styleId="StyleBAHeader116ptLeft0cmFirstline0cm">
    <w:name w:val="Style BA Header 1 + 16 pt Left:  0 cm First line:  0 cm"/>
    <w:basedOn w:val="Normal"/>
    <w:uiPriority w:val="99"/>
    <w:rsid w:val="00E94405"/>
    <w:pPr>
      <w:pageBreakBefore/>
      <w:widowControl w:val="0"/>
      <w:numPr>
        <w:numId w:val="23"/>
      </w:numPr>
      <w:pBdr>
        <w:bottom w:val="single" w:sz="4" w:space="1" w:color="auto"/>
      </w:pBdr>
      <w:spacing w:before="120" w:after="360" w:line="340" w:lineRule="atLeast"/>
      <w:outlineLvl w:val="0"/>
    </w:pPr>
    <w:rPr>
      <w:rFonts w:ascii="Arial" w:hAnsi="Arial"/>
      <w:b/>
      <w:bCs/>
      <w:sz w:val="32"/>
      <w:szCs w:val="20"/>
    </w:rPr>
  </w:style>
  <w:style w:type="character" w:customStyle="1" w:styleId="info1">
    <w:name w:val="info1"/>
    <w:basedOn w:val="DefaultParagraphFont"/>
    <w:uiPriority w:val="99"/>
    <w:rsid w:val="00E94405"/>
    <w:rPr>
      <w:rFonts w:ascii="arial sans-serif" w:hAnsi="arial sans-serif" w:hint="default"/>
      <w:color w:val="000000"/>
      <w:sz w:val="20"/>
      <w:szCs w:val="20"/>
    </w:rPr>
  </w:style>
  <w:style w:type="character" w:customStyle="1" w:styleId="listnote1">
    <w:name w:val="listnote1"/>
    <w:basedOn w:val="DefaultParagraphFont"/>
    <w:uiPriority w:val="99"/>
    <w:rsid w:val="00E94405"/>
    <w:rPr>
      <w:rFonts w:ascii="arial sans-serif" w:hAnsi="arial sans-serif" w:hint="default"/>
      <w:i/>
      <w:iCs/>
      <w:sz w:val="20"/>
      <w:szCs w:val="20"/>
    </w:rPr>
  </w:style>
  <w:style w:type="paragraph" w:customStyle="1" w:styleId="PARAGSUIVANT">
    <w:name w:val="PARAG. SUIVANT"/>
    <w:basedOn w:val="Default"/>
    <w:next w:val="Default"/>
    <w:uiPriority w:val="99"/>
    <w:rsid w:val="00E94405"/>
    <w:rPr>
      <w:color w:val="auto"/>
    </w:rPr>
  </w:style>
  <w:style w:type="character" w:customStyle="1" w:styleId="BAText1bulletChar">
    <w:name w:val="BA Text 1 bullet Char"/>
    <w:basedOn w:val="BAText1Char"/>
    <w:link w:val="BAText1bullet"/>
    <w:uiPriority w:val="99"/>
    <w:locked/>
    <w:rsid w:val="00E94405"/>
    <w:rPr>
      <w:rFonts w:ascii="Times" w:eastAsia="Times New Roman" w:hAnsi="Times"/>
      <w:sz w:val="24"/>
      <w:szCs w:val="22"/>
      <w:lang w:eastAsia="en-US"/>
    </w:rPr>
  </w:style>
  <w:style w:type="paragraph" w:customStyle="1" w:styleId="text-body">
    <w:name w:val="text-body"/>
    <w:basedOn w:val="Normal"/>
    <w:uiPriority w:val="99"/>
    <w:rsid w:val="00E94405"/>
    <w:pPr>
      <w:spacing w:before="100" w:beforeAutospacing="1" w:after="100" w:afterAutospacing="1"/>
    </w:pPr>
    <w:rPr>
      <w:rFonts w:ascii="Arial" w:hAnsi="Arial" w:cs="Arial"/>
      <w:sz w:val="18"/>
      <w:szCs w:val="18"/>
    </w:rPr>
  </w:style>
  <w:style w:type="character" w:customStyle="1" w:styleId="text-body1">
    <w:name w:val="text-body1"/>
    <w:basedOn w:val="DefaultParagraphFont"/>
    <w:uiPriority w:val="99"/>
    <w:rsid w:val="00E94405"/>
    <w:rPr>
      <w:rFonts w:ascii="Arial" w:hAnsi="Arial" w:cs="Arial" w:hint="default"/>
      <w:b w:val="0"/>
      <w:bCs w:val="0"/>
      <w:strike w:val="0"/>
      <w:dstrike w:val="0"/>
      <w:sz w:val="18"/>
      <w:szCs w:val="18"/>
      <w:u w:val="none"/>
      <w:effect w:val="none"/>
    </w:rPr>
  </w:style>
  <w:style w:type="character" w:customStyle="1" w:styleId="BulletChar">
    <w:name w:val="Bullet Char"/>
    <w:basedOn w:val="DefaultParagraphFont"/>
    <w:link w:val="Bullet"/>
    <w:rsid w:val="00E94405"/>
    <w:rPr>
      <w:color w:val="000000"/>
      <w:sz w:val="24"/>
      <w:szCs w:val="24"/>
      <w:lang w:eastAsia="en-US"/>
    </w:rPr>
  </w:style>
  <w:style w:type="paragraph" w:customStyle="1" w:styleId="Heading1appendix">
    <w:name w:val="Heading 1 (appendix)"/>
    <w:basedOn w:val="Normal"/>
    <w:uiPriority w:val="99"/>
    <w:rsid w:val="00E94405"/>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hAnsi="Arial"/>
      <w:b/>
      <w:color w:val="000000"/>
      <w:sz w:val="28"/>
      <w:szCs w:val="28"/>
    </w:rPr>
  </w:style>
  <w:style w:type="character" w:customStyle="1" w:styleId="Italiccharacters">
    <w:name w:val="Italic characters"/>
    <w:basedOn w:val="DefaultParagraphFont"/>
    <w:uiPriority w:val="99"/>
    <w:rsid w:val="00E94405"/>
    <w:rPr>
      <w:sz w:val="22"/>
      <w:lang w:val="en-AU" w:eastAsia="en-US" w:bidi="ar-SA"/>
    </w:rPr>
  </w:style>
  <w:style w:type="paragraph" w:customStyle="1" w:styleId="Heading2b">
    <w:name w:val="Heading 2b"/>
    <w:basedOn w:val="Normal"/>
    <w:uiPriority w:val="99"/>
    <w:rsid w:val="00E94405"/>
    <w:pPr>
      <w:widowControl w:val="0"/>
      <w:pBdr>
        <w:bottom w:val="single" w:sz="4" w:space="1" w:color="auto"/>
      </w:pBdr>
      <w:spacing w:before="120" w:after="360" w:line="340" w:lineRule="atLeast"/>
      <w:outlineLvl w:val="0"/>
    </w:pPr>
    <w:rPr>
      <w:rFonts w:ascii="Arial" w:hAnsi="Arial"/>
      <w:b/>
      <w:color w:val="000000"/>
      <w:sz w:val="28"/>
      <w:szCs w:val="28"/>
    </w:rPr>
  </w:style>
  <w:style w:type="paragraph" w:customStyle="1" w:styleId="Dash">
    <w:name w:val="Dash"/>
    <w:basedOn w:val="Normal"/>
    <w:uiPriority w:val="99"/>
    <w:rsid w:val="00E94405"/>
    <w:pPr>
      <w:numPr>
        <w:numId w:val="24"/>
      </w:numPr>
      <w:tabs>
        <w:tab w:val="clear" w:pos="1440"/>
        <w:tab w:val="num" w:pos="720"/>
      </w:tabs>
      <w:spacing w:after="180" w:line="275" w:lineRule="atLeast"/>
      <w:ind w:left="720"/>
    </w:pPr>
    <w:rPr>
      <w:color w:val="000000"/>
    </w:rPr>
  </w:style>
  <w:style w:type="paragraph" w:customStyle="1" w:styleId="TableHeadings">
    <w:name w:val="TableHeadings"/>
    <w:basedOn w:val="TableText0"/>
    <w:uiPriority w:val="99"/>
    <w:rsid w:val="00E94405"/>
    <w:pPr>
      <w:spacing w:before="40"/>
    </w:pPr>
    <w:rPr>
      <w:rFonts w:ascii="Arial" w:hAnsi="Arial"/>
      <w:b/>
    </w:rPr>
  </w:style>
  <w:style w:type="paragraph" w:customStyle="1" w:styleId="Body">
    <w:name w:val="Body"/>
    <w:basedOn w:val="Normal"/>
    <w:link w:val="BodyChar"/>
    <w:uiPriority w:val="99"/>
    <w:qFormat/>
    <w:rsid w:val="00E94405"/>
    <w:pPr>
      <w:spacing w:before="120"/>
      <w:jc w:val="both"/>
    </w:pPr>
    <w:rPr>
      <w:szCs w:val="20"/>
    </w:rPr>
  </w:style>
  <w:style w:type="paragraph" w:customStyle="1" w:styleId="mainheading">
    <w:name w:val="mainheading"/>
    <w:basedOn w:val="Normal"/>
    <w:uiPriority w:val="99"/>
    <w:rsid w:val="00E94405"/>
    <w:pPr>
      <w:spacing w:before="100" w:beforeAutospacing="1" w:after="100" w:afterAutospacing="1"/>
    </w:pPr>
    <w:rPr>
      <w:sz w:val="19"/>
      <w:szCs w:val="19"/>
    </w:rPr>
  </w:style>
  <w:style w:type="character" w:customStyle="1" w:styleId="taxoclass">
    <w:name w:val="taxoclass"/>
    <w:basedOn w:val="DefaultParagraphFont"/>
    <w:uiPriority w:val="99"/>
    <w:rsid w:val="00E94405"/>
  </w:style>
  <w:style w:type="character" w:customStyle="1" w:styleId="AQISTableTextChar">
    <w:name w:val="AQIS Table Text Char"/>
    <w:basedOn w:val="AQISTextChar"/>
    <w:link w:val="AQISTableText"/>
    <w:uiPriority w:val="99"/>
    <w:rsid w:val="00E94405"/>
    <w:rPr>
      <w:rFonts w:ascii="Times New Roman" w:eastAsia="Times New Roman" w:hAnsi="Times New Roman"/>
      <w:sz w:val="22"/>
      <w:lang w:eastAsia="en-US"/>
    </w:rPr>
  </w:style>
  <w:style w:type="character" w:customStyle="1" w:styleId="AQIS5Char">
    <w:name w:val="AQIS5 Char"/>
    <w:basedOn w:val="DefaultParagraphFont"/>
    <w:link w:val="AQIS5"/>
    <w:uiPriority w:val="99"/>
    <w:rsid w:val="00E94405"/>
    <w:rPr>
      <w:rFonts w:ascii="Arial" w:eastAsia="Times New Roman" w:hAnsi="Arial"/>
      <w:b/>
      <w:sz w:val="24"/>
      <w:lang w:eastAsia="en-US"/>
    </w:rPr>
  </w:style>
  <w:style w:type="paragraph" w:customStyle="1" w:styleId="Append4">
    <w:name w:val="Append 4"/>
    <w:basedOn w:val="Normal"/>
    <w:uiPriority w:val="99"/>
    <w:rsid w:val="00E94405"/>
    <w:pPr>
      <w:numPr>
        <w:numId w:val="25"/>
      </w:numPr>
    </w:pPr>
  </w:style>
  <w:style w:type="character" w:customStyle="1" w:styleId="smaller1">
    <w:name w:val="smaller1"/>
    <w:basedOn w:val="DefaultParagraphFont"/>
    <w:uiPriority w:val="99"/>
    <w:rsid w:val="00E94405"/>
    <w:rPr>
      <w:sz w:val="20"/>
      <w:szCs w:val="20"/>
    </w:rPr>
  </w:style>
  <w:style w:type="character" w:customStyle="1" w:styleId="cpctext1">
    <w:name w:val="cpctext1"/>
    <w:basedOn w:val="DefaultParagraphFont"/>
    <w:uiPriority w:val="99"/>
    <w:rsid w:val="00E94405"/>
    <w:rPr>
      <w:rFonts w:ascii="Arial" w:hAnsi="Arial" w:cs="Arial" w:hint="default"/>
      <w:sz w:val="20"/>
      <w:szCs w:val="20"/>
    </w:rPr>
  </w:style>
  <w:style w:type="character" w:customStyle="1" w:styleId="bluetitle1">
    <w:name w:val="bluetitle1"/>
    <w:basedOn w:val="DefaultParagraphFont"/>
    <w:uiPriority w:val="99"/>
    <w:rsid w:val="00E94405"/>
    <w:rPr>
      <w:b/>
      <w:bCs/>
      <w:color w:val="00BAE2"/>
    </w:rPr>
  </w:style>
  <w:style w:type="character" w:customStyle="1" w:styleId="author1">
    <w:name w:val="author1"/>
    <w:basedOn w:val="DefaultParagraphFont"/>
    <w:uiPriority w:val="99"/>
    <w:rsid w:val="00E94405"/>
    <w:rPr>
      <w:rFonts w:ascii="Arial" w:hAnsi="Arial" w:cs="Arial" w:hint="default"/>
      <w:color w:val="777777"/>
      <w:sz w:val="20"/>
      <w:szCs w:val="20"/>
    </w:rPr>
  </w:style>
  <w:style w:type="character" w:customStyle="1" w:styleId="bigblkbld1">
    <w:name w:val="bigblkbld1"/>
    <w:basedOn w:val="DefaultParagraphFont"/>
    <w:uiPriority w:val="99"/>
    <w:rsid w:val="00E94405"/>
    <w:rPr>
      <w:rFonts w:ascii="Arial" w:hAnsi="Arial" w:cs="Arial" w:hint="default"/>
      <w:b/>
      <w:bCs/>
      <w:i w:val="0"/>
      <w:iCs w:val="0"/>
      <w:color w:val="000000"/>
      <w:sz w:val="24"/>
      <w:szCs w:val="24"/>
    </w:rPr>
  </w:style>
  <w:style w:type="paragraph" w:customStyle="1" w:styleId="main">
    <w:name w:val="main"/>
    <w:basedOn w:val="Normal"/>
    <w:uiPriority w:val="99"/>
    <w:rsid w:val="00E94405"/>
    <w:pPr>
      <w:spacing w:before="240"/>
    </w:pPr>
    <w:rPr>
      <w:rFonts w:ascii="Tahoma" w:hAnsi="Tahoma" w:cs="Tahoma"/>
      <w:b/>
      <w:bCs/>
      <w:color w:val="660000"/>
      <w:sz w:val="34"/>
      <w:szCs w:val="34"/>
    </w:rPr>
  </w:style>
  <w:style w:type="character" w:customStyle="1" w:styleId="caps1">
    <w:name w:val="caps1"/>
    <w:basedOn w:val="DefaultParagraphFont"/>
    <w:uiPriority w:val="99"/>
    <w:rsid w:val="00E94405"/>
    <w:rPr>
      <w:caps/>
    </w:rPr>
  </w:style>
  <w:style w:type="character" w:customStyle="1" w:styleId="lowercase-small-caps1">
    <w:name w:val="lowercase-small-caps1"/>
    <w:basedOn w:val="DefaultParagraphFont"/>
    <w:uiPriority w:val="99"/>
    <w:rsid w:val="00E94405"/>
    <w:rPr>
      <w:smallCaps/>
    </w:rPr>
  </w:style>
  <w:style w:type="paragraph" w:customStyle="1" w:styleId="signed">
    <w:name w:val="signed"/>
    <w:basedOn w:val="Normal"/>
    <w:uiPriority w:val="99"/>
    <w:rsid w:val="00E94405"/>
    <w:pPr>
      <w:spacing w:before="100" w:beforeAutospacing="1" w:after="100" w:afterAutospacing="1"/>
    </w:pPr>
  </w:style>
  <w:style w:type="character" w:customStyle="1" w:styleId="small-caps1">
    <w:name w:val="small-caps1"/>
    <w:basedOn w:val="DefaultParagraphFont"/>
    <w:uiPriority w:val="99"/>
    <w:rsid w:val="00E94405"/>
    <w:rPr>
      <w:smallCaps/>
    </w:rPr>
  </w:style>
  <w:style w:type="paragraph" w:customStyle="1" w:styleId="byline">
    <w:name w:val="byline"/>
    <w:basedOn w:val="Normal"/>
    <w:uiPriority w:val="99"/>
    <w:rsid w:val="00E94405"/>
    <w:pPr>
      <w:spacing w:before="100" w:beforeAutospacing="1" w:after="100" w:afterAutospacing="1"/>
    </w:pPr>
  </w:style>
  <w:style w:type="paragraph" w:customStyle="1" w:styleId="style1dotpoints0">
    <w:name w:val="style1dotpoints"/>
    <w:basedOn w:val="Normal"/>
    <w:uiPriority w:val="99"/>
    <w:rsid w:val="00E94405"/>
    <w:pPr>
      <w:numPr>
        <w:numId w:val="26"/>
      </w:numPr>
      <w:spacing w:before="160"/>
      <w:jc w:val="both"/>
    </w:pPr>
    <w:rPr>
      <w:szCs w:val="20"/>
    </w:rPr>
  </w:style>
  <w:style w:type="numbering" w:customStyle="1" w:styleId="StyleBulleted11pt">
    <w:name w:val="Style Bulleted 11 pt"/>
    <w:basedOn w:val="NoList"/>
    <w:rsid w:val="00E94405"/>
    <w:pPr>
      <w:numPr>
        <w:numId w:val="27"/>
      </w:numPr>
    </w:pPr>
  </w:style>
  <w:style w:type="paragraph" w:customStyle="1" w:styleId="BAAppend2">
    <w:name w:val="BA Append 2"/>
    <w:basedOn w:val="BAHeader2"/>
    <w:uiPriority w:val="99"/>
    <w:rsid w:val="00E94405"/>
    <w:pPr>
      <w:numPr>
        <w:numId w:val="28"/>
      </w:numPr>
      <w:tabs>
        <w:tab w:val="clear" w:pos="1116"/>
        <w:tab w:val="num" w:pos="1440"/>
      </w:tabs>
      <w:ind w:left="1440" w:hanging="360"/>
    </w:pPr>
  </w:style>
  <w:style w:type="paragraph" w:customStyle="1" w:styleId="BAAppend3">
    <w:name w:val="BA Append 3"/>
    <w:basedOn w:val="BAHeader3"/>
    <w:uiPriority w:val="99"/>
    <w:rsid w:val="00E94405"/>
    <w:pPr>
      <w:numPr>
        <w:numId w:val="28"/>
      </w:numPr>
      <w:tabs>
        <w:tab w:val="clear" w:pos="720"/>
        <w:tab w:val="num" w:pos="2160"/>
      </w:tabs>
      <w:ind w:left="2160" w:hanging="360"/>
    </w:pPr>
  </w:style>
  <w:style w:type="character" w:customStyle="1" w:styleId="sCharChar">
    <w:name w:val="s Char Char"/>
    <w:basedOn w:val="DefaultParagraphFont"/>
    <w:uiPriority w:val="99"/>
    <w:semiHidden/>
    <w:locked/>
    <w:rsid w:val="00E94405"/>
    <w:rPr>
      <w:bCs/>
      <w:i/>
      <w:iCs/>
      <w:color w:val="000000"/>
      <w:sz w:val="24"/>
      <w:szCs w:val="26"/>
      <w:lang w:val="en-AU" w:eastAsia="en-US" w:bidi="ar-SA"/>
    </w:rPr>
  </w:style>
  <w:style w:type="character" w:customStyle="1" w:styleId="CharChar5">
    <w:name w:val="Char Char5"/>
    <w:basedOn w:val="DefaultParagraphFont"/>
    <w:uiPriority w:val="99"/>
    <w:semiHidden/>
    <w:locked/>
    <w:rsid w:val="00E94405"/>
    <w:rPr>
      <w:rFonts w:cs="Times New Roman"/>
      <w:sz w:val="20"/>
      <w:szCs w:val="20"/>
      <w:lang w:eastAsia="en-US"/>
    </w:rPr>
  </w:style>
  <w:style w:type="character" w:customStyle="1" w:styleId="BAHeader5CharChar">
    <w:name w:val="BA Header 5 Char Char"/>
    <w:basedOn w:val="DefaultParagraphFont"/>
    <w:uiPriority w:val="99"/>
    <w:locked/>
    <w:rsid w:val="00E94405"/>
    <w:rPr>
      <w:rFonts w:cs="Times New Roman"/>
      <w:b/>
      <w:i/>
      <w:sz w:val="24"/>
      <w:lang w:val="en-AU" w:eastAsia="en-US" w:bidi="ar-SA"/>
    </w:rPr>
  </w:style>
  <w:style w:type="paragraph" w:customStyle="1" w:styleId="BAHeader1-unnumbered">
    <w:name w:val="BA Header 1 - unnumbered"/>
    <w:basedOn w:val="Normal"/>
    <w:next w:val="Normal"/>
    <w:link w:val="BAHeader1-unnumberedCharChar"/>
    <w:uiPriority w:val="99"/>
    <w:rsid w:val="00E94405"/>
    <w:pPr>
      <w:pageBreakBefore/>
      <w:widowControl w:val="0"/>
      <w:pBdr>
        <w:bottom w:val="single" w:sz="4" w:space="1" w:color="auto"/>
      </w:pBdr>
      <w:spacing w:before="120" w:after="360" w:line="340" w:lineRule="atLeast"/>
      <w:outlineLvl w:val="0"/>
    </w:pPr>
    <w:rPr>
      <w:rFonts w:ascii="Arial" w:hAnsi="Arial"/>
      <w:b/>
      <w:sz w:val="28"/>
      <w:szCs w:val="28"/>
    </w:rPr>
  </w:style>
  <w:style w:type="character" w:customStyle="1" w:styleId="BAHeader1-unnumberedCharChar">
    <w:name w:val="BA Header 1 - unnumbered Char Char"/>
    <w:basedOn w:val="DefaultParagraphFont"/>
    <w:link w:val="BAHeader1-unnumbered"/>
    <w:uiPriority w:val="99"/>
    <w:locked/>
    <w:rsid w:val="00E94405"/>
    <w:rPr>
      <w:rFonts w:ascii="Arial" w:eastAsia="Times New Roman" w:hAnsi="Arial"/>
      <w:b/>
      <w:sz w:val="28"/>
      <w:szCs w:val="28"/>
      <w:lang w:eastAsia="en-US"/>
    </w:rPr>
  </w:style>
  <w:style w:type="paragraph" w:customStyle="1" w:styleId="BAFiguretext">
    <w:name w:val="BA Figure text"/>
    <w:basedOn w:val="BATableheader"/>
    <w:next w:val="Normal"/>
    <w:uiPriority w:val="99"/>
    <w:rsid w:val="00E94405"/>
    <w:pPr>
      <w:tabs>
        <w:tab w:val="num" w:pos="1276"/>
      </w:tabs>
      <w:autoSpaceDE w:val="0"/>
      <w:autoSpaceDN w:val="0"/>
      <w:adjustRightInd w:val="0"/>
      <w:spacing w:before="0" w:after="240"/>
      <w:ind w:left="1276" w:hanging="1276"/>
      <w:jc w:val="both"/>
    </w:pPr>
  </w:style>
  <w:style w:type="paragraph" w:customStyle="1" w:styleId="BIBLIOGRAPHIE">
    <w:name w:val="BIBLIOGRAPHIE"/>
    <w:basedOn w:val="Default"/>
    <w:next w:val="Default"/>
    <w:uiPriority w:val="99"/>
    <w:rsid w:val="00E94405"/>
    <w:rPr>
      <w:color w:val="auto"/>
    </w:rPr>
  </w:style>
  <w:style w:type="character" w:customStyle="1" w:styleId="highlightedsearchterm">
    <w:name w:val="highlightedsearchterm"/>
    <w:basedOn w:val="DefaultParagraphFont"/>
    <w:uiPriority w:val="99"/>
    <w:rsid w:val="00E94405"/>
    <w:rPr>
      <w:rFonts w:cs="Times New Roman"/>
    </w:rPr>
  </w:style>
  <w:style w:type="paragraph" w:customStyle="1" w:styleId="Style1">
    <w:name w:val="Style1"/>
    <w:basedOn w:val="Heading3"/>
    <w:rsid w:val="00E94405"/>
    <w:pPr>
      <w:tabs>
        <w:tab w:val="left" w:pos="1260"/>
      </w:tabs>
      <w:spacing w:before="180" w:after="120" w:line="280" w:lineRule="atLeast"/>
    </w:pPr>
    <w:rPr>
      <w:rFonts w:ascii="Verdana" w:hAnsi="Verdana"/>
      <w:bCs w:val="0"/>
      <w:i/>
    </w:rPr>
  </w:style>
  <w:style w:type="character" w:customStyle="1" w:styleId="common3">
    <w:name w:val="common3"/>
    <w:basedOn w:val="DefaultParagraphFont"/>
    <w:uiPriority w:val="99"/>
    <w:rsid w:val="00E94405"/>
    <w:rPr>
      <w:rFonts w:ascii="Arial" w:hAnsi="Arial" w:cs="Arial"/>
      <w:sz w:val="17"/>
      <w:szCs w:val="17"/>
    </w:rPr>
  </w:style>
  <w:style w:type="paragraph" w:customStyle="1" w:styleId="AQISTitle">
    <w:name w:val="AQIS Title"/>
    <w:basedOn w:val="Title"/>
    <w:next w:val="Normal"/>
    <w:uiPriority w:val="99"/>
    <w:rsid w:val="00E94405"/>
    <w:pPr>
      <w:spacing w:before="720" w:after="360"/>
      <w:jc w:val="center"/>
    </w:pPr>
    <w:rPr>
      <w:rFonts w:ascii="Arial" w:hAnsi="Arial"/>
      <w:b w:val="0"/>
      <w:sz w:val="52"/>
      <w:szCs w:val="20"/>
    </w:rPr>
  </w:style>
  <w:style w:type="paragraph" w:customStyle="1" w:styleId="TOC41">
    <w:name w:val="TOC 41"/>
    <w:basedOn w:val="TOC1"/>
    <w:uiPriority w:val="99"/>
    <w:rsid w:val="00E94405"/>
    <w:pPr>
      <w:tabs>
        <w:tab w:val="clear" w:pos="426"/>
        <w:tab w:val="clear" w:pos="9072"/>
        <w:tab w:val="left" w:pos="900"/>
        <w:tab w:val="left" w:pos="1800"/>
        <w:tab w:val="right" w:leader="dot" w:pos="9000"/>
        <w:tab w:val="right" w:leader="dot" w:pos="9060"/>
      </w:tabs>
      <w:spacing w:before="240" w:after="0"/>
      <w:ind w:left="902" w:right="82" w:hanging="902"/>
    </w:pPr>
    <w:rPr>
      <w:rFonts w:ascii="Arial" w:hAnsi="Arial" w:cs="Arial"/>
      <w:szCs w:val="28"/>
    </w:rPr>
  </w:style>
  <w:style w:type="character" w:customStyle="1" w:styleId="family">
    <w:name w:val="family"/>
    <w:basedOn w:val="DefaultParagraphFont"/>
    <w:uiPriority w:val="99"/>
    <w:rsid w:val="00E94405"/>
  </w:style>
  <w:style w:type="paragraph" w:customStyle="1" w:styleId="Blotinmargin">
    <w:name w:val="Blot in margin"/>
    <w:basedOn w:val="Default"/>
    <w:next w:val="Default"/>
    <w:uiPriority w:val="99"/>
    <w:rsid w:val="00E94405"/>
    <w:rPr>
      <w:color w:val="auto"/>
    </w:rPr>
  </w:style>
  <w:style w:type="character" w:customStyle="1" w:styleId="addmd1">
    <w:name w:val="addmd1"/>
    <w:basedOn w:val="DefaultParagraphFont"/>
    <w:uiPriority w:val="99"/>
    <w:rsid w:val="00E94405"/>
    <w:rPr>
      <w:rFonts w:ascii="Arial" w:hAnsi="Arial" w:cs="Arial" w:hint="default"/>
      <w:sz w:val="20"/>
      <w:szCs w:val="20"/>
    </w:rPr>
  </w:style>
  <w:style w:type="character" w:customStyle="1" w:styleId="black9pt1">
    <w:name w:val="black9pt1"/>
    <w:basedOn w:val="DefaultParagraphFont"/>
    <w:uiPriority w:val="99"/>
    <w:rsid w:val="00E94405"/>
    <w:rPr>
      <w:color w:val="000000"/>
      <w:sz w:val="18"/>
      <w:szCs w:val="18"/>
    </w:rPr>
  </w:style>
  <w:style w:type="character" w:customStyle="1" w:styleId="a">
    <w:name w:val="a"/>
    <w:basedOn w:val="DefaultParagraphFont"/>
    <w:rsid w:val="00E94405"/>
  </w:style>
  <w:style w:type="paragraph" w:customStyle="1" w:styleId="Header1">
    <w:name w:val="Header1"/>
    <w:basedOn w:val="Normal"/>
    <w:uiPriority w:val="99"/>
    <w:rsid w:val="00E94405"/>
    <w:rPr>
      <w:rFonts w:ascii="Verdana" w:hAnsi="Verdana"/>
      <w:sz w:val="15"/>
      <w:szCs w:val="15"/>
    </w:rPr>
  </w:style>
  <w:style w:type="paragraph" w:customStyle="1" w:styleId="sub2">
    <w:name w:val="sub2"/>
    <w:basedOn w:val="Normal"/>
    <w:uiPriority w:val="99"/>
    <w:rsid w:val="00E94405"/>
    <w:rPr>
      <w:rFonts w:ascii="Verdana" w:hAnsi="Verdana" w:cs="Times"/>
      <w:b/>
      <w:bCs/>
      <w:color w:val="666699"/>
      <w:sz w:val="13"/>
      <w:szCs w:val="13"/>
    </w:rPr>
  </w:style>
  <w:style w:type="character" w:customStyle="1" w:styleId="doi">
    <w:name w:val="doi"/>
    <w:basedOn w:val="DefaultParagraphFont"/>
    <w:uiPriority w:val="99"/>
    <w:rsid w:val="00E94405"/>
  </w:style>
  <w:style w:type="character" w:customStyle="1" w:styleId="value">
    <w:name w:val="value"/>
    <w:basedOn w:val="DefaultParagraphFont"/>
    <w:uiPriority w:val="99"/>
    <w:rsid w:val="00E94405"/>
  </w:style>
  <w:style w:type="character" w:customStyle="1" w:styleId="label1">
    <w:name w:val="label1"/>
    <w:basedOn w:val="DefaultParagraphFont"/>
    <w:uiPriority w:val="99"/>
    <w:rsid w:val="00E94405"/>
  </w:style>
  <w:style w:type="character" w:customStyle="1" w:styleId="pagination">
    <w:name w:val="pagination"/>
    <w:basedOn w:val="DefaultParagraphFont"/>
    <w:uiPriority w:val="99"/>
    <w:rsid w:val="00E94405"/>
  </w:style>
  <w:style w:type="paragraph" w:customStyle="1" w:styleId="authornames">
    <w:name w:val="authornames"/>
    <w:basedOn w:val="Normal"/>
    <w:uiPriority w:val="99"/>
    <w:rsid w:val="00E94405"/>
    <w:pPr>
      <w:spacing w:before="100" w:beforeAutospacing="1" w:after="100" w:afterAutospacing="1"/>
    </w:pPr>
    <w:rPr>
      <w:rFonts w:ascii="Arial Unicode MS" w:eastAsia="Arial Unicode MS" w:hAnsi="Arial Unicode MS" w:cs="Arial Unicode MS"/>
      <w:b/>
      <w:bCs/>
      <w:color w:val="000000"/>
    </w:rPr>
  </w:style>
  <w:style w:type="character" w:customStyle="1" w:styleId="highlight">
    <w:name w:val="highlight"/>
    <w:basedOn w:val="DefaultParagraphFont"/>
    <w:uiPriority w:val="99"/>
    <w:rsid w:val="00E94405"/>
  </w:style>
  <w:style w:type="character" w:customStyle="1" w:styleId="CharChar6">
    <w:name w:val="Char Char6"/>
    <w:basedOn w:val="DefaultParagraphFont"/>
    <w:uiPriority w:val="99"/>
    <w:semiHidden/>
    <w:rsid w:val="00E94405"/>
    <w:rPr>
      <w:rFonts w:ascii="Times New Roman" w:eastAsia="Times New Roman" w:hAnsi="Times New Roman" w:cs="Times New Roman"/>
      <w:sz w:val="20"/>
      <w:szCs w:val="20"/>
      <w:lang w:val="en-AU"/>
    </w:rPr>
  </w:style>
  <w:style w:type="paragraph" w:customStyle="1" w:styleId="plain">
    <w:name w:val="plain"/>
    <w:basedOn w:val="Normal"/>
    <w:uiPriority w:val="99"/>
    <w:rsid w:val="00E94405"/>
    <w:pPr>
      <w:spacing w:before="100" w:beforeAutospacing="1" w:after="100" w:afterAutospacing="1"/>
      <w:ind w:right="720"/>
    </w:pPr>
    <w:rPr>
      <w:sz w:val="19"/>
      <w:szCs w:val="19"/>
    </w:rPr>
  </w:style>
  <w:style w:type="character" w:customStyle="1" w:styleId="ReferencesChar">
    <w:name w:val="References Char"/>
    <w:basedOn w:val="DefaultParagraphFont"/>
    <w:link w:val="References"/>
    <w:uiPriority w:val="99"/>
    <w:rsid w:val="00E94405"/>
    <w:rPr>
      <w:rFonts w:ascii="Arial" w:eastAsia="Times New Roman" w:hAnsi="Arial"/>
      <w:sz w:val="22"/>
      <w:lang w:eastAsia="en-US"/>
    </w:rPr>
  </w:style>
  <w:style w:type="character" w:styleId="HTMLCite">
    <w:name w:val="HTML Cite"/>
    <w:basedOn w:val="DefaultParagraphFont"/>
    <w:uiPriority w:val="99"/>
    <w:unhideWhenUsed/>
    <w:rsid w:val="00E94405"/>
    <w:rPr>
      <w:i/>
      <w:iCs/>
    </w:rPr>
  </w:style>
  <w:style w:type="paragraph" w:customStyle="1" w:styleId="articleref">
    <w:name w:val="articleref"/>
    <w:basedOn w:val="Normal"/>
    <w:uiPriority w:val="99"/>
    <w:rsid w:val="00E94405"/>
    <w:pPr>
      <w:spacing w:after="240"/>
    </w:pPr>
    <w:rPr>
      <w:rFonts w:ascii="Verdana" w:hAnsi="Verdana"/>
      <w:color w:val="58595B"/>
      <w:sz w:val="20"/>
      <w:szCs w:val="20"/>
    </w:rPr>
  </w:style>
  <w:style w:type="paragraph" w:customStyle="1" w:styleId="articlecitation">
    <w:name w:val="articlecitation"/>
    <w:basedOn w:val="Normal"/>
    <w:uiPriority w:val="99"/>
    <w:rsid w:val="00E94405"/>
    <w:pPr>
      <w:spacing w:before="150" w:after="75"/>
    </w:pPr>
    <w:rPr>
      <w:rFonts w:ascii="Verdana" w:hAnsi="Verdana"/>
      <w:color w:val="231F20"/>
      <w:sz w:val="20"/>
      <w:szCs w:val="20"/>
    </w:rPr>
  </w:style>
  <w:style w:type="paragraph" w:customStyle="1" w:styleId="KonuBasligi">
    <w:name w:val="Konu Basligi"/>
    <w:basedOn w:val="Default"/>
    <w:next w:val="Default"/>
    <w:uiPriority w:val="99"/>
    <w:rsid w:val="00E94405"/>
    <w:rPr>
      <w:rFonts w:ascii="Arial" w:hAnsi="Arial" w:cs="Arial"/>
      <w:color w:val="auto"/>
    </w:rPr>
  </w:style>
  <w:style w:type="character" w:customStyle="1" w:styleId="largefont1">
    <w:name w:val="largefont1"/>
    <w:basedOn w:val="DefaultParagraphFont"/>
    <w:uiPriority w:val="99"/>
    <w:rsid w:val="00E94405"/>
    <w:rPr>
      <w:sz w:val="26"/>
      <w:szCs w:val="26"/>
    </w:rPr>
  </w:style>
  <w:style w:type="character" w:customStyle="1" w:styleId="authorname3">
    <w:name w:val="authorname3"/>
    <w:basedOn w:val="DefaultParagraphFont"/>
    <w:rsid w:val="00E94405"/>
    <w:rPr>
      <w:b/>
      <w:bCs/>
    </w:rPr>
  </w:style>
  <w:style w:type="paragraph" w:customStyle="1" w:styleId="FicheInfo">
    <w:name w:val="Fiche Info"/>
    <w:basedOn w:val="Default"/>
    <w:next w:val="Default"/>
    <w:uiPriority w:val="99"/>
    <w:rsid w:val="00E94405"/>
    <w:rPr>
      <w:color w:val="auto"/>
    </w:rPr>
  </w:style>
  <w:style w:type="character" w:customStyle="1" w:styleId="binomial">
    <w:name w:val="binomial"/>
    <w:basedOn w:val="DefaultParagraphFont"/>
    <w:uiPriority w:val="99"/>
    <w:rsid w:val="00E94405"/>
  </w:style>
  <w:style w:type="paragraph" w:customStyle="1" w:styleId="TableText2">
    <w:name w:val="Table Text 2"/>
    <w:basedOn w:val="Normal"/>
    <w:uiPriority w:val="99"/>
    <w:rsid w:val="00E94405"/>
    <w:pPr>
      <w:widowControl w:val="0"/>
      <w:adjustRightInd w:val="0"/>
      <w:spacing w:line="360" w:lineRule="atLeast"/>
      <w:jc w:val="both"/>
      <w:textAlignment w:val="baseline"/>
    </w:pPr>
    <w:rPr>
      <w:rFonts w:ascii="Arial" w:hAnsi="Arial"/>
      <w:sz w:val="16"/>
      <w:szCs w:val="20"/>
      <w:lang w:val="en-US"/>
    </w:rPr>
  </w:style>
  <w:style w:type="character" w:customStyle="1" w:styleId="ms-rtecustom-photocaption1">
    <w:name w:val="ms-rtecustom-photocaption1"/>
    <w:basedOn w:val="DefaultParagraphFont"/>
    <w:uiPriority w:val="99"/>
    <w:rsid w:val="00E94405"/>
    <w:rPr>
      <w:sz w:val="13"/>
      <w:szCs w:val="13"/>
    </w:rPr>
  </w:style>
  <w:style w:type="paragraph" w:customStyle="1" w:styleId="Pa5">
    <w:name w:val="Pa5"/>
    <w:basedOn w:val="Default"/>
    <w:next w:val="Default"/>
    <w:rsid w:val="00E94405"/>
    <w:pPr>
      <w:spacing w:line="241" w:lineRule="atLeast"/>
    </w:pPr>
    <w:rPr>
      <w:color w:val="auto"/>
    </w:rPr>
  </w:style>
  <w:style w:type="character" w:customStyle="1" w:styleId="A4">
    <w:name w:val="A4"/>
    <w:uiPriority w:val="99"/>
    <w:rsid w:val="00E94405"/>
    <w:rPr>
      <w:b/>
      <w:bCs/>
      <w:color w:val="000000"/>
      <w:sz w:val="36"/>
      <w:szCs w:val="36"/>
    </w:rPr>
  </w:style>
  <w:style w:type="character" w:customStyle="1" w:styleId="A1">
    <w:name w:val="A1"/>
    <w:uiPriority w:val="99"/>
    <w:rsid w:val="00E94405"/>
    <w:rPr>
      <w:color w:val="000000"/>
      <w:sz w:val="21"/>
      <w:szCs w:val="21"/>
    </w:rPr>
  </w:style>
  <w:style w:type="paragraph" w:customStyle="1" w:styleId="Pa0">
    <w:name w:val="Pa0"/>
    <w:basedOn w:val="Default"/>
    <w:next w:val="Default"/>
    <w:rsid w:val="00E94405"/>
    <w:pPr>
      <w:spacing w:line="201" w:lineRule="atLeast"/>
    </w:pPr>
    <w:rPr>
      <w:rFonts w:ascii="Arial" w:hAnsi="Arial" w:cs="Arial"/>
      <w:color w:val="auto"/>
    </w:rPr>
  </w:style>
  <w:style w:type="character" w:customStyle="1" w:styleId="A0">
    <w:name w:val="A0"/>
    <w:uiPriority w:val="99"/>
    <w:rsid w:val="00E94405"/>
    <w:rPr>
      <w:color w:val="000000"/>
      <w:sz w:val="16"/>
      <w:szCs w:val="16"/>
    </w:rPr>
  </w:style>
  <w:style w:type="paragraph" w:customStyle="1" w:styleId="AQISTableTitle">
    <w:name w:val="AQIS Table Title"/>
    <w:basedOn w:val="AQISTableText"/>
    <w:next w:val="AQISTableText"/>
    <w:uiPriority w:val="99"/>
    <w:rsid w:val="00E94405"/>
    <w:pPr>
      <w:widowControl w:val="0"/>
      <w:adjustRightInd w:val="0"/>
      <w:jc w:val="both"/>
      <w:textAlignment w:val="baseline"/>
    </w:pPr>
    <w:rPr>
      <w:rFonts w:ascii="Arial" w:hAnsi="Arial"/>
      <w:b/>
    </w:rPr>
  </w:style>
  <w:style w:type="character" w:customStyle="1" w:styleId="AQIS4Char">
    <w:name w:val="AQIS4 Char"/>
    <w:basedOn w:val="DefaultParagraphFont"/>
    <w:link w:val="AQIS4"/>
    <w:uiPriority w:val="99"/>
    <w:rsid w:val="00E94405"/>
    <w:rPr>
      <w:rFonts w:ascii="Arial" w:eastAsia="Times New Roman" w:hAnsi="Arial"/>
      <w:b/>
      <w:sz w:val="24"/>
      <w:lang w:eastAsia="en-US"/>
    </w:rPr>
  </w:style>
  <w:style w:type="paragraph" w:customStyle="1" w:styleId="Char">
    <w:name w:val="Char"/>
    <w:basedOn w:val="Normal"/>
    <w:uiPriority w:val="99"/>
    <w:rsid w:val="00E94405"/>
    <w:pPr>
      <w:widowControl w:val="0"/>
      <w:adjustRightInd w:val="0"/>
      <w:spacing w:line="360" w:lineRule="atLeast"/>
      <w:jc w:val="both"/>
      <w:textAlignment w:val="baseline"/>
    </w:pPr>
    <w:rPr>
      <w:rFonts w:ascii="Arial" w:hAnsi="Arial"/>
      <w:szCs w:val="20"/>
    </w:rPr>
  </w:style>
  <w:style w:type="character" w:customStyle="1" w:styleId="authorname">
    <w:name w:val="authorname"/>
    <w:basedOn w:val="DefaultParagraphFont"/>
    <w:uiPriority w:val="99"/>
    <w:rsid w:val="00E94405"/>
  </w:style>
  <w:style w:type="character" w:customStyle="1" w:styleId="singleaffiliation">
    <w:name w:val="singleaffiliation"/>
    <w:basedOn w:val="DefaultParagraphFont"/>
    <w:uiPriority w:val="99"/>
    <w:rsid w:val="00E94405"/>
  </w:style>
  <w:style w:type="character" w:customStyle="1" w:styleId="CommentTextChar1">
    <w:name w:val="Comment Text Char1"/>
    <w:basedOn w:val="DefaultParagraphFont"/>
    <w:uiPriority w:val="99"/>
    <w:semiHidden/>
    <w:locked/>
    <w:rsid w:val="00E94405"/>
    <w:rPr>
      <w:rFonts w:cs="Times New Roman"/>
      <w:lang w:val="en-AU" w:eastAsia="en-US" w:bidi="ar-SA"/>
    </w:rPr>
  </w:style>
  <w:style w:type="paragraph" w:customStyle="1" w:styleId="Overskrift4">
    <w:name w:val="Overskrift 4"/>
    <w:basedOn w:val="Default"/>
    <w:next w:val="Default"/>
    <w:uiPriority w:val="99"/>
    <w:rsid w:val="00E94405"/>
    <w:pPr>
      <w:widowControl w:val="0"/>
      <w:spacing w:line="360" w:lineRule="atLeast"/>
      <w:jc w:val="both"/>
      <w:textAlignment w:val="baseline"/>
    </w:pPr>
    <w:rPr>
      <w:color w:val="auto"/>
    </w:rPr>
  </w:style>
  <w:style w:type="character" w:customStyle="1" w:styleId="matchhighlight1">
    <w:name w:val="matchhighlight1"/>
    <w:basedOn w:val="DefaultParagraphFont"/>
    <w:uiPriority w:val="99"/>
    <w:rsid w:val="00E94405"/>
    <w:rPr>
      <w:rFonts w:cs="Times New Roman"/>
      <w:b/>
      <w:bCs/>
      <w:color w:val="333366"/>
      <w:u w:val="single"/>
    </w:rPr>
  </w:style>
  <w:style w:type="paragraph" w:styleId="HTMLPreformatted">
    <w:name w:val="HTML Preformatted"/>
    <w:basedOn w:val="Normal"/>
    <w:link w:val="HTMLPreformattedChar"/>
    <w:uiPriority w:val="99"/>
    <w:rsid w:val="00E944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18"/>
      <w:szCs w:val="18"/>
    </w:rPr>
  </w:style>
  <w:style w:type="character" w:customStyle="1" w:styleId="HTMLPreformattedChar">
    <w:name w:val="HTML Preformatted Char"/>
    <w:basedOn w:val="DefaultParagraphFont"/>
    <w:link w:val="HTMLPreformatted"/>
    <w:uiPriority w:val="99"/>
    <w:rsid w:val="00E94405"/>
    <w:rPr>
      <w:rFonts w:ascii="Courier New" w:eastAsia="Times New Roman" w:hAnsi="Courier New" w:cs="Courier New"/>
      <w:sz w:val="18"/>
      <w:szCs w:val="18"/>
    </w:rPr>
  </w:style>
  <w:style w:type="character" w:customStyle="1" w:styleId="mainarea">
    <w:name w:val="mainarea"/>
    <w:basedOn w:val="DefaultParagraphFont"/>
    <w:uiPriority w:val="99"/>
    <w:rsid w:val="00E94405"/>
    <w:rPr>
      <w:rFonts w:cs="Times New Roman"/>
    </w:rPr>
  </w:style>
  <w:style w:type="paragraph" w:customStyle="1" w:styleId="CM3">
    <w:name w:val="CM3"/>
    <w:basedOn w:val="Default"/>
    <w:next w:val="Default"/>
    <w:uiPriority w:val="99"/>
    <w:rsid w:val="00E94405"/>
    <w:pPr>
      <w:widowControl w:val="0"/>
      <w:spacing w:line="360" w:lineRule="atLeast"/>
      <w:jc w:val="both"/>
      <w:textAlignment w:val="baseline"/>
    </w:pPr>
    <w:rPr>
      <w:color w:val="auto"/>
    </w:rPr>
  </w:style>
  <w:style w:type="paragraph" w:customStyle="1" w:styleId="CM23">
    <w:name w:val="CM23"/>
    <w:basedOn w:val="Default"/>
    <w:next w:val="Default"/>
    <w:uiPriority w:val="99"/>
    <w:rsid w:val="00E94405"/>
    <w:pPr>
      <w:widowControl w:val="0"/>
      <w:spacing w:line="360" w:lineRule="atLeast"/>
      <w:jc w:val="both"/>
      <w:textAlignment w:val="baseline"/>
    </w:pPr>
    <w:rPr>
      <w:color w:val="auto"/>
    </w:rPr>
  </w:style>
  <w:style w:type="paragraph" w:customStyle="1" w:styleId="CM24">
    <w:name w:val="CM24"/>
    <w:basedOn w:val="Default"/>
    <w:next w:val="Default"/>
    <w:uiPriority w:val="99"/>
    <w:rsid w:val="00E94405"/>
    <w:pPr>
      <w:widowControl w:val="0"/>
      <w:spacing w:line="360" w:lineRule="atLeast"/>
      <w:jc w:val="both"/>
      <w:textAlignment w:val="baseline"/>
    </w:pPr>
    <w:rPr>
      <w:color w:val="auto"/>
    </w:rPr>
  </w:style>
  <w:style w:type="paragraph" w:customStyle="1" w:styleId="Char12">
    <w:name w:val="Char12"/>
    <w:basedOn w:val="Normal"/>
    <w:uiPriority w:val="99"/>
    <w:rsid w:val="00E94405"/>
    <w:pPr>
      <w:widowControl w:val="0"/>
      <w:adjustRightInd w:val="0"/>
      <w:spacing w:line="360" w:lineRule="atLeast"/>
      <w:jc w:val="both"/>
      <w:textAlignment w:val="baseline"/>
    </w:pPr>
    <w:rPr>
      <w:rFonts w:ascii="Arial" w:hAnsi="Arial"/>
      <w:szCs w:val="20"/>
    </w:rPr>
  </w:style>
  <w:style w:type="paragraph" w:customStyle="1" w:styleId="Char11">
    <w:name w:val="Char11"/>
    <w:basedOn w:val="Normal"/>
    <w:uiPriority w:val="99"/>
    <w:rsid w:val="00E94405"/>
    <w:pPr>
      <w:widowControl w:val="0"/>
      <w:adjustRightInd w:val="0"/>
      <w:spacing w:line="360" w:lineRule="atLeast"/>
      <w:jc w:val="both"/>
      <w:textAlignment w:val="baseline"/>
    </w:pPr>
    <w:rPr>
      <w:rFonts w:ascii="Arial" w:hAnsi="Arial"/>
      <w:szCs w:val="20"/>
    </w:rPr>
  </w:style>
  <w:style w:type="paragraph" w:customStyle="1" w:styleId="StilOverskrift3IkkeKapitler">
    <w:name w:val="Stil Overskrift 3 + Ikke Kapitéler"/>
    <w:basedOn w:val="Default"/>
    <w:next w:val="Default"/>
    <w:uiPriority w:val="99"/>
    <w:rsid w:val="00E94405"/>
    <w:pPr>
      <w:widowControl w:val="0"/>
      <w:spacing w:line="360" w:lineRule="atLeast"/>
      <w:jc w:val="both"/>
      <w:textAlignment w:val="baseline"/>
    </w:pPr>
    <w:rPr>
      <w:color w:val="auto"/>
    </w:rPr>
  </w:style>
  <w:style w:type="paragraph" w:customStyle="1" w:styleId="CM123">
    <w:name w:val="CM123"/>
    <w:basedOn w:val="Default"/>
    <w:next w:val="Default"/>
    <w:uiPriority w:val="99"/>
    <w:rsid w:val="00E94405"/>
    <w:pPr>
      <w:widowControl w:val="0"/>
      <w:spacing w:line="360" w:lineRule="atLeast"/>
      <w:jc w:val="both"/>
      <w:textAlignment w:val="baseline"/>
    </w:pPr>
    <w:rPr>
      <w:color w:val="auto"/>
    </w:rPr>
  </w:style>
  <w:style w:type="character" w:customStyle="1" w:styleId="ti">
    <w:name w:val="ti"/>
    <w:basedOn w:val="DefaultParagraphFont"/>
    <w:uiPriority w:val="99"/>
    <w:rsid w:val="00E94405"/>
  </w:style>
  <w:style w:type="character" w:customStyle="1" w:styleId="forenames">
    <w:name w:val="forenames"/>
    <w:basedOn w:val="DefaultParagraphFont"/>
    <w:uiPriority w:val="99"/>
    <w:rsid w:val="00E94405"/>
  </w:style>
  <w:style w:type="paragraph" w:customStyle="1" w:styleId="authors">
    <w:name w:val="authors"/>
    <w:basedOn w:val="Normal"/>
    <w:rsid w:val="00E94405"/>
    <w:pPr>
      <w:widowControl w:val="0"/>
      <w:adjustRightInd w:val="0"/>
      <w:spacing w:before="100" w:beforeAutospacing="1" w:after="100" w:afterAutospacing="1" w:line="360" w:lineRule="atLeast"/>
      <w:jc w:val="both"/>
      <w:textAlignment w:val="baseline"/>
    </w:pPr>
  </w:style>
  <w:style w:type="character" w:customStyle="1" w:styleId="name">
    <w:name w:val="name"/>
    <w:basedOn w:val="DefaultParagraphFont"/>
    <w:uiPriority w:val="99"/>
    <w:rsid w:val="00E94405"/>
  </w:style>
  <w:style w:type="character" w:customStyle="1" w:styleId="cit-print-date">
    <w:name w:val="cit-print-date"/>
    <w:basedOn w:val="DefaultParagraphFont"/>
    <w:uiPriority w:val="99"/>
    <w:rsid w:val="00E94405"/>
  </w:style>
  <w:style w:type="character" w:customStyle="1" w:styleId="cit-vol3">
    <w:name w:val="cit-vol3"/>
    <w:basedOn w:val="DefaultParagraphFont"/>
    <w:uiPriority w:val="99"/>
    <w:rsid w:val="00E94405"/>
  </w:style>
  <w:style w:type="character" w:customStyle="1" w:styleId="cit-sep2">
    <w:name w:val="cit-sep2"/>
    <w:basedOn w:val="DefaultParagraphFont"/>
    <w:uiPriority w:val="99"/>
    <w:rsid w:val="00E94405"/>
  </w:style>
  <w:style w:type="character" w:customStyle="1" w:styleId="cit-first-page">
    <w:name w:val="cit-first-page"/>
    <w:basedOn w:val="DefaultParagraphFont"/>
    <w:uiPriority w:val="99"/>
    <w:rsid w:val="00E94405"/>
  </w:style>
  <w:style w:type="character" w:customStyle="1" w:styleId="cit-last-page2">
    <w:name w:val="cit-last-page2"/>
    <w:basedOn w:val="DefaultParagraphFont"/>
    <w:uiPriority w:val="99"/>
    <w:rsid w:val="00E94405"/>
  </w:style>
  <w:style w:type="character" w:customStyle="1" w:styleId="f2">
    <w:name w:val="f2"/>
    <w:basedOn w:val="DefaultParagraphFont"/>
    <w:uiPriority w:val="99"/>
    <w:rsid w:val="00E94405"/>
    <w:rPr>
      <w:color w:val="767676"/>
    </w:rPr>
  </w:style>
  <w:style w:type="character" w:customStyle="1" w:styleId="gl1">
    <w:name w:val="gl1"/>
    <w:basedOn w:val="DefaultParagraphFont"/>
    <w:uiPriority w:val="99"/>
    <w:rsid w:val="00E94405"/>
    <w:rPr>
      <w:color w:val="767676"/>
    </w:rPr>
  </w:style>
  <w:style w:type="character" w:customStyle="1" w:styleId="pubauthornone">
    <w:name w:val="pub_author_none"/>
    <w:basedOn w:val="DefaultParagraphFont"/>
    <w:uiPriority w:val="99"/>
    <w:rsid w:val="00E94405"/>
  </w:style>
  <w:style w:type="character" w:customStyle="1" w:styleId="cit-auth2">
    <w:name w:val="cit-auth2"/>
    <w:basedOn w:val="DefaultParagraphFont"/>
    <w:uiPriority w:val="99"/>
    <w:rsid w:val="00E94405"/>
  </w:style>
  <w:style w:type="character" w:customStyle="1" w:styleId="cit-vol">
    <w:name w:val="cit-vol"/>
    <w:basedOn w:val="DefaultParagraphFont"/>
    <w:uiPriority w:val="99"/>
    <w:rsid w:val="00E94405"/>
  </w:style>
  <w:style w:type="character" w:customStyle="1" w:styleId="printhide">
    <w:name w:val="printhide"/>
    <w:basedOn w:val="DefaultParagraphFont"/>
    <w:uiPriority w:val="99"/>
    <w:rsid w:val="00E94405"/>
  </w:style>
  <w:style w:type="paragraph" w:customStyle="1" w:styleId="IPPTitle18pt">
    <w:name w:val="IPP Title18pt"/>
    <w:basedOn w:val="Default"/>
    <w:next w:val="Default"/>
    <w:uiPriority w:val="99"/>
    <w:rsid w:val="00E94405"/>
    <w:pPr>
      <w:widowControl w:val="0"/>
      <w:spacing w:line="360" w:lineRule="atLeast"/>
      <w:jc w:val="both"/>
      <w:textAlignment w:val="baseline"/>
    </w:pPr>
    <w:rPr>
      <w:rFonts w:ascii="Arial" w:hAnsi="Arial" w:cs="Arial"/>
      <w:color w:val="auto"/>
    </w:rPr>
  </w:style>
  <w:style w:type="paragraph" w:customStyle="1" w:styleId="IPPNormalCloseSpace">
    <w:name w:val="IPP NormalCloseSpace"/>
    <w:basedOn w:val="Default"/>
    <w:next w:val="Default"/>
    <w:uiPriority w:val="99"/>
    <w:rsid w:val="00E94405"/>
    <w:pPr>
      <w:widowControl w:val="0"/>
      <w:spacing w:line="360" w:lineRule="atLeast"/>
      <w:jc w:val="both"/>
      <w:textAlignment w:val="baseline"/>
    </w:pPr>
    <w:rPr>
      <w:color w:val="auto"/>
    </w:rPr>
  </w:style>
  <w:style w:type="character" w:customStyle="1" w:styleId="apple-style-span">
    <w:name w:val="apple-style-span"/>
    <w:basedOn w:val="DefaultParagraphFont"/>
    <w:uiPriority w:val="99"/>
    <w:rsid w:val="00E94405"/>
  </w:style>
  <w:style w:type="character" w:customStyle="1" w:styleId="apple-converted-space">
    <w:name w:val="apple-converted-space"/>
    <w:basedOn w:val="DefaultParagraphFont"/>
    <w:rsid w:val="00E94405"/>
  </w:style>
  <w:style w:type="character" w:styleId="HTMLAcronym">
    <w:name w:val="HTML Acronym"/>
    <w:basedOn w:val="DefaultParagraphFont"/>
    <w:uiPriority w:val="99"/>
    <w:rsid w:val="00E94405"/>
  </w:style>
  <w:style w:type="character" w:customStyle="1" w:styleId="kwd-text">
    <w:name w:val="kwd-text"/>
    <w:basedOn w:val="DefaultParagraphFont"/>
    <w:uiPriority w:val="99"/>
    <w:rsid w:val="00E94405"/>
  </w:style>
  <w:style w:type="character" w:customStyle="1" w:styleId="searchterm01">
    <w:name w:val="searchterm01"/>
    <w:basedOn w:val="DefaultParagraphFont"/>
    <w:uiPriority w:val="99"/>
    <w:rsid w:val="00E94405"/>
    <w:rPr>
      <w:b/>
      <w:bCs/>
      <w:color w:val="000000"/>
      <w:shd w:val="clear" w:color="auto" w:fill="FFFF66"/>
    </w:rPr>
  </w:style>
  <w:style w:type="character" w:customStyle="1" w:styleId="searchterm11">
    <w:name w:val="searchterm11"/>
    <w:basedOn w:val="DefaultParagraphFont"/>
    <w:uiPriority w:val="99"/>
    <w:rsid w:val="00E94405"/>
    <w:rPr>
      <w:b/>
      <w:bCs/>
      <w:color w:val="000000"/>
      <w:shd w:val="clear" w:color="auto" w:fill="A0FFFF"/>
    </w:rPr>
  </w:style>
  <w:style w:type="character" w:customStyle="1" w:styleId="searchterm21">
    <w:name w:val="searchterm21"/>
    <w:basedOn w:val="DefaultParagraphFont"/>
    <w:uiPriority w:val="99"/>
    <w:rsid w:val="00E94405"/>
    <w:rPr>
      <w:b/>
      <w:bCs/>
      <w:color w:val="000000"/>
      <w:shd w:val="clear" w:color="auto" w:fill="99FF99"/>
    </w:rPr>
  </w:style>
  <w:style w:type="paragraph" w:customStyle="1" w:styleId="SYN1ERELIGNE">
    <w:name w:val="SYN.1ERE LIGNE"/>
    <w:basedOn w:val="Default"/>
    <w:next w:val="Default"/>
    <w:uiPriority w:val="99"/>
    <w:rsid w:val="00E94405"/>
    <w:pPr>
      <w:widowControl w:val="0"/>
      <w:spacing w:line="360" w:lineRule="atLeast"/>
      <w:jc w:val="both"/>
      <w:textAlignment w:val="baseline"/>
    </w:pPr>
    <w:rPr>
      <w:color w:val="auto"/>
    </w:rPr>
  </w:style>
  <w:style w:type="paragraph" w:customStyle="1" w:styleId="SYNONYMES">
    <w:name w:val="SYNONYMES"/>
    <w:basedOn w:val="Default"/>
    <w:next w:val="Default"/>
    <w:uiPriority w:val="99"/>
    <w:rsid w:val="00E94405"/>
    <w:pPr>
      <w:widowControl w:val="0"/>
      <w:spacing w:line="360" w:lineRule="atLeast"/>
      <w:jc w:val="both"/>
      <w:textAlignment w:val="baseline"/>
    </w:pPr>
    <w:rPr>
      <w:color w:val="auto"/>
    </w:rPr>
  </w:style>
  <w:style w:type="paragraph" w:customStyle="1" w:styleId="NC1ERELIGNE">
    <w:name w:val="NC 1ERE LIGNE"/>
    <w:basedOn w:val="Default"/>
    <w:next w:val="Default"/>
    <w:uiPriority w:val="99"/>
    <w:rsid w:val="00E94405"/>
    <w:pPr>
      <w:widowControl w:val="0"/>
      <w:spacing w:line="360" w:lineRule="atLeast"/>
      <w:jc w:val="both"/>
      <w:textAlignment w:val="baseline"/>
    </w:pPr>
    <w:rPr>
      <w:color w:val="auto"/>
    </w:rPr>
  </w:style>
  <w:style w:type="paragraph" w:styleId="Revision">
    <w:name w:val="Revision"/>
    <w:hidden/>
    <w:uiPriority w:val="99"/>
    <w:semiHidden/>
    <w:rsid w:val="00E94405"/>
    <w:pPr>
      <w:widowControl w:val="0"/>
      <w:adjustRightInd w:val="0"/>
      <w:spacing w:line="360" w:lineRule="atLeast"/>
      <w:jc w:val="both"/>
      <w:textAlignment w:val="baseline"/>
    </w:pPr>
    <w:rPr>
      <w:rFonts w:ascii="Times New Roman" w:eastAsia="Times New Roman" w:hAnsi="Times New Roman"/>
      <w:sz w:val="24"/>
      <w:szCs w:val="24"/>
      <w:lang w:eastAsia="en-US"/>
    </w:rPr>
  </w:style>
  <w:style w:type="character" w:customStyle="1" w:styleId="genera1">
    <w:name w:val="genera1"/>
    <w:basedOn w:val="DefaultParagraphFont"/>
    <w:rsid w:val="00E94405"/>
    <w:rPr>
      <w:rFonts w:cs="Times New Roman"/>
      <w:i/>
      <w:iCs/>
    </w:rPr>
  </w:style>
  <w:style w:type="character" w:customStyle="1" w:styleId="txtlrg1">
    <w:name w:val="txtlrg1"/>
    <w:basedOn w:val="DefaultParagraphFont"/>
    <w:rsid w:val="00E94405"/>
    <w:rPr>
      <w:rFonts w:ascii="Verdana" w:hAnsi="Verdana" w:cs="Verdana"/>
      <w:sz w:val="20"/>
      <w:szCs w:val="20"/>
    </w:rPr>
  </w:style>
  <w:style w:type="character" w:customStyle="1" w:styleId="fieldheader1">
    <w:name w:val="fieldheader1"/>
    <w:basedOn w:val="DefaultParagraphFont"/>
    <w:rsid w:val="00E94405"/>
    <w:rPr>
      <w:rFonts w:ascii="Verdana" w:hAnsi="Verdana" w:cs="Verdana"/>
      <w:b/>
      <w:bCs/>
      <w:color w:val="auto"/>
      <w:sz w:val="17"/>
      <w:szCs w:val="17"/>
    </w:rPr>
  </w:style>
  <w:style w:type="character" w:customStyle="1" w:styleId="searchmatch">
    <w:name w:val="searchmatch"/>
    <w:basedOn w:val="DefaultParagraphFont"/>
    <w:rsid w:val="00E94405"/>
  </w:style>
  <w:style w:type="paragraph" w:customStyle="1" w:styleId="hanging">
    <w:name w:val="hanging"/>
    <w:basedOn w:val="Normal"/>
    <w:uiPriority w:val="99"/>
    <w:rsid w:val="00E94405"/>
    <w:pPr>
      <w:widowControl w:val="0"/>
      <w:adjustRightInd w:val="0"/>
      <w:spacing w:before="100" w:beforeAutospacing="1" w:after="100" w:afterAutospacing="1" w:line="360" w:lineRule="atLeast"/>
      <w:jc w:val="both"/>
      <w:textAlignment w:val="baseline"/>
    </w:pPr>
    <w:rPr>
      <w:sz w:val="19"/>
      <w:szCs w:val="19"/>
    </w:rPr>
  </w:style>
  <w:style w:type="paragraph" w:customStyle="1" w:styleId="tabletext1">
    <w:name w:val="tabletext"/>
    <w:basedOn w:val="Normal"/>
    <w:rsid w:val="00E94405"/>
    <w:pPr>
      <w:widowControl w:val="0"/>
      <w:adjustRightInd w:val="0"/>
      <w:spacing w:line="288" w:lineRule="auto"/>
      <w:jc w:val="center"/>
      <w:textAlignment w:val="baseline"/>
    </w:pPr>
    <w:rPr>
      <w:rFonts w:ascii="Palatino (PCL6)" w:hAnsi="Palatino (PCL6)"/>
      <w:sz w:val="18"/>
      <w:szCs w:val="18"/>
    </w:rPr>
  </w:style>
  <w:style w:type="paragraph" w:customStyle="1" w:styleId="Navaden">
    <w:name w:val="Navaden"/>
    <w:basedOn w:val="Normal"/>
    <w:next w:val="Normal"/>
    <w:rsid w:val="00E94405"/>
    <w:pPr>
      <w:widowControl w:val="0"/>
      <w:autoSpaceDE w:val="0"/>
      <w:autoSpaceDN w:val="0"/>
      <w:adjustRightInd w:val="0"/>
      <w:spacing w:before="60" w:line="360" w:lineRule="atLeast"/>
      <w:jc w:val="both"/>
      <w:textAlignment w:val="baseline"/>
    </w:pPr>
  </w:style>
  <w:style w:type="paragraph" w:customStyle="1" w:styleId="table0">
    <w:name w:val="table"/>
    <w:basedOn w:val="Normal"/>
    <w:rsid w:val="00E94405"/>
    <w:pPr>
      <w:keepLines/>
      <w:widowControl w:val="0"/>
      <w:tabs>
        <w:tab w:val="left" w:pos="142"/>
        <w:tab w:val="left" w:pos="284"/>
        <w:tab w:val="left" w:pos="426"/>
        <w:tab w:val="left" w:pos="1985"/>
        <w:tab w:val="left" w:pos="2268"/>
        <w:tab w:val="left" w:pos="2552"/>
        <w:tab w:val="left" w:pos="2835"/>
      </w:tabs>
      <w:adjustRightInd w:val="0"/>
      <w:spacing w:before="80" w:after="80" w:line="340" w:lineRule="atLeast"/>
      <w:jc w:val="both"/>
      <w:textAlignment w:val="baseline"/>
    </w:pPr>
    <w:rPr>
      <w:rFonts w:ascii="Palatino" w:hAnsi="Palatino"/>
      <w:color w:val="000080"/>
      <w:sz w:val="20"/>
      <w:szCs w:val="20"/>
      <w:lang w:val="en-US"/>
    </w:rPr>
  </w:style>
  <w:style w:type="character" w:customStyle="1" w:styleId="content">
    <w:name w:val="content"/>
    <w:basedOn w:val="DefaultParagraphFont"/>
    <w:rsid w:val="00E94405"/>
  </w:style>
  <w:style w:type="paragraph" w:customStyle="1" w:styleId="StyleBAText1bulletItalic">
    <w:name w:val="Style BA Text 1 bullet + Italic"/>
    <w:basedOn w:val="Normal"/>
    <w:rsid w:val="00E94405"/>
    <w:pPr>
      <w:widowControl w:val="0"/>
      <w:adjustRightInd w:val="0"/>
      <w:spacing w:line="280" w:lineRule="atLeast"/>
      <w:jc w:val="both"/>
      <w:textAlignment w:val="baseline"/>
    </w:pPr>
    <w:rPr>
      <w:rFonts w:ascii="Times" w:hAnsi="Times"/>
      <w:i/>
      <w:iCs/>
    </w:rPr>
  </w:style>
  <w:style w:type="paragraph" w:customStyle="1" w:styleId="StyleBAText1Italic">
    <w:name w:val="Style BA Text 1 + Italic"/>
    <w:basedOn w:val="Normal"/>
    <w:rsid w:val="00E94405"/>
    <w:pPr>
      <w:widowControl w:val="0"/>
      <w:adjustRightInd w:val="0"/>
      <w:spacing w:line="280" w:lineRule="atLeast"/>
      <w:jc w:val="both"/>
      <w:textAlignment w:val="baseline"/>
    </w:pPr>
    <w:rPr>
      <w:rFonts w:ascii="Times" w:hAnsi="Times"/>
      <w:i/>
      <w:iCs/>
    </w:rPr>
  </w:style>
  <w:style w:type="paragraph" w:customStyle="1" w:styleId="Tableheader">
    <w:name w:val="Table header"/>
    <w:basedOn w:val="Normal"/>
    <w:link w:val="TableheaderCharChar"/>
    <w:rsid w:val="00E94405"/>
    <w:pPr>
      <w:keepNext/>
      <w:keepLines/>
      <w:widowControl w:val="0"/>
      <w:adjustRightInd w:val="0"/>
      <w:spacing w:before="360" w:after="120" w:line="240" w:lineRule="atLeast"/>
      <w:jc w:val="both"/>
      <w:textAlignment w:val="baseline"/>
      <w:outlineLvl w:val="8"/>
    </w:pPr>
    <w:rPr>
      <w:rFonts w:ascii="Arial" w:hAnsi="Arial"/>
      <w:b/>
      <w:bCs/>
    </w:rPr>
  </w:style>
  <w:style w:type="character" w:customStyle="1" w:styleId="TableheaderCharChar">
    <w:name w:val="Table header Char Char"/>
    <w:basedOn w:val="DefaultParagraphFont"/>
    <w:link w:val="Tableheader"/>
    <w:rsid w:val="00E94405"/>
    <w:rPr>
      <w:rFonts w:ascii="Arial" w:eastAsia="Times New Roman" w:hAnsi="Arial"/>
      <w:b/>
      <w:bCs/>
      <w:sz w:val="22"/>
      <w:szCs w:val="24"/>
      <w:lang w:eastAsia="en-US"/>
    </w:rPr>
  </w:style>
  <w:style w:type="table" w:styleId="TableList3">
    <w:name w:val="Table List 3"/>
    <w:basedOn w:val="TableNormal"/>
    <w:rsid w:val="00E94405"/>
    <w:pPr>
      <w:widowControl w:val="0"/>
      <w:spacing w:line="340" w:lineRule="atLeast"/>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E94405"/>
    <w:pPr>
      <w:widowControl w:val="0"/>
      <w:spacing w:after="358" w:line="360" w:lineRule="atLeast"/>
      <w:jc w:val="both"/>
      <w:textAlignment w:val="baseline"/>
    </w:pPr>
    <w:rPr>
      <w:color w:val="auto"/>
    </w:rPr>
  </w:style>
  <w:style w:type="character" w:customStyle="1" w:styleId="sn">
    <w:name w:val="sn"/>
    <w:basedOn w:val="DefaultParagraphFont"/>
    <w:rsid w:val="00E94405"/>
  </w:style>
  <w:style w:type="character" w:customStyle="1" w:styleId="subject1">
    <w:name w:val="subject1"/>
    <w:basedOn w:val="DefaultParagraphFont"/>
    <w:rsid w:val="00E94405"/>
    <w:rPr>
      <w:b/>
      <w:bCs/>
    </w:rPr>
  </w:style>
  <w:style w:type="paragraph" w:customStyle="1" w:styleId="text">
    <w:name w:val="text"/>
    <w:basedOn w:val="Normal"/>
    <w:rsid w:val="00E94405"/>
    <w:pPr>
      <w:widowControl w:val="0"/>
      <w:adjustRightInd w:val="0"/>
      <w:spacing w:before="100" w:beforeAutospacing="1" w:after="100" w:afterAutospacing="1" w:line="360" w:lineRule="atLeast"/>
      <w:jc w:val="both"/>
      <w:textAlignment w:val="baseline"/>
    </w:pPr>
    <w:rPr>
      <w:rFonts w:ascii="Arial" w:hAnsi="Arial" w:cs="Arial"/>
    </w:rPr>
  </w:style>
  <w:style w:type="paragraph" w:customStyle="1" w:styleId="noskip">
    <w:name w:val="noskip"/>
    <w:basedOn w:val="Normal"/>
    <w:uiPriority w:val="99"/>
    <w:rsid w:val="00E94405"/>
    <w:pPr>
      <w:widowControl w:val="0"/>
      <w:adjustRightInd w:val="0"/>
      <w:spacing w:after="100" w:afterAutospacing="1" w:line="360" w:lineRule="atLeast"/>
      <w:jc w:val="both"/>
      <w:textAlignment w:val="baseline"/>
    </w:pPr>
  </w:style>
  <w:style w:type="character" w:customStyle="1" w:styleId="smallcaps3">
    <w:name w:val="smallcaps3"/>
    <w:basedOn w:val="DefaultParagraphFont"/>
    <w:rsid w:val="00E94405"/>
    <w:rPr>
      <w:smallCaps/>
    </w:rPr>
  </w:style>
  <w:style w:type="character" w:customStyle="1" w:styleId="defaultcontent1">
    <w:name w:val="default_content1"/>
    <w:basedOn w:val="DefaultParagraphFont"/>
    <w:rsid w:val="00E94405"/>
    <w:rPr>
      <w:rFonts w:ascii="Arial" w:hAnsi="Arial" w:cs="Arial" w:hint="default"/>
      <w:b w:val="0"/>
      <w:bCs w:val="0"/>
      <w:color w:val="000000"/>
      <w:sz w:val="15"/>
      <w:szCs w:val="15"/>
    </w:rPr>
  </w:style>
  <w:style w:type="character" w:customStyle="1" w:styleId="contenttitle1">
    <w:name w:val="content_title1"/>
    <w:basedOn w:val="DefaultParagraphFont"/>
    <w:rsid w:val="00E94405"/>
    <w:rPr>
      <w:rFonts w:ascii="Arial" w:hAnsi="Arial" w:cs="Arial" w:hint="default"/>
      <w:b/>
      <w:bCs/>
      <w:color w:val="0066AA"/>
      <w:sz w:val="22"/>
      <w:szCs w:val="22"/>
    </w:rPr>
  </w:style>
  <w:style w:type="character" w:customStyle="1" w:styleId="header011">
    <w:name w:val="header011"/>
    <w:basedOn w:val="DefaultParagraphFont"/>
    <w:rsid w:val="00E94405"/>
    <w:rPr>
      <w:rFonts w:ascii="Arial" w:hAnsi="Arial" w:cs="Arial" w:hint="default"/>
      <w:color w:val="007437"/>
      <w:sz w:val="24"/>
      <w:szCs w:val="24"/>
    </w:rPr>
  </w:style>
  <w:style w:type="character" w:customStyle="1" w:styleId="f1">
    <w:name w:val="f1"/>
    <w:basedOn w:val="DefaultParagraphFont"/>
    <w:rsid w:val="00E94405"/>
    <w:rPr>
      <w:color w:val="666666"/>
    </w:rPr>
  </w:style>
  <w:style w:type="paragraph" w:customStyle="1" w:styleId="Titre1">
    <w:name w:val="Titre 1"/>
    <w:basedOn w:val="Default"/>
    <w:next w:val="Default"/>
    <w:rsid w:val="00E94405"/>
    <w:pPr>
      <w:widowControl w:val="0"/>
      <w:spacing w:before="120" w:after="600" w:line="360" w:lineRule="atLeast"/>
      <w:jc w:val="both"/>
      <w:textAlignment w:val="baseline"/>
    </w:pPr>
    <w:rPr>
      <w:color w:val="auto"/>
    </w:rPr>
  </w:style>
  <w:style w:type="character" w:customStyle="1" w:styleId="title3">
    <w:name w:val="title3"/>
    <w:basedOn w:val="DefaultParagraphFont"/>
    <w:rsid w:val="00E94405"/>
  </w:style>
  <w:style w:type="character" w:customStyle="1" w:styleId="journal2">
    <w:name w:val="journal2"/>
    <w:basedOn w:val="DefaultParagraphFont"/>
    <w:rsid w:val="00E94405"/>
  </w:style>
  <w:style w:type="paragraph" w:customStyle="1" w:styleId="articledetails">
    <w:name w:val="articledetails"/>
    <w:basedOn w:val="Normal"/>
    <w:rsid w:val="00E94405"/>
    <w:pPr>
      <w:widowControl w:val="0"/>
      <w:adjustRightInd w:val="0"/>
      <w:spacing w:before="100" w:beforeAutospacing="1" w:after="100" w:afterAutospacing="1" w:line="360" w:lineRule="atLeast"/>
      <w:jc w:val="both"/>
      <w:textAlignment w:val="baseline"/>
    </w:pPr>
  </w:style>
  <w:style w:type="character" w:customStyle="1" w:styleId="articlepagesstyle">
    <w:name w:val="articlepagesstyle"/>
    <w:basedOn w:val="DefaultParagraphFont"/>
    <w:uiPriority w:val="99"/>
    <w:rsid w:val="00E94405"/>
  </w:style>
  <w:style w:type="character" w:customStyle="1" w:styleId="style111">
    <w:name w:val="style111"/>
    <w:basedOn w:val="DefaultParagraphFont"/>
    <w:rsid w:val="00E94405"/>
    <w:rPr>
      <w:rFonts w:ascii="Verdana" w:hAnsi="Verdana" w:hint="default"/>
      <w:b/>
      <w:bCs/>
      <w:color w:val="581E79"/>
      <w:sz w:val="21"/>
      <w:szCs w:val="21"/>
    </w:rPr>
  </w:style>
  <w:style w:type="character" w:customStyle="1" w:styleId="gsa1">
    <w:name w:val="gs_a1"/>
    <w:basedOn w:val="DefaultParagraphFont"/>
    <w:uiPriority w:val="99"/>
    <w:rsid w:val="00E94405"/>
    <w:rPr>
      <w:color w:val="008000"/>
    </w:rPr>
  </w:style>
  <w:style w:type="paragraph" w:customStyle="1" w:styleId="simkop1">
    <w:name w:val="simkop1"/>
    <w:basedOn w:val="Normal"/>
    <w:rsid w:val="00E94405"/>
    <w:pPr>
      <w:widowControl w:val="0"/>
      <w:autoSpaceDE w:val="0"/>
      <w:autoSpaceDN w:val="0"/>
      <w:adjustRightInd w:val="0"/>
      <w:spacing w:line="360" w:lineRule="atLeast"/>
      <w:jc w:val="both"/>
      <w:textAlignment w:val="baseline"/>
    </w:pPr>
    <w:rPr>
      <w:rFonts w:ascii="Arial" w:hAnsi="Arial" w:cs="Arial"/>
      <w:b/>
      <w:bCs/>
      <w:spacing w:val="-3"/>
      <w:sz w:val="32"/>
      <w:szCs w:val="32"/>
    </w:rPr>
  </w:style>
  <w:style w:type="character" w:customStyle="1" w:styleId="personname3">
    <w:name w:val="person_name3"/>
    <w:basedOn w:val="DefaultParagraphFont"/>
    <w:rsid w:val="00E94405"/>
  </w:style>
  <w:style w:type="character" w:customStyle="1" w:styleId="journalabstracttitle1">
    <w:name w:val="journal_abstract_title1"/>
    <w:basedOn w:val="DefaultParagraphFont"/>
    <w:rsid w:val="00E94405"/>
    <w:rPr>
      <w:rFonts w:ascii="Arial" w:hAnsi="Arial" w:cs="Arial" w:hint="default"/>
      <w:b/>
      <w:bCs/>
      <w:caps w:val="0"/>
      <w:sz w:val="23"/>
      <w:szCs w:val="23"/>
    </w:rPr>
  </w:style>
  <w:style w:type="character" w:customStyle="1" w:styleId="author0">
    <w:name w:val="author"/>
    <w:basedOn w:val="DefaultParagraphFont"/>
    <w:uiPriority w:val="99"/>
    <w:rsid w:val="00E94405"/>
  </w:style>
  <w:style w:type="paragraph" w:customStyle="1" w:styleId="H5">
    <w:name w:val="H5"/>
    <w:basedOn w:val="Normal"/>
    <w:next w:val="Normal"/>
    <w:rsid w:val="00E94405"/>
    <w:pPr>
      <w:keepNext/>
      <w:widowControl w:val="0"/>
      <w:adjustRightInd w:val="0"/>
      <w:spacing w:before="100" w:after="100" w:line="360" w:lineRule="atLeast"/>
      <w:jc w:val="both"/>
      <w:textAlignment w:val="baseline"/>
      <w:outlineLvl w:val="5"/>
    </w:pPr>
    <w:rPr>
      <w:b/>
      <w:snapToGrid w:val="0"/>
      <w:sz w:val="20"/>
      <w:szCs w:val="20"/>
    </w:rPr>
  </w:style>
  <w:style w:type="paragraph" w:customStyle="1" w:styleId="DefinitionTerm">
    <w:name w:val="Definition Term"/>
    <w:basedOn w:val="Normal"/>
    <w:next w:val="Normal"/>
    <w:rsid w:val="00E94405"/>
    <w:pPr>
      <w:widowControl w:val="0"/>
      <w:adjustRightInd w:val="0"/>
      <w:spacing w:line="360" w:lineRule="atLeast"/>
      <w:jc w:val="both"/>
      <w:textAlignment w:val="baseline"/>
    </w:pPr>
    <w:rPr>
      <w:snapToGrid w:val="0"/>
      <w:sz w:val="20"/>
      <w:szCs w:val="20"/>
    </w:rPr>
  </w:style>
  <w:style w:type="paragraph" w:customStyle="1" w:styleId="articletitle">
    <w:name w:val="articletitle"/>
    <w:basedOn w:val="Normal"/>
    <w:rsid w:val="00E94405"/>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E94405"/>
  </w:style>
  <w:style w:type="character" w:customStyle="1" w:styleId="journaltitle2">
    <w:name w:val="journaltitle2"/>
    <w:basedOn w:val="DefaultParagraphFont"/>
    <w:rsid w:val="00E94405"/>
    <w:rPr>
      <w:i/>
      <w:iCs/>
    </w:rPr>
  </w:style>
  <w:style w:type="character" w:customStyle="1" w:styleId="vol2">
    <w:name w:val="vol2"/>
    <w:basedOn w:val="DefaultParagraphFont"/>
    <w:rsid w:val="00E94405"/>
    <w:rPr>
      <w:b/>
      <w:bCs/>
    </w:rPr>
  </w:style>
  <w:style w:type="character" w:customStyle="1" w:styleId="pagefirst">
    <w:name w:val="pagefirst"/>
    <w:basedOn w:val="DefaultParagraphFont"/>
    <w:rsid w:val="00E94405"/>
  </w:style>
  <w:style w:type="character" w:customStyle="1" w:styleId="pagelast">
    <w:name w:val="pagelast"/>
    <w:basedOn w:val="DefaultParagraphFont"/>
    <w:rsid w:val="00E94405"/>
  </w:style>
  <w:style w:type="character" w:customStyle="1" w:styleId="othertitle">
    <w:name w:val="othertitle"/>
    <w:basedOn w:val="DefaultParagraphFont"/>
    <w:rsid w:val="00E94405"/>
  </w:style>
  <w:style w:type="character" w:customStyle="1" w:styleId="mixed-citation">
    <w:name w:val="mixed-citation"/>
    <w:basedOn w:val="DefaultParagraphFont"/>
    <w:rsid w:val="00E94405"/>
  </w:style>
  <w:style w:type="character" w:customStyle="1" w:styleId="ref-title">
    <w:name w:val="ref-title"/>
    <w:basedOn w:val="DefaultParagraphFont"/>
    <w:rsid w:val="00E94405"/>
  </w:style>
  <w:style w:type="character" w:customStyle="1" w:styleId="ref-journal1">
    <w:name w:val="ref-journal1"/>
    <w:basedOn w:val="DefaultParagraphFont"/>
    <w:rsid w:val="00E94405"/>
    <w:rPr>
      <w:i/>
      <w:iCs/>
    </w:rPr>
  </w:style>
  <w:style w:type="character" w:customStyle="1" w:styleId="ref-vol">
    <w:name w:val="ref-vol"/>
    <w:basedOn w:val="DefaultParagraphFont"/>
    <w:rsid w:val="00E94405"/>
  </w:style>
  <w:style w:type="paragraph" w:customStyle="1" w:styleId="CM2">
    <w:name w:val="CM2"/>
    <w:basedOn w:val="Default"/>
    <w:next w:val="Default"/>
    <w:uiPriority w:val="99"/>
    <w:rsid w:val="00E94405"/>
    <w:pPr>
      <w:widowControl w:val="0"/>
      <w:spacing w:line="360" w:lineRule="atLeast"/>
      <w:jc w:val="both"/>
      <w:textAlignment w:val="baseline"/>
    </w:pPr>
    <w:rPr>
      <w:rFonts w:ascii="MDJPP J+ Adv P 1964" w:hAnsi="MDJPP J+ Adv P 1964"/>
      <w:color w:val="auto"/>
    </w:rPr>
  </w:style>
  <w:style w:type="paragraph" w:customStyle="1" w:styleId="CM17">
    <w:name w:val="CM17"/>
    <w:basedOn w:val="Default"/>
    <w:next w:val="Default"/>
    <w:uiPriority w:val="99"/>
    <w:rsid w:val="00E94405"/>
    <w:pPr>
      <w:widowControl w:val="0"/>
      <w:spacing w:line="360" w:lineRule="atLeast"/>
      <w:jc w:val="both"/>
      <w:textAlignment w:val="baseline"/>
    </w:pPr>
    <w:rPr>
      <w:rFonts w:ascii="MDJPP J+ Adv P 1964" w:hAnsi="MDJPP J+ Adv P 1964"/>
      <w:color w:val="auto"/>
    </w:rPr>
  </w:style>
  <w:style w:type="paragraph" w:customStyle="1" w:styleId="CM16">
    <w:name w:val="CM16"/>
    <w:basedOn w:val="Default"/>
    <w:next w:val="Default"/>
    <w:uiPriority w:val="99"/>
    <w:rsid w:val="00E94405"/>
    <w:pPr>
      <w:widowControl w:val="0"/>
      <w:spacing w:line="360" w:lineRule="atLeast"/>
      <w:jc w:val="both"/>
      <w:textAlignment w:val="baseline"/>
    </w:pPr>
    <w:rPr>
      <w:rFonts w:ascii="MDJPP J+ Adv P 1964" w:hAnsi="MDJPP J+ Adv P 1964"/>
      <w:color w:val="auto"/>
    </w:rPr>
  </w:style>
  <w:style w:type="paragraph" w:customStyle="1" w:styleId="CM1">
    <w:name w:val="CM1"/>
    <w:basedOn w:val="Default"/>
    <w:next w:val="Default"/>
    <w:uiPriority w:val="99"/>
    <w:rsid w:val="00E94405"/>
    <w:pPr>
      <w:widowControl w:val="0"/>
      <w:spacing w:line="360" w:lineRule="atLeast"/>
      <w:jc w:val="both"/>
      <w:textAlignment w:val="baseline"/>
    </w:pPr>
    <w:rPr>
      <w:rFonts w:ascii="MDJPO D+ Adv P 1968" w:hAnsi="MDJPO D+ Adv P 1968"/>
      <w:color w:val="auto"/>
    </w:rPr>
  </w:style>
  <w:style w:type="character" w:customStyle="1" w:styleId="cit-pub-date1">
    <w:name w:val="cit-pub-date1"/>
    <w:basedOn w:val="DefaultParagraphFont"/>
    <w:uiPriority w:val="99"/>
    <w:rsid w:val="00E94405"/>
    <w:rPr>
      <w:b/>
      <w:bCs/>
    </w:rPr>
  </w:style>
  <w:style w:type="character" w:customStyle="1" w:styleId="Subtitle1">
    <w:name w:val="Subtitle1"/>
    <w:basedOn w:val="DefaultParagraphFont"/>
    <w:rsid w:val="00E94405"/>
  </w:style>
  <w:style w:type="character" w:customStyle="1" w:styleId="description1">
    <w:name w:val="description1"/>
    <w:basedOn w:val="DefaultParagraphFont"/>
    <w:rsid w:val="00E94405"/>
    <w:rPr>
      <w:sz w:val="20"/>
      <w:szCs w:val="20"/>
    </w:rPr>
  </w:style>
  <w:style w:type="character" w:customStyle="1" w:styleId="fn">
    <w:name w:val="fn"/>
    <w:basedOn w:val="DefaultParagraphFont"/>
    <w:rsid w:val="00E94405"/>
  </w:style>
  <w:style w:type="paragraph" w:styleId="HTMLAddress">
    <w:name w:val="HTML Address"/>
    <w:basedOn w:val="Normal"/>
    <w:link w:val="HTMLAddressChar"/>
    <w:uiPriority w:val="99"/>
    <w:unhideWhenUsed/>
    <w:rsid w:val="00E94405"/>
    <w:pPr>
      <w:widowControl w:val="0"/>
      <w:adjustRightInd w:val="0"/>
      <w:spacing w:line="360" w:lineRule="atLeast"/>
      <w:jc w:val="both"/>
      <w:textAlignment w:val="baseline"/>
    </w:pPr>
    <w:rPr>
      <w:i/>
      <w:iCs/>
    </w:rPr>
  </w:style>
  <w:style w:type="character" w:customStyle="1" w:styleId="HTMLAddressChar">
    <w:name w:val="HTML Address Char"/>
    <w:basedOn w:val="DefaultParagraphFont"/>
    <w:link w:val="HTMLAddress"/>
    <w:uiPriority w:val="99"/>
    <w:rsid w:val="00E94405"/>
    <w:rPr>
      <w:rFonts w:ascii="Times New Roman" w:eastAsia="Times New Roman" w:hAnsi="Times New Roman"/>
      <w:i/>
      <w:iCs/>
      <w:sz w:val="24"/>
      <w:szCs w:val="24"/>
    </w:rPr>
  </w:style>
  <w:style w:type="paragraph" w:customStyle="1" w:styleId="BodyText5">
    <w:name w:val="Body Text+5"/>
    <w:basedOn w:val="Default"/>
    <w:next w:val="Default"/>
    <w:uiPriority w:val="99"/>
    <w:rsid w:val="00E94405"/>
    <w:pPr>
      <w:widowControl w:val="0"/>
      <w:spacing w:line="360" w:lineRule="atLeast"/>
      <w:jc w:val="both"/>
      <w:textAlignment w:val="baseline"/>
    </w:pPr>
    <w:rPr>
      <w:rFonts w:ascii="Arial" w:hAnsi="Arial" w:cs="Arial"/>
      <w:color w:val="auto"/>
    </w:rPr>
  </w:style>
  <w:style w:type="character" w:customStyle="1" w:styleId="hit">
    <w:name w:val="hit"/>
    <w:basedOn w:val="DefaultParagraphFont"/>
    <w:rsid w:val="00E94405"/>
    <w:rPr>
      <w:sz w:val="24"/>
      <w:szCs w:val="24"/>
      <w:bdr w:val="none" w:sz="0" w:space="0" w:color="auto" w:frame="1"/>
      <w:shd w:val="clear" w:color="auto" w:fill="FFFFDD"/>
      <w:vertAlign w:val="baseline"/>
    </w:rPr>
  </w:style>
  <w:style w:type="character" w:customStyle="1" w:styleId="sectiontitle1">
    <w:name w:val="sectiontitle1"/>
    <w:basedOn w:val="DefaultParagraphFont"/>
    <w:rsid w:val="00E94405"/>
    <w:rPr>
      <w:rFonts w:ascii="Verdana" w:hAnsi="Verdana" w:hint="default"/>
      <w:b/>
      <w:bCs/>
      <w:i w:val="0"/>
      <w:iCs w:val="0"/>
      <w:color w:val="284469"/>
      <w:spacing w:val="30"/>
      <w:sz w:val="24"/>
      <w:szCs w:val="24"/>
    </w:rPr>
  </w:style>
  <w:style w:type="paragraph" w:customStyle="1" w:styleId="Dot">
    <w:name w:val="Dot"/>
    <w:basedOn w:val="Normal"/>
    <w:uiPriority w:val="99"/>
    <w:rsid w:val="00E94405"/>
    <w:pPr>
      <w:widowControl w:val="0"/>
      <w:numPr>
        <w:numId w:val="30"/>
      </w:numPr>
      <w:adjustRightInd w:val="0"/>
      <w:spacing w:line="360" w:lineRule="atLeast"/>
      <w:jc w:val="both"/>
      <w:textAlignment w:val="baseline"/>
    </w:pPr>
    <w:rPr>
      <w:szCs w:val="20"/>
    </w:rPr>
  </w:style>
  <w:style w:type="paragraph" w:customStyle="1" w:styleId="Pa1">
    <w:name w:val="Pa1"/>
    <w:basedOn w:val="Default"/>
    <w:next w:val="Default"/>
    <w:uiPriority w:val="99"/>
    <w:rsid w:val="00E94405"/>
    <w:pPr>
      <w:widowControl w:val="0"/>
      <w:spacing w:line="241" w:lineRule="atLeast"/>
      <w:jc w:val="both"/>
      <w:textAlignment w:val="baseline"/>
    </w:pPr>
    <w:rPr>
      <w:rFonts w:ascii="NewCenturySchlbk" w:hAnsi="NewCenturySchlbk"/>
      <w:color w:val="auto"/>
    </w:rPr>
  </w:style>
  <w:style w:type="character" w:customStyle="1" w:styleId="A8">
    <w:name w:val="A8"/>
    <w:uiPriority w:val="99"/>
    <w:rsid w:val="00E94405"/>
    <w:rPr>
      <w:rFonts w:cs="NewCenturySchlbk"/>
      <w:color w:val="000000"/>
      <w:sz w:val="16"/>
      <w:szCs w:val="16"/>
    </w:rPr>
  </w:style>
  <w:style w:type="character" w:customStyle="1" w:styleId="st1">
    <w:name w:val="st1"/>
    <w:basedOn w:val="DefaultParagraphFont"/>
    <w:rsid w:val="00E94405"/>
  </w:style>
  <w:style w:type="character" w:customStyle="1" w:styleId="maintitle">
    <w:name w:val="maintitle"/>
    <w:basedOn w:val="DefaultParagraphFont"/>
    <w:uiPriority w:val="99"/>
    <w:rsid w:val="00E94405"/>
  </w:style>
  <w:style w:type="paragraph" w:styleId="z-TopofForm">
    <w:name w:val="HTML Top of Form"/>
    <w:basedOn w:val="Normal"/>
    <w:next w:val="Normal"/>
    <w:link w:val="z-TopofFormChar"/>
    <w:hidden/>
    <w:uiPriority w:val="99"/>
    <w:unhideWhenUsed/>
    <w:rsid w:val="00E9440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9440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9440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94405"/>
    <w:rPr>
      <w:rFonts w:ascii="Arial" w:eastAsia="Times New Roman" w:hAnsi="Arial" w:cs="Arial"/>
      <w:vanish/>
      <w:sz w:val="16"/>
      <w:szCs w:val="16"/>
    </w:rPr>
  </w:style>
  <w:style w:type="character" w:customStyle="1" w:styleId="A5">
    <w:name w:val="A5"/>
    <w:uiPriority w:val="99"/>
    <w:rsid w:val="00E94405"/>
    <w:rPr>
      <w:color w:val="000000"/>
      <w:sz w:val="14"/>
      <w:szCs w:val="14"/>
    </w:rPr>
  </w:style>
  <w:style w:type="paragraph" w:customStyle="1" w:styleId="SP245776">
    <w:name w:val="SP245776"/>
    <w:basedOn w:val="Default"/>
    <w:next w:val="Default"/>
    <w:uiPriority w:val="99"/>
    <w:rsid w:val="00E94405"/>
    <w:rPr>
      <w:rFonts w:eastAsiaTheme="minorHAnsi"/>
      <w:color w:val="auto"/>
      <w:lang w:eastAsia="en-US"/>
    </w:rPr>
  </w:style>
  <w:style w:type="paragraph" w:customStyle="1" w:styleId="SP245785">
    <w:name w:val="SP245785"/>
    <w:basedOn w:val="Default"/>
    <w:next w:val="Default"/>
    <w:uiPriority w:val="99"/>
    <w:rsid w:val="00E94405"/>
    <w:rPr>
      <w:rFonts w:eastAsiaTheme="minorHAnsi"/>
      <w:color w:val="auto"/>
      <w:lang w:eastAsia="en-US"/>
    </w:rPr>
  </w:style>
  <w:style w:type="character" w:customStyle="1" w:styleId="SC1660">
    <w:name w:val="SC1660"/>
    <w:uiPriority w:val="99"/>
    <w:rsid w:val="00E94405"/>
    <w:rPr>
      <w:color w:val="000000"/>
      <w:sz w:val="21"/>
      <w:szCs w:val="21"/>
    </w:rPr>
  </w:style>
  <w:style w:type="character" w:customStyle="1" w:styleId="singlehighlightclass">
    <w:name w:val="single_highlight_class"/>
    <w:basedOn w:val="DefaultParagraphFont"/>
    <w:rsid w:val="00E94405"/>
  </w:style>
  <w:style w:type="character" w:customStyle="1" w:styleId="big1">
    <w:name w:val="big1"/>
    <w:basedOn w:val="DefaultParagraphFont"/>
    <w:rsid w:val="00E94405"/>
    <w:rPr>
      <w:rFonts w:ascii="Verdana" w:hAnsi="Verdana" w:hint="default"/>
      <w:sz w:val="19"/>
      <w:szCs w:val="19"/>
    </w:rPr>
  </w:style>
  <w:style w:type="character" w:customStyle="1" w:styleId="ms-rtecustom-creditcaption1">
    <w:name w:val="ms-rtecustom-creditcaption1"/>
    <w:basedOn w:val="DefaultParagraphFont"/>
    <w:rsid w:val="00E94405"/>
    <w:rPr>
      <w:sz w:val="12"/>
      <w:szCs w:val="12"/>
    </w:rPr>
  </w:style>
  <w:style w:type="paragraph" w:customStyle="1" w:styleId="CharCharCarCharCarCharCarCharCarChar">
    <w:name w:val="Char Char Car Char Car Char Car Char Car Char"/>
    <w:basedOn w:val="Normal"/>
    <w:rsid w:val="00E94405"/>
    <w:pPr>
      <w:autoSpaceDE w:val="0"/>
      <w:autoSpaceDN w:val="0"/>
      <w:spacing w:after="160" w:line="240" w:lineRule="exact"/>
    </w:pPr>
    <w:rPr>
      <w:rFonts w:ascii="Arial" w:hAnsi="Arial" w:cs="Arial"/>
      <w:sz w:val="20"/>
      <w:szCs w:val="20"/>
      <w:lang w:val="en-US"/>
    </w:rPr>
  </w:style>
  <w:style w:type="character" w:customStyle="1" w:styleId="normaltext1">
    <w:name w:val="normaltext1"/>
    <w:basedOn w:val="DefaultParagraphFont"/>
    <w:rsid w:val="00E94405"/>
    <w:rPr>
      <w:b w:val="0"/>
      <w:bCs w:val="0"/>
      <w:color w:val="32393D"/>
      <w:sz w:val="15"/>
      <w:szCs w:val="15"/>
    </w:rPr>
  </w:style>
  <w:style w:type="character" w:customStyle="1" w:styleId="nlmx">
    <w:name w:val="nlm_x"/>
    <w:basedOn w:val="DefaultParagraphFont"/>
    <w:uiPriority w:val="99"/>
    <w:rsid w:val="00E94405"/>
  </w:style>
  <w:style w:type="paragraph" w:customStyle="1" w:styleId="Description">
    <w:name w:val="Description"/>
    <w:basedOn w:val="Normal"/>
    <w:rsid w:val="00E94405"/>
    <w:pPr>
      <w:widowControl w:val="0"/>
      <w:autoSpaceDE w:val="0"/>
      <w:autoSpaceDN w:val="0"/>
      <w:ind w:firstLine="340"/>
      <w:jc w:val="both"/>
    </w:pPr>
    <w:rPr>
      <w:sz w:val="20"/>
      <w:szCs w:val="20"/>
    </w:rPr>
  </w:style>
  <w:style w:type="paragraph" w:customStyle="1" w:styleId="Title2">
    <w:name w:val="Title 2"/>
    <w:basedOn w:val="Normal"/>
    <w:rsid w:val="00E94405"/>
    <w:pPr>
      <w:jc w:val="center"/>
    </w:pPr>
    <w:rPr>
      <w:rFonts w:ascii="Times" w:hAnsi="Times"/>
      <w:b/>
      <w:sz w:val="36"/>
      <w:szCs w:val="20"/>
    </w:rPr>
  </w:style>
  <w:style w:type="character" w:customStyle="1" w:styleId="citation">
    <w:name w:val="citation"/>
    <w:basedOn w:val="DefaultParagraphFont"/>
    <w:rsid w:val="00E94405"/>
  </w:style>
  <w:style w:type="character" w:customStyle="1" w:styleId="ref-journal">
    <w:name w:val="ref-journal"/>
    <w:basedOn w:val="DefaultParagraphFont"/>
    <w:rsid w:val="00E94405"/>
  </w:style>
  <w:style w:type="paragraph" w:customStyle="1" w:styleId="intro">
    <w:name w:val="intro"/>
    <w:basedOn w:val="Normal"/>
    <w:rsid w:val="00E94405"/>
    <w:pPr>
      <w:spacing w:before="100" w:beforeAutospacing="1" w:after="100" w:afterAutospacing="1"/>
    </w:pPr>
  </w:style>
  <w:style w:type="character" w:customStyle="1" w:styleId="pageheading1">
    <w:name w:val="page_heading1"/>
    <w:basedOn w:val="DefaultParagraphFont"/>
    <w:rsid w:val="00E94405"/>
    <w:rPr>
      <w:b/>
      <w:bCs/>
      <w:color w:val="980000"/>
      <w:sz w:val="34"/>
      <w:szCs w:val="34"/>
    </w:rPr>
  </w:style>
  <w:style w:type="character" w:customStyle="1" w:styleId="ms-rtecustom-edctrdoi1">
    <w:name w:val="ms-rtecustom-edctrdoi1"/>
    <w:basedOn w:val="DefaultParagraphFont"/>
    <w:uiPriority w:val="99"/>
    <w:rsid w:val="00E94405"/>
    <w:rPr>
      <w:sz w:val="10"/>
      <w:szCs w:val="10"/>
    </w:rPr>
  </w:style>
  <w:style w:type="paragraph" w:customStyle="1" w:styleId="caus-symp-txt">
    <w:name w:val="caus-symp-txt"/>
    <w:basedOn w:val="Normal"/>
    <w:rsid w:val="00E94405"/>
    <w:pPr>
      <w:spacing w:before="240" w:after="240"/>
    </w:pPr>
  </w:style>
  <w:style w:type="character" w:customStyle="1" w:styleId="element-citation">
    <w:name w:val="element-citation"/>
    <w:basedOn w:val="DefaultParagraphFont"/>
    <w:rsid w:val="00E94405"/>
  </w:style>
  <w:style w:type="character" w:customStyle="1" w:styleId="citation-abbreviation">
    <w:name w:val="citation-abbreviation"/>
    <w:basedOn w:val="DefaultParagraphFont"/>
    <w:rsid w:val="00E94405"/>
  </w:style>
  <w:style w:type="character" w:customStyle="1" w:styleId="citation-publication-date">
    <w:name w:val="citation-publication-date"/>
    <w:basedOn w:val="DefaultParagraphFont"/>
    <w:rsid w:val="00E94405"/>
  </w:style>
  <w:style w:type="character" w:customStyle="1" w:styleId="citation-volume">
    <w:name w:val="citation-volume"/>
    <w:basedOn w:val="DefaultParagraphFont"/>
    <w:rsid w:val="00E94405"/>
  </w:style>
  <w:style w:type="character" w:customStyle="1" w:styleId="citation-flpages">
    <w:name w:val="citation-flpages"/>
    <w:basedOn w:val="DefaultParagraphFont"/>
    <w:rsid w:val="00E94405"/>
  </w:style>
  <w:style w:type="character" w:customStyle="1" w:styleId="publication-title">
    <w:name w:val="publication-title"/>
    <w:basedOn w:val="DefaultParagraphFont"/>
    <w:rsid w:val="00E94405"/>
  </w:style>
  <w:style w:type="character" w:customStyle="1" w:styleId="BodyChar">
    <w:name w:val="Body Char"/>
    <w:basedOn w:val="DefaultParagraphFont"/>
    <w:link w:val="Body"/>
    <w:rsid w:val="00E94405"/>
    <w:rPr>
      <w:rFonts w:ascii="Times New Roman" w:eastAsia="Times New Roman" w:hAnsi="Times New Roman"/>
      <w:sz w:val="24"/>
      <w:lang w:eastAsia="en-US"/>
    </w:rPr>
  </w:style>
  <w:style w:type="paragraph" w:customStyle="1" w:styleId="articlecategory">
    <w:name w:val="articlecategory"/>
    <w:basedOn w:val="Normal"/>
    <w:rsid w:val="00E94405"/>
    <w:pPr>
      <w:spacing w:before="100" w:beforeAutospacing="1" w:after="100" w:afterAutospacing="1"/>
    </w:pPr>
  </w:style>
  <w:style w:type="character" w:customStyle="1" w:styleId="generaltextvvsmall1">
    <w:name w:val="generaltextvvsmall1"/>
    <w:basedOn w:val="DefaultParagraphFont"/>
    <w:uiPriority w:val="99"/>
    <w:rsid w:val="00E94405"/>
    <w:rPr>
      <w:rFonts w:ascii="Arial" w:hAnsi="Arial" w:cs="Arial" w:hint="default"/>
      <w:color w:val="000000"/>
      <w:sz w:val="17"/>
      <w:szCs w:val="17"/>
    </w:rPr>
  </w:style>
  <w:style w:type="paragraph" w:customStyle="1" w:styleId="Tabletext3">
    <w:name w:val="Table text"/>
    <w:basedOn w:val="Normal"/>
    <w:uiPriority w:val="99"/>
    <w:rsid w:val="00E94405"/>
    <w:pPr>
      <w:spacing w:before="60" w:after="60" w:line="280" w:lineRule="atLeast"/>
    </w:pPr>
    <w:rPr>
      <w:rFonts w:ascii="Arial" w:eastAsiaTheme="minorEastAsia" w:hAnsi="Arial" w:cs="Arial"/>
      <w:sz w:val="18"/>
      <w:szCs w:val="18"/>
      <w:lang w:val="en-GB" w:bidi="en-US"/>
    </w:rPr>
  </w:style>
  <w:style w:type="paragraph" w:customStyle="1" w:styleId="last">
    <w:name w:val="last"/>
    <w:basedOn w:val="Normal"/>
    <w:uiPriority w:val="99"/>
    <w:rsid w:val="00E94405"/>
    <w:pPr>
      <w:spacing w:before="100" w:beforeAutospacing="1" w:after="100" w:afterAutospacing="1"/>
    </w:pPr>
    <w:rPr>
      <w:rFonts w:ascii="Verdana" w:eastAsiaTheme="minorEastAsia" w:hAnsi="Verdana" w:cs="Verdana"/>
      <w:sz w:val="16"/>
      <w:szCs w:val="16"/>
      <w:lang w:val="en-US" w:bidi="en-US"/>
    </w:rPr>
  </w:style>
  <w:style w:type="paragraph" w:customStyle="1" w:styleId="Preformatted">
    <w:name w:val="Preformatted"/>
    <w:basedOn w:val="Normal"/>
    <w:uiPriority w:val="99"/>
    <w:rsid w:val="00E9440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heme="minorEastAsia" w:hAnsi="Courier New" w:cs="Courier New"/>
      <w:sz w:val="20"/>
      <w:szCs w:val="20"/>
      <w:lang w:val="en-US" w:bidi="en-US"/>
    </w:rPr>
  </w:style>
  <w:style w:type="paragraph" w:styleId="NoSpacing">
    <w:name w:val="No Spacing"/>
    <w:basedOn w:val="Normal"/>
    <w:uiPriority w:val="1"/>
    <w:qFormat/>
    <w:rsid w:val="00E94405"/>
    <w:rPr>
      <w:rFonts w:eastAsiaTheme="minorEastAsia"/>
      <w:lang w:val="en-US" w:bidi="en-US"/>
    </w:rPr>
  </w:style>
  <w:style w:type="paragraph" w:customStyle="1" w:styleId="bio">
    <w:name w:val="bio"/>
    <w:basedOn w:val="Normal"/>
    <w:uiPriority w:val="99"/>
    <w:rsid w:val="00E94405"/>
    <w:pPr>
      <w:spacing w:before="136" w:after="136"/>
    </w:pPr>
    <w:rPr>
      <w:rFonts w:eastAsiaTheme="minorEastAsia"/>
      <w:lang w:val="en-US" w:bidi="en-US"/>
    </w:rPr>
  </w:style>
  <w:style w:type="character" w:customStyle="1" w:styleId="byline2">
    <w:name w:val="byline2"/>
    <w:basedOn w:val="DefaultParagraphFont"/>
    <w:uiPriority w:val="99"/>
    <w:rsid w:val="00E94405"/>
    <w:rPr>
      <w:color w:val="auto"/>
    </w:rPr>
  </w:style>
  <w:style w:type="character" w:customStyle="1" w:styleId="about2">
    <w:name w:val="about2"/>
    <w:basedOn w:val="DefaultParagraphFont"/>
    <w:uiPriority w:val="99"/>
    <w:rsid w:val="00E94405"/>
  </w:style>
  <w:style w:type="paragraph" w:customStyle="1" w:styleId="Titlepageheading">
    <w:name w:val="Title page heading"/>
    <w:basedOn w:val="Title"/>
    <w:link w:val="TitlepageheadingChar"/>
    <w:uiPriority w:val="99"/>
    <w:locked/>
    <w:rsid w:val="00E94405"/>
    <w:pPr>
      <w:pBdr>
        <w:bottom w:val="single" w:sz="4" w:space="1" w:color="auto"/>
      </w:pBdr>
      <w:spacing w:before="0" w:after="200"/>
      <w:ind w:left="426"/>
      <w:contextualSpacing/>
    </w:pPr>
    <w:rPr>
      <w:rFonts w:eastAsiaTheme="majorEastAsia" w:cs="Calibri"/>
      <w:bCs/>
      <w:spacing w:val="5"/>
      <w:kern w:val="28"/>
      <w:sz w:val="54"/>
      <w:szCs w:val="54"/>
      <w:lang w:val="en-US" w:eastAsia="ja-JP" w:bidi="en-US"/>
    </w:rPr>
  </w:style>
  <w:style w:type="character" w:customStyle="1" w:styleId="TitlepageheadingChar">
    <w:name w:val="Title page heading Char"/>
    <w:basedOn w:val="DefaultParagraphFont"/>
    <w:link w:val="Titlepageheading"/>
    <w:uiPriority w:val="99"/>
    <w:locked/>
    <w:rsid w:val="00E94405"/>
    <w:rPr>
      <w:rFonts w:ascii="Calibri" w:eastAsiaTheme="majorEastAsia"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E94405"/>
    <w:pPr>
      <w:widowControl w:val="0"/>
      <w:suppressAutoHyphens/>
      <w:autoSpaceDE w:val="0"/>
      <w:autoSpaceDN w:val="0"/>
      <w:adjustRightInd w:val="0"/>
      <w:spacing w:before="227" w:line="300" w:lineRule="atLeast"/>
      <w:textAlignment w:val="center"/>
    </w:pPr>
    <w:rPr>
      <w:rFonts w:ascii="MiloPro-Light" w:eastAsiaTheme="minorEastAsia" w:hAnsi="MiloPro-Light" w:cs="MiloPro-Light"/>
      <w:lang w:val="en-GB" w:bidi="en-US"/>
    </w:rPr>
  </w:style>
  <w:style w:type="paragraph" w:customStyle="1" w:styleId="Char14">
    <w:name w:val="Char14"/>
    <w:basedOn w:val="Normal"/>
    <w:uiPriority w:val="99"/>
    <w:rsid w:val="00E94405"/>
    <w:rPr>
      <w:rFonts w:ascii="Arial" w:eastAsiaTheme="minorEastAsia" w:hAnsi="Arial" w:cs="Arial"/>
      <w:lang w:val="en-US" w:bidi="en-US"/>
    </w:rPr>
  </w:style>
  <w:style w:type="paragraph" w:customStyle="1" w:styleId="CharChar1Char3">
    <w:name w:val="Char Char1 Char3"/>
    <w:basedOn w:val="Normal"/>
    <w:uiPriority w:val="99"/>
    <w:rsid w:val="00E94405"/>
    <w:rPr>
      <w:rFonts w:ascii="Arial" w:eastAsiaTheme="minorEastAsia" w:hAnsi="Arial" w:cs="Arial"/>
      <w:lang w:val="en-US" w:bidi="en-US"/>
    </w:rPr>
  </w:style>
  <w:style w:type="character" w:customStyle="1" w:styleId="CharChar52">
    <w:name w:val="Char Char52"/>
    <w:basedOn w:val="DefaultParagraphFont"/>
    <w:uiPriority w:val="99"/>
    <w:semiHidden/>
    <w:locked/>
    <w:rsid w:val="00E94405"/>
    <w:rPr>
      <w:sz w:val="20"/>
      <w:szCs w:val="20"/>
      <w:lang w:eastAsia="en-US"/>
    </w:rPr>
  </w:style>
  <w:style w:type="paragraph" w:customStyle="1" w:styleId="Header12">
    <w:name w:val="Header12"/>
    <w:basedOn w:val="Normal"/>
    <w:uiPriority w:val="99"/>
    <w:rsid w:val="00E94405"/>
    <w:rPr>
      <w:rFonts w:ascii="Verdana" w:eastAsiaTheme="minorEastAsia" w:hAnsi="Verdana" w:cs="Verdana"/>
      <w:sz w:val="15"/>
      <w:szCs w:val="15"/>
      <w:lang w:val="en-US" w:bidi="en-US"/>
    </w:rPr>
  </w:style>
  <w:style w:type="character" w:customStyle="1" w:styleId="CharChar62">
    <w:name w:val="Char Char62"/>
    <w:basedOn w:val="DefaultParagraphFont"/>
    <w:uiPriority w:val="99"/>
    <w:semiHidden/>
    <w:rsid w:val="00E94405"/>
    <w:rPr>
      <w:rFonts w:ascii="Times New Roman" w:hAnsi="Times New Roman" w:cs="Times New Roman"/>
      <w:sz w:val="20"/>
      <w:szCs w:val="20"/>
      <w:lang w:val="en-AU"/>
    </w:rPr>
  </w:style>
  <w:style w:type="character" w:customStyle="1" w:styleId="links1">
    <w:name w:val="links1"/>
    <w:basedOn w:val="DefaultParagraphFont"/>
    <w:uiPriority w:val="99"/>
    <w:rsid w:val="00E94405"/>
    <w:rPr>
      <w:rFonts w:ascii="Arial" w:hAnsi="Arial" w:cs="Arial"/>
      <w:sz w:val="20"/>
      <w:szCs w:val="20"/>
    </w:rPr>
  </w:style>
  <w:style w:type="paragraph" w:customStyle="1" w:styleId="style21">
    <w:name w:val="style21"/>
    <w:basedOn w:val="Normal"/>
    <w:uiPriority w:val="99"/>
    <w:rsid w:val="00E94405"/>
    <w:pPr>
      <w:spacing w:before="100" w:beforeAutospacing="1" w:after="100" w:afterAutospacing="1"/>
    </w:pPr>
    <w:rPr>
      <w:rFonts w:ascii="Arial" w:eastAsiaTheme="minorEastAsia" w:hAnsi="Arial" w:cs="Arial"/>
      <w:b/>
      <w:bCs/>
      <w:sz w:val="20"/>
      <w:szCs w:val="20"/>
      <w:lang w:val="en-US" w:bidi="en-US"/>
    </w:rPr>
  </w:style>
  <w:style w:type="character" w:customStyle="1" w:styleId="pest-scientific-name2">
    <w:name w:val="pest-scientific-name2"/>
    <w:basedOn w:val="DefaultParagraphFont"/>
    <w:uiPriority w:val="99"/>
    <w:rsid w:val="00E94405"/>
    <w:rPr>
      <w:b/>
      <w:bCs/>
      <w:i/>
      <w:iCs/>
    </w:rPr>
  </w:style>
  <w:style w:type="character" w:customStyle="1" w:styleId="pest-taxonomy2">
    <w:name w:val="pest-taxonomy2"/>
    <w:basedOn w:val="DefaultParagraphFont"/>
    <w:uiPriority w:val="99"/>
    <w:rsid w:val="00E94405"/>
    <w:rPr>
      <w:b/>
      <w:bCs/>
    </w:rPr>
  </w:style>
  <w:style w:type="character" w:customStyle="1" w:styleId="pest-scientific-author2">
    <w:name w:val="pest-scientific-author2"/>
    <w:basedOn w:val="DefaultParagraphFont"/>
    <w:uiPriority w:val="99"/>
    <w:rsid w:val="00E94405"/>
    <w:rPr>
      <w:b/>
      <w:bCs/>
    </w:rPr>
  </w:style>
  <w:style w:type="paragraph" w:customStyle="1" w:styleId="AppendixHeading">
    <w:name w:val="Appendix Heading"/>
    <w:basedOn w:val="Normal"/>
    <w:uiPriority w:val="99"/>
    <w:rsid w:val="00E94405"/>
    <w:pPr>
      <w:pBdr>
        <w:bottom w:val="thinThickThinSmallGap" w:sz="24" w:space="1" w:color="008000"/>
      </w:pBdr>
      <w:jc w:val="center"/>
    </w:pPr>
    <w:rPr>
      <w:rFonts w:ascii="Verdana" w:eastAsiaTheme="minorEastAsia" w:hAnsi="Verdana" w:cs="Verdana"/>
      <w:b/>
      <w:bCs/>
      <w:sz w:val="52"/>
      <w:szCs w:val="52"/>
      <w:lang w:val="en-US" w:bidi="en-US"/>
    </w:rPr>
  </w:style>
  <w:style w:type="character" w:customStyle="1" w:styleId="style31">
    <w:name w:val="style31"/>
    <w:basedOn w:val="DefaultParagraphFont"/>
    <w:uiPriority w:val="99"/>
    <w:rsid w:val="00E94405"/>
    <w:rPr>
      <w:rFonts w:ascii="Arial" w:hAnsi="Arial" w:cs="Arial"/>
      <w:sz w:val="18"/>
      <w:szCs w:val="18"/>
    </w:rPr>
  </w:style>
  <w:style w:type="character" w:customStyle="1" w:styleId="style41">
    <w:name w:val="style41"/>
    <w:basedOn w:val="DefaultParagraphFont"/>
    <w:uiPriority w:val="99"/>
    <w:rsid w:val="00E94405"/>
    <w:rPr>
      <w:rFonts w:ascii="Arial" w:hAnsi="Arial" w:cs="Arial"/>
      <w:b/>
      <w:bCs/>
      <w:color w:val="FFFFFF"/>
      <w:sz w:val="24"/>
      <w:szCs w:val="24"/>
    </w:rPr>
  </w:style>
  <w:style w:type="paragraph" w:customStyle="1" w:styleId="SingleSpace">
    <w:name w:val="Single Space"/>
    <w:basedOn w:val="Normal"/>
    <w:uiPriority w:val="99"/>
    <w:locked/>
    <w:rsid w:val="00E94405"/>
    <w:pPr>
      <w:tabs>
        <w:tab w:val="left" w:pos="1134"/>
      </w:tabs>
    </w:pPr>
    <w:rPr>
      <w:rFonts w:eastAsiaTheme="minorEastAsia"/>
      <w:lang w:val="en-US" w:bidi="en-US"/>
    </w:rPr>
  </w:style>
  <w:style w:type="paragraph" w:customStyle="1" w:styleId="StyleBAHeader1Verdana10ptNotBold">
    <w:name w:val="Style BA Header 1 + Verdana 10 pt Not Bold"/>
    <w:basedOn w:val="BAHeader1"/>
    <w:uiPriority w:val="99"/>
    <w:rsid w:val="00E94405"/>
    <w:pPr>
      <w:numPr>
        <w:numId w:val="0"/>
      </w:numPr>
      <w:tabs>
        <w:tab w:val="num" w:pos="432"/>
      </w:tabs>
      <w:ind w:left="432" w:hanging="432"/>
    </w:pPr>
    <w:rPr>
      <w:rFonts w:ascii="Verdana" w:eastAsiaTheme="minorEastAsia" w:hAnsi="Verdana" w:cs="Verdana"/>
      <w:bCs/>
      <w:sz w:val="32"/>
      <w:szCs w:val="32"/>
      <w:lang w:val="en-US" w:bidi="en-US"/>
    </w:rPr>
  </w:style>
  <w:style w:type="character" w:customStyle="1" w:styleId="other-scientific-name1">
    <w:name w:val="other-scientific-name1"/>
    <w:basedOn w:val="DefaultParagraphFont"/>
    <w:uiPriority w:val="99"/>
    <w:rsid w:val="00E94405"/>
    <w:rPr>
      <w:i/>
      <w:iCs/>
    </w:rPr>
  </w:style>
  <w:style w:type="character" w:customStyle="1" w:styleId="copyright1">
    <w:name w:val="copyright1"/>
    <w:basedOn w:val="DefaultParagraphFont"/>
    <w:uiPriority w:val="99"/>
    <w:rsid w:val="00E94405"/>
    <w:rPr>
      <w:color w:val="auto"/>
      <w:sz w:val="18"/>
      <w:szCs w:val="18"/>
      <w:u w:val="none"/>
      <w:effect w:val="none"/>
    </w:rPr>
  </w:style>
  <w:style w:type="character" w:customStyle="1" w:styleId="header10">
    <w:name w:val="header1"/>
    <w:basedOn w:val="DefaultParagraphFont"/>
    <w:uiPriority w:val="99"/>
    <w:rsid w:val="00E94405"/>
    <w:rPr>
      <w:sz w:val="27"/>
      <w:szCs w:val="27"/>
    </w:rPr>
  </w:style>
  <w:style w:type="character" w:customStyle="1" w:styleId="FootnoteTextChar1">
    <w:name w:val="Footnote Text Char1"/>
    <w:uiPriority w:val="99"/>
    <w:locked/>
    <w:rsid w:val="00E94405"/>
    <w:rPr>
      <w:rFonts w:ascii="Arial" w:hAnsi="Arial" w:cs="Arial"/>
      <w:sz w:val="18"/>
      <w:szCs w:val="18"/>
      <w:lang w:val="en-AU" w:eastAsia="en-US"/>
    </w:rPr>
  </w:style>
  <w:style w:type="paragraph" w:customStyle="1" w:styleId="Char13">
    <w:name w:val="Char13"/>
    <w:basedOn w:val="Normal"/>
    <w:uiPriority w:val="99"/>
    <w:rsid w:val="00E94405"/>
    <w:rPr>
      <w:rFonts w:ascii="Arial" w:eastAsiaTheme="minorEastAsia" w:hAnsi="Arial" w:cs="Arial"/>
      <w:lang w:val="en-US" w:bidi="en-US"/>
    </w:rPr>
  </w:style>
  <w:style w:type="paragraph" w:customStyle="1" w:styleId="CharChar1Char2">
    <w:name w:val="Char Char1 Char2"/>
    <w:basedOn w:val="Normal"/>
    <w:uiPriority w:val="99"/>
    <w:rsid w:val="00E94405"/>
    <w:rPr>
      <w:rFonts w:ascii="Arial" w:eastAsiaTheme="minorEastAsia" w:hAnsi="Arial" w:cs="Arial"/>
      <w:lang w:val="en-US" w:bidi="en-US"/>
    </w:rPr>
  </w:style>
  <w:style w:type="character" w:customStyle="1" w:styleId="CharChar51">
    <w:name w:val="Char Char51"/>
    <w:uiPriority w:val="99"/>
    <w:semiHidden/>
    <w:locked/>
    <w:rsid w:val="00E94405"/>
    <w:rPr>
      <w:sz w:val="20"/>
      <w:szCs w:val="20"/>
      <w:lang w:eastAsia="en-US"/>
    </w:rPr>
  </w:style>
  <w:style w:type="paragraph" w:customStyle="1" w:styleId="Header11">
    <w:name w:val="Header11"/>
    <w:basedOn w:val="Normal"/>
    <w:uiPriority w:val="99"/>
    <w:rsid w:val="00E94405"/>
    <w:rPr>
      <w:rFonts w:ascii="Verdana" w:eastAsiaTheme="minorEastAsia" w:hAnsi="Verdana" w:cs="Verdana"/>
      <w:sz w:val="15"/>
      <w:szCs w:val="15"/>
      <w:lang w:val="en-US" w:bidi="en-US"/>
    </w:rPr>
  </w:style>
  <w:style w:type="character" w:customStyle="1" w:styleId="CharChar61">
    <w:name w:val="Char Char61"/>
    <w:uiPriority w:val="99"/>
    <w:semiHidden/>
    <w:rsid w:val="00E94405"/>
    <w:rPr>
      <w:rFonts w:ascii="Times New Roman" w:hAnsi="Times New Roman" w:cs="Times New Roman"/>
      <w:sz w:val="20"/>
      <w:szCs w:val="20"/>
      <w:lang w:val="en-AU"/>
    </w:rPr>
  </w:style>
  <w:style w:type="character" w:customStyle="1" w:styleId="xref-sep2">
    <w:name w:val="xref-sep2"/>
    <w:uiPriority w:val="99"/>
    <w:rsid w:val="00E94405"/>
  </w:style>
  <w:style w:type="character" w:customStyle="1" w:styleId="slug-pub-date3">
    <w:name w:val="slug-pub-date3"/>
    <w:uiPriority w:val="99"/>
    <w:rsid w:val="00E94405"/>
    <w:rPr>
      <w:b/>
      <w:bCs/>
    </w:rPr>
  </w:style>
  <w:style w:type="character" w:customStyle="1" w:styleId="slug-vol">
    <w:name w:val="slug-vol"/>
    <w:uiPriority w:val="99"/>
    <w:rsid w:val="00E94405"/>
  </w:style>
  <w:style w:type="character" w:customStyle="1" w:styleId="slug-issue">
    <w:name w:val="slug-issue"/>
    <w:uiPriority w:val="99"/>
    <w:rsid w:val="00E94405"/>
  </w:style>
  <w:style w:type="character" w:customStyle="1" w:styleId="slug-pages3">
    <w:name w:val="slug-pages3"/>
    <w:uiPriority w:val="99"/>
    <w:rsid w:val="00E94405"/>
    <w:rPr>
      <w:b/>
      <w:bCs/>
    </w:rPr>
  </w:style>
  <w:style w:type="character" w:customStyle="1" w:styleId="container2">
    <w:name w:val="container2"/>
    <w:uiPriority w:val="99"/>
    <w:rsid w:val="00E94405"/>
  </w:style>
  <w:style w:type="character" w:customStyle="1" w:styleId="year">
    <w:name w:val="year"/>
    <w:uiPriority w:val="99"/>
    <w:rsid w:val="00E94405"/>
  </w:style>
  <w:style w:type="character" w:customStyle="1" w:styleId="info3">
    <w:name w:val="info3"/>
    <w:uiPriority w:val="99"/>
    <w:rsid w:val="00E94405"/>
  </w:style>
  <w:style w:type="character" w:customStyle="1" w:styleId="volume">
    <w:name w:val="volume"/>
    <w:uiPriority w:val="99"/>
    <w:rsid w:val="00E94405"/>
  </w:style>
  <w:style w:type="character" w:customStyle="1" w:styleId="issue">
    <w:name w:val="issue"/>
    <w:uiPriority w:val="99"/>
    <w:rsid w:val="00E94405"/>
  </w:style>
  <w:style w:type="character" w:customStyle="1" w:styleId="pages">
    <w:name w:val="pages"/>
    <w:uiPriority w:val="99"/>
    <w:rsid w:val="00E94405"/>
  </w:style>
  <w:style w:type="character" w:customStyle="1" w:styleId="cit-source">
    <w:name w:val="cit-source"/>
    <w:uiPriority w:val="99"/>
    <w:rsid w:val="00E94405"/>
  </w:style>
  <w:style w:type="character" w:customStyle="1" w:styleId="cit-fpage">
    <w:name w:val="cit-fpage"/>
    <w:uiPriority w:val="99"/>
    <w:rsid w:val="00E94405"/>
  </w:style>
  <w:style w:type="character" w:customStyle="1" w:styleId="bold1">
    <w:name w:val="bold1"/>
    <w:uiPriority w:val="99"/>
    <w:rsid w:val="00E94405"/>
    <w:rPr>
      <w:b/>
      <w:bCs/>
    </w:rPr>
  </w:style>
  <w:style w:type="paragraph" w:customStyle="1" w:styleId="CharChar1Char1">
    <w:name w:val="Char Char1 Char1"/>
    <w:basedOn w:val="Normal"/>
    <w:uiPriority w:val="99"/>
    <w:rsid w:val="00E94405"/>
    <w:rPr>
      <w:rFonts w:ascii="Arial" w:eastAsiaTheme="minorEastAsia" w:hAnsi="Arial" w:cs="Arial"/>
      <w:lang w:val="en-US" w:bidi="en-US"/>
    </w:rPr>
  </w:style>
  <w:style w:type="character" w:customStyle="1" w:styleId="search1">
    <w:name w:val="search1"/>
    <w:uiPriority w:val="99"/>
    <w:rsid w:val="00E94405"/>
    <w:rPr>
      <w:color w:val="auto"/>
    </w:rPr>
  </w:style>
  <w:style w:type="character" w:customStyle="1" w:styleId="popup1">
    <w:name w:val="popup1"/>
    <w:uiPriority w:val="99"/>
    <w:rsid w:val="00E94405"/>
    <w:rPr>
      <w:color w:val="auto"/>
      <w:u w:val="none"/>
      <w:effect w:val="none"/>
    </w:rPr>
  </w:style>
  <w:style w:type="character" w:customStyle="1" w:styleId="generaltitletext1">
    <w:name w:val="generaltitletext1"/>
    <w:uiPriority w:val="99"/>
    <w:rsid w:val="00E94405"/>
    <w:rPr>
      <w:rFonts w:ascii="Arial" w:hAnsi="Arial" w:cs="Arial"/>
      <w:b/>
      <w:bCs/>
      <w:caps/>
      <w:color w:val="auto"/>
      <w:sz w:val="24"/>
      <w:szCs w:val="24"/>
    </w:rPr>
  </w:style>
  <w:style w:type="character" w:customStyle="1" w:styleId="searchterm1">
    <w:name w:val="searchterm1"/>
    <w:uiPriority w:val="99"/>
    <w:rsid w:val="00E94405"/>
  </w:style>
  <w:style w:type="character" w:customStyle="1" w:styleId="personname">
    <w:name w:val="person_name"/>
    <w:uiPriority w:val="99"/>
    <w:rsid w:val="00E94405"/>
  </w:style>
  <w:style w:type="paragraph" w:customStyle="1" w:styleId="Pa20">
    <w:name w:val="Pa20"/>
    <w:basedOn w:val="Default"/>
    <w:next w:val="Default"/>
    <w:uiPriority w:val="99"/>
    <w:rsid w:val="00E94405"/>
    <w:pPr>
      <w:spacing w:line="181" w:lineRule="atLeast"/>
    </w:pPr>
    <w:rPr>
      <w:rFonts w:ascii="Sabon" w:eastAsiaTheme="minorEastAsia" w:hAnsi="Sabon" w:cs="Sabon"/>
      <w:color w:val="auto"/>
      <w:lang w:val="en-US" w:eastAsia="en-US" w:bidi="en-US"/>
    </w:rPr>
  </w:style>
  <w:style w:type="paragraph" w:customStyle="1" w:styleId="side1">
    <w:name w:val="side1"/>
    <w:basedOn w:val="Normal"/>
    <w:uiPriority w:val="99"/>
    <w:rsid w:val="00E94405"/>
    <w:pPr>
      <w:spacing w:before="75"/>
      <w:ind w:left="150"/>
    </w:pPr>
    <w:rPr>
      <w:rFonts w:ascii="Arial" w:eastAsiaTheme="minorEastAsia" w:hAnsi="Arial" w:cs="Arial"/>
      <w:color w:val="330066"/>
      <w:lang w:val="en-US" w:bidi="en-US"/>
    </w:rPr>
  </w:style>
  <w:style w:type="paragraph" w:customStyle="1" w:styleId="StyleBodyTextBodyTextCharCharJustified">
    <w:name w:val="Style Body TextBody Text Char Char + Justified"/>
    <w:basedOn w:val="BodyText"/>
    <w:uiPriority w:val="99"/>
    <w:rsid w:val="00E94405"/>
    <w:pPr>
      <w:widowControl/>
      <w:spacing w:after="240" w:line="278" w:lineRule="auto"/>
      <w:jc w:val="both"/>
    </w:pPr>
    <w:rPr>
      <w:rFonts w:ascii="Georgia" w:eastAsiaTheme="minorEastAsia" w:hAnsi="Georgia" w:cs="Georgia"/>
      <w:b w:val="0"/>
      <w:kern w:val="28"/>
      <w:sz w:val="20"/>
      <w:lang w:val="en-CA" w:eastAsia="en-CA" w:bidi="en-US"/>
    </w:rPr>
  </w:style>
  <w:style w:type="paragraph" w:customStyle="1" w:styleId="TextBoxTitle">
    <w:name w:val="Text Box Title"/>
    <w:basedOn w:val="Normal"/>
    <w:uiPriority w:val="99"/>
    <w:rsid w:val="00E94405"/>
    <w:pPr>
      <w:spacing w:before="100" w:after="60" w:line="278" w:lineRule="auto"/>
      <w:jc w:val="center"/>
    </w:pPr>
    <w:rPr>
      <w:rFonts w:ascii="Georgia" w:eastAsiaTheme="minorEastAsia" w:cs="Georgia"/>
      <w:b/>
      <w:bCs/>
      <w:kern w:val="28"/>
      <w:sz w:val="20"/>
      <w:szCs w:val="20"/>
      <w:lang w:val="en-CA" w:eastAsia="en-CA" w:bidi="en-US"/>
    </w:rPr>
  </w:style>
  <w:style w:type="paragraph" w:customStyle="1" w:styleId="TextBoxText">
    <w:name w:val="Text Box Text"/>
    <w:basedOn w:val="Normal"/>
    <w:uiPriority w:val="99"/>
    <w:rsid w:val="00E94405"/>
    <w:pPr>
      <w:spacing w:before="100" w:after="100" w:line="278" w:lineRule="auto"/>
    </w:pPr>
    <w:rPr>
      <w:rFonts w:ascii="Georgia" w:eastAsiaTheme="minorEastAsia" w:hAnsi="Georgia" w:cs="Georgia"/>
      <w:kern w:val="28"/>
      <w:sz w:val="20"/>
      <w:szCs w:val="20"/>
      <w:lang w:val="en-CA" w:eastAsia="en-CA" w:bidi="en-US"/>
    </w:rPr>
  </w:style>
  <w:style w:type="paragraph" w:customStyle="1" w:styleId="NormalText">
    <w:name w:val="Normal Text"/>
    <w:uiPriority w:val="99"/>
    <w:rsid w:val="00E94405"/>
    <w:pPr>
      <w:autoSpaceDE w:val="0"/>
      <w:autoSpaceDN w:val="0"/>
      <w:adjustRightInd w:val="0"/>
      <w:spacing w:after="200" w:line="276" w:lineRule="auto"/>
    </w:pPr>
    <w:rPr>
      <w:rFonts w:asciiTheme="minorHAnsi" w:eastAsiaTheme="minorEastAsia" w:hAnsiTheme="minorHAnsi" w:cstheme="minorBidi"/>
      <w:lang w:val="en-US" w:eastAsia="en-US" w:bidi="en-US"/>
    </w:rPr>
  </w:style>
  <w:style w:type="character" w:customStyle="1" w:styleId="style14">
    <w:name w:val="style14"/>
    <w:uiPriority w:val="99"/>
    <w:rsid w:val="00E94405"/>
  </w:style>
  <w:style w:type="character" w:customStyle="1" w:styleId="style25">
    <w:name w:val="style25"/>
    <w:uiPriority w:val="99"/>
    <w:rsid w:val="00E94405"/>
  </w:style>
  <w:style w:type="paragraph" w:styleId="Index1">
    <w:name w:val="index 1"/>
    <w:basedOn w:val="Normal"/>
    <w:next w:val="Normal"/>
    <w:autoRedefine/>
    <w:uiPriority w:val="99"/>
    <w:semiHidden/>
    <w:rsid w:val="00E94405"/>
    <w:pPr>
      <w:overflowPunct w:val="0"/>
      <w:autoSpaceDE w:val="0"/>
      <w:autoSpaceDN w:val="0"/>
      <w:adjustRightInd w:val="0"/>
      <w:textAlignment w:val="baseline"/>
    </w:pPr>
    <w:rPr>
      <w:rFonts w:eastAsiaTheme="minorEastAsia"/>
      <w:sz w:val="16"/>
      <w:szCs w:val="16"/>
      <w:lang w:val="en-GB" w:bidi="en-US"/>
    </w:rPr>
  </w:style>
  <w:style w:type="character" w:customStyle="1" w:styleId="search">
    <w:name w:val="search"/>
    <w:uiPriority w:val="99"/>
    <w:rsid w:val="00E94405"/>
  </w:style>
  <w:style w:type="paragraph" w:customStyle="1" w:styleId="caption-value">
    <w:name w:val="caption-value"/>
    <w:basedOn w:val="Normal"/>
    <w:uiPriority w:val="99"/>
    <w:rsid w:val="00E94405"/>
    <w:pPr>
      <w:spacing w:before="100" w:beforeAutospacing="1" w:after="100" w:afterAutospacing="1"/>
    </w:pPr>
    <w:rPr>
      <w:rFonts w:eastAsiaTheme="minorEastAsia"/>
      <w:lang w:val="en-US" w:bidi="en-US"/>
    </w:rPr>
  </w:style>
  <w:style w:type="character" w:customStyle="1" w:styleId="l9">
    <w:name w:val="l9"/>
    <w:basedOn w:val="DefaultParagraphFont"/>
    <w:rsid w:val="00E94405"/>
  </w:style>
  <w:style w:type="character" w:customStyle="1" w:styleId="l8">
    <w:name w:val="l8"/>
    <w:basedOn w:val="DefaultParagraphFont"/>
    <w:rsid w:val="00E94405"/>
  </w:style>
  <w:style w:type="character" w:customStyle="1" w:styleId="l10">
    <w:name w:val="l10"/>
    <w:basedOn w:val="DefaultParagraphFont"/>
    <w:rsid w:val="00E94405"/>
  </w:style>
  <w:style w:type="character" w:customStyle="1" w:styleId="l11">
    <w:name w:val="l11"/>
    <w:basedOn w:val="DefaultParagraphFont"/>
    <w:rsid w:val="00E94405"/>
  </w:style>
  <w:style w:type="character" w:customStyle="1" w:styleId="l12">
    <w:name w:val="l12"/>
    <w:basedOn w:val="DefaultParagraphFont"/>
    <w:rsid w:val="00E94405"/>
  </w:style>
  <w:style w:type="character" w:customStyle="1" w:styleId="l">
    <w:name w:val="l"/>
    <w:basedOn w:val="DefaultParagraphFont"/>
    <w:rsid w:val="00E94405"/>
  </w:style>
  <w:style w:type="paragraph" w:customStyle="1" w:styleId="pagetitletext">
    <w:name w:val="pagetitletext"/>
    <w:basedOn w:val="Normal"/>
    <w:rsid w:val="00E94405"/>
    <w:pPr>
      <w:spacing w:after="100" w:afterAutospacing="1"/>
    </w:pPr>
    <w:rPr>
      <w:rFonts w:eastAsiaTheme="minorEastAsia"/>
      <w:b/>
      <w:bCs/>
      <w:color w:val="008080"/>
      <w:sz w:val="36"/>
      <w:szCs w:val="36"/>
      <w:lang w:val="en-US" w:bidi="en-US"/>
    </w:rPr>
  </w:style>
  <w:style w:type="paragraph" w:styleId="IntenseQuote">
    <w:name w:val="Intense Quote"/>
    <w:basedOn w:val="Normal"/>
    <w:next w:val="Normal"/>
    <w:link w:val="IntenseQuoteChar"/>
    <w:uiPriority w:val="30"/>
    <w:qFormat/>
    <w:rsid w:val="00E94405"/>
    <w:pPr>
      <w:pBdr>
        <w:bottom w:val="single" w:sz="4" w:space="1" w:color="auto"/>
      </w:pBdr>
      <w:spacing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E94405"/>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E94405"/>
    <w:rPr>
      <w:i/>
      <w:iCs/>
    </w:rPr>
  </w:style>
  <w:style w:type="character" w:styleId="IntenseEmphasis">
    <w:name w:val="Intense Emphasis"/>
    <w:uiPriority w:val="21"/>
    <w:qFormat/>
    <w:rsid w:val="00E94405"/>
    <w:rPr>
      <w:b/>
      <w:bCs/>
    </w:rPr>
  </w:style>
  <w:style w:type="character" w:styleId="SubtleReference">
    <w:name w:val="Subtle Reference"/>
    <w:uiPriority w:val="31"/>
    <w:qFormat/>
    <w:rsid w:val="00E94405"/>
    <w:rPr>
      <w:smallCaps/>
    </w:rPr>
  </w:style>
  <w:style w:type="character" w:styleId="IntenseReference">
    <w:name w:val="Intense Reference"/>
    <w:uiPriority w:val="32"/>
    <w:qFormat/>
    <w:rsid w:val="00E94405"/>
    <w:rPr>
      <w:smallCaps/>
      <w:spacing w:val="5"/>
      <w:u w:val="single"/>
    </w:rPr>
  </w:style>
  <w:style w:type="character" w:styleId="BookTitle">
    <w:name w:val="Book Title"/>
    <w:uiPriority w:val="33"/>
    <w:qFormat/>
    <w:rsid w:val="00E94405"/>
    <w:rPr>
      <w:i/>
      <w:iCs/>
      <w:smallCaps/>
      <w:spacing w:val="5"/>
    </w:rPr>
  </w:style>
  <w:style w:type="paragraph" w:customStyle="1" w:styleId="Heading1nonumbers">
    <w:name w:val="Heading 1 (no numbers)"/>
    <w:basedOn w:val="Heading1"/>
    <w:qFormat/>
    <w:rsid w:val="00E94405"/>
    <w:pPr>
      <w:pageBreakBefore w:val="0"/>
      <w:numPr>
        <w:numId w:val="0"/>
      </w:numPr>
      <w:spacing w:before="480" w:after="120"/>
    </w:pPr>
    <w:rPr>
      <w:rFonts w:eastAsiaTheme="majorEastAsia" w:cstheme="majorBidi"/>
      <w:b/>
      <w:color w:val="D52B1E"/>
      <w:sz w:val="34"/>
      <w:lang w:val="en-US"/>
    </w:rPr>
  </w:style>
  <w:style w:type="paragraph" w:customStyle="1" w:styleId="Heading3Nonumber">
    <w:name w:val="Heading 3 No number"/>
    <w:basedOn w:val="Heading3"/>
    <w:qFormat/>
    <w:rsid w:val="00E94405"/>
    <w:pPr>
      <w:keepLines/>
      <w:spacing w:before="120" w:after="200"/>
    </w:pPr>
    <w:rPr>
      <w:rFonts w:ascii="Calibri" w:hAnsi="Calibri" w:cstheme="minorBidi"/>
      <w:sz w:val="24"/>
      <w:szCs w:val="22"/>
    </w:rPr>
  </w:style>
</w:styles>
</file>

<file path=word/webSettings.xml><?xml version="1.0" encoding="utf-8"?>
<w:webSettings xmlns:r="http://schemas.openxmlformats.org/officeDocument/2006/relationships" xmlns:w="http://schemas.openxmlformats.org/wordprocessingml/2006/main">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2921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439479">
      <w:bodyDiv w:val="1"/>
      <w:marLeft w:val="0"/>
      <w:marRight w:val="0"/>
      <w:marTop w:val="0"/>
      <w:marBottom w:val="0"/>
      <w:divBdr>
        <w:top w:val="none" w:sz="0" w:space="0" w:color="auto"/>
        <w:left w:val="none" w:sz="0" w:space="0" w:color="auto"/>
        <w:bottom w:val="none" w:sz="0" w:space="0" w:color="auto"/>
        <w:right w:val="none" w:sz="0" w:space="0" w:color="auto"/>
      </w:divBdr>
      <w:divsChild>
        <w:div w:id="1563903125">
          <w:marLeft w:val="0"/>
          <w:marRight w:val="0"/>
          <w:marTop w:val="0"/>
          <w:marBottom w:val="0"/>
          <w:divBdr>
            <w:top w:val="none" w:sz="0" w:space="0" w:color="auto"/>
            <w:left w:val="none" w:sz="0" w:space="0" w:color="auto"/>
            <w:bottom w:val="none" w:sz="0" w:space="0" w:color="auto"/>
            <w:right w:val="none" w:sz="0" w:space="0" w:color="auto"/>
          </w:divBdr>
          <w:divsChild>
            <w:div w:id="1798403670">
              <w:marLeft w:val="0"/>
              <w:marRight w:val="0"/>
              <w:marTop w:val="0"/>
              <w:marBottom w:val="0"/>
              <w:divBdr>
                <w:top w:val="none" w:sz="0" w:space="0" w:color="auto"/>
                <w:left w:val="none" w:sz="0" w:space="0" w:color="auto"/>
                <w:bottom w:val="none" w:sz="0" w:space="0" w:color="auto"/>
                <w:right w:val="none" w:sz="0" w:space="0" w:color="auto"/>
              </w:divBdr>
              <w:divsChild>
                <w:div w:id="1072701782">
                  <w:marLeft w:val="0"/>
                  <w:marRight w:val="0"/>
                  <w:marTop w:val="0"/>
                  <w:marBottom w:val="0"/>
                  <w:divBdr>
                    <w:top w:val="none" w:sz="0" w:space="0" w:color="auto"/>
                    <w:left w:val="none" w:sz="0" w:space="0" w:color="auto"/>
                    <w:bottom w:val="none" w:sz="0" w:space="0" w:color="auto"/>
                    <w:right w:val="none" w:sz="0" w:space="0" w:color="auto"/>
                  </w:divBdr>
                  <w:divsChild>
                    <w:div w:id="816073351">
                      <w:marLeft w:val="0"/>
                      <w:marRight w:val="0"/>
                      <w:marTop w:val="0"/>
                      <w:marBottom w:val="0"/>
                      <w:divBdr>
                        <w:top w:val="none" w:sz="0" w:space="0" w:color="auto"/>
                        <w:left w:val="none" w:sz="0" w:space="0" w:color="auto"/>
                        <w:bottom w:val="none" w:sz="0" w:space="0" w:color="auto"/>
                        <w:right w:val="none" w:sz="0" w:space="0" w:color="auto"/>
                      </w:divBdr>
                      <w:divsChild>
                        <w:div w:id="2083139305">
                          <w:marLeft w:val="0"/>
                          <w:marRight w:val="0"/>
                          <w:marTop w:val="0"/>
                          <w:marBottom w:val="0"/>
                          <w:divBdr>
                            <w:top w:val="none" w:sz="0" w:space="0" w:color="auto"/>
                            <w:left w:val="none" w:sz="0" w:space="0" w:color="auto"/>
                            <w:bottom w:val="none" w:sz="0" w:space="0" w:color="auto"/>
                            <w:right w:val="none" w:sz="0" w:space="0" w:color="auto"/>
                          </w:divBdr>
                          <w:divsChild>
                            <w:div w:id="1899897261">
                              <w:marLeft w:val="0"/>
                              <w:marRight w:val="0"/>
                              <w:marTop w:val="0"/>
                              <w:marBottom w:val="0"/>
                              <w:divBdr>
                                <w:top w:val="none" w:sz="0" w:space="0" w:color="auto"/>
                                <w:left w:val="none" w:sz="0" w:space="0" w:color="auto"/>
                                <w:bottom w:val="none" w:sz="0" w:space="0" w:color="auto"/>
                                <w:right w:val="none" w:sz="0" w:space="0" w:color="auto"/>
                              </w:divBdr>
                              <w:divsChild>
                                <w:div w:id="1835535837">
                                  <w:marLeft w:val="0"/>
                                  <w:marRight w:val="0"/>
                                  <w:marTop w:val="0"/>
                                  <w:marBottom w:val="0"/>
                                  <w:divBdr>
                                    <w:top w:val="none" w:sz="0" w:space="0" w:color="auto"/>
                                    <w:left w:val="none" w:sz="0" w:space="0" w:color="auto"/>
                                    <w:bottom w:val="none" w:sz="0" w:space="0" w:color="auto"/>
                                    <w:right w:val="none" w:sz="0" w:space="0" w:color="auto"/>
                                  </w:divBdr>
                                  <w:divsChild>
                                    <w:div w:id="1423717853">
                                      <w:marLeft w:val="0"/>
                                      <w:marRight w:val="0"/>
                                      <w:marTop w:val="0"/>
                                      <w:marBottom w:val="0"/>
                                      <w:divBdr>
                                        <w:top w:val="none" w:sz="0" w:space="0" w:color="auto"/>
                                        <w:left w:val="none" w:sz="0" w:space="0" w:color="auto"/>
                                        <w:bottom w:val="none" w:sz="0" w:space="0" w:color="auto"/>
                                        <w:right w:val="none" w:sz="0" w:space="0" w:color="auto"/>
                                      </w:divBdr>
                                      <w:divsChild>
                                        <w:div w:id="18891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7852148">
      <w:bodyDiv w:val="1"/>
      <w:marLeft w:val="0"/>
      <w:marRight w:val="0"/>
      <w:marTop w:val="0"/>
      <w:marBottom w:val="0"/>
      <w:divBdr>
        <w:top w:val="none" w:sz="0" w:space="0" w:color="auto"/>
        <w:left w:val="none" w:sz="0" w:space="0" w:color="auto"/>
        <w:bottom w:val="none" w:sz="0" w:space="0" w:color="auto"/>
        <w:right w:val="none" w:sz="0" w:space="0" w:color="auto"/>
      </w:divBdr>
      <w:divsChild>
        <w:div w:id="1193811063">
          <w:marLeft w:val="0"/>
          <w:marRight w:val="0"/>
          <w:marTop w:val="0"/>
          <w:marBottom w:val="0"/>
          <w:divBdr>
            <w:top w:val="none" w:sz="0" w:space="0" w:color="auto"/>
            <w:left w:val="none" w:sz="0" w:space="0" w:color="auto"/>
            <w:bottom w:val="none" w:sz="0" w:space="0" w:color="auto"/>
            <w:right w:val="none" w:sz="0" w:space="0" w:color="auto"/>
          </w:divBdr>
          <w:divsChild>
            <w:div w:id="145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36710">
      <w:bodyDiv w:val="1"/>
      <w:marLeft w:val="0"/>
      <w:marRight w:val="0"/>
      <w:marTop w:val="0"/>
      <w:marBottom w:val="0"/>
      <w:divBdr>
        <w:top w:val="none" w:sz="0" w:space="0" w:color="auto"/>
        <w:left w:val="none" w:sz="0" w:space="0" w:color="auto"/>
        <w:bottom w:val="none" w:sz="0" w:space="0" w:color="auto"/>
        <w:right w:val="none" w:sz="0" w:space="0" w:color="auto"/>
      </w:divBdr>
      <w:divsChild>
        <w:div w:id="2014261419">
          <w:marLeft w:val="0"/>
          <w:marRight w:val="0"/>
          <w:marTop w:val="0"/>
          <w:marBottom w:val="196"/>
          <w:divBdr>
            <w:top w:val="single" w:sz="4" w:space="6" w:color="D3D1D1"/>
            <w:left w:val="single" w:sz="4" w:space="0" w:color="D3D1D1"/>
            <w:bottom w:val="single" w:sz="4" w:space="6" w:color="D3D1D1"/>
            <w:right w:val="single" w:sz="4" w:space="0" w:color="D3D1D1"/>
          </w:divBdr>
          <w:divsChild>
            <w:div w:id="1844785635">
              <w:marLeft w:val="87"/>
              <w:marRight w:val="87"/>
              <w:marTop w:val="0"/>
              <w:marBottom w:val="0"/>
              <w:divBdr>
                <w:top w:val="none" w:sz="0" w:space="0" w:color="auto"/>
                <w:left w:val="none" w:sz="0" w:space="0" w:color="auto"/>
                <w:bottom w:val="none" w:sz="0" w:space="0" w:color="auto"/>
                <w:right w:val="none" w:sz="0" w:space="0" w:color="auto"/>
              </w:divBdr>
              <w:divsChild>
                <w:div w:id="584650582">
                  <w:marLeft w:val="0"/>
                  <w:marRight w:val="0"/>
                  <w:marTop w:val="0"/>
                  <w:marBottom w:val="0"/>
                  <w:divBdr>
                    <w:top w:val="none" w:sz="0" w:space="0" w:color="auto"/>
                    <w:left w:val="none" w:sz="0" w:space="0" w:color="auto"/>
                    <w:bottom w:val="none" w:sz="0" w:space="0" w:color="auto"/>
                    <w:right w:val="none" w:sz="0" w:space="0" w:color="auto"/>
                  </w:divBdr>
                  <w:divsChild>
                    <w:div w:id="720440322">
                      <w:marLeft w:val="0"/>
                      <w:marRight w:val="0"/>
                      <w:marTop w:val="0"/>
                      <w:marBottom w:val="0"/>
                      <w:divBdr>
                        <w:top w:val="none" w:sz="0" w:space="0" w:color="auto"/>
                        <w:left w:val="none" w:sz="0" w:space="0" w:color="auto"/>
                        <w:bottom w:val="none" w:sz="0" w:space="0" w:color="auto"/>
                        <w:right w:val="none" w:sz="0" w:space="0" w:color="auto"/>
                      </w:divBdr>
                      <w:divsChild>
                        <w:div w:id="14752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21335">
      <w:bodyDiv w:val="1"/>
      <w:marLeft w:val="0"/>
      <w:marRight w:val="0"/>
      <w:marTop w:val="0"/>
      <w:marBottom w:val="0"/>
      <w:divBdr>
        <w:top w:val="none" w:sz="0" w:space="0" w:color="auto"/>
        <w:left w:val="none" w:sz="0" w:space="0" w:color="auto"/>
        <w:bottom w:val="none" w:sz="0" w:space="0" w:color="auto"/>
        <w:right w:val="none" w:sz="0" w:space="0" w:color="auto"/>
      </w:divBdr>
      <w:divsChild>
        <w:div w:id="413094705">
          <w:marLeft w:val="0"/>
          <w:marRight w:val="0"/>
          <w:marTop w:val="0"/>
          <w:marBottom w:val="0"/>
          <w:divBdr>
            <w:top w:val="none" w:sz="0" w:space="0" w:color="auto"/>
            <w:left w:val="none" w:sz="0" w:space="0" w:color="auto"/>
            <w:bottom w:val="none" w:sz="0" w:space="0" w:color="auto"/>
            <w:right w:val="none" w:sz="0" w:space="0" w:color="auto"/>
          </w:divBdr>
          <w:divsChild>
            <w:div w:id="5102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610715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727185">
      <w:bodyDiv w:val="1"/>
      <w:marLeft w:val="0"/>
      <w:marRight w:val="0"/>
      <w:marTop w:val="0"/>
      <w:marBottom w:val="0"/>
      <w:divBdr>
        <w:top w:val="none" w:sz="0" w:space="0" w:color="auto"/>
        <w:left w:val="none" w:sz="0" w:space="0" w:color="auto"/>
        <w:bottom w:val="none" w:sz="0" w:space="0" w:color="auto"/>
        <w:right w:val="none" w:sz="0" w:space="0" w:color="auto"/>
      </w:divBdr>
      <w:divsChild>
        <w:div w:id="1919747201">
          <w:marLeft w:val="0"/>
          <w:marRight w:val="240"/>
          <w:marTop w:val="120"/>
          <w:marBottom w:val="0"/>
          <w:divBdr>
            <w:top w:val="none" w:sz="0" w:space="0" w:color="auto"/>
            <w:left w:val="none" w:sz="0" w:space="0" w:color="auto"/>
            <w:bottom w:val="none" w:sz="0" w:space="0" w:color="auto"/>
            <w:right w:val="none" w:sz="0" w:space="0" w:color="auto"/>
          </w:divBdr>
          <w:divsChild>
            <w:div w:id="585845111">
              <w:marLeft w:val="84"/>
              <w:marRight w:val="0"/>
              <w:marTop w:val="84"/>
              <w:marBottom w:val="360"/>
              <w:divBdr>
                <w:top w:val="none" w:sz="0" w:space="0" w:color="auto"/>
                <w:left w:val="none" w:sz="0" w:space="0" w:color="auto"/>
                <w:bottom w:val="none" w:sz="0" w:space="0" w:color="auto"/>
                <w:right w:val="none" w:sz="0" w:space="0" w:color="auto"/>
              </w:divBdr>
            </w:div>
          </w:divsChild>
        </w:div>
        <w:div w:id="1109084961">
          <w:marLeft w:val="0"/>
          <w:marRight w:val="0"/>
          <w:marTop w:val="120"/>
          <w:marBottom w:val="0"/>
          <w:divBdr>
            <w:top w:val="none" w:sz="0" w:space="0" w:color="auto"/>
            <w:left w:val="none" w:sz="0" w:space="0" w:color="auto"/>
            <w:bottom w:val="none" w:sz="0" w:space="0" w:color="auto"/>
            <w:right w:val="none" w:sz="0" w:space="0" w:color="auto"/>
          </w:divBdr>
          <w:divsChild>
            <w:div w:id="14718228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249563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094920">
      <w:bodyDiv w:val="1"/>
      <w:marLeft w:val="0"/>
      <w:marRight w:val="0"/>
      <w:marTop w:val="0"/>
      <w:marBottom w:val="0"/>
      <w:divBdr>
        <w:top w:val="none" w:sz="0" w:space="0" w:color="auto"/>
        <w:left w:val="none" w:sz="0" w:space="0" w:color="auto"/>
        <w:bottom w:val="none" w:sz="0" w:space="0" w:color="auto"/>
        <w:right w:val="none" w:sz="0" w:space="0" w:color="auto"/>
      </w:divBdr>
    </w:div>
    <w:div w:id="136787325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82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0306235">
      <w:bodyDiv w:val="1"/>
      <w:marLeft w:val="0"/>
      <w:marRight w:val="0"/>
      <w:marTop w:val="0"/>
      <w:marBottom w:val="0"/>
      <w:divBdr>
        <w:top w:val="none" w:sz="0" w:space="0" w:color="auto"/>
        <w:left w:val="none" w:sz="0" w:space="0" w:color="auto"/>
        <w:bottom w:val="none" w:sz="0" w:space="0" w:color="auto"/>
        <w:right w:val="none" w:sz="0" w:space="0" w:color="auto"/>
      </w:divBdr>
      <w:divsChild>
        <w:div w:id="1316103273">
          <w:marLeft w:val="0"/>
          <w:marRight w:val="0"/>
          <w:marTop w:val="0"/>
          <w:marBottom w:val="150"/>
          <w:divBdr>
            <w:top w:val="none" w:sz="0" w:space="0" w:color="auto"/>
            <w:left w:val="none" w:sz="0" w:space="0" w:color="auto"/>
            <w:bottom w:val="none" w:sz="0" w:space="0" w:color="auto"/>
            <w:right w:val="none" w:sz="0" w:space="0" w:color="auto"/>
          </w:divBdr>
          <w:divsChild>
            <w:div w:id="9997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5509">
      <w:bodyDiv w:val="1"/>
      <w:marLeft w:val="0"/>
      <w:marRight w:val="0"/>
      <w:marTop w:val="0"/>
      <w:marBottom w:val="0"/>
      <w:divBdr>
        <w:top w:val="none" w:sz="0" w:space="0" w:color="auto"/>
        <w:left w:val="none" w:sz="0" w:space="0" w:color="auto"/>
        <w:bottom w:val="none" w:sz="0" w:space="0" w:color="auto"/>
        <w:right w:val="none" w:sz="0" w:space="0" w:color="auto"/>
      </w:divBdr>
      <w:divsChild>
        <w:div w:id="1991208877">
          <w:marLeft w:val="0"/>
          <w:marRight w:val="0"/>
          <w:marTop w:val="0"/>
          <w:marBottom w:val="0"/>
          <w:divBdr>
            <w:top w:val="none" w:sz="0" w:space="0" w:color="auto"/>
            <w:left w:val="none" w:sz="0" w:space="0" w:color="auto"/>
            <w:bottom w:val="none" w:sz="0" w:space="0" w:color="auto"/>
            <w:right w:val="none" w:sz="0" w:space="0" w:color="auto"/>
          </w:divBdr>
          <w:divsChild>
            <w:div w:id="171990893">
              <w:marLeft w:val="0"/>
              <w:marRight w:val="0"/>
              <w:marTop w:val="0"/>
              <w:marBottom w:val="0"/>
              <w:divBdr>
                <w:top w:val="none" w:sz="0" w:space="0" w:color="auto"/>
                <w:left w:val="none" w:sz="0" w:space="0" w:color="auto"/>
                <w:bottom w:val="none" w:sz="0" w:space="0" w:color="auto"/>
                <w:right w:val="none" w:sz="0" w:space="0" w:color="auto"/>
              </w:divBdr>
              <w:divsChild>
                <w:div w:id="1671760160">
                  <w:marLeft w:val="0"/>
                  <w:marRight w:val="0"/>
                  <w:marTop w:val="0"/>
                  <w:marBottom w:val="0"/>
                  <w:divBdr>
                    <w:top w:val="none" w:sz="0" w:space="0" w:color="auto"/>
                    <w:left w:val="none" w:sz="0" w:space="0" w:color="auto"/>
                    <w:bottom w:val="none" w:sz="0" w:space="0" w:color="auto"/>
                    <w:right w:val="none" w:sz="0" w:space="0" w:color="auto"/>
                  </w:divBdr>
                  <w:divsChild>
                    <w:div w:id="748579840">
                      <w:marLeft w:val="0"/>
                      <w:marRight w:val="0"/>
                      <w:marTop w:val="0"/>
                      <w:marBottom w:val="0"/>
                      <w:divBdr>
                        <w:top w:val="none" w:sz="0" w:space="0" w:color="auto"/>
                        <w:left w:val="none" w:sz="0" w:space="0" w:color="auto"/>
                        <w:bottom w:val="none" w:sz="0" w:space="0" w:color="auto"/>
                        <w:right w:val="none" w:sz="0" w:space="0" w:color="auto"/>
                      </w:divBdr>
                      <w:divsChild>
                        <w:div w:id="1238633257">
                          <w:marLeft w:val="0"/>
                          <w:marRight w:val="0"/>
                          <w:marTop w:val="0"/>
                          <w:marBottom w:val="0"/>
                          <w:divBdr>
                            <w:top w:val="none" w:sz="0" w:space="0" w:color="auto"/>
                            <w:left w:val="none" w:sz="0" w:space="0" w:color="auto"/>
                            <w:bottom w:val="none" w:sz="0" w:space="0" w:color="auto"/>
                            <w:right w:val="none" w:sz="0" w:space="0" w:color="auto"/>
                          </w:divBdr>
                          <w:divsChild>
                            <w:div w:id="1665628591">
                              <w:marLeft w:val="0"/>
                              <w:marRight w:val="0"/>
                              <w:marTop w:val="0"/>
                              <w:marBottom w:val="0"/>
                              <w:divBdr>
                                <w:top w:val="none" w:sz="0" w:space="0" w:color="auto"/>
                                <w:left w:val="none" w:sz="0" w:space="0" w:color="auto"/>
                                <w:bottom w:val="none" w:sz="0" w:space="0" w:color="auto"/>
                                <w:right w:val="none" w:sz="0" w:space="0" w:color="auto"/>
                              </w:divBdr>
                              <w:divsChild>
                                <w:div w:id="1289629802">
                                  <w:marLeft w:val="0"/>
                                  <w:marRight w:val="0"/>
                                  <w:marTop w:val="0"/>
                                  <w:marBottom w:val="0"/>
                                  <w:divBdr>
                                    <w:top w:val="none" w:sz="0" w:space="0" w:color="auto"/>
                                    <w:left w:val="none" w:sz="0" w:space="0" w:color="auto"/>
                                    <w:bottom w:val="none" w:sz="0" w:space="0" w:color="auto"/>
                                    <w:right w:val="none" w:sz="0" w:space="0" w:color="auto"/>
                                  </w:divBdr>
                                  <w:divsChild>
                                    <w:div w:id="99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55554">
      <w:bodyDiv w:val="1"/>
      <w:marLeft w:val="0"/>
      <w:marRight w:val="0"/>
      <w:marTop w:val="0"/>
      <w:marBottom w:val="0"/>
      <w:divBdr>
        <w:top w:val="none" w:sz="0" w:space="0" w:color="auto"/>
        <w:left w:val="none" w:sz="0" w:space="0" w:color="auto"/>
        <w:bottom w:val="none" w:sz="0" w:space="0" w:color="auto"/>
        <w:right w:val="none" w:sz="0" w:space="0" w:color="auto"/>
      </w:divBdr>
    </w:div>
    <w:div w:id="1670912281">
      <w:bodyDiv w:val="1"/>
      <w:marLeft w:val="0"/>
      <w:marRight w:val="0"/>
      <w:marTop w:val="0"/>
      <w:marBottom w:val="0"/>
      <w:divBdr>
        <w:top w:val="none" w:sz="0" w:space="0" w:color="auto"/>
        <w:left w:val="none" w:sz="0" w:space="0" w:color="auto"/>
        <w:bottom w:val="none" w:sz="0" w:space="0" w:color="auto"/>
        <w:right w:val="none" w:sz="0" w:space="0" w:color="auto"/>
      </w:divBdr>
      <w:divsChild>
        <w:div w:id="438136772">
          <w:marLeft w:val="0"/>
          <w:marRight w:val="0"/>
          <w:marTop w:val="0"/>
          <w:marBottom w:val="196"/>
          <w:divBdr>
            <w:top w:val="single" w:sz="4" w:space="6" w:color="D3D1D1"/>
            <w:left w:val="single" w:sz="4" w:space="0" w:color="D3D1D1"/>
            <w:bottom w:val="single" w:sz="4" w:space="6" w:color="D3D1D1"/>
            <w:right w:val="single" w:sz="4" w:space="0" w:color="D3D1D1"/>
          </w:divBdr>
          <w:divsChild>
            <w:div w:id="953709954">
              <w:marLeft w:val="87"/>
              <w:marRight w:val="87"/>
              <w:marTop w:val="0"/>
              <w:marBottom w:val="0"/>
              <w:divBdr>
                <w:top w:val="none" w:sz="0" w:space="0" w:color="auto"/>
                <w:left w:val="none" w:sz="0" w:space="0" w:color="auto"/>
                <w:bottom w:val="none" w:sz="0" w:space="0" w:color="auto"/>
                <w:right w:val="none" w:sz="0" w:space="0" w:color="auto"/>
              </w:divBdr>
              <w:divsChild>
                <w:div w:id="1977248443">
                  <w:marLeft w:val="0"/>
                  <w:marRight w:val="0"/>
                  <w:marTop w:val="0"/>
                  <w:marBottom w:val="0"/>
                  <w:divBdr>
                    <w:top w:val="none" w:sz="0" w:space="0" w:color="auto"/>
                    <w:left w:val="none" w:sz="0" w:space="0" w:color="auto"/>
                    <w:bottom w:val="none" w:sz="0" w:space="0" w:color="auto"/>
                    <w:right w:val="none" w:sz="0" w:space="0" w:color="auto"/>
                  </w:divBdr>
                  <w:divsChild>
                    <w:div w:id="388724037">
                      <w:marLeft w:val="0"/>
                      <w:marRight w:val="0"/>
                      <w:marTop w:val="0"/>
                      <w:marBottom w:val="0"/>
                      <w:divBdr>
                        <w:top w:val="none" w:sz="0" w:space="0" w:color="auto"/>
                        <w:left w:val="none" w:sz="0" w:space="0" w:color="auto"/>
                        <w:bottom w:val="none" w:sz="0" w:space="0" w:color="auto"/>
                        <w:right w:val="none" w:sz="0" w:space="0" w:color="auto"/>
                      </w:divBdr>
                      <w:divsChild>
                        <w:div w:id="1844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750397">
      <w:bodyDiv w:val="1"/>
      <w:marLeft w:val="0"/>
      <w:marRight w:val="0"/>
      <w:marTop w:val="0"/>
      <w:marBottom w:val="0"/>
      <w:divBdr>
        <w:top w:val="none" w:sz="0" w:space="0" w:color="auto"/>
        <w:left w:val="none" w:sz="0" w:space="0" w:color="auto"/>
        <w:bottom w:val="none" w:sz="0" w:space="0" w:color="auto"/>
        <w:right w:val="none" w:sz="0" w:space="0" w:color="auto"/>
      </w:divBdr>
      <w:divsChild>
        <w:div w:id="259459335">
          <w:marLeft w:val="0"/>
          <w:marRight w:val="0"/>
          <w:marTop w:val="0"/>
          <w:marBottom w:val="0"/>
          <w:divBdr>
            <w:top w:val="none" w:sz="0" w:space="0" w:color="auto"/>
            <w:left w:val="none" w:sz="0" w:space="0" w:color="auto"/>
            <w:bottom w:val="none" w:sz="0" w:space="0" w:color="auto"/>
            <w:right w:val="none" w:sz="0" w:space="0" w:color="auto"/>
          </w:divBdr>
          <w:divsChild>
            <w:div w:id="16042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689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aff.gov.au/" TargetMode="External"/><Relationship Id="rId26" Type="http://schemas.openxmlformats.org/officeDocument/2006/relationships/header" Target="header6.xml"/><Relationship Id="rId39" Type="http://schemas.openxmlformats.org/officeDocument/2006/relationships/hyperlink" Target="http://www.agriculture.gov.au/biosecurity/import/icon-icd" TargetMode="Externa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hyperlink" Target="http://www.comlaw.gov.au./" TargetMode="External"/><Relationship Id="rId50" Type="http://schemas.openxmlformats.org/officeDocument/2006/relationships/header" Target="header18.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9" Type="http://schemas.openxmlformats.org/officeDocument/2006/relationships/hyperlink" Target="http://www.daff.gov.au/ba/ira/process-handbook" TargetMode="Externa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image" Target="media/image9.png"/><Relationship Id="rId40" Type="http://schemas.openxmlformats.org/officeDocument/2006/relationships/hyperlink" Target="http://www.ippc.int/IPP/En/default.jsp" TargetMode="External"/><Relationship Id="rId45" Type="http://schemas.openxmlformats.org/officeDocument/2006/relationships/header" Target="header15.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3.0/au/deed.en"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http://www.agriculture.gov.au/icon" TargetMode="External"/><Relationship Id="rId35" Type="http://schemas.openxmlformats.org/officeDocument/2006/relationships/image" Target="media/image7.png"/><Relationship Id="rId43" Type="http://schemas.openxmlformats.org/officeDocument/2006/relationships/hyperlink" Target="http://www.tropicos.org/Name/24900478" TargetMode="External"/><Relationship Id="rId48"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aff.gov.au/" TargetMode="External"/><Relationship Id="rId25" Type="http://schemas.openxmlformats.org/officeDocument/2006/relationships/image" Target="media/image5.jpeg"/><Relationship Id="rId33" Type="http://schemas.openxmlformats.org/officeDocument/2006/relationships/image" Target="media/image6.png"/><Relationship Id="rId38" Type="http://schemas.openxmlformats.org/officeDocument/2006/relationships/header" Target="header12.xml"/><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header" Target="header13.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legalcode" TargetMode="Externa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8.png"/><Relationship Id="rId49"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3CAADB25-AFE3-486B-9AD4-A149EAE888BC}"/>
</file>

<file path=customXml/itemProps2.xml><?xml version="1.0" encoding="utf-8"?>
<ds:datastoreItem xmlns:ds="http://schemas.openxmlformats.org/officeDocument/2006/customXml" ds:itemID="{89149682-D389-4104-9E7F-E7852AF1C7F8}"/>
</file>

<file path=customXml/itemProps3.xml><?xml version="1.0" encoding="utf-8"?>
<ds:datastoreItem xmlns:ds="http://schemas.openxmlformats.org/officeDocument/2006/customXml" ds:itemID="{C1825F10-64E7-4822-BFEF-328364387BDD}"/>
</file>

<file path=customXml/itemProps4.xml><?xml version="1.0" encoding="utf-8"?>
<ds:datastoreItem xmlns:ds="http://schemas.openxmlformats.org/officeDocument/2006/customXml" ds:itemID="{7D6372D6-64D6-4163-ACF5-57CCCAB71B48}"/>
</file>

<file path=docProps/app.xml><?xml version="1.0" encoding="utf-8"?>
<Properties xmlns="http://schemas.openxmlformats.org/officeDocument/2006/extended-properties" xmlns:vt="http://schemas.openxmlformats.org/officeDocument/2006/docPropsVTypes">
  <Template>Normal.dotm</Template>
  <TotalTime>0</TotalTime>
  <Pages>118</Pages>
  <Words>52245</Words>
  <Characters>297798</Characters>
  <Application>Microsoft Office Word</Application>
  <DocSecurity>0</DocSecurity>
  <Lines>2481</Lines>
  <Paragraphs>698</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349345</CharactersWithSpaces>
  <SharedDoc>false</SharedDoc>
  <HyperlinkBase>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2014-06-10T23:50:00Z</cp:lastPrinted>
  <dcterms:created xsi:type="dcterms:W3CDTF">2015-03-13T03:52:00Z</dcterms:created>
  <dcterms:modified xsi:type="dcterms:W3CDTF">2015-03-13T03:52:00Z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