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8.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B64A7" w14:textId="77777777" w:rsidR="008163B6" w:rsidRDefault="008163B6">
      <w:pPr>
        <w:pStyle w:val="Title"/>
        <w:pBdr>
          <w:bottom w:val="single" w:sz="4" w:space="1" w:color="auto"/>
        </w:pBdr>
        <w:rPr>
          <w:sz w:val="22"/>
          <w:szCs w:val="22"/>
        </w:rPr>
      </w:pPr>
    </w:p>
    <w:p w14:paraId="4E01381A" w14:textId="77777777" w:rsidR="008163B6" w:rsidRDefault="00F709BD">
      <w:pPr>
        <w:pStyle w:val="Title"/>
        <w:pBdr>
          <w:bottom w:val="single" w:sz="4" w:space="1" w:color="auto"/>
        </w:pBdr>
        <w:spacing w:before="960" w:after="360"/>
      </w:pPr>
      <w:r>
        <w:t xml:space="preserve">Draft pest risk analysis for </w:t>
      </w:r>
      <w:r>
        <w:rPr>
          <w:i/>
        </w:rPr>
        <w:t>Cucumber green mottle mosaic virus</w:t>
      </w:r>
      <w:r>
        <w:t xml:space="preserve"> (CGMMV)</w:t>
      </w:r>
    </w:p>
    <w:p w14:paraId="1FD22AB1" w14:textId="1B9F2CA6" w:rsidR="008163B6" w:rsidRDefault="00EA1CBC">
      <w:pPr>
        <w:jc w:val="right"/>
      </w:pPr>
      <w:r>
        <w:t>April</w:t>
      </w:r>
      <w:r w:rsidR="00603EB4">
        <w:t xml:space="preserve"> </w:t>
      </w:r>
      <w:r w:rsidR="00F709BD">
        <w:t>201</w:t>
      </w:r>
      <w:r w:rsidR="00306DA7">
        <w:t>6</w:t>
      </w:r>
    </w:p>
    <w:p w14:paraId="5CBC9BB2" w14:textId="77777777" w:rsidR="008163B6" w:rsidRDefault="008163B6">
      <w:pPr>
        <w:jc w:val="right"/>
      </w:pPr>
    </w:p>
    <w:p w14:paraId="4AADDBDF" w14:textId="77777777" w:rsidR="008163B6" w:rsidRDefault="00F709BD">
      <w:pPr>
        <w:pStyle w:val="Picture"/>
        <w:jc w:val="center"/>
      </w:pPr>
      <w:r>
        <w:rPr>
          <w:noProof/>
          <w:lang w:eastAsia="en-AU"/>
        </w:rPr>
        <w:drawing>
          <wp:inline distT="0" distB="0" distL="0" distR="0" wp14:anchorId="5F2A394F" wp14:editId="71E57DBD">
            <wp:extent cx="4518271" cy="4472940"/>
            <wp:effectExtent l="19050" t="0" r="0" b="0"/>
            <wp:docPr id="9" name="Picture 1"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8" cstate="print"/>
                    <a:srcRect/>
                    <a:stretch>
                      <a:fillRect/>
                    </a:stretch>
                  </pic:blipFill>
                  <pic:spPr bwMode="auto">
                    <a:xfrm>
                      <a:off x="0" y="0"/>
                      <a:ext cx="4521671" cy="4476306"/>
                    </a:xfrm>
                    <a:prstGeom prst="rect">
                      <a:avLst/>
                    </a:prstGeom>
                    <a:noFill/>
                    <a:ln w="9525">
                      <a:noFill/>
                      <a:miter lim="800000"/>
                      <a:headEnd/>
                      <a:tailEnd/>
                    </a:ln>
                  </pic:spPr>
                </pic:pic>
              </a:graphicData>
            </a:graphic>
          </wp:inline>
        </w:drawing>
      </w:r>
    </w:p>
    <w:p w14:paraId="0AD8DC8C" w14:textId="77777777" w:rsidR="008163B6" w:rsidRDefault="008163B6">
      <w:pPr>
        <w:pStyle w:val="Picture"/>
      </w:pPr>
    </w:p>
    <w:p w14:paraId="3C9194DE" w14:textId="77777777" w:rsidR="008163B6" w:rsidRDefault="008163B6">
      <w:pPr>
        <w:pStyle w:val="Picture"/>
        <w:jc w:val="center"/>
        <w:sectPr w:rsidR="008163B6">
          <w:headerReference w:type="default" r:id="rId9"/>
          <w:footerReference w:type="default" r:id="rId10"/>
          <w:headerReference w:type="first" r:id="rId11"/>
          <w:footerReference w:type="first" r:id="rId12"/>
          <w:type w:val="oddPage"/>
          <w:pgSz w:w="11906" w:h="16838"/>
          <w:pgMar w:top="1418" w:right="1418" w:bottom="1418" w:left="1418" w:header="567" w:footer="283" w:gutter="0"/>
          <w:pgNumType w:fmt="lowerRoman" w:start="1"/>
          <w:cols w:space="708"/>
          <w:docGrid w:linePitch="360"/>
        </w:sectPr>
      </w:pPr>
    </w:p>
    <w:p w14:paraId="3808D05B" w14:textId="44C6F095" w:rsidR="008163B6" w:rsidRDefault="00F709BD">
      <w:pPr>
        <w:pStyle w:val="Picture"/>
        <w:rPr>
          <w:sz w:val="18"/>
        </w:rPr>
      </w:pPr>
      <w:r>
        <w:rPr>
          <w:sz w:val="18"/>
        </w:rPr>
        <w:lastRenderedPageBreak/>
        <w:t>© Commonwealth of Australia 201</w:t>
      </w:r>
      <w:r w:rsidR="00306DA7">
        <w:rPr>
          <w:sz w:val="18"/>
        </w:rPr>
        <w:t>6</w:t>
      </w:r>
    </w:p>
    <w:p w14:paraId="452E0661" w14:textId="77777777" w:rsidR="008163B6" w:rsidRDefault="00F709BD">
      <w:pPr>
        <w:pStyle w:val="TableText"/>
        <w:rPr>
          <w:rFonts w:ascii="Calibri" w:hAnsi="Calibri"/>
          <w:b/>
        </w:rPr>
      </w:pPr>
      <w:r>
        <w:rPr>
          <w:rFonts w:ascii="Calibri" w:hAnsi="Calibri"/>
          <w:b/>
        </w:rPr>
        <w:t>Ownership of intellectual property rights</w:t>
      </w:r>
    </w:p>
    <w:p w14:paraId="11B7907B" w14:textId="77777777" w:rsidR="008163B6" w:rsidRDefault="00F709BD">
      <w:pPr>
        <w:pStyle w:val="TableText"/>
        <w:spacing w:after="240"/>
      </w:pPr>
      <w:r>
        <w:t>Unless otherwise noted, copyright (and any other intellectual property rights, if any) in this publication is owned by the Commonwealth of Australia (referred to as the Commonwealth).</w:t>
      </w:r>
    </w:p>
    <w:p w14:paraId="4A2E7EF9" w14:textId="77777777" w:rsidR="008163B6" w:rsidRDefault="00F709BD">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74C9EA73" w14:textId="77777777" w:rsidR="008163B6" w:rsidRDefault="00F709BD">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01342F5F" w14:textId="77777777" w:rsidR="008163B6" w:rsidRDefault="00F709BD">
      <w:pPr>
        <w:pStyle w:val="TableText"/>
        <w:spacing w:after="240"/>
      </w:pPr>
      <w:r>
        <w:rPr>
          <w:noProof/>
          <w:lang w:eastAsia="en-AU"/>
        </w:rPr>
        <w:drawing>
          <wp:inline distT="0" distB="0" distL="0" distR="0" wp14:anchorId="0C15A709" wp14:editId="35B5C2FC">
            <wp:extent cx="723900" cy="255905"/>
            <wp:effectExtent l="19050" t="0" r="0" b="0"/>
            <wp:docPr id="10"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3"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A0A1113" w14:textId="1D453720" w:rsidR="008163B6" w:rsidRDefault="00F709BD">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4"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5" w:history="1">
        <w:r>
          <w:rPr>
            <w:rStyle w:val="Hyperlink"/>
          </w:rPr>
          <w:t>creativecommons.org/licenses/by/3.0/au/</w:t>
        </w:r>
        <w:proofErr w:type="spellStart"/>
        <w:r>
          <w:rPr>
            <w:rStyle w:val="Hyperlink"/>
          </w:rPr>
          <w:t>legalcode</w:t>
        </w:r>
        <w:proofErr w:type="spellEnd"/>
      </w:hyperlink>
      <w:r>
        <w:t>.</w:t>
      </w:r>
    </w:p>
    <w:p w14:paraId="7F3DDD44" w14:textId="5AB0AE83" w:rsidR="008163B6" w:rsidRDefault="00F709BD">
      <w:pPr>
        <w:pStyle w:val="TableText"/>
        <w:spacing w:after="240"/>
      </w:pPr>
      <w:r>
        <w:t xml:space="preserve">Inquiries about the licence and any use of this document should be sent to </w:t>
      </w:r>
      <w:hyperlink r:id="rId16" w:history="1">
        <w:r>
          <w:rPr>
            <w:rStyle w:val="Hyperlink"/>
          </w:rPr>
          <w:t>copyright@agriculture.gov.au</w:t>
        </w:r>
      </w:hyperlink>
      <w:r>
        <w:t>.</w:t>
      </w:r>
    </w:p>
    <w:p w14:paraId="035E7D6E" w14:textId="1D6617A6" w:rsidR="008163B6" w:rsidRDefault="00F709BD">
      <w:pPr>
        <w:pStyle w:val="TableText"/>
        <w:spacing w:after="240"/>
      </w:pPr>
      <w:r>
        <w:t>This publication (and any material sourced from it) should be attributed as: Australian Department of Agriculture and Water Resources 201</w:t>
      </w:r>
      <w:r w:rsidR="00306DA7">
        <w:t>6</w:t>
      </w:r>
      <w:r>
        <w:t xml:space="preserve">, </w:t>
      </w:r>
      <w:r>
        <w:rPr>
          <w:i/>
        </w:rPr>
        <w:t xml:space="preserve">Draft pest risk analysis for </w:t>
      </w:r>
      <w:r>
        <w:t xml:space="preserve">Cucumber green mottle mosaic virus </w:t>
      </w:r>
      <w:r>
        <w:rPr>
          <w:i/>
        </w:rPr>
        <w:t>(CGMMV).</w:t>
      </w:r>
      <w:r>
        <w:t xml:space="preserve"> CC BY 3.0</w:t>
      </w:r>
    </w:p>
    <w:p w14:paraId="5AFEA506" w14:textId="77777777" w:rsidR="008163B6" w:rsidRDefault="00F709BD">
      <w:pPr>
        <w:pStyle w:val="TableText"/>
        <w:rPr>
          <w:rFonts w:ascii="Calibri" w:hAnsi="Calibri"/>
          <w:b/>
        </w:rPr>
      </w:pPr>
      <w:r>
        <w:rPr>
          <w:rFonts w:ascii="Calibri" w:hAnsi="Calibri"/>
          <w:b/>
        </w:rPr>
        <w:t>Cataloguing data</w:t>
      </w:r>
    </w:p>
    <w:p w14:paraId="760DBCA1" w14:textId="2CA313D7" w:rsidR="008163B6" w:rsidRPr="00306DA7" w:rsidRDefault="00F709BD">
      <w:pPr>
        <w:pStyle w:val="TableText"/>
        <w:spacing w:after="240"/>
      </w:pPr>
      <w:r>
        <w:t xml:space="preserve">Australian Government Department of Agriculture and Water </w:t>
      </w:r>
      <w:r w:rsidRPr="00306DA7">
        <w:t>Resources 201</w:t>
      </w:r>
      <w:r w:rsidR="00306DA7" w:rsidRPr="00306DA7">
        <w:t>6</w:t>
      </w:r>
      <w:r w:rsidRPr="00306DA7">
        <w:t xml:space="preserve">, </w:t>
      </w:r>
      <w:r w:rsidRPr="00306DA7">
        <w:rPr>
          <w:i/>
        </w:rPr>
        <w:t xml:space="preserve">Draft pest risk analysis for </w:t>
      </w:r>
      <w:r w:rsidRPr="00306DA7">
        <w:t xml:space="preserve">Cucumber green mottle mosaic virus </w:t>
      </w:r>
      <w:r w:rsidRPr="00306DA7">
        <w:rPr>
          <w:i/>
        </w:rPr>
        <w:t>(CGMMV)</w:t>
      </w:r>
      <w:r w:rsidRPr="00306DA7">
        <w:t>, Department of Agriculture and Water Resources, Canberra.</w:t>
      </w:r>
    </w:p>
    <w:p w14:paraId="080A6A72" w14:textId="2B7C2C31" w:rsidR="008163B6" w:rsidRDefault="00F709BD">
      <w:pPr>
        <w:pStyle w:val="TableText"/>
        <w:spacing w:after="240"/>
      </w:pPr>
      <w:r>
        <w:t xml:space="preserve">This publication is available at </w:t>
      </w:r>
      <w:hyperlink r:id="rId17" w:history="1">
        <w:r>
          <w:rPr>
            <w:rStyle w:val="Hyperlink"/>
          </w:rPr>
          <w:t>agriculture.gov.au</w:t>
        </w:r>
      </w:hyperlink>
      <w:r>
        <w:t>.</w:t>
      </w:r>
    </w:p>
    <w:p w14:paraId="12A257EE" w14:textId="77777777" w:rsidR="008163B6" w:rsidRDefault="00F709BD">
      <w:pPr>
        <w:pStyle w:val="TableText"/>
      </w:pPr>
      <w:r>
        <w:t>Australian Government Department of Agriculture and Water Resources</w:t>
      </w:r>
      <w:r>
        <w:br/>
        <w:t>GPO Box 858 Canberra ACT 2601</w:t>
      </w:r>
    </w:p>
    <w:p w14:paraId="791407FE" w14:textId="77777777" w:rsidR="008163B6" w:rsidRDefault="00F709BD">
      <w:pPr>
        <w:pStyle w:val="TableText"/>
        <w:tabs>
          <w:tab w:val="left" w:pos="1134"/>
        </w:tabs>
      </w:pPr>
      <w:r>
        <w:t xml:space="preserve">Switchboard: </w:t>
      </w:r>
      <w:r>
        <w:tab/>
        <w:t>+61 2 6272 3933 or 1800 900 090</w:t>
      </w:r>
    </w:p>
    <w:p w14:paraId="1083A6DE" w14:textId="77777777" w:rsidR="008163B6" w:rsidRDefault="00F709BD">
      <w:pPr>
        <w:pStyle w:val="TableText"/>
        <w:tabs>
          <w:tab w:val="left" w:pos="1134"/>
        </w:tabs>
      </w:pPr>
      <w:r>
        <w:t xml:space="preserve">Facsimile: </w:t>
      </w:r>
      <w:r>
        <w:tab/>
        <w:t>+61 2 6272 3307</w:t>
      </w:r>
    </w:p>
    <w:p w14:paraId="25A55569" w14:textId="2AA82B82" w:rsidR="008163B6" w:rsidRDefault="00F709BD">
      <w:pPr>
        <w:pStyle w:val="TableText"/>
        <w:tabs>
          <w:tab w:val="left" w:pos="1134"/>
        </w:tabs>
        <w:spacing w:after="240"/>
      </w:pPr>
      <w:r>
        <w:t>Email:</w:t>
      </w:r>
      <w:r>
        <w:tab/>
      </w:r>
      <w:hyperlink r:id="rId18" w:history="1">
        <w:r>
          <w:rPr>
            <w:rStyle w:val="Hyperlink"/>
          </w:rPr>
          <w:t>plant@agriculture.gov.au</w:t>
        </w:r>
      </w:hyperlink>
    </w:p>
    <w:p w14:paraId="52CA70EA" w14:textId="77777777" w:rsidR="008163B6" w:rsidRDefault="00F709BD">
      <w:pPr>
        <w:pStyle w:val="TableText"/>
        <w:rPr>
          <w:rFonts w:ascii="Calibri" w:hAnsi="Calibri"/>
          <w:b/>
        </w:rPr>
      </w:pPr>
      <w:r>
        <w:rPr>
          <w:rFonts w:ascii="Calibri" w:hAnsi="Calibri"/>
          <w:b/>
        </w:rPr>
        <w:t>Liability</w:t>
      </w:r>
    </w:p>
    <w:p w14:paraId="3B5A9DB2" w14:textId="77777777" w:rsidR="008163B6" w:rsidRDefault="00F709BD">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1E608398" w14:textId="77777777" w:rsidR="008163B6" w:rsidRDefault="00F709BD">
      <w:pPr>
        <w:pStyle w:val="TableText"/>
        <w:rPr>
          <w:rFonts w:ascii="Calibri" w:hAnsi="Calibri"/>
          <w:b/>
        </w:rPr>
      </w:pPr>
      <w:r>
        <w:rPr>
          <w:rFonts w:ascii="Calibri" w:hAnsi="Calibri"/>
          <w:b/>
        </w:rPr>
        <w:t>Stakeholder submissions on draft reports</w:t>
      </w:r>
    </w:p>
    <w:p w14:paraId="77A50E18" w14:textId="77777777" w:rsidR="008163B6" w:rsidRDefault="00F709BD">
      <w:pPr>
        <w:pStyle w:val="TableText"/>
        <w:spacing w:after="240"/>
      </w:pPr>
      <w:r>
        <w:t>This draft report has been issued to give all interested parties an opportunity to comment on relevant technical biosecurity issues, with supporting rationale. A final report will then be produced taking into consideration any comments received.</w:t>
      </w:r>
    </w:p>
    <w:p w14:paraId="121AB18C" w14:textId="00029F95" w:rsidR="008163B6" w:rsidRDefault="00F709BD">
      <w:pPr>
        <w:pStyle w:val="TableText"/>
        <w:rPr>
          <w:b/>
          <w:szCs w:val="18"/>
        </w:rPr>
      </w:pPr>
      <w:r>
        <w:t xml:space="preserve">Submissions should be sent to the Australian Government Department of Agriculture and Water Resources following the conditions specified within the related Biosecurity Advice, which is available at: </w:t>
      </w:r>
      <w:hyperlink r:id="rId19" w:history="1">
        <w:r>
          <w:rPr>
            <w:rStyle w:val="Hyperlink"/>
          </w:rPr>
          <w:t>agriculture.gov.au/</w:t>
        </w:r>
        <w:proofErr w:type="spellStart"/>
        <w:r>
          <w:rPr>
            <w:rStyle w:val="Hyperlink"/>
          </w:rPr>
          <w:t>ba</w:t>
        </w:r>
        <w:proofErr w:type="spellEnd"/>
        <w:r>
          <w:rPr>
            <w:rStyle w:val="Hyperlink"/>
          </w:rPr>
          <w:t>/memos</w:t>
        </w:r>
      </w:hyperlink>
      <w:r>
        <w:t>.</w:t>
      </w:r>
    </w:p>
    <w:p w14:paraId="251A0108" w14:textId="77777777" w:rsidR="008163B6" w:rsidRDefault="008163B6">
      <w:pPr>
        <w:pStyle w:val="TableText"/>
        <w:rPr>
          <w:b/>
          <w:szCs w:val="18"/>
        </w:rPr>
      </w:pPr>
    </w:p>
    <w:p w14:paraId="71A65A15" w14:textId="77777777" w:rsidR="008163B6" w:rsidRDefault="008163B6">
      <w:pPr>
        <w:pStyle w:val="TableText"/>
        <w:rPr>
          <w:b/>
          <w:szCs w:val="18"/>
        </w:rPr>
      </w:pPr>
    </w:p>
    <w:p w14:paraId="15DAD117" w14:textId="77777777" w:rsidR="008163B6" w:rsidRDefault="008163B6">
      <w:pPr>
        <w:pStyle w:val="TOCHeading"/>
        <w:pageBreakBefore w:val="0"/>
        <w:spacing w:after="120"/>
        <w:rPr>
          <w:rFonts w:ascii="Cambria" w:eastAsiaTheme="majorEastAsia" w:hAnsi="Cambria" w:cstheme="majorBidi"/>
          <w:b/>
          <w:color w:val="D52B1E"/>
          <w:sz w:val="34"/>
          <w:lang w:val="en-AU"/>
        </w:rPr>
        <w:sectPr w:rsidR="008163B6">
          <w:headerReference w:type="default" r:id="rId20"/>
          <w:footerReference w:type="default" r:id="rId21"/>
          <w:footerReference w:type="first" r:id="rId22"/>
          <w:pgSz w:w="11906" w:h="16838"/>
          <w:pgMar w:top="1418" w:right="1418" w:bottom="1418" w:left="1418" w:header="567" w:footer="283" w:gutter="0"/>
          <w:pgNumType w:fmt="lowerRoman"/>
          <w:cols w:space="708"/>
          <w:titlePg/>
          <w:docGrid w:linePitch="360"/>
        </w:sectPr>
      </w:pPr>
    </w:p>
    <w:p w14:paraId="069423C5" w14:textId="77777777" w:rsidR="008163B6" w:rsidRDefault="00F709BD">
      <w:pPr>
        <w:pStyle w:val="TOCHeading"/>
        <w:pageBreakBefore w:val="0"/>
        <w:spacing w:after="120"/>
        <w:rPr>
          <w:rFonts w:eastAsiaTheme="majorEastAsia" w:cstheme="majorBidi"/>
          <w:b/>
          <w:color w:val="D52B1E"/>
          <w:sz w:val="34"/>
          <w:lang w:val="en-AU"/>
        </w:rPr>
      </w:pPr>
      <w:r>
        <w:rPr>
          <w:rFonts w:eastAsiaTheme="majorEastAsia" w:cstheme="majorBidi"/>
          <w:b/>
          <w:color w:val="D52B1E"/>
          <w:sz w:val="34"/>
          <w:lang w:val="en-AU"/>
        </w:rPr>
        <w:lastRenderedPageBreak/>
        <w:t>Contents</w:t>
      </w:r>
    </w:p>
    <w:p w14:paraId="1FCCDF4F" w14:textId="77777777" w:rsidR="00536806" w:rsidRDefault="008D6C04">
      <w:pPr>
        <w:pStyle w:val="TOC1"/>
        <w:rPr>
          <w:rFonts w:eastAsiaTheme="minorEastAsia"/>
          <w:b w:val="0"/>
          <w:noProof/>
          <w:lang w:eastAsia="en-AU"/>
        </w:rPr>
      </w:pPr>
      <w:r>
        <w:rPr>
          <w:rFonts w:ascii="Calibri" w:hAnsi="Calibri" w:cs="Calibri"/>
          <w:sz w:val="20"/>
          <w:szCs w:val="20"/>
        </w:rPr>
        <w:fldChar w:fldCharType="begin"/>
      </w:r>
      <w:r w:rsidR="00F709BD">
        <w:rPr>
          <w:rFonts w:ascii="Calibri" w:hAnsi="Calibri" w:cs="Calibri"/>
          <w:sz w:val="20"/>
          <w:szCs w:val="20"/>
        </w:rPr>
        <w:instrText xml:space="preserve"> TOC \o "1-3" </w:instrText>
      </w:r>
      <w:r>
        <w:rPr>
          <w:rFonts w:ascii="Calibri" w:hAnsi="Calibri" w:cs="Calibri"/>
          <w:sz w:val="20"/>
          <w:szCs w:val="20"/>
        </w:rPr>
        <w:fldChar w:fldCharType="separate"/>
      </w:r>
      <w:r w:rsidR="00536806" w:rsidRPr="00781E57">
        <w:rPr>
          <w:noProof/>
        </w:rPr>
        <w:t>Acronyms and abbreviations</w:t>
      </w:r>
      <w:r w:rsidR="00536806">
        <w:rPr>
          <w:noProof/>
        </w:rPr>
        <w:tab/>
      </w:r>
      <w:r w:rsidR="00536806">
        <w:rPr>
          <w:noProof/>
        </w:rPr>
        <w:fldChar w:fldCharType="begin"/>
      </w:r>
      <w:r w:rsidR="00536806">
        <w:rPr>
          <w:noProof/>
        </w:rPr>
        <w:instrText xml:space="preserve"> PAGEREF _Toc447540769 \h </w:instrText>
      </w:r>
      <w:r w:rsidR="00536806">
        <w:rPr>
          <w:noProof/>
        </w:rPr>
      </w:r>
      <w:r w:rsidR="00536806">
        <w:rPr>
          <w:noProof/>
        </w:rPr>
        <w:fldChar w:fldCharType="separate"/>
      </w:r>
      <w:r w:rsidR="00536806">
        <w:rPr>
          <w:noProof/>
        </w:rPr>
        <w:t>vii</w:t>
      </w:r>
      <w:r w:rsidR="00536806">
        <w:rPr>
          <w:noProof/>
        </w:rPr>
        <w:fldChar w:fldCharType="end"/>
      </w:r>
    </w:p>
    <w:p w14:paraId="119F9E1D" w14:textId="77777777" w:rsidR="00536806" w:rsidRDefault="00536806">
      <w:pPr>
        <w:pStyle w:val="TOC1"/>
        <w:rPr>
          <w:rFonts w:eastAsiaTheme="minorEastAsia"/>
          <w:b w:val="0"/>
          <w:noProof/>
          <w:lang w:eastAsia="en-AU"/>
        </w:rPr>
      </w:pPr>
      <w:r w:rsidRPr="00781E57">
        <w:rPr>
          <w:noProof/>
        </w:rPr>
        <w:t>Summary</w:t>
      </w:r>
      <w:r>
        <w:rPr>
          <w:noProof/>
        </w:rPr>
        <w:tab/>
      </w:r>
      <w:r>
        <w:rPr>
          <w:noProof/>
        </w:rPr>
        <w:fldChar w:fldCharType="begin"/>
      </w:r>
      <w:r>
        <w:rPr>
          <w:noProof/>
        </w:rPr>
        <w:instrText xml:space="preserve"> PAGEREF _Toc447540770 \h </w:instrText>
      </w:r>
      <w:r>
        <w:rPr>
          <w:noProof/>
        </w:rPr>
      </w:r>
      <w:r>
        <w:rPr>
          <w:noProof/>
        </w:rPr>
        <w:fldChar w:fldCharType="separate"/>
      </w:r>
      <w:r>
        <w:rPr>
          <w:noProof/>
        </w:rPr>
        <w:t>1</w:t>
      </w:r>
      <w:r>
        <w:rPr>
          <w:noProof/>
        </w:rPr>
        <w:fldChar w:fldCharType="end"/>
      </w:r>
    </w:p>
    <w:p w14:paraId="33816BCB" w14:textId="77777777" w:rsidR="00536806" w:rsidRDefault="00536806">
      <w:pPr>
        <w:pStyle w:val="TOC1"/>
        <w:rPr>
          <w:rFonts w:eastAsiaTheme="minorEastAsia"/>
          <w:b w:val="0"/>
          <w:noProof/>
          <w:lang w:eastAsia="en-AU"/>
        </w:rPr>
      </w:pPr>
      <w:r w:rsidRPr="00781E57">
        <w:rPr>
          <w:rFonts w:ascii="Arial" w:eastAsiaTheme="majorEastAsia" w:hAnsi="Arial" w:cstheme="majorBidi"/>
          <w:noProof/>
          <w:color w:val="D52B1E"/>
        </w:rPr>
        <w:t>1.</w:t>
      </w:r>
      <w:r>
        <w:rPr>
          <w:rFonts w:eastAsiaTheme="minorEastAsia"/>
          <w:b w:val="0"/>
          <w:noProof/>
          <w:lang w:eastAsia="en-AU"/>
        </w:rPr>
        <w:tab/>
      </w:r>
      <w:r w:rsidRPr="00781E57">
        <w:rPr>
          <w:rFonts w:eastAsiaTheme="majorEastAsia" w:cstheme="majorBidi"/>
          <w:noProof/>
          <w:color w:val="D52B1E"/>
        </w:rPr>
        <w:t>Introduction</w:t>
      </w:r>
      <w:r>
        <w:rPr>
          <w:noProof/>
        </w:rPr>
        <w:tab/>
      </w:r>
      <w:r>
        <w:rPr>
          <w:noProof/>
        </w:rPr>
        <w:fldChar w:fldCharType="begin"/>
      </w:r>
      <w:r>
        <w:rPr>
          <w:noProof/>
        </w:rPr>
        <w:instrText xml:space="preserve"> PAGEREF _Toc447540771 \h </w:instrText>
      </w:r>
      <w:r>
        <w:rPr>
          <w:noProof/>
        </w:rPr>
      </w:r>
      <w:r>
        <w:rPr>
          <w:noProof/>
        </w:rPr>
        <w:fldChar w:fldCharType="separate"/>
      </w:r>
      <w:r>
        <w:rPr>
          <w:noProof/>
        </w:rPr>
        <w:t>3</w:t>
      </w:r>
      <w:r>
        <w:rPr>
          <w:noProof/>
        </w:rPr>
        <w:fldChar w:fldCharType="end"/>
      </w:r>
    </w:p>
    <w:p w14:paraId="07111980"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1.1</w:t>
      </w:r>
      <w:r>
        <w:rPr>
          <w:rFonts w:eastAsiaTheme="minorEastAsia"/>
          <w:noProof/>
          <w:lang w:eastAsia="en-AU"/>
        </w:rPr>
        <w:tab/>
      </w:r>
      <w:r w:rsidRPr="00781E57">
        <w:rPr>
          <w:rFonts w:eastAsiaTheme="majorEastAsia" w:cstheme="majorBidi"/>
          <w:noProof/>
          <w:color w:val="773141"/>
        </w:rPr>
        <w:t>Australia’s biosecurity policy framework</w:t>
      </w:r>
      <w:r>
        <w:rPr>
          <w:noProof/>
        </w:rPr>
        <w:tab/>
      </w:r>
      <w:r>
        <w:rPr>
          <w:noProof/>
        </w:rPr>
        <w:fldChar w:fldCharType="begin"/>
      </w:r>
      <w:r>
        <w:rPr>
          <w:noProof/>
        </w:rPr>
        <w:instrText xml:space="preserve"> PAGEREF _Toc447540772 \h </w:instrText>
      </w:r>
      <w:r>
        <w:rPr>
          <w:noProof/>
        </w:rPr>
      </w:r>
      <w:r>
        <w:rPr>
          <w:noProof/>
        </w:rPr>
        <w:fldChar w:fldCharType="separate"/>
      </w:r>
      <w:r>
        <w:rPr>
          <w:noProof/>
        </w:rPr>
        <w:t>3</w:t>
      </w:r>
      <w:r>
        <w:rPr>
          <w:noProof/>
        </w:rPr>
        <w:fldChar w:fldCharType="end"/>
      </w:r>
    </w:p>
    <w:p w14:paraId="360BF34E"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1.2</w:t>
      </w:r>
      <w:r>
        <w:rPr>
          <w:rFonts w:eastAsiaTheme="minorEastAsia"/>
          <w:noProof/>
          <w:lang w:eastAsia="en-AU"/>
        </w:rPr>
        <w:tab/>
      </w:r>
      <w:r w:rsidRPr="00781E57">
        <w:rPr>
          <w:rFonts w:eastAsiaTheme="majorEastAsia" w:cstheme="majorBidi"/>
          <w:noProof/>
          <w:color w:val="773141"/>
        </w:rPr>
        <w:t>This Pest Risk Analysis</w:t>
      </w:r>
      <w:r>
        <w:rPr>
          <w:noProof/>
        </w:rPr>
        <w:tab/>
      </w:r>
      <w:r>
        <w:rPr>
          <w:noProof/>
        </w:rPr>
        <w:fldChar w:fldCharType="begin"/>
      </w:r>
      <w:r>
        <w:rPr>
          <w:noProof/>
        </w:rPr>
        <w:instrText xml:space="preserve"> PAGEREF _Toc447540773 \h </w:instrText>
      </w:r>
      <w:r>
        <w:rPr>
          <w:noProof/>
        </w:rPr>
      </w:r>
      <w:r>
        <w:rPr>
          <w:noProof/>
        </w:rPr>
        <w:fldChar w:fldCharType="separate"/>
      </w:r>
      <w:r>
        <w:rPr>
          <w:noProof/>
        </w:rPr>
        <w:t>3</w:t>
      </w:r>
      <w:r>
        <w:rPr>
          <w:noProof/>
        </w:rPr>
        <w:fldChar w:fldCharType="end"/>
      </w:r>
    </w:p>
    <w:p w14:paraId="0381CCD5" w14:textId="77777777" w:rsidR="00536806" w:rsidRDefault="00536806">
      <w:pPr>
        <w:pStyle w:val="TOC3"/>
        <w:tabs>
          <w:tab w:val="left" w:pos="1800"/>
        </w:tabs>
        <w:rPr>
          <w:rFonts w:eastAsiaTheme="minorEastAsia"/>
          <w:noProof/>
          <w:lang w:eastAsia="en-AU"/>
        </w:rPr>
      </w:pPr>
      <w:r w:rsidRPr="00781E57">
        <w:rPr>
          <w:rFonts w:ascii="Calibri" w:hAnsi="Calibri"/>
          <w:noProof/>
        </w:rPr>
        <w:t>1.2.1</w:t>
      </w:r>
      <w:r>
        <w:rPr>
          <w:rFonts w:eastAsiaTheme="minorEastAsia"/>
          <w:noProof/>
          <w:lang w:eastAsia="en-AU"/>
        </w:rPr>
        <w:tab/>
      </w:r>
      <w:r w:rsidRPr="00781E57">
        <w:rPr>
          <w:rFonts w:ascii="Calibri" w:hAnsi="Calibri"/>
          <w:noProof/>
        </w:rPr>
        <w:t>Background</w:t>
      </w:r>
      <w:r>
        <w:rPr>
          <w:noProof/>
        </w:rPr>
        <w:tab/>
      </w:r>
      <w:r>
        <w:rPr>
          <w:noProof/>
        </w:rPr>
        <w:fldChar w:fldCharType="begin"/>
      </w:r>
      <w:r>
        <w:rPr>
          <w:noProof/>
        </w:rPr>
        <w:instrText xml:space="preserve"> PAGEREF _Toc447540774 \h </w:instrText>
      </w:r>
      <w:r>
        <w:rPr>
          <w:noProof/>
        </w:rPr>
      </w:r>
      <w:r>
        <w:rPr>
          <w:noProof/>
        </w:rPr>
        <w:fldChar w:fldCharType="separate"/>
      </w:r>
      <w:r>
        <w:rPr>
          <w:noProof/>
        </w:rPr>
        <w:t>3</w:t>
      </w:r>
      <w:r>
        <w:rPr>
          <w:noProof/>
        </w:rPr>
        <w:fldChar w:fldCharType="end"/>
      </w:r>
    </w:p>
    <w:p w14:paraId="259BC486" w14:textId="77777777" w:rsidR="00536806" w:rsidRDefault="00536806">
      <w:pPr>
        <w:pStyle w:val="TOC3"/>
        <w:tabs>
          <w:tab w:val="left" w:pos="1800"/>
        </w:tabs>
        <w:rPr>
          <w:rFonts w:eastAsiaTheme="minorEastAsia"/>
          <w:noProof/>
          <w:lang w:eastAsia="en-AU"/>
        </w:rPr>
      </w:pPr>
      <w:r w:rsidRPr="00781E57">
        <w:rPr>
          <w:rFonts w:ascii="Calibri" w:hAnsi="Calibri"/>
          <w:noProof/>
        </w:rPr>
        <w:t>1.2.2</w:t>
      </w:r>
      <w:r>
        <w:rPr>
          <w:rFonts w:eastAsiaTheme="minorEastAsia"/>
          <w:noProof/>
          <w:lang w:eastAsia="en-AU"/>
        </w:rPr>
        <w:tab/>
      </w:r>
      <w:r w:rsidRPr="00781E57">
        <w:rPr>
          <w:rFonts w:ascii="Calibri" w:hAnsi="Calibri"/>
          <w:noProof/>
        </w:rPr>
        <w:t>Scope</w:t>
      </w:r>
      <w:r>
        <w:rPr>
          <w:noProof/>
        </w:rPr>
        <w:tab/>
      </w:r>
      <w:r>
        <w:rPr>
          <w:noProof/>
        </w:rPr>
        <w:fldChar w:fldCharType="begin"/>
      </w:r>
      <w:r>
        <w:rPr>
          <w:noProof/>
        </w:rPr>
        <w:instrText xml:space="preserve"> PAGEREF _Toc447540775 \h </w:instrText>
      </w:r>
      <w:r>
        <w:rPr>
          <w:noProof/>
        </w:rPr>
      </w:r>
      <w:r>
        <w:rPr>
          <w:noProof/>
        </w:rPr>
        <w:fldChar w:fldCharType="separate"/>
      </w:r>
      <w:r>
        <w:rPr>
          <w:noProof/>
        </w:rPr>
        <w:t>4</w:t>
      </w:r>
      <w:r>
        <w:rPr>
          <w:noProof/>
        </w:rPr>
        <w:fldChar w:fldCharType="end"/>
      </w:r>
    </w:p>
    <w:p w14:paraId="63CF048C" w14:textId="77777777" w:rsidR="00536806" w:rsidRDefault="00536806">
      <w:pPr>
        <w:pStyle w:val="TOC3"/>
        <w:tabs>
          <w:tab w:val="left" w:pos="1800"/>
        </w:tabs>
        <w:rPr>
          <w:rFonts w:eastAsiaTheme="minorEastAsia"/>
          <w:noProof/>
          <w:lang w:eastAsia="en-AU"/>
        </w:rPr>
      </w:pPr>
      <w:r w:rsidRPr="00781E57">
        <w:rPr>
          <w:rFonts w:ascii="Calibri" w:hAnsi="Calibri"/>
          <w:noProof/>
        </w:rPr>
        <w:t>1.2.3</w:t>
      </w:r>
      <w:r>
        <w:rPr>
          <w:rFonts w:eastAsiaTheme="minorEastAsia"/>
          <w:noProof/>
          <w:lang w:eastAsia="en-AU"/>
        </w:rPr>
        <w:tab/>
      </w:r>
      <w:r w:rsidRPr="00781E57">
        <w:rPr>
          <w:rFonts w:ascii="Calibri" w:hAnsi="Calibri"/>
          <w:noProof/>
        </w:rPr>
        <w:t>Consultation</w:t>
      </w:r>
      <w:r>
        <w:rPr>
          <w:noProof/>
        </w:rPr>
        <w:tab/>
      </w:r>
      <w:r>
        <w:rPr>
          <w:noProof/>
        </w:rPr>
        <w:fldChar w:fldCharType="begin"/>
      </w:r>
      <w:r>
        <w:rPr>
          <w:noProof/>
        </w:rPr>
        <w:instrText xml:space="preserve"> PAGEREF _Toc447540776 \h </w:instrText>
      </w:r>
      <w:r>
        <w:rPr>
          <w:noProof/>
        </w:rPr>
      </w:r>
      <w:r>
        <w:rPr>
          <w:noProof/>
        </w:rPr>
        <w:fldChar w:fldCharType="separate"/>
      </w:r>
      <w:r>
        <w:rPr>
          <w:noProof/>
        </w:rPr>
        <w:t>5</w:t>
      </w:r>
      <w:r>
        <w:rPr>
          <w:noProof/>
        </w:rPr>
        <w:fldChar w:fldCharType="end"/>
      </w:r>
    </w:p>
    <w:p w14:paraId="17EE4DB9" w14:textId="77777777" w:rsidR="00536806" w:rsidRDefault="00536806">
      <w:pPr>
        <w:pStyle w:val="TOC1"/>
        <w:rPr>
          <w:rFonts w:eastAsiaTheme="minorEastAsia"/>
          <w:b w:val="0"/>
          <w:noProof/>
          <w:lang w:eastAsia="en-AU"/>
        </w:rPr>
      </w:pPr>
      <w:r w:rsidRPr="00781E57">
        <w:rPr>
          <w:rFonts w:eastAsiaTheme="majorEastAsia" w:cstheme="majorBidi"/>
          <w:noProof/>
          <w:color w:val="D52B1E"/>
        </w:rPr>
        <w:t>2</w:t>
      </w:r>
      <w:r>
        <w:rPr>
          <w:rFonts w:eastAsiaTheme="minorEastAsia"/>
          <w:b w:val="0"/>
          <w:noProof/>
          <w:lang w:eastAsia="en-AU"/>
        </w:rPr>
        <w:tab/>
      </w:r>
      <w:r w:rsidRPr="00781E57">
        <w:rPr>
          <w:rFonts w:eastAsiaTheme="majorEastAsia" w:cstheme="majorBidi"/>
          <w:noProof/>
          <w:color w:val="D52B1E"/>
        </w:rPr>
        <w:t>Method for Pest Risk Analysis</w:t>
      </w:r>
      <w:r>
        <w:rPr>
          <w:noProof/>
        </w:rPr>
        <w:tab/>
      </w:r>
      <w:r>
        <w:rPr>
          <w:noProof/>
        </w:rPr>
        <w:fldChar w:fldCharType="begin"/>
      </w:r>
      <w:r>
        <w:rPr>
          <w:noProof/>
        </w:rPr>
        <w:instrText xml:space="preserve"> PAGEREF _Toc447540777 \h </w:instrText>
      </w:r>
      <w:r>
        <w:rPr>
          <w:noProof/>
        </w:rPr>
      </w:r>
      <w:r>
        <w:rPr>
          <w:noProof/>
        </w:rPr>
        <w:fldChar w:fldCharType="separate"/>
      </w:r>
      <w:r>
        <w:rPr>
          <w:noProof/>
        </w:rPr>
        <w:t>7</w:t>
      </w:r>
      <w:r>
        <w:rPr>
          <w:noProof/>
        </w:rPr>
        <w:fldChar w:fldCharType="end"/>
      </w:r>
    </w:p>
    <w:p w14:paraId="2C286409"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2.1</w:t>
      </w:r>
      <w:r>
        <w:rPr>
          <w:rFonts w:eastAsiaTheme="minorEastAsia"/>
          <w:noProof/>
          <w:lang w:eastAsia="en-AU"/>
        </w:rPr>
        <w:tab/>
      </w:r>
      <w:r w:rsidRPr="00781E57">
        <w:rPr>
          <w:rFonts w:eastAsiaTheme="majorEastAsia" w:cstheme="majorBidi"/>
          <w:noProof/>
          <w:color w:val="773141"/>
        </w:rPr>
        <w:t>Stage 1: Initiation of the Pest Risk Analysis</w:t>
      </w:r>
      <w:r>
        <w:rPr>
          <w:noProof/>
        </w:rPr>
        <w:tab/>
      </w:r>
      <w:r>
        <w:rPr>
          <w:noProof/>
        </w:rPr>
        <w:fldChar w:fldCharType="begin"/>
      </w:r>
      <w:r>
        <w:rPr>
          <w:noProof/>
        </w:rPr>
        <w:instrText xml:space="preserve"> PAGEREF _Toc447540778 \h </w:instrText>
      </w:r>
      <w:r>
        <w:rPr>
          <w:noProof/>
        </w:rPr>
      </w:r>
      <w:r>
        <w:rPr>
          <w:noProof/>
        </w:rPr>
        <w:fldChar w:fldCharType="separate"/>
      </w:r>
      <w:r>
        <w:rPr>
          <w:noProof/>
        </w:rPr>
        <w:t>7</w:t>
      </w:r>
      <w:r>
        <w:rPr>
          <w:noProof/>
        </w:rPr>
        <w:fldChar w:fldCharType="end"/>
      </w:r>
    </w:p>
    <w:p w14:paraId="24927F18"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2.2</w:t>
      </w:r>
      <w:r>
        <w:rPr>
          <w:rFonts w:eastAsiaTheme="minorEastAsia"/>
          <w:noProof/>
          <w:lang w:eastAsia="en-AU"/>
        </w:rPr>
        <w:tab/>
      </w:r>
      <w:r w:rsidRPr="00781E57">
        <w:rPr>
          <w:rFonts w:eastAsiaTheme="majorEastAsia" w:cstheme="majorBidi"/>
          <w:noProof/>
          <w:color w:val="773141"/>
        </w:rPr>
        <w:t>Stage 2: Pest risk assessment</w:t>
      </w:r>
      <w:r>
        <w:rPr>
          <w:noProof/>
        </w:rPr>
        <w:tab/>
      </w:r>
      <w:r>
        <w:rPr>
          <w:noProof/>
        </w:rPr>
        <w:fldChar w:fldCharType="begin"/>
      </w:r>
      <w:r>
        <w:rPr>
          <w:noProof/>
        </w:rPr>
        <w:instrText xml:space="preserve"> PAGEREF _Toc447540779 \h </w:instrText>
      </w:r>
      <w:r>
        <w:rPr>
          <w:noProof/>
        </w:rPr>
      </w:r>
      <w:r>
        <w:rPr>
          <w:noProof/>
        </w:rPr>
        <w:fldChar w:fldCharType="separate"/>
      </w:r>
      <w:r>
        <w:rPr>
          <w:noProof/>
        </w:rPr>
        <w:t>7</w:t>
      </w:r>
      <w:r>
        <w:rPr>
          <w:noProof/>
        </w:rPr>
        <w:fldChar w:fldCharType="end"/>
      </w:r>
    </w:p>
    <w:p w14:paraId="23227CAF" w14:textId="77777777" w:rsidR="00536806" w:rsidRDefault="00536806">
      <w:pPr>
        <w:pStyle w:val="TOC3"/>
        <w:tabs>
          <w:tab w:val="left" w:pos="1800"/>
        </w:tabs>
        <w:rPr>
          <w:rFonts w:eastAsiaTheme="minorEastAsia"/>
          <w:noProof/>
          <w:lang w:eastAsia="en-AU"/>
        </w:rPr>
      </w:pPr>
      <w:r w:rsidRPr="00781E57">
        <w:rPr>
          <w:rFonts w:ascii="Calibri" w:hAnsi="Calibri"/>
          <w:noProof/>
        </w:rPr>
        <w:t>2.2.1</w:t>
      </w:r>
      <w:r>
        <w:rPr>
          <w:rFonts w:eastAsiaTheme="minorEastAsia"/>
          <w:noProof/>
          <w:lang w:eastAsia="en-AU"/>
        </w:rPr>
        <w:tab/>
      </w:r>
      <w:r w:rsidRPr="00781E57">
        <w:rPr>
          <w:rFonts w:ascii="Calibri" w:hAnsi="Calibri"/>
          <w:noProof/>
        </w:rPr>
        <w:t>Pest categorisation</w:t>
      </w:r>
      <w:r>
        <w:rPr>
          <w:noProof/>
        </w:rPr>
        <w:tab/>
      </w:r>
      <w:r>
        <w:rPr>
          <w:noProof/>
        </w:rPr>
        <w:fldChar w:fldCharType="begin"/>
      </w:r>
      <w:r>
        <w:rPr>
          <w:noProof/>
        </w:rPr>
        <w:instrText xml:space="preserve"> PAGEREF _Toc447540780 \h </w:instrText>
      </w:r>
      <w:r>
        <w:rPr>
          <w:noProof/>
        </w:rPr>
      </w:r>
      <w:r>
        <w:rPr>
          <w:noProof/>
        </w:rPr>
        <w:fldChar w:fldCharType="separate"/>
      </w:r>
      <w:r>
        <w:rPr>
          <w:noProof/>
        </w:rPr>
        <w:t>8</w:t>
      </w:r>
      <w:r>
        <w:rPr>
          <w:noProof/>
        </w:rPr>
        <w:fldChar w:fldCharType="end"/>
      </w:r>
    </w:p>
    <w:p w14:paraId="7D160B8E" w14:textId="77777777" w:rsidR="00536806" w:rsidRDefault="00536806">
      <w:pPr>
        <w:pStyle w:val="TOC3"/>
        <w:tabs>
          <w:tab w:val="left" w:pos="1800"/>
        </w:tabs>
        <w:rPr>
          <w:rFonts w:eastAsiaTheme="minorEastAsia"/>
          <w:noProof/>
          <w:lang w:eastAsia="en-AU"/>
        </w:rPr>
      </w:pPr>
      <w:r w:rsidRPr="00781E57">
        <w:rPr>
          <w:rFonts w:ascii="Calibri" w:hAnsi="Calibri"/>
          <w:noProof/>
        </w:rPr>
        <w:t>2.2.2</w:t>
      </w:r>
      <w:r>
        <w:rPr>
          <w:rFonts w:eastAsiaTheme="minorEastAsia"/>
          <w:noProof/>
          <w:lang w:eastAsia="en-AU"/>
        </w:rPr>
        <w:tab/>
      </w:r>
      <w:r w:rsidRPr="00781E57">
        <w:rPr>
          <w:rFonts w:ascii="Calibri" w:hAnsi="Calibri"/>
          <w:noProof/>
        </w:rPr>
        <w:t>Assessment of the likelihood of entry, establishment and spread</w:t>
      </w:r>
      <w:r>
        <w:rPr>
          <w:noProof/>
        </w:rPr>
        <w:tab/>
      </w:r>
      <w:r>
        <w:rPr>
          <w:noProof/>
        </w:rPr>
        <w:fldChar w:fldCharType="begin"/>
      </w:r>
      <w:r>
        <w:rPr>
          <w:noProof/>
        </w:rPr>
        <w:instrText xml:space="preserve"> PAGEREF _Toc447540781 \h </w:instrText>
      </w:r>
      <w:r>
        <w:rPr>
          <w:noProof/>
        </w:rPr>
      </w:r>
      <w:r>
        <w:rPr>
          <w:noProof/>
        </w:rPr>
        <w:fldChar w:fldCharType="separate"/>
      </w:r>
      <w:r>
        <w:rPr>
          <w:noProof/>
        </w:rPr>
        <w:t>8</w:t>
      </w:r>
      <w:r>
        <w:rPr>
          <w:noProof/>
        </w:rPr>
        <w:fldChar w:fldCharType="end"/>
      </w:r>
    </w:p>
    <w:p w14:paraId="51C63973" w14:textId="77777777" w:rsidR="00536806" w:rsidRDefault="00536806">
      <w:pPr>
        <w:pStyle w:val="TOC3"/>
        <w:tabs>
          <w:tab w:val="left" w:pos="1800"/>
        </w:tabs>
        <w:rPr>
          <w:rFonts w:eastAsiaTheme="minorEastAsia"/>
          <w:noProof/>
          <w:lang w:eastAsia="en-AU"/>
        </w:rPr>
      </w:pPr>
      <w:r w:rsidRPr="00781E57">
        <w:rPr>
          <w:rFonts w:ascii="Calibri" w:hAnsi="Calibri"/>
          <w:noProof/>
        </w:rPr>
        <w:t>2.2.3</w:t>
      </w:r>
      <w:r>
        <w:rPr>
          <w:rFonts w:eastAsiaTheme="minorEastAsia"/>
          <w:noProof/>
          <w:lang w:eastAsia="en-AU"/>
        </w:rPr>
        <w:tab/>
      </w:r>
      <w:r w:rsidRPr="00781E57">
        <w:rPr>
          <w:rFonts w:ascii="Calibri" w:hAnsi="Calibri"/>
          <w:noProof/>
        </w:rPr>
        <w:t>Assessment of potential consequences</w:t>
      </w:r>
      <w:r>
        <w:rPr>
          <w:noProof/>
        </w:rPr>
        <w:tab/>
      </w:r>
      <w:r>
        <w:rPr>
          <w:noProof/>
        </w:rPr>
        <w:fldChar w:fldCharType="begin"/>
      </w:r>
      <w:r>
        <w:rPr>
          <w:noProof/>
        </w:rPr>
        <w:instrText xml:space="preserve"> PAGEREF _Toc447540782 \h </w:instrText>
      </w:r>
      <w:r>
        <w:rPr>
          <w:noProof/>
        </w:rPr>
      </w:r>
      <w:r>
        <w:rPr>
          <w:noProof/>
        </w:rPr>
        <w:fldChar w:fldCharType="separate"/>
      </w:r>
      <w:r>
        <w:rPr>
          <w:noProof/>
        </w:rPr>
        <w:t>11</w:t>
      </w:r>
      <w:r>
        <w:rPr>
          <w:noProof/>
        </w:rPr>
        <w:fldChar w:fldCharType="end"/>
      </w:r>
    </w:p>
    <w:p w14:paraId="3C96DC26" w14:textId="77777777" w:rsidR="00536806" w:rsidRDefault="00536806">
      <w:pPr>
        <w:pStyle w:val="TOC3"/>
        <w:tabs>
          <w:tab w:val="left" w:pos="1800"/>
        </w:tabs>
        <w:rPr>
          <w:rFonts w:eastAsiaTheme="minorEastAsia"/>
          <w:noProof/>
          <w:lang w:eastAsia="en-AU"/>
        </w:rPr>
      </w:pPr>
      <w:r w:rsidRPr="00781E57">
        <w:rPr>
          <w:rFonts w:ascii="Calibri" w:hAnsi="Calibri"/>
          <w:noProof/>
        </w:rPr>
        <w:t>2.2.4</w:t>
      </w:r>
      <w:r>
        <w:rPr>
          <w:rFonts w:eastAsiaTheme="minorEastAsia"/>
          <w:noProof/>
          <w:lang w:eastAsia="en-AU"/>
        </w:rPr>
        <w:tab/>
      </w:r>
      <w:r w:rsidRPr="00781E57">
        <w:rPr>
          <w:rFonts w:ascii="Calibri" w:hAnsi="Calibri"/>
          <w:noProof/>
        </w:rPr>
        <w:t>Estimation of the unrestricted risk</w:t>
      </w:r>
      <w:r>
        <w:rPr>
          <w:noProof/>
        </w:rPr>
        <w:tab/>
      </w:r>
      <w:r>
        <w:rPr>
          <w:noProof/>
        </w:rPr>
        <w:fldChar w:fldCharType="begin"/>
      </w:r>
      <w:r>
        <w:rPr>
          <w:noProof/>
        </w:rPr>
        <w:instrText xml:space="preserve"> PAGEREF _Toc447540783 \h </w:instrText>
      </w:r>
      <w:r>
        <w:rPr>
          <w:noProof/>
        </w:rPr>
      </w:r>
      <w:r>
        <w:rPr>
          <w:noProof/>
        </w:rPr>
        <w:fldChar w:fldCharType="separate"/>
      </w:r>
      <w:r>
        <w:rPr>
          <w:noProof/>
        </w:rPr>
        <w:t>13</w:t>
      </w:r>
      <w:r>
        <w:rPr>
          <w:noProof/>
        </w:rPr>
        <w:fldChar w:fldCharType="end"/>
      </w:r>
    </w:p>
    <w:p w14:paraId="028882D0" w14:textId="77777777" w:rsidR="00536806" w:rsidRDefault="00536806">
      <w:pPr>
        <w:pStyle w:val="TOC3"/>
        <w:tabs>
          <w:tab w:val="left" w:pos="1800"/>
        </w:tabs>
        <w:rPr>
          <w:rFonts w:eastAsiaTheme="minorEastAsia"/>
          <w:noProof/>
          <w:lang w:eastAsia="en-AU"/>
        </w:rPr>
      </w:pPr>
      <w:r w:rsidRPr="00781E57">
        <w:rPr>
          <w:rFonts w:ascii="Calibri" w:hAnsi="Calibri"/>
          <w:noProof/>
        </w:rPr>
        <w:t>2.2.5</w:t>
      </w:r>
      <w:r>
        <w:rPr>
          <w:rFonts w:eastAsiaTheme="minorEastAsia"/>
          <w:noProof/>
          <w:lang w:eastAsia="en-AU"/>
        </w:rPr>
        <w:tab/>
      </w:r>
      <w:r w:rsidRPr="00781E57">
        <w:rPr>
          <w:rFonts w:ascii="Calibri" w:hAnsi="Calibri"/>
          <w:noProof/>
        </w:rPr>
        <w:t>Australia’s Appropriate Level of Protection</w:t>
      </w:r>
      <w:r>
        <w:rPr>
          <w:noProof/>
        </w:rPr>
        <w:tab/>
      </w:r>
      <w:r>
        <w:rPr>
          <w:noProof/>
        </w:rPr>
        <w:fldChar w:fldCharType="begin"/>
      </w:r>
      <w:r>
        <w:rPr>
          <w:noProof/>
        </w:rPr>
        <w:instrText xml:space="preserve"> PAGEREF _Toc447540784 \h </w:instrText>
      </w:r>
      <w:r>
        <w:rPr>
          <w:noProof/>
        </w:rPr>
      </w:r>
      <w:r>
        <w:rPr>
          <w:noProof/>
        </w:rPr>
        <w:fldChar w:fldCharType="separate"/>
      </w:r>
      <w:r>
        <w:rPr>
          <w:noProof/>
        </w:rPr>
        <w:t>13</w:t>
      </w:r>
      <w:r>
        <w:rPr>
          <w:noProof/>
        </w:rPr>
        <w:fldChar w:fldCharType="end"/>
      </w:r>
    </w:p>
    <w:p w14:paraId="4A0F1358"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2.3</w:t>
      </w:r>
      <w:r>
        <w:rPr>
          <w:rFonts w:eastAsiaTheme="minorEastAsia"/>
          <w:noProof/>
          <w:lang w:eastAsia="en-AU"/>
        </w:rPr>
        <w:tab/>
      </w:r>
      <w:r w:rsidRPr="00781E57">
        <w:rPr>
          <w:rFonts w:eastAsiaTheme="majorEastAsia" w:cstheme="majorBidi"/>
          <w:noProof/>
          <w:color w:val="773141"/>
        </w:rPr>
        <w:t>Stage 3: Pest risk management</w:t>
      </w:r>
      <w:r>
        <w:rPr>
          <w:noProof/>
        </w:rPr>
        <w:tab/>
      </w:r>
      <w:r>
        <w:rPr>
          <w:noProof/>
        </w:rPr>
        <w:fldChar w:fldCharType="begin"/>
      </w:r>
      <w:r>
        <w:rPr>
          <w:noProof/>
        </w:rPr>
        <w:instrText xml:space="preserve"> PAGEREF _Toc447540785 \h </w:instrText>
      </w:r>
      <w:r>
        <w:rPr>
          <w:noProof/>
        </w:rPr>
      </w:r>
      <w:r>
        <w:rPr>
          <w:noProof/>
        </w:rPr>
        <w:fldChar w:fldCharType="separate"/>
      </w:r>
      <w:r>
        <w:rPr>
          <w:noProof/>
        </w:rPr>
        <w:t>14</w:t>
      </w:r>
      <w:r>
        <w:rPr>
          <w:noProof/>
        </w:rPr>
        <w:fldChar w:fldCharType="end"/>
      </w:r>
    </w:p>
    <w:p w14:paraId="3F65F023" w14:textId="77777777" w:rsidR="00536806" w:rsidRDefault="00536806">
      <w:pPr>
        <w:pStyle w:val="TOC3"/>
        <w:tabs>
          <w:tab w:val="left" w:pos="1800"/>
        </w:tabs>
        <w:rPr>
          <w:rFonts w:eastAsiaTheme="minorEastAsia"/>
          <w:noProof/>
          <w:lang w:eastAsia="en-AU"/>
        </w:rPr>
      </w:pPr>
      <w:r w:rsidRPr="00781E57">
        <w:rPr>
          <w:rFonts w:ascii="Calibri" w:hAnsi="Calibri"/>
          <w:noProof/>
        </w:rPr>
        <w:t>2.3.1</w:t>
      </w:r>
      <w:r>
        <w:rPr>
          <w:rFonts w:eastAsiaTheme="minorEastAsia"/>
          <w:noProof/>
          <w:lang w:eastAsia="en-AU"/>
        </w:rPr>
        <w:tab/>
      </w:r>
      <w:r w:rsidRPr="00781E57">
        <w:rPr>
          <w:rFonts w:ascii="Calibri" w:hAnsi="Calibri"/>
          <w:noProof/>
        </w:rPr>
        <w:t>Identification and selection of appropriate risk management options</w:t>
      </w:r>
      <w:r>
        <w:rPr>
          <w:noProof/>
        </w:rPr>
        <w:tab/>
      </w:r>
      <w:r>
        <w:rPr>
          <w:noProof/>
        </w:rPr>
        <w:fldChar w:fldCharType="begin"/>
      </w:r>
      <w:r>
        <w:rPr>
          <w:noProof/>
        </w:rPr>
        <w:instrText xml:space="preserve"> PAGEREF _Toc447540786 \h </w:instrText>
      </w:r>
      <w:r>
        <w:rPr>
          <w:noProof/>
        </w:rPr>
      </w:r>
      <w:r>
        <w:rPr>
          <w:noProof/>
        </w:rPr>
        <w:fldChar w:fldCharType="separate"/>
      </w:r>
      <w:r>
        <w:rPr>
          <w:noProof/>
        </w:rPr>
        <w:t>14</w:t>
      </w:r>
      <w:r>
        <w:rPr>
          <w:noProof/>
        </w:rPr>
        <w:fldChar w:fldCharType="end"/>
      </w:r>
    </w:p>
    <w:p w14:paraId="44BA3F0A" w14:textId="77777777" w:rsidR="00536806" w:rsidRDefault="00536806">
      <w:pPr>
        <w:pStyle w:val="TOC1"/>
        <w:rPr>
          <w:rFonts w:eastAsiaTheme="minorEastAsia"/>
          <w:b w:val="0"/>
          <w:noProof/>
          <w:lang w:eastAsia="en-AU"/>
        </w:rPr>
      </w:pPr>
      <w:r w:rsidRPr="00781E57">
        <w:rPr>
          <w:rFonts w:eastAsiaTheme="majorEastAsia" w:cstheme="majorBidi"/>
          <w:noProof/>
          <w:color w:val="D52B1E"/>
        </w:rPr>
        <w:t>3</w:t>
      </w:r>
      <w:r>
        <w:rPr>
          <w:rFonts w:eastAsiaTheme="minorEastAsia"/>
          <w:b w:val="0"/>
          <w:noProof/>
          <w:lang w:eastAsia="en-AU"/>
        </w:rPr>
        <w:tab/>
      </w:r>
      <w:r w:rsidRPr="00781E57">
        <w:rPr>
          <w:rFonts w:eastAsiaTheme="majorEastAsia" w:cstheme="majorBidi"/>
          <w:noProof/>
          <w:color w:val="D52B1E"/>
        </w:rPr>
        <w:t>The pathogen</w:t>
      </w:r>
      <w:r>
        <w:rPr>
          <w:noProof/>
        </w:rPr>
        <w:tab/>
      </w:r>
      <w:r>
        <w:rPr>
          <w:noProof/>
        </w:rPr>
        <w:fldChar w:fldCharType="begin"/>
      </w:r>
      <w:r>
        <w:rPr>
          <w:noProof/>
        </w:rPr>
        <w:instrText xml:space="preserve"> PAGEREF _Toc447540787 \h </w:instrText>
      </w:r>
      <w:r>
        <w:rPr>
          <w:noProof/>
        </w:rPr>
      </w:r>
      <w:r>
        <w:rPr>
          <w:noProof/>
        </w:rPr>
        <w:fldChar w:fldCharType="separate"/>
      </w:r>
      <w:r>
        <w:rPr>
          <w:noProof/>
        </w:rPr>
        <w:t>16</w:t>
      </w:r>
      <w:r>
        <w:rPr>
          <w:noProof/>
        </w:rPr>
        <w:fldChar w:fldCharType="end"/>
      </w:r>
    </w:p>
    <w:p w14:paraId="381131AF"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3.1</w:t>
      </w:r>
      <w:r>
        <w:rPr>
          <w:rFonts w:eastAsiaTheme="minorEastAsia"/>
          <w:noProof/>
          <w:lang w:eastAsia="en-AU"/>
        </w:rPr>
        <w:tab/>
      </w:r>
      <w:r w:rsidRPr="00781E57">
        <w:rPr>
          <w:rFonts w:eastAsiaTheme="majorEastAsia" w:cstheme="majorBidi"/>
          <w:noProof/>
          <w:color w:val="773141"/>
        </w:rPr>
        <w:t>Geographical distribution of CGMMV</w:t>
      </w:r>
      <w:r>
        <w:rPr>
          <w:noProof/>
        </w:rPr>
        <w:tab/>
      </w:r>
      <w:r>
        <w:rPr>
          <w:noProof/>
        </w:rPr>
        <w:fldChar w:fldCharType="begin"/>
      </w:r>
      <w:r>
        <w:rPr>
          <w:noProof/>
        </w:rPr>
        <w:instrText xml:space="preserve"> PAGEREF _Toc447540788 \h </w:instrText>
      </w:r>
      <w:r>
        <w:rPr>
          <w:noProof/>
        </w:rPr>
      </w:r>
      <w:r>
        <w:rPr>
          <w:noProof/>
        </w:rPr>
        <w:fldChar w:fldCharType="separate"/>
      </w:r>
      <w:r>
        <w:rPr>
          <w:noProof/>
        </w:rPr>
        <w:t>16</w:t>
      </w:r>
      <w:r>
        <w:rPr>
          <w:noProof/>
        </w:rPr>
        <w:fldChar w:fldCharType="end"/>
      </w:r>
    </w:p>
    <w:p w14:paraId="06ABD241"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3.2</w:t>
      </w:r>
      <w:r>
        <w:rPr>
          <w:rFonts w:eastAsiaTheme="minorEastAsia"/>
          <w:noProof/>
          <w:lang w:eastAsia="en-AU"/>
        </w:rPr>
        <w:tab/>
      </w:r>
      <w:r w:rsidRPr="00781E57">
        <w:rPr>
          <w:rFonts w:eastAsiaTheme="majorEastAsia" w:cstheme="majorBidi"/>
          <w:noProof/>
          <w:color w:val="773141"/>
        </w:rPr>
        <w:t>Biology of CGMMV</w:t>
      </w:r>
      <w:r>
        <w:rPr>
          <w:noProof/>
        </w:rPr>
        <w:tab/>
      </w:r>
      <w:r>
        <w:rPr>
          <w:noProof/>
        </w:rPr>
        <w:fldChar w:fldCharType="begin"/>
      </w:r>
      <w:r>
        <w:rPr>
          <w:noProof/>
        </w:rPr>
        <w:instrText xml:space="preserve"> PAGEREF _Toc447540789 \h </w:instrText>
      </w:r>
      <w:r>
        <w:rPr>
          <w:noProof/>
        </w:rPr>
      </w:r>
      <w:r>
        <w:rPr>
          <w:noProof/>
        </w:rPr>
        <w:fldChar w:fldCharType="separate"/>
      </w:r>
      <w:r>
        <w:rPr>
          <w:noProof/>
        </w:rPr>
        <w:t>17</w:t>
      </w:r>
      <w:r>
        <w:rPr>
          <w:noProof/>
        </w:rPr>
        <w:fldChar w:fldCharType="end"/>
      </w:r>
    </w:p>
    <w:p w14:paraId="08ADCCA0" w14:textId="77777777" w:rsidR="00536806" w:rsidRDefault="00536806">
      <w:pPr>
        <w:pStyle w:val="TOC3"/>
        <w:tabs>
          <w:tab w:val="left" w:pos="1800"/>
        </w:tabs>
        <w:rPr>
          <w:rFonts w:eastAsiaTheme="minorEastAsia"/>
          <w:noProof/>
          <w:lang w:eastAsia="en-AU"/>
        </w:rPr>
      </w:pPr>
      <w:r w:rsidRPr="00781E57">
        <w:rPr>
          <w:rFonts w:ascii="Calibri" w:hAnsi="Calibri"/>
          <w:noProof/>
        </w:rPr>
        <w:t>3.2.1</w:t>
      </w:r>
      <w:r>
        <w:rPr>
          <w:rFonts w:eastAsiaTheme="minorEastAsia"/>
          <w:noProof/>
          <w:lang w:eastAsia="en-AU"/>
        </w:rPr>
        <w:tab/>
      </w:r>
      <w:r w:rsidRPr="00781E57">
        <w:rPr>
          <w:rFonts w:ascii="Calibri" w:hAnsi="Calibri"/>
          <w:noProof/>
        </w:rPr>
        <w:t>Hosts of CGMMV</w:t>
      </w:r>
      <w:r>
        <w:rPr>
          <w:noProof/>
        </w:rPr>
        <w:tab/>
      </w:r>
      <w:r>
        <w:rPr>
          <w:noProof/>
        </w:rPr>
        <w:fldChar w:fldCharType="begin"/>
      </w:r>
      <w:r>
        <w:rPr>
          <w:noProof/>
        </w:rPr>
        <w:instrText xml:space="preserve"> PAGEREF _Toc447540790 \h </w:instrText>
      </w:r>
      <w:r>
        <w:rPr>
          <w:noProof/>
        </w:rPr>
      </w:r>
      <w:r>
        <w:rPr>
          <w:noProof/>
        </w:rPr>
        <w:fldChar w:fldCharType="separate"/>
      </w:r>
      <w:r>
        <w:rPr>
          <w:noProof/>
        </w:rPr>
        <w:t>17</w:t>
      </w:r>
      <w:r>
        <w:rPr>
          <w:noProof/>
        </w:rPr>
        <w:fldChar w:fldCharType="end"/>
      </w:r>
    </w:p>
    <w:p w14:paraId="0E8FD4C5" w14:textId="77777777" w:rsidR="00536806" w:rsidRDefault="00536806">
      <w:pPr>
        <w:pStyle w:val="TOC3"/>
        <w:tabs>
          <w:tab w:val="left" w:pos="1800"/>
        </w:tabs>
        <w:rPr>
          <w:rFonts w:eastAsiaTheme="minorEastAsia"/>
          <w:noProof/>
          <w:lang w:eastAsia="en-AU"/>
        </w:rPr>
      </w:pPr>
      <w:r w:rsidRPr="00781E57">
        <w:rPr>
          <w:rFonts w:ascii="Calibri" w:hAnsi="Calibri"/>
          <w:noProof/>
        </w:rPr>
        <w:t>3.2.2</w:t>
      </w:r>
      <w:r>
        <w:rPr>
          <w:rFonts w:eastAsiaTheme="minorEastAsia"/>
          <w:noProof/>
          <w:lang w:eastAsia="en-AU"/>
        </w:rPr>
        <w:tab/>
      </w:r>
      <w:r w:rsidRPr="00781E57">
        <w:rPr>
          <w:rFonts w:ascii="Calibri" w:hAnsi="Calibri"/>
          <w:noProof/>
        </w:rPr>
        <w:t>Spread of CGMMV</w:t>
      </w:r>
      <w:r>
        <w:rPr>
          <w:noProof/>
        </w:rPr>
        <w:tab/>
      </w:r>
      <w:r>
        <w:rPr>
          <w:noProof/>
        </w:rPr>
        <w:fldChar w:fldCharType="begin"/>
      </w:r>
      <w:r>
        <w:rPr>
          <w:noProof/>
        </w:rPr>
        <w:instrText xml:space="preserve"> PAGEREF _Toc447540791 \h </w:instrText>
      </w:r>
      <w:r>
        <w:rPr>
          <w:noProof/>
        </w:rPr>
      </w:r>
      <w:r>
        <w:rPr>
          <w:noProof/>
        </w:rPr>
        <w:fldChar w:fldCharType="separate"/>
      </w:r>
      <w:r>
        <w:rPr>
          <w:noProof/>
        </w:rPr>
        <w:t>19</w:t>
      </w:r>
      <w:r>
        <w:rPr>
          <w:noProof/>
        </w:rPr>
        <w:fldChar w:fldCharType="end"/>
      </w:r>
    </w:p>
    <w:p w14:paraId="3EE23759"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3.3</w:t>
      </w:r>
      <w:r>
        <w:rPr>
          <w:rFonts w:eastAsiaTheme="minorEastAsia"/>
          <w:noProof/>
          <w:lang w:eastAsia="en-AU"/>
        </w:rPr>
        <w:tab/>
      </w:r>
      <w:r w:rsidRPr="00781E57">
        <w:rPr>
          <w:rFonts w:eastAsiaTheme="majorEastAsia" w:cstheme="majorBidi"/>
          <w:noProof/>
          <w:color w:val="773141"/>
        </w:rPr>
        <w:t>Symptoms of CGMMV</w:t>
      </w:r>
      <w:r>
        <w:rPr>
          <w:noProof/>
        </w:rPr>
        <w:tab/>
      </w:r>
      <w:r>
        <w:rPr>
          <w:noProof/>
        </w:rPr>
        <w:fldChar w:fldCharType="begin"/>
      </w:r>
      <w:r>
        <w:rPr>
          <w:noProof/>
        </w:rPr>
        <w:instrText xml:space="preserve"> PAGEREF _Toc447540792 \h </w:instrText>
      </w:r>
      <w:r>
        <w:rPr>
          <w:noProof/>
        </w:rPr>
      </w:r>
      <w:r>
        <w:rPr>
          <w:noProof/>
        </w:rPr>
        <w:fldChar w:fldCharType="separate"/>
      </w:r>
      <w:r>
        <w:rPr>
          <w:noProof/>
        </w:rPr>
        <w:t>21</w:t>
      </w:r>
      <w:r>
        <w:rPr>
          <w:noProof/>
        </w:rPr>
        <w:fldChar w:fldCharType="end"/>
      </w:r>
    </w:p>
    <w:p w14:paraId="07722A80" w14:textId="77777777" w:rsidR="00536806" w:rsidRDefault="00536806">
      <w:pPr>
        <w:pStyle w:val="TOC3"/>
        <w:rPr>
          <w:rFonts w:eastAsiaTheme="minorEastAsia"/>
          <w:noProof/>
          <w:lang w:eastAsia="en-AU"/>
        </w:rPr>
      </w:pPr>
      <w:r w:rsidRPr="00781E57">
        <w:rPr>
          <w:rFonts w:ascii="Calibri" w:hAnsi="Calibri"/>
          <w:noProof/>
        </w:rPr>
        <w:t xml:space="preserve">Symptoms caused by CGMMV on </w:t>
      </w:r>
      <w:r w:rsidRPr="00781E57">
        <w:rPr>
          <w:rFonts w:ascii="Calibri" w:hAnsi="Calibri"/>
          <w:i/>
          <w:noProof/>
        </w:rPr>
        <w:t>Citrullus lanatus</w:t>
      </w:r>
      <w:r>
        <w:rPr>
          <w:noProof/>
        </w:rPr>
        <w:tab/>
      </w:r>
      <w:r>
        <w:rPr>
          <w:noProof/>
        </w:rPr>
        <w:fldChar w:fldCharType="begin"/>
      </w:r>
      <w:r>
        <w:rPr>
          <w:noProof/>
        </w:rPr>
        <w:instrText xml:space="preserve"> PAGEREF _Toc447540793 \h </w:instrText>
      </w:r>
      <w:r>
        <w:rPr>
          <w:noProof/>
        </w:rPr>
      </w:r>
      <w:r>
        <w:rPr>
          <w:noProof/>
        </w:rPr>
        <w:fldChar w:fldCharType="separate"/>
      </w:r>
      <w:r>
        <w:rPr>
          <w:noProof/>
        </w:rPr>
        <w:t>21</w:t>
      </w:r>
      <w:r>
        <w:rPr>
          <w:noProof/>
        </w:rPr>
        <w:fldChar w:fldCharType="end"/>
      </w:r>
    </w:p>
    <w:p w14:paraId="41D529D2" w14:textId="77777777" w:rsidR="00536806" w:rsidRDefault="00536806">
      <w:pPr>
        <w:pStyle w:val="TOC3"/>
        <w:rPr>
          <w:rFonts w:eastAsiaTheme="minorEastAsia"/>
          <w:noProof/>
          <w:lang w:eastAsia="en-AU"/>
        </w:rPr>
      </w:pPr>
      <w:r w:rsidRPr="00781E57">
        <w:rPr>
          <w:rFonts w:ascii="Calibri" w:hAnsi="Calibri"/>
          <w:noProof/>
        </w:rPr>
        <w:t xml:space="preserve">Symptoms caused by CGMMV on </w:t>
      </w:r>
      <w:r w:rsidRPr="00781E57">
        <w:rPr>
          <w:rFonts w:ascii="Calibri" w:hAnsi="Calibri"/>
          <w:i/>
          <w:noProof/>
        </w:rPr>
        <w:t>Cucumis melo</w:t>
      </w:r>
      <w:r>
        <w:rPr>
          <w:noProof/>
        </w:rPr>
        <w:tab/>
      </w:r>
      <w:r>
        <w:rPr>
          <w:noProof/>
        </w:rPr>
        <w:fldChar w:fldCharType="begin"/>
      </w:r>
      <w:r>
        <w:rPr>
          <w:noProof/>
        </w:rPr>
        <w:instrText xml:space="preserve"> PAGEREF _Toc447540794 \h </w:instrText>
      </w:r>
      <w:r>
        <w:rPr>
          <w:noProof/>
        </w:rPr>
      </w:r>
      <w:r>
        <w:rPr>
          <w:noProof/>
        </w:rPr>
        <w:fldChar w:fldCharType="separate"/>
      </w:r>
      <w:r>
        <w:rPr>
          <w:noProof/>
        </w:rPr>
        <w:t>22</w:t>
      </w:r>
      <w:r>
        <w:rPr>
          <w:noProof/>
        </w:rPr>
        <w:fldChar w:fldCharType="end"/>
      </w:r>
    </w:p>
    <w:p w14:paraId="29B23568" w14:textId="77777777" w:rsidR="00536806" w:rsidRDefault="00536806">
      <w:pPr>
        <w:pStyle w:val="TOC3"/>
        <w:rPr>
          <w:rFonts w:eastAsiaTheme="minorEastAsia"/>
          <w:noProof/>
          <w:lang w:eastAsia="en-AU"/>
        </w:rPr>
      </w:pPr>
      <w:r w:rsidRPr="00781E57">
        <w:rPr>
          <w:rFonts w:ascii="Calibri" w:hAnsi="Calibri"/>
          <w:noProof/>
        </w:rPr>
        <w:t xml:space="preserve">Symptoms caused by CGMMV on </w:t>
      </w:r>
      <w:r w:rsidRPr="00781E57">
        <w:rPr>
          <w:rFonts w:ascii="Calibri" w:hAnsi="Calibri"/>
          <w:i/>
          <w:noProof/>
        </w:rPr>
        <w:t>Cucumis sativus</w:t>
      </w:r>
      <w:r>
        <w:rPr>
          <w:noProof/>
        </w:rPr>
        <w:tab/>
      </w:r>
      <w:r>
        <w:rPr>
          <w:noProof/>
        </w:rPr>
        <w:fldChar w:fldCharType="begin"/>
      </w:r>
      <w:r>
        <w:rPr>
          <w:noProof/>
        </w:rPr>
        <w:instrText xml:space="preserve"> PAGEREF _Toc447540795 \h </w:instrText>
      </w:r>
      <w:r>
        <w:rPr>
          <w:noProof/>
        </w:rPr>
      </w:r>
      <w:r>
        <w:rPr>
          <w:noProof/>
        </w:rPr>
        <w:fldChar w:fldCharType="separate"/>
      </w:r>
      <w:r>
        <w:rPr>
          <w:noProof/>
        </w:rPr>
        <w:t>22</w:t>
      </w:r>
      <w:r>
        <w:rPr>
          <w:noProof/>
        </w:rPr>
        <w:fldChar w:fldCharType="end"/>
      </w:r>
    </w:p>
    <w:p w14:paraId="34B7A1A3" w14:textId="77777777" w:rsidR="00536806" w:rsidRDefault="00536806">
      <w:pPr>
        <w:pStyle w:val="TOC3"/>
        <w:rPr>
          <w:rFonts w:eastAsiaTheme="minorEastAsia"/>
          <w:noProof/>
          <w:lang w:eastAsia="en-AU"/>
        </w:rPr>
      </w:pPr>
      <w:r w:rsidRPr="00781E57">
        <w:rPr>
          <w:rFonts w:ascii="Calibri" w:hAnsi="Calibri"/>
          <w:noProof/>
        </w:rPr>
        <w:t>Symptoms caused by CGMMV on other seed-borne hosts</w:t>
      </w:r>
      <w:r>
        <w:rPr>
          <w:noProof/>
        </w:rPr>
        <w:tab/>
      </w:r>
      <w:r>
        <w:rPr>
          <w:noProof/>
        </w:rPr>
        <w:fldChar w:fldCharType="begin"/>
      </w:r>
      <w:r>
        <w:rPr>
          <w:noProof/>
        </w:rPr>
        <w:instrText xml:space="preserve"> PAGEREF _Toc447540796 \h </w:instrText>
      </w:r>
      <w:r>
        <w:rPr>
          <w:noProof/>
        </w:rPr>
      </w:r>
      <w:r>
        <w:rPr>
          <w:noProof/>
        </w:rPr>
        <w:fldChar w:fldCharType="separate"/>
      </w:r>
      <w:r>
        <w:rPr>
          <w:noProof/>
        </w:rPr>
        <w:t>23</w:t>
      </w:r>
      <w:r>
        <w:rPr>
          <w:noProof/>
        </w:rPr>
        <w:fldChar w:fldCharType="end"/>
      </w:r>
    </w:p>
    <w:p w14:paraId="03C0AF4D" w14:textId="77777777" w:rsidR="00536806" w:rsidRDefault="00536806">
      <w:pPr>
        <w:pStyle w:val="TOC1"/>
        <w:rPr>
          <w:rFonts w:eastAsiaTheme="minorEastAsia"/>
          <w:b w:val="0"/>
          <w:noProof/>
          <w:lang w:eastAsia="en-AU"/>
        </w:rPr>
      </w:pPr>
      <w:r w:rsidRPr="00781E57">
        <w:rPr>
          <w:rFonts w:eastAsiaTheme="majorEastAsia" w:cstheme="majorBidi"/>
          <w:noProof/>
          <w:color w:val="D52B1E"/>
        </w:rPr>
        <w:t>4</w:t>
      </w:r>
      <w:r>
        <w:rPr>
          <w:rFonts w:eastAsiaTheme="minorEastAsia"/>
          <w:b w:val="0"/>
          <w:noProof/>
          <w:lang w:eastAsia="en-AU"/>
        </w:rPr>
        <w:tab/>
      </w:r>
      <w:r w:rsidRPr="00781E57">
        <w:rPr>
          <w:rFonts w:eastAsiaTheme="majorEastAsia" w:cstheme="majorBidi"/>
          <w:noProof/>
          <w:color w:val="D52B1E"/>
        </w:rPr>
        <w:t>Pest risk assessment</w:t>
      </w:r>
      <w:r>
        <w:rPr>
          <w:noProof/>
        </w:rPr>
        <w:tab/>
      </w:r>
      <w:r>
        <w:rPr>
          <w:noProof/>
        </w:rPr>
        <w:fldChar w:fldCharType="begin"/>
      </w:r>
      <w:r>
        <w:rPr>
          <w:noProof/>
        </w:rPr>
        <w:instrText xml:space="preserve"> PAGEREF _Toc447540797 \h </w:instrText>
      </w:r>
      <w:r>
        <w:rPr>
          <w:noProof/>
        </w:rPr>
      </w:r>
      <w:r>
        <w:rPr>
          <w:noProof/>
        </w:rPr>
        <w:fldChar w:fldCharType="separate"/>
      </w:r>
      <w:r>
        <w:rPr>
          <w:noProof/>
        </w:rPr>
        <w:t>25</w:t>
      </w:r>
      <w:r>
        <w:rPr>
          <w:noProof/>
        </w:rPr>
        <w:fldChar w:fldCharType="end"/>
      </w:r>
    </w:p>
    <w:p w14:paraId="1211E296"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4.1</w:t>
      </w:r>
      <w:r>
        <w:rPr>
          <w:rFonts w:eastAsiaTheme="minorEastAsia"/>
          <w:noProof/>
          <w:lang w:eastAsia="en-AU"/>
        </w:rPr>
        <w:tab/>
      </w:r>
      <w:r w:rsidRPr="00781E57">
        <w:rPr>
          <w:rFonts w:eastAsiaTheme="majorEastAsia" w:cstheme="majorBidi"/>
          <w:i/>
          <w:noProof/>
          <w:color w:val="773141"/>
        </w:rPr>
        <w:t>Cucumber green mottle mosaic virus</w:t>
      </w:r>
      <w:r w:rsidRPr="00781E57">
        <w:rPr>
          <w:rFonts w:eastAsiaTheme="majorEastAsia" w:cstheme="majorBidi"/>
          <w:noProof/>
          <w:color w:val="773141"/>
        </w:rPr>
        <w:t xml:space="preserve"> (CGMMV)</w:t>
      </w:r>
      <w:r>
        <w:rPr>
          <w:noProof/>
        </w:rPr>
        <w:tab/>
      </w:r>
      <w:r>
        <w:rPr>
          <w:noProof/>
        </w:rPr>
        <w:fldChar w:fldCharType="begin"/>
      </w:r>
      <w:r>
        <w:rPr>
          <w:noProof/>
        </w:rPr>
        <w:instrText xml:space="preserve"> PAGEREF _Toc447540798 \h </w:instrText>
      </w:r>
      <w:r>
        <w:rPr>
          <w:noProof/>
        </w:rPr>
      </w:r>
      <w:r>
        <w:rPr>
          <w:noProof/>
        </w:rPr>
        <w:fldChar w:fldCharType="separate"/>
      </w:r>
      <w:r>
        <w:rPr>
          <w:noProof/>
        </w:rPr>
        <w:t>25</w:t>
      </w:r>
      <w:r>
        <w:rPr>
          <w:noProof/>
        </w:rPr>
        <w:fldChar w:fldCharType="end"/>
      </w:r>
    </w:p>
    <w:p w14:paraId="532E3E27" w14:textId="77777777" w:rsidR="00536806" w:rsidRDefault="00536806">
      <w:pPr>
        <w:pStyle w:val="TOC3"/>
        <w:tabs>
          <w:tab w:val="left" w:pos="1800"/>
        </w:tabs>
        <w:rPr>
          <w:rFonts w:eastAsiaTheme="minorEastAsia"/>
          <w:noProof/>
          <w:lang w:eastAsia="en-AU"/>
        </w:rPr>
      </w:pPr>
      <w:r w:rsidRPr="00781E57">
        <w:rPr>
          <w:rFonts w:ascii="Calibri" w:hAnsi="Calibri"/>
          <w:noProof/>
        </w:rPr>
        <w:t>4.1.1</w:t>
      </w:r>
      <w:r>
        <w:rPr>
          <w:rFonts w:eastAsiaTheme="minorEastAsia"/>
          <w:noProof/>
          <w:lang w:eastAsia="en-AU"/>
        </w:rPr>
        <w:tab/>
      </w:r>
      <w:r w:rsidRPr="00781E57">
        <w:rPr>
          <w:rFonts w:ascii="Calibri" w:hAnsi="Calibri"/>
          <w:noProof/>
        </w:rPr>
        <w:t>Likelihood of entry</w:t>
      </w:r>
      <w:r>
        <w:rPr>
          <w:noProof/>
        </w:rPr>
        <w:tab/>
      </w:r>
      <w:r>
        <w:rPr>
          <w:noProof/>
        </w:rPr>
        <w:fldChar w:fldCharType="begin"/>
      </w:r>
      <w:r>
        <w:rPr>
          <w:noProof/>
        </w:rPr>
        <w:instrText xml:space="preserve"> PAGEREF _Toc447540799 \h </w:instrText>
      </w:r>
      <w:r>
        <w:rPr>
          <w:noProof/>
        </w:rPr>
      </w:r>
      <w:r>
        <w:rPr>
          <w:noProof/>
        </w:rPr>
        <w:fldChar w:fldCharType="separate"/>
      </w:r>
      <w:r>
        <w:rPr>
          <w:noProof/>
        </w:rPr>
        <w:t>25</w:t>
      </w:r>
      <w:r>
        <w:rPr>
          <w:noProof/>
        </w:rPr>
        <w:fldChar w:fldCharType="end"/>
      </w:r>
    </w:p>
    <w:p w14:paraId="301337B5" w14:textId="77777777" w:rsidR="00536806" w:rsidRDefault="00536806">
      <w:pPr>
        <w:pStyle w:val="TOC3"/>
        <w:tabs>
          <w:tab w:val="left" w:pos="1800"/>
        </w:tabs>
        <w:rPr>
          <w:rFonts w:eastAsiaTheme="minorEastAsia"/>
          <w:noProof/>
          <w:lang w:eastAsia="en-AU"/>
        </w:rPr>
      </w:pPr>
      <w:r w:rsidRPr="00781E57">
        <w:rPr>
          <w:rFonts w:ascii="Calibri" w:hAnsi="Calibri"/>
          <w:noProof/>
        </w:rPr>
        <w:t>4.1.2</w:t>
      </w:r>
      <w:r>
        <w:rPr>
          <w:rFonts w:eastAsiaTheme="minorEastAsia"/>
          <w:noProof/>
          <w:lang w:eastAsia="en-AU"/>
        </w:rPr>
        <w:tab/>
      </w:r>
      <w:r w:rsidRPr="00781E57">
        <w:rPr>
          <w:rFonts w:ascii="Calibri" w:hAnsi="Calibri"/>
          <w:noProof/>
        </w:rPr>
        <w:t>Likelihood of establishment</w:t>
      </w:r>
      <w:r>
        <w:rPr>
          <w:noProof/>
        </w:rPr>
        <w:tab/>
      </w:r>
      <w:r>
        <w:rPr>
          <w:noProof/>
        </w:rPr>
        <w:fldChar w:fldCharType="begin"/>
      </w:r>
      <w:r>
        <w:rPr>
          <w:noProof/>
        </w:rPr>
        <w:instrText xml:space="preserve"> PAGEREF _Toc447540800 \h </w:instrText>
      </w:r>
      <w:r>
        <w:rPr>
          <w:noProof/>
        </w:rPr>
      </w:r>
      <w:r>
        <w:rPr>
          <w:noProof/>
        </w:rPr>
        <w:fldChar w:fldCharType="separate"/>
      </w:r>
      <w:r>
        <w:rPr>
          <w:noProof/>
        </w:rPr>
        <w:t>29</w:t>
      </w:r>
      <w:r>
        <w:rPr>
          <w:noProof/>
        </w:rPr>
        <w:fldChar w:fldCharType="end"/>
      </w:r>
    </w:p>
    <w:p w14:paraId="6C4CF6EA" w14:textId="77777777" w:rsidR="00536806" w:rsidRDefault="00536806">
      <w:pPr>
        <w:pStyle w:val="TOC3"/>
        <w:tabs>
          <w:tab w:val="left" w:pos="1800"/>
        </w:tabs>
        <w:rPr>
          <w:rFonts w:eastAsiaTheme="minorEastAsia"/>
          <w:noProof/>
          <w:lang w:eastAsia="en-AU"/>
        </w:rPr>
      </w:pPr>
      <w:r w:rsidRPr="00781E57">
        <w:rPr>
          <w:rFonts w:ascii="Calibri" w:hAnsi="Calibri"/>
          <w:noProof/>
        </w:rPr>
        <w:t>4.1.3</w:t>
      </w:r>
      <w:r>
        <w:rPr>
          <w:rFonts w:eastAsiaTheme="minorEastAsia"/>
          <w:noProof/>
          <w:lang w:eastAsia="en-AU"/>
        </w:rPr>
        <w:tab/>
      </w:r>
      <w:r w:rsidRPr="00781E57">
        <w:rPr>
          <w:rFonts w:ascii="Calibri" w:hAnsi="Calibri"/>
          <w:noProof/>
        </w:rPr>
        <w:t>Likelihood of spread</w:t>
      </w:r>
      <w:r>
        <w:rPr>
          <w:noProof/>
        </w:rPr>
        <w:tab/>
      </w:r>
      <w:r>
        <w:rPr>
          <w:noProof/>
        </w:rPr>
        <w:fldChar w:fldCharType="begin"/>
      </w:r>
      <w:r>
        <w:rPr>
          <w:noProof/>
        </w:rPr>
        <w:instrText xml:space="preserve"> PAGEREF _Toc447540801 \h </w:instrText>
      </w:r>
      <w:r>
        <w:rPr>
          <w:noProof/>
        </w:rPr>
      </w:r>
      <w:r>
        <w:rPr>
          <w:noProof/>
        </w:rPr>
        <w:fldChar w:fldCharType="separate"/>
      </w:r>
      <w:r>
        <w:rPr>
          <w:noProof/>
        </w:rPr>
        <w:t>31</w:t>
      </w:r>
      <w:r>
        <w:rPr>
          <w:noProof/>
        </w:rPr>
        <w:fldChar w:fldCharType="end"/>
      </w:r>
    </w:p>
    <w:p w14:paraId="5FA958E1" w14:textId="77777777" w:rsidR="00536806" w:rsidRDefault="00536806">
      <w:pPr>
        <w:pStyle w:val="TOC3"/>
        <w:tabs>
          <w:tab w:val="left" w:pos="1800"/>
        </w:tabs>
        <w:rPr>
          <w:rFonts w:eastAsiaTheme="minorEastAsia"/>
          <w:noProof/>
          <w:lang w:eastAsia="en-AU"/>
        </w:rPr>
      </w:pPr>
      <w:r w:rsidRPr="00781E57">
        <w:rPr>
          <w:rFonts w:ascii="Calibri" w:hAnsi="Calibri"/>
          <w:noProof/>
        </w:rPr>
        <w:t>4.1.4</w:t>
      </w:r>
      <w:r>
        <w:rPr>
          <w:rFonts w:eastAsiaTheme="minorEastAsia"/>
          <w:noProof/>
          <w:lang w:eastAsia="en-AU"/>
        </w:rPr>
        <w:tab/>
      </w:r>
      <w:r w:rsidRPr="00781E57">
        <w:rPr>
          <w:rFonts w:ascii="Calibri" w:hAnsi="Calibri"/>
          <w:noProof/>
        </w:rPr>
        <w:t>Overall likelihood of entry, establishment and spread</w:t>
      </w:r>
      <w:r>
        <w:rPr>
          <w:noProof/>
        </w:rPr>
        <w:tab/>
      </w:r>
      <w:r>
        <w:rPr>
          <w:noProof/>
        </w:rPr>
        <w:fldChar w:fldCharType="begin"/>
      </w:r>
      <w:r>
        <w:rPr>
          <w:noProof/>
        </w:rPr>
        <w:instrText xml:space="preserve"> PAGEREF _Toc447540802 \h </w:instrText>
      </w:r>
      <w:r>
        <w:rPr>
          <w:noProof/>
        </w:rPr>
      </w:r>
      <w:r>
        <w:rPr>
          <w:noProof/>
        </w:rPr>
        <w:fldChar w:fldCharType="separate"/>
      </w:r>
      <w:r>
        <w:rPr>
          <w:noProof/>
        </w:rPr>
        <w:t>33</w:t>
      </w:r>
      <w:r>
        <w:rPr>
          <w:noProof/>
        </w:rPr>
        <w:fldChar w:fldCharType="end"/>
      </w:r>
    </w:p>
    <w:p w14:paraId="7EC3A2E6" w14:textId="77777777" w:rsidR="00536806" w:rsidRDefault="00536806">
      <w:pPr>
        <w:pStyle w:val="TOC3"/>
        <w:tabs>
          <w:tab w:val="left" w:pos="1800"/>
        </w:tabs>
        <w:rPr>
          <w:rFonts w:eastAsiaTheme="minorEastAsia"/>
          <w:noProof/>
          <w:lang w:eastAsia="en-AU"/>
        </w:rPr>
      </w:pPr>
      <w:r w:rsidRPr="00781E57">
        <w:rPr>
          <w:rFonts w:ascii="Calibri" w:hAnsi="Calibri"/>
          <w:noProof/>
        </w:rPr>
        <w:t>4.1.5</w:t>
      </w:r>
      <w:r>
        <w:rPr>
          <w:rFonts w:eastAsiaTheme="minorEastAsia"/>
          <w:noProof/>
          <w:lang w:eastAsia="en-AU"/>
        </w:rPr>
        <w:tab/>
      </w:r>
      <w:r w:rsidRPr="00781E57">
        <w:rPr>
          <w:rFonts w:ascii="Calibri" w:hAnsi="Calibri"/>
          <w:noProof/>
        </w:rPr>
        <w:t>Consequences</w:t>
      </w:r>
      <w:r>
        <w:rPr>
          <w:noProof/>
        </w:rPr>
        <w:tab/>
      </w:r>
      <w:r>
        <w:rPr>
          <w:noProof/>
        </w:rPr>
        <w:fldChar w:fldCharType="begin"/>
      </w:r>
      <w:r>
        <w:rPr>
          <w:noProof/>
        </w:rPr>
        <w:instrText xml:space="preserve"> PAGEREF _Toc447540803 \h </w:instrText>
      </w:r>
      <w:r>
        <w:rPr>
          <w:noProof/>
        </w:rPr>
      </w:r>
      <w:r>
        <w:rPr>
          <w:noProof/>
        </w:rPr>
        <w:fldChar w:fldCharType="separate"/>
      </w:r>
      <w:r>
        <w:rPr>
          <w:noProof/>
        </w:rPr>
        <w:t>33</w:t>
      </w:r>
      <w:r>
        <w:rPr>
          <w:noProof/>
        </w:rPr>
        <w:fldChar w:fldCharType="end"/>
      </w:r>
    </w:p>
    <w:p w14:paraId="324D58BA" w14:textId="77777777" w:rsidR="00536806" w:rsidRDefault="00536806">
      <w:pPr>
        <w:pStyle w:val="TOC3"/>
        <w:tabs>
          <w:tab w:val="left" w:pos="1800"/>
        </w:tabs>
        <w:rPr>
          <w:rFonts w:eastAsiaTheme="minorEastAsia"/>
          <w:noProof/>
          <w:lang w:eastAsia="en-AU"/>
        </w:rPr>
      </w:pPr>
      <w:r w:rsidRPr="00781E57">
        <w:rPr>
          <w:rFonts w:ascii="Calibri" w:hAnsi="Calibri"/>
          <w:noProof/>
        </w:rPr>
        <w:t>4.1.6</w:t>
      </w:r>
      <w:r>
        <w:rPr>
          <w:rFonts w:eastAsiaTheme="minorEastAsia"/>
          <w:noProof/>
          <w:lang w:eastAsia="en-AU"/>
        </w:rPr>
        <w:tab/>
      </w:r>
      <w:r w:rsidRPr="00781E57">
        <w:rPr>
          <w:rFonts w:ascii="Calibri" w:hAnsi="Calibri"/>
          <w:noProof/>
        </w:rPr>
        <w:t>Unrestricted risk estimate</w:t>
      </w:r>
      <w:r>
        <w:rPr>
          <w:noProof/>
        </w:rPr>
        <w:tab/>
      </w:r>
      <w:r>
        <w:rPr>
          <w:noProof/>
        </w:rPr>
        <w:fldChar w:fldCharType="begin"/>
      </w:r>
      <w:r>
        <w:rPr>
          <w:noProof/>
        </w:rPr>
        <w:instrText xml:space="preserve"> PAGEREF _Toc447540804 \h </w:instrText>
      </w:r>
      <w:r>
        <w:rPr>
          <w:noProof/>
        </w:rPr>
      </w:r>
      <w:r>
        <w:rPr>
          <w:noProof/>
        </w:rPr>
        <w:fldChar w:fldCharType="separate"/>
      </w:r>
      <w:r>
        <w:rPr>
          <w:noProof/>
        </w:rPr>
        <w:t>35</w:t>
      </w:r>
      <w:r>
        <w:rPr>
          <w:noProof/>
        </w:rPr>
        <w:fldChar w:fldCharType="end"/>
      </w:r>
    </w:p>
    <w:p w14:paraId="5C51A51F" w14:textId="77777777" w:rsidR="00536806" w:rsidRDefault="00536806">
      <w:pPr>
        <w:pStyle w:val="TOC1"/>
        <w:rPr>
          <w:rFonts w:eastAsiaTheme="minorEastAsia"/>
          <w:b w:val="0"/>
          <w:noProof/>
          <w:lang w:eastAsia="en-AU"/>
        </w:rPr>
      </w:pPr>
      <w:r w:rsidRPr="00781E57">
        <w:rPr>
          <w:rFonts w:eastAsiaTheme="majorEastAsia" w:cstheme="majorBidi"/>
          <w:noProof/>
          <w:color w:val="D52B1E"/>
        </w:rPr>
        <w:t>5</w:t>
      </w:r>
      <w:r>
        <w:rPr>
          <w:rFonts w:eastAsiaTheme="minorEastAsia"/>
          <w:b w:val="0"/>
          <w:noProof/>
          <w:lang w:eastAsia="en-AU"/>
        </w:rPr>
        <w:tab/>
      </w:r>
      <w:r w:rsidRPr="00781E57">
        <w:rPr>
          <w:rFonts w:eastAsiaTheme="majorEastAsia" w:cstheme="majorBidi"/>
          <w:noProof/>
          <w:color w:val="D52B1E"/>
        </w:rPr>
        <w:t>Pest risk management</w:t>
      </w:r>
      <w:r>
        <w:rPr>
          <w:noProof/>
        </w:rPr>
        <w:tab/>
      </w:r>
      <w:r>
        <w:rPr>
          <w:noProof/>
        </w:rPr>
        <w:fldChar w:fldCharType="begin"/>
      </w:r>
      <w:r>
        <w:rPr>
          <w:noProof/>
        </w:rPr>
        <w:instrText xml:space="preserve"> PAGEREF _Toc447540805 \h </w:instrText>
      </w:r>
      <w:r>
        <w:rPr>
          <w:noProof/>
        </w:rPr>
      </w:r>
      <w:r>
        <w:rPr>
          <w:noProof/>
        </w:rPr>
        <w:fldChar w:fldCharType="separate"/>
      </w:r>
      <w:r>
        <w:rPr>
          <w:noProof/>
        </w:rPr>
        <w:t>36</w:t>
      </w:r>
      <w:r>
        <w:rPr>
          <w:noProof/>
        </w:rPr>
        <w:fldChar w:fldCharType="end"/>
      </w:r>
    </w:p>
    <w:p w14:paraId="43387007"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5.1</w:t>
      </w:r>
      <w:r>
        <w:rPr>
          <w:rFonts w:eastAsiaTheme="minorEastAsia"/>
          <w:noProof/>
          <w:lang w:eastAsia="en-AU"/>
        </w:rPr>
        <w:tab/>
      </w:r>
      <w:r w:rsidRPr="00781E57">
        <w:rPr>
          <w:rFonts w:eastAsiaTheme="majorEastAsia" w:cstheme="majorBidi"/>
          <w:noProof/>
          <w:color w:val="773141"/>
        </w:rPr>
        <w:t>Introduction of emergency measures</w:t>
      </w:r>
      <w:r>
        <w:rPr>
          <w:noProof/>
        </w:rPr>
        <w:tab/>
      </w:r>
      <w:r>
        <w:rPr>
          <w:noProof/>
        </w:rPr>
        <w:fldChar w:fldCharType="begin"/>
      </w:r>
      <w:r>
        <w:rPr>
          <w:noProof/>
        </w:rPr>
        <w:instrText xml:space="preserve"> PAGEREF _Toc447540806 \h </w:instrText>
      </w:r>
      <w:r>
        <w:rPr>
          <w:noProof/>
        </w:rPr>
      </w:r>
      <w:r>
        <w:rPr>
          <w:noProof/>
        </w:rPr>
        <w:fldChar w:fldCharType="separate"/>
      </w:r>
      <w:r>
        <w:rPr>
          <w:noProof/>
        </w:rPr>
        <w:t>36</w:t>
      </w:r>
      <w:r>
        <w:rPr>
          <w:noProof/>
        </w:rPr>
        <w:fldChar w:fldCharType="end"/>
      </w:r>
    </w:p>
    <w:p w14:paraId="672E873F" w14:textId="77777777" w:rsidR="00536806" w:rsidRDefault="00536806">
      <w:pPr>
        <w:pStyle w:val="TOC3"/>
        <w:tabs>
          <w:tab w:val="left" w:pos="1800"/>
        </w:tabs>
        <w:rPr>
          <w:rFonts w:eastAsiaTheme="minorEastAsia"/>
          <w:noProof/>
          <w:lang w:eastAsia="en-AU"/>
        </w:rPr>
      </w:pPr>
      <w:r w:rsidRPr="00781E57">
        <w:rPr>
          <w:rFonts w:ascii="Calibri" w:hAnsi="Calibri"/>
          <w:noProof/>
        </w:rPr>
        <w:t>5.1.1</w:t>
      </w:r>
      <w:r>
        <w:rPr>
          <w:rFonts w:eastAsiaTheme="minorEastAsia"/>
          <w:noProof/>
          <w:lang w:eastAsia="en-AU"/>
        </w:rPr>
        <w:tab/>
      </w:r>
      <w:r w:rsidRPr="00781E57">
        <w:rPr>
          <w:rFonts w:ascii="Calibri" w:hAnsi="Calibri"/>
          <w:noProof/>
        </w:rPr>
        <w:t>Emergency measures for host seeds for sowing</w:t>
      </w:r>
      <w:r>
        <w:rPr>
          <w:noProof/>
        </w:rPr>
        <w:tab/>
      </w:r>
      <w:r>
        <w:rPr>
          <w:noProof/>
        </w:rPr>
        <w:fldChar w:fldCharType="begin"/>
      </w:r>
      <w:r>
        <w:rPr>
          <w:noProof/>
        </w:rPr>
        <w:instrText xml:space="preserve"> PAGEREF _Toc447540807 \h </w:instrText>
      </w:r>
      <w:r>
        <w:rPr>
          <w:noProof/>
        </w:rPr>
      </w:r>
      <w:r>
        <w:rPr>
          <w:noProof/>
        </w:rPr>
        <w:fldChar w:fldCharType="separate"/>
      </w:r>
      <w:r>
        <w:rPr>
          <w:noProof/>
        </w:rPr>
        <w:t>37</w:t>
      </w:r>
      <w:r>
        <w:rPr>
          <w:noProof/>
        </w:rPr>
        <w:fldChar w:fldCharType="end"/>
      </w:r>
    </w:p>
    <w:p w14:paraId="7F075965"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5.2</w:t>
      </w:r>
      <w:r>
        <w:rPr>
          <w:rFonts w:eastAsiaTheme="minorEastAsia"/>
          <w:noProof/>
          <w:lang w:eastAsia="en-AU"/>
        </w:rPr>
        <w:tab/>
      </w:r>
      <w:r w:rsidRPr="00781E57">
        <w:rPr>
          <w:rFonts w:eastAsiaTheme="majorEastAsia" w:cstheme="majorBidi"/>
          <w:noProof/>
          <w:color w:val="773141"/>
        </w:rPr>
        <w:t>Evaluation of emergency measures</w:t>
      </w:r>
      <w:r>
        <w:rPr>
          <w:noProof/>
        </w:rPr>
        <w:tab/>
      </w:r>
      <w:r>
        <w:rPr>
          <w:noProof/>
        </w:rPr>
        <w:fldChar w:fldCharType="begin"/>
      </w:r>
      <w:r>
        <w:rPr>
          <w:noProof/>
        </w:rPr>
        <w:instrText xml:space="preserve"> PAGEREF _Toc447540808 \h </w:instrText>
      </w:r>
      <w:r>
        <w:rPr>
          <w:noProof/>
        </w:rPr>
      </w:r>
      <w:r>
        <w:rPr>
          <w:noProof/>
        </w:rPr>
        <w:fldChar w:fldCharType="separate"/>
      </w:r>
      <w:r>
        <w:rPr>
          <w:noProof/>
        </w:rPr>
        <w:t>38</w:t>
      </w:r>
      <w:r>
        <w:rPr>
          <w:noProof/>
        </w:rPr>
        <w:fldChar w:fldCharType="end"/>
      </w:r>
    </w:p>
    <w:p w14:paraId="57FD6BE7" w14:textId="77777777" w:rsidR="00536806" w:rsidRDefault="00536806">
      <w:pPr>
        <w:pStyle w:val="TOC3"/>
        <w:tabs>
          <w:tab w:val="left" w:pos="1800"/>
        </w:tabs>
        <w:rPr>
          <w:rFonts w:eastAsiaTheme="minorEastAsia"/>
          <w:noProof/>
          <w:lang w:eastAsia="en-AU"/>
        </w:rPr>
      </w:pPr>
      <w:r w:rsidRPr="00781E57">
        <w:rPr>
          <w:rFonts w:ascii="Calibri" w:hAnsi="Calibri"/>
          <w:noProof/>
        </w:rPr>
        <w:t>5.2.1</w:t>
      </w:r>
      <w:r>
        <w:rPr>
          <w:rFonts w:eastAsiaTheme="minorEastAsia"/>
          <w:noProof/>
          <w:lang w:eastAsia="en-AU"/>
        </w:rPr>
        <w:tab/>
      </w:r>
      <w:r w:rsidRPr="00781E57">
        <w:rPr>
          <w:rFonts w:ascii="Calibri" w:hAnsi="Calibri"/>
          <w:noProof/>
        </w:rPr>
        <w:t>Seeds for sowing from all sources (commercial or small lots)</w:t>
      </w:r>
      <w:r>
        <w:rPr>
          <w:noProof/>
        </w:rPr>
        <w:tab/>
      </w:r>
      <w:r>
        <w:rPr>
          <w:noProof/>
        </w:rPr>
        <w:fldChar w:fldCharType="begin"/>
      </w:r>
      <w:r>
        <w:rPr>
          <w:noProof/>
        </w:rPr>
        <w:instrText xml:space="preserve"> PAGEREF _Toc447540809 \h </w:instrText>
      </w:r>
      <w:r>
        <w:rPr>
          <w:noProof/>
        </w:rPr>
      </w:r>
      <w:r>
        <w:rPr>
          <w:noProof/>
        </w:rPr>
        <w:fldChar w:fldCharType="separate"/>
      </w:r>
      <w:r>
        <w:rPr>
          <w:noProof/>
        </w:rPr>
        <w:t>38</w:t>
      </w:r>
      <w:r>
        <w:rPr>
          <w:noProof/>
        </w:rPr>
        <w:fldChar w:fldCharType="end"/>
      </w:r>
    </w:p>
    <w:p w14:paraId="302172A2" w14:textId="77777777" w:rsidR="00536806" w:rsidRDefault="00536806">
      <w:pPr>
        <w:pStyle w:val="TOC2"/>
        <w:tabs>
          <w:tab w:val="left" w:pos="1800"/>
        </w:tabs>
        <w:rPr>
          <w:rFonts w:eastAsiaTheme="minorEastAsia"/>
          <w:noProof/>
          <w:lang w:eastAsia="en-AU"/>
        </w:rPr>
      </w:pPr>
      <w:r w:rsidRPr="00781E57">
        <w:rPr>
          <w:rFonts w:eastAsiaTheme="majorEastAsia" w:cstheme="majorBidi"/>
          <w:noProof/>
          <w:color w:val="773141"/>
        </w:rPr>
        <w:t>5.3</w:t>
      </w:r>
      <w:r>
        <w:rPr>
          <w:rFonts w:eastAsiaTheme="minorEastAsia"/>
          <w:noProof/>
          <w:lang w:eastAsia="en-AU"/>
        </w:rPr>
        <w:tab/>
      </w:r>
      <w:r w:rsidRPr="00781E57">
        <w:rPr>
          <w:rFonts w:eastAsiaTheme="majorEastAsia" w:cstheme="majorBidi"/>
          <w:noProof/>
          <w:color w:val="773141"/>
        </w:rPr>
        <w:t>Proposed risk mitigation measures</w:t>
      </w:r>
      <w:r>
        <w:rPr>
          <w:noProof/>
        </w:rPr>
        <w:tab/>
      </w:r>
      <w:r>
        <w:rPr>
          <w:noProof/>
        </w:rPr>
        <w:fldChar w:fldCharType="begin"/>
      </w:r>
      <w:r>
        <w:rPr>
          <w:noProof/>
        </w:rPr>
        <w:instrText xml:space="preserve"> PAGEREF _Toc447540810 \h </w:instrText>
      </w:r>
      <w:r>
        <w:rPr>
          <w:noProof/>
        </w:rPr>
      </w:r>
      <w:r>
        <w:rPr>
          <w:noProof/>
        </w:rPr>
        <w:fldChar w:fldCharType="separate"/>
      </w:r>
      <w:r>
        <w:rPr>
          <w:noProof/>
        </w:rPr>
        <w:t>38</w:t>
      </w:r>
      <w:r>
        <w:rPr>
          <w:noProof/>
        </w:rPr>
        <w:fldChar w:fldCharType="end"/>
      </w:r>
    </w:p>
    <w:p w14:paraId="0E37720B" w14:textId="77777777" w:rsidR="00536806" w:rsidRDefault="00536806">
      <w:pPr>
        <w:pStyle w:val="TOC3"/>
        <w:tabs>
          <w:tab w:val="left" w:pos="1800"/>
        </w:tabs>
        <w:rPr>
          <w:rFonts w:eastAsiaTheme="minorEastAsia"/>
          <w:noProof/>
          <w:lang w:eastAsia="en-AU"/>
        </w:rPr>
      </w:pPr>
      <w:r w:rsidRPr="00781E57">
        <w:rPr>
          <w:rFonts w:ascii="Calibri" w:hAnsi="Calibri"/>
          <w:noProof/>
        </w:rPr>
        <w:t>5.3.1</w:t>
      </w:r>
      <w:r>
        <w:rPr>
          <w:rFonts w:eastAsiaTheme="minorEastAsia"/>
          <w:noProof/>
          <w:lang w:eastAsia="en-AU"/>
        </w:rPr>
        <w:tab/>
      </w:r>
      <w:r w:rsidRPr="00781E57">
        <w:rPr>
          <w:rFonts w:ascii="Calibri" w:hAnsi="Calibri"/>
          <w:noProof/>
        </w:rPr>
        <w:t>Seeds for sowing from all countries</w:t>
      </w:r>
      <w:r>
        <w:rPr>
          <w:noProof/>
        </w:rPr>
        <w:tab/>
      </w:r>
      <w:r>
        <w:rPr>
          <w:noProof/>
        </w:rPr>
        <w:fldChar w:fldCharType="begin"/>
      </w:r>
      <w:r>
        <w:rPr>
          <w:noProof/>
        </w:rPr>
        <w:instrText xml:space="preserve"> PAGEREF _Toc447540811 \h </w:instrText>
      </w:r>
      <w:r>
        <w:rPr>
          <w:noProof/>
        </w:rPr>
      </w:r>
      <w:r>
        <w:rPr>
          <w:noProof/>
        </w:rPr>
        <w:fldChar w:fldCharType="separate"/>
      </w:r>
      <w:r>
        <w:rPr>
          <w:noProof/>
        </w:rPr>
        <w:t>39</w:t>
      </w:r>
      <w:r>
        <w:rPr>
          <w:noProof/>
        </w:rPr>
        <w:fldChar w:fldCharType="end"/>
      </w:r>
    </w:p>
    <w:p w14:paraId="001EC486" w14:textId="77777777" w:rsidR="00536806" w:rsidRDefault="00536806">
      <w:pPr>
        <w:pStyle w:val="TOC1"/>
        <w:rPr>
          <w:rFonts w:eastAsiaTheme="minorEastAsia"/>
          <w:b w:val="0"/>
          <w:noProof/>
          <w:lang w:eastAsia="en-AU"/>
        </w:rPr>
      </w:pPr>
      <w:r w:rsidRPr="00781E57">
        <w:rPr>
          <w:rFonts w:eastAsiaTheme="majorEastAsia" w:cstheme="majorBidi"/>
          <w:noProof/>
          <w:color w:val="D52B1E"/>
        </w:rPr>
        <w:t>6</w:t>
      </w:r>
      <w:r>
        <w:rPr>
          <w:rFonts w:eastAsiaTheme="minorEastAsia"/>
          <w:b w:val="0"/>
          <w:noProof/>
          <w:lang w:eastAsia="en-AU"/>
        </w:rPr>
        <w:tab/>
      </w:r>
      <w:r w:rsidRPr="00781E57">
        <w:rPr>
          <w:rFonts w:eastAsiaTheme="majorEastAsia" w:cstheme="majorBidi"/>
          <w:noProof/>
          <w:color w:val="D52B1E"/>
        </w:rPr>
        <w:t>Conclusion</w:t>
      </w:r>
      <w:r>
        <w:rPr>
          <w:noProof/>
        </w:rPr>
        <w:tab/>
      </w:r>
      <w:r>
        <w:rPr>
          <w:noProof/>
        </w:rPr>
        <w:fldChar w:fldCharType="begin"/>
      </w:r>
      <w:r>
        <w:rPr>
          <w:noProof/>
        </w:rPr>
        <w:instrText xml:space="preserve"> PAGEREF _Toc447540812 \h </w:instrText>
      </w:r>
      <w:r>
        <w:rPr>
          <w:noProof/>
        </w:rPr>
      </w:r>
      <w:r>
        <w:rPr>
          <w:noProof/>
        </w:rPr>
        <w:fldChar w:fldCharType="separate"/>
      </w:r>
      <w:r>
        <w:rPr>
          <w:noProof/>
        </w:rPr>
        <w:t>40</w:t>
      </w:r>
      <w:r>
        <w:rPr>
          <w:noProof/>
        </w:rPr>
        <w:fldChar w:fldCharType="end"/>
      </w:r>
    </w:p>
    <w:p w14:paraId="376608D2" w14:textId="77777777" w:rsidR="00536806" w:rsidRDefault="00536806">
      <w:pPr>
        <w:pStyle w:val="TOC1"/>
        <w:rPr>
          <w:rFonts w:eastAsiaTheme="minorEastAsia"/>
          <w:b w:val="0"/>
          <w:noProof/>
          <w:lang w:eastAsia="en-AU"/>
        </w:rPr>
      </w:pPr>
      <w:r w:rsidRPr="00781E57">
        <w:rPr>
          <w:rFonts w:ascii="Cambria" w:hAnsi="Cambria"/>
          <w:noProof/>
        </w:rPr>
        <w:t>Appendix A: Stakeholders comments on emergency measures</w:t>
      </w:r>
      <w:r>
        <w:rPr>
          <w:noProof/>
        </w:rPr>
        <w:tab/>
      </w:r>
      <w:r>
        <w:rPr>
          <w:noProof/>
        </w:rPr>
        <w:fldChar w:fldCharType="begin"/>
      </w:r>
      <w:r>
        <w:rPr>
          <w:noProof/>
        </w:rPr>
        <w:instrText xml:space="preserve"> PAGEREF _Toc447540813 \h </w:instrText>
      </w:r>
      <w:r>
        <w:rPr>
          <w:noProof/>
        </w:rPr>
      </w:r>
      <w:r>
        <w:rPr>
          <w:noProof/>
        </w:rPr>
        <w:fldChar w:fldCharType="separate"/>
      </w:r>
      <w:r>
        <w:rPr>
          <w:noProof/>
        </w:rPr>
        <w:t>42</w:t>
      </w:r>
      <w:r>
        <w:rPr>
          <w:noProof/>
        </w:rPr>
        <w:fldChar w:fldCharType="end"/>
      </w:r>
    </w:p>
    <w:p w14:paraId="606D2659" w14:textId="77777777" w:rsidR="00536806" w:rsidRDefault="00536806">
      <w:pPr>
        <w:pStyle w:val="TOC2"/>
        <w:rPr>
          <w:rFonts w:eastAsiaTheme="minorEastAsia"/>
          <w:noProof/>
          <w:lang w:eastAsia="en-AU"/>
        </w:rPr>
      </w:pPr>
      <w:r w:rsidRPr="00781E57">
        <w:rPr>
          <w:rFonts w:eastAsiaTheme="majorEastAsia" w:cstheme="majorBidi"/>
          <w:noProof/>
          <w:color w:val="773141"/>
        </w:rPr>
        <w:t>Issues raised by stakeholders in response to the emergency measures</w:t>
      </w:r>
      <w:r>
        <w:rPr>
          <w:noProof/>
        </w:rPr>
        <w:tab/>
      </w:r>
      <w:r>
        <w:rPr>
          <w:noProof/>
        </w:rPr>
        <w:fldChar w:fldCharType="begin"/>
      </w:r>
      <w:r>
        <w:rPr>
          <w:noProof/>
        </w:rPr>
        <w:instrText xml:space="preserve"> PAGEREF _Toc447540814 \h </w:instrText>
      </w:r>
      <w:r>
        <w:rPr>
          <w:noProof/>
        </w:rPr>
      </w:r>
      <w:r>
        <w:rPr>
          <w:noProof/>
        </w:rPr>
        <w:fldChar w:fldCharType="separate"/>
      </w:r>
      <w:r>
        <w:rPr>
          <w:noProof/>
        </w:rPr>
        <w:t>42</w:t>
      </w:r>
      <w:r>
        <w:rPr>
          <w:noProof/>
        </w:rPr>
        <w:fldChar w:fldCharType="end"/>
      </w:r>
    </w:p>
    <w:p w14:paraId="56650630" w14:textId="77777777" w:rsidR="00536806" w:rsidRDefault="00536806">
      <w:pPr>
        <w:pStyle w:val="TOC3"/>
        <w:rPr>
          <w:rFonts w:eastAsiaTheme="minorEastAsia"/>
          <w:noProof/>
          <w:lang w:eastAsia="en-AU"/>
        </w:rPr>
      </w:pPr>
      <w:r w:rsidRPr="00781E57">
        <w:rPr>
          <w:rFonts w:ascii="Calibri" w:hAnsi="Calibri"/>
          <w:noProof/>
        </w:rPr>
        <w:t xml:space="preserve">Questions in relation to </w:t>
      </w:r>
      <w:r w:rsidRPr="00781E57">
        <w:rPr>
          <w:rFonts w:ascii="Calibri" w:hAnsi="Calibri"/>
          <w:i/>
          <w:noProof/>
        </w:rPr>
        <w:t>Cucumber green mottle mosaic virus</w:t>
      </w:r>
      <w:r>
        <w:rPr>
          <w:noProof/>
        </w:rPr>
        <w:tab/>
      </w:r>
      <w:r>
        <w:rPr>
          <w:noProof/>
        </w:rPr>
        <w:fldChar w:fldCharType="begin"/>
      </w:r>
      <w:r>
        <w:rPr>
          <w:noProof/>
        </w:rPr>
        <w:instrText xml:space="preserve"> PAGEREF _Toc447540815 \h </w:instrText>
      </w:r>
      <w:r>
        <w:rPr>
          <w:noProof/>
        </w:rPr>
      </w:r>
      <w:r>
        <w:rPr>
          <w:noProof/>
        </w:rPr>
        <w:fldChar w:fldCharType="separate"/>
      </w:r>
      <w:r>
        <w:rPr>
          <w:noProof/>
        </w:rPr>
        <w:t>42</w:t>
      </w:r>
      <w:r>
        <w:rPr>
          <w:noProof/>
        </w:rPr>
        <w:fldChar w:fldCharType="end"/>
      </w:r>
    </w:p>
    <w:p w14:paraId="7CAB41D1" w14:textId="77777777" w:rsidR="00536806" w:rsidRDefault="00536806">
      <w:pPr>
        <w:pStyle w:val="TOC3"/>
        <w:rPr>
          <w:rFonts w:eastAsiaTheme="minorEastAsia"/>
          <w:noProof/>
          <w:lang w:eastAsia="en-AU"/>
        </w:rPr>
      </w:pPr>
      <w:r w:rsidRPr="00781E57">
        <w:rPr>
          <w:rFonts w:ascii="Calibri" w:hAnsi="Calibri"/>
          <w:noProof/>
        </w:rPr>
        <w:t>Questions in relation to emergency measures</w:t>
      </w:r>
      <w:r>
        <w:rPr>
          <w:noProof/>
        </w:rPr>
        <w:tab/>
      </w:r>
      <w:r>
        <w:rPr>
          <w:noProof/>
        </w:rPr>
        <w:fldChar w:fldCharType="begin"/>
      </w:r>
      <w:r>
        <w:rPr>
          <w:noProof/>
        </w:rPr>
        <w:instrText xml:space="preserve"> PAGEREF _Toc447540816 \h </w:instrText>
      </w:r>
      <w:r>
        <w:rPr>
          <w:noProof/>
        </w:rPr>
      </w:r>
      <w:r>
        <w:rPr>
          <w:noProof/>
        </w:rPr>
        <w:fldChar w:fldCharType="separate"/>
      </w:r>
      <w:r>
        <w:rPr>
          <w:noProof/>
        </w:rPr>
        <w:t>45</w:t>
      </w:r>
      <w:r>
        <w:rPr>
          <w:noProof/>
        </w:rPr>
        <w:fldChar w:fldCharType="end"/>
      </w:r>
    </w:p>
    <w:p w14:paraId="5108DBB9" w14:textId="77777777" w:rsidR="00536806" w:rsidRDefault="00536806">
      <w:pPr>
        <w:pStyle w:val="TOC1"/>
        <w:rPr>
          <w:rFonts w:eastAsiaTheme="minorEastAsia"/>
          <w:b w:val="0"/>
          <w:noProof/>
          <w:lang w:eastAsia="en-AU"/>
        </w:rPr>
      </w:pPr>
      <w:r w:rsidRPr="00781E57">
        <w:rPr>
          <w:noProof/>
        </w:rPr>
        <w:t>Appendix B: Additional quarantine pest data</w:t>
      </w:r>
      <w:r>
        <w:rPr>
          <w:noProof/>
        </w:rPr>
        <w:tab/>
      </w:r>
      <w:r>
        <w:rPr>
          <w:noProof/>
        </w:rPr>
        <w:fldChar w:fldCharType="begin"/>
      </w:r>
      <w:r>
        <w:rPr>
          <w:noProof/>
        </w:rPr>
        <w:instrText xml:space="preserve"> PAGEREF _Toc447540817 \h </w:instrText>
      </w:r>
      <w:r>
        <w:rPr>
          <w:noProof/>
        </w:rPr>
      </w:r>
      <w:r>
        <w:rPr>
          <w:noProof/>
        </w:rPr>
        <w:fldChar w:fldCharType="separate"/>
      </w:r>
      <w:r>
        <w:rPr>
          <w:noProof/>
        </w:rPr>
        <w:t>49</w:t>
      </w:r>
      <w:r>
        <w:rPr>
          <w:noProof/>
        </w:rPr>
        <w:fldChar w:fldCharType="end"/>
      </w:r>
    </w:p>
    <w:p w14:paraId="5BE21827" w14:textId="77777777" w:rsidR="00536806" w:rsidRDefault="00536806">
      <w:pPr>
        <w:pStyle w:val="TOC1"/>
        <w:rPr>
          <w:rFonts w:eastAsiaTheme="minorEastAsia"/>
          <w:b w:val="0"/>
          <w:noProof/>
          <w:lang w:eastAsia="en-AU"/>
        </w:rPr>
      </w:pPr>
      <w:r w:rsidRPr="00781E57">
        <w:rPr>
          <w:noProof/>
        </w:rPr>
        <w:t>Glossary</w:t>
      </w:r>
      <w:r>
        <w:rPr>
          <w:noProof/>
        </w:rPr>
        <w:tab/>
      </w:r>
      <w:r>
        <w:rPr>
          <w:noProof/>
        </w:rPr>
        <w:fldChar w:fldCharType="begin"/>
      </w:r>
      <w:r>
        <w:rPr>
          <w:noProof/>
        </w:rPr>
        <w:instrText xml:space="preserve"> PAGEREF _Toc447540818 \h </w:instrText>
      </w:r>
      <w:r>
        <w:rPr>
          <w:noProof/>
        </w:rPr>
      </w:r>
      <w:r>
        <w:rPr>
          <w:noProof/>
        </w:rPr>
        <w:fldChar w:fldCharType="separate"/>
      </w:r>
      <w:r>
        <w:rPr>
          <w:noProof/>
        </w:rPr>
        <w:t>50</w:t>
      </w:r>
      <w:r>
        <w:rPr>
          <w:noProof/>
        </w:rPr>
        <w:fldChar w:fldCharType="end"/>
      </w:r>
    </w:p>
    <w:p w14:paraId="0BC5891B" w14:textId="77777777" w:rsidR="00536806" w:rsidRDefault="00536806">
      <w:pPr>
        <w:pStyle w:val="TOC1"/>
        <w:rPr>
          <w:rFonts w:eastAsiaTheme="minorEastAsia"/>
          <w:b w:val="0"/>
          <w:noProof/>
          <w:lang w:eastAsia="en-AU"/>
        </w:rPr>
      </w:pPr>
      <w:r w:rsidRPr="00781E57">
        <w:rPr>
          <w:noProof/>
        </w:rPr>
        <w:t>References</w:t>
      </w:r>
      <w:r>
        <w:rPr>
          <w:noProof/>
        </w:rPr>
        <w:tab/>
      </w:r>
      <w:r>
        <w:rPr>
          <w:noProof/>
        </w:rPr>
        <w:fldChar w:fldCharType="begin"/>
      </w:r>
      <w:r>
        <w:rPr>
          <w:noProof/>
        </w:rPr>
        <w:instrText xml:space="preserve"> PAGEREF _Toc447540819 \h </w:instrText>
      </w:r>
      <w:r>
        <w:rPr>
          <w:noProof/>
        </w:rPr>
      </w:r>
      <w:r>
        <w:rPr>
          <w:noProof/>
        </w:rPr>
        <w:fldChar w:fldCharType="separate"/>
      </w:r>
      <w:r>
        <w:rPr>
          <w:noProof/>
        </w:rPr>
        <w:t>53</w:t>
      </w:r>
      <w:r>
        <w:rPr>
          <w:noProof/>
        </w:rPr>
        <w:fldChar w:fldCharType="end"/>
      </w:r>
    </w:p>
    <w:p w14:paraId="1D688212" w14:textId="77777777" w:rsidR="008163B6" w:rsidRDefault="008D6C04">
      <w:pPr>
        <w:pStyle w:val="TOCHeading"/>
        <w:pageBreakBefore w:val="0"/>
        <w:spacing w:before="80" w:after="80"/>
        <w:rPr>
          <w:rFonts w:asciiTheme="majorHAnsi" w:hAnsiTheme="majorHAnsi"/>
          <w:b/>
          <w:bCs w:val="0"/>
          <w:color w:val="auto"/>
          <w:sz w:val="22"/>
          <w:szCs w:val="22"/>
          <w:lang w:val="en-AU"/>
        </w:rPr>
        <w:sectPr w:rsidR="008163B6">
          <w:headerReference w:type="default" r:id="rId23"/>
          <w:headerReference w:type="first" r:id="rId24"/>
          <w:pgSz w:w="11906" w:h="16838"/>
          <w:pgMar w:top="1418" w:right="1418" w:bottom="1418" w:left="1418" w:header="567" w:footer="283" w:gutter="0"/>
          <w:pgNumType w:fmt="lowerRoman"/>
          <w:cols w:space="708"/>
          <w:titlePg/>
          <w:docGrid w:linePitch="360"/>
        </w:sectPr>
      </w:pPr>
      <w:r>
        <w:rPr>
          <w:rFonts w:cs="Calibri"/>
          <w:color w:val="auto"/>
          <w:sz w:val="20"/>
          <w:szCs w:val="20"/>
          <w:lang w:val="en-AU"/>
        </w:rPr>
        <w:fldChar w:fldCharType="end"/>
      </w:r>
    </w:p>
    <w:p w14:paraId="4D52B645" w14:textId="77777777" w:rsidR="008163B6" w:rsidRDefault="008D6C04">
      <w:pPr>
        <w:pStyle w:val="TOCHeading"/>
        <w:pageBreakBefore w:val="0"/>
        <w:spacing w:after="120"/>
        <w:rPr>
          <w:rFonts w:eastAsiaTheme="majorEastAsia" w:cstheme="majorBidi"/>
          <w:b/>
          <w:color w:val="D52B1E"/>
          <w:sz w:val="34"/>
        </w:rPr>
      </w:pPr>
      <w:r>
        <w:rPr>
          <w:rFonts w:eastAsiaTheme="majorEastAsia" w:cstheme="majorBidi"/>
          <w:b/>
          <w:color w:val="D52B1E"/>
          <w:sz w:val="34"/>
          <w:lang w:val="en-AU"/>
        </w:rPr>
        <w:lastRenderedPageBreak/>
        <w:fldChar w:fldCharType="begin"/>
      </w:r>
      <w:r w:rsidR="00F709BD">
        <w:rPr>
          <w:rFonts w:eastAsiaTheme="majorEastAsia" w:cstheme="majorBidi"/>
          <w:b/>
          <w:color w:val="D52B1E"/>
          <w:sz w:val="34"/>
          <w:lang w:val="en-AU"/>
        </w:rPr>
        <w:instrText xml:space="preserve"> TOC \c "Figure" </w:instrText>
      </w:r>
      <w:r>
        <w:rPr>
          <w:rFonts w:eastAsiaTheme="majorEastAsia" w:cstheme="majorBidi"/>
          <w:b/>
          <w:color w:val="D52B1E"/>
          <w:sz w:val="34"/>
          <w:lang w:val="en-AU"/>
        </w:rPr>
        <w:fldChar w:fldCharType="end"/>
      </w:r>
      <w:r w:rsidR="00F709BD">
        <w:rPr>
          <w:rFonts w:eastAsiaTheme="majorEastAsia" w:cstheme="majorBidi"/>
          <w:b/>
          <w:color w:val="D52B1E"/>
          <w:sz w:val="34"/>
          <w:lang w:val="en-AU"/>
        </w:rPr>
        <w:t>Tables</w:t>
      </w:r>
    </w:p>
    <w:p w14:paraId="6CA11D5B" w14:textId="1AF49B39" w:rsidR="00355A23" w:rsidRDefault="008D6C04">
      <w:pPr>
        <w:pStyle w:val="TableofFigures"/>
        <w:tabs>
          <w:tab w:val="right" w:leader="dot" w:pos="9060"/>
        </w:tabs>
        <w:rPr>
          <w:rFonts w:eastAsiaTheme="minorEastAsia"/>
          <w:noProof/>
          <w:lang w:eastAsia="en-AU"/>
        </w:rPr>
      </w:pPr>
      <w:r>
        <w:rPr>
          <w:bCs/>
          <w:sz w:val="24"/>
          <w:szCs w:val="24"/>
        </w:rPr>
        <w:fldChar w:fldCharType="begin"/>
      </w:r>
      <w:r w:rsidR="00F709BD">
        <w:rPr>
          <w:bCs/>
        </w:rPr>
        <w:instrText xml:space="preserve"> TOC \t "Caption,1" \c "Table" </w:instrText>
      </w:r>
      <w:r>
        <w:rPr>
          <w:bCs/>
          <w:sz w:val="24"/>
          <w:szCs w:val="24"/>
        </w:rPr>
        <w:fldChar w:fldCharType="separate"/>
      </w:r>
      <w:r w:rsidR="00355A23" w:rsidRPr="003E7494">
        <w:rPr>
          <w:rFonts w:asciiTheme="majorHAnsi" w:eastAsiaTheme="majorEastAsia" w:hAnsiTheme="majorHAnsi" w:cstheme="majorBidi"/>
          <w:noProof/>
          <w:color w:val="595959" w:themeColor="text1" w:themeTint="A6"/>
        </w:rPr>
        <w:t>Table 1 Nomenclature of qualitative likelihoods</w:t>
      </w:r>
      <w:r w:rsidR="00355A23">
        <w:rPr>
          <w:noProof/>
        </w:rPr>
        <w:tab/>
      </w:r>
      <w:r w:rsidR="00355A23">
        <w:rPr>
          <w:noProof/>
        </w:rPr>
        <w:fldChar w:fldCharType="begin"/>
      </w:r>
      <w:r w:rsidR="00355A23">
        <w:rPr>
          <w:noProof/>
        </w:rPr>
        <w:instrText xml:space="preserve"> PAGEREF _Toc447541241 \h </w:instrText>
      </w:r>
      <w:r w:rsidR="00355A23">
        <w:rPr>
          <w:noProof/>
        </w:rPr>
      </w:r>
      <w:r w:rsidR="00355A23">
        <w:rPr>
          <w:noProof/>
        </w:rPr>
        <w:fldChar w:fldCharType="separate"/>
      </w:r>
      <w:r w:rsidR="00355A23">
        <w:rPr>
          <w:noProof/>
        </w:rPr>
        <w:t>10</w:t>
      </w:r>
      <w:r w:rsidR="00355A23">
        <w:rPr>
          <w:noProof/>
        </w:rPr>
        <w:fldChar w:fldCharType="end"/>
      </w:r>
    </w:p>
    <w:p w14:paraId="7BF00CF0"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2 Matrix of rules for combining qualitative likelihoods</w:t>
      </w:r>
      <w:r>
        <w:rPr>
          <w:noProof/>
        </w:rPr>
        <w:tab/>
      </w:r>
      <w:r>
        <w:rPr>
          <w:noProof/>
        </w:rPr>
        <w:fldChar w:fldCharType="begin"/>
      </w:r>
      <w:r>
        <w:rPr>
          <w:noProof/>
        </w:rPr>
        <w:instrText xml:space="preserve"> PAGEREF _Toc447541242 \h </w:instrText>
      </w:r>
      <w:r>
        <w:rPr>
          <w:noProof/>
        </w:rPr>
      </w:r>
      <w:r>
        <w:rPr>
          <w:noProof/>
        </w:rPr>
        <w:fldChar w:fldCharType="separate"/>
      </w:r>
      <w:r>
        <w:rPr>
          <w:noProof/>
        </w:rPr>
        <w:t>11</w:t>
      </w:r>
      <w:r>
        <w:rPr>
          <w:noProof/>
        </w:rPr>
        <w:fldChar w:fldCharType="end"/>
      </w:r>
    </w:p>
    <w:p w14:paraId="432D4E25"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3 Decision rules for determining the consequence impact score based on the magnitude of consequences at four geographic scales</w:t>
      </w:r>
      <w:r>
        <w:rPr>
          <w:noProof/>
        </w:rPr>
        <w:tab/>
      </w:r>
      <w:r>
        <w:rPr>
          <w:noProof/>
        </w:rPr>
        <w:fldChar w:fldCharType="begin"/>
      </w:r>
      <w:r>
        <w:rPr>
          <w:noProof/>
        </w:rPr>
        <w:instrText xml:space="preserve"> PAGEREF _Toc447541243 \h </w:instrText>
      </w:r>
      <w:r>
        <w:rPr>
          <w:noProof/>
        </w:rPr>
      </w:r>
      <w:r>
        <w:rPr>
          <w:noProof/>
        </w:rPr>
        <w:fldChar w:fldCharType="separate"/>
      </w:r>
      <w:r>
        <w:rPr>
          <w:noProof/>
        </w:rPr>
        <w:t>12</w:t>
      </w:r>
      <w:r>
        <w:rPr>
          <w:noProof/>
        </w:rPr>
        <w:fldChar w:fldCharType="end"/>
      </w:r>
    </w:p>
    <w:p w14:paraId="3C1BBE21"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4 Decision rules for determining the overall consequence rating for each pest</w:t>
      </w:r>
      <w:r>
        <w:rPr>
          <w:noProof/>
        </w:rPr>
        <w:tab/>
      </w:r>
      <w:r>
        <w:rPr>
          <w:noProof/>
        </w:rPr>
        <w:fldChar w:fldCharType="begin"/>
      </w:r>
      <w:r>
        <w:rPr>
          <w:noProof/>
        </w:rPr>
        <w:instrText xml:space="preserve"> PAGEREF _Toc447541244 \h </w:instrText>
      </w:r>
      <w:r>
        <w:rPr>
          <w:noProof/>
        </w:rPr>
      </w:r>
      <w:r>
        <w:rPr>
          <w:noProof/>
        </w:rPr>
        <w:fldChar w:fldCharType="separate"/>
      </w:r>
      <w:r>
        <w:rPr>
          <w:noProof/>
        </w:rPr>
        <w:t>13</w:t>
      </w:r>
      <w:r>
        <w:rPr>
          <w:noProof/>
        </w:rPr>
        <w:fldChar w:fldCharType="end"/>
      </w:r>
    </w:p>
    <w:p w14:paraId="0F59C5EB"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5 Risk estimation matrix</w:t>
      </w:r>
      <w:r>
        <w:rPr>
          <w:noProof/>
        </w:rPr>
        <w:tab/>
      </w:r>
      <w:r>
        <w:rPr>
          <w:noProof/>
        </w:rPr>
        <w:fldChar w:fldCharType="begin"/>
      </w:r>
      <w:r>
        <w:rPr>
          <w:noProof/>
        </w:rPr>
        <w:instrText xml:space="preserve"> PAGEREF _Toc447541245 \h </w:instrText>
      </w:r>
      <w:r>
        <w:rPr>
          <w:noProof/>
        </w:rPr>
      </w:r>
      <w:r>
        <w:rPr>
          <w:noProof/>
        </w:rPr>
        <w:fldChar w:fldCharType="separate"/>
      </w:r>
      <w:r>
        <w:rPr>
          <w:noProof/>
        </w:rPr>
        <w:t>13</w:t>
      </w:r>
      <w:r>
        <w:rPr>
          <w:noProof/>
        </w:rPr>
        <w:fldChar w:fldCharType="end"/>
      </w:r>
    </w:p>
    <w:p w14:paraId="66B40BB6"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6 Natural hosts of CGMMV and its association with host seeds</w:t>
      </w:r>
      <w:r>
        <w:rPr>
          <w:noProof/>
        </w:rPr>
        <w:tab/>
      </w:r>
      <w:r>
        <w:rPr>
          <w:noProof/>
        </w:rPr>
        <w:fldChar w:fldCharType="begin"/>
      </w:r>
      <w:r>
        <w:rPr>
          <w:noProof/>
        </w:rPr>
        <w:instrText xml:space="preserve"> PAGEREF _Toc447541247 \h </w:instrText>
      </w:r>
      <w:r>
        <w:rPr>
          <w:noProof/>
        </w:rPr>
      </w:r>
      <w:r>
        <w:rPr>
          <w:noProof/>
        </w:rPr>
        <w:fldChar w:fldCharType="separate"/>
      </w:r>
      <w:r>
        <w:rPr>
          <w:noProof/>
        </w:rPr>
        <w:t>17</w:t>
      </w:r>
      <w:r>
        <w:rPr>
          <w:noProof/>
        </w:rPr>
        <w:fldChar w:fldCharType="end"/>
      </w:r>
    </w:p>
    <w:p w14:paraId="4E76272E"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 xml:space="preserve">Table 7 </w:t>
      </w:r>
      <w:r w:rsidRPr="003E7494">
        <w:rPr>
          <w:rFonts w:ascii="Cambria" w:eastAsia="Times New Roman" w:hAnsi="Cambria" w:cs="Times New Roman"/>
          <w:noProof/>
          <w:color w:val="595959"/>
        </w:rPr>
        <w:t>Unrestricted risk estimates of CGMMV for seed pathway</w:t>
      </w:r>
      <w:r>
        <w:rPr>
          <w:noProof/>
        </w:rPr>
        <w:tab/>
      </w:r>
      <w:r>
        <w:rPr>
          <w:noProof/>
        </w:rPr>
        <w:fldChar w:fldCharType="begin"/>
      </w:r>
      <w:r>
        <w:rPr>
          <w:noProof/>
        </w:rPr>
        <w:instrText xml:space="preserve"> PAGEREF _Toc447541253 \h </w:instrText>
      </w:r>
      <w:r>
        <w:rPr>
          <w:noProof/>
        </w:rPr>
      </w:r>
      <w:r>
        <w:rPr>
          <w:noProof/>
        </w:rPr>
        <w:fldChar w:fldCharType="separate"/>
      </w:r>
      <w:r>
        <w:rPr>
          <w:noProof/>
        </w:rPr>
        <w:t>35</w:t>
      </w:r>
      <w:r>
        <w:rPr>
          <w:noProof/>
        </w:rPr>
        <w:fldChar w:fldCharType="end"/>
      </w:r>
    </w:p>
    <w:p w14:paraId="25C9E5E1"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8 Small seed lot weights for host cucurbit seeds under the emergency measures</w:t>
      </w:r>
      <w:r>
        <w:rPr>
          <w:noProof/>
        </w:rPr>
        <w:tab/>
      </w:r>
      <w:r>
        <w:rPr>
          <w:noProof/>
        </w:rPr>
        <w:fldChar w:fldCharType="begin"/>
      </w:r>
      <w:r>
        <w:rPr>
          <w:noProof/>
        </w:rPr>
        <w:instrText xml:space="preserve"> PAGEREF _Toc447541254 \h </w:instrText>
      </w:r>
      <w:r>
        <w:rPr>
          <w:noProof/>
        </w:rPr>
      </w:r>
      <w:r>
        <w:rPr>
          <w:noProof/>
        </w:rPr>
        <w:fldChar w:fldCharType="separate"/>
      </w:r>
      <w:r>
        <w:rPr>
          <w:noProof/>
        </w:rPr>
        <w:t>38</w:t>
      </w:r>
      <w:r>
        <w:rPr>
          <w:noProof/>
        </w:rPr>
        <w:fldChar w:fldCharType="end"/>
      </w:r>
    </w:p>
    <w:p w14:paraId="4D84BE3B" w14:textId="77777777" w:rsidR="00355A23" w:rsidRDefault="00355A23">
      <w:pPr>
        <w:pStyle w:val="TableofFigures"/>
        <w:tabs>
          <w:tab w:val="right" w:leader="dot" w:pos="9060"/>
        </w:tabs>
        <w:rPr>
          <w:rFonts w:eastAsiaTheme="minorEastAsia"/>
          <w:noProof/>
          <w:lang w:eastAsia="en-AU"/>
        </w:rPr>
      </w:pPr>
      <w:r w:rsidRPr="003E7494">
        <w:rPr>
          <w:rFonts w:asciiTheme="majorHAnsi" w:eastAsiaTheme="majorEastAsia" w:hAnsiTheme="majorHAnsi" w:cstheme="majorBidi"/>
          <w:noProof/>
          <w:color w:val="595959" w:themeColor="text1" w:themeTint="A6"/>
        </w:rPr>
        <w:t>Table 9 Effect of seed sample size on the confidence level in detecting infected seeds</w:t>
      </w:r>
      <w:r>
        <w:rPr>
          <w:noProof/>
        </w:rPr>
        <w:tab/>
      </w:r>
      <w:r>
        <w:rPr>
          <w:noProof/>
        </w:rPr>
        <w:fldChar w:fldCharType="begin"/>
      </w:r>
      <w:r>
        <w:rPr>
          <w:noProof/>
        </w:rPr>
        <w:instrText xml:space="preserve"> PAGEREF _Toc447541255 \h </w:instrText>
      </w:r>
      <w:r>
        <w:rPr>
          <w:noProof/>
        </w:rPr>
      </w:r>
      <w:r>
        <w:rPr>
          <w:noProof/>
        </w:rPr>
        <w:fldChar w:fldCharType="separate"/>
      </w:r>
      <w:r>
        <w:rPr>
          <w:noProof/>
        </w:rPr>
        <w:t>46</w:t>
      </w:r>
      <w:r>
        <w:rPr>
          <w:noProof/>
        </w:rPr>
        <w:fldChar w:fldCharType="end"/>
      </w:r>
    </w:p>
    <w:p w14:paraId="26317992" w14:textId="77777777" w:rsidR="008163B6" w:rsidRDefault="008D6C04">
      <w:pPr>
        <w:pStyle w:val="TOCHeading"/>
        <w:pageBreakBefore w:val="0"/>
        <w:spacing w:after="120"/>
        <w:ind w:left="993" w:hanging="993"/>
        <w:rPr>
          <w:rFonts w:eastAsiaTheme="majorEastAsia" w:cstheme="majorBidi"/>
          <w:b/>
          <w:color w:val="D52B1E"/>
          <w:sz w:val="34"/>
          <w:lang w:val="en-AU"/>
        </w:rPr>
      </w:pPr>
      <w:r>
        <w:rPr>
          <w:rFonts w:ascii="Times New Roman" w:hAnsi="Times New Roman"/>
          <w:bCs w:val="0"/>
          <w:color w:val="auto"/>
          <w:sz w:val="22"/>
          <w:szCs w:val="22"/>
          <w:lang w:val="en-AU"/>
        </w:rPr>
        <w:fldChar w:fldCharType="end"/>
      </w:r>
      <w:r w:rsidR="00F709BD">
        <w:rPr>
          <w:rFonts w:eastAsiaTheme="majorEastAsia" w:cstheme="majorBidi"/>
          <w:b/>
          <w:color w:val="D52B1E"/>
          <w:sz w:val="34"/>
          <w:lang w:val="en-AU"/>
        </w:rPr>
        <w:t>Maps</w:t>
      </w:r>
    </w:p>
    <w:p w14:paraId="07843623" w14:textId="77777777" w:rsidR="00355A23" w:rsidRDefault="008D6C04">
      <w:pPr>
        <w:pStyle w:val="TableofFigures"/>
        <w:tabs>
          <w:tab w:val="right" w:leader="dot" w:pos="9060"/>
        </w:tabs>
        <w:rPr>
          <w:rFonts w:eastAsiaTheme="minorEastAsia"/>
          <w:noProof/>
          <w:lang w:eastAsia="en-AU"/>
        </w:rPr>
      </w:pPr>
      <w:r>
        <w:fldChar w:fldCharType="begin"/>
      </w:r>
      <w:r w:rsidR="00F709BD">
        <w:instrText xml:space="preserve"> TOC \c "Map" </w:instrText>
      </w:r>
      <w:r>
        <w:fldChar w:fldCharType="separate"/>
      </w:r>
      <w:r w:rsidR="00355A23" w:rsidRPr="007A5012">
        <w:rPr>
          <w:rFonts w:asciiTheme="majorHAnsi" w:eastAsiaTheme="majorEastAsia" w:hAnsiTheme="majorHAnsi" w:cstheme="majorBidi"/>
          <w:noProof/>
          <w:color w:val="595959" w:themeColor="text1" w:themeTint="A6"/>
        </w:rPr>
        <w:t>Map 1 Map of Australia</w:t>
      </w:r>
      <w:r w:rsidR="00355A23">
        <w:rPr>
          <w:noProof/>
        </w:rPr>
        <w:tab/>
      </w:r>
      <w:r w:rsidR="00355A23">
        <w:rPr>
          <w:noProof/>
        </w:rPr>
        <w:fldChar w:fldCharType="begin"/>
      </w:r>
      <w:r w:rsidR="00355A23">
        <w:rPr>
          <w:noProof/>
        </w:rPr>
        <w:instrText xml:space="preserve"> PAGEREF _Toc447541256 \h </w:instrText>
      </w:r>
      <w:r w:rsidR="00355A23">
        <w:rPr>
          <w:noProof/>
        </w:rPr>
      </w:r>
      <w:r w:rsidR="00355A23">
        <w:rPr>
          <w:noProof/>
        </w:rPr>
        <w:fldChar w:fldCharType="separate"/>
      </w:r>
      <w:r w:rsidR="00355A23">
        <w:rPr>
          <w:noProof/>
        </w:rPr>
        <w:t>vii</w:t>
      </w:r>
      <w:r w:rsidR="00355A23">
        <w:rPr>
          <w:noProof/>
        </w:rPr>
        <w:fldChar w:fldCharType="end"/>
      </w:r>
    </w:p>
    <w:p w14:paraId="761DA385" w14:textId="77777777" w:rsidR="00355A23" w:rsidRDefault="00355A23">
      <w:pPr>
        <w:pStyle w:val="TableofFigures"/>
        <w:tabs>
          <w:tab w:val="right" w:leader="dot" w:pos="9060"/>
        </w:tabs>
        <w:rPr>
          <w:rFonts w:eastAsiaTheme="minorEastAsia"/>
          <w:noProof/>
          <w:lang w:eastAsia="en-AU"/>
        </w:rPr>
      </w:pPr>
      <w:r w:rsidRPr="007A5012">
        <w:rPr>
          <w:rFonts w:asciiTheme="majorHAnsi" w:eastAsiaTheme="majorEastAsia" w:hAnsiTheme="majorHAnsi" w:cstheme="majorBidi"/>
          <w:noProof/>
          <w:color w:val="595959" w:themeColor="text1" w:themeTint="A6"/>
        </w:rPr>
        <w:t>Map 2 A guide to Australia's bio-climatic zones</w:t>
      </w:r>
      <w:r>
        <w:rPr>
          <w:noProof/>
        </w:rPr>
        <w:tab/>
      </w:r>
      <w:r>
        <w:rPr>
          <w:noProof/>
        </w:rPr>
        <w:fldChar w:fldCharType="begin"/>
      </w:r>
      <w:r>
        <w:rPr>
          <w:noProof/>
        </w:rPr>
        <w:instrText xml:space="preserve"> PAGEREF _Toc447541257 \h </w:instrText>
      </w:r>
      <w:r>
        <w:rPr>
          <w:noProof/>
        </w:rPr>
      </w:r>
      <w:r>
        <w:rPr>
          <w:noProof/>
        </w:rPr>
        <w:fldChar w:fldCharType="separate"/>
      </w:r>
      <w:r>
        <w:rPr>
          <w:noProof/>
        </w:rPr>
        <w:t>vii</w:t>
      </w:r>
      <w:r>
        <w:rPr>
          <w:noProof/>
        </w:rPr>
        <w:fldChar w:fldCharType="end"/>
      </w:r>
    </w:p>
    <w:p w14:paraId="6A17181B" w14:textId="77777777" w:rsidR="00355A23" w:rsidRDefault="00355A23">
      <w:pPr>
        <w:pStyle w:val="TableofFigures"/>
        <w:tabs>
          <w:tab w:val="right" w:leader="dot" w:pos="9060"/>
        </w:tabs>
        <w:rPr>
          <w:rFonts w:eastAsiaTheme="minorEastAsia"/>
          <w:noProof/>
          <w:lang w:eastAsia="en-AU"/>
        </w:rPr>
      </w:pPr>
      <w:r w:rsidRPr="007A5012">
        <w:rPr>
          <w:rFonts w:asciiTheme="majorHAnsi" w:eastAsiaTheme="majorEastAsia" w:hAnsiTheme="majorHAnsi" w:cstheme="majorBidi"/>
          <w:noProof/>
          <w:color w:val="595959" w:themeColor="text1" w:themeTint="A6"/>
        </w:rPr>
        <w:t>Map 3 Global occurrence of CGMMV</w:t>
      </w:r>
      <w:r>
        <w:rPr>
          <w:noProof/>
        </w:rPr>
        <w:tab/>
      </w:r>
      <w:r>
        <w:rPr>
          <w:noProof/>
        </w:rPr>
        <w:fldChar w:fldCharType="begin"/>
      </w:r>
      <w:r>
        <w:rPr>
          <w:noProof/>
        </w:rPr>
        <w:instrText xml:space="preserve"> PAGEREF _Toc447541258 \h </w:instrText>
      </w:r>
      <w:r>
        <w:rPr>
          <w:noProof/>
        </w:rPr>
      </w:r>
      <w:r>
        <w:rPr>
          <w:noProof/>
        </w:rPr>
        <w:fldChar w:fldCharType="separate"/>
      </w:r>
      <w:r>
        <w:rPr>
          <w:noProof/>
        </w:rPr>
        <w:t>16</w:t>
      </w:r>
      <w:r>
        <w:rPr>
          <w:noProof/>
        </w:rPr>
        <w:fldChar w:fldCharType="end"/>
      </w:r>
    </w:p>
    <w:p w14:paraId="179DF960" w14:textId="77777777" w:rsidR="008163B6" w:rsidRDefault="008D6C04">
      <w:pPr>
        <w:pStyle w:val="TOCHeading"/>
        <w:pageBreakBefore w:val="0"/>
        <w:spacing w:after="120"/>
        <w:rPr>
          <w:rFonts w:eastAsiaTheme="majorEastAsia" w:cstheme="majorBidi"/>
          <w:b/>
          <w:color w:val="D52B1E"/>
          <w:sz w:val="34"/>
          <w:lang w:val="en-AU"/>
        </w:rPr>
      </w:pPr>
      <w:r>
        <w:fldChar w:fldCharType="end"/>
      </w:r>
      <w:r w:rsidR="00F709BD">
        <w:rPr>
          <w:rFonts w:eastAsiaTheme="majorEastAsia" w:cstheme="majorBidi"/>
          <w:b/>
          <w:color w:val="D52B1E"/>
          <w:sz w:val="34"/>
          <w:lang w:val="en-AU"/>
        </w:rPr>
        <w:t>Figures</w:t>
      </w:r>
      <w:r>
        <w:rPr>
          <w:rFonts w:eastAsiaTheme="majorEastAsia" w:cstheme="majorBidi"/>
          <w:b/>
          <w:color w:val="D52B1E"/>
          <w:sz w:val="34"/>
          <w:lang w:val="en-AU"/>
        </w:rPr>
        <w:fldChar w:fldCharType="begin"/>
      </w:r>
      <w:r w:rsidR="00F709BD">
        <w:rPr>
          <w:rFonts w:eastAsiaTheme="majorEastAsia" w:cstheme="majorBidi"/>
          <w:b/>
          <w:color w:val="D52B1E"/>
          <w:sz w:val="34"/>
          <w:lang w:val="en-AU"/>
        </w:rPr>
        <w:instrText xml:space="preserve"> TOC \c "Figure" </w:instrText>
      </w:r>
      <w:r>
        <w:rPr>
          <w:rFonts w:eastAsiaTheme="majorEastAsia" w:cstheme="majorBidi"/>
          <w:b/>
          <w:color w:val="D52B1E"/>
          <w:sz w:val="34"/>
          <w:lang w:val="en-AU"/>
        </w:rPr>
        <w:fldChar w:fldCharType="end"/>
      </w:r>
    </w:p>
    <w:p w14:paraId="5910A61D" w14:textId="553BBD69" w:rsidR="00355A23" w:rsidRDefault="008D6C04">
      <w:pPr>
        <w:pStyle w:val="TableofFigures"/>
        <w:tabs>
          <w:tab w:val="right" w:leader="dot" w:pos="9060"/>
        </w:tabs>
        <w:rPr>
          <w:rFonts w:eastAsiaTheme="minorEastAsia"/>
          <w:noProof/>
          <w:lang w:eastAsia="en-AU"/>
        </w:rPr>
      </w:pPr>
      <w:r>
        <w:rPr>
          <w:rFonts w:ascii="Cambria" w:hAnsi="Cambria"/>
          <w:bCs/>
        </w:rPr>
        <w:fldChar w:fldCharType="begin"/>
      </w:r>
      <w:r w:rsidR="00F709BD">
        <w:rPr>
          <w:rFonts w:ascii="Cambria" w:hAnsi="Cambria"/>
          <w:bCs/>
        </w:rPr>
        <w:instrText xml:space="preserve"> TOC \t "Caption,1" \c "Table" </w:instrText>
      </w:r>
      <w:r>
        <w:rPr>
          <w:rFonts w:ascii="Cambria" w:hAnsi="Cambria"/>
          <w:bCs/>
        </w:rPr>
        <w:fldChar w:fldCharType="separate"/>
      </w:r>
      <w:r w:rsidR="00355A23" w:rsidRPr="003355FB">
        <w:rPr>
          <w:rFonts w:asciiTheme="majorHAnsi" w:eastAsiaTheme="majorEastAsia" w:hAnsiTheme="majorHAnsi" w:cstheme="majorBidi"/>
          <w:noProof/>
          <w:color w:val="595959" w:themeColor="text1" w:themeTint="A6"/>
        </w:rPr>
        <w:t>Figure 1 CGMMV symptoms on watermelon: (A) leaf mottling and chlorotic mosaic symptoms; (B) peduncle necrosis; (C) whitish-yellow discoloration of the peripheral region of fruit; and (D) water-soaked inner pulp of fruit</w:t>
      </w:r>
      <w:r w:rsidR="00355A23">
        <w:rPr>
          <w:noProof/>
        </w:rPr>
        <w:tab/>
      </w:r>
      <w:r w:rsidR="00355A23">
        <w:rPr>
          <w:noProof/>
        </w:rPr>
        <w:fldChar w:fldCharType="begin"/>
      </w:r>
      <w:r w:rsidR="00355A23">
        <w:rPr>
          <w:noProof/>
        </w:rPr>
        <w:instrText xml:space="preserve"> PAGEREF _Toc447541267 \h </w:instrText>
      </w:r>
      <w:r w:rsidR="00355A23">
        <w:rPr>
          <w:noProof/>
        </w:rPr>
      </w:r>
      <w:r w:rsidR="00355A23">
        <w:rPr>
          <w:noProof/>
        </w:rPr>
        <w:fldChar w:fldCharType="separate"/>
      </w:r>
      <w:r w:rsidR="00355A23">
        <w:rPr>
          <w:noProof/>
        </w:rPr>
        <w:t>22</w:t>
      </w:r>
      <w:r w:rsidR="00355A23">
        <w:rPr>
          <w:noProof/>
        </w:rPr>
        <w:fldChar w:fldCharType="end"/>
      </w:r>
    </w:p>
    <w:p w14:paraId="6EC17A14" w14:textId="77777777" w:rsidR="00355A23" w:rsidRDefault="00355A23">
      <w:pPr>
        <w:pStyle w:val="TableofFigures"/>
        <w:tabs>
          <w:tab w:val="right" w:leader="dot" w:pos="9060"/>
        </w:tabs>
        <w:rPr>
          <w:rFonts w:eastAsiaTheme="minorEastAsia"/>
          <w:noProof/>
          <w:lang w:eastAsia="en-AU"/>
        </w:rPr>
      </w:pPr>
      <w:r w:rsidRPr="003355FB">
        <w:rPr>
          <w:rFonts w:asciiTheme="majorHAnsi" w:eastAsiaTheme="majorEastAsia" w:hAnsiTheme="majorHAnsi" w:cstheme="majorBidi"/>
          <w:noProof/>
          <w:color w:val="595959" w:themeColor="text1" w:themeTint="A6"/>
        </w:rPr>
        <w:t>Figure 2 CGMMV symptoms on melon leaves and fruits: (A) mild chlorosis and mosaic symptoms on leaves and (B) mottle on fruits</w:t>
      </w:r>
      <w:r>
        <w:rPr>
          <w:noProof/>
        </w:rPr>
        <w:tab/>
      </w:r>
      <w:r>
        <w:rPr>
          <w:noProof/>
        </w:rPr>
        <w:fldChar w:fldCharType="begin"/>
      </w:r>
      <w:r>
        <w:rPr>
          <w:noProof/>
        </w:rPr>
        <w:instrText xml:space="preserve"> PAGEREF _Toc447541268 \h </w:instrText>
      </w:r>
      <w:r>
        <w:rPr>
          <w:noProof/>
        </w:rPr>
      </w:r>
      <w:r>
        <w:rPr>
          <w:noProof/>
        </w:rPr>
        <w:fldChar w:fldCharType="separate"/>
      </w:r>
      <w:r>
        <w:rPr>
          <w:noProof/>
        </w:rPr>
        <w:t>22</w:t>
      </w:r>
      <w:r>
        <w:rPr>
          <w:noProof/>
        </w:rPr>
        <w:fldChar w:fldCharType="end"/>
      </w:r>
    </w:p>
    <w:p w14:paraId="0F753F6A" w14:textId="77777777" w:rsidR="00355A23" w:rsidRDefault="00355A23">
      <w:pPr>
        <w:pStyle w:val="TableofFigures"/>
        <w:tabs>
          <w:tab w:val="right" w:leader="dot" w:pos="9060"/>
        </w:tabs>
        <w:rPr>
          <w:rFonts w:eastAsiaTheme="minorEastAsia"/>
          <w:noProof/>
          <w:lang w:eastAsia="en-AU"/>
        </w:rPr>
      </w:pPr>
      <w:r w:rsidRPr="003355FB">
        <w:rPr>
          <w:rFonts w:asciiTheme="majorHAnsi" w:eastAsiaTheme="majorEastAsia" w:hAnsiTheme="majorHAnsi" w:cstheme="majorBidi"/>
          <w:noProof/>
          <w:color w:val="595959" w:themeColor="text1" w:themeTint="A6"/>
        </w:rPr>
        <w:t>Figure 3 CGMMV symptoms on cucumber leaves and fruits: (A) leaf mottling and chlorosis; (B) fruit blistering and mottling; and (C) fruit distortion</w:t>
      </w:r>
      <w:r>
        <w:rPr>
          <w:noProof/>
        </w:rPr>
        <w:tab/>
      </w:r>
      <w:r>
        <w:rPr>
          <w:noProof/>
        </w:rPr>
        <w:fldChar w:fldCharType="begin"/>
      </w:r>
      <w:r>
        <w:rPr>
          <w:noProof/>
        </w:rPr>
        <w:instrText xml:space="preserve"> PAGEREF _Toc447541269 \h </w:instrText>
      </w:r>
      <w:r>
        <w:rPr>
          <w:noProof/>
        </w:rPr>
      </w:r>
      <w:r>
        <w:rPr>
          <w:noProof/>
        </w:rPr>
        <w:fldChar w:fldCharType="separate"/>
      </w:r>
      <w:r>
        <w:rPr>
          <w:noProof/>
        </w:rPr>
        <w:t>23</w:t>
      </w:r>
      <w:r>
        <w:rPr>
          <w:noProof/>
        </w:rPr>
        <w:fldChar w:fldCharType="end"/>
      </w:r>
    </w:p>
    <w:p w14:paraId="200E7996" w14:textId="77777777" w:rsidR="00355A23" w:rsidRDefault="00355A23">
      <w:pPr>
        <w:pStyle w:val="TableofFigures"/>
        <w:tabs>
          <w:tab w:val="right" w:leader="dot" w:pos="9060"/>
        </w:tabs>
        <w:rPr>
          <w:rFonts w:eastAsiaTheme="minorEastAsia"/>
          <w:noProof/>
          <w:lang w:eastAsia="en-AU"/>
        </w:rPr>
      </w:pPr>
      <w:r w:rsidRPr="003355FB">
        <w:rPr>
          <w:rFonts w:asciiTheme="majorHAnsi" w:eastAsiaTheme="majorEastAsia" w:hAnsiTheme="majorHAnsi" w:cstheme="majorBidi"/>
          <w:noProof/>
          <w:color w:val="595959" w:themeColor="text1" w:themeTint="A6"/>
        </w:rPr>
        <w:t>Figure 4 CGMMV symptoms in zucchini: (A) mild mosaic leaf symptoms and (B) internal vein yellowing leaf symptoms</w:t>
      </w:r>
      <w:r>
        <w:rPr>
          <w:noProof/>
        </w:rPr>
        <w:tab/>
      </w:r>
      <w:r>
        <w:rPr>
          <w:noProof/>
        </w:rPr>
        <w:fldChar w:fldCharType="begin"/>
      </w:r>
      <w:r>
        <w:rPr>
          <w:noProof/>
        </w:rPr>
        <w:instrText xml:space="preserve"> PAGEREF _Toc447541270 \h </w:instrText>
      </w:r>
      <w:r>
        <w:rPr>
          <w:noProof/>
        </w:rPr>
      </w:r>
      <w:r>
        <w:rPr>
          <w:noProof/>
        </w:rPr>
        <w:fldChar w:fldCharType="separate"/>
      </w:r>
      <w:r>
        <w:rPr>
          <w:noProof/>
        </w:rPr>
        <w:t>23</w:t>
      </w:r>
      <w:r>
        <w:rPr>
          <w:noProof/>
        </w:rPr>
        <w:fldChar w:fldCharType="end"/>
      </w:r>
    </w:p>
    <w:p w14:paraId="665B2C2F" w14:textId="77777777" w:rsidR="00355A23" w:rsidRDefault="00355A23">
      <w:pPr>
        <w:pStyle w:val="TableofFigures"/>
        <w:tabs>
          <w:tab w:val="right" w:leader="dot" w:pos="9060"/>
        </w:tabs>
        <w:rPr>
          <w:rFonts w:eastAsiaTheme="minorEastAsia"/>
          <w:noProof/>
          <w:lang w:eastAsia="en-AU"/>
        </w:rPr>
      </w:pPr>
      <w:r w:rsidRPr="003355FB">
        <w:rPr>
          <w:rFonts w:asciiTheme="majorHAnsi" w:eastAsiaTheme="majorEastAsia" w:hAnsiTheme="majorHAnsi" w:cstheme="majorBidi"/>
          <w:noProof/>
          <w:color w:val="595959" w:themeColor="text1" w:themeTint="A6"/>
        </w:rPr>
        <w:t>Figure 5 CGMMV mottle and mosaic symptoms on a bottle gourd leaf</w:t>
      </w:r>
      <w:r>
        <w:rPr>
          <w:noProof/>
        </w:rPr>
        <w:tab/>
      </w:r>
      <w:r>
        <w:rPr>
          <w:noProof/>
        </w:rPr>
        <w:fldChar w:fldCharType="begin"/>
      </w:r>
      <w:r>
        <w:rPr>
          <w:noProof/>
        </w:rPr>
        <w:instrText xml:space="preserve"> PAGEREF _Toc447541271 \h </w:instrText>
      </w:r>
      <w:r>
        <w:rPr>
          <w:noProof/>
        </w:rPr>
      </w:r>
      <w:r>
        <w:rPr>
          <w:noProof/>
        </w:rPr>
        <w:fldChar w:fldCharType="separate"/>
      </w:r>
      <w:r>
        <w:rPr>
          <w:noProof/>
        </w:rPr>
        <w:t>24</w:t>
      </w:r>
      <w:r>
        <w:rPr>
          <w:noProof/>
        </w:rPr>
        <w:fldChar w:fldCharType="end"/>
      </w:r>
    </w:p>
    <w:p w14:paraId="5213B252" w14:textId="01250A02" w:rsidR="008163B6" w:rsidRDefault="008D6C04" w:rsidP="00055013">
      <w:pPr>
        <w:pStyle w:val="Caption"/>
        <w:rPr>
          <w:rFonts w:asciiTheme="majorHAnsi" w:eastAsiaTheme="majorEastAsia" w:hAnsiTheme="majorHAnsi" w:cstheme="majorBidi"/>
          <w:color w:val="595959" w:themeColor="text1" w:themeTint="A6"/>
          <w:sz w:val="20"/>
        </w:rPr>
      </w:pPr>
      <w:r>
        <w:rPr>
          <w:rFonts w:ascii="Cambria" w:hAnsi="Cambria"/>
          <w:bCs w:val="0"/>
        </w:rPr>
        <w:fldChar w:fldCharType="end"/>
      </w:r>
      <w:bookmarkStart w:id="0" w:name="_Toc384197740"/>
      <w:bookmarkStart w:id="1" w:name="_Toc384209828"/>
      <w:bookmarkStart w:id="2" w:name="_Toc384275072"/>
      <w:bookmarkStart w:id="3" w:name="_Toc384275087"/>
      <w:bookmarkStart w:id="4" w:name="_Toc384279205"/>
      <w:bookmarkStart w:id="5" w:name="_Toc384285413"/>
      <w:bookmarkStart w:id="6" w:name="_Toc384285463"/>
      <w:bookmarkStart w:id="7" w:name="_Toc385508250"/>
      <w:bookmarkStart w:id="8" w:name="_Toc388191275"/>
      <w:bookmarkStart w:id="9" w:name="_Toc388557517"/>
      <w:bookmarkStart w:id="10" w:name="_Toc388882516"/>
      <w:bookmarkStart w:id="11" w:name="_Toc388949914"/>
      <w:bookmarkStart w:id="12" w:name="_Toc392494627"/>
      <w:bookmarkStart w:id="13" w:name="_Toc392503870"/>
      <w:bookmarkStart w:id="14" w:name="_Toc409685797"/>
      <w:bookmarkStart w:id="15" w:name="_Toc412625736"/>
      <w:bookmarkStart w:id="16" w:name="_Toc416467510"/>
      <w:bookmarkStart w:id="17" w:name="_Toc418146929"/>
      <w:bookmarkStart w:id="18" w:name="_Toc418712800"/>
      <w:bookmarkStart w:id="19" w:name="_Toc418712904"/>
      <w:bookmarkStart w:id="20" w:name="_Toc432187244"/>
      <w:bookmarkStart w:id="21" w:name="_Toc432187282"/>
      <w:bookmarkStart w:id="22" w:name="_Toc432763615"/>
      <w:bookmarkStart w:id="23" w:name="_Toc432763819"/>
      <w:bookmarkStart w:id="24" w:name="_Toc433710193"/>
      <w:bookmarkStart w:id="25" w:name="_Toc434315806"/>
      <w:bookmarkStart w:id="26" w:name="_Toc434315826"/>
      <w:bookmarkStart w:id="27" w:name="_Toc438132824"/>
      <w:bookmarkStart w:id="28" w:name="_Toc438132866"/>
      <w:bookmarkStart w:id="29" w:name="_Toc438202130"/>
      <w:bookmarkStart w:id="30" w:name="_Toc438202151"/>
      <w:bookmarkStart w:id="31" w:name="_Toc438549491"/>
      <w:bookmarkStart w:id="32" w:name="_Toc438549518"/>
      <w:bookmarkStart w:id="33" w:name="_Toc438549535"/>
      <w:bookmarkStart w:id="34" w:name="_Toc438549605"/>
      <w:bookmarkStart w:id="35" w:name="_Toc439661065"/>
      <w:bookmarkStart w:id="36" w:name="_Toc439661101"/>
      <w:bookmarkStart w:id="37" w:name="_Toc447541256"/>
      <w:r w:rsidR="00F709BD">
        <w:rPr>
          <w:rFonts w:asciiTheme="majorHAnsi" w:eastAsiaTheme="majorEastAsia" w:hAnsiTheme="majorHAnsi" w:cstheme="majorBidi"/>
          <w:color w:val="595959" w:themeColor="text1" w:themeTint="A6"/>
          <w:sz w:val="20"/>
        </w:rPr>
        <w:t xml:space="preserve">Map </w:t>
      </w:r>
      <w:r>
        <w:rPr>
          <w:rFonts w:asciiTheme="majorHAnsi" w:eastAsiaTheme="majorEastAsia" w:hAnsiTheme="majorHAnsi" w:cstheme="majorBidi"/>
          <w:color w:val="595959" w:themeColor="text1" w:themeTint="A6"/>
          <w:sz w:val="20"/>
        </w:rPr>
        <w:fldChar w:fldCharType="begin"/>
      </w:r>
      <w:r w:rsidR="00F709BD">
        <w:rPr>
          <w:rFonts w:asciiTheme="majorHAnsi" w:eastAsiaTheme="majorEastAsia" w:hAnsiTheme="majorHAnsi" w:cstheme="majorBidi"/>
          <w:color w:val="595959" w:themeColor="text1" w:themeTint="A6"/>
          <w:sz w:val="20"/>
        </w:rPr>
        <w:instrText xml:space="preserve"> SEQ Map \* ARABIC </w:instrText>
      </w:r>
      <w:r>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color w:val="595959" w:themeColor="text1" w:themeTint="A6"/>
          <w:sz w:val="20"/>
        </w:rPr>
        <w:t>1</w:t>
      </w:r>
      <w:r>
        <w:rPr>
          <w:rFonts w:asciiTheme="majorHAnsi" w:eastAsiaTheme="majorEastAsia" w:hAnsiTheme="majorHAnsi" w:cstheme="majorBidi"/>
          <w:color w:val="595959" w:themeColor="text1" w:themeTint="A6"/>
          <w:sz w:val="20"/>
        </w:rPr>
        <w:fldChar w:fldCharType="end"/>
      </w:r>
      <w:r w:rsidR="00F709BD">
        <w:rPr>
          <w:rFonts w:asciiTheme="majorHAnsi" w:eastAsiaTheme="majorEastAsia" w:hAnsiTheme="majorHAnsi" w:cstheme="majorBidi"/>
          <w:color w:val="595959" w:themeColor="text1" w:themeTint="A6"/>
          <w:sz w:val="20"/>
        </w:rPr>
        <w:t xml:space="preserve"> Map of Australia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58ACDB57" w14:textId="77777777" w:rsidR="008163B6" w:rsidRDefault="00F709BD">
      <w:pPr>
        <w:pStyle w:val="Picture"/>
        <w:jc w:val="center"/>
      </w:pPr>
      <w:r>
        <w:rPr>
          <w:noProof/>
          <w:lang w:eastAsia="en-AU"/>
        </w:rPr>
        <w:drawing>
          <wp:inline distT="0" distB="0" distL="0" distR="0" wp14:anchorId="190618AA" wp14:editId="19ECE071">
            <wp:extent cx="4936448" cy="3876107"/>
            <wp:effectExtent l="19050" t="0" r="0" b="0"/>
            <wp:docPr id="2" name="Picture 2" descr="Austral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 map"/>
                    <pic:cNvPicPr>
                      <a:picLocks noChangeAspect="1" noChangeArrowheads="1"/>
                    </pic:cNvPicPr>
                  </pic:nvPicPr>
                  <pic:blipFill>
                    <a:blip r:embed="rId25" cstate="print"/>
                    <a:srcRect/>
                    <a:stretch>
                      <a:fillRect/>
                    </a:stretch>
                  </pic:blipFill>
                  <pic:spPr bwMode="auto">
                    <a:xfrm>
                      <a:off x="0" y="0"/>
                      <a:ext cx="4940576" cy="3876261"/>
                    </a:xfrm>
                    <a:prstGeom prst="rect">
                      <a:avLst/>
                    </a:prstGeom>
                    <a:noFill/>
                    <a:ln w="9525">
                      <a:noFill/>
                      <a:miter lim="800000"/>
                      <a:headEnd/>
                      <a:tailEnd/>
                    </a:ln>
                  </pic:spPr>
                </pic:pic>
              </a:graphicData>
            </a:graphic>
          </wp:inline>
        </w:drawing>
      </w:r>
    </w:p>
    <w:p w14:paraId="7A67737E" w14:textId="77777777" w:rsidR="008163B6" w:rsidRDefault="00F709BD">
      <w:pPr>
        <w:pStyle w:val="Caption"/>
        <w:keepNext w:val="0"/>
        <w:rPr>
          <w:rFonts w:asciiTheme="majorHAnsi" w:eastAsiaTheme="majorEastAsia" w:hAnsiTheme="majorHAnsi" w:cstheme="majorBidi"/>
          <w:color w:val="595959" w:themeColor="text1" w:themeTint="A6"/>
          <w:sz w:val="20"/>
        </w:rPr>
      </w:pPr>
      <w:bookmarkStart w:id="38" w:name="_Toc384197741"/>
      <w:bookmarkStart w:id="39" w:name="_Toc384209829"/>
      <w:bookmarkStart w:id="40" w:name="_Toc384275073"/>
      <w:bookmarkStart w:id="41" w:name="_Toc384275088"/>
      <w:bookmarkStart w:id="42" w:name="_Toc384279206"/>
      <w:bookmarkStart w:id="43" w:name="_Toc384285414"/>
      <w:bookmarkStart w:id="44" w:name="_Toc384285464"/>
      <w:bookmarkStart w:id="45" w:name="_Toc385508251"/>
      <w:bookmarkStart w:id="46" w:name="_Toc388191276"/>
      <w:bookmarkStart w:id="47" w:name="_Toc388557518"/>
      <w:bookmarkStart w:id="48" w:name="_Toc388882517"/>
      <w:bookmarkStart w:id="49" w:name="_Toc388949915"/>
      <w:bookmarkStart w:id="50" w:name="_Toc392494628"/>
      <w:bookmarkStart w:id="51" w:name="_Toc392503871"/>
      <w:bookmarkStart w:id="52" w:name="_Toc409685798"/>
      <w:bookmarkStart w:id="53" w:name="_Toc412625737"/>
      <w:bookmarkStart w:id="54" w:name="_Toc416467511"/>
      <w:bookmarkStart w:id="55" w:name="_Toc418146930"/>
      <w:bookmarkStart w:id="56" w:name="_Toc418712801"/>
      <w:bookmarkStart w:id="57" w:name="_Toc418712905"/>
      <w:bookmarkStart w:id="58" w:name="_Toc432187245"/>
      <w:bookmarkStart w:id="59" w:name="_Toc432187283"/>
      <w:bookmarkStart w:id="60" w:name="_Toc432763616"/>
      <w:bookmarkStart w:id="61" w:name="_Toc432763820"/>
      <w:bookmarkStart w:id="62" w:name="_Toc433710194"/>
      <w:bookmarkStart w:id="63" w:name="_Toc434315807"/>
      <w:bookmarkStart w:id="64" w:name="_Toc434315827"/>
      <w:bookmarkStart w:id="65" w:name="_Toc438132825"/>
      <w:bookmarkStart w:id="66" w:name="_Toc438132867"/>
      <w:bookmarkStart w:id="67" w:name="_Toc438202131"/>
      <w:bookmarkStart w:id="68" w:name="_Toc438202152"/>
      <w:bookmarkStart w:id="69" w:name="_Toc438549492"/>
      <w:bookmarkStart w:id="70" w:name="_Toc438549519"/>
      <w:bookmarkStart w:id="71" w:name="_Toc438549536"/>
      <w:bookmarkStart w:id="72" w:name="_Toc438549606"/>
      <w:bookmarkStart w:id="73" w:name="_Toc439661066"/>
      <w:bookmarkStart w:id="74" w:name="_Toc439661102"/>
      <w:bookmarkStart w:id="75" w:name="_Toc447541240"/>
      <w:bookmarkStart w:id="76" w:name="_Toc447541257"/>
      <w:bookmarkStart w:id="77" w:name="_Toc447541259"/>
      <w:r>
        <w:rPr>
          <w:rFonts w:asciiTheme="majorHAnsi" w:eastAsiaTheme="majorEastAsia" w:hAnsiTheme="majorHAnsi" w:cstheme="majorBidi"/>
          <w:color w:val="595959" w:themeColor="text1" w:themeTint="A6"/>
          <w:sz w:val="20"/>
        </w:rPr>
        <w:t xml:space="preserve">Map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2</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A guide to Australia's bio-climatic zones</w:t>
      </w:r>
      <w:bookmarkStart w:id="78" w:name="_GoBack"/>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DC68F46" w14:textId="77777777" w:rsidR="008163B6" w:rsidRDefault="00F709BD">
      <w:pPr>
        <w:pStyle w:val="Picture"/>
        <w:jc w:val="center"/>
      </w:pPr>
      <w:r>
        <w:rPr>
          <w:noProof/>
          <w:lang w:eastAsia="en-AU"/>
        </w:rPr>
        <w:drawing>
          <wp:inline distT="0" distB="0" distL="0" distR="0" wp14:anchorId="2F6B08BF" wp14:editId="383B5BFB">
            <wp:extent cx="5024755" cy="3587468"/>
            <wp:effectExtent l="19050" t="0" r="4445" b="0"/>
            <wp:docPr id="3" name="Picture 3" descr="clima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mate map"/>
                    <pic:cNvPicPr>
                      <a:picLocks noChangeAspect="1" noChangeArrowheads="1"/>
                    </pic:cNvPicPr>
                  </pic:nvPicPr>
                  <pic:blipFill>
                    <a:blip r:embed="rId26" cstate="print"/>
                    <a:srcRect/>
                    <a:stretch>
                      <a:fillRect/>
                    </a:stretch>
                  </pic:blipFill>
                  <pic:spPr bwMode="auto">
                    <a:xfrm>
                      <a:off x="0" y="0"/>
                      <a:ext cx="5024755" cy="3587468"/>
                    </a:xfrm>
                    <a:prstGeom prst="rect">
                      <a:avLst/>
                    </a:prstGeom>
                    <a:noFill/>
                    <a:ln w="19050" cmpd="sng">
                      <a:noFill/>
                      <a:miter lim="800000"/>
                      <a:headEnd/>
                      <a:tailEnd/>
                    </a:ln>
                    <a:effectLst/>
                  </pic:spPr>
                </pic:pic>
              </a:graphicData>
            </a:graphic>
          </wp:inline>
        </w:drawing>
      </w:r>
    </w:p>
    <w:p w14:paraId="75735CD9" w14:textId="77777777" w:rsidR="008163B6" w:rsidRDefault="008163B6"/>
    <w:p w14:paraId="65BDEABD" w14:textId="77777777" w:rsidR="008163B6" w:rsidRDefault="008163B6">
      <w:pPr>
        <w:sectPr w:rsidR="008163B6" w:rsidSect="0070543B">
          <w:headerReference w:type="first" r:id="rId27"/>
          <w:pgSz w:w="11906" w:h="16838"/>
          <w:pgMar w:top="1418" w:right="1418" w:bottom="1418" w:left="1418" w:header="567" w:footer="283" w:gutter="0"/>
          <w:pgNumType w:fmt="lowerRoman"/>
          <w:cols w:space="708"/>
          <w:titlePg/>
          <w:docGrid w:linePitch="360"/>
        </w:sectPr>
      </w:pPr>
    </w:p>
    <w:p w14:paraId="41E342E1" w14:textId="77777777" w:rsidR="008163B6" w:rsidRDefault="00F709BD">
      <w:pPr>
        <w:pStyle w:val="Heading1nonumbers"/>
        <w:rPr>
          <w:lang w:val="en-AU"/>
        </w:rPr>
      </w:pPr>
      <w:bookmarkStart w:id="79" w:name="_Toc392488732"/>
      <w:bookmarkStart w:id="80" w:name="_Toc447540769"/>
      <w:r>
        <w:rPr>
          <w:lang w:val="en-AU"/>
        </w:rPr>
        <w:t>Acronyms and abbreviations</w:t>
      </w:r>
      <w:bookmarkEnd w:id="79"/>
      <w:bookmarkEnd w:id="80"/>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8163B6" w14:paraId="70865B40" w14:textId="77777777">
        <w:trPr>
          <w:trHeight w:val="414"/>
          <w:tblHeader/>
        </w:trPr>
        <w:tc>
          <w:tcPr>
            <w:tcW w:w="1335" w:type="pct"/>
          </w:tcPr>
          <w:p w14:paraId="468992FF" w14:textId="77777777" w:rsidR="008163B6" w:rsidRDefault="00F709BD">
            <w:pPr>
              <w:pStyle w:val="TableHeading"/>
              <w:rPr>
                <w:rFonts w:ascii="Cambria" w:hAnsi="Cambria"/>
              </w:rPr>
            </w:pPr>
            <w:r>
              <w:rPr>
                <w:rFonts w:ascii="Cambria" w:hAnsi="Cambria"/>
              </w:rPr>
              <w:t>Term or abbreviation</w:t>
            </w:r>
          </w:p>
        </w:tc>
        <w:tc>
          <w:tcPr>
            <w:tcW w:w="3665" w:type="pct"/>
          </w:tcPr>
          <w:p w14:paraId="26D911A3" w14:textId="77777777" w:rsidR="008163B6" w:rsidRDefault="00F709BD">
            <w:pPr>
              <w:pStyle w:val="TableHeading"/>
              <w:rPr>
                <w:rFonts w:ascii="Cambria" w:hAnsi="Cambria"/>
              </w:rPr>
            </w:pPr>
            <w:r>
              <w:rPr>
                <w:rFonts w:ascii="Cambria" w:hAnsi="Cambria"/>
              </w:rPr>
              <w:t>Definition</w:t>
            </w:r>
          </w:p>
        </w:tc>
      </w:tr>
      <w:tr w:rsidR="008163B6" w14:paraId="1F599CB5" w14:textId="77777777">
        <w:trPr>
          <w:trHeight w:val="414"/>
        </w:trPr>
        <w:tc>
          <w:tcPr>
            <w:tcW w:w="1335" w:type="pct"/>
          </w:tcPr>
          <w:p w14:paraId="6D679990" w14:textId="77777777" w:rsidR="008163B6" w:rsidRDefault="00F709BD">
            <w:pPr>
              <w:pStyle w:val="TableText"/>
              <w:rPr>
                <w:rFonts w:ascii="Cambria" w:hAnsi="Cambria"/>
              </w:rPr>
            </w:pPr>
            <w:r>
              <w:rPr>
                <w:rFonts w:ascii="Cambria" w:hAnsi="Cambria"/>
              </w:rPr>
              <w:t>ACT</w:t>
            </w:r>
          </w:p>
        </w:tc>
        <w:tc>
          <w:tcPr>
            <w:tcW w:w="3665" w:type="pct"/>
          </w:tcPr>
          <w:p w14:paraId="3A7B1822" w14:textId="77777777" w:rsidR="008163B6" w:rsidRDefault="00F709BD">
            <w:pPr>
              <w:pStyle w:val="TableText"/>
              <w:rPr>
                <w:rFonts w:ascii="Cambria" w:hAnsi="Cambria"/>
              </w:rPr>
            </w:pPr>
            <w:r>
              <w:rPr>
                <w:rFonts w:ascii="Cambria" w:hAnsi="Cambria"/>
              </w:rPr>
              <w:t>Australian Capital Territory</w:t>
            </w:r>
          </w:p>
        </w:tc>
      </w:tr>
      <w:tr w:rsidR="008163B6" w14:paraId="409E720F" w14:textId="77777777">
        <w:trPr>
          <w:trHeight w:val="414"/>
        </w:trPr>
        <w:tc>
          <w:tcPr>
            <w:tcW w:w="1335" w:type="pct"/>
          </w:tcPr>
          <w:p w14:paraId="4BDD82C0" w14:textId="77777777" w:rsidR="008163B6" w:rsidRDefault="00F709BD">
            <w:pPr>
              <w:pStyle w:val="TableText"/>
              <w:rPr>
                <w:rFonts w:ascii="Cambria" w:hAnsi="Cambria"/>
              </w:rPr>
            </w:pPr>
            <w:r>
              <w:rPr>
                <w:rFonts w:ascii="Cambria" w:hAnsi="Cambria"/>
              </w:rPr>
              <w:t>ALOP</w:t>
            </w:r>
          </w:p>
        </w:tc>
        <w:tc>
          <w:tcPr>
            <w:tcW w:w="3665" w:type="pct"/>
          </w:tcPr>
          <w:p w14:paraId="0BEDE608" w14:textId="77777777" w:rsidR="008163B6" w:rsidRDefault="00F709BD">
            <w:pPr>
              <w:pStyle w:val="TableText"/>
              <w:rPr>
                <w:rFonts w:ascii="Cambria" w:hAnsi="Cambria"/>
              </w:rPr>
            </w:pPr>
            <w:r>
              <w:rPr>
                <w:rFonts w:ascii="Cambria" w:hAnsi="Cambria"/>
              </w:rPr>
              <w:t>Appropriate level of protection</w:t>
            </w:r>
          </w:p>
        </w:tc>
      </w:tr>
      <w:tr w:rsidR="008163B6" w14:paraId="02BA5B3C" w14:textId="77777777">
        <w:trPr>
          <w:trHeight w:val="414"/>
        </w:trPr>
        <w:tc>
          <w:tcPr>
            <w:tcW w:w="1335" w:type="pct"/>
          </w:tcPr>
          <w:p w14:paraId="198A8949" w14:textId="77777777" w:rsidR="008163B6" w:rsidRDefault="00F709BD">
            <w:pPr>
              <w:pStyle w:val="TableText"/>
              <w:rPr>
                <w:rFonts w:ascii="Cambria" w:hAnsi="Cambria"/>
              </w:rPr>
            </w:pPr>
            <w:r>
              <w:rPr>
                <w:rFonts w:ascii="Cambria" w:hAnsi="Cambria"/>
              </w:rPr>
              <w:t>BICON</w:t>
            </w:r>
          </w:p>
        </w:tc>
        <w:tc>
          <w:tcPr>
            <w:tcW w:w="3665" w:type="pct"/>
          </w:tcPr>
          <w:p w14:paraId="72C17535" w14:textId="77777777" w:rsidR="008163B6" w:rsidRDefault="00F709BD">
            <w:pPr>
              <w:pStyle w:val="TableText"/>
              <w:rPr>
                <w:rFonts w:ascii="Cambria" w:hAnsi="Cambria"/>
              </w:rPr>
            </w:pPr>
            <w:r>
              <w:rPr>
                <w:rFonts w:ascii="Cambria" w:hAnsi="Cambria"/>
              </w:rPr>
              <w:t xml:space="preserve">The Australian Government Department of Agriculture and Water Resources Biosecurity Import </w:t>
            </w:r>
            <w:proofErr w:type="spellStart"/>
            <w:r>
              <w:rPr>
                <w:rFonts w:ascii="Cambria" w:hAnsi="Cambria"/>
              </w:rPr>
              <w:t>CONditions</w:t>
            </w:r>
            <w:proofErr w:type="spellEnd"/>
            <w:r>
              <w:rPr>
                <w:rFonts w:ascii="Cambria" w:hAnsi="Cambria"/>
              </w:rPr>
              <w:t xml:space="preserve"> database</w:t>
            </w:r>
          </w:p>
        </w:tc>
      </w:tr>
      <w:tr w:rsidR="00326368" w14:paraId="146A32DC" w14:textId="77777777">
        <w:trPr>
          <w:trHeight w:val="414"/>
        </w:trPr>
        <w:tc>
          <w:tcPr>
            <w:tcW w:w="1335" w:type="pct"/>
          </w:tcPr>
          <w:p w14:paraId="51F58CCF" w14:textId="492DCE5B" w:rsidR="00326368" w:rsidRDefault="00326368">
            <w:pPr>
              <w:pStyle w:val="TableText"/>
              <w:rPr>
                <w:rFonts w:ascii="Cambria" w:hAnsi="Cambria"/>
              </w:rPr>
            </w:pPr>
            <w:r>
              <w:rPr>
                <w:rFonts w:ascii="Cambria" w:hAnsi="Cambria"/>
              </w:rPr>
              <w:t>DEDJTR</w:t>
            </w:r>
          </w:p>
        </w:tc>
        <w:tc>
          <w:tcPr>
            <w:tcW w:w="3665" w:type="pct"/>
          </w:tcPr>
          <w:p w14:paraId="5427C2D4" w14:textId="3E61E961" w:rsidR="00326368" w:rsidRDefault="00326368" w:rsidP="00326368">
            <w:pPr>
              <w:pStyle w:val="TableText"/>
              <w:rPr>
                <w:rFonts w:ascii="Cambria" w:hAnsi="Cambria"/>
              </w:rPr>
            </w:pPr>
            <w:r w:rsidRPr="00326368">
              <w:rPr>
                <w:rFonts w:ascii="Cambria" w:hAnsi="Cambria"/>
              </w:rPr>
              <w:t>Victoria</w:t>
            </w:r>
            <w:r>
              <w:rPr>
                <w:rFonts w:ascii="Cambria" w:hAnsi="Cambria"/>
              </w:rPr>
              <w:t>n</w:t>
            </w:r>
            <w:r w:rsidRPr="00326368">
              <w:rPr>
                <w:rFonts w:ascii="Cambria" w:hAnsi="Cambria"/>
              </w:rPr>
              <w:t xml:space="preserve"> </w:t>
            </w:r>
            <w:r>
              <w:rPr>
                <w:rFonts w:ascii="Cambria" w:hAnsi="Cambria"/>
              </w:rPr>
              <w:t xml:space="preserve">Government </w:t>
            </w:r>
            <w:r w:rsidRPr="00326368">
              <w:rPr>
                <w:rFonts w:ascii="Cambria" w:hAnsi="Cambria"/>
              </w:rPr>
              <w:t xml:space="preserve">Department of Economic Development, Jobs, Transport and Resources </w:t>
            </w:r>
          </w:p>
        </w:tc>
      </w:tr>
      <w:tr w:rsidR="00326368" w14:paraId="0F8F451F" w14:textId="77777777">
        <w:trPr>
          <w:trHeight w:val="414"/>
        </w:trPr>
        <w:tc>
          <w:tcPr>
            <w:tcW w:w="1335" w:type="pct"/>
          </w:tcPr>
          <w:p w14:paraId="07D6A39C" w14:textId="065B80E5" w:rsidR="00326368" w:rsidRDefault="00326368">
            <w:pPr>
              <w:pStyle w:val="TableText"/>
              <w:rPr>
                <w:rFonts w:ascii="Cambria" w:hAnsi="Cambria"/>
              </w:rPr>
            </w:pPr>
            <w:r>
              <w:rPr>
                <w:rFonts w:ascii="Cambria" w:hAnsi="Cambria"/>
              </w:rPr>
              <w:t>DPIF</w:t>
            </w:r>
          </w:p>
        </w:tc>
        <w:tc>
          <w:tcPr>
            <w:tcW w:w="3665" w:type="pct"/>
          </w:tcPr>
          <w:p w14:paraId="504F5C28" w14:textId="3AB08E65" w:rsidR="00326368" w:rsidRDefault="00326368" w:rsidP="00326368">
            <w:pPr>
              <w:pStyle w:val="TableText"/>
              <w:rPr>
                <w:rFonts w:ascii="Cambria" w:hAnsi="Cambria"/>
              </w:rPr>
            </w:pPr>
            <w:r>
              <w:rPr>
                <w:rFonts w:ascii="Cambria" w:hAnsi="Cambria"/>
              </w:rPr>
              <w:t xml:space="preserve">Northern Territory Government Department of Primary Industries and Fisheries </w:t>
            </w:r>
          </w:p>
        </w:tc>
      </w:tr>
      <w:tr w:rsidR="008163B6" w14:paraId="4F8941EC" w14:textId="77777777">
        <w:trPr>
          <w:trHeight w:val="414"/>
        </w:trPr>
        <w:tc>
          <w:tcPr>
            <w:tcW w:w="1335" w:type="pct"/>
          </w:tcPr>
          <w:p w14:paraId="424AAC58" w14:textId="77777777" w:rsidR="008163B6" w:rsidRDefault="00F709BD">
            <w:pPr>
              <w:pStyle w:val="TableText"/>
              <w:rPr>
                <w:rFonts w:ascii="Cambria" w:hAnsi="Cambria"/>
              </w:rPr>
            </w:pPr>
            <w:r>
              <w:rPr>
                <w:rFonts w:ascii="Cambria" w:hAnsi="Cambria"/>
              </w:rPr>
              <w:t>ELISA</w:t>
            </w:r>
          </w:p>
        </w:tc>
        <w:tc>
          <w:tcPr>
            <w:tcW w:w="3665" w:type="pct"/>
          </w:tcPr>
          <w:p w14:paraId="45C27181" w14:textId="77777777" w:rsidR="008163B6" w:rsidRDefault="00F709BD">
            <w:pPr>
              <w:pStyle w:val="TableText"/>
              <w:rPr>
                <w:rFonts w:ascii="Cambria" w:hAnsi="Cambria"/>
              </w:rPr>
            </w:pPr>
            <w:r>
              <w:rPr>
                <w:rFonts w:ascii="Cambria" w:hAnsi="Cambria"/>
              </w:rPr>
              <w:t>Enzyme-Linked Immunosorbent Assay</w:t>
            </w:r>
          </w:p>
        </w:tc>
      </w:tr>
      <w:tr w:rsidR="008163B6" w14:paraId="519A06F2" w14:textId="77777777">
        <w:trPr>
          <w:trHeight w:val="414"/>
        </w:trPr>
        <w:tc>
          <w:tcPr>
            <w:tcW w:w="1335" w:type="pct"/>
          </w:tcPr>
          <w:p w14:paraId="5FB2CF54" w14:textId="77777777" w:rsidR="008163B6" w:rsidRDefault="00F709BD">
            <w:pPr>
              <w:pStyle w:val="TableText"/>
              <w:rPr>
                <w:rFonts w:ascii="Cambria" w:hAnsi="Cambria"/>
              </w:rPr>
            </w:pPr>
            <w:r>
              <w:rPr>
                <w:rFonts w:ascii="Cambria" w:hAnsi="Cambria"/>
              </w:rPr>
              <w:t>FAO</w:t>
            </w:r>
          </w:p>
        </w:tc>
        <w:tc>
          <w:tcPr>
            <w:tcW w:w="3665" w:type="pct"/>
          </w:tcPr>
          <w:p w14:paraId="69C8A620" w14:textId="77777777" w:rsidR="008163B6" w:rsidRDefault="00F709BD">
            <w:pPr>
              <w:pStyle w:val="TableText"/>
              <w:rPr>
                <w:rFonts w:ascii="Cambria" w:hAnsi="Cambria"/>
              </w:rPr>
            </w:pPr>
            <w:r>
              <w:rPr>
                <w:rFonts w:ascii="Cambria" w:hAnsi="Cambria"/>
              </w:rPr>
              <w:t>Food and Agriculture Organization of the United Nations</w:t>
            </w:r>
          </w:p>
        </w:tc>
      </w:tr>
      <w:tr w:rsidR="008163B6" w14:paraId="4CFA69A5" w14:textId="77777777">
        <w:trPr>
          <w:trHeight w:val="414"/>
        </w:trPr>
        <w:tc>
          <w:tcPr>
            <w:tcW w:w="1335" w:type="pct"/>
          </w:tcPr>
          <w:p w14:paraId="1D094C48" w14:textId="77777777" w:rsidR="008163B6" w:rsidRDefault="00F709BD">
            <w:pPr>
              <w:pStyle w:val="TableText"/>
              <w:rPr>
                <w:rFonts w:ascii="Cambria" w:hAnsi="Cambria"/>
              </w:rPr>
            </w:pPr>
            <w:r>
              <w:rPr>
                <w:rFonts w:ascii="Cambria" w:hAnsi="Cambria"/>
              </w:rPr>
              <w:t>IPC</w:t>
            </w:r>
          </w:p>
        </w:tc>
        <w:tc>
          <w:tcPr>
            <w:tcW w:w="3665" w:type="pct"/>
          </w:tcPr>
          <w:p w14:paraId="08C01BE2" w14:textId="77777777" w:rsidR="008163B6" w:rsidRDefault="00F709BD">
            <w:pPr>
              <w:pStyle w:val="TableText"/>
              <w:rPr>
                <w:rFonts w:ascii="Cambria" w:hAnsi="Cambria"/>
              </w:rPr>
            </w:pPr>
            <w:r>
              <w:rPr>
                <w:rFonts w:ascii="Cambria" w:hAnsi="Cambria"/>
              </w:rPr>
              <w:t>International Phytosanitary Certificate</w:t>
            </w:r>
          </w:p>
        </w:tc>
      </w:tr>
      <w:tr w:rsidR="008163B6" w14:paraId="0B92A707" w14:textId="77777777">
        <w:trPr>
          <w:trHeight w:val="414"/>
        </w:trPr>
        <w:tc>
          <w:tcPr>
            <w:tcW w:w="1335" w:type="pct"/>
          </w:tcPr>
          <w:p w14:paraId="3DB3AFCA" w14:textId="77777777" w:rsidR="008163B6" w:rsidRDefault="00F709BD">
            <w:pPr>
              <w:pStyle w:val="TableText"/>
              <w:rPr>
                <w:rFonts w:ascii="Cambria" w:hAnsi="Cambria"/>
              </w:rPr>
            </w:pPr>
            <w:r>
              <w:rPr>
                <w:rFonts w:ascii="Cambria" w:hAnsi="Cambria"/>
              </w:rPr>
              <w:t>IPPC</w:t>
            </w:r>
          </w:p>
        </w:tc>
        <w:tc>
          <w:tcPr>
            <w:tcW w:w="3665" w:type="pct"/>
          </w:tcPr>
          <w:p w14:paraId="316BB1D9" w14:textId="77777777" w:rsidR="008163B6" w:rsidRDefault="00F709BD">
            <w:pPr>
              <w:pStyle w:val="TableText"/>
              <w:rPr>
                <w:rFonts w:ascii="Cambria" w:hAnsi="Cambria"/>
              </w:rPr>
            </w:pPr>
            <w:r>
              <w:rPr>
                <w:rFonts w:ascii="Cambria" w:hAnsi="Cambria"/>
              </w:rPr>
              <w:t>International Plant Protection Convention</w:t>
            </w:r>
          </w:p>
        </w:tc>
      </w:tr>
      <w:tr w:rsidR="008163B6" w14:paraId="68718963" w14:textId="77777777">
        <w:trPr>
          <w:trHeight w:val="414"/>
        </w:trPr>
        <w:tc>
          <w:tcPr>
            <w:tcW w:w="1335" w:type="pct"/>
          </w:tcPr>
          <w:p w14:paraId="141E7F2D" w14:textId="77777777" w:rsidR="008163B6" w:rsidRDefault="00F709BD">
            <w:pPr>
              <w:pStyle w:val="TableText"/>
              <w:rPr>
                <w:rFonts w:ascii="Cambria" w:hAnsi="Cambria"/>
              </w:rPr>
            </w:pPr>
            <w:r>
              <w:rPr>
                <w:rFonts w:ascii="Cambria" w:hAnsi="Cambria"/>
              </w:rPr>
              <w:t>IRA</w:t>
            </w:r>
          </w:p>
        </w:tc>
        <w:tc>
          <w:tcPr>
            <w:tcW w:w="3665" w:type="pct"/>
          </w:tcPr>
          <w:p w14:paraId="7101ADB2" w14:textId="77777777" w:rsidR="008163B6" w:rsidRDefault="00F709BD">
            <w:pPr>
              <w:pStyle w:val="TableText"/>
              <w:rPr>
                <w:rFonts w:ascii="Cambria" w:hAnsi="Cambria"/>
              </w:rPr>
            </w:pPr>
            <w:r>
              <w:rPr>
                <w:rFonts w:ascii="Cambria" w:hAnsi="Cambria"/>
              </w:rPr>
              <w:t>Import risk analysis</w:t>
            </w:r>
          </w:p>
        </w:tc>
      </w:tr>
      <w:tr w:rsidR="008163B6" w14:paraId="4683D63F" w14:textId="77777777">
        <w:trPr>
          <w:trHeight w:val="414"/>
        </w:trPr>
        <w:tc>
          <w:tcPr>
            <w:tcW w:w="1335" w:type="pct"/>
          </w:tcPr>
          <w:p w14:paraId="66B08164" w14:textId="77777777" w:rsidR="008163B6" w:rsidRDefault="00F709BD">
            <w:pPr>
              <w:pStyle w:val="TableText"/>
              <w:rPr>
                <w:rFonts w:ascii="Cambria" w:hAnsi="Cambria"/>
              </w:rPr>
            </w:pPr>
            <w:r>
              <w:rPr>
                <w:rFonts w:ascii="Cambria" w:hAnsi="Cambria"/>
              </w:rPr>
              <w:t>ISPM</w:t>
            </w:r>
          </w:p>
        </w:tc>
        <w:tc>
          <w:tcPr>
            <w:tcW w:w="3665" w:type="pct"/>
          </w:tcPr>
          <w:p w14:paraId="1C60BEC9" w14:textId="77777777" w:rsidR="008163B6" w:rsidRDefault="00F709BD">
            <w:pPr>
              <w:pStyle w:val="TableText"/>
              <w:rPr>
                <w:rFonts w:ascii="Cambria" w:hAnsi="Cambria"/>
              </w:rPr>
            </w:pPr>
            <w:r>
              <w:rPr>
                <w:rFonts w:ascii="Cambria" w:hAnsi="Cambria"/>
              </w:rPr>
              <w:t>International Standard For Phytosanitary Measures</w:t>
            </w:r>
          </w:p>
        </w:tc>
      </w:tr>
      <w:tr w:rsidR="008163B6" w14:paraId="399F4800" w14:textId="77777777">
        <w:trPr>
          <w:trHeight w:val="414"/>
        </w:trPr>
        <w:tc>
          <w:tcPr>
            <w:tcW w:w="1335" w:type="pct"/>
          </w:tcPr>
          <w:p w14:paraId="4ABF15B0" w14:textId="77777777" w:rsidR="008163B6" w:rsidRDefault="00F709BD">
            <w:pPr>
              <w:pStyle w:val="TableText"/>
              <w:rPr>
                <w:rFonts w:ascii="Cambria" w:hAnsi="Cambria"/>
              </w:rPr>
            </w:pPr>
            <w:r>
              <w:rPr>
                <w:rFonts w:ascii="Cambria" w:hAnsi="Cambria"/>
              </w:rPr>
              <w:t>ISTA</w:t>
            </w:r>
          </w:p>
        </w:tc>
        <w:tc>
          <w:tcPr>
            <w:tcW w:w="3665" w:type="pct"/>
          </w:tcPr>
          <w:p w14:paraId="1FAFE2DF" w14:textId="77777777" w:rsidR="008163B6" w:rsidRDefault="00F709BD">
            <w:pPr>
              <w:pStyle w:val="TableText"/>
              <w:rPr>
                <w:rFonts w:ascii="Cambria" w:hAnsi="Cambria"/>
              </w:rPr>
            </w:pPr>
            <w:r>
              <w:rPr>
                <w:rFonts w:ascii="Cambria" w:hAnsi="Cambria"/>
              </w:rPr>
              <w:t>International Seed Testing Association</w:t>
            </w:r>
          </w:p>
        </w:tc>
      </w:tr>
      <w:tr w:rsidR="008163B6" w14:paraId="7026D803" w14:textId="77777777">
        <w:trPr>
          <w:trHeight w:val="414"/>
        </w:trPr>
        <w:tc>
          <w:tcPr>
            <w:tcW w:w="1335" w:type="pct"/>
          </w:tcPr>
          <w:p w14:paraId="2E99EA50" w14:textId="77777777" w:rsidR="008163B6" w:rsidRDefault="00F709BD">
            <w:pPr>
              <w:pStyle w:val="TableText"/>
              <w:rPr>
                <w:rFonts w:ascii="Cambria" w:hAnsi="Cambria"/>
              </w:rPr>
            </w:pPr>
            <w:r>
              <w:rPr>
                <w:rFonts w:ascii="Cambria" w:hAnsi="Cambria"/>
              </w:rPr>
              <w:t>CGMMV</w:t>
            </w:r>
          </w:p>
        </w:tc>
        <w:tc>
          <w:tcPr>
            <w:tcW w:w="3665" w:type="pct"/>
          </w:tcPr>
          <w:p w14:paraId="61BECF62" w14:textId="77777777" w:rsidR="008163B6" w:rsidRDefault="00F709BD">
            <w:pPr>
              <w:pStyle w:val="TableText"/>
              <w:rPr>
                <w:rFonts w:ascii="Cambria" w:hAnsi="Cambria"/>
                <w:i/>
              </w:rPr>
            </w:pPr>
            <w:r>
              <w:rPr>
                <w:rFonts w:ascii="Cambria" w:hAnsi="Cambria"/>
                <w:i/>
              </w:rPr>
              <w:t>Cucumber green mottle mosaic virus</w:t>
            </w:r>
          </w:p>
        </w:tc>
      </w:tr>
      <w:tr w:rsidR="008163B6" w14:paraId="25033C2B" w14:textId="77777777">
        <w:trPr>
          <w:trHeight w:val="414"/>
        </w:trPr>
        <w:tc>
          <w:tcPr>
            <w:tcW w:w="1335" w:type="pct"/>
          </w:tcPr>
          <w:p w14:paraId="1D39DD22" w14:textId="77777777" w:rsidR="008163B6" w:rsidRDefault="00F709BD">
            <w:pPr>
              <w:pStyle w:val="TableText"/>
              <w:rPr>
                <w:rFonts w:ascii="Cambria" w:hAnsi="Cambria"/>
              </w:rPr>
            </w:pPr>
            <w:r>
              <w:rPr>
                <w:rFonts w:ascii="Cambria" w:hAnsi="Cambria"/>
              </w:rPr>
              <w:t>NSW</w:t>
            </w:r>
          </w:p>
        </w:tc>
        <w:tc>
          <w:tcPr>
            <w:tcW w:w="3665" w:type="pct"/>
          </w:tcPr>
          <w:p w14:paraId="4FE52682" w14:textId="77777777" w:rsidR="008163B6" w:rsidRDefault="00F709BD">
            <w:pPr>
              <w:pStyle w:val="TableText"/>
              <w:rPr>
                <w:rFonts w:ascii="Cambria" w:hAnsi="Cambria"/>
              </w:rPr>
            </w:pPr>
            <w:r>
              <w:rPr>
                <w:rFonts w:ascii="Cambria" w:hAnsi="Cambria"/>
              </w:rPr>
              <w:t>New South Wales</w:t>
            </w:r>
          </w:p>
        </w:tc>
      </w:tr>
      <w:tr w:rsidR="008163B6" w14:paraId="068226DD" w14:textId="77777777">
        <w:trPr>
          <w:trHeight w:val="414"/>
        </w:trPr>
        <w:tc>
          <w:tcPr>
            <w:tcW w:w="1335" w:type="pct"/>
          </w:tcPr>
          <w:p w14:paraId="08280987" w14:textId="77777777" w:rsidR="008163B6" w:rsidRDefault="00F709BD">
            <w:pPr>
              <w:pStyle w:val="TableText"/>
              <w:rPr>
                <w:rFonts w:ascii="Cambria" w:hAnsi="Cambria"/>
              </w:rPr>
            </w:pPr>
            <w:r>
              <w:rPr>
                <w:rFonts w:ascii="Cambria" w:hAnsi="Cambria"/>
              </w:rPr>
              <w:t>NPPO</w:t>
            </w:r>
          </w:p>
        </w:tc>
        <w:tc>
          <w:tcPr>
            <w:tcW w:w="3665" w:type="pct"/>
          </w:tcPr>
          <w:p w14:paraId="03023399" w14:textId="77777777" w:rsidR="008163B6" w:rsidRDefault="00F709BD">
            <w:pPr>
              <w:pStyle w:val="TableText"/>
              <w:rPr>
                <w:rFonts w:ascii="Cambria" w:hAnsi="Cambria"/>
              </w:rPr>
            </w:pPr>
            <w:r>
              <w:rPr>
                <w:rFonts w:ascii="Cambria" w:hAnsi="Cambria"/>
              </w:rPr>
              <w:t>National Plant Protection Organisation</w:t>
            </w:r>
          </w:p>
        </w:tc>
      </w:tr>
      <w:tr w:rsidR="008163B6" w14:paraId="2D0DD4EF" w14:textId="77777777">
        <w:trPr>
          <w:trHeight w:val="414"/>
        </w:trPr>
        <w:tc>
          <w:tcPr>
            <w:tcW w:w="1335" w:type="pct"/>
          </w:tcPr>
          <w:p w14:paraId="4A199B31" w14:textId="77777777" w:rsidR="008163B6" w:rsidRDefault="00F709BD">
            <w:pPr>
              <w:pStyle w:val="TableText"/>
              <w:rPr>
                <w:rFonts w:ascii="Cambria" w:hAnsi="Cambria"/>
              </w:rPr>
            </w:pPr>
            <w:r>
              <w:rPr>
                <w:rFonts w:ascii="Cambria" w:hAnsi="Cambria"/>
              </w:rPr>
              <w:t>NT</w:t>
            </w:r>
          </w:p>
        </w:tc>
        <w:tc>
          <w:tcPr>
            <w:tcW w:w="3665" w:type="pct"/>
          </w:tcPr>
          <w:p w14:paraId="53638C65" w14:textId="77777777" w:rsidR="008163B6" w:rsidRDefault="00F709BD">
            <w:pPr>
              <w:pStyle w:val="TableText"/>
              <w:rPr>
                <w:rFonts w:ascii="Cambria" w:hAnsi="Cambria"/>
              </w:rPr>
            </w:pPr>
            <w:r>
              <w:rPr>
                <w:rFonts w:ascii="Cambria" w:hAnsi="Cambria"/>
              </w:rPr>
              <w:t>Northern Territory</w:t>
            </w:r>
          </w:p>
        </w:tc>
      </w:tr>
      <w:tr w:rsidR="008163B6" w14:paraId="4265AC86" w14:textId="77777777">
        <w:trPr>
          <w:trHeight w:val="414"/>
        </w:trPr>
        <w:tc>
          <w:tcPr>
            <w:tcW w:w="1335" w:type="pct"/>
          </w:tcPr>
          <w:p w14:paraId="06AEB14A" w14:textId="77777777" w:rsidR="008163B6" w:rsidRDefault="00F709BD">
            <w:pPr>
              <w:pStyle w:val="TableText"/>
              <w:rPr>
                <w:rFonts w:ascii="Cambria" w:hAnsi="Cambria"/>
              </w:rPr>
            </w:pPr>
            <w:r>
              <w:rPr>
                <w:rFonts w:ascii="Cambria" w:hAnsi="Cambria"/>
              </w:rPr>
              <w:t>PEQ</w:t>
            </w:r>
          </w:p>
        </w:tc>
        <w:tc>
          <w:tcPr>
            <w:tcW w:w="3665" w:type="pct"/>
          </w:tcPr>
          <w:p w14:paraId="76D41CE6" w14:textId="77777777" w:rsidR="008163B6" w:rsidRDefault="00F709BD">
            <w:pPr>
              <w:pStyle w:val="TableText"/>
              <w:rPr>
                <w:rFonts w:ascii="Cambria" w:hAnsi="Cambria"/>
              </w:rPr>
            </w:pPr>
            <w:r>
              <w:rPr>
                <w:rFonts w:ascii="Cambria" w:hAnsi="Cambria"/>
              </w:rPr>
              <w:t>Post-entry quarantine</w:t>
            </w:r>
          </w:p>
        </w:tc>
      </w:tr>
      <w:tr w:rsidR="008163B6" w14:paraId="1CDFA61E" w14:textId="77777777">
        <w:trPr>
          <w:trHeight w:val="414"/>
        </w:trPr>
        <w:tc>
          <w:tcPr>
            <w:tcW w:w="1335" w:type="pct"/>
          </w:tcPr>
          <w:p w14:paraId="51986C04" w14:textId="77777777" w:rsidR="008163B6" w:rsidRDefault="00F709BD">
            <w:pPr>
              <w:pStyle w:val="TableText"/>
              <w:rPr>
                <w:rFonts w:ascii="Cambria" w:hAnsi="Cambria"/>
              </w:rPr>
            </w:pPr>
            <w:r>
              <w:rPr>
                <w:rFonts w:ascii="Cambria" w:hAnsi="Cambria"/>
              </w:rPr>
              <w:t>PCR</w:t>
            </w:r>
          </w:p>
        </w:tc>
        <w:tc>
          <w:tcPr>
            <w:tcW w:w="3665" w:type="pct"/>
          </w:tcPr>
          <w:p w14:paraId="5F74BF66" w14:textId="77777777" w:rsidR="008163B6" w:rsidRDefault="00F709BD">
            <w:pPr>
              <w:pStyle w:val="TableText"/>
              <w:rPr>
                <w:rFonts w:ascii="Cambria" w:hAnsi="Cambria"/>
              </w:rPr>
            </w:pPr>
            <w:r>
              <w:rPr>
                <w:rFonts w:ascii="Cambria" w:hAnsi="Cambria"/>
              </w:rPr>
              <w:t>Polymerase Chain Reaction</w:t>
            </w:r>
          </w:p>
        </w:tc>
      </w:tr>
      <w:tr w:rsidR="008163B6" w14:paraId="29137844" w14:textId="77777777">
        <w:trPr>
          <w:trHeight w:val="414"/>
        </w:trPr>
        <w:tc>
          <w:tcPr>
            <w:tcW w:w="1335" w:type="pct"/>
          </w:tcPr>
          <w:p w14:paraId="4AF47C41" w14:textId="77777777" w:rsidR="008163B6" w:rsidRDefault="00F709BD">
            <w:pPr>
              <w:pStyle w:val="TableText"/>
              <w:rPr>
                <w:rFonts w:ascii="Cambria" w:hAnsi="Cambria"/>
              </w:rPr>
            </w:pPr>
            <w:r>
              <w:rPr>
                <w:rFonts w:ascii="Cambria" w:hAnsi="Cambria"/>
              </w:rPr>
              <w:t>PRA</w:t>
            </w:r>
          </w:p>
        </w:tc>
        <w:tc>
          <w:tcPr>
            <w:tcW w:w="3665" w:type="pct"/>
          </w:tcPr>
          <w:p w14:paraId="204F9BA9" w14:textId="77777777" w:rsidR="008163B6" w:rsidRDefault="00F709BD">
            <w:pPr>
              <w:pStyle w:val="TableText"/>
              <w:rPr>
                <w:rFonts w:ascii="Cambria" w:hAnsi="Cambria"/>
              </w:rPr>
            </w:pPr>
            <w:r>
              <w:rPr>
                <w:rFonts w:ascii="Cambria" w:hAnsi="Cambria"/>
              </w:rPr>
              <w:t>Pest risk analysis</w:t>
            </w:r>
          </w:p>
        </w:tc>
      </w:tr>
      <w:tr w:rsidR="008163B6" w14:paraId="6344EE06" w14:textId="77777777">
        <w:trPr>
          <w:trHeight w:val="414"/>
        </w:trPr>
        <w:tc>
          <w:tcPr>
            <w:tcW w:w="1335" w:type="pct"/>
          </w:tcPr>
          <w:p w14:paraId="6AF98252" w14:textId="77777777" w:rsidR="008163B6" w:rsidRDefault="00F709BD">
            <w:pPr>
              <w:pStyle w:val="TableText"/>
              <w:rPr>
                <w:rFonts w:ascii="Cambria" w:hAnsi="Cambria"/>
              </w:rPr>
            </w:pPr>
            <w:r>
              <w:rPr>
                <w:rFonts w:ascii="Cambria" w:hAnsi="Cambria"/>
              </w:rPr>
              <w:t>Qld</w:t>
            </w:r>
          </w:p>
        </w:tc>
        <w:tc>
          <w:tcPr>
            <w:tcW w:w="3665" w:type="pct"/>
          </w:tcPr>
          <w:p w14:paraId="010977C8" w14:textId="77777777" w:rsidR="008163B6" w:rsidRDefault="00F709BD">
            <w:pPr>
              <w:pStyle w:val="TableText"/>
              <w:rPr>
                <w:rFonts w:ascii="Cambria" w:hAnsi="Cambria"/>
              </w:rPr>
            </w:pPr>
            <w:r>
              <w:rPr>
                <w:rFonts w:ascii="Cambria" w:hAnsi="Cambria"/>
              </w:rPr>
              <w:t>Queensland</w:t>
            </w:r>
          </w:p>
        </w:tc>
      </w:tr>
      <w:tr w:rsidR="008163B6" w14:paraId="6542EE21" w14:textId="77777777">
        <w:trPr>
          <w:trHeight w:val="414"/>
        </w:trPr>
        <w:tc>
          <w:tcPr>
            <w:tcW w:w="1335" w:type="pct"/>
          </w:tcPr>
          <w:p w14:paraId="666C4920" w14:textId="77777777" w:rsidR="008163B6" w:rsidRDefault="00F709BD">
            <w:pPr>
              <w:pStyle w:val="TableText"/>
              <w:rPr>
                <w:rFonts w:ascii="Cambria" w:hAnsi="Cambria"/>
              </w:rPr>
            </w:pPr>
            <w:r>
              <w:rPr>
                <w:rFonts w:ascii="Cambria" w:hAnsi="Cambria"/>
              </w:rPr>
              <w:t>SA</w:t>
            </w:r>
          </w:p>
        </w:tc>
        <w:tc>
          <w:tcPr>
            <w:tcW w:w="3665" w:type="pct"/>
          </w:tcPr>
          <w:p w14:paraId="633E39F9" w14:textId="77777777" w:rsidR="008163B6" w:rsidRDefault="00F709BD">
            <w:pPr>
              <w:pStyle w:val="TableText"/>
              <w:rPr>
                <w:rFonts w:ascii="Cambria" w:hAnsi="Cambria"/>
              </w:rPr>
            </w:pPr>
            <w:r>
              <w:rPr>
                <w:rFonts w:ascii="Cambria" w:hAnsi="Cambria"/>
              </w:rPr>
              <w:t>South Australia</w:t>
            </w:r>
          </w:p>
        </w:tc>
      </w:tr>
      <w:tr w:rsidR="008163B6" w14:paraId="3799003C" w14:textId="77777777">
        <w:trPr>
          <w:trHeight w:val="414"/>
        </w:trPr>
        <w:tc>
          <w:tcPr>
            <w:tcW w:w="1335" w:type="pct"/>
          </w:tcPr>
          <w:p w14:paraId="53B65EAC" w14:textId="77777777" w:rsidR="008163B6" w:rsidRDefault="00F709BD">
            <w:pPr>
              <w:pStyle w:val="TableText"/>
              <w:rPr>
                <w:rFonts w:ascii="Cambria" w:hAnsi="Cambria"/>
              </w:rPr>
            </w:pPr>
            <w:r>
              <w:rPr>
                <w:rFonts w:ascii="Cambria" w:hAnsi="Cambria"/>
              </w:rPr>
              <w:t>SEM</w:t>
            </w:r>
          </w:p>
        </w:tc>
        <w:tc>
          <w:tcPr>
            <w:tcW w:w="3665" w:type="pct"/>
          </w:tcPr>
          <w:p w14:paraId="165AE1E6" w14:textId="77777777" w:rsidR="008163B6" w:rsidRDefault="00F709BD">
            <w:pPr>
              <w:pStyle w:val="TableText"/>
              <w:rPr>
                <w:rFonts w:ascii="Cambria" w:hAnsi="Cambria"/>
              </w:rPr>
            </w:pPr>
            <w:r>
              <w:rPr>
                <w:rFonts w:ascii="Cambria" w:hAnsi="Cambria"/>
              </w:rPr>
              <w:t>Scanning Electron Microscopy</w:t>
            </w:r>
          </w:p>
        </w:tc>
      </w:tr>
      <w:tr w:rsidR="008163B6" w14:paraId="29513540" w14:textId="77777777">
        <w:trPr>
          <w:trHeight w:val="414"/>
        </w:trPr>
        <w:tc>
          <w:tcPr>
            <w:tcW w:w="1335" w:type="pct"/>
          </w:tcPr>
          <w:p w14:paraId="03AAC2CF" w14:textId="77777777" w:rsidR="008163B6" w:rsidRDefault="00F709BD">
            <w:pPr>
              <w:pStyle w:val="TableText"/>
              <w:rPr>
                <w:rFonts w:ascii="Cambria" w:hAnsi="Cambria"/>
              </w:rPr>
            </w:pPr>
            <w:r>
              <w:rPr>
                <w:rFonts w:ascii="Cambria" w:hAnsi="Cambria"/>
              </w:rPr>
              <w:t>SPS</w:t>
            </w:r>
          </w:p>
        </w:tc>
        <w:tc>
          <w:tcPr>
            <w:tcW w:w="3665" w:type="pct"/>
          </w:tcPr>
          <w:p w14:paraId="49003DD7" w14:textId="77777777" w:rsidR="008163B6" w:rsidRDefault="00F709BD">
            <w:pPr>
              <w:pStyle w:val="TableText"/>
              <w:rPr>
                <w:rFonts w:ascii="Cambria" w:hAnsi="Cambria"/>
              </w:rPr>
            </w:pPr>
            <w:r>
              <w:rPr>
                <w:rFonts w:ascii="Cambria" w:hAnsi="Cambria"/>
              </w:rPr>
              <w:t>Sanitary and Phytosanitary</w:t>
            </w:r>
          </w:p>
        </w:tc>
      </w:tr>
      <w:tr w:rsidR="008163B6" w14:paraId="0D9EA2EB" w14:textId="77777777">
        <w:trPr>
          <w:trHeight w:val="414"/>
        </w:trPr>
        <w:tc>
          <w:tcPr>
            <w:tcW w:w="1335" w:type="pct"/>
          </w:tcPr>
          <w:p w14:paraId="2B74B16B" w14:textId="77777777" w:rsidR="008163B6" w:rsidRDefault="00F709BD">
            <w:pPr>
              <w:pStyle w:val="TableText"/>
              <w:rPr>
                <w:rFonts w:ascii="Cambria" w:hAnsi="Cambria"/>
              </w:rPr>
            </w:pPr>
            <w:r>
              <w:rPr>
                <w:rFonts w:ascii="Cambria" w:hAnsi="Cambria"/>
              </w:rPr>
              <w:t>TAS</w:t>
            </w:r>
          </w:p>
        </w:tc>
        <w:tc>
          <w:tcPr>
            <w:tcW w:w="3665" w:type="pct"/>
          </w:tcPr>
          <w:p w14:paraId="36C70F31" w14:textId="77777777" w:rsidR="008163B6" w:rsidRDefault="00F709BD">
            <w:pPr>
              <w:pStyle w:val="TableText"/>
              <w:rPr>
                <w:rFonts w:ascii="Cambria" w:hAnsi="Cambria"/>
              </w:rPr>
            </w:pPr>
            <w:r>
              <w:rPr>
                <w:rFonts w:ascii="Cambria" w:hAnsi="Cambria"/>
              </w:rPr>
              <w:t>Tasmania</w:t>
            </w:r>
          </w:p>
        </w:tc>
      </w:tr>
      <w:tr w:rsidR="008163B6" w14:paraId="22375E24" w14:textId="77777777">
        <w:trPr>
          <w:trHeight w:val="414"/>
        </w:trPr>
        <w:tc>
          <w:tcPr>
            <w:tcW w:w="1335" w:type="pct"/>
          </w:tcPr>
          <w:p w14:paraId="19DCDC3A" w14:textId="77777777" w:rsidR="008163B6" w:rsidRDefault="00F709BD">
            <w:pPr>
              <w:pStyle w:val="TableText"/>
              <w:rPr>
                <w:rFonts w:ascii="Cambria" w:hAnsi="Cambria"/>
              </w:rPr>
            </w:pPr>
            <w:r>
              <w:rPr>
                <w:rFonts w:ascii="Cambria" w:hAnsi="Cambria"/>
              </w:rPr>
              <w:t>TEM</w:t>
            </w:r>
          </w:p>
        </w:tc>
        <w:tc>
          <w:tcPr>
            <w:tcW w:w="3665" w:type="pct"/>
          </w:tcPr>
          <w:p w14:paraId="48F96227" w14:textId="77777777" w:rsidR="008163B6" w:rsidRDefault="00F709BD">
            <w:pPr>
              <w:pStyle w:val="TableText"/>
              <w:rPr>
                <w:rFonts w:ascii="Cambria" w:hAnsi="Cambria"/>
              </w:rPr>
            </w:pPr>
            <w:r>
              <w:rPr>
                <w:rFonts w:ascii="Cambria" w:hAnsi="Cambria"/>
              </w:rPr>
              <w:t>Transmission Electron Microscopy</w:t>
            </w:r>
          </w:p>
        </w:tc>
      </w:tr>
      <w:tr w:rsidR="008163B6" w14:paraId="106D18B6" w14:textId="77777777">
        <w:trPr>
          <w:trHeight w:val="414"/>
        </w:trPr>
        <w:tc>
          <w:tcPr>
            <w:tcW w:w="1335" w:type="pct"/>
          </w:tcPr>
          <w:p w14:paraId="41235B1A" w14:textId="77777777" w:rsidR="008163B6" w:rsidRDefault="00F709BD">
            <w:pPr>
              <w:pStyle w:val="TableText"/>
              <w:rPr>
                <w:rFonts w:ascii="Cambria" w:hAnsi="Cambria"/>
              </w:rPr>
            </w:pPr>
            <w:r>
              <w:rPr>
                <w:rFonts w:ascii="Cambria" w:hAnsi="Cambria"/>
              </w:rPr>
              <w:t>VIC</w:t>
            </w:r>
          </w:p>
        </w:tc>
        <w:tc>
          <w:tcPr>
            <w:tcW w:w="3665" w:type="pct"/>
          </w:tcPr>
          <w:p w14:paraId="046ACDFD" w14:textId="77777777" w:rsidR="008163B6" w:rsidRDefault="00F709BD">
            <w:pPr>
              <w:pStyle w:val="TableText"/>
              <w:rPr>
                <w:rFonts w:ascii="Cambria" w:hAnsi="Cambria"/>
              </w:rPr>
            </w:pPr>
            <w:r>
              <w:rPr>
                <w:rFonts w:ascii="Cambria" w:hAnsi="Cambria"/>
              </w:rPr>
              <w:t>Victoria</w:t>
            </w:r>
          </w:p>
        </w:tc>
      </w:tr>
      <w:tr w:rsidR="008163B6" w14:paraId="5FA2B9D1" w14:textId="77777777">
        <w:trPr>
          <w:trHeight w:val="414"/>
        </w:trPr>
        <w:tc>
          <w:tcPr>
            <w:tcW w:w="1335" w:type="pct"/>
          </w:tcPr>
          <w:p w14:paraId="4459C1A1" w14:textId="77777777" w:rsidR="008163B6" w:rsidRDefault="00F709BD">
            <w:pPr>
              <w:pStyle w:val="TableText"/>
              <w:rPr>
                <w:rFonts w:ascii="Cambria" w:hAnsi="Cambria"/>
              </w:rPr>
            </w:pPr>
            <w:r>
              <w:rPr>
                <w:rFonts w:ascii="Cambria" w:hAnsi="Cambria"/>
              </w:rPr>
              <w:t>WA</w:t>
            </w:r>
          </w:p>
        </w:tc>
        <w:tc>
          <w:tcPr>
            <w:tcW w:w="3665" w:type="pct"/>
          </w:tcPr>
          <w:p w14:paraId="42660A37" w14:textId="77777777" w:rsidR="008163B6" w:rsidRDefault="00F709BD">
            <w:pPr>
              <w:pStyle w:val="TableText"/>
              <w:rPr>
                <w:rFonts w:ascii="Cambria" w:hAnsi="Cambria"/>
              </w:rPr>
            </w:pPr>
            <w:r>
              <w:rPr>
                <w:rFonts w:ascii="Cambria" w:hAnsi="Cambria"/>
              </w:rPr>
              <w:t>Western Australia</w:t>
            </w:r>
          </w:p>
        </w:tc>
      </w:tr>
      <w:tr w:rsidR="008163B6" w14:paraId="559CECB4" w14:textId="77777777">
        <w:trPr>
          <w:trHeight w:val="414"/>
        </w:trPr>
        <w:tc>
          <w:tcPr>
            <w:tcW w:w="1335" w:type="pct"/>
          </w:tcPr>
          <w:p w14:paraId="00BF7EF7" w14:textId="77777777" w:rsidR="008163B6" w:rsidRDefault="00F709BD">
            <w:pPr>
              <w:pStyle w:val="TableText"/>
              <w:rPr>
                <w:rFonts w:ascii="Cambria" w:hAnsi="Cambria"/>
              </w:rPr>
            </w:pPr>
            <w:r>
              <w:rPr>
                <w:rFonts w:ascii="Cambria" w:hAnsi="Cambria"/>
              </w:rPr>
              <w:t>WTO</w:t>
            </w:r>
          </w:p>
        </w:tc>
        <w:tc>
          <w:tcPr>
            <w:tcW w:w="3665" w:type="pct"/>
          </w:tcPr>
          <w:p w14:paraId="4D767CC2" w14:textId="77777777" w:rsidR="008163B6" w:rsidRDefault="00F709BD">
            <w:pPr>
              <w:pStyle w:val="TableText"/>
              <w:rPr>
                <w:rFonts w:ascii="Cambria" w:hAnsi="Cambria"/>
              </w:rPr>
            </w:pPr>
            <w:r>
              <w:rPr>
                <w:rFonts w:ascii="Cambria" w:hAnsi="Cambria"/>
              </w:rPr>
              <w:t>World Trade Organization</w:t>
            </w:r>
          </w:p>
        </w:tc>
      </w:tr>
    </w:tbl>
    <w:p w14:paraId="00318C9D" w14:textId="77777777" w:rsidR="008163B6" w:rsidRDefault="008163B6"/>
    <w:p w14:paraId="07EC00A3" w14:textId="77777777" w:rsidR="008163B6" w:rsidRDefault="008163B6">
      <w:pPr>
        <w:sectPr w:rsidR="008163B6">
          <w:headerReference w:type="first" r:id="rId28"/>
          <w:pgSz w:w="11906" w:h="16838"/>
          <w:pgMar w:top="1418" w:right="1418" w:bottom="1418" w:left="1418" w:header="567" w:footer="283" w:gutter="0"/>
          <w:pgNumType w:fmt="lowerRoman"/>
          <w:cols w:space="708"/>
          <w:titlePg/>
          <w:docGrid w:linePitch="360"/>
        </w:sectPr>
      </w:pPr>
    </w:p>
    <w:p w14:paraId="03E11708" w14:textId="77777777" w:rsidR="008163B6" w:rsidRDefault="00F709BD">
      <w:pPr>
        <w:pStyle w:val="Heading1nonumbers"/>
        <w:spacing w:before="0"/>
        <w:rPr>
          <w:lang w:val="en-AU"/>
        </w:rPr>
      </w:pPr>
      <w:bookmarkStart w:id="81" w:name="_Toc392488734"/>
      <w:bookmarkStart w:id="82" w:name="_Toc447540770"/>
      <w:r>
        <w:rPr>
          <w:lang w:val="en-AU"/>
        </w:rPr>
        <w:t>Summary</w:t>
      </w:r>
      <w:bookmarkEnd w:id="81"/>
      <w:bookmarkEnd w:id="82"/>
    </w:p>
    <w:p w14:paraId="6D3D3708" w14:textId="55DF70BF" w:rsidR="008163B6" w:rsidRDefault="00F709BD" w:rsidP="004F03E7">
      <w:pPr>
        <w:spacing w:before="120" w:after="120" w:line="276" w:lineRule="auto"/>
        <w:rPr>
          <w:rFonts w:ascii="Cambria" w:hAnsi="Cambria"/>
          <w:bCs/>
        </w:rPr>
      </w:pPr>
      <w:r>
        <w:rPr>
          <w:rFonts w:ascii="Cambria" w:hAnsi="Cambria"/>
        </w:rPr>
        <w:t xml:space="preserve">The Australian Government Department of Agriculture and Water Resources (the department) initiated this pathogen-based pest risk analysis (PRA) in response to the introduction of emergency measures against </w:t>
      </w:r>
      <w:r>
        <w:rPr>
          <w:rFonts w:ascii="Cambria" w:hAnsi="Cambria"/>
          <w:i/>
        </w:rPr>
        <w:t>Cucumber green mottle mosaic virus</w:t>
      </w:r>
      <w:r>
        <w:rPr>
          <w:rFonts w:ascii="Cambria" w:hAnsi="Cambria"/>
        </w:rPr>
        <w:t xml:space="preserve"> </w:t>
      </w:r>
      <w:r>
        <w:rPr>
          <w:rFonts w:ascii="Cambria" w:hAnsi="Cambria"/>
          <w:iCs/>
          <w:lang w:eastAsia="en-AU"/>
        </w:rPr>
        <w:t xml:space="preserve">(CGMMV). The virus was detected in </w:t>
      </w:r>
      <w:r w:rsidR="00306DA7">
        <w:rPr>
          <w:rFonts w:ascii="Cambria" w:hAnsi="Cambria"/>
          <w:iCs/>
          <w:lang w:eastAsia="en-AU"/>
        </w:rPr>
        <w:t xml:space="preserve">September 2014 in </w:t>
      </w:r>
      <w:r>
        <w:rPr>
          <w:rFonts w:ascii="Cambria" w:hAnsi="Cambria"/>
          <w:iCs/>
          <w:lang w:eastAsia="en-AU"/>
        </w:rPr>
        <w:t xml:space="preserve">the </w:t>
      </w:r>
      <w:r>
        <w:rPr>
          <w:rFonts w:ascii="Cambria" w:hAnsi="Cambria" w:cs="Arial"/>
        </w:rPr>
        <w:t>Northern Territory, Australia</w:t>
      </w:r>
      <w:r w:rsidR="00306DA7">
        <w:rPr>
          <w:rFonts w:ascii="Cambria" w:hAnsi="Cambria" w:cs="Arial"/>
        </w:rPr>
        <w:t xml:space="preserve"> </w:t>
      </w:r>
      <w:r w:rsidR="00875CF5">
        <w:rPr>
          <w:rFonts w:ascii="Cambria" w:hAnsi="Cambria" w:cs="Arial"/>
        </w:rPr>
        <w:t xml:space="preserve">and </w:t>
      </w:r>
      <w:r w:rsidR="00875CF5">
        <w:rPr>
          <w:rFonts w:ascii="Cambria" w:hAnsi="Cambria"/>
          <w:color w:val="000000"/>
        </w:rPr>
        <w:t>declared a quarantine pathogen</w:t>
      </w:r>
      <w:r w:rsidR="00BC2587">
        <w:rPr>
          <w:rFonts w:ascii="Cambria" w:hAnsi="Cambria"/>
          <w:color w:val="000000"/>
        </w:rPr>
        <w:t>;</w:t>
      </w:r>
      <w:r w:rsidR="00875CF5">
        <w:rPr>
          <w:rFonts w:ascii="Cambria" w:hAnsi="Cambria"/>
          <w:color w:val="000000"/>
        </w:rPr>
        <w:t xml:space="preserve"> and delimiting surveys were initiated for all cucurbit growing areas in the Northern Territory. </w:t>
      </w:r>
      <w:r w:rsidR="00875CF5">
        <w:rPr>
          <w:rFonts w:ascii="Cambria" w:hAnsi="Cambria" w:cstheme="minorHAnsi"/>
        </w:rPr>
        <w:t xml:space="preserve">Australia introduced </w:t>
      </w:r>
      <w:r w:rsidR="00306DA7">
        <w:rPr>
          <w:rFonts w:ascii="Cambria" w:hAnsi="Cambria" w:cs="Arial"/>
        </w:rPr>
        <w:t xml:space="preserve">emergency measures </w:t>
      </w:r>
      <w:r w:rsidR="0093657E">
        <w:rPr>
          <w:rFonts w:ascii="Cambria" w:hAnsi="Cambria" w:cs="Arial"/>
        </w:rPr>
        <w:t>i</w:t>
      </w:r>
      <w:r>
        <w:rPr>
          <w:rFonts w:ascii="Cambria" w:hAnsi="Cambria" w:cs="Arial"/>
        </w:rPr>
        <w:t xml:space="preserve">n October 2014 to mitigate the risk of further introduction of CGMMV into Australia. </w:t>
      </w:r>
      <w:r w:rsidR="008B6998">
        <w:rPr>
          <w:rFonts w:ascii="Cambria" w:hAnsi="Cambria"/>
          <w:color w:val="000000"/>
        </w:rPr>
        <w:t xml:space="preserve">In April 2015, </w:t>
      </w:r>
      <w:r w:rsidR="008B6998">
        <w:rPr>
          <w:rFonts w:ascii="Cambria" w:hAnsi="Cambria"/>
        </w:rPr>
        <w:t>CGMMV</w:t>
      </w:r>
      <w:r w:rsidR="008B6998" w:rsidRPr="00875CF5">
        <w:rPr>
          <w:rFonts w:ascii="Cambria" w:hAnsi="Cambria" w:cstheme="minorHAnsi"/>
        </w:rPr>
        <w:t xml:space="preserve"> was found on </w:t>
      </w:r>
      <w:r w:rsidR="008B6998">
        <w:rPr>
          <w:rFonts w:ascii="Cambria" w:hAnsi="Cambria" w:cstheme="minorHAnsi"/>
        </w:rPr>
        <w:t xml:space="preserve">a single </w:t>
      </w:r>
      <w:r w:rsidR="008B6998" w:rsidRPr="00875CF5">
        <w:rPr>
          <w:rFonts w:ascii="Cambria" w:hAnsi="Cambria" w:cstheme="minorHAnsi"/>
        </w:rPr>
        <w:t>property near Charters Towers in Queensland</w:t>
      </w:r>
      <w:r w:rsidR="008B6998">
        <w:rPr>
          <w:rFonts w:ascii="Cambria" w:hAnsi="Cambria" w:cstheme="minorHAnsi"/>
        </w:rPr>
        <w:t xml:space="preserve"> and the infected property </w:t>
      </w:r>
      <w:r w:rsidR="008B6998" w:rsidRPr="00875CF5">
        <w:rPr>
          <w:rFonts w:ascii="Cambria" w:hAnsi="Cambria" w:cstheme="minorHAnsi"/>
        </w:rPr>
        <w:t>remains under quarantine.</w:t>
      </w:r>
      <w:r w:rsidR="008B6998">
        <w:rPr>
          <w:rFonts w:ascii="Cambria" w:hAnsi="Cambria" w:cstheme="minorHAnsi"/>
        </w:rPr>
        <w:t xml:space="preserve"> The emergency measures were amended in December 2015 to update the host list for CGMMV in response to the detection of this virus in the seeds of additional hosts. </w:t>
      </w:r>
      <w:r w:rsidR="008B6998">
        <w:rPr>
          <w:rFonts w:ascii="Cambria" w:hAnsi="Cambria"/>
          <w:bCs/>
        </w:rPr>
        <w:t xml:space="preserve">Although, the Northern Territory government formally revoked </w:t>
      </w:r>
      <w:r w:rsidR="00BC2587">
        <w:rPr>
          <w:rFonts w:ascii="Cambria" w:hAnsi="Cambria"/>
          <w:bCs/>
        </w:rPr>
        <w:t xml:space="preserve">the </w:t>
      </w:r>
      <w:r w:rsidR="008B6998">
        <w:rPr>
          <w:rFonts w:ascii="Cambria" w:hAnsi="Cambria"/>
          <w:bCs/>
        </w:rPr>
        <w:t>CGMMV quarantine zone</w:t>
      </w:r>
      <w:r w:rsidR="00B05DBD">
        <w:rPr>
          <w:rFonts w:ascii="Cambria" w:hAnsi="Cambria"/>
          <w:bCs/>
        </w:rPr>
        <w:t xml:space="preserve"> in February 2016</w:t>
      </w:r>
      <w:r w:rsidR="008B6998">
        <w:rPr>
          <w:rFonts w:ascii="Cambria" w:hAnsi="Cambria"/>
          <w:bCs/>
        </w:rPr>
        <w:t xml:space="preserve">, </w:t>
      </w:r>
      <w:r w:rsidR="00833518">
        <w:rPr>
          <w:rFonts w:ascii="Cambria" w:hAnsi="Cambria"/>
          <w:bCs/>
        </w:rPr>
        <w:t>risk management measures have been implemented to contain the spread of this virus.</w:t>
      </w:r>
      <w:r w:rsidR="008B6998">
        <w:rPr>
          <w:rFonts w:ascii="Cambria" w:hAnsi="Cambria"/>
          <w:bCs/>
        </w:rPr>
        <w:t xml:space="preserve"> Therefore, the virus is under official control.</w:t>
      </w:r>
      <w:r w:rsidR="00B05DBD">
        <w:rPr>
          <w:rFonts w:ascii="Cambria" w:hAnsi="Cambria"/>
          <w:bCs/>
        </w:rPr>
        <w:t xml:space="preserve"> Consequently, CGMMV remains a qua</w:t>
      </w:r>
      <w:r w:rsidR="00E3537A">
        <w:rPr>
          <w:rFonts w:ascii="Cambria" w:hAnsi="Cambria"/>
          <w:bCs/>
        </w:rPr>
        <w:t xml:space="preserve">rantine </w:t>
      </w:r>
      <w:r w:rsidR="00B05DBD">
        <w:rPr>
          <w:rFonts w:ascii="Cambria" w:hAnsi="Cambria"/>
          <w:bCs/>
        </w:rPr>
        <w:t>pathogen for Australia.</w:t>
      </w:r>
    </w:p>
    <w:p w14:paraId="60751423" w14:textId="4A4B5D86" w:rsidR="00BA22E9" w:rsidRDefault="00F709BD" w:rsidP="004F03E7">
      <w:pPr>
        <w:tabs>
          <w:tab w:val="left" w:pos="2268"/>
        </w:tabs>
        <w:spacing w:before="120" w:after="120" w:line="276" w:lineRule="auto"/>
        <w:rPr>
          <w:rFonts w:ascii="Cambria" w:hAnsi="Cambria"/>
        </w:rPr>
      </w:pPr>
      <w:r>
        <w:rPr>
          <w:rFonts w:ascii="Cambria" w:hAnsi="Cambria" w:cs="Arial"/>
        </w:rPr>
        <w:t xml:space="preserve">The International Plant Protection Convention (IPPC) and the ‘World Trade Organisation Agreement on the Application of Sanitary and Phytosanitary Measures’ (SPS Agreement) requires that any phytosanitary measures against the introduction of new pests must be technically justified. </w:t>
      </w:r>
      <w:r>
        <w:rPr>
          <w:rFonts w:ascii="Cambria" w:hAnsi="Cambria"/>
          <w:iCs/>
        </w:rPr>
        <w:t xml:space="preserve">The IPPC’s International Standards for Phytosanitary Measures (ISPM) </w:t>
      </w:r>
      <w:r w:rsidR="00E74AFF">
        <w:rPr>
          <w:rFonts w:ascii="Cambria" w:hAnsi="Cambria"/>
          <w:iCs/>
        </w:rPr>
        <w:t>No. </w:t>
      </w:r>
      <w:r>
        <w:rPr>
          <w:rFonts w:ascii="Cambria" w:hAnsi="Cambria"/>
          <w:iCs/>
        </w:rPr>
        <w:t xml:space="preserve">1 </w:t>
      </w:r>
      <w:r>
        <w:rPr>
          <w:rFonts w:ascii="Cambria" w:hAnsi="Cambria" w:cs="Arial"/>
        </w:rPr>
        <w:t xml:space="preserve">states that ‘countries may take appropriate emergency action on a pest posing a potential threat to its territories; however, it requires that the action be evaluated as soon as possible to justify the continuance of the action’. </w:t>
      </w:r>
      <w:r>
        <w:rPr>
          <w:rFonts w:ascii="Cambria" w:hAnsi="Cambria"/>
          <w:iCs/>
        </w:rPr>
        <w:t xml:space="preserve">Therefore, this PRA meets Australia’s international obligations to review the emergency phytosanitary measures on CGMMV associated with </w:t>
      </w:r>
      <w:r w:rsidR="002C4AC8">
        <w:rPr>
          <w:rFonts w:ascii="Cambria" w:hAnsi="Cambria"/>
          <w:iCs/>
        </w:rPr>
        <w:t xml:space="preserve">host </w:t>
      </w:r>
      <w:r>
        <w:rPr>
          <w:rFonts w:ascii="Cambria" w:hAnsi="Cambria" w:cs="Arial"/>
        </w:rPr>
        <w:t>cucurbit seeds</w:t>
      </w:r>
      <w:r w:rsidR="002C4AC8">
        <w:rPr>
          <w:rFonts w:ascii="Cambria" w:hAnsi="Cambria" w:cs="Arial"/>
        </w:rPr>
        <w:t xml:space="preserve"> </w:t>
      </w:r>
      <w:r>
        <w:rPr>
          <w:rFonts w:ascii="Cambria" w:hAnsi="Cambria" w:cs="Arial"/>
        </w:rPr>
        <w:t>(</w:t>
      </w:r>
      <w:r>
        <w:rPr>
          <w:rFonts w:ascii="Cambria" w:hAnsi="Cambria"/>
          <w:i/>
        </w:rPr>
        <w:t>Citrullus lanatus</w:t>
      </w:r>
      <w:r w:rsidR="00C918ED">
        <w:rPr>
          <w:rFonts w:ascii="Cambria" w:hAnsi="Cambria"/>
          <w:iCs/>
        </w:rPr>
        <w:t>,</w:t>
      </w:r>
      <w:r>
        <w:rPr>
          <w:rFonts w:ascii="Cambria" w:hAnsi="Cambria"/>
          <w:iCs/>
        </w:rPr>
        <w:t xml:space="preserve"> </w:t>
      </w:r>
      <w:r>
        <w:rPr>
          <w:rFonts w:ascii="Cambria" w:hAnsi="Cambria"/>
          <w:i/>
        </w:rPr>
        <w:t>Cucumis melo</w:t>
      </w:r>
      <w:r w:rsidR="00C918ED">
        <w:rPr>
          <w:rFonts w:ascii="Cambria" w:hAnsi="Cambria"/>
          <w:iCs/>
        </w:rPr>
        <w:t>,</w:t>
      </w:r>
      <w:r>
        <w:rPr>
          <w:rFonts w:ascii="Cambria" w:hAnsi="Cambria"/>
          <w:iCs/>
        </w:rPr>
        <w:t xml:space="preserve"> </w:t>
      </w:r>
      <w:r>
        <w:rPr>
          <w:rFonts w:ascii="Cambria" w:hAnsi="Cambria"/>
          <w:i/>
        </w:rPr>
        <w:t>Cucumis sativus</w:t>
      </w:r>
      <w:r w:rsidR="00C918ED">
        <w:rPr>
          <w:rFonts w:ascii="Cambria" w:hAnsi="Cambria"/>
          <w:iCs/>
        </w:rPr>
        <w:t>,</w:t>
      </w:r>
      <w:r>
        <w:rPr>
          <w:rFonts w:ascii="Cambria" w:hAnsi="Cambria"/>
          <w:iCs/>
        </w:rPr>
        <w:t xml:space="preserve"> </w:t>
      </w:r>
      <w:r w:rsidR="00C918ED">
        <w:rPr>
          <w:rFonts w:ascii="Cambria" w:hAnsi="Cambria"/>
          <w:i/>
          <w:iCs/>
        </w:rPr>
        <w:t xml:space="preserve">Cucurbita </w:t>
      </w:r>
      <w:r w:rsidR="00C918ED" w:rsidRPr="00C918ED">
        <w:rPr>
          <w:rFonts w:ascii="Cambria" w:hAnsi="Cambria"/>
          <w:i/>
          <w:iCs/>
        </w:rPr>
        <w:t>maxima</w:t>
      </w:r>
      <w:r w:rsidR="00C918ED">
        <w:rPr>
          <w:rFonts w:ascii="Cambria" w:hAnsi="Cambria"/>
          <w:iCs/>
        </w:rPr>
        <w:t xml:space="preserve">, </w:t>
      </w:r>
      <w:r w:rsidR="00C918ED">
        <w:rPr>
          <w:rFonts w:ascii="Cambria" w:hAnsi="Cambria"/>
          <w:i/>
          <w:iCs/>
        </w:rPr>
        <w:t>Cucurbita moschata</w:t>
      </w:r>
      <w:r w:rsidR="00C918ED">
        <w:rPr>
          <w:rFonts w:ascii="Cambria" w:hAnsi="Cambria"/>
          <w:iCs/>
        </w:rPr>
        <w:t>,</w:t>
      </w:r>
      <w:r w:rsidR="00C918ED">
        <w:rPr>
          <w:rFonts w:ascii="Cambria" w:hAnsi="Cambria"/>
          <w:i/>
          <w:iCs/>
        </w:rPr>
        <w:t xml:space="preserve"> </w:t>
      </w:r>
      <w:r w:rsidRPr="00C918ED">
        <w:rPr>
          <w:rFonts w:ascii="Cambria" w:hAnsi="Cambria"/>
          <w:i/>
        </w:rPr>
        <w:t>Cucurbita</w:t>
      </w:r>
      <w:r>
        <w:rPr>
          <w:rFonts w:ascii="Cambria" w:hAnsi="Cambria"/>
          <w:i/>
        </w:rPr>
        <w:t xml:space="preserve"> pepo</w:t>
      </w:r>
      <w:r w:rsidR="00C918ED">
        <w:rPr>
          <w:rFonts w:ascii="Cambria" w:hAnsi="Cambria"/>
          <w:iCs/>
        </w:rPr>
        <w:t>,</w:t>
      </w:r>
      <w:r>
        <w:rPr>
          <w:rFonts w:ascii="Cambria" w:hAnsi="Cambria"/>
          <w:iCs/>
        </w:rPr>
        <w:t xml:space="preserve"> </w:t>
      </w:r>
      <w:r>
        <w:rPr>
          <w:rFonts w:ascii="Cambria" w:hAnsi="Cambria"/>
          <w:i/>
        </w:rPr>
        <w:t>Lagenaria siceraria</w:t>
      </w:r>
      <w:r w:rsidR="00663085">
        <w:rPr>
          <w:rFonts w:ascii="Cambria" w:hAnsi="Cambria"/>
        </w:rPr>
        <w:t xml:space="preserve">, </w:t>
      </w:r>
      <w:r>
        <w:rPr>
          <w:rFonts w:ascii="Cambria" w:hAnsi="Cambria"/>
          <w:i/>
        </w:rPr>
        <w:t>Trichosanthes cucumerina</w:t>
      </w:r>
      <w:r w:rsidR="004B1009">
        <w:rPr>
          <w:rFonts w:ascii="Cambria" w:hAnsi="Cambria"/>
          <w:i/>
        </w:rPr>
        <w:t xml:space="preserve"> </w:t>
      </w:r>
      <w:r w:rsidR="004B1009">
        <w:rPr>
          <w:rFonts w:ascii="Cambria" w:hAnsi="Cambria"/>
        </w:rPr>
        <w:t>and any hybrid of these species</w:t>
      </w:r>
      <w:r>
        <w:rPr>
          <w:rFonts w:ascii="Cambria" w:hAnsi="Cambria"/>
        </w:rPr>
        <w:t>).</w:t>
      </w:r>
      <w:r w:rsidR="00BA22E9">
        <w:rPr>
          <w:rFonts w:ascii="Cambria" w:hAnsi="Cambria"/>
        </w:rPr>
        <w:t xml:space="preserve"> </w:t>
      </w:r>
    </w:p>
    <w:p w14:paraId="06925AC2" w14:textId="77777777" w:rsidR="00BA22E9" w:rsidRDefault="00BA22E9" w:rsidP="004F03E7">
      <w:pPr>
        <w:tabs>
          <w:tab w:val="left" w:pos="2268"/>
        </w:tabs>
        <w:spacing w:before="120" w:after="120" w:line="276" w:lineRule="auto"/>
        <w:rPr>
          <w:rFonts w:ascii="Cambria" w:hAnsi="Cambria" w:cs="Arial"/>
        </w:rPr>
      </w:pPr>
      <w:r>
        <w:rPr>
          <w:rFonts w:ascii="Cambria" w:hAnsi="Cambria" w:cs="Arial"/>
        </w:rPr>
        <w:t xml:space="preserve">The scope of this PRA is limited to reviewing the emergency measures for CGMMV host seeds. The suspension of host nursery stock and tissue cultures is outside the scope of this PRA and will be reviewed at a later date. </w:t>
      </w:r>
    </w:p>
    <w:p w14:paraId="713A7581" w14:textId="07483B64" w:rsidR="000541DE" w:rsidRPr="000541DE" w:rsidRDefault="00F709BD" w:rsidP="004F03E7">
      <w:pPr>
        <w:spacing w:before="120" w:after="120" w:line="276" w:lineRule="auto"/>
        <w:rPr>
          <w:rFonts w:ascii="Cambria" w:hAnsi="Cambria" w:cs="Arial"/>
        </w:rPr>
      </w:pPr>
      <w:r>
        <w:rPr>
          <w:rFonts w:ascii="Cambria" w:hAnsi="Cambria" w:cs="Arial"/>
        </w:rPr>
        <w:t xml:space="preserve">The department considers that the emergency measures </w:t>
      </w:r>
      <w:r w:rsidR="00C918ED">
        <w:rPr>
          <w:rFonts w:ascii="Cambria" w:hAnsi="Cambria" w:cs="Arial"/>
        </w:rPr>
        <w:t xml:space="preserve">are adequate to </w:t>
      </w:r>
      <w:r>
        <w:rPr>
          <w:rFonts w:ascii="Cambria" w:hAnsi="Cambria" w:cs="Arial"/>
        </w:rPr>
        <w:t xml:space="preserve">mitigate the risk posed by CGMMV associated with </w:t>
      </w:r>
      <w:r w:rsidR="002C4AC8">
        <w:rPr>
          <w:rFonts w:ascii="Cambria" w:hAnsi="Cambria" w:cs="Arial"/>
        </w:rPr>
        <w:t xml:space="preserve">host </w:t>
      </w:r>
      <w:r>
        <w:rPr>
          <w:rFonts w:ascii="Cambria" w:hAnsi="Cambria" w:cs="Arial"/>
        </w:rPr>
        <w:t>cucurbit seeds. The</w:t>
      </w:r>
      <w:r w:rsidR="000541DE">
        <w:rPr>
          <w:rFonts w:ascii="Cambria" w:hAnsi="Cambria" w:cs="Arial"/>
        </w:rPr>
        <w:t xml:space="preserve"> </w:t>
      </w:r>
      <w:r w:rsidR="00C918ED">
        <w:rPr>
          <w:rFonts w:ascii="Cambria" w:hAnsi="Cambria" w:cs="Arial"/>
        </w:rPr>
        <w:t xml:space="preserve">only proposed amendment is to </w:t>
      </w:r>
      <w:r w:rsidR="000541DE" w:rsidRPr="000541DE">
        <w:rPr>
          <w:rFonts w:ascii="Cambria" w:hAnsi="Cambria" w:cs="Arial"/>
        </w:rPr>
        <w:t>provide the option for small s</w:t>
      </w:r>
      <w:r w:rsidR="00BA22E9">
        <w:rPr>
          <w:rFonts w:ascii="Cambria" w:hAnsi="Cambria" w:cs="Arial"/>
        </w:rPr>
        <w:t>eed lots to be tested off-shore.</w:t>
      </w:r>
      <w:r w:rsidR="000541DE" w:rsidRPr="000541DE">
        <w:rPr>
          <w:rFonts w:ascii="Cambria" w:hAnsi="Cambria" w:cs="Arial"/>
        </w:rPr>
        <w:t xml:space="preserve"> </w:t>
      </w:r>
    </w:p>
    <w:p w14:paraId="6ABACFC5" w14:textId="5405663C" w:rsidR="008163B6" w:rsidRDefault="00F709BD" w:rsidP="004F03E7">
      <w:pPr>
        <w:spacing w:before="120" w:after="120" w:line="276" w:lineRule="auto"/>
        <w:rPr>
          <w:rFonts w:ascii="Cambria" w:hAnsi="Cambria" w:cs="Arial"/>
        </w:rPr>
      </w:pPr>
      <w:r>
        <w:rPr>
          <w:rFonts w:ascii="Cambria" w:hAnsi="Cambria" w:cs="Arial"/>
        </w:rPr>
        <w:t>The proposed import conditions for CGMMV host cucurbit seeds</w:t>
      </w:r>
      <w:r w:rsidR="00BA22E9">
        <w:rPr>
          <w:rFonts w:ascii="Cambria" w:hAnsi="Cambria" w:cs="Arial"/>
        </w:rPr>
        <w:t xml:space="preserve"> for sowing</w:t>
      </w:r>
      <w:r>
        <w:rPr>
          <w:rFonts w:ascii="Cambria" w:hAnsi="Cambria" w:cs="Arial"/>
        </w:rPr>
        <w:t xml:space="preserve"> (</w:t>
      </w:r>
      <w:r>
        <w:rPr>
          <w:rFonts w:ascii="Cambria" w:hAnsi="Cambria"/>
          <w:i/>
        </w:rPr>
        <w:t>Citrullus lanatus</w:t>
      </w:r>
      <w:r w:rsidR="004B1009">
        <w:rPr>
          <w:rFonts w:ascii="Cambria" w:hAnsi="Cambria"/>
          <w:iCs/>
        </w:rPr>
        <w:t>,</w:t>
      </w:r>
      <w:r>
        <w:rPr>
          <w:rFonts w:ascii="Cambria" w:hAnsi="Cambria"/>
          <w:iCs/>
        </w:rPr>
        <w:t xml:space="preserve"> </w:t>
      </w:r>
      <w:r>
        <w:rPr>
          <w:rFonts w:ascii="Cambria" w:hAnsi="Cambria"/>
          <w:i/>
        </w:rPr>
        <w:t>Cucumis melo</w:t>
      </w:r>
      <w:r w:rsidR="004B1009">
        <w:rPr>
          <w:rFonts w:ascii="Cambria" w:hAnsi="Cambria"/>
          <w:iCs/>
        </w:rPr>
        <w:t>,</w:t>
      </w:r>
      <w:r>
        <w:rPr>
          <w:rFonts w:ascii="Cambria" w:hAnsi="Cambria"/>
          <w:iCs/>
        </w:rPr>
        <w:t xml:space="preserve"> </w:t>
      </w:r>
      <w:r>
        <w:rPr>
          <w:rFonts w:ascii="Cambria" w:hAnsi="Cambria"/>
          <w:i/>
        </w:rPr>
        <w:t>Cucumis sativus</w:t>
      </w:r>
      <w:r w:rsidR="004B1009">
        <w:rPr>
          <w:rFonts w:ascii="Cambria" w:hAnsi="Cambria"/>
          <w:iCs/>
        </w:rPr>
        <w:t>,</w:t>
      </w:r>
      <w:r>
        <w:rPr>
          <w:rFonts w:ascii="Cambria" w:hAnsi="Cambria"/>
          <w:iCs/>
        </w:rPr>
        <w:t xml:space="preserve"> </w:t>
      </w:r>
      <w:r w:rsidR="00BA22E9" w:rsidRPr="00BA22E9">
        <w:rPr>
          <w:rFonts w:ascii="Cambria" w:hAnsi="Cambria"/>
          <w:i/>
          <w:iCs/>
        </w:rPr>
        <w:t>Cucurbita maxima</w:t>
      </w:r>
      <w:r w:rsidR="00BA22E9">
        <w:rPr>
          <w:rFonts w:ascii="Cambria" w:hAnsi="Cambria"/>
          <w:iCs/>
        </w:rPr>
        <w:t xml:space="preserve">, </w:t>
      </w:r>
      <w:r w:rsidR="00BA22E9">
        <w:rPr>
          <w:rFonts w:ascii="Cambria" w:hAnsi="Cambria"/>
          <w:i/>
          <w:iCs/>
        </w:rPr>
        <w:t xml:space="preserve">Cucurbita moschata, </w:t>
      </w:r>
      <w:r w:rsidRPr="00BA22E9">
        <w:rPr>
          <w:rFonts w:ascii="Cambria" w:hAnsi="Cambria"/>
          <w:i/>
        </w:rPr>
        <w:t>Cucurbita pepo</w:t>
      </w:r>
      <w:r w:rsidR="004B1009">
        <w:rPr>
          <w:rFonts w:ascii="Cambria" w:hAnsi="Cambria"/>
          <w:iCs/>
        </w:rPr>
        <w:t>,</w:t>
      </w:r>
      <w:r>
        <w:rPr>
          <w:rFonts w:ascii="Cambria" w:hAnsi="Cambria"/>
          <w:iCs/>
        </w:rPr>
        <w:t xml:space="preserve"> </w:t>
      </w:r>
      <w:r>
        <w:rPr>
          <w:rFonts w:ascii="Cambria" w:hAnsi="Cambria"/>
          <w:i/>
        </w:rPr>
        <w:t>Lagenaria siceraria</w:t>
      </w:r>
      <w:r w:rsidR="004B1009">
        <w:rPr>
          <w:rFonts w:ascii="Cambria" w:hAnsi="Cambria"/>
        </w:rPr>
        <w:t>,</w:t>
      </w:r>
      <w:r>
        <w:rPr>
          <w:rFonts w:ascii="Cambria" w:hAnsi="Cambria"/>
        </w:rPr>
        <w:t xml:space="preserve"> </w:t>
      </w:r>
      <w:r>
        <w:rPr>
          <w:rFonts w:ascii="Cambria" w:hAnsi="Cambria"/>
          <w:i/>
        </w:rPr>
        <w:t>Trichosanthes cucumerina</w:t>
      </w:r>
      <w:r w:rsidR="004B1009">
        <w:rPr>
          <w:rFonts w:ascii="Cambria" w:hAnsi="Cambria"/>
          <w:i/>
        </w:rPr>
        <w:t xml:space="preserve"> </w:t>
      </w:r>
      <w:r w:rsidR="004B1009">
        <w:rPr>
          <w:rFonts w:ascii="Cambria" w:hAnsi="Cambria"/>
        </w:rPr>
        <w:t>and any hybrid of these species</w:t>
      </w:r>
      <w:r>
        <w:rPr>
          <w:rFonts w:ascii="Cambria" w:hAnsi="Cambria"/>
        </w:rPr>
        <w:t xml:space="preserve">) </w:t>
      </w:r>
      <w:r>
        <w:rPr>
          <w:rFonts w:ascii="Cambria" w:hAnsi="Cambria" w:cs="Arial"/>
        </w:rPr>
        <w:t>are summarised below.</w:t>
      </w:r>
    </w:p>
    <w:p w14:paraId="1BC1A6CA" w14:textId="77777777" w:rsidR="008163B6" w:rsidRDefault="00F709BD" w:rsidP="006F4BBD">
      <w:pPr>
        <w:pStyle w:val="Heading4"/>
        <w:spacing w:before="120" w:after="120" w:line="276" w:lineRule="auto"/>
      </w:pPr>
      <w:r>
        <w:t>Commercial seed lots</w:t>
      </w:r>
    </w:p>
    <w:p w14:paraId="6F284E46" w14:textId="0C5804C6"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b/>
          <w:bCs/>
          <w:szCs w:val="22"/>
        </w:rPr>
        <w:t>Testing (off-shore or on-shore)</w:t>
      </w:r>
      <w:r>
        <w:rPr>
          <w:rFonts w:ascii="Cambria" w:hAnsi="Cambria"/>
          <w:bCs/>
          <w:szCs w:val="22"/>
        </w:rPr>
        <w:t xml:space="preserve">—mandatory testing by ELISA </w:t>
      </w:r>
      <w:r w:rsidR="00292639">
        <w:rPr>
          <w:rFonts w:ascii="Cambria" w:hAnsi="Cambria"/>
          <w:bCs/>
          <w:szCs w:val="22"/>
        </w:rPr>
        <w:t xml:space="preserve">for CGMMV </w:t>
      </w:r>
      <w:r>
        <w:rPr>
          <w:rFonts w:ascii="Cambria" w:hAnsi="Cambria"/>
          <w:bCs/>
          <w:szCs w:val="22"/>
        </w:rPr>
        <w:t xml:space="preserve">following the protocol of </w:t>
      </w:r>
      <w:r w:rsidR="002A7FAF">
        <w:rPr>
          <w:rFonts w:ascii="Cambria" w:hAnsi="Cambria"/>
          <w:bCs/>
          <w:szCs w:val="22"/>
        </w:rPr>
        <w:t xml:space="preserve">the </w:t>
      </w:r>
      <w:r w:rsidR="002A7FAF">
        <w:rPr>
          <w:rFonts w:ascii="Cambria" w:hAnsi="Cambria"/>
          <w:lang w:eastAsia="en-AU"/>
        </w:rPr>
        <w:t>International Seed Testing Association</w:t>
      </w:r>
      <w:r w:rsidR="002A7FAF">
        <w:rPr>
          <w:rFonts w:ascii="Cambria" w:hAnsi="Cambria"/>
          <w:bCs/>
          <w:szCs w:val="22"/>
        </w:rPr>
        <w:t xml:space="preserve"> (</w:t>
      </w:r>
      <w:r>
        <w:rPr>
          <w:rFonts w:ascii="Cambria" w:hAnsi="Cambria"/>
          <w:bCs/>
          <w:szCs w:val="22"/>
        </w:rPr>
        <w:t>ISTA</w:t>
      </w:r>
      <w:r w:rsidR="002A7FAF">
        <w:rPr>
          <w:rFonts w:ascii="Cambria" w:hAnsi="Cambria"/>
          <w:bCs/>
          <w:szCs w:val="22"/>
        </w:rPr>
        <w:t>)</w:t>
      </w:r>
      <w:r>
        <w:rPr>
          <w:rFonts w:ascii="Cambria" w:hAnsi="Cambria"/>
          <w:bCs/>
          <w:szCs w:val="22"/>
        </w:rPr>
        <w:t xml:space="preserve"> 7-026 using a sample size of 9,400 seeds</w:t>
      </w:r>
      <w:r>
        <w:rPr>
          <w:rFonts w:asciiTheme="majorHAnsi" w:hAnsiTheme="majorHAnsi" w:cstheme="minorHAnsi"/>
          <w:szCs w:val="22"/>
        </w:rPr>
        <w:t xml:space="preserve">; </w:t>
      </w:r>
    </w:p>
    <w:p w14:paraId="784FCACA" w14:textId="2DA263F6"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cstheme="minorHAnsi"/>
          <w:szCs w:val="22"/>
        </w:rPr>
      </w:pPr>
      <w:r>
        <w:rPr>
          <w:rFonts w:ascii="Cambria" w:hAnsi="Cambria"/>
          <w:b/>
          <w:bCs/>
          <w:szCs w:val="22"/>
        </w:rPr>
        <w:t>Certification</w:t>
      </w:r>
      <w:r w:rsidR="002A7FAF">
        <w:rPr>
          <w:rFonts w:ascii="Cambria" w:hAnsi="Cambria"/>
          <w:b/>
          <w:bCs/>
          <w:szCs w:val="22"/>
        </w:rPr>
        <w:t xml:space="preserve"> (off-shore</w:t>
      </w:r>
      <w:r w:rsidR="00663085">
        <w:rPr>
          <w:rFonts w:ascii="Cambria" w:hAnsi="Cambria"/>
          <w:b/>
          <w:bCs/>
          <w:szCs w:val="22"/>
        </w:rPr>
        <w:t xml:space="preserve"> testing only</w:t>
      </w:r>
      <w:r w:rsidR="002A7FAF">
        <w:rPr>
          <w:rFonts w:ascii="Cambria" w:hAnsi="Cambria"/>
          <w:b/>
          <w:bCs/>
          <w:szCs w:val="22"/>
        </w:rPr>
        <w:t>)</w:t>
      </w:r>
      <w:r>
        <w:rPr>
          <w:rFonts w:ascii="Cambria" w:hAnsi="Cambria"/>
          <w:bCs/>
          <w:szCs w:val="22"/>
        </w:rPr>
        <w:t xml:space="preserve">—consignments must be </w:t>
      </w:r>
      <w:r>
        <w:rPr>
          <w:rFonts w:ascii="Cambria" w:hAnsi="Cambria" w:cstheme="minorHAnsi"/>
          <w:szCs w:val="22"/>
        </w:rPr>
        <w:t>accompanied by an official government Phytosanitary Certificate endorsed with an additional declaration that ‘</w:t>
      </w:r>
      <w:r w:rsidR="00DB1FBF" w:rsidRPr="00DB1FBF">
        <w:rPr>
          <w:rFonts w:ascii="Cambria" w:hAnsi="Cambria" w:cstheme="minorHAnsi"/>
          <w:i/>
          <w:szCs w:val="22"/>
        </w:rPr>
        <w:t>The consignment of [botanical name (genus/species)] was tested by</w:t>
      </w:r>
      <w:r w:rsidR="00DB1FBF" w:rsidRPr="00DB1FBF">
        <w:rPr>
          <w:rFonts w:ascii="Cambria" w:hAnsi="Cambria" w:cstheme="minorHAnsi"/>
          <w:bCs/>
          <w:i/>
          <w:szCs w:val="22"/>
        </w:rPr>
        <w:t xml:space="preserve"> </w:t>
      </w:r>
      <w:r w:rsidR="00DB1FBF" w:rsidRPr="00DB1FBF">
        <w:rPr>
          <w:rFonts w:ascii="Cambria" w:hAnsi="Cambria"/>
          <w:bCs/>
          <w:i/>
          <w:szCs w:val="22"/>
        </w:rPr>
        <w:t>ELIS</w:t>
      </w:r>
      <w:r w:rsidR="00DB1FBF" w:rsidRPr="00DB1FBF">
        <w:rPr>
          <w:rFonts w:ascii="Cambria" w:hAnsi="Cambria" w:cstheme="minorHAnsi"/>
          <w:bCs/>
          <w:i/>
          <w:szCs w:val="22"/>
        </w:rPr>
        <w:t xml:space="preserve">A </w:t>
      </w:r>
      <w:r w:rsidR="00DB1FBF" w:rsidRPr="00DB1FBF">
        <w:rPr>
          <w:rFonts w:ascii="Cambria" w:hAnsi="Cambria"/>
          <w:bCs/>
          <w:i/>
          <w:szCs w:val="22"/>
        </w:rPr>
        <w:t>using a sample size of 9,400 seed</w:t>
      </w:r>
      <w:r w:rsidR="00DB1FBF" w:rsidRPr="00DB1FBF">
        <w:rPr>
          <w:rFonts w:ascii="Cambria" w:hAnsi="Cambria" w:cstheme="minorHAnsi"/>
          <w:bCs/>
          <w:i/>
          <w:szCs w:val="22"/>
        </w:rPr>
        <w:t xml:space="preserve">s </w:t>
      </w:r>
      <w:r w:rsidR="00DB1FBF" w:rsidRPr="00DB1FBF">
        <w:rPr>
          <w:rFonts w:ascii="Cambria" w:hAnsi="Cambria"/>
          <w:bCs/>
          <w:i/>
          <w:szCs w:val="22"/>
        </w:rPr>
        <w:t>following the protocol of</w:t>
      </w:r>
      <w:r w:rsidR="00DB1FBF" w:rsidRPr="00DB1FBF">
        <w:rPr>
          <w:rFonts w:ascii="Cambria" w:hAnsi="Cambria" w:cstheme="minorHAnsi"/>
          <w:bCs/>
          <w:i/>
          <w:szCs w:val="22"/>
        </w:rPr>
        <w:t xml:space="preserve"> </w:t>
      </w:r>
      <w:r w:rsidR="00DB1FBF" w:rsidRPr="00DB1FBF">
        <w:rPr>
          <w:rFonts w:ascii="Cambria" w:hAnsi="Cambria" w:cstheme="minorHAnsi"/>
          <w:i/>
          <w:szCs w:val="22"/>
        </w:rPr>
        <w:t>the ISTA 7-026 and found free from Cucumber green mottle mosaic virus’</w:t>
      </w:r>
      <w:r>
        <w:rPr>
          <w:rFonts w:ascii="Cambria" w:hAnsi="Cambria" w:cstheme="minorHAnsi"/>
          <w:szCs w:val="22"/>
        </w:rPr>
        <w:t>; and</w:t>
      </w:r>
    </w:p>
    <w:p w14:paraId="28238EDC" w14:textId="77777777"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—to </w:t>
      </w:r>
      <w:r>
        <w:rPr>
          <w:rFonts w:ascii="Cambria" w:hAnsi="Cambria"/>
        </w:rPr>
        <w:t>verify freedom from live insects, soil, disease symptoms, prohibited seeds, other plant material, animal material and any other extraneous contamination of quarantine concern.</w:t>
      </w:r>
    </w:p>
    <w:p w14:paraId="772C61EA" w14:textId="77777777" w:rsidR="008163B6" w:rsidRDefault="00F709BD" w:rsidP="006F4BBD">
      <w:pPr>
        <w:pStyle w:val="Heading4"/>
        <w:spacing w:before="120" w:after="120" w:line="276" w:lineRule="auto"/>
      </w:pPr>
      <w:r>
        <w:t>Small seed lots</w:t>
      </w:r>
    </w:p>
    <w:p w14:paraId="390EF0A3" w14:textId="77777777" w:rsidR="00511D57" w:rsidRPr="00511D57" w:rsidRDefault="00511D57" w:rsidP="00511D57"/>
    <w:p w14:paraId="7CB53F99" w14:textId="27BBE17F"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b/>
          <w:bCs/>
          <w:szCs w:val="22"/>
        </w:rPr>
        <w:t>Testing (off-shore or on-shore)</w:t>
      </w:r>
      <w:r>
        <w:rPr>
          <w:rFonts w:ascii="Cambria" w:hAnsi="Cambria"/>
          <w:bCs/>
          <w:szCs w:val="22"/>
        </w:rPr>
        <w:t xml:space="preserve">—mandatory testing by ELISA </w:t>
      </w:r>
      <w:r w:rsidR="00292639">
        <w:rPr>
          <w:rFonts w:ascii="Cambria" w:hAnsi="Cambria"/>
          <w:bCs/>
          <w:szCs w:val="22"/>
        </w:rPr>
        <w:t xml:space="preserve">for CGMMV </w:t>
      </w:r>
      <w:r>
        <w:rPr>
          <w:rFonts w:ascii="Cambria" w:hAnsi="Cambria"/>
          <w:bCs/>
          <w:szCs w:val="22"/>
        </w:rPr>
        <w:t>following the protocol of ISTA 7-026 using a sample size of 20 percent of the seed lot weight or a 9,400 seed sample</w:t>
      </w:r>
      <w:r>
        <w:rPr>
          <w:rFonts w:ascii="Cambria" w:hAnsi="Cambria"/>
          <w:szCs w:val="22"/>
        </w:rPr>
        <w:t>;</w:t>
      </w:r>
    </w:p>
    <w:p w14:paraId="5055B882" w14:textId="19F3EEDC"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bCs/>
          <w:szCs w:val="22"/>
        </w:rPr>
      </w:pPr>
      <w:r>
        <w:rPr>
          <w:rFonts w:ascii="Cambria" w:hAnsi="Cambria"/>
          <w:b/>
          <w:bCs/>
          <w:szCs w:val="22"/>
        </w:rPr>
        <w:t>Certification</w:t>
      </w:r>
      <w:r w:rsidR="00663085">
        <w:rPr>
          <w:rFonts w:ascii="Cambria" w:hAnsi="Cambria"/>
          <w:b/>
          <w:bCs/>
          <w:szCs w:val="22"/>
        </w:rPr>
        <w:t xml:space="preserve"> (off-shore testing only)</w:t>
      </w:r>
      <w:r>
        <w:rPr>
          <w:rFonts w:ascii="Cambria" w:hAnsi="Cambria"/>
          <w:bCs/>
          <w:szCs w:val="22"/>
        </w:rPr>
        <w:t xml:space="preserve">—consignments must be </w:t>
      </w:r>
      <w:r>
        <w:rPr>
          <w:rFonts w:ascii="Cambria" w:hAnsi="Cambria" w:cstheme="minorHAnsi"/>
          <w:szCs w:val="22"/>
        </w:rPr>
        <w:t>accompanied by an official government Phytosanitary Certificate endorsed with one of the following additional declarations:</w:t>
      </w:r>
    </w:p>
    <w:p w14:paraId="03942AAC" w14:textId="7E4650A2" w:rsidR="008163B6" w:rsidRDefault="00F709BD" w:rsidP="006F4BBD">
      <w:pPr>
        <w:pStyle w:val="AQISNum"/>
        <w:widowControl w:val="0"/>
        <w:numPr>
          <w:ilvl w:val="0"/>
          <w:numId w:val="42"/>
        </w:numPr>
        <w:adjustRightInd w:val="0"/>
        <w:spacing w:before="120" w:after="120" w:line="276" w:lineRule="auto"/>
        <w:textAlignment w:val="baseline"/>
        <w:rPr>
          <w:rFonts w:ascii="Cambria" w:hAnsi="Cambria" w:cstheme="minorHAnsi"/>
          <w:szCs w:val="22"/>
        </w:rPr>
      </w:pPr>
      <w:r>
        <w:rPr>
          <w:rFonts w:ascii="Cambria" w:hAnsi="Cambria" w:cstheme="minorHAnsi"/>
          <w:szCs w:val="22"/>
        </w:rPr>
        <w:t>‘</w:t>
      </w:r>
      <w:r w:rsidR="00DB1FBF" w:rsidRPr="00DB1FBF">
        <w:rPr>
          <w:rFonts w:ascii="Cambria" w:hAnsi="Cambria" w:cstheme="minorHAnsi"/>
          <w:szCs w:val="22"/>
        </w:rPr>
        <w:t>The consignment of [botanical name (genus/species)] was tested by</w:t>
      </w:r>
      <w:r w:rsidR="00DB1FBF" w:rsidRPr="00DB1FBF">
        <w:rPr>
          <w:rFonts w:ascii="Cambria" w:hAnsi="Cambria" w:cstheme="minorHAnsi"/>
          <w:bCs/>
          <w:szCs w:val="22"/>
        </w:rPr>
        <w:t xml:space="preserve"> </w:t>
      </w:r>
      <w:r w:rsidR="00DB1FBF" w:rsidRPr="00DB1FBF">
        <w:rPr>
          <w:rFonts w:ascii="Cambria" w:hAnsi="Cambria"/>
          <w:bCs/>
          <w:szCs w:val="22"/>
        </w:rPr>
        <w:t>ELIS</w:t>
      </w:r>
      <w:r w:rsidR="00DB1FBF" w:rsidRPr="00DB1FBF">
        <w:rPr>
          <w:rFonts w:ascii="Cambria" w:hAnsi="Cambria" w:cstheme="minorHAnsi"/>
          <w:bCs/>
          <w:szCs w:val="22"/>
        </w:rPr>
        <w:t xml:space="preserve">A </w:t>
      </w:r>
      <w:r w:rsidR="00DB1FBF" w:rsidRPr="00DB1FBF">
        <w:rPr>
          <w:rFonts w:ascii="Cambria" w:hAnsi="Cambria"/>
          <w:bCs/>
          <w:szCs w:val="22"/>
        </w:rPr>
        <w:t xml:space="preserve">using </w:t>
      </w:r>
      <w:r w:rsidR="00DB1FBF">
        <w:rPr>
          <w:rFonts w:ascii="Cambria" w:hAnsi="Cambria" w:cstheme="minorHAnsi"/>
          <w:bCs/>
          <w:szCs w:val="22"/>
        </w:rPr>
        <w:t xml:space="preserve">20 percent of the seed lot weight </w:t>
      </w:r>
      <w:r w:rsidR="00DB1FBF" w:rsidRPr="00DB1FBF">
        <w:rPr>
          <w:rFonts w:ascii="Cambria" w:hAnsi="Cambria"/>
          <w:bCs/>
          <w:szCs w:val="22"/>
        </w:rPr>
        <w:t>following the protocol of</w:t>
      </w:r>
      <w:r w:rsidR="00DB1FBF" w:rsidRPr="00DB1FBF">
        <w:rPr>
          <w:rFonts w:ascii="Cambria" w:hAnsi="Cambria" w:cstheme="minorHAnsi"/>
          <w:bCs/>
          <w:szCs w:val="22"/>
        </w:rPr>
        <w:t xml:space="preserve"> </w:t>
      </w:r>
      <w:r w:rsidR="00DB1FBF" w:rsidRPr="00DB1FBF">
        <w:rPr>
          <w:rFonts w:ascii="Cambria" w:hAnsi="Cambria" w:cstheme="minorHAnsi"/>
          <w:szCs w:val="22"/>
        </w:rPr>
        <w:t xml:space="preserve">the ISTA 7-026 and found free from </w:t>
      </w:r>
      <w:r w:rsidR="00DB1FBF" w:rsidRPr="00DB1FBF">
        <w:rPr>
          <w:rFonts w:ascii="Cambria" w:hAnsi="Cambria" w:cstheme="minorHAnsi"/>
          <w:i/>
          <w:szCs w:val="22"/>
        </w:rPr>
        <w:t>Cucumber green mottle mosaic virus</w:t>
      </w:r>
      <w:r w:rsidR="00DB1FBF" w:rsidRPr="00DB1FBF">
        <w:rPr>
          <w:rFonts w:ascii="Cambria" w:hAnsi="Cambria" w:cstheme="minorHAnsi"/>
          <w:szCs w:val="22"/>
        </w:rPr>
        <w:t>’</w:t>
      </w:r>
      <w:r w:rsidR="00DB1FBF">
        <w:rPr>
          <w:rFonts w:ascii="Cambria" w:hAnsi="Cambria" w:cstheme="minorHAnsi"/>
          <w:szCs w:val="22"/>
        </w:rPr>
        <w:t xml:space="preserve"> </w:t>
      </w:r>
      <w:r w:rsidR="00DB1FBF">
        <w:rPr>
          <w:rFonts w:ascii="Cambria" w:hAnsi="Cambria" w:cstheme="minorHAnsi"/>
          <w:b/>
          <w:szCs w:val="22"/>
        </w:rPr>
        <w:t>OR</w:t>
      </w:r>
    </w:p>
    <w:p w14:paraId="6635BAFC" w14:textId="7C8FE0BE" w:rsidR="008163B6" w:rsidRPr="00DB1FBF" w:rsidRDefault="00F709BD" w:rsidP="00DB1FBF">
      <w:pPr>
        <w:pStyle w:val="AQISNum"/>
        <w:widowControl w:val="0"/>
        <w:numPr>
          <w:ilvl w:val="0"/>
          <w:numId w:val="42"/>
        </w:numPr>
        <w:adjustRightInd w:val="0"/>
        <w:spacing w:before="120" w:after="120" w:line="276" w:lineRule="auto"/>
        <w:textAlignment w:val="baseline"/>
        <w:rPr>
          <w:rFonts w:ascii="Cambria" w:hAnsi="Cambria"/>
          <w:bCs/>
          <w:szCs w:val="22"/>
        </w:rPr>
      </w:pPr>
      <w:r w:rsidRPr="00DB1FBF">
        <w:rPr>
          <w:rFonts w:ascii="Cambria" w:hAnsi="Cambria" w:cstheme="minorHAnsi"/>
          <w:szCs w:val="22"/>
        </w:rPr>
        <w:t>‘</w:t>
      </w:r>
      <w:r w:rsidR="00DB1FBF" w:rsidRPr="00DB1FBF">
        <w:rPr>
          <w:rFonts w:ascii="Cambria" w:hAnsi="Cambria" w:cstheme="minorHAnsi"/>
          <w:szCs w:val="22"/>
        </w:rPr>
        <w:t>The consignment of [botanical name (genus/species)] was tested by</w:t>
      </w:r>
      <w:r w:rsidR="00DB1FBF" w:rsidRPr="00DB1FBF">
        <w:rPr>
          <w:rFonts w:ascii="Cambria" w:hAnsi="Cambria" w:cstheme="minorHAnsi"/>
          <w:bCs/>
          <w:szCs w:val="22"/>
        </w:rPr>
        <w:t xml:space="preserve"> </w:t>
      </w:r>
      <w:r w:rsidR="00DB1FBF" w:rsidRPr="00DB1FBF">
        <w:rPr>
          <w:rFonts w:ascii="Cambria" w:hAnsi="Cambria"/>
          <w:bCs/>
          <w:szCs w:val="22"/>
        </w:rPr>
        <w:t>ELIS</w:t>
      </w:r>
      <w:r w:rsidR="00DB1FBF" w:rsidRPr="00DB1FBF">
        <w:rPr>
          <w:rFonts w:ascii="Cambria" w:hAnsi="Cambria" w:cstheme="minorHAnsi"/>
          <w:bCs/>
          <w:szCs w:val="22"/>
        </w:rPr>
        <w:t xml:space="preserve">A </w:t>
      </w:r>
      <w:r w:rsidR="00DB1FBF" w:rsidRPr="00DB1FBF">
        <w:rPr>
          <w:rFonts w:ascii="Cambria" w:hAnsi="Cambria"/>
          <w:bCs/>
          <w:szCs w:val="22"/>
        </w:rPr>
        <w:t>using a sample size of 9,400 seed</w:t>
      </w:r>
      <w:r w:rsidR="00DB1FBF" w:rsidRPr="00DB1FBF">
        <w:rPr>
          <w:rFonts w:ascii="Cambria" w:hAnsi="Cambria" w:cstheme="minorHAnsi"/>
          <w:bCs/>
          <w:szCs w:val="22"/>
        </w:rPr>
        <w:t xml:space="preserve">s </w:t>
      </w:r>
      <w:r w:rsidR="00DB1FBF" w:rsidRPr="00DB1FBF">
        <w:rPr>
          <w:rFonts w:ascii="Cambria" w:hAnsi="Cambria"/>
          <w:bCs/>
          <w:szCs w:val="22"/>
        </w:rPr>
        <w:t>following the protocol of</w:t>
      </w:r>
      <w:r w:rsidR="00DB1FBF" w:rsidRPr="00DB1FBF">
        <w:rPr>
          <w:rFonts w:ascii="Cambria" w:hAnsi="Cambria" w:cstheme="minorHAnsi"/>
          <w:bCs/>
          <w:szCs w:val="22"/>
        </w:rPr>
        <w:t xml:space="preserve"> </w:t>
      </w:r>
      <w:r w:rsidR="00DB1FBF" w:rsidRPr="00DB1FBF">
        <w:rPr>
          <w:rFonts w:ascii="Cambria" w:hAnsi="Cambria" w:cstheme="minorHAnsi"/>
          <w:szCs w:val="22"/>
        </w:rPr>
        <w:t xml:space="preserve">the ISTA 7-026 and found free from </w:t>
      </w:r>
      <w:r w:rsidR="00DB1FBF" w:rsidRPr="00DB1FBF">
        <w:rPr>
          <w:rFonts w:ascii="Cambria" w:hAnsi="Cambria" w:cstheme="minorHAnsi"/>
          <w:i/>
          <w:szCs w:val="22"/>
        </w:rPr>
        <w:t>Cucumber green mottle mosaic virus</w:t>
      </w:r>
      <w:r w:rsidR="00DB1FBF" w:rsidRPr="00DB1FBF">
        <w:rPr>
          <w:rFonts w:ascii="Cambria" w:hAnsi="Cambria" w:cstheme="minorHAnsi"/>
          <w:szCs w:val="22"/>
        </w:rPr>
        <w:t>,</w:t>
      </w:r>
      <w:r w:rsidR="00DB1FBF" w:rsidRPr="00DB1FBF">
        <w:rPr>
          <w:rFonts w:ascii="Cambria" w:hAnsi="Cambria" w:cstheme="minorHAnsi"/>
          <w:i/>
          <w:szCs w:val="22"/>
        </w:rPr>
        <w:t xml:space="preserve"> </w:t>
      </w:r>
      <w:r w:rsidRPr="00DB1FBF">
        <w:rPr>
          <w:rFonts w:ascii="Cambria" w:hAnsi="Cambria" w:cstheme="minorHAnsi"/>
          <w:b/>
          <w:szCs w:val="22"/>
        </w:rPr>
        <w:t>and</w:t>
      </w:r>
    </w:p>
    <w:p w14:paraId="36533FB9" w14:textId="77777777" w:rsidR="008163B6" w:rsidRDefault="00F709BD" w:rsidP="006F4BBD">
      <w:pPr>
        <w:pStyle w:val="AQISNum"/>
        <w:widowControl w:val="0"/>
        <w:numPr>
          <w:ilvl w:val="0"/>
          <w:numId w:val="34"/>
        </w:numPr>
        <w:adjustRightInd w:val="0"/>
        <w:spacing w:before="120" w:after="120" w:line="276" w:lineRule="auto"/>
        <w:ind w:left="357" w:hanging="357"/>
        <w:textAlignment w:val="baseline"/>
        <w:rPr>
          <w:rFonts w:ascii="Cambria" w:hAnsi="Cambria"/>
        </w:rPr>
      </w:pPr>
      <w:r>
        <w:rPr>
          <w:rFonts w:ascii="Cambria" w:hAnsi="Cambria"/>
          <w:b/>
          <w:bCs/>
          <w:szCs w:val="22"/>
        </w:rPr>
        <w:t>On-arrival inspection</w:t>
      </w:r>
      <w:r>
        <w:rPr>
          <w:rFonts w:ascii="Cambria" w:hAnsi="Cambria"/>
          <w:bCs/>
          <w:szCs w:val="22"/>
        </w:rPr>
        <w:t xml:space="preserve">—to </w:t>
      </w:r>
      <w:r>
        <w:rPr>
          <w:rFonts w:ascii="Cambria" w:hAnsi="Cambria"/>
        </w:rPr>
        <w:t>verify freedom from live insects, soil, disease symptoms, prohibited seeds, other plant material, animal material and any other extraneous contamination of quarantine concern.</w:t>
      </w:r>
    </w:p>
    <w:p w14:paraId="32C05E72" w14:textId="77777777" w:rsidR="008163B6" w:rsidRDefault="00F709BD" w:rsidP="006F4BBD">
      <w:pPr>
        <w:spacing w:before="120" w:after="120" w:line="276" w:lineRule="auto"/>
      </w:pPr>
      <w:r>
        <w:rPr>
          <w:rFonts w:ascii="Cambria" w:hAnsi="Cambria"/>
          <w:szCs w:val="20"/>
        </w:rPr>
        <w:t>The department invites comments on the technical aspects of the proposed risk management measures within the consultation period. In particular, comments are sought on their appropriateness and any other measures stakeholders consider would provide equivalent risk management outcomes. The department will consider any comments received before finalising the PRA and import policy recommendations.</w:t>
      </w:r>
    </w:p>
    <w:p w14:paraId="18F404C6" w14:textId="77777777" w:rsidR="008163B6" w:rsidRDefault="008163B6">
      <w:pPr>
        <w:spacing w:before="120" w:after="120" w:line="269" w:lineRule="auto"/>
      </w:pPr>
    </w:p>
    <w:p w14:paraId="6467CCBC" w14:textId="77777777" w:rsidR="008163B6" w:rsidRDefault="008163B6">
      <w:pPr>
        <w:spacing w:before="200"/>
        <w:rPr>
          <w:rFonts w:eastAsiaTheme="majorEastAsia" w:cstheme="majorBidi"/>
          <w:b/>
          <w:color w:val="D52B1E"/>
          <w:sz w:val="34"/>
        </w:rPr>
        <w:sectPr w:rsidR="008163B6" w:rsidSect="006D729D">
          <w:headerReference w:type="default" r:id="rId29"/>
          <w:pgSz w:w="11906" w:h="16838"/>
          <w:pgMar w:top="1418" w:right="1418" w:bottom="1418" w:left="1418" w:header="567" w:footer="283" w:gutter="0"/>
          <w:pgNumType w:start="1"/>
          <w:cols w:space="708"/>
          <w:docGrid w:linePitch="360"/>
        </w:sectPr>
      </w:pPr>
    </w:p>
    <w:p w14:paraId="7D2639F6" w14:textId="77777777" w:rsidR="008163B6" w:rsidRDefault="00F709BD">
      <w:pPr>
        <w:pStyle w:val="Heading1"/>
        <w:pageBreakBefore w:val="0"/>
        <w:numPr>
          <w:ilvl w:val="0"/>
          <w:numId w:val="14"/>
        </w:numPr>
        <w:tabs>
          <w:tab w:val="clear" w:pos="360"/>
        </w:tabs>
        <w:spacing w:before="480" w:after="120"/>
        <w:ind w:left="709" w:hanging="709"/>
        <w:rPr>
          <w:rFonts w:eastAsiaTheme="majorEastAsia" w:cstheme="majorBidi"/>
          <w:b/>
          <w:color w:val="D52B1E"/>
          <w:sz w:val="34"/>
        </w:rPr>
      </w:pPr>
      <w:bookmarkStart w:id="83" w:name="_Toc447540771"/>
      <w:r>
        <w:rPr>
          <w:rFonts w:eastAsiaTheme="majorEastAsia" w:cstheme="majorBidi"/>
          <w:b/>
          <w:color w:val="D52B1E"/>
          <w:sz w:val="34"/>
        </w:rPr>
        <w:t>Introduction</w:t>
      </w:r>
      <w:bookmarkEnd w:id="83"/>
    </w:p>
    <w:p w14:paraId="3E8A8143"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84" w:name="_Toc447540772"/>
      <w:r>
        <w:rPr>
          <w:rFonts w:eastAsiaTheme="majorEastAsia" w:cstheme="majorBidi"/>
          <w:color w:val="773141"/>
          <w:sz w:val="28"/>
        </w:rPr>
        <w:t>Australia’s biosecurity policy framework</w:t>
      </w:r>
      <w:bookmarkEnd w:id="84"/>
    </w:p>
    <w:p w14:paraId="628DBA95" w14:textId="77777777" w:rsidR="008163B6" w:rsidRDefault="00F709BD" w:rsidP="006F4BBD">
      <w:pPr>
        <w:spacing w:before="120" w:after="120" w:line="276" w:lineRule="auto"/>
        <w:rPr>
          <w:rFonts w:ascii="Cambria" w:hAnsi="Cambria"/>
        </w:rPr>
      </w:pPr>
      <w:r>
        <w:rPr>
          <w:rFonts w:ascii="Cambria" w:hAnsi="Cambria"/>
        </w:rP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723BDEC3" w14:textId="77777777" w:rsidR="008163B6" w:rsidRDefault="00F709BD" w:rsidP="006F4BBD">
      <w:pPr>
        <w:spacing w:before="120" w:after="120" w:line="276" w:lineRule="auto"/>
        <w:rPr>
          <w:rFonts w:ascii="Cambria" w:hAnsi="Cambria"/>
        </w:rPr>
      </w:pPr>
      <w:r>
        <w:rPr>
          <w:rFonts w:ascii="Cambria" w:hAnsi="Cambria"/>
        </w:rPr>
        <w:t>The risk analysis process is an important part of Australia's biosecurity policies. It enables the Australian Government to formally consider the risks that could be associated with proposals to import new products into Australia. If the risks are found to exceed Australia’s appropriate level of protection (ALOP), risk management measures are proposed to reduce the risks to an acceptable level. But, if it is not possible to reduce the risks to an acceptable level, then no trade will be allowed.</w:t>
      </w:r>
    </w:p>
    <w:p w14:paraId="7DDDC99C" w14:textId="77777777" w:rsidR="008163B6" w:rsidRDefault="00F709BD" w:rsidP="006F4BBD">
      <w:pPr>
        <w:spacing w:before="120" w:after="120" w:line="276" w:lineRule="auto"/>
        <w:rPr>
          <w:rFonts w:ascii="Cambria" w:hAnsi="Cambria"/>
        </w:rPr>
      </w:pPr>
      <w:r>
        <w:rPr>
          <w:rFonts w:ascii="Cambria" w:hAnsi="Cambria"/>
        </w:rPr>
        <w:t>Successive Australian governments have maintained a stringent, but not a zero risk approach to the management of biosecurity risks. This approach is expressed in terms of Australia's ALOP, which reflects community expectations through government policy and is currently described as providing a high level of protection aimed at reducing risk to a very low level, but not to zero.</w:t>
      </w:r>
    </w:p>
    <w:p w14:paraId="408C5FBB" w14:textId="77777777" w:rsidR="008163B6" w:rsidRDefault="00F709BD" w:rsidP="006F4BBD">
      <w:pPr>
        <w:spacing w:before="120" w:after="120" w:line="276" w:lineRule="auto"/>
        <w:rPr>
          <w:rFonts w:ascii="Cambria" w:hAnsi="Cambria"/>
        </w:rPr>
      </w:pPr>
      <w:r>
        <w:rPr>
          <w:rFonts w:ascii="Cambria" w:hAnsi="Cambria"/>
        </w:rPr>
        <w:t xml:space="preserve">Australia’s pest risk analyses (PRAs) are undertaken by the Department of Agriculture and Water Resources, hereafter referred to as the department, using teams of technical and scientific experts in relevant fields and involves consultation with stakeholders at various stages during the process. </w:t>
      </w:r>
    </w:p>
    <w:p w14:paraId="3ADBDE96" w14:textId="7FAFF98D" w:rsidR="008163B6" w:rsidRPr="001F588E" w:rsidRDefault="00F709BD" w:rsidP="006F4BBD">
      <w:pPr>
        <w:spacing w:before="120" w:after="120" w:line="276" w:lineRule="auto"/>
        <w:rPr>
          <w:rFonts w:asciiTheme="majorHAnsi" w:hAnsiTheme="majorHAnsi"/>
        </w:rPr>
      </w:pPr>
      <w:r w:rsidRPr="001F588E">
        <w:rPr>
          <w:rFonts w:asciiTheme="majorHAnsi" w:hAnsiTheme="majorHAnsi"/>
        </w:rPr>
        <w:t xml:space="preserve">Further information about Australia’s biosecurity framework is provided in the </w:t>
      </w:r>
      <w:r w:rsidRPr="001F588E">
        <w:rPr>
          <w:rFonts w:asciiTheme="majorHAnsi" w:hAnsiTheme="majorHAnsi"/>
          <w:i/>
        </w:rPr>
        <w:t>Import Risk Analysis Handbook 2011</w:t>
      </w:r>
      <w:r w:rsidRPr="001F588E">
        <w:rPr>
          <w:rFonts w:asciiTheme="majorHAnsi" w:hAnsiTheme="majorHAnsi"/>
        </w:rPr>
        <w:t xml:space="preserve"> located on the </w:t>
      </w:r>
      <w:hyperlink r:id="rId30" w:history="1">
        <w:r w:rsidRPr="001F588E">
          <w:rPr>
            <w:rStyle w:val="Hyperlink"/>
            <w:rFonts w:asciiTheme="majorHAnsi" w:hAnsiTheme="majorHAnsi"/>
          </w:rPr>
          <w:t>Department of Agriculture and Water Resources</w:t>
        </w:r>
      </w:hyperlink>
      <w:r w:rsidRPr="001F588E">
        <w:rPr>
          <w:rFonts w:asciiTheme="majorHAnsi" w:hAnsiTheme="majorHAnsi"/>
        </w:rPr>
        <w:t xml:space="preserve"> website.</w:t>
      </w:r>
    </w:p>
    <w:p w14:paraId="1FF6F23E" w14:textId="013A012C" w:rsidR="008163B6" w:rsidRDefault="006D1F00">
      <w:pPr>
        <w:pStyle w:val="Heading2"/>
        <w:numPr>
          <w:ilvl w:val="1"/>
          <w:numId w:val="21"/>
        </w:numPr>
        <w:tabs>
          <w:tab w:val="clear" w:pos="576"/>
        </w:tabs>
        <w:spacing w:before="200" w:after="120"/>
        <w:ind w:left="357" w:hanging="357"/>
        <w:rPr>
          <w:rFonts w:eastAsiaTheme="majorEastAsia" w:cstheme="majorBidi"/>
          <w:color w:val="773141"/>
          <w:sz w:val="28"/>
        </w:rPr>
      </w:pPr>
      <w:bookmarkStart w:id="85" w:name="_Toc447540773"/>
      <w:r>
        <w:rPr>
          <w:rFonts w:eastAsiaTheme="majorEastAsia" w:cstheme="majorBidi"/>
          <w:color w:val="773141"/>
          <w:sz w:val="28"/>
        </w:rPr>
        <w:t>This Pest Risk A</w:t>
      </w:r>
      <w:r w:rsidR="00F709BD">
        <w:rPr>
          <w:rFonts w:eastAsiaTheme="majorEastAsia" w:cstheme="majorBidi"/>
          <w:color w:val="773141"/>
          <w:sz w:val="28"/>
        </w:rPr>
        <w:t>nalysis</w:t>
      </w:r>
      <w:bookmarkEnd w:id="85"/>
    </w:p>
    <w:p w14:paraId="5FB7EE84" w14:textId="484FBBF0" w:rsidR="008163B6" w:rsidRDefault="00F709BD" w:rsidP="006F4BBD">
      <w:pPr>
        <w:pStyle w:val="Default"/>
        <w:spacing w:before="120" w:after="120" w:line="276" w:lineRule="auto"/>
        <w:rPr>
          <w:rFonts w:ascii="Cambria" w:hAnsi="Cambria"/>
          <w:iCs/>
          <w:sz w:val="22"/>
          <w:szCs w:val="22"/>
        </w:rPr>
      </w:pPr>
      <w:r>
        <w:rPr>
          <w:rFonts w:ascii="Cambria" w:hAnsi="Cambria" w:cstheme="minorHAnsi"/>
          <w:sz w:val="22"/>
          <w:szCs w:val="22"/>
        </w:rPr>
        <w:t xml:space="preserve">The department undertook this PRA to meet Australia’s </w:t>
      </w:r>
      <w:r>
        <w:rPr>
          <w:rFonts w:ascii="Cambria" w:hAnsi="Cambria"/>
          <w:iCs/>
          <w:sz w:val="22"/>
          <w:szCs w:val="22"/>
        </w:rPr>
        <w:t>o</w:t>
      </w:r>
      <w:r w:rsidR="005B71CB">
        <w:rPr>
          <w:rFonts w:ascii="Cambria" w:hAnsi="Cambria"/>
          <w:iCs/>
          <w:sz w:val="22"/>
          <w:szCs w:val="22"/>
        </w:rPr>
        <w:t xml:space="preserve">bligations under the </w:t>
      </w:r>
      <w:r>
        <w:rPr>
          <w:rFonts w:ascii="Cambria" w:hAnsi="Cambria"/>
          <w:iCs/>
          <w:sz w:val="22"/>
          <w:szCs w:val="22"/>
        </w:rPr>
        <w:t>IPPC and ISPM</w:t>
      </w:r>
      <w:r w:rsidR="005B71CB">
        <w:rPr>
          <w:rFonts w:ascii="Cambria" w:hAnsi="Cambria"/>
          <w:iCs/>
          <w:sz w:val="22"/>
          <w:szCs w:val="22"/>
        </w:rPr>
        <w:t xml:space="preserve"> </w:t>
      </w:r>
      <w:r w:rsidR="00E74AFF">
        <w:rPr>
          <w:rFonts w:ascii="Cambria" w:hAnsi="Cambria"/>
          <w:iCs/>
          <w:sz w:val="22"/>
          <w:szCs w:val="22"/>
        </w:rPr>
        <w:t>No. </w:t>
      </w:r>
      <w:r w:rsidR="005B71CB">
        <w:rPr>
          <w:rFonts w:ascii="Cambria" w:hAnsi="Cambria"/>
          <w:iCs/>
          <w:sz w:val="22"/>
          <w:szCs w:val="22"/>
        </w:rPr>
        <w:t xml:space="preserve">1 </w:t>
      </w:r>
      <w:r>
        <w:rPr>
          <w:rFonts w:ascii="Cambria" w:hAnsi="Cambria"/>
          <w:iCs/>
          <w:sz w:val="22"/>
          <w:szCs w:val="22"/>
        </w:rPr>
        <w:t xml:space="preserve">to review emergency phytosanitary measures introduced to </w:t>
      </w:r>
      <w:r>
        <w:rPr>
          <w:rFonts w:asciiTheme="majorHAnsi" w:hAnsiTheme="majorHAnsi"/>
          <w:bCs/>
          <w:sz w:val="22"/>
          <w:szCs w:val="22"/>
        </w:rPr>
        <w:t>manage the risk of introducing CGMMV into Australia</w:t>
      </w:r>
      <w:r>
        <w:rPr>
          <w:rFonts w:ascii="Cambria" w:hAnsi="Cambria"/>
          <w:iCs/>
          <w:sz w:val="22"/>
          <w:szCs w:val="22"/>
        </w:rPr>
        <w:t xml:space="preserve">. </w:t>
      </w:r>
      <w:r>
        <w:rPr>
          <w:rFonts w:ascii="Cambria" w:hAnsi="Cambria"/>
          <w:bCs/>
          <w:sz w:val="22"/>
          <w:szCs w:val="22"/>
        </w:rPr>
        <w:t xml:space="preserve">Australia introduced emergency measures for host propagative material and notified trading partners of the emergency measures in October 2014 through a World Trade Organization Sanitary and Phytosanitary (WTO SPS) notification </w:t>
      </w:r>
      <w:r>
        <w:rPr>
          <w:rFonts w:ascii="Cambria" w:hAnsi="Cambria"/>
          <w:iCs/>
          <w:sz w:val="22"/>
          <w:szCs w:val="22"/>
        </w:rPr>
        <w:t>(G/SPS/N/AUS/347)</w:t>
      </w:r>
      <w:r>
        <w:rPr>
          <w:rFonts w:ascii="Cambria" w:hAnsi="Cambria"/>
          <w:bCs/>
          <w:sz w:val="22"/>
          <w:szCs w:val="22"/>
        </w:rPr>
        <w:t xml:space="preserve">. </w:t>
      </w:r>
      <w:r w:rsidR="0026168F">
        <w:rPr>
          <w:rFonts w:ascii="Cambria" w:hAnsi="Cambria"/>
          <w:bCs/>
          <w:sz w:val="22"/>
          <w:szCs w:val="22"/>
        </w:rPr>
        <w:t>These emergency measures were amended in December 2015 to regulate the importation of additional seed-borne hosts of CGMMV (</w:t>
      </w:r>
      <w:r w:rsidR="0026168F">
        <w:rPr>
          <w:rFonts w:ascii="Cambria" w:hAnsi="Cambria"/>
          <w:iCs/>
          <w:sz w:val="22"/>
          <w:szCs w:val="22"/>
        </w:rPr>
        <w:t>G/SPS/N/AUS/347/Add.3</w:t>
      </w:r>
      <w:r w:rsidR="0026168F">
        <w:rPr>
          <w:rFonts w:ascii="Cambria" w:hAnsi="Cambria"/>
          <w:bCs/>
          <w:sz w:val="22"/>
          <w:szCs w:val="22"/>
        </w:rPr>
        <w:t xml:space="preserve">). </w:t>
      </w:r>
      <w:r>
        <w:rPr>
          <w:rFonts w:ascii="Cambria" w:hAnsi="Cambria"/>
          <w:iCs/>
          <w:sz w:val="22"/>
          <w:szCs w:val="22"/>
        </w:rPr>
        <w:t xml:space="preserve">The IPPC and the World Trade Organisation Agreement on the Application of Sanitary and Phytosanitary Measures (SPS Agreement), require that any measure against the introduction and spread of new pests must be justified by a science-based </w:t>
      </w:r>
      <w:r w:rsidR="0093657E">
        <w:rPr>
          <w:rFonts w:ascii="Cambria" w:hAnsi="Cambria"/>
          <w:iCs/>
          <w:sz w:val="22"/>
          <w:szCs w:val="22"/>
        </w:rPr>
        <w:t xml:space="preserve">assessment, such as </w:t>
      </w:r>
      <w:r w:rsidR="00057DB1">
        <w:rPr>
          <w:rFonts w:ascii="Cambria" w:hAnsi="Cambria"/>
          <w:iCs/>
          <w:sz w:val="22"/>
          <w:szCs w:val="22"/>
        </w:rPr>
        <w:t xml:space="preserve">a </w:t>
      </w:r>
      <w:r>
        <w:rPr>
          <w:rFonts w:ascii="Cambria" w:hAnsi="Cambria"/>
          <w:iCs/>
          <w:sz w:val="22"/>
          <w:szCs w:val="22"/>
        </w:rPr>
        <w:t>PRA.</w:t>
      </w:r>
    </w:p>
    <w:p w14:paraId="2E462E6C"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86" w:name="_Toc447540774"/>
      <w:r>
        <w:rPr>
          <w:rFonts w:ascii="Calibri" w:hAnsi="Calibri" w:cstheme="minorBidi"/>
          <w:sz w:val="24"/>
          <w:szCs w:val="22"/>
        </w:rPr>
        <w:t>Background</w:t>
      </w:r>
      <w:bookmarkEnd w:id="86"/>
    </w:p>
    <w:p w14:paraId="3D475A12" w14:textId="7A57408A" w:rsidR="0007332A" w:rsidRDefault="00F709BD" w:rsidP="006F4BBD">
      <w:pPr>
        <w:spacing w:before="120" w:after="120" w:line="276" w:lineRule="auto"/>
        <w:rPr>
          <w:rFonts w:ascii="Cambria" w:hAnsi="Cambria"/>
        </w:rPr>
      </w:pPr>
      <w:r>
        <w:rPr>
          <w:rFonts w:ascii="Cambria" w:hAnsi="Cambria" w:cstheme="minorHAnsi"/>
        </w:rPr>
        <w:t xml:space="preserve">The association of </w:t>
      </w:r>
      <w:r>
        <w:rPr>
          <w:rFonts w:ascii="Cambria" w:hAnsi="Cambria" w:cstheme="minorHAnsi"/>
          <w:i/>
        </w:rPr>
        <w:t>Cucumber green mottle mosaic virus</w:t>
      </w:r>
      <w:r>
        <w:rPr>
          <w:rFonts w:ascii="Cambria" w:hAnsi="Cambria" w:cstheme="minorHAnsi"/>
        </w:rPr>
        <w:t xml:space="preserve"> (CGMMV) with crops </w:t>
      </w:r>
      <w:r w:rsidR="00663085">
        <w:rPr>
          <w:rFonts w:ascii="Cambria" w:hAnsi="Cambria" w:cstheme="minorHAnsi"/>
        </w:rPr>
        <w:t xml:space="preserve">in the Cucurbitaceae family (cucurbits) </w:t>
      </w:r>
      <w:r>
        <w:rPr>
          <w:rFonts w:ascii="Cambria" w:hAnsi="Cambria" w:cstheme="minorHAnsi"/>
        </w:rPr>
        <w:t>was first reported in the 1930s from the U</w:t>
      </w:r>
      <w:r w:rsidR="00663085">
        <w:rPr>
          <w:rFonts w:ascii="Cambria" w:hAnsi="Cambria" w:cstheme="minorHAnsi"/>
        </w:rPr>
        <w:t xml:space="preserve">nited </w:t>
      </w:r>
      <w:r>
        <w:rPr>
          <w:rFonts w:ascii="Cambria" w:hAnsi="Cambria" w:cstheme="minorHAnsi"/>
        </w:rPr>
        <w:t>K</w:t>
      </w:r>
      <w:r w:rsidR="00663085">
        <w:rPr>
          <w:rFonts w:ascii="Cambria" w:hAnsi="Cambria" w:cstheme="minorHAnsi"/>
        </w:rPr>
        <w:t>ingdom</w:t>
      </w:r>
      <w:r>
        <w:rPr>
          <w:rFonts w:ascii="Cambria" w:hAnsi="Cambria" w:cstheme="minorHAnsi"/>
        </w:rPr>
        <w:t xml:space="preserve"> </w:t>
      </w:r>
      <w:r>
        <w:rPr>
          <w:rFonts w:ascii="Cambria" w:hAnsi="Cambria"/>
        </w:rPr>
        <w:t xml:space="preserve">(Ainsworth 1935; </w:t>
      </w:r>
      <w:proofErr w:type="spellStart"/>
      <w:r w:rsidR="001F588E">
        <w:rPr>
          <w:rFonts w:ascii="Cambria" w:hAnsi="Cambria"/>
        </w:rPr>
        <w:t>Ugaki</w:t>
      </w:r>
      <w:proofErr w:type="spellEnd"/>
      <w:r>
        <w:rPr>
          <w:rFonts w:ascii="Cambria" w:hAnsi="Cambria"/>
        </w:rPr>
        <w:t xml:space="preserve"> et al. 1991). S</w:t>
      </w:r>
      <w:r>
        <w:rPr>
          <w:rFonts w:ascii="Cambria" w:hAnsi="Cambria"/>
          <w:color w:val="000000"/>
        </w:rPr>
        <w:t>ince</w:t>
      </w:r>
      <w:r>
        <w:rPr>
          <w:rFonts w:ascii="Cambria" w:hAnsi="Cambria"/>
        </w:rPr>
        <w:t xml:space="preserve"> then, the virus has spread among cucurbit crops worldwide</w:t>
      </w:r>
      <w:r w:rsidR="00B5684E">
        <w:rPr>
          <w:rFonts w:ascii="Cambria" w:hAnsi="Cambria"/>
        </w:rPr>
        <w:t>, causing severe disease symptoms and yield loss</w:t>
      </w:r>
      <w:r>
        <w:rPr>
          <w:rFonts w:ascii="Cambria" w:hAnsi="Cambria"/>
        </w:rPr>
        <w:t xml:space="preserve"> (</w:t>
      </w:r>
      <w:r w:rsidR="00B5684E">
        <w:rPr>
          <w:rFonts w:ascii="Cambria" w:hAnsi="Cambria"/>
        </w:rPr>
        <w:t xml:space="preserve">Shang et al. 2011; </w:t>
      </w:r>
      <w:proofErr w:type="spellStart"/>
      <w:r w:rsidR="00B5684E">
        <w:rPr>
          <w:rFonts w:ascii="Cambria" w:hAnsi="Cambria"/>
        </w:rPr>
        <w:t>Reingold</w:t>
      </w:r>
      <w:proofErr w:type="spellEnd"/>
      <w:r w:rsidR="00B5684E">
        <w:rPr>
          <w:rFonts w:ascii="Cambria" w:hAnsi="Cambria"/>
        </w:rPr>
        <w:t xml:space="preserve"> et al. 2013; </w:t>
      </w:r>
      <w:proofErr w:type="spellStart"/>
      <w:r>
        <w:rPr>
          <w:rFonts w:ascii="Cambria" w:hAnsi="Cambria"/>
        </w:rPr>
        <w:t>Reingold</w:t>
      </w:r>
      <w:proofErr w:type="spellEnd"/>
      <w:r>
        <w:rPr>
          <w:rFonts w:ascii="Cambria" w:hAnsi="Cambria"/>
        </w:rPr>
        <w:t xml:space="preserve"> et al. 201</w:t>
      </w:r>
      <w:r>
        <w:rPr>
          <w:rFonts w:ascii="Cambria" w:hAnsi="Cambria" w:hint="eastAsia"/>
        </w:rPr>
        <w:t>5</w:t>
      </w:r>
      <w:r>
        <w:rPr>
          <w:rFonts w:ascii="Cambria" w:hAnsi="Cambria"/>
        </w:rPr>
        <w:t xml:space="preserve">). </w:t>
      </w:r>
      <w:r w:rsidR="008C539A">
        <w:rPr>
          <w:rFonts w:ascii="Cambria" w:hAnsi="Cambria"/>
        </w:rPr>
        <w:t>This virus systemically infects cucurbit hosts</w:t>
      </w:r>
      <w:r w:rsidR="00B5684E">
        <w:rPr>
          <w:rFonts w:ascii="Cambria" w:hAnsi="Cambria"/>
        </w:rPr>
        <w:t xml:space="preserve"> </w:t>
      </w:r>
      <w:r w:rsidR="00B5684E">
        <w:rPr>
          <w:rFonts w:ascii="Cambria" w:eastAsia="Cambria" w:hAnsi="Cambria" w:cs="Times-Roman"/>
        </w:rPr>
        <w:t>(Moreno et al. 2004)</w:t>
      </w:r>
      <w:r w:rsidR="008C539A">
        <w:rPr>
          <w:rFonts w:ascii="Cambria" w:hAnsi="Cambria"/>
        </w:rPr>
        <w:t xml:space="preserve"> and </w:t>
      </w:r>
      <w:r w:rsidR="008C539A">
        <w:rPr>
          <w:rFonts w:ascii="Cambria" w:hAnsi="Cambria"/>
          <w:bCs/>
        </w:rPr>
        <w:t>is seed-borne and seed-transmitted in several cucurbit</w:t>
      </w:r>
      <w:r w:rsidR="00663085">
        <w:rPr>
          <w:rFonts w:ascii="Cambria" w:hAnsi="Cambria"/>
          <w:bCs/>
        </w:rPr>
        <w:t xml:space="preserve"> </w:t>
      </w:r>
      <w:r w:rsidR="008C539A">
        <w:rPr>
          <w:rFonts w:ascii="Cambria" w:hAnsi="Cambria"/>
          <w:bCs/>
        </w:rPr>
        <w:t>s</w:t>
      </w:r>
      <w:r w:rsidR="00663085">
        <w:rPr>
          <w:rFonts w:ascii="Cambria" w:hAnsi="Cambria"/>
          <w:bCs/>
        </w:rPr>
        <w:t>pecies</w:t>
      </w:r>
      <w:r w:rsidR="008C539A">
        <w:rPr>
          <w:rFonts w:ascii="Cambria" w:hAnsi="Cambria"/>
          <w:bCs/>
        </w:rPr>
        <w:t xml:space="preserve"> (</w:t>
      </w:r>
      <w:r w:rsidR="008C539A">
        <w:rPr>
          <w:rFonts w:ascii="Cambria" w:hAnsi="Cambria"/>
        </w:rPr>
        <w:t xml:space="preserve">Yoon et al. 2008; Liu et al. 2014; </w:t>
      </w:r>
      <w:proofErr w:type="spellStart"/>
      <w:r w:rsidR="008C539A">
        <w:rPr>
          <w:rFonts w:ascii="Cambria" w:hAnsi="Cambria"/>
        </w:rPr>
        <w:t>Reingold</w:t>
      </w:r>
      <w:proofErr w:type="spellEnd"/>
      <w:r w:rsidR="008C539A">
        <w:rPr>
          <w:rFonts w:ascii="Cambria" w:hAnsi="Cambria"/>
        </w:rPr>
        <w:t xml:space="preserve"> et al. 2015</w:t>
      </w:r>
      <w:r w:rsidR="008C539A">
        <w:rPr>
          <w:rFonts w:ascii="Cambria" w:hAnsi="Cambria"/>
          <w:bCs/>
        </w:rPr>
        <w:t>).</w:t>
      </w:r>
      <w:r w:rsidR="00B5684E">
        <w:rPr>
          <w:rFonts w:ascii="Cambria" w:hAnsi="Cambria"/>
          <w:bCs/>
        </w:rPr>
        <w:t xml:space="preserve"> The association of CGMMV with seed in particular is likely to have contributed to its spread worldwide</w:t>
      </w:r>
      <w:r w:rsidR="0007332A">
        <w:rPr>
          <w:rFonts w:ascii="Cambria" w:hAnsi="Cambria"/>
          <w:bCs/>
        </w:rPr>
        <w:t xml:space="preserve">. </w:t>
      </w:r>
      <w:r w:rsidR="005E1DBE">
        <w:rPr>
          <w:rFonts w:ascii="Cambria" w:hAnsi="Cambria"/>
          <w:bCs/>
        </w:rPr>
        <w:t>For example, t</w:t>
      </w:r>
      <w:r w:rsidR="0007332A">
        <w:rPr>
          <w:rFonts w:ascii="Cambria" w:hAnsi="Cambria"/>
        </w:rPr>
        <w:t xml:space="preserve">he introduction of CGMMV into Japan in 1966 was linked to </w:t>
      </w:r>
      <w:r w:rsidR="0007332A">
        <w:rPr>
          <w:rFonts w:ascii="Cambria" w:hAnsi="Cambria"/>
          <w:i/>
        </w:rPr>
        <w:t>Lagenaria siceraria</w:t>
      </w:r>
      <w:r w:rsidR="0007332A">
        <w:rPr>
          <w:rFonts w:ascii="Cambria" w:hAnsi="Cambria"/>
        </w:rPr>
        <w:t xml:space="preserve"> seed imported from India (</w:t>
      </w:r>
      <w:proofErr w:type="spellStart"/>
      <w:r w:rsidR="0007332A">
        <w:rPr>
          <w:rFonts w:ascii="Cambria" w:hAnsi="Cambria"/>
        </w:rPr>
        <w:t>Tochihara</w:t>
      </w:r>
      <w:proofErr w:type="spellEnd"/>
      <w:r w:rsidR="0007332A">
        <w:rPr>
          <w:rFonts w:ascii="Cambria" w:hAnsi="Cambria"/>
        </w:rPr>
        <w:t xml:space="preserve"> &amp; </w:t>
      </w:r>
      <w:proofErr w:type="spellStart"/>
      <w:r w:rsidR="0007332A">
        <w:rPr>
          <w:rFonts w:ascii="Cambria" w:hAnsi="Cambria"/>
        </w:rPr>
        <w:t>Komuro</w:t>
      </w:r>
      <w:proofErr w:type="spellEnd"/>
      <w:r w:rsidR="0007332A">
        <w:rPr>
          <w:rFonts w:ascii="Cambria" w:hAnsi="Cambria"/>
        </w:rPr>
        <w:t xml:space="preserve"> 1974; Kobayashi 1990). </w:t>
      </w:r>
    </w:p>
    <w:p w14:paraId="4E8E2FA1" w14:textId="2D6C57CE" w:rsidR="00875CF5" w:rsidRDefault="00F709BD" w:rsidP="006F4BBD">
      <w:pPr>
        <w:spacing w:before="120" w:after="120" w:line="276" w:lineRule="auto"/>
        <w:rPr>
          <w:rFonts w:ascii="Cambria" w:hAnsi="Cambria" w:cstheme="minorHAnsi"/>
        </w:rPr>
      </w:pPr>
      <w:r>
        <w:rPr>
          <w:rFonts w:ascii="Cambria" w:hAnsi="Cambria"/>
        </w:rPr>
        <w:t xml:space="preserve">Australia was free of CGMMV; however, </w:t>
      </w:r>
      <w:r>
        <w:rPr>
          <w:rFonts w:ascii="Cambria" w:hAnsi="Cambria" w:cstheme="minorHAnsi"/>
        </w:rPr>
        <w:t xml:space="preserve">in </w:t>
      </w:r>
      <w:r w:rsidR="00C918ED">
        <w:rPr>
          <w:rFonts w:ascii="Cambria" w:hAnsi="Cambria" w:cstheme="minorHAnsi"/>
        </w:rPr>
        <w:t>September</w:t>
      </w:r>
      <w:r>
        <w:rPr>
          <w:rFonts w:ascii="Cambria" w:hAnsi="Cambria" w:cstheme="minorHAnsi"/>
        </w:rPr>
        <w:t xml:space="preserve"> 2014 this virus was </w:t>
      </w:r>
      <w:r w:rsidR="00C918ED">
        <w:rPr>
          <w:rFonts w:ascii="Cambria" w:hAnsi="Cambria" w:cstheme="minorHAnsi"/>
        </w:rPr>
        <w:t xml:space="preserve">confirmed to occur </w:t>
      </w:r>
      <w:r>
        <w:rPr>
          <w:rFonts w:ascii="Cambria" w:hAnsi="Cambria" w:cstheme="minorHAnsi"/>
        </w:rPr>
        <w:t xml:space="preserve">in commercial watermelon farms near Katherine and Darwin, in the Northern Territory. CGMMV </w:t>
      </w:r>
      <w:r>
        <w:rPr>
          <w:rFonts w:ascii="Cambria" w:hAnsi="Cambria"/>
          <w:color w:val="000000"/>
        </w:rPr>
        <w:t xml:space="preserve">was declared a quarantine pathogen and delimiting surveys were initiated for all </w:t>
      </w:r>
      <w:r w:rsidR="00B5684E">
        <w:rPr>
          <w:rFonts w:ascii="Cambria" w:hAnsi="Cambria"/>
          <w:color w:val="000000"/>
        </w:rPr>
        <w:t xml:space="preserve">cucurbit </w:t>
      </w:r>
      <w:r>
        <w:rPr>
          <w:rFonts w:ascii="Cambria" w:hAnsi="Cambria"/>
          <w:color w:val="000000"/>
        </w:rPr>
        <w:t xml:space="preserve">growing areas in the Northern Territory. </w:t>
      </w:r>
      <w:r>
        <w:rPr>
          <w:rFonts w:ascii="Cambria" w:hAnsi="Cambria" w:cstheme="minorHAnsi"/>
        </w:rPr>
        <w:t xml:space="preserve">The detection of CGMMV in </w:t>
      </w:r>
      <w:r w:rsidR="00E453E7">
        <w:rPr>
          <w:rFonts w:ascii="Cambria" w:hAnsi="Cambria" w:cstheme="minorHAnsi"/>
        </w:rPr>
        <w:t xml:space="preserve">the </w:t>
      </w:r>
      <w:r>
        <w:rPr>
          <w:rFonts w:ascii="Cambria" w:hAnsi="Cambria" w:cstheme="minorHAnsi"/>
        </w:rPr>
        <w:t>Northern Territory triggered the introduction of emergency measures in October 2014 to manage the risk of further introductions of CGMMV into Australia.</w:t>
      </w:r>
      <w:r w:rsidR="00C918ED">
        <w:rPr>
          <w:rFonts w:ascii="Cambria" w:hAnsi="Cambria" w:cstheme="minorHAnsi"/>
        </w:rPr>
        <w:t xml:space="preserve"> </w:t>
      </w:r>
      <w:r w:rsidR="00AE0C7B">
        <w:rPr>
          <w:rFonts w:ascii="Cambria" w:hAnsi="Cambria"/>
          <w:color w:val="000000"/>
        </w:rPr>
        <w:t xml:space="preserve">In April 2015, </w:t>
      </w:r>
      <w:r w:rsidR="00AE0C7B">
        <w:rPr>
          <w:rFonts w:ascii="Cambria" w:hAnsi="Cambria"/>
        </w:rPr>
        <w:t>CGMMV</w:t>
      </w:r>
      <w:r w:rsidR="00AE0C7B" w:rsidRPr="00875CF5">
        <w:rPr>
          <w:rFonts w:ascii="Cambria" w:hAnsi="Cambria" w:cstheme="minorHAnsi"/>
        </w:rPr>
        <w:t xml:space="preserve"> was found on </w:t>
      </w:r>
      <w:r w:rsidR="00AE0C7B">
        <w:rPr>
          <w:rFonts w:ascii="Cambria" w:hAnsi="Cambria" w:cstheme="minorHAnsi"/>
        </w:rPr>
        <w:t xml:space="preserve">a single </w:t>
      </w:r>
      <w:r w:rsidR="00AE0C7B" w:rsidRPr="00875CF5">
        <w:rPr>
          <w:rFonts w:ascii="Cambria" w:hAnsi="Cambria" w:cstheme="minorHAnsi"/>
        </w:rPr>
        <w:t>property near Charters Towers in Queensland</w:t>
      </w:r>
      <w:r w:rsidR="00AE0C7B">
        <w:rPr>
          <w:rFonts w:ascii="Cambria" w:hAnsi="Cambria" w:cstheme="minorHAnsi"/>
        </w:rPr>
        <w:t xml:space="preserve"> and the infected property </w:t>
      </w:r>
      <w:r w:rsidR="00AE0C7B" w:rsidRPr="00875CF5">
        <w:rPr>
          <w:rFonts w:ascii="Cambria" w:hAnsi="Cambria" w:cstheme="minorHAnsi"/>
        </w:rPr>
        <w:t>remains under quarantine.</w:t>
      </w:r>
      <w:r w:rsidR="00AE0C7B">
        <w:rPr>
          <w:rFonts w:ascii="Cambria" w:hAnsi="Cambria" w:cstheme="minorHAnsi"/>
        </w:rPr>
        <w:t xml:space="preserve"> </w:t>
      </w:r>
      <w:r w:rsidR="00C918ED">
        <w:rPr>
          <w:rFonts w:ascii="Cambria" w:hAnsi="Cambria" w:cstheme="minorHAnsi"/>
        </w:rPr>
        <w:t xml:space="preserve">The </w:t>
      </w:r>
      <w:r w:rsidR="00AE0C7B">
        <w:rPr>
          <w:rFonts w:ascii="Cambria" w:hAnsi="Cambria" w:cstheme="minorHAnsi"/>
        </w:rPr>
        <w:t xml:space="preserve">emergency </w:t>
      </w:r>
      <w:r w:rsidR="00C918ED">
        <w:rPr>
          <w:rFonts w:ascii="Cambria" w:hAnsi="Cambria" w:cstheme="minorHAnsi"/>
        </w:rPr>
        <w:t>measures were amended in December 2015 to update the host list for CGMMV in response to the detection of this virus in the seeds of additional hosts.</w:t>
      </w:r>
    </w:p>
    <w:p w14:paraId="0479E7CE" w14:textId="1D48977E" w:rsidR="008163B6" w:rsidRDefault="00F709BD" w:rsidP="006F4BBD">
      <w:pPr>
        <w:spacing w:before="120" w:after="120" w:line="276" w:lineRule="auto"/>
        <w:rPr>
          <w:rFonts w:ascii="Cambria" w:hAnsi="Cambria" w:cstheme="minorHAnsi"/>
        </w:rPr>
      </w:pPr>
      <w:r>
        <w:rPr>
          <w:rFonts w:ascii="Cambria" w:hAnsi="Cambria"/>
        </w:rPr>
        <w:t xml:space="preserve">Prior to the introduction of emergency measures, the importation of </w:t>
      </w:r>
      <w:r w:rsidR="00663085">
        <w:rPr>
          <w:rFonts w:ascii="Cambria" w:hAnsi="Cambria"/>
        </w:rPr>
        <w:t xml:space="preserve">cucurbit crop </w:t>
      </w:r>
      <w:r>
        <w:rPr>
          <w:rFonts w:ascii="Cambria" w:hAnsi="Cambria"/>
        </w:rPr>
        <w:t>propagative material (tissue cultures, nursery stock</w:t>
      </w:r>
      <w:r w:rsidR="00663085">
        <w:rPr>
          <w:rFonts w:ascii="Cambria" w:hAnsi="Cambria"/>
        </w:rPr>
        <w:t xml:space="preserve"> and</w:t>
      </w:r>
      <w:r>
        <w:rPr>
          <w:rFonts w:ascii="Cambria" w:hAnsi="Cambria"/>
        </w:rPr>
        <w:t xml:space="preserve"> seeds) from all sources w</w:t>
      </w:r>
      <w:r w:rsidR="00E453E7">
        <w:rPr>
          <w:rFonts w:ascii="Cambria" w:hAnsi="Cambria"/>
        </w:rPr>
        <w:t>as</w:t>
      </w:r>
      <w:r>
        <w:rPr>
          <w:rFonts w:ascii="Cambria" w:hAnsi="Cambria"/>
        </w:rPr>
        <w:t xml:space="preserve"> permitted </w:t>
      </w:r>
      <w:r w:rsidR="00663085">
        <w:rPr>
          <w:rFonts w:ascii="Cambria" w:hAnsi="Cambria"/>
        </w:rPr>
        <w:t xml:space="preserve">into Australia </w:t>
      </w:r>
      <w:r>
        <w:rPr>
          <w:rFonts w:ascii="Cambria" w:hAnsi="Cambria"/>
        </w:rPr>
        <w:t>without any specific disease testing.</w:t>
      </w:r>
      <w:r w:rsidR="008C539A">
        <w:rPr>
          <w:rFonts w:ascii="Cambria" w:hAnsi="Cambria"/>
        </w:rPr>
        <w:t xml:space="preserve"> The emergency measures require testing for seeds for sowing of seed-borne hosts of CGMMV. In addition, the importation of nursery stock and tissue cultures of natural hosts of CGMMV is suspended under the emergency measures.</w:t>
      </w:r>
    </w:p>
    <w:p w14:paraId="4D55FDAF" w14:textId="06145F06" w:rsidR="008163B6" w:rsidRDefault="00F709BD" w:rsidP="006F4BBD">
      <w:pPr>
        <w:pStyle w:val="Default"/>
        <w:spacing w:before="120" w:after="120" w:line="276" w:lineRule="auto"/>
        <w:rPr>
          <w:rFonts w:ascii="Cambria" w:hAnsi="Cambria"/>
          <w:bCs/>
          <w:sz w:val="22"/>
          <w:szCs w:val="22"/>
        </w:rPr>
      </w:pPr>
      <w:r>
        <w:rPr>
          <w:rFonts w:ascii="Cambria" w:hAnsi="Cambria"/>
          <w:bCs/>
          <w:sz w:val="22"/>
          <w:szCs w:val="22"/>
        </w:rPr>
        <w:t>Under ISPM</w:t>
      </w:r>
      <w:r>
        <w:rPr>
          <w:rFonts w:ascii="Cambria" w:hAnsi="Cambria"/>
          <w:iCs/>
          <w:sz w:val="22"/>
          <w:szCs w:val="22"/>
        </w:rPr>
        <w:t xml:space="preserve"> </w:t>
      </w:r>
      <w:r w:rsidR="003B1EF1">
        <w:rPr>
          <w:rFonts w:ascii="Cambria" w:hAnsi="Cambria"/>
          <w:iCs/>
          <w:sz w:val="22"/>
          <w:szCs w:val="22"/>
        </w:rPr>
        <w:t xml:space="preserve">No. </w:t>
      </w:r>
      <w:r>
        <w:rPr>
          <w:rFonts w:ascii="Cambria" w:hAnsi="Cambria"/>
          <w:iCs/>
          <w:sz w:val="22"/>
          <w:szCs w:val="22"/>
        </w:rPr>
        <w:t xml:space="preserve">1: </w:t>
      </w:r>
      <w:r>
        <w:rPr>
          <w:rFonts w:ascii="Cambria" w:hAnsi="Cambria"/>
          <w:i/>
          <w:iCs/>
          <w:sz w:val="22"/>
          <w:szCs w:val="22"/>
        </w:rPr>
        <w:t>Phytosanitary principles for the protection of plants and the application of phytosanitary measures in international trade</w:t>
      </w:r>
      <w:r>
        <w:rPr>
          <w:rFonts w:ascii="Cambria" w:hAnsi="Cambria"/>
          <w:bCs/>
          <w:sz w:val="22"/>
          <w:szCs w:val="22"/>
        </w:rPr>
        <w:t xml:space="preserve"> (FAO 2011</w:t>
      </w:r>
      <w:r w:rsidR="0047634C">
        <w:rPr>
          <w:rFonts w:ascii="Cambria" w:hAnsi="Cambria"/>
          <w:bCs/>
          <w:sz w:val="22"/>
          <w:szCs w:val="22"/>
        </w:rPr>
        <w:t>a</w:t>
      </w:r>
      <w:r>
        <w:rPr>
          <w:rFonts w:ascii="Cambria" w:hAnsi="Cambria"/>
          <w:bCs/>
          <w:sz w:val="22"/>
          <w:szCs w:val="22"/>
        </w:rPr>
        <w:t>),</w:t>
      </w:r>
      <w:r>
        <w:rPr>
          <w:rFonts w:ascii="Cambria" w:hAnsi="Cambria"/>
          <w:iCs/>
          <w:sz w:val="22"/>
          <w:szCs w:val="22"/>
        </w:rPr>
        <w:t xml:space="preserve"> Australia is required to review emergency phytosanitary measures and conduct a science-based </w:t>
      </w:r>
      <w:r w:rsidR="00E54B26">
        <w:rPr>
          <w:rFonts w:ascii="Cambria" w:hAnsi="Cambria"/>
          <w:iCs/>
          <w:sz w:val="22"/>
          <w:szCs w:val="22"/>
        </w:rPr>
        <w:t>assessment, such as</w:t>
      </w:r>
      <w:r w:rsidR="008240FC">
        <w:rPr>
          <w:rFonts w:ascii="Cambria" w:hAnsi="Cambria"/>
          <w:iCs/>
          <w:sz w:val="22"/>
          <w:szCs w:val="22"/>
        </w:rPr>
        <w:t xml:space="preserve"> a</w:t>
      </w:r>
      <w:r w:rsidR="00E54B26">
        <w:rPr>
          <w:rFonts w:ascii="Cambria" w:hAnsi="Cambria"/>
          <w:iCs/>
          <w:sz w:val="22"/>
          <w:szCs w:val="22"/>
        </w:rPr>
        <w:t xml:space="preserve"> </w:t>
      </w:r>
      <w:r>
        <w:rPr>
          <w:rFonts w:ascii="Cambria" w:hAnsi="Cambria"/>
          <w:iCs/>
          <w:sz w:val="22"/>
          <w:szCs w:val="22"/>
        </w:rPr>
        <w:t>PRA</w:t>
      </w:r>
      <w:r w:rsidR="00E54B26">
        <w:rPr>
          <w:rFonts w:ascii="Cambria" w:hAnsi="Cambria"/>
          <w:iCs/>
          <w:sz w:val="22"/>
          <w:szCs w:val="22"/>
        </w:rPr>
        <w:t>,</w:t>
      </w:r>
      <w:r>
        <w:rPr>
          <w:rFonts w:ascii="Cambria" w:hAnsi="Cambria"/>
          <w:iCs/>
          <w:sz w:val="22"/>
          <w:szCs w:val="22"/>
        </w:rPr>
        <w:t xml:space="preserve"> to justify the </w:t>
      </w:r>
      <w:r w:rsidR="00A50E5D">
        <w:rPr>
          <w:rFonts w:ascii="Cambria" w:hAnsi="Cambria"/>
          <w:iCs/>
          <w:sz w:val="22"/>
          <w:szCs w:val="22"/>
        </w:rPr>
        <w:t xml:space="preserve">continuance of the </w:t>
      </w:r>
      <w:r>
        <w:rPr>
          <w:rFonts w:ascii="Cambria" w:hAnsi="Cambria"/>
          <w:iCs/>
          <w:sz w:val="22"/>
          <w:szCs w:val="22"/>
        </w:rPr>
        <w:t>measures.</w:t>
      </w:r>
      <w:r>
        <w:rPr>
          <w:rFonts w:ascii="Cambria" w:hAnsi="Cambria"/>
          <w:bCs/>
          <w:sz w:val="22"/>
          <w:szCs w:val="22"/>
        </w:rPr>
        <w:t xml:space="preserve"> Therefore, Australia initiated this pest risk analysis to justify the emergency measures put in place in October 2014 against CGMMV associated with cucurbit seeds.</w:t>
      </w:r>
    </w:p>
    <w:p w14:paraId="1A514D22" w14:textId="126FA5D7" w:rsidR="00875CF5" w:rsidRPr="00875CF5" w:rsidRDefault="00875CF5" w:rsidP="00875CF5">
      <w:pPr>
        <w:spacing w:before="120" w:after="120" w:line="276" w:lineRule="auto"/>
        <w:rPr>
          <w:rFonts w:ascii="Cambria" w:hAnsi="Cambria"/>
        </w:rPr>
      </w:pPr>
      <w:r>
        <w:rPr>
          <w:rFonts w:ascii="Cambria" w:hAnsi="Cambria"/>
        </w:rPr>
        <w:t>In February 2016, t</w:t>
      </w:r>
      <w:r w:rsidRPr="00875CF5">
        <w:rPr>
          <w:rFonts w:ascii="Cambria" w:hAnsi="Cambria"/>
        </w:rPr>
        <w:t>he Northern Territory government announced that the CGMMV quarantine zone will be formally revoked</w:t>
      </w:r>
      <w:r w:rsidR="00E36161">
        <w:rPr>
          <w:rFonts w:ascii="Cambria" w:hAnsi="Cambria"/>
        </w:rPr>
        <w:t>. However, n</w:t>
      </w:r>
      <w:r w:rsidRPr="00875CF5">
        <w:rPr>
          <w:rFonts w:ascii="Cambria" w:hAnsi="Cambria"/>
        </w:rPr>
        <w:t>ew regulations will prohibit the export of seeds, seedlings and bee hives from the Northern Territory without approval for the Chief Inspector of Plant Health, and requires growers to have an auditable farm biosecurity plan for the purpose of controlling CGMMV.</w:t>
      </w:r>
      <w:r w:rsidR="00E36161">
        <w:rPr>
          <w:rFonts w:ascii="Cambria" w:hAnsi="Cambria"/>
        </w:rPr>
        <w:t xml:space="preserve"> </w:t>
      </w:r>
    </w:p>
    <w:p w14:paraId="76F1F9B6"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87" w:name="_Toc447540775"/>
      <w:r>
        <w:rPr>
          <w:rFonts w:ascii="Calibri" w:hAnsi="Calibri" w:cstheme="minorBidi"/>
          <w:sz w:val="24"/>
          <w:szCs w:val="22"/>
        </w:rPr>
        <w:t>Scope</w:t>
      </w:r>
      <w:bookmarkEnd w:id="87"/>
    </w:p>
    <w:p w14:paraId="3C05C4D6" w14:textId="77777777" w:rsidR="008163B6" w:rsidRDefault="00F709BD" w:rsidP="006F4BBD">
      <w:pPr>
        <w:spacing w:before="120" w:after="120" w:line="276" w:lineRule="auto"/>
        <w:rPr>
          <w:rFonts w:ascii="Cambria" w:hAnsi="Cambria" w:cstheme="minorHAnsi"/>
          <w:bCs/>
        </w:rPr>
      </w:pPr>
      <w:r>
        <w:rPr>
          <w:rFonts w:ascii="Cambria" w:hAnsi="Cambria" w:cstheme="minorHAnsi"/>
          <w:bCs/>
        </w:rPr>
        <w:t>The scope of this PRA is limited to:</w:t>
      </w:r>
    </w:p>
    <w:p w14:paraId="445D1A30" w14:textId="77777777" w:rsidR="008163B6" w:rsidRDefault="00F709BD" w:rsidP="006F4BBD">
      <w:pPr>
        <w:pStyle w:val="AQISBullet"/>
        <w:numPr>
          <w:ilvl w:val="0"/>
          <w:numId w:val="32"/>
        </w:numPr>
        <w:spacing w:before="120" w:after="120" w:line="276" w:lineRule="auto"/>
        <w:ind w:left="357" w:hanging="357"/>
        <w:contextualSpacing/>
        <w:jc w:val="left"/>
        <w:rPr>
          <w:rFonts w:asciiTheme="majorHAnsi" w:hAnsiTheme="majorHAnsi" w:cstheme="minorHAnsi"/>
          <w:bCs/>
          <w:szCs w:val="22"/>
        </w:rPr>
      </w:pPr>
      <w:r>
        <w:rPr>
          <w:rFonts w:asciiTheme="majorHAnsi" w:hAnsiTheme="majorHAnsi" w:cstheme="minorHAnsi"/>
          <w:bCs/>
          <w:szCs w:val="22"/>
        </w:rPr>
        <w:t>assessing the risk of introducing CGMMV associated with cucurbit seeds for sowing from all sources;</w:t>
      </w:r>
    </w:p>
    <w:p w14:paraId="42C2721D" w14:textId="77777777" w:rsidR="008163B6" w:rsidRDefault="00F709BD" w:rsidP="006F4BBD">
      <w:pPr>
        <w:pStyle w:val="AQISBullet"/>
        <w:numPr>
          <w:ilvl w:val="0"/>
          <w:numId w:val="32"/>
        </w:numPr>
        <w:spacing w:before="120" w:after="120" w:line="276" w:lineRule="auto"/>
        <w:ind w:left="357" w:hanging="357"/>
        <w:contextualSpacing/>
        <w:jc w:val="left"/>
        <w:rPr>
          <w:rFonts w:asciiTheme="majorHAnsi" w:hAnsiTheme="majorHAnsi" w:cstheme="minorHAnsi"/>
          <w:bCs/>
          <w:szCs w:val="22"/>
        </w:rPr>
      </w:pPr>
      <w:r>
        <w:rPr>
          <w:rFonts w:asciiTheme="majorHAnsi" w:hAnsiTheme="majorHAnsi" w:cstheme="minorHAnsi"/>
          <w:bCs/>
          <w:szCs w:val="22"/>
        </w:rPr>
        <w:t xml:space="preserve">reviewing and evaluating the existing risk management measures (including emergency measures) for the identified risks; and </w:t>
      </w:r>
    </w:p>
    <w:p w14:paraId="38A091BC" w14:textId="77777777" w:rsidR="008163B6" w:rsidRDefault="00F709BD" w:rsidP="006F4BBD">
      <w:pPr>
        <w:pStyle w:val="AQISBullet"/>
        <w:numPr>
          <w:ilvl w:val="0"/>
          <w:numId w:val="32"/>
        </w:numPr>
        <w:spacing w:before="120" w:after="120" w:line="276" w:lineRule="auto"/>
        <w:ind w:left="357" w:hanging="357"/>
        <w:contextualSpacing/>
        <w:jc w:val="left"/>
        <w:rPr>
          <w:rFonts w:asciiTheme="majorHAnsi" w:hAnsiTheme="majorHAnsi" w:cstheme="minorHAnsi"/>
          <w:bCs/>
          <w:szCs w:val="22"/>
        </w:rPr>
      </w:pPr>
      <w:proofErr w:type="gramStart"/>
      <w:r>
        <w:rPr>
          <w:rFonts w:asciiTheme="majorHAnsi" w:hAnsiTheme="majorHAnsi" w:cstheme="minorHAnsi"/>
          <w:szCs w:val="22"/>
        </w:rPr>
        <w:t>proposing</w:t>
      </w:r>
      <w:proofErr w:type="gramEnd"/>
      <w:r>
        <w:rPr>
          <w:rFonts w:asciiTheme="majorHAnsi" w:hAnsiTheme="majorHAnsi" w:cstheme="minorHAnsi"/>
          <w:szCs w:val="22"/>
        </w:rPr>
        <w:t xml:space="preserve"> additional risk management measures where appropriate.</w:t>
      </w:r>
    </w:p>
    <w:p w14:paraId="0303B2EA" w14:textId="6825D7D6" w:rsidR="008163B6" w:rsidRDefault="00F709BD" w:rsidP="006F4BBD">
      <w:pPr>
        <w:spacing w:before="120" w:after="120" w:line="276" w:lineRule="auto"/>
        <w:rPr>
          <w:rFonts w:ascii="Cambria" w:hAnsi="Cambria" w:cstheme="minorHAnsi"/>
          <w:bCs/>
        </w:rPr>
      </w:pPr>
      <w:r>
        <w:rPr>
          <w:rFonts w:ascii="Cambria" w:hAnsi="Cambria" w:cstheme="minorHAnsi"/>
          <w:bCs/>
        </w:rPr>
        <w:t xml:space="preserve">The current suspension of CGMMV host tissue cultures </w:t>
      </w:r>
      <w:r w:rsidR="00E453E7">
        <w:rPr>
          <w:rFonts w:ascii="Cambria" w:hAnsi="Cambria" w:cstheme="minorHAnsi"/>
          <w:bCs/>
        </w:rPr>
        <w:t xml:space="preserve">and nursery stock </w:t>
      </w:r>
      <w:r>
        <w:rPr>
          <w:rFonts w:ascii="Cambria" w:hAnsi="Cambria" w:cstheme="minorHAnsi"/>
          <w:bCs/>
        </w:rPr>
        <w:t xml:space="preserve">is outside the scope of this review. The suspension of host tissue cultures </w:t>
      </w:r>
      <w:r w:rsidR="00E453E7">
        <w:rPr>
          <w:rFonts w:ascii="Cambria" w:hAnsi="Cambria" w:cstheme="minorHAnsi"/>
          <w:bCs/>
        </w:rPr>
        <w:t xml:space="preserve">and nursery stock </w:t>
      </w:r>
      <w:r>
        <w:rPr>
          <w:rFonts w:ascii="Cambria" w:hAnsi="Cambria" w:cstheme="minorHAnsi"/>
          <w:bCs/>
        </w:rPr>
        <w:t>will be reviewed at a later date.</w:t>
      </w:r>
    </w:p>
    <w:p w14:paraId="3FF377C6" w14:textId="1697FCCF" w:rsidR="008163B6" w:rsidRDefault="00F709BD" w:rsidP="006F4BBD">
      <w:pPr>
        <w:spacing w:before="120" w:after="120" w:line="276" w:lineRule="auto"/>
        <w:rPr>
          <w:rFonts w:ascii="Cambria" w:hAnsi="Cambria" w:cstheme="minorHAnsi"/>
          <w:bCs/>
        </w:rPr>
      </w:pPr>
      <w:r>
        <w:rPr>
          <w:rFonts w:ascii="Cambria" w:hAnsi="Cambria" w:cstheme="minorHAnsi"/>
          <w:bCs/>
        </w:rPr>
        <w:t>This PRA does not consider existing phytosanitary measures during the pest risk assessment. Existing phytosanitary measures are only considered during the development of risk management measures following the pest risk assessment.</w:t>
      </w:r>
    </w:p>
    <w:p w14:paraId="7A46CCAE" w14:textId="3E940F83" w:rsidR="008163B6" w:rsidRDefault="00F709BD" w:rsidP="006F4BBD">
      <w:pPr>
        <w:spacing w:before="120" w:after="120" w:line="276" w:lineRule="auto"/>
        <w:rPr>
          <w:rFonts w:ascii="Cambria" w:hAnsi="Cambria"/>
        </w:rPr>
      </w:pPr>
      <w:r>
        <w:rPr>
          <w:rFonts w:ascii="Cambria" w:hAnsi="Cambria" w:cstheme="minorHAnsi"/>
        </w:rPr>
        <w:t xml:space="preserve">This PRA is limited to recommending appropriate phytosanitary measures to address the risk of introducing CGMMV </w:t>
      </w:r>
      <w:r>
        <w:rPr>
          <w:rFonts w:ascii="Cambria" w:hAnsi="Cambria" w:cstheme="minorHAnsi"/>
          <w:bCs/>
        </w:rPr>
        <w:t xml:space="preserve">associated with cucurbit seeds for sowing </w:t>
      </w:r>
      <w:r>
        <w:rPr>
          <w:rFonts w:ascii="Cambria" w:hAnsi="Cambria" w:cstheme="minorHAnsi"/>
        </w:rPr>
        <w:t xml:space="preserve">into Australia. It is the importer's responsibility to ensure compliance with the requirements of all other regulatory and advisory bodies associated with importing commodities to Australia. </w:t>
      </w:r>
      <w:r w:rsidR="00634E3D">
        <w:rPr>
          <w:rFonts w:ascii="Cambria" w:hAnsi="Cambria" w:cstheme="minorHAnsi"/>
        </w:rPr>
        <w:t xml:space="preserve">These include the </w:t>
      </w:r>
      <w:r w:rsidRPr="00634E3D">
        <w:rPr>
          <w:rFonts w:ascii="Cambria" w:hAnsi="Cambria"/>
        </w:rPr>
        <w:t>Department of Immigration and Border Protection, Department of Health, Therapeutic Goods Administration, Australian Pesticides and Veterinary Medicines Authority, Department of the Environment, and state and territory departments of agriculture.</w:t>
      </w:r>
    </w:p>
    <w:p w14:paraId="092739AF"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88" w:name="_Toc447540776"/>
      <w:r>
        <w:rPr>
          <w:rFonts w:ascii="Calibri" w:hAnsi="Calibri" w:cstheme="minorBidi"/>
          <w:sz w:val="24"/>
          <w:szCs w:val="22"/>
        </w:rPr>
        <w:t>Consultation</w:t>
      </w:r>
      <w:bookmarkEnd w:id="88"/>
    </w:p>
    <w:p w14:paraId="40DC9576" w14:textId="77777777" w:rsidR="008163B6" w:rsidRDefault="00F709BD" w:rsidP="006F4BBD">
      <w:pPr>
        <w:spacing w:before="120" w:after="120" w:line="276" w:lineRule="auto"/>
        <w:rPr>
          <w:rFonts w:ascii="Cambria" w:hAnsi="Cambria"/>
        </w:rPr>
      </w:pPr>
      <w:r>
        <w:rPr>
          <w:rFonts w:ascii="Cambria" w:hAnsi="Cambria"/>
        </w:rPr>
        <w:t xml:space="preserve">The department worked closely with industry stakeholders during the development of the emergency measures to minimise disruptions to trade and crop production. Prior to introducing emergency measures against CGMMV, the department consulted with the seed industry including </w:t>
      </w:r>
      <w:proofErr w:type="spellStart"/>
      <w:r>
        <w:rPr>
          <w:rFonts w:ascii="Cambria" w:hAnsi="Cambria"/>
        </w:rPr>
        <w:t>AusVeg</w:t>
      </w:r>
      <w:proofErr w:type="spellEnd"/>
      <w:r>
        <w:rPr>
          <w:rFonts w:ascii="Cambria" w:hAnsi="Cambria"/>
        </w:rPr>
        <w:t xml:space="preserve">, the Australian Seed Federation, representatives of domestic and international seed companies and the Australian Melon Association. </w:t>
      </w:r>
    </w:p>
    <w:p w14:paraId="695EB41E" w14:textId="77777777" w:rsidR="008163B6" w:rsidRDefault="00F709BD" w:rsidP="006F4BBD">
      <w:pPr>
        <w:spacing w:before="120" w:after="120" w:line="276" w:lineRule="auto"/>
        <w:ind w:left="1985" w:hanging="1985"/>
        <w:rPr>
          <w:rFonts w:ascii="Cambria" w:hAnsi="Cambria"/>
        </w:rPr>
      </w:pPr>
      <w:r>
        <w:rPr>
          <w:rFonts w:ascii="Cambria" w:hAnsi="Cambria"/>
        </w:rPr>
        <w:t>9 October 2014</w:t>
      </w:r>
      <w:r>
        <w:rPr>
          <w:rFonts w:ascii="Cambria" w:hAnsi="Cambria"/>
        </w:rPr>
        <w:tab/>
      </w:r>
      <w:proofErr w:type="gramStart"/>
      <w:r>
        <w:rPr>
          <w:rFonts w:ascii="Cambria" w:hAnsi="Cambria"/>
        </w:rPr>
        <w:t>The</w:t>
      </w:r>
      <w:proofErr w:type="gramEnd"/>
      <w:r>
        <w:rPr>
          <w:rFonts w:ascii="Cambria" w:hAnsi="Cambria"/>
        </w:rPr>
        <w:t xml:space="preserve"> department held a teleconference with industry to discuss the proposed emergency measures for the importation of host cucurbit seeds.</w:t>
      </w:r>
    </w:p>
    <w:p w14:paraId="7130E472" w14:textId="77777777" w:rsidR="008163B6" w:rsidRDefault="00F709BD" w:rsidP="006F4BBD">
      <w:pPr>
        <w:spacing w:before="120" w:after="120" w:line="276" w:lineRule="auto"/>
        <w:ind w:left="1985" w:hanging="1985"/>
        <w:rPr>
          <w:rFonts w:ascii="Cambria" w:hAnsi="Cambria"/>
        </w:rPr>
      </w:pPr>
      <w:r>
        <w:rPr>
          <w:rFonts w:ascii="Cambria" w:hAnsi="Cambria"/>
        </w:rPr>
        <w:t>14 October 2014</w:t>
      </w:r>
      <w:r>
        <w:rPr>
          <w:rFonts w:ascii="Cambria" w:hAnsi="Cambria"/>
        </w:rPr>
        <w:tab/>
      </w:r>
      <w:proofErr w:type="gramStart"/>
      <w:r>
        <w:rPr>
          <w:rFonts w:ascii="Cambria" w:hAnsi="Cambria"/>
        </w:rPr>
        <w:t>The</w:t>
      </w:r>
      <w:proofErr w:type="gramEnd"/>
      <w:r>
        <w:rPr>
          <w:rFonts w:ascii="Cambria" w:hAnsi="Cambria"/>
        </w:rPr>
        <w:t xml:space="preserve"> department held a teleconference with industry to discuss the proposed testing requirements for the importation of host cucurbit seeds.</w:t>
      </w:r>
    </w:p>
    <w:p w14:paraId="7BB8EBC9" w14:textId="393AEEA4" w:rsidR="008163B6" w:rsidRDefault="00F709BD" w:rsidP="006F4BBD">
      <w:pPr>
        <w:spacing w:before="120" w:after="120" w:line="276" w:lineRule="auto"/>
        <w:ind w:left="1985" w:hanging="1985"/>
        <w:rPr>
          <w:rFonts w:ascii="Cambria" w:hAnsi="Cambria"/>
        </w:rPr>
      </w:pPr>
      <w:r>
        <w:rPr>
          <w:rFonts w:ascii="Cambria" w:hAnsi="Cambria"/>
        </w:rPr>
        <w:t>22 October 2014</w:t>
      </w:r>
      <w:r>
        <w:rPr>
          <w:rFonts w:ascii="Cambria" w:hAnsi="Cambria"/>
        </w:rPr>
        <w:tab/>
      </w:r>
      <w:proofErr w:type="gramStart"/>
      <w:r>
        <w:rPr>
          <w:rFonts w:ascii="Cambria" w:hAnsi="Cambria"/>
        </w:rPr>
        <w:t>The</w:t>
      </w:r>
      <w:proofErr w:type="gramEnd"/>
      <w:r>
        <w:rPr>
          <w:rFonts w:ascii="Cambria" w:hAnsi="Cambria"/>
        </w:rPr>
        <w:t xml:space="preserve"> department held a teleconference with industry to </w:t>
      </w:r>
      <w:r w:rsidR="00663085">
        <w:rPr>
          <w:rFonts w:ascii="Cambria" w:hAnsi="Cambria"/>
        </w:rPr>
        <w:t xml:space="preserve">notify stakeholders of </w:t>
      </w:r>
      <w:r w:rsidR="004F3EED">
        <w:rPr>
          <w:rFonts w:ascii="Cambria" w:hAnsi="Cambria"/>
        </w:rPr>
        <w:t xml:space="preserve">the </w:t>
      </w:r>
      <w:r w:rsidR="00663085">
        <w:rPr>
          <w:rFonts w:ascii="Cambria" w:hAnsi="Cambria"/>
        </w:rPr>
        <w:t xml:space="preserve">immediate implementation of </w:t>
      </w:r>
      <w:r>
        <w:rPr>
          <w:rFonts w:ascii="Cambria" w:hAnsi="Cambria"/>
        </w:rPr>
        <w:t>emergency measures for host cucurbit seeds and tissue cultures.</w:t>
      </w:r>
    </w:p>
    <w:p w14:paraId="003A8053" w14:textId="77777777" w:rsidR="008163B6" w:rsidRDefault="00F709BD" w:rsidP="006F4BBD">
      <w:pPr>
        <w:spacing w:before="120" w:after="120" w:line="276" w:lineRule="auto"/>
        <w:ind w:left="1985" w:hanging="1985"/>
        <w:rPr>
          <w:rFonts w:ascii="Cambria" w:hAnsi="Cambria"/>
          <w:bCs/>
        </w:rPr>
      </w:pPr>
      <w:r>
        <w:rPr>
          <w:rFonts w:ascii="Cambria" w:hAnsi="Cambria"/>
        </w:rPr>
        <w:t>23 October 2014</w:t>
      </w:r>
      <w:r>
        <w:rPr>
          <w:rFonts w:ascii="Cambria" w:hAnsi="Cambria"/>
        </w:rPr>
        <w:tab/>
      </w:r>
      <w:r>
        <w:rPr>
          <w:rFonts w:ascii="Cambria" w:hAnsi="Cambria"/>
          <w:bCs/>
        </w:rPr>
        <w:t xml:space="preserve">Australia notified trading partners of the emergency measures on 23 October 2014 through a World Trade Organization Sanitary and Phytosanitary (WTO SPS) notification </w:t>
      </w:r>
      <w:r>
        <w:rPr>
          <w:rFonts w:ascii="Cambria" w:hAnsi="Cambria"/>
          <w:iCs/>
        </w:rPr>
        <w:t>(G/SPS/N/AUS/347)</w:t>
      </w:r>
      <w:r>
        <w:rPr>
          <w:rFonts w:ascii="Cambria" w:hAnsi="Cambria"/>
          <w:bCs/>
        </w:rPr>
        <w:t xml:space="preserve">. </w:t>
      </w:r>
    </w:p>
    <w:p w14:paraId="5F599ED5" w14:textId="36ADD9AD" w:rsidR="008163B6" w:rsidRDefault="00F709BD" w:rsidP="006F4BBD">
      <w:pPr>
        <w:spacing w:before="120" w:after="120" w:line="276" w:lineRule="auto"/>
        <w:ind w:left="1985"/>
        <w:rPr>
          <w:rFonts w:ascii="Cambria" w:hAnsi="Cambria"/>
          <w:bCs/>
        </w:rPr>
      </w:pPr>
      <w:r>
        <w:rPr>
          <w:rFonts w:ascii="Cambria" w:hAnsi="Cambria"/>
          <w:bCs/>
        </w:rPr>
        <w:t xml:space="preserve">The notification reported that the emergency measures for </w:t>
      </w:r>
      <w:r w:rsidR="00CF373F">
        <w:rPr>
          <w:rFonts w:ascii="Cambria" w:hAnsi="Cambria"/>
          <w:bCs/>
        </w:rPr>
        <w:t xml:space="preserve">host </w:t>
      </w:r>
      <w:r>
        <w:rPr>
          <w:rFonts w:ascii="Cambria" w:hAnsi="Cambria"/>
          <w:bCs/>
        </w:rPr>
        <w:t xml:space="preserve">cucurbit seeds </w:t>
      </w:r>
      <w:r w:rsidR="00DB1FBF">
        <w:rPr>
          <w:rFonts w:ascii="Cambria" w:hAnsi="Cambria"/>
          <w:bCs/>
        </w:rPr>
        <w:t xml:space="preserve">(mandatory seed </w:t>
      </w:r>
      <w:proofErr w:type="spellStart"/>
      <w:r w:rsidR="00DB1FBF">
        <w:rPr>
          <w:rFonts w:ascii="Cambria" w:hAnsi="Cambria"/>
          <w:bCs/>
        </w:rPr>
        <w:t>tesing</w:t>
      </w:r>
      <w:proofErr w:type="spellEnd"/>
      <w:r w:rsidR="00DB1FBF">
        <w:rPr>
          <w:rFonts w:ascii="Cambria" w:hAnsi="Cambria"/>
          <w:bCs/>
        </w:rPr>
        <w:t xml:space="preserve"> using ELISA) </w:t>
      </w:r>
      <w:r>
        <w:rPr>
          <w:rFonts w:ascii="Cambria" w:hAnsi="Cambria"/>
          <w:bCs/>
        </w:rPr>
        <w:t>were to be implemented in three phases to minimise trade disruption.</w:t>
      </w:r>
    </w:p>
    <w:p w14:paraId="0C2F3171" w14:textId="77777777" w:rsidR="008163B6" w:rsidRDefault="00F709BD" w:rsidP="006F4BBD">
      <w:pPr>
        <w:spacing w:before="120" w:after="120" w:line="276" w:lineRule="auto"/>
        <w:ind w:left="1985"/>
        <w:rPr>
          <w:rFonts w:ascii="Cambria" w:hAnsi="Cambria"/>
          <w:bCs/>
        </w:rPr>
      </w:pPr>
      <w:r>
        <w:rPr>
          <w:rFonts w:ascii="Cambria" w:hAnsi="Cambria"/>
          <w:b/>
          <w:bCs/>
        </w:rPr>
        <w:t>Phase 1</w:t>
      </w:r>
      <w:r>
        <w:rPr>
          <w:rFonts w:ascii="Cambria" w:hAnsi="Cambria"/>
          <w:bCs/>
        </w:rPr>
        <w:t>: Allowing entry of seeds in transit exported prior to 22 October 2014. However, the consignment had to be accompanied by a Phytosanitary Certificate or equivalent supporting document stating that the seed had been tested in accordance with the ISTA protocol 7-026 using a minimum sample size of 2,000 seeds.</w:t>
      </w:r>
    </w:p>
    <w:p w14:paraId="098878AC" w14:textId="5ED1D009" w:rsidR="008163B6" w:rsidRDefault="00F709BD" w:rsidP="006F4BBD">
      <w:pPr>
        <w:spacing w:before="120" w:after="120" w:line="276" w:lineRule="auto"/>
        <w:ind w:left="1985"/>
        <w:rPr>
          <w:rFonts w:ascii="Cambria" w:hAnsi="Cambria"/>
          <w:bCs/>
        </w:rPr>
      </w:pPr>
      <w:r>
        <w:rPr>
          <w:rFonts w:ascii="Cambria" w:hAnsi="Cambria"/>
          <w:b/>
          <w:bCs/>
        </w:rPr>
        <w:t>Phase 2</w:t>
      </w:r>
      <w:r>
        <w:rPr>
          <w:rFonts w:ascii="Cambria" w:hAnsi="Cambria"/>
          <w:bCs/>
        </w:rPr>
        <w:t xml:space="preserve">: Seeds must be ELISA tested </w:t>
      </w:r>
      <w:r w:rsidR="00BC2587">
        <w:rPr>
          <w:rFonts w:ascii="Cambria" w:hAnsi="Cambria"/>
          <w:bCs/>
        </w:rPr>
        <w:t xml:space="preserve">for CGMMV </w:t>
      </w:r>
      <w:r>
        <w:rPr>
          <w:rFonts w:ascii="Cambria" w:hAnsi="Cambria"/>
          <w:bCs/>
        </w:rPr>
        <w:t>using 9,400 seeds using ISTA 7-026.</w:t>
      </w:r>
    </w:p>
    <w:p w14:paraId="538A0FF0" w14:textId="77777777" w:rsidR="008163B6" w:rsidRDefault="00F709BD" w:rsidP="006F4BBD">
      <w:pPr>
        <w:spacing w:before="120" w:after="120" w:line="276" w:lineRule="auto"/>
        <w:ind w:left="1985"/>
        <w:rPr>
          <w:rFonts w:ascii="Cambria" w:hAnsi="Cambria"/>
          <w:bCs/>
        </w:rPr>
      </w:pPr>
      <w:r>
        <w:rPr>
          <w:rFonts w:ascii="Cambria" w:hAnsi="Cambria"/>
          <w:b/>
          <w:bCs/>
        </w:rPr>
        <w:t xml:space="preserve">Phase 3: </w:t>
      </w:r>
      <w:r>
        <w:rPr>
          <w:rFonts w:ascii="Cambria" w:hAnsi="Cambria"/>
          <w:bCs/>
        </w:rPr>
        <w:t>Seeds must be subject to PCR testing using 9,400 seeds to replace ELISA testing.</w:t>
      </w:r>
    </w:p>
    <w:p w14:paraId="72923F87" w14:textId="77777777" w:rsidR="008163B6" w:rsidRDefault="00F709BD" w:rsidP="006F4BBD">
      <w:pPr>
        <w:spacing w:before="120" w:after="120" w:line="276" w:lineRule="auto"/>
        <w:ind w:left="1985" w:hanging="1985"/>
        <w:rPr>
          <w:rFonts w:ascii="Cambria" w:hAnsi="Cambria"/>
          <w:bCs/>
        </w:rPr>
      </w:pPr>
      <w:r>
        <w:rPr>
          <w:rFonts w:ascii="Cambria" w:hAnsi="Cambria"/>
        </w:rPr>
        <w:t>5 November 2014</w:t>
      </w:r>
      <w:r>
        <w:rPr>
          <w:rFonts w:ascii="Cambria" w:hAnsi="Cambria"/>
        </w:rPr>
        <w:tab/>
      </w:r>
      <w:r>
        <w:rPr>
          <w:rFonts w:ascii="Cambria" w:hAnsi="Cambria"/>
          <w:bCs/>
        </w:rPr>
        <w:t xml:space="preserve">Australia notified trading partners that Phase 1 has expired and was replaced with Phase 2 through a WTO SPS addendum notification (G/SPS/N/AUS/347/Add.1). </w:t>
      </w:r>
    </w:p>
    <w:p w14:paraId="6F9C19F9" w14:textId="77777777" w:rsidR="008163B6" w:rsidRDefault="00F709BD" w:rsidP="006F4BBD">
      <w:pPr>
        <w:spacing w:before="120" w:after="120" w:line="276" w:lineRule="auto"/>
        <w:ind w:left="1985" w:hanging="1985"/>
        <w:rPr>
          <w:rFonts w:ascii="Cambria" w:hAnsi="Cambria"/>
          <w:bCs/>
        </w:rPr>
      </w:pPr>
      <w:r>
        <w:rPr>
          <w:rFonts w:ascii="Cambria" w:hAnsi="Cambria"/>
        </w:rPr>
        <w:t>20 January 2015</w:t>
      </w:r>
      <w:r>
        <w:rPr>
          <w:rFonts w:ascii="Cambria" w:hAnsi="Cambria"/>
        </w:rPr>
        <w:tab/>
      </w:r>
      <w:r>
        <w:rPr>
          <w:rFonts w:ascii="Cambria" w:hAnsi="Cambria"/>
          <w:bCs/>
        </w:rPr>
        <w:t>Australia notified trading partners that Phase 2 was to remain in place until further notice through a WTO SPS addendum notification (G/SPS/N/AUS/347/Add.2).</w:t>
      </w:r>
    </w:p>
    <w:p w14:paraId="529D5014" w14:textId="77777777" w:rsidR="008163B6" w:rsidRDefault="00F709BD" w:rsidP="006F4BBD">
      <w:pPr>
        <w:spacing w:before="120" w:after="120" w:line="276" w:lineRule="auto"/>
        <w:ind w:left="1985" w:hanging="1985"/>
        <w:rPr>
          <w:rFonts w:ascii="Cambria" w:hAnsi="Cambria"/>
          <w:bCs/>
        </w:rPr>
      </w:pPr>
      <w:r>
        <w:rPr>
          <w:rFonts w:ascii="Cambria" w:hAnsi="Cambria"/>
          <w:bCs/>
        </w:rPr>
        <w:t>27 August 2015</w:t>
      </w:r>
      <w:r>
        <w:rPr>
          <w:rFonts w:ascii="Cambria" w:hAnsi="Cambria"/>
          <w:bCs/>
        </w:rPr>
        <w:tab/>
      </w:r>
      <w:proofErr w:type="gramStart"/>
      <w:r>
        <w:rPr>
          <w:rFonts w:ascii="Cambria" w:hAnsi="Cambria"/>
          <w:bCs/>
        </w:rPr>
        <w:t>The</w:t>
      </w:r>
      <w:proofErr w:type="gramEnd"/>
      <w:r>
        <w:rPr>
          <w:rFonts w:ascii="Cambria" w:hAnsi="Cambria"/>
          <w:bCs/>
        </w:rPr>
        <w:t xml:space="preserve"> department notified industry stakeholders on the progress of the CGMMV PRA at the Australian Seed Federation Annual Conference held in Toowoomba, Australia.</w:t>
      </w:r>
    </w:p>
    <w:p w14:paraId="2FB63CC7" w14:textId="1D662AB0" w:rsidR="00791DBA" w:rsidRDefault="00791DBA" w:rsidP="006F4BBD">
      <w:pPr>
        <w:spacing w:before="120" w:after="120" w:line="276" w:lineRule="auto"/>
        <w:ind w:left="1985" w:hanging="1985"/>
        <w:rPr>
          <w:rFonts w:ascii="Cambria" w:hAnsi="Cambria"/>
          <w:bCs/>
        </w:rPr>
      </w:pPr>
      <w:r>
        <w:rPr>
          <w:rFonts w:ascii="Cambria" w:hAnsi="Cambria"/>
          <w:bCs/>
        </w:rPr>
        <w:t>11 December 2015</w:t>
      </w:r>
      <w:r>
        <w:rPr>
          <w:rFonts w:ascii="Cambria" w:hAnsi="Cambria"/>
          <w:bCs/>
        </w:rPr>
        <w:tab/>
      </w:r>
      <w:proofErr w:type="gramStart"/>
      <w:r>
        <w:rPr>
          <w:rFonts w:ascii="Cambria" w:hAnsi="Cambria"/>
          <w:bCs/>
        </w:rPr>
        <w:t>The</w:t>
      </w:r>
      <w:proofErr w:type="gramEnd"/>
      <w:r>
        <w:rPr>
          <w:rFonts w:ascii="Cambria" w:hAnsi="Cambria"/>
          <w:bCs/>
        </w:rPr>
        <w:t xml:space="preserve"> department notified Australian industry stakeholders on the impending amendment of the emergency measures to include seeds for sowing of </w:t>
      </w:r>
      <w:r>
        <w:rPr>
          <w:rFonts w:ascii="Cambria" w:hAnsi="Cambria"/>
          <w:bCs/>
          <w:i/>
        </w:rPr>
        <w:t>Cucurbita maxima</w:t>
      </w:r>
      <w:r>
        <w:rPr>
          <w:rFonts w:ascii="Cambria" w:hAnsi="Cambria"/>
          <w:bCs/>
        </w:rPr>
        <w:t>,</w:t>
      </w:r>
      <w:r>
        <w:rPr>
          <w:rFonts w:ascii="Cambria" w:hAnsi="Cambria"/>
          <w:bCs/>
          <w:i/>
        </w:rPr>
        <w:t xml:space="preserve"> Cucurbita moschata </w:t>
      </w:r>
      <w:r>
        <w:rPr>
          <w:rFonts w:ascii="Cambria" w:hAnsi="Cambria"/>
          <w:bCs/>
        </w:rPr>
        <w:t>and hybrids with host parentage.</w:t>
      </w:r>
    </w:p>
    <w:p w14:paraId="3239100F" w14:textId="73805A22" w:rsidR="00791DBA" w:rsidRDefault="00D477F6" w:rsidP="006F4BBD">
      <w:pPr>
        <w:spacing w:before="120" w:after="120" w:line="276" w:lineRule="auto"/>
        <w:ind w:left="1985" w:hanging="1985"/>
        <w:rPr>
          <w:rFonts w:ascii="Cambria" w:hAnsi="Cambria"/>
          <w:bCs/>
        </w:rPr>
      </w:pPr>
      <w:r>
        <w:rPr>
          <w:rFonts w:ascii="Cambria" w:hAnsi="Cambria"/>
          <w:bCs/>
        </w:rPr>
        <w:t>18</w:t>
      </w:r>
      <w:r w:rsidR="00791DBA">
        <w:rPr>
          <w:rFonts w:ascii="Cambria" w:hAnsi="Cambria"/>
          <w:bCs/>
        </w:rPr>
        <w:t xml:space="preserve"> December 2015</w:t>
      </w:r>
      <w:r w:rsidR="00791DBA">
        <w:rPr>
          <w:rFonts w:ascii="Cambria" w:hAnsi="Cambria"/>
          <w:bCs/>
        </w:rPr>
        <w:tab/>
        <w:t xml:space="preserve">Australia notified </w:t>
      </w:r>
      <w:r>
        <w:rPr>
          <w:rFonts w:ascii="Cambria" w:hAnsi="Cambria"/>
          <w:bCs/>
        </w:rPr>
        <w:t xml:space="preserve">international </w:t>
      </w:r>
      <w:r w:rsidR="00791DBA">
        <w:rPr>
          <w:rFonts w:ascii="Cambria" w:hAnsi="Cambria"/>
          <w:bCs/>
        </w:rPr>
        <w:t xml:space="preserve">trading partners that the emergency measures against CGMMV would now apply to seeds for sowing of </w:t>
      </w:r>
      <w:r w:rsidR="00791DBA">
        <w:rPr>
          <w:rFonts w:ascii="Cambria" w:hAnsi="Cambria"/>
          <w:bCs/>
          <w:i/>
        </w:rPr>
        <w:t>Cucurbita maxima</w:t>
      </w:r>
      <w:r w:rsidR="00791DBA">
        <w:rPr>
          <w:rFonts w:ascii="Cambria" w:hAnsi="Cambria"/>
          <w:bCs/>
        </w:rPr>
        <w:t>,</w:t>
      </w:r>
      <w:r w:rsidR="00791DBA">
        <w:rPr>
          <w:rFonts w:ascii="Cambria" w:hAnsi="Cambria"/>
          <w:bCs/>
          <w:i/>
        </w:rPr>
        <w:t xml:space="preserve"> Cucurbita moschata </w:t>
      </w:r>
      <w:r w:rsidR="00791DBA">
        <w:rPr>
          <w:rFonts w:ascii="Cambria" w:hAnsi="Cambria"/>
          <w:bCs/>
        </w:rPr>
        <w:t>and hybrids with host parentage. (G/SPS/N/AUS/347/Add.3).</w:t>
      </w:r>
    </w:p>
    <w:p w14:paraId="7815FB62" w14:textId="77777777" w:rsidR="008163B6" w:rsidRDefault="008163B6">
      <w:pPr>
        <w:pStyle w:val="ListBullet"/>
        <w:numPr>
          <w:ilvl w:val="0"/>
          <w:numId w:val="0"/>
        </w:numPr>
        <w:ind w:left="360" w:hanging="360"/>
      </w:pPr>
    </w:p>
    <w:p w14:paraId="7E59E2EC" w14:textId="77777777" w:rsidR="008163B6" w:rsidRDefault="008163B6">
      <w:pPr>
        <w:pStyle w:val="ListBullet"/>
        <w:numPr>
          <w:ilvl w:val="0"/>
          <w:numId w:val="0"/>
        </w:numPr>
        <w:tabs>
          <w:tab w:val="num" w:pos="284"/>
        </w:tabs>
        <w:rPr>
          <w:rFonts w:ascii="Calibri" w:eastAsiaTheme="majorEastAsia" w:hAnsi="Calibri" w:cstheme="majorBidi"/>
          <w:b/>
          <w:bCs/>
          <w:color w:val="D52B1E"/>
          <w:sz w:val="34"/>
          <w:szCs w:val="28"/>
        </w:rPr>
        <w:sectPr w:rsidR="008163B6">
          <w:headerReference w:type="default" r:id="rId31"/>
          <w:pgSz w:w="11906" w:h="16838"/>
          <w:pgMar w:top="1418" w:right="1418" w:bottom="1418" w:left="1418" w:header="567" w:footer="283" w:gutter="0"/>
          <w:cols w:space="708"/>
          <w:docGrid w:linePitch="360"/>
        </w:sectPr>
      </w:pPr>
    </w:p>
    <w:p w14:paraId="59636F8B" w14:textId="37FA5219" w:rsidR="008163B6" w:rsidRDefault="006D1F00">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89" w:name="_Toc447540777"/>
      <w:r>
        <w:rPr>
          <w:rFonts w:eastAsiaTheme="majorEastAsia" w:cstheme="majorBidi"/>
          <w:b/>
          <w:color w:val="D52B1E"/>
          <w:sz w:val="34"/>
        </w:rPr>
        <w:t>Method for Pest Risk A</w:t>
      </w:r>
      <w:r w:rsidR="00F709BD">
        <w:rPr>
          <w:rFonts w:eastAsiaTheme="majorEastAsia" w:cstheme="majorBidi"/>
          <w:b/>
          <w:color w:val="D52B1E"/>
          <w:sz w:val="34"/>
        </w:rPr>
        <w:t>nalysis</w:t>
      </w:r>
      <w:bookmarkEnd w:id="89"/>
    </w:p>
    <w:p w14:paraId="56BB126B" w14:textId="40BC4989" w:rsidR="008163B6" w:rsidRDefault="009A1E93" w:rsidP="006F4BBD">
      <w:pPr>
        <w:spacing w:before="120" w:after="120" w:line="276" w:lineRule="auto"/>
        <w:rPr>
          <w:rFonts w:ascii="Cambria" w:hAnsi="Cambria"/>
        </w:rPr>
      </w:pPr>
      <w:r>
        <w:rPr>
          <w:rFonts w:ascii="Cambria" w:hAnsi="Cambria"/>
        </w:rPr>
        <w:t>The d</w:t>
      </w:r>
      <w:r w:rsidR="00F709BD">
        <w:rPr>
          <w:rFonts w:ascii="Cambria" w:hAnsi="Cambria"/>
        </w:rPr>
        <w:t xml:space="preserve">epartment has conducted this PRA in accordance with the International Standards for Phytosanitary Measures (ISPMs), including ISPM No. 2: </w:t>
      </w:r>
      <w:r w:rsidR="00F709BD">
        <w:rPr>
          <w:rFonts w:ascii="Cambria" w:hAnsi="Cambria"/>
          <w:i/>
        </w:rPr>
        <w:t xml:space="preserve">Framework for pest risk analysis </w:t>
      </w:r>
      <w:r w:rsidR="00F709BD">
        <w:rPr>
          <w:rFonts w:ascii="Cambria" w:hAnsi="Cambria"/>
        </w:rPr>
        <w:t>(FAO 20</w:t>
      </w:r>
      <w:r w:rsidR="003E619C">
        <w:rPr>
          <w:rFonts w:ascii="Cambria" w:hAnsi="Cambria"/>
        </w:rPr>
        <w:t>1</w:t>
      </w:r>
      <w:r w:rsidR="00BC2587">
        <w:rPr>
          <w:rFonts w:ascii="Cambria" w:hAnsi="Cambria"/>
        </w:rPr>
        <w:t>6a</w:t>
      </w:r>
      <w:r w:rsidR="00F709BD">
        <w:rPr>
          <w:rFonts w:ascii="Cambria" w:hAnsi="Cambria"/>
        </w:rPr>
        <w:t xml:space="preserve">) and ISPM No. 11: </w:t>
      </w:r>
      <w:r w:rsidR="00F709BD">
        <w:rPr>
          <w:rFonts w:ascii="Cambria" w:hAnsi="Cambria"/>
          <w:i/>
        </w:rPr>
        <w:t xml:space="preserve">Pest risk analysis for quarantine pests </w:t>
      </w:r>
      <w:r w:rsidR="00F709BD">
        <w:rPr>
          <w:rFonts w:ascii="Cambria" w:hAnsi="Cambria"/>
        </w:rPr>
        <w:t>(FAO 201</w:t>
      </w:r>
      <w:r w:rsidR="00BC2587">
        <w:rPr>
          <w:rFonts w:ascii="Cambria" w:hAnsi="Cambria"/>
        </w:rPr>
        <w:t>6b</w:t>
      </w:r>
      <w:r w:rsidR="00F709BD">
        <w:rPr>
          <w:rFonts w:ascii="Cambria" w:hAnsi="Cambria"/>
        </w:rPr>
        <w:t>) that have been developed under the SPS Agreement (WTO 1995).</w:t>
      </w:r>
    </w:p>
    <w:p w14:paraId="61BE746D" w14:textId="390E2D34" w:rsidR="008163B6" w:rsidRDefault="00F709BD" w:rsidP="006F4BBD">
      <w:pPr>
        <w:spacing w:before="120" w:after="120" w:line="276" w:lineRule="auto"/>
        <w:rPr>
          <w:rFonts w:ascii="Cambria" w:hAnsi="Cambria"/>
        </w:rPr>
      </w:pPr>
      <w:r>
        <w:rPr>
          <w:rFonts w:ascii="Cambria" w:hAnsi="Cambria"/>
        </w:rPr>
        <w:t xml:space="preserve">Phytosanitary terms used in this PRA are defined in ISPM No. 5: </w:t>
      </w:r>
      <w:r>
        <w:rPr>
          <w:rFonts w:ascii="Cambria" w:hAnsi="Cambria"/>
          <w:i/>
        </w:rPr>
        <w:t>Glossary of phytosanitary terms</w:t>
      </w:r>
      <w:r>
        <w:rPr>
          <w:rFonts w:ascii="Cambria" w:hAnsi="Cambria"/>
        </w:rPr>
        <w:t xml:space="preserve"> (FAO 201</w:t>
      </w:r>
      <w:r w:rsidR="00BC2587">
        <w:rPr>
          <w:rFonts w:ascii="Cambria" w:hAnsi="Cambria"/>
        </w:rPr>
        <w:t>6c</w:t>
      </w:r>
      <w:r>
        <w:rPr>
          <w:rFonts w:ascii="Cambria" w:hAnsi="Cambria"/>
        </w:rPr>
        <w:t>). A glossary of the terms used is provided at the back of this report.</w:t>
      </w:r>
    </w:p>
    <w:p w14:paraId="62856677" w14:textId="77777777" w:rsidR="008163B6" w:rsidRDefault="00F709BD" w:rsidP="006F4BBD">
      <w:pPr>
        <w:spacing w:before="120" w:after="120" w:line="276" w:lineRule="auto"/>
        <w:rPr>
          <w:rFonts w:ascii="Cambria" w:hAnsi="Cambria"/>
        </w:rPr>
      </w:pPr>
      <w:r>
        <w:rPr>
          <w:rFonts w:ascii="Cambria" w:hAnsi="Cambria"/>
        </w:rPr>
        <w:t>The PRA is conducted in the following three consecutive stages: initiation, pest risk assessment and pest risk management.</w:t>
      </w:r>
    </w:p>
    <w:p w14:paraId="32B8E083" w14:textId="7F02A0E5"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90" w:name="_Toc447540778"/>
      <w:r>
        <w:rPr>
          <w:rFonts w:eastAsiaTheme="majorEastAsia" w:cstheme="majorBidi"/>
          <w:color w:val="773141"/>
          <w:sz w:val="28"/>
        </w:rPr>
        <w:t>Stage 1: Initiation of the Pest Risk Analysis</w:t>
      </w:r>
      <w:bookmarkEnd w:id="90"/>
      <w:r>
        <w:rPr>
          <w:rFonts w:eastAsiaTheme="majorEastAsia" w:cstheme="majorBidi"/>
          <w:color w:val="773141"/>
          <w:sz w:val="28"/>
        </w:rPr>
        <w:t xml:space="preserve"> </w:t>
      </w:r>
    </w:p>
    <w:p w14:paraId="7989D009" w14:textId="7D42DAAA" w:rsidR="008163B6" w:rsidRDefault="00F709BD" w:rsidP="006F4BBD">
      <w:pPr>
        <w:spacing w:before="120" w:after="120" w:line="276" w:lineRule="auto"/>
        <w:rPr>
          <w:rFonts w:ascii="Cambria" w:hAnsi="Cambria" w:cs="Helvetica"/>
        </w:rPr>
      </w:pPr>
      <w:r>
        <w:rPr>
          <w:rFonts w:ascii="Cambria" w:hAnsi="Cambria" w:cs="Helvetica"/>
        </w:rPr>
        <w:t>According to ISPM No. 2 (FAO 20</w:t>
      </w:r>
      <w:r w:rsidR="003E619C">
        <w:rPr>
          <w:rFonts w:ascii="Cambria" w:hAnsi="Cambria" w:cs="Helvetica"/>
        </w:rPr>
        <w:t>1</w:t>
      </w:r>
      <w:r w:rsidR="00BC2587">
        <w:rPr>
          <w:rFonts w:ascii="Cambria" w:hAnsi="Cambria" w:cs="Helvetica"/>
        </w:rPr>
        <w:t>6a</w:t>
      </w:r>
      <w:r>
        <w:rPr>
          <w:rFonts w:ascii="Cambria" w:hAnsi="Cambria" w:cs="Helvetica"/>
        </w:rPr>
        <w:t>), a PRA process may be initiated as a result of:</w:t>
      </w:r>
    </w:p>
    <w:p w14:paraId="36FEF04B" w14:textId="77777777" w:rsidR="008163B6" w:rsidRDefault="00F709BD" w:rsidP="006F4BBD">
      <w:pPr>
        <w:pStyle w:val="AQISNum"/>
        <w:numPr>
          <w:ilvl w:val="0"/>
          <w:numId w:val="34"/>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identification of a pathway that presents a potential pest risk (a means of pest introduction or spread);</w:t>
      </w:r>
    </w:p>
    <w:p w14:paraId="6D552D02" w14:textId="77777777" w:rsidR="008163B6" w:rsidRDefault="00F709BD" w:rsidP="006F4BBD">
      <w:pPr>
        <w:pStyle w:val="AQISNum"/>
        <w:numPr>
          <w:ilvl w:val="0"/>
          <w:numId w:val="34"/>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identification of a pest that may require phytosanitary measures (a pest may have been detected or intercepted, a request made to import it or it may have been reported elsewhere);</w:t>
      </w:r>
    </w:p>
    <w:p w14:paraId="77AC95AB" w14:textId="77777777" w:rsidR="008163B6" w:rsidRDefault="00F709BD" w:rsidP="006F4BBD">
      <w:pPr>
        <w:pStyle w:val="AQISNum"/>
        <w:numPr>
          <w:ilvl w:val="0"/>
          <w:numId w:val="34"/>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review or revision of existing phytosanitary policies and priorities; or</w:t>
      </w:r>
    </w:p>
    <w:p w14:paraId="32F6A959" w14:textId="77777777" w:rsidR="008163B6" w:rsidRDefault="00F709BD" w:rsidP="006F4BBD">
      <w:pPr>
        <w:pStyle w:val="AQISNum"/>
        <w:numPr>
          <w:ilvl w:val="0"/>
          <w:numId w:val="34"/>
        </w:numPr>
        <w:tabs>
          <w:tab w:val="clear" w:pos="360"/>
          <w:tab w:val="num" w:pos="284"/>
        </w:tabs>
        <w:spacing w:before="120" w:after="120" w:line="276" w:lineRule="auto"/>
        <w:ind w:left="284" w:hanging="284"/>
        <w:contextualSpacing/>
        <w:rPr>
          <w:rFonts w:ascii="Cambria" w:hAnsi="Cambria"/>
          <w:szCs w:val="22"/>
        </w:rPr>
      </w:pPr>
      <w:proofErr w:type="gramStart"/>
      <w:r>
        <w:rPr>
          <w:rFonts w:ascii="Cambria" w:hAnsi="Cambria"/>
          <w:szCs w:val="22"/>
        </w:rPr>
        <w:t>identification</w:t>
      </w:r>
      <w:proofErr w:type="gramEnd"/>
      <w:r>
        <w:rPr>
          <w:rFonts w:ascii="Cambria" w:hAnsi="Cambria"/>
          <w:szCs w:val="22"/>
        </w:rPr>
        <w:t xml:space="preserve"> of an organism not previously known to be a pest.</w:t>
      </w:r>
    </w:p>
    <w:p w14:paraId="3BCB8849" w14:textId="04E3F491" w:rsidR="008163B6" w:rsidRDefault="00F709BD" w:rsidP="006F4BBD">
      <w:pPr>
        <w:spacing w:before="120" w:after="120" w:line="276" w:lineRule="auto"/>
        <w:rPr>
          <w:rFonts w:ascii="Cambria" w:hAnsi="Cambria" w:cs="Helvetica"/>
        </w:rPr>
      </w:pPr>
      <w:r>
        <w:rPr>
          <w:rFonts w:ascii="Cambria" w:hAnsi="Cambria" w:cs="Helvetica"/>
        </w:rPr>
        <w:t xml:space="preserve">Australia introduced emergency measures in October 2014 after the detection of </w:t>
      </w:r>
      <w:r>
        <w:rPr>
          <w:rFonts w:ascii="Cambria" w:hAnsi="Cambria" w:cs="Helvetica"/>
          <w:i/>
        </w:rPr>
        <w:t>Cucumber green mottle mosaic virus</w:t>
      </w:r>
      <w:r>
        <w:rPr>
          <w:rFonts w:ascii="Cambria" w:hAnsi="Cambria" w:cs="Helvetica"/>
        </w:rPr>
        <w:t xml:space="preserve"> (CGMMV) in melon crops in the Northern Territory. In accordance with ISPM No. 2 (FAO 20</w:t>
      </w:r>
      <w:r w:rsidR="003E619C">
        <w:rPr>
          <w:rFonts w:ascii="Cambria" w:hAnsi="Cambria" w:cs="Helvetica"/>
        </w:rPr>
        <w:t>1</w:t>
      </w:r>
      <w:r w:rsidR="00BC2587">
        <w:rPr>
          <w:rFonts w:ascii="Cambria" w:hAnsi="Cambria" w:cs="Helvetica"/>
        </w:rPr>
        <w:t>6a</w:t>
      </w:r>
      <w:r>
        <w:rPr>
          <w:rFonts w:ascii="Cambria" w:hAnsi="Cambria" w:cs="Helvetica"/>
        </w:rPr>
        <w:t>), this PRA was initiated by the department as a basis for a review and possible revision of the emergency measures introduced by Australia for CGMMV host cucurbit seeds imported into Australia. In Australia, CGMMV has been regulated as a quarantine pest since October 2014.</w:t>
      </w:r>
    </w:p>
    <w:p w14:paraId="6039E160" w14:textId="46E6F088" w:rsidR="00E36161" w:rsidRDefault="00E36161" w:rsidP="006F4BBD">
      <w:pPr>
        <w:spacing w:before="120" w:after="120" w:line="276" w:lineRule="auto"/>
        <w:rPr>
          <w:rFonts w:ascii="Cambria" w:hAnsi="Cambria" w:cs="Helvetica"/>
        </w:rPr>
      </w:pPr>
      <w:r>
        <w:rPr>
          <w:rFonts w:ascii="Cambria" w:hAnsi="Cambria"/>
        </w:rPr>
        <w:t>In February 2016, t</w:t>
      </w:r>
      <w:r w:rsidRPr="00875CF5">
        <w:rPr>
          <w:rFonts w:ascii="Cambria" w:hAnsi="Cambria"/>
        </w:rPr>
        <w:t>he Northern Territory government announced that the CGMMV quarantine zone will be formally revoked</w:t>
      </w:r>
      <w:r>
        <w:rPr>
          <w:rFonts w:ascii="Cambria" w:hAnsi="Cambria"/>
        </w:rPr>
        <w:t>. However, n</w:t>
      </w:r>
      <w:r w:rsidRPr="00875CF5">
        <w:rPr>
          <w:rFonts w:ascii="Cambria" w:hAnsi="Cambria"/>
        </w:rPr>
        <w:t xml:space="preserve">ew regulations will prohibit the export of seeds, seedlings and bee hives from the Northern Territory without approval </w:t>
      </w:r>
      <w:r w:rsidR="003B08FB">
        <w:rPr>
          <w:rFonts w:ascii="Cambria" w:hAnsi="Cambria"/>
        </w:rPr>
        <w:t>from</w:t>
      </w:r>
      <w:r w:rsidRPr="00875CF5">
        <w:rPr>
          <w:rFonts w:ascii="Cambria" w:hAnsi="Cambria"/>
        </w:rPr>
        <w:t xml:space="preserve"> the Chief Inspector of Plant Health, and requires growers to have an auditable farm biosecurity plan for the purpose of controlling CGMMV.</w:t>
      </w:r>
    </w:p>
    <w:p w14:paraId="0A3820E7" w14:textId="4317D193" w:rsidR="008163B6" w:rsidRDefault="00F709BD" w:rsidP="006F4BBD">
      <w:pPr>
        <w:spacing w:before="120" w:after="120" w:line="276" w:lineRule="auto"/>
        <w:rPr>
          <w:rFonts w:ascii="Cambria" w:hAnsi="Cambria"/>
        </w:rPr>
      </w:pPr>
      <w:r>
        <w:rPr>
          <w:rFonts w:ascii="Cambria" w:hAnsi="Cambria"/>
        </w:rPr>
        <w:t xml:space="preserve">In the context of this PRA, the seeds of </w:t>
      </w:r>
      <w:r>
        <w:rPr>
          <w:rFonts w:ascii="Cambria" w:hAnsi="Cambria"/>
          <w:i/>
        </w:rPr>
        <w:t>Citrullus lanatus</w:t>
      </w:r>
      <w:r>
        <w:rPr>
          <w:rFonts w:ascii="Cambria" w:hAnsi="Cambria"/>
        </w:rPr>
        <w:t>,</w:t>
      </w:r>
      <w:r>
        <w:rPr>
          <w:rFonts w:ascii="Cambria" w:hAnsi="Cambria"/>
          <w:i/>
        </w:rPr>
        <w:t xml:space="preserve"> Cucumis melo</w:t>
      </w:r>
      <w:r>
        <w:rPr>
          <w:rFonts w:ascii="Cambria" w:hAnsi="Cambria"/>
        </w:rPr>
        <w:t>,</w:t>
      </w:r>
      <w:r>
        <w:rPr>
          <w:rFonts w:ascii="Cambria" w:hAnsi="Cambria"/>
          <w:i/>
        </w:rPr>
        <w:t xml:space="preserve"> Cucumis sativus</w:t>
      </w:r>
      <w:r>
        <w:rPr>
          <w:rFonts w:ascii="Cambria" w:hAnsi="Cambria"/>
        </w:rPr>
        <w:t>,</w:t>
      </w:r>
      <w:r>
        <w:rPr>
          <w:rFonts w:ascii="Cambria" w:hAnsi="Cambria"/>
          <w:iCs/>
        </w:rPr>
        <w:t xml:space="preserve"> </w:t>
      </w:r>
      <w:r w:rsidR="0061272C">
        <w:rPr>
          <w:rFonts w:ascii="Cambria" w:hAnsi="Cambria"/>
          <w:i/>
          <w:iCs/>
        </w:rPr>
        <w:t>Cucurbita maxima</w:t>
      </w:r>
      <w:r w:rsidR="0061272C">
        <w:rPr>
          <w:rFonts w:ascii="Cambria" w:hAnsi="Cambria"/>
          <w:iCs/>
        </w:rPr>
        <w:t xml:space="preserve">, </w:t>
      </w:r>
      <w:r w:rsidR="0061272C">
        <w:rPr>
          <w:rFonts w:ascii="Cambria" w:hAnsi="Cambria"/>
          <w:i/>
          <w:iCs/>
        </w:rPr>
        <w:t>Cucurbita moschata</w:t>
      </w:r>
      <w:r w:rsidR="0061272C">
        <w:rPr>
          <w:rFonts w:ascii="Cambria" w:hAnsi="Cambria"/>
          <w:iCs/>
        </w:rPr>
        <w:t>,</w:t>
      </w:r>
      <w:r w:rsidR="0061272C">
        <w:rPr>
          <w:rFonts w:ascii="Cambria" w:hAnsi="Cambria"/>
          <w:i/>
          <w:iCs/>
        </w:rPr>
        <w:t xml:space="preserve"> </w:t>
      </w:r>
      <w:r>
        <w:rPr>
          <w:rFonts w:ascii="Cambria" w:hAnsi="Cambria"/>
          <w:i/>
        </w:rPr>
        <w:t>Cucurbita pepo, Lagenaria siceraria</w:t>
      </w:r>
      <w:r w:rsidR="006D606B">
        <w:rPr>
          <w:rFonts w:ascii="Cambria" w:hAnsi="Cambria"/>
        </w:rPr>
        <w:t>,</w:t>
      </w:r>
      <w:r>
        <w:rPr>
          <w:rFonts w:ascii="Cambria" w:hAnsi="Cambria"/>
        </w:rPr>
        <w:t xml:space="preserve"> </w:t>
      </w:r>
      <w:r>
        <w:rPr>
          <w:rFonts w:ascii="Cambria" w:hAnsi="Cambria"/>
          <w:i/>
        </w:rPr>
        <w:t xml:space="preserve">Trichosanthes cucumerina </w:t>
      </w:r>
      <w:r w:rsidR="006D606B">
        <w:rPr>
          <w:rFonts w:ascii="Cambria" w:hAnsi="Cambria"/>
        </w:rPr>
        <w:t xml:space="preserve">and any hybrid of these species </w:t>
      </w:r>
      <w:r>
        <w:rPr>
          <w:rFonts w:ascii="Cambria" w:hAnsi="Cambria"/>
        </w:rPr>
        <w:t xml:space="preserve">are a potential import ‘pathway’ by which CGMMV can enter Australia. </w:t>
      </w:r>
    </w:p>
    <w:p w14:paraId="2653033B" w14:textId="77777777" w:rsidR="008163B6" w:rsidRDefault="00F709BD" w:rsidP="006F4BBD">
      <w:pPr>
        <w:spacing w:before="120" w:after="120" w:line="276" w:lineRule="auto"/>
        <w:rPr>
          <w:rFonts w:ascii="Cambria" w:hAnsi="Cambria"/>
        </w:rPr>
      </w:pPr>
      <w:r>
        <w:rPr>
          <w:rFonts w:ascii="Cambria" w:hAnsi="Cambria"/>
        </w:rPr>
        <w:t xml:space="preserve">For this PRA, the ‘PRA area’ is defined as the whole of Australia for </w:t>
      </w:r>
      <w:r>
        <w:rPr>
          <w:rFonts w:ascii="Cambria" w:hAnsi="Cambria" w:cs="Helvetica"/>
        </w:rPr>
        <w:t xml:space="preserve">CGMMV </w:t>
      </w:r>
      <w:r>
        <w:rPr>
          <w:rFonts w:ascii="Cambria" w:hAnsi="Cambria"/>
        </w:rPr>
        <w:t>associated with seeds of cucurbit crops.</w:t>
      </w:r>
    </w:p>
    <w:p w14:paraId="59AFA295"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91" w:name="_Toc447540779"/>
      <w:r>
        <w:rPr>
          <w:rFonts w:eastAsiaTheme="majorEastAsia" w:cstheme="majorBidi"/>
          <w:color w:val="773141"/>
          <w:sz w:val="28"/>
        </w:rPr>
        <w:t>Stage 2: Pest risk assessment</w:t>
      </w:r>
      <w:bookmarkEnd w:id="91"/>
    </w:p>
    <w:p w14:paraId="41FD1827" w14:textId="4243659D" w:rsidR="008163B6" w:rsidRDefault="00F709BD" w:rsidP="006F4BBD">
      <w:pPr>
        <w:spacing w:before="120" w:after="120" w:line="276" w:lineRule="auto"/>
        <w:rPr>
          <w:rFonts w:ascii="Cambria" w:hAnsi="Cambria"/>
        </w:rPr>
      </w:pPr>
      <w:r>
        <w:rPr>
          <w:rFonts w:ascii="Cambria" w:hAnsi="Cambria"/>
        </w:rPr>
        <w:t>A pest risk assessment (for quarantine pests) is the ‘evaluation of the probability of the introduction and spread of a pest and of the magnitude of the associated potential economic consequences’ (FAO 201</w:t>
      </w:r>
      <w:r w:rsidR="00BC2587">
        <w:rPr>
          <w:rFonts w:ascii="Cambria" w:hAnsi="Cambria"/>
        </w:rPr>
        <w:t>6c</w:t>
      </w:r>
      <w:r>
        <w:rPr>
          <w:rFonts w:ascii="Cambria" w:hAnsi="Cambria"/>
        </w:rPr>
        <w:t>). The pest risk assessment provides technical justification for identifying quarantine pests and for establishing phytosanitary import requirements.</w:t>
      </w:r>
    </w:p>
    <w:p w14:paraId="25946AD5" w14:textId="77777777" w:rsidR="008163B6" w:rsidRDefault="00F709BD" w:rsidP="006F4BBD">
      <w:pPr>
        <w:spacing w:before="120" w:after="120" w:line="276" w:lineRule="auto"/>
        <w:rPr>
          <w:rFonts w:ascii="Cambria" w:hAnsi="Cambria"/>
        </w:rPr>
      </w:pPr>
      <w:r>
        <w:rPr>
          <w:rFonts w:ascii="Cambria" w:hAnsi="Cambria"/>
        </w:rPr>
        <w:t>The following three consecutive steps were used in the pest risk assessment:</w:t>
      </w:r>
    </w:p>
    <w:p w14:paraId="49D33EFA" w14:textId="77777777" w:rsidR="008163B6" w:rsidRDefault="00F709BD" w:rsidP="006F4BBD">
      <w:pPr>
        <w:numPr>
          <w:ilvl w:val="0"/>
          <w:numId w:val="1"/>
        </w:numPr>
        <w:tabs>
          <w:tab w:val="clear" w:pos="360"/>
          <w:tab w:val="num" w:pos="284"/>
        </w:tabs>
        <w:spacing w:before="120" w:after="120" w:line="276" w:lineRule="auto"/>
        <w:ind w:left="357" w:hanging="357"/>
        <w:contextualSpacing/>
        <w:rPr>
          <w:rFonts w:ascii="Cambria" w:hAnsi="Cambria"/>
        </w:rPr>
      </w:pPr>
      <w:r>
        <w:rPr>
          <w:rFonts w:ascii="Cambria" w:hAnsi="Cambria"/>
        </w:rPr>
        <w:t>pest categorisation;</w:t>
      </w:r>
    </w:p>
    <w:p w14:paraId="4823CF3E" w14:textId="77777777" w:rsidR="008163B6" w:rsidRDefault="00F709BD" w:rsidP="006F4BBD">
      <w:pPr>
        <w:numPr>
          <w:ilvl w:val="0"/>
          <w:numId w:val="1"/>
        </w:numPr>
        <w:tabs>
          <w:tab w:val="clear" w:pos="360"/>
          <w:tab w:val="num" w:pos="284"/>
        </w:tabs>
        <w:spacing w:before="120" w:after="120" w:line="276" w:lineRule="auto"/>
        <w:ind w:left="357" w:hanging="357"/>
        <w:contextualSpacing/>
        <w:rPr>
          <w:rFonts w:ascii="Cambria" w:hAnsi="Cambria"/>
        </w:rPr>
      </w:pPr>
      <w:r>
        <w:rPr>
          <w:rFonts w:ascii="Cambria" w:hAnsi="Cambria"/>
        </w:rPr>
        <w:t>assessment of the probability of entry, establishment and spread; and</w:t>
      </w:r>
    </w:p>
    <w:p w14:paraId="20D24FDF" w14:textId="77777777" w:rsidR="008163B6" w:rsidRDefault="00F709BD" w:rsidP="006F4BBD">
      <w:pPr>
        <w:numPr>
          <w:ilvl w:val="0"/>
          <w:numId w:val="1"/>
        </w:numPr>
        <w:tabs>
          <w:tab w:val="clear" w:pos="360"/>
          <w:tab w:val="num" w:pos="284"/>
        </w:tabs>
        <w:spacing w:before="120" w:after="120" w:line="276" w:lineRule="auto"/>
        <w:ind w:left="357" w:hanging="357"/>
        <w:contextualSpacing/>
        <w:rPr>
          <w:rFonts w:ascii="Cambria" w:hAnsi="Cambria"/>
        </w:rPr>
      </w:pPr>
      <w:proofErr w:type="gramStart"/>
      <w:r>
        <w:rPr>
          <w:rFonts w:ascii="Cambria" w:hAnsi="Cambria"/>
        </w:rPr>
        <w:t>assessment</w:t>
      </w:r>
      <w:proofErr w:type="gramEnd"/>
      <w:r>
        <w:rPr>
          <w:rFonts w:ascii="Cambria" w:hAnsi="Cambria"/>
        </w:rPr>
        <w:t xml:space="preserve"> of potential consequences.</w:t>
      </w:r>
    </w:p>
    <w:p w14:paraId="3F4EE964"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92" w:name="_Toc447540780"/>
      <w:r>
        <w:rPr>
          <w:rFonts w:ascii="Calibri" w:hAnsi="Calibri" w:cstheme="minorBidi"/>
          <w:sz w:val="24"/>
          <w:szCs w:val="22"/>
        </w:rPr>
        <w:t>Pest categorisation</w:t>
      </w:r>
      <w:bookmarkEnd w:id="92"/>
    </w:p>
    <w:p w14:paraId="515C70D4" w14:textId="021D84AC" w:rsidR="008163B6" w:rsidRDefault="00F709BD" w:rsidP="006F4BBD">
      <w:pPr>
        <w:spacing w:before="120" w:after="120" w:line="276" w:lineRule="auto"/>
        <w:rPr>
          <w:rFonts w:ascii="Cambria" w:hAnsi="Cambria"/>
        </w:rPr>
      </w:pPr>
      <w:r>
        <w:rPr>
          <w:rFonts w:ascii="Cambria" w:hAnsi="Cambria"/>
        </w:rPr>
        <w:t xml:space="preserve">Pest categorisation identifies which pests </w:t>
      </w:r>
      <w:r w:rsidR="0048557C">
        <w:rPr>
          <w:rFonts w:ascii="Cambria" w:hAnsi="Cambria"/>
        </w:rPr>
        <w:t xml:space="preserve">have </w:t>
      </w:r>
      <w:r>
        <w:rPr>
          <w:rFonts w:ascii="Cambria" w:hAnsi="Cambria"/>
        </w:rPr>
        <w:t>the potential to be on the commodity</w:t>
      </w:r>
      <w:r w:rsidR="0048557C">
        <w:rPr>
          <w:rFonts w:ascii="Cambria" w:hAnsi="Cambria"/>
        </w:rPr>
        <w:t xml:space="preserve">, may become </w:t>
      </w:r>
      <w:r>
        <w:rPr>
          <w:rFonts w:ascii="Cambria" w:hAnsi="Cambria"/>
        </w:rPr>
        <w:t>quarantine pests for Australia and require a pest risk assessment. A ‘quarantine pest’ is a pest of potential economic importance to the area endangered thereby and not yet present there, or present but not widely distributed and being officially controlled (FAO 201</w:t>
      </w:r>
      <w:r w:rsidR="00BC2587">
        <w:rPr>
          <w:rFonts w:ascii="Cambria" w:hAnsi="Cambria"/>
        </w:rPr>
        <w:t>6c</w:t>
      </w:r>
      <w:r>
        <w:rPr>
          <w:rFonts w:ascii="Cambria" w:hAnsi="Cambria"/>
        </w:rPr>
        <w:t>).</w:t>
      </w:r>
    </w:p>
    <w:p w14:paraId="62614423" w14:textId="1B1626D3" w:rsidR="008163B6" w:rsidRDefault="00F709BD" w:rsidP="006F4BBD">
      <w:pPr>
        <w:spacing w:before="120" w:after="120" w:line="276" w:lineRule="auto"/>
        <w:rPr>
          <w:rFonts w:ascii="Cambria" w:hAnsi="Cambria"/>
        </w:rPr>
      </w:pPr>
      <w:r>
        <w:rPr>
          <w:rFonts w:ascii="Cambria" w:hAnsi="Cambria"/>
        </w:rPr>
        <w:t>The process of a pest categorisation is summarised by ISPM No. 11 (FAO 201</w:t>
      </w:r>
      <w:r w:rsidR="00BC2587">
        <w:rPr>
          <w:rFonts w:ascii="Cambria" w:hAnsi="Cambria"/>
        </w:rPr>
        <w:t>6b</w:t>
      </w:r>
      <w:r>
        <w:rPr>
          <w:rFonts w:ascii="Cambria" w:hAnsi="Cambria"/>
        </w:rPr>
        <w:t>) as a screening procedure based on the following criteria:</w:t>
      </w:r>
    </w:p>
    <w:p w14:paraId="487FEBB9"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identity of the pest;</w:t>
      </w:r>
    </w:p>
    <w:p w14:paraId="6E82FF75"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 xml:space="preserve">presence or absence in the PRA area; </w:t>
      </w:r>
    </w:p>
    <w:p w14:paraId="328F10E2"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 xml:space="preserve">regulatory status; </w:t>
      </w:r>
    </w:p>
    <w:p w14:paraId="35877ECD"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 xml:space="preserve">potential for establishment and spread in the PRA area; and </w:t>
      </w:r>
    </w:p>
    <w:p w14:paraId="2A184A01" w14:textId="08799B82"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potential</w:t>
      </w:r>
      <w:proofErr w:type="gramEnd"/>
      <w:r>
        <w:rPr>
          <w:rFonts w:ascii="Cambria" w:hAnsi="Cambria"/>
        </w:rPr>
        <w:t xml:space="preserve"> for economic</w:t>
      </w:r>
      <w:r w:rsidR="00996B40">
        <w:rPr>
          <w:rFonts w:ascii="Cambria" w:hAnsi="Cambria"/>
        </w:rPr>
        <w:t xml:space="preserve">, environmental and social </w:t>
      </w:r>
      <w:r>
        <w:rPr>
          <w:rFonts w:ascii="Cambria" w:hAnsi="Cambria"/>
        </w:rPr>
        <w:t>consequences in the PRA area.</w:t>
      </w:r>
    </w:p>
    <w:p w14:paraId="00DBBF71"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93" w:name="_Toc447540781"/>
      <w:r>
        <w:rPr>
          <w:rFonts w:ascii="Calibri" w:hAnsi="Calibri" w:cstheme="minorBidi"/>
          <w:sz w:val="24"/>
          <w:szCs w:val="22"/>
        </w:rPr>
        <w:t>Assessment of the likelihood of entry, establishment and spread</w:t>
      </w:r>
      <w:bookmarkEnd w:id="93"/>
    </w:p>
    <w:p w14:paraId="094BF293" w14:textId="07AC7972" w:rsidR="008163B6" w:rsidRDefault="00F709BD" w:rsidP="006F4BBD">
      <w:pPr>
        <w:spacing w:before="120" w:after="120" w:line="276" w:lineRule="auto"/>
        <w:rPr>
          <w:rFonts w:ascii="Cambria" w:hAnsi="Cambria"/>
        </w:rPr>
      </w:pPr>
      <w:r>
        <w:rPr>
          <w:rFonts w:ascii="Cambria" w:hAnsi="Cambria"/>
        </w:rPr>
        <w:t>Details of how to assess the ‘probability of entry’, ‘probability of establishment’ and ‘probability of spread’ of a pest are given in ISPM No. 11 (FAO 201</w:t>
      </w:r>
      <w:r w:rsidR="00BC2587">
        <w:rPr>
          <w:rFonts w:ascii="Cambria" w:hAnsi="Cambria"/>
        </w:rPr>
        <w:t>6b</w:t>
      </w:r>
      <w:r>
        <w:rPr>
          <w:rFonts w:ascii="Cambria" w:hAnsi="Cambria"/>
        </w:rPr>
        <w:t xml:space="preserve">). The SPS Agreement (WTO 1995) uses the term likelihood rather than probability for these estimates. In qualitative PRAs, the </w:t>
      </w:r>
      <w:r w:rsidR="009A1E93">
        <w:rPr>
          <w:rFonts w:ascii="Cambria" w:hAnsi="Cambria"/>
        </w:rPr>
        <w:t>de</w:t>
      </w:r>
      <w:r>
        <w:rPr>
          <w:rFonts w:ascii="Cambria" w:hAnsi="Cambria"/>
        </w:rPr>
        <w:t xml:space="preserve">partment uses the term ‘likelihood’ for the descriptors it uses for its estimates of likelihood of entry, establishment and spread. The use of the term ‘probability’ is limited to the direct quotation of ISPM </w:t>
      </w:r>
      <w:r w:rsidR="00BD6099">
        <w:rPr>
          <w:rFonts w:ascii="Cambria" w:hAnsi="Cambria"/>
        </w:rPr>
        <w:t>definitions. A</w:t>
      </w:r>
      <w:r>
        <w:rPr>
          <w:rFonts w:ascii="Cambria" w:hAnsi="Cambria"/>
        </w:rPr>
        <w:t xml:space="preserve"> summary of this process is given below, followed by a description of the qualitative methodology used in this PRA.</w:t>
      </w:r>
    </w:p>
    <w:p w14:paraId="41A59E70" w14:textId="77777777" w:rsidR="008163B6" w:rsidRDefault="00F709BD">
      <w:pPr>
        <w:pStyle w:val="Heading4"/>
        <w:spacing w:before="120"/>
      </w:pPr>
      <w:r>
        <w:t>Likelihood of entry</w:t>
      </w:r>
    </w:p>
    <w:p w14:paraId="09BBF40A" w14:textId="77777777" w:rsidR="008163B6" w:rsidRDefault="00F709BD" w:rsidP="006F4BBD">
      <w:pPr>
        <w:spacing w:before="120" w:after="120" w:line="276" w:lineRule="auto"/>
        <w:rPr>
          <w:rFonts w:ascii="Cambria" w:hAnsi="Cambria"/>
        </w:rPr>
      </w:pPr>
      <w:r>
        <w:rPr>
          <w:rFonts w:ascii="Cambria" w:hAnsi="Cambria"/>
        </w:rPr>
        <w:t>The likelihood of entry describes the likelihood that a quarantine pest will enter Australia as a result of trade in a given commodity, be distributed in a viable state in the PRA area and subsequently be transferred to a host. Assessing the likelihood of entry requires an analysis of each of the pathways with which a pest may be associated, from its origin to distribution in the PRA area.</w:t>
      </w:r>
    </w:p>
    <w:p w14:paraId="0A8DC80D" w14:textId="5F907E43" w:rsidR="008163B6" w:rsidRDefault="00F709BD" w:rsidP="006F4BBD">
      <w:pPr>
        <w:spacing w:before="120" w:after="120" w:line="276" w:lineRule="auto"/>
        <w:rPr>
          <w:rFonts w:ascii="Cambria" w:hAnsi="Cambria"/>
        </w:rPr>
      </w:pPr>
      <w:r>
        <w:rPr>
          <w:rFonts w:ascii="Cambria" w:hAnsi="Cambria"/>
        </w:rPr>
        <w:t xml:space="preserve">For the purpose of considering the likelihood of entry, the </w:t>
      </w:r>
      <w:r w:rsidR="00231C1B">
        <w:rPr>
          <w:rFonts w:ascii="Cambria" w:hAnsi="Cambria"/>
        </w:rPr>
        <w:t>d</w:t>
      </w:r>
      <w:r>
        <w:rPr>
          <w:rFonts w:ascii="Cambria" w:hAnsi="Cambria"/>
        </w:rPr>
        <w:t>epartment divides this step into two components:</w:t>
      </w:r>
    </w:p>
    <w:p w14:paraId="7C4058D6"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Likelihood of importation</w:t>
      </w:r>
      <w:r>
        <w:rPr>
          <w:rFonts w:ascii="Cambria" w:hAnsi="Cambria"/>
        </w:rPr>
        <w:t>: the likelihood that a pest will arrive in Australia when a given commodity is imported; and</w:t>
      </w:r>
    </w:p>
    <w:p w14:paraId="4B9CF9D6"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Likelihood of distribution</w:t>
      </w:r>
      <w:r>
        <w:rPr>
          <w:rFonts w:ascii="Cambria" w:hAnsi="Cambria"/>
        </w:rPr>
        <w:t>: the likelihood that the pest will be distributed, as a result of the processing, sale or disposal of the commodity, in the PRA area and subsequently transfer to a susceptible part of a host.</w:t>
      </w:r>
    </w:p>
    <w:p w14:paraId="60295664" w14:textId="677926C7" w:rsidR="008163B6" w:rsidRDefault="00F709BD" w:rsidP="006F4BBD">
      <w:pPr>
        <w:spacing w:before="120" w:after="120" w:line="276" w:lineRule="auto"/>
        <w:rPr>
          <w:rFonts w:ascii="Cambria" w:hAnsi="Cambria"/>
        </w:rPr>
      </w:pPr>
      <w:r>
        <w:rPr>
          <w:rFonts w:ascii="Cambria" w:hAnsi="Cambria"/>
        </w:rPr>
        <w:t>Factors considered in the likelihood of importation include:</w:t>
      </w:r>
    </w:p>
    <w:p w14:paraId="2CE41764"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distribution and incidence of the pest in the source area;</w:t>
      </w:r>
    </w:p>
    <w:p w14:paraId="456221BB"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occurrence of the pest in a life-stage that would be associated with the commodity;</w:t>
      </w:r>
    </w:p>
    <w:p w14:paraId="60B4EAEF"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mode of trade (for example, bulk, packed);</w:t>
      </w:r>
    </w:p>
    <w:p w14:paraId="17A5B129"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volume and frequency of movement of the commodity along each pathway;</w:t>
      </w:r>
    </w:p>
    <w:p w14:paraId="4A8A3FAB"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seasonal timing of imports;</w:t>
      </w:r>
    </w:p>
    <w:p w14:paraId="34B971CB"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pest management, cultural and commercial procedures applied at the place of origin;</w:t>
      </w:r>
    </w:p>
    <w:p w14:paraId="494F3716"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speed of transport and conditions of storage compared with the duration of the lifecycle of the pest;</w:t>
      </w:r>
    </w:p>
    <w:p w14:paraId="7F0125A0"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vulnerability of the life-stages of the pest during transport or storage;</w:t>
      </w:r>
    </w:p>
    <w:p w14:paraId="6A0D54C6"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incidence of the pest likely to be associated with a consignment; and</w:t>
      </w:r>
    </w:p>
    <w:p w14:paraId="1C7A0E44"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commercial</w:t>
      </w:r>
      <w:proofErr w:type="gramEnd"/>
      <w:r>
        <w:rPr>
          <w:rFonts w:ascii="Cambria" w:hAnsi="Cambria"/>
        </w:rPr>
        <w:t xml:space="preserve"> procedures (for example, refrigeration) applied to consignments during transport and storage in the country of origin, and during transport to Australia.</w:t>
      </w:r>
    </w:p>
    <w:p w14:paraId="1182147B" w14:textId="72E609E5" w:rsidR="008163B6" w:rsidRDefault="00F709BD" w:rsidP="006F4BBD">
      <w:pPr>
        <w:spacing w:before="120" w:after="120" w:line="276" w:lineRule="auto"/>
        <w:contextualSpacing/>
        <w:rPr>
          <w:rFonts w:ascii="Cambria" w:hAnsi="Cambria"/>
        </w:rPr>
      </w:pPr>
      <w:r>
        <w:rPr>
          <w:rFonts w:ascii="Cambria" w:hAnsi="Cambria"/>
        </w:rPr>
        <w:t>Factors considered in the likelihood of distribution include:</w:t>
      </w:r>
    </w:p>
    <w:p w14:paraId="46587AFD"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commercial procedures (for example, refrigeration) applied to consignments during distribution in Australia;</w:t>
      </w:r>
    </w:p>
    <w:p w14:paraId="4B73209D" w14:textId="40195A88"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dispersal mechanisms of the pest, including vectors, t</w:t>
      </w:r>
      <w:r w:rsidR="00EE64D3">
        <w:rPr>
          <w:rFonts w:ascii="Cambria" w:hAnsi="Cambria"/>
        </w:rPr>
        <w:t>hat</w:t>
      </w:r>
      <w:r>
        <w:rPr>
          <w:rFonts w:ascii="Cambria" w:hAnsi="Cambria"/>
        </w:rPr>
        <w:t xml:space="preserve"> allow movement from the pathway to a host;</w:t>
      </w:r>
    </w:p>
    <w:p w14:paraId="1AB705AC"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whether the imported commodity is to be sent to a few or many destination points in the PRA area;</w:t>
      </w:r>
    </w:p>
    <w:p w14:paraId="7A615AC4"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proximity of entry, transit and destination points to hosts;</w:t>
      </w:r>
    </w:p>
    <w:p w14:paraId="03E415C1"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time of year at which importation takes place;</w:t>
      </w:r>
    </w:p>
    <w:p w14:paraId="60234D07"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intended use of the commodity (for planting, processing or consumption); and</w:t>
      </w:r>
    </w:p>
    <w:p w14:paraId="454EDD0F"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risks</w:t>
      </w:r>
      <w:proofErr w:type="gramEnd"/>
      <w:r>
        <w:rPr>
          <w:rFonts w:ascii="Cambria" w:hAnsi="Cambria"/>
        </w:rPr>
        <w:t xml:space="preserve"> from by-products and waste.</w:t>
      </w:r>
    </w:p>
    <w:p w14:paraId="7D836847" w14:textId="77777777" w:rsidR="008163B6" w:rsidRDefault="00F709BD" w:rsidP="006F4BBD">
      <w:pPr>
        <w:pStyle w:val="Heading4"/>
        <w:spacing w:before="120" w:after="120" w:line="276" w:lineRule="auto"/>
      </w:pPr>
      <w:r>
        <w:t>Likelihood of establishment</w:t>
      </w:r>
    </w:p>
    <w:p w14:paraId="35447836" w14:textId="453FB190" w:rsidR="008163B6" w:rsidRDefault="00F709BD" w:rsidP="006F4BBD">
      <w:pPr>
        <w:spacing w:before="120" w:after="120" w:line="276" w:lineRule="auto"/>
        <w:rPr>
          <w:rFonts w:ascii="Cambria" w:hAnsi="Cambria"/>
        </w:rPr>
      </w:pPr>
      <w:r>
        <w:rPr>
          <w:rFonts w:ascii="Cambria" w:hAnsi="Cambria"/>
        </w:rPr>
        <w:t>Establishment is defined as the ‘perpetuation for the foreseeable future, of a pest within an area after entry’ (FAO 201</w:t>
      </w:r>
      <w:r w:rsidR="00BA0653">
        <w:rPr>
          <w:rFonts w:ascii="Cambria" w:hAnsi="Cambria"/>
        </w:rPr>
        <w:t>6c</w:t>
      </w:r>
      <w:r>
        <w:rPr>
          <w:rFonts w:ascii="Cambria" w:hAnsi="Cambria"/>
        </w:rPr>
        <w:t>). In order to estimate the likelihood of establishment of a pest, reliable biological information (lifecycle, host range, epidemiology and survival) is obtained from the areas where the pest currently occurs. The situation in the PRA area can then be compared with that in the areas where it currently occurs and expert judgement used to assess the likelihood of establishment.</w:t>
      </w:r>
    </w:p>
    <w:p w14:paraId="1EC47261" w14:textId="77777777" w:rsidR="008163B6" w:rsidRDefault="00F709BD" w:rsidP="006F4BBD">
      <w:pPr>
        <w:spacing w:before="120" w:after="120" w:line="276" w:lineRule="auto"/>
        <w:rPr>
          <w:rFonts w:ascii="Cambria" w:hAnsi="Cambria"/>
        </w:rPr>
      </w:pPr>
      <w:r>
        <w:rPr>
          <w:rFonts w:ascii="Cambria" w:hAnsi="Cambria"/>
        </w:rPr>
        <w:t>Factors considered in the likelihood of establishment in the PRA area include the:</w:t>
      </w:r>
    </w:p>
    <w:p w14:paraId="7164C701"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availability of hosts, alternative hosts and vectors;</w:t>
      </w:r>
    </w:p>
    <w:p w14:paraId="4233746A"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suitability of the environment;</w:t>
      </w:r>
    </w:p>
    <w:p w14:paraId="4B05D482"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reproductive strategy and potential for adaptation;</w:t>
      </w:r>
    </w:p>
    <w:p w14:paraId="39B65C70"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minimum population needed for establishment; and</w:t>
      </w:r>
    </w:p>
    <w:p w14:paraId="24050D08"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cultural</w:t>
      </w:r>
      <w:proofErr w:type="gramEnd"/>
      <w:r>
        <w:rPr>
          <w:rFonts w:ascii="Cambria" w:hAnsi="Cambria"/>
        </w:rPr>
        <w:t xml:space="preserve"> practices and control measures.</w:t>
      </w:r>
    </w:p>
    <w:p w14:paraId="70D1A54C" w14:textId="77777777" w:rsidR="008163B6" w:rsidRDefault="00F709BD" w:rsidP="006F4BBD">
      <w:pPr>
        <w:pStyle w:val="Heading4"/>
        <w:spacing w:before="120" w:after="120" w:line="276" w:lineRule="auto"/>
      </w:pPr>
      <w:r>
        <w:t>Likelihood of spread</w:t>
      </w:r>
    </w:p>
    <w:p w14:paraId="35BF5A0F" w14:textId="045E7273" w:rsidR="008163B6" w:rsidRDefault="00F709BD" w:rsidP="006F4BBD">
      <w:pPr>
        <w:spacing w:before="120" w:after="120" w:line="276" w:lineRule="auto"/>
        <w:rPr>
          <w:rFonts w:ascii="Cambria" w:hAnsi="Cambria"/>
        </w:rPr>
      </w:pPr>
      <w:r>
        <w:rPr>
          <w:rFonts w:ascii="Cambria" w:hAnsi="Cambria"/>
        </w:rPr>
        <w:t>Spread is defined as ‘the expansion of the geographical distribution of a pest within an area’ (FAO 201</w:t>
      </w:r>
      <w:r w:rsidR="00BA0653">
        <w:rPr>
          <w:rFonts w:ascii="Cambria" w:hAnsi="Cambria"/>
        </w:rPr>
        <w:t>6c</w:t>
      </w:r>
      <w:r>
        <w:rPr>
          <w:rFonts w:ascii="Cambria" w:hAnsi="Cambria"/>
        </w:rPr>
        <w:t>). The likelihood of spread considers the factors relevant to the movement of the pest, after establishment on a host plant or plants, to other susceptible host plants of the same or different species in other areas. In order to estimate the probability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08EEB843" w14:textId="77777777" w:rsidR="008163B6" w:rsidRDefault="00F709BD" w:rsidP="006F4BBD">
      <w:pPr>
        <w:spacing w:before="120" w:after="120" w:line="276" w:lineRule="auto"/>
        <w:rPr>
          <w:rFonts w:ascii="Cambria" w:hAnsi="Cambria"/>
        </w:rPr>
      </w:pPr>
      <w:r>
        <w:rPr>
          <w:rFonts w:ascii="Cambria" w:hAnsi="Cambria"/>
        </w:rPr>
        <w:t>Factors considered in the likelihood of spread include the:</w:t>
      </w:r>
    </w:p>
    <w:p w14:paraId="491F8867"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suitability of the natural and/or managed environment for natural spread of the pest;</w:t>
      </w:r>
    </w:p>
    <w:p w14:paraId="59C0BBBF"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presence of natural barriers;</w:t>
      </w:r>
    </w:p>
    <w:p w14:paraId="51EF708B"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potential for movement with commodities, conveyances or by vectors;</w:t>
      </w:r>
    </w:p>
    <w:p w14:paraId="69BD5C62"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intended use of the commodity; and</w:t>
      </w:r>
    </w:p>
    <w:p w14:paraId="208E1E47"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potential</w:t>
      </w:r>
      <w:proofErr w:type="gramEnd"/>
      <w:r>
        <w:rPr>
          <w:rFonts w:ascii="Cambria" w:hAnsi="Cambria"/>
        </w:rPr>
        <w:t xml:space="preserve"> vectors of the pest in the PRA area.</w:t>
      </w:r>
    </w:p>
    <w:p w14:paraId="072C5B3E" w14:textId="77777777" w:rsidR="008163B6" w:rsidRDefault="00F709BD" w:rsidP="006F4BBD">
      <w:pPr>
        <w:pStyle w:val="Heading5"/>
        <w:spacing w:before="120" w:after="120" w:line="276" w:lineRule="auto"/>
      </w:pPr>
      <w:r>
        <w:t>Assigning likelihoods for entry, establishment and spread</w:t>
      </w:r>
    </w:p>
    <w:p w14:paraId="4BB51E02" w14:textId="44405715" w:rsidR="008163B6" w:rsidRDefault="00F709BD" w:rsidP="006F4BBD">
      <w:pPr>
        <w:spacing w:before="120" w:after="120" w:line="276" w:lineRule="auto"/>
        <w:rPr>
          <w:rFonts w:ascii="Cambria" w:hAnsi="Cambria"/>
        </w:rPr>
      </w:pPr>
      <w:r>
        <w:rPr>
          <w:rFonts w:ascii="Cambria" w:hAnsi="Cambria"/>
        </w:rPr>
        <w:t>Likelihoods are assigned to each step of entry, establishment and spread. Six descriptors are used: high</w:t>
      </w:r>
      <w:r w:rsidR="00356A74">
        <w:rPr>
          <w:rFonts w:ascii="Cambria" w:hAnsi="Cambria"/>
        </w:rPr>
        <w:t>,</w:t>
      </w:r>
      <w:r>
        <w:rPr>
          <w:rFonts w:ascii="Cambria" w:hAnsi="Cambria"/>
        </w:rPr>
        <w:t xml:space="preserve"> moderate</w:t>
      </w:r>
      <w:r w:rsidR="00356A74">
        <w:rPr>
          <w:rFonts w:ascii="Cambria" w:hAnsi="Cambria"/>
        </w:rPr>
        <w:t>,</w:t>
      </w:r>
      <w:r>
        <w:rPr>
          <w:rFonts w:ascii="Cambria" w:hAnsi="Cambria"/>
        </w:rPr>
        <w:t xml:space="preserve"> low</w:t>
      </w:r>
      <w:r w:rsidR="00356A74">
        <w:rPr>
          <w:rFonts w:ascii="Cambria" w:hAnsi="Cambria"/>
        </w:rPr>
        <w:t>,</w:t>
      </w:r>
      <w:r>
        <w:rPr>
          <w:rFonts w:ascii="Cambria" w:hAnsi="Cambria"/>
        </w:rPr>
        <w:t xml:space="preserve"> very low</w:t>
      </w:r>
      <w:r w:rsidR="00356A74">
        <w:rPr>
          <w:rFonts w:ascii="Cambria" w:hAnsi="Cambria"/>
        </w:rPr>
        <w:t>,</w:t>
      </w:r>
      <w:r>
        <w:rPr>
          <w:rFonts w:ascii="Cambria" w:hAnsi="Cambria"/>
        </w:rPr>
        <w:t xml:space="preserve"> extremely low and negligible (Table 1). Definitions for these descriptors and their indicative probability ranges are given in Table 1. The indicative ranges are only provided to illustrate the boundaries of the descriptors and are not used beyond this purpose in qualitative PRAs. These indicative likelihood ranges provide guidance to the risk analyst and promotes consistency between different pest risk assessments.</w:t>
      </w:r>
    </w:p>
    <w:p w14:paraId="7E4D0D50" w14:textId="77777777" w:rsidR="008163B6" w:rsidRDefault="00F709BD">
      <w:pPr>
        <w:pStyle w:val="Caption"/>
        <w:rPr>
          <w:rFonts w:asciiTheme="majorHAnsi" w:eastAsiaTheme="majorEastAsia" w:hAnsiTheme="majorHAnsi" w:cstheme="majorBidi"/>
          <w:color w:val="595959" w:themeColor="text1" w:themeTint="A6"/>
          <w:sz w:val="20"/>
        </w:rPr>
      </w:pPr>
      <w:bookmarkStart w:id="94" w:name="_Toc384197744"/>
      <w:bookmarkStart w:id="95" w:name="_Toc384209832"/>
      <w:bookmarkStart w:id="96" w:name="_Toc384275076"/>
      <w:bookmarkStart w:id="97" w:name="_Toc388949917"/>
      <w:bookmarkStart w:id="98" w:name="_Toc418712906"/>
      <w:bookmarkStart w:id="99" w:name="_Toc432187285"/>
      <w:bookmarkStart w:id="100" w:name="_Toc434315828"/>
      <w:bookmarkStart w:id="101" w:name="_Toc438132868"/>
      <w:bookmarkStart w:id="102" w:name="_Toc438202153"/>
      <w:bookmarkStart w:id="103" w:name="_Toc438549493"/>
      <w:bookmarkStart w:id="104" w:name="_Toc438549537"/>
      <w:bookmarkStart w:id="105" w:name="_Toc439661103"/>
      <w:bookmarkStart w:id="106" w:name="_Toc447541241"/>
      <w:bookmarkStart w:id="107" w:name="_Toc447541260"/>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1</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Nomenclature of qualitative likelihoods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W w:w="4809" w:type="pct"/>
        <w:tblInd w:w="108" w:type="dxa"/>
        <w:tblBorders>
          <w:top w:val="single" w:sz="4" w:space="0" w:color="auto"/>
          <w:bottom w:val="single" w:sz="4" w:space="0" w:color="auto"/>
        </w:tblBorders>
        <w:tblLook w:val="04A0" w:firstRow="1" w:lastRow="0" w:firstColumn="1" w:lastColumn="0" w:noHBand="0" w:noVBand="1"/>
      </w:tblPr>
      <w:tblGrid>
        <w:gridCol w:w="1803"/>
        <w:gridCol w:w="4140"/>
        <w:gridCol w:w="2781"/>
      </w:tblGrid>
      <w:tr w:rsidR="008163B6" w14:paraId="723531A2" w14:textId="77777777">
        <w:tc>
          <w:tcPr>
            <w:tcW w:w="1033" w:type="pct"/>
          </w:tcPr>
          <w:p w14:paraId="6D04A70D" w14:textId="77777777" w:rsidR="008163B6" w:rsidRDefault="00F709BD">
            <w:pPr>
              <w:pStyle w:val="TableHeading"/>
              <w:rPr>
                <w:rFonts w:ascii="Cambria" w:hAnsi="Cambria"/>
              </w:rPr>
            </w:pPr>
            <w:r>
              <w:rPr>
                <w:rFonts w:ascii="Cambria" w:hAnsi="Cambria"/>
              </w:rPr>
              <w:t>Likelihood</w:t>
            </w:r>
          </w:p>
        </w:tc>
        <w:tc>
          <w:tcPr>
            <w:tcW w:w="2373" w:type="pct"/>
          </w:tcPr>
          <w:p w14:paraId="66899AA0" w14:textId="77777777" w:rsidR="008163B6" w:rsidRDefault="00F709BD">
            <w:pPr>
              <w:pStyle w:val="TableHeading"/>
              <w:rPr>
                <w:rFonts w:ascii="Cambria" w:hAnsi="Cambria"/>
              </w:rPr>
            </w:pPr>
            <w:r>
              <w:rPr>
                <w:rFonts w:ascii="Cambria" w:hAnsi="Cambria"/>
              </w:rPr>
              <w:t>Descriptive definition</w:t>
            </w:r>
          </w:p>
        </w:tc>
        <w:tc>
          <w:tcPr>
            <w:tcW w:w="1594" w:type="pct"/>
          </w:tcPr>
          <w:p w14:paraId="47FDE489" w14:textId="77777777" w:rsidR="008163B6" w:rsidRDefault="00F709BD">
            <w:pPr>
              <w:pStyle w:val="TableHeading"/>
              <w:rPr>
                <w:rFonts w:ascii="Cambria" w:hAnsi="Cambria"/>
              </w:rPr>
            </w:pPr>
            <w:r>
              <w:rPr>
                <w:rFonts w:ascii="Cambria" w:hAnsi="Cambria"/>
              </w:rPr>
              <w:t>Indicative range</w:t>
            </w:r>
          </w:p>
        </w:tc>
      </w:tr>
      <w:tr w:rsidR="008163B6" w14:paraId="76D38A43" w14:textId="77777777">
        <w:tc>
          <w:tcPr>
            <w:tcW w:w="1033" w:type="pct"/>
          </w:tcPr>
          <w:p w14:paraId="7DBE1A32" w14:textId="77777777" w:rsidR="008163B6" w:rsidRDefault="00F709BD">
            <w:pPr>
              <w:pStyle w:val="TableText"/>
              <w:rPr>
                <w:rFonts w:ascii="Cambria" w:hAnsi="Cambria"/>
              </w:rPr>
            </w:pPr>
            <w:r>
              <w:rPr>
                <w:rFonts w:ascii="Cambria" w:hAnsi="Cambria"/>
              </w:rPr>
              <w:t>High</w:t>
            </w:r>
          </w:p>
        </w:tc>
        <w:tc>
          <w:tcPr>
            <w:tcW w:w="2373" w:type="pct"/>
          </w:tcPr>
          <w:p w14:paraId="00FFE43B" w14:textId="77777777" w:rsidR="008163B6" w:rsidRDefault="00F709BD">
            <w:pPr>
              <w:pStyle w:val="TableText"/>
              <w:rPr>
                <w:rFonts w:ascii="Cambria" w:hAnsi="Cambria"/>
              </w:rPr>
            </w:pPr>
            <w:r>
              <w:rPr>
                <w:rFonts w:ascii="Cambria" w:hAnsi="Cambria"/>
              </w:rPr>
              <w:t>The event would be very likely to occur</w:t>
            </w:r>
          </w:p>
        </w:tc>
        <w:tc>
          <w:tcPr>
            <w:tcW w:w="1594" w:type="pct"/>
          </w:tcPr>
          <w:p w14:paraId="73E36CD8" w14:textId="77777777" w:rsidR="008163B6" w:rsidRDefault="00F709BD">
            <w:pPr>
              <w:pStyle w:val="TableText"/>
              <w:rPr>
                <w:rFonts w:ascii="Cambria" w:hAnsi="Cambria"/>
              </w:rPr>
            </w:pPr>
            <w:r>
              <w:rPr>
                <w:rFonts w:ascii="Cambria" w:hAnsi="Cambria"/>
              </w:rPr>
              <w:t>0.7 &lt; to ≤ 1</w:t>
            </w:r>
          </w:p>
        </w:tc>
      </w:tr>
      <w:tr w:rsidR="008163B6" w14:paraId="5067346D" w14:textId="77777777">
        <w:tc>
          <w:tcPr>
            <w:tcW w:w="1033" w:type="pct"/>
          </w:tcPr>
          <w:p w14:paraId="2C6C1205" w14:textId="77777777" w:rsidR="008163B6" w:rsidRDefault="00F709BD">
            <w:pPr>
              <w:pStyle w:val="TableText"/>
              <w:rPr>
                <w:rFonts w:ascii="Cambria" w:hAnsi="Cambria"/>
              </w:rPr>
            </w:pPr>
            <w:r>
              <w:rPr>
                <w:rFonts w:ascii="Cambria" w:hAnsi="Cambria"/>
              </w:rPr>
              <w:t>Moderate</w:t>
            </w:r>
          </w:p>
        </w:tc>
        <w:tc>
          <w:tcPr>
            <w:tcW w:w="2373" w:type="pct"/>
          </w:tcPr>
          <w:p w14:paraId="48FC1006" w14:textId="77777777" w:rsidR="008163B6" w:rsidRDefault="00F709BD">
            <w:pPr>
              <w:pStyle w:val="TableText"/>
              <w:rPr>
                <w:rFonts w:ascii="Cambria" w:hAnsi="Cambria"/>
              </w:rPr>
            </w:pPr>
            <w:r>
              <w:rPr>
                <w:rFonts w:ascii="Cambria" w:hAnsi="Cambria"/>
              </w:rPr>
              <w:t xml:space="preserve">The event would occur with an even likelihood </w:t>
            </w:r>
          </w:p>
        </w:tc>
        <w:tc>
          <w:tcPr>
            <w:tcW w:w="1594" w:type="pct"/>
          </w:tcPr>
          <w:p w14:paraId="08FF9797" w14:textId="77777777" w:rsidR="008163B6" w:rsidRDefault="00F709BD">
            <w:pPr>
              <w:pStyle w:val="TableText"/>
              <w:rPr>
                <w:rFonts w:ascii="Cambria" w:hAnsi="Cambria"/>
              </w:rPr>
            </w:pPr>
            <w:r>
              <w:rPr>
                <w:rFonts w:ascii="Cambria" w:hAnsi="Cambria"/>
              </w:rPr>
              <w:t>0.3 &lt; to ≤ 0.7</w:t>
            </w:r>
          </w:p>
        </w:tc>
      </w:tr>
      <w:tr w:rsidR="008163B6" w14:paraId="18765B30" w14:textId="77777777">
        <w:tc>
          <w:tcPr>
            <w:tcW w:w="1033" w:type="pct"/>
          </w:tcPr>
          <w:p w14:paraId="225318C2" w14:textId="77777777" w:rsidR="008163B6" w:rsidRDefault="00F709BD">
            <w:pPr>
              <w:pStyle w:val="TableText"/>
              <w:rPr>
                <w:rFonts w:ascii="Cambria" w:hAnsi="Cambria"/>
              </w:rPr>
            </w:pPr>
            <w:r>
              <w:rPr>
                <w:rFonts w:ascii="Cambria" w:hAnsi="Cambria"/>
              </w:rPr>
              <w:t>Low</w:t>
            </w:r>
          </w:p>
        </w:tc>
        <w:tc>
          <w:tcPr>
            <w:tcW w:w="2373" w:type="pct"/>
          </w:tcPr>
          <w:p w14:paraId="68E9982D" w14:textId="77777777" w:rsidR="008163B6" w:rsidRDefault="00F709BD">
            <w:pPr>
              <w:pStyle w:val="TableText"/>
              <w:rPr>
                <w:rFonts w:ascii="Cambria" w:hAnsi="Cambria"/>
              </w:rPr>
            </w:pPr>
            <w:r>
              <w:rPr>
                <w:rFonts w:ascii="Cambria" w:hAnsi="Cambria"/>
              </w:rPr>
              <w:t>The event would be unlikely to occur</w:t>
            </w:r>
          </w:p>
        </w:tc>
        <w:tc>
          <w:tcPr>
            <w:tcW w:w="1594" w:type="pct"/>
          </w:tcPr>
          <w:p w14:paraId="647FDE0C" w14:textId="77777777" w:rsidR="008163B6" w:rsidRDefault="00F709BD">
            <w:pPr>
              <w:pStyle w:val="TableText"/>
              <w:rPr>
                <w:rFonts w:ascii="Cambria" w:hAnsi="Cambria"/>
              </w:rPr>
            </w:pPr>
            <w:r>
              <w:rPr>
                <w:rFonts w:ascii="Cambria" w:hAnsi="Cambria"/>
              </w:rPr>
              <w:t>0.05 &lt; to ≤ 0.3</w:t>
            </w:r>
          </w:p>
        </w:tc>
      </w:tr>
      <w:tr w:rsidR="008163B6" w14:paraId="47194B22" w14:textId="77777777">
        <w:tc>
          <w:tcPr>
            <w:tcW w:w="1033" w:type="pct"/>
          </w:tcPr>
          <w:p w14:paraId="0F94F856" w14:textId="77777777" w:rsidR="008163B6" w:rsidRDefault="00F709BD">
            <w:pPr>
              <w:pStyle w:val="TableText"/>
              <w:rPr>
                <w:rFonts w:ascii="Cambria" w:hAnsi="Cambria"/>
              </w:rPr>
            </w:pPr>
            <w:r>
              <w:rPr>
                <w:rFonts w:ascii="Cambria" w:hAnsi="Cambria"/>
              </w:rPr>
              <w:t>Very low</w:t>
            </w:r>
          </w:p>
        </w:tc>
        <w:tc>
          <w:tcPr>
            <w:tcW w:w="2373" w:type="pct"/>
          </w:tcPr>
          <w:p w14:paraId="6107C20C" w14:textId="77777777" w:rsidR="008163B6" w:rsidRDefault="00F709BD">
            <w:pPr>
              <w:pStyle w:val="TableText"/>
              <w:rPr>
                <w:rFonts w:ascii="Cambria" w:hAnsi="Cambria"/>
              </w:rPr>
            </w:pPr>
            <w:r>
              <w:rPr>
                <w:rFonts w:ascii="Cambria" w:hAnsi="Cambria"/>
              </w:rPr>
              <w:t>The event would be very unlikely to occur</w:t>
            </w:r>
          </w:p>
        </w:tc>
        <w:tc>
          <w:tcPr>
            <w:tcW w:w="1594" w:type="pct"/>
          </w:tcPr>
          <w:p w14:paraId="01AC3927" w14:textId="77777777" w:rsidR="008163B6" w:rsidRDefault="00F709BD">
            <w:pPr>
              <w:pStyle w:val="TableText"/>
              <w:rPr>
                <w:rFonts w:ascii="Cambria" w:hAnsi="Cambria"/>
              </w:rPr>
            </w:pPr>
            <w:r>
              <w:rPr>
                <w:rFonts w:ascii="Cambria" w:hAnsi="Cambria"/>
              </w:rPr>
              <w:t>0.001 &lt; to ≤ 0.05</w:t>
            </w:r>
          </w:p>
        </w:tc>
      </w:tr>
      <w:tr w:rsidR="008163B6" w14:paraId="127B3C80" w14:textId="77777777">
        <w:tc>
          <w:tcPr>
            <w:tcW w:w="1033" w:type="pct"/>
          </w:tcPr>
          <w:p w14:paraId="30643983" w14:textId="77777777" w:rsidR="008163B6" w:rsidRDefault="00F709BD">
            <w:pPr>
              <w:pStyle w:val="TableText"/>
              <w:rPr>
                <w:rFonts w:ascii="Cambria" w:hAnsi="Cambria"/>
              </w:rPr>
            </w:pPr>
            <w:r>
              <w:rPr>
                <w:rFonts w:ascii="Cambria" w:hAnsi="Cambria"/>
              </w:rPr>
              <w:t>Extremely low</w:t>
            </w:r>
          </w:p>
        </w:tc>
        <w:tc>
          <w:tcPr>
            <w:tcW w:w="2373" w:type="pct"/>
          </w:tcPr>
          <w:p w14:paraId="0FFF1F20" w14:textId="77777777" w:rsidR="008163B6" w:rsidRDefault="00F709BD">
            <w:pPr>
              <w:pStyle w:val="TableText"/>
              <w:rPr>
                <w:rFonts w:ascii="Cambria" w:hAnsi="Cambria"/>
              </w:rPr>
            </w:pPr>
            <w:r>
              <w:rPr>
                <w:rFonts w:ascii="Cambria" w:hAnsi="Cambria"/>
              </w:rPr>
              <w:t>The event would be extremely unlikely to occur</w:t>
            </w:r>
          </w:p>
        </w:tc>
        <w:tc>
          <w:tcPr>
            <w:tcW w:w="1594" w:type="pct"/>
          </w:tcPr>
          <w:p w14:paraId="4959BB82" w14:textId="77777777" w:rsidR="008163B6" w:rsidRDefault="00F709BD">
            <w:pPr>
              <w:pStyle w:val="TableText"/>
              <w:rPr>
                <w:rFonts w:ascii="Cambria" w:hAnsi="Cambria"/>
              </w:rPr>
            </w:pPr>
            <w:r>
              <w:rPr>
                <w:rFonts w:ascii="Cambria" w:hAnsi="Cambria"/>
              </w:rPr>
              <w:t>0.000001 &lt; to ≤ 0.001</w:t>
            </w:r>
          </w:p>
        </w:tc>
      </w:tr>
      <w:tr w:rsidR="008163B6" w14:paraId="5484BF62" w14:textId="77777777">
        <w:tc>
          <w:tcPr>
            <w:tcW w:w="1033" w:type="pct"/>
          </w:tcPr>
          <w:p w14:paraId="1CCCBEE9" w14:textId="77777777" w:rsidR="008163B6" w:rsidRDefault="00F709BD">
            <w:pPr>
              <w:pStyle w:val="TableText"/>
              <w:rPr>
                <w:rFonts w:ascii="Cambria" w:hAnsi="Cambria"/>
              </w:rPr>
            </w:pPr>
            <w:r>
              <w:rPr>
                <w:rFonts w:ascii="Cambria" w:hAnsi="Cambria"/>
              </w:rPr>
              <w:t>Negligible</w:t>
            </w:r>
          </w:p>
        </w:tc>
        <w:tc>
          <w:tcPr>
            <w:tcW w:w="2373" w:type="pct"/>
          </w:tcPr>
          <w:p w14:paraId="75C4C443" w14:textId="77777777" w:rsidR="008163B6" w:rsidRDefault="00F709BD">
            <w:pPr>
              <w:pStyle w:val="TableText"/>
              <w:rPr>
                <w:rFonts w:ascii="Cambria" w:hAnsi="Cambria"/>
              </w:rPr>
            </w:pPr>
            <w:r>
              <w:rPr>
                <w:rFonts w:ascii="Cambria" w:hAnsi="Cambria"/>
              </w:rPr>
              <w:t>The event would almost certainly not occur</w:t>
            </w:r>
          </w:p>
        </w:tc>
        <w:tc>
          <w:tcPr>
            <w:tcW w:w="1594" w:type="pct"/>
          </w:tcPr>
          <w:p w14:paraId="18AA3375" w14:textId="77777777" w:rsidR="008163B6" w:rsidRDefault="00F709BD">
            <w:pPr>
              <w:pStyle w:val="TableText"/>
              <w:rPr>
                <w:rFonts w:ascii="Cambria" w:hAnsi="Cambria"/>
              </w:rPr>
            </w:pPr>
            <w:r>
              <w:rPr>
                <w:rFonts w:ascii="Cambria" w:hAnsi="Cambria"/>
              </w:rPr>
              <w:t>0 &lt; to ≤ 0.000001</w:t>
            </w:r>
          </w:p>
        </w:tc>
      </w:tr>
    </w:tbl>
    <w:p w14:paraId="03AEEF11" w14:textId="60B0FE8F" w:rsidR="008163B6" w:rsidRDefault="00F709BD">
      <w:pPr>
        <w:pStyle w:val="Heading5"/>
        <w:spacing w:before="200"/>
      </w:pPr>
      <w:r>
        <w:t>Combi</w:t>
      </w:r>
      <w:r w:rsidR="004C6DB6">
        <w:t>ni</w:t>
      </w:r>
      <w:r>
        <w:t>ng likelihoods</w:t>
      </w:r>
    </w:p>
    <w:p w14:paraId="58F9EAC6" w14:textId="0D275657" w:rsidR="00335E49" w:rsidRDefault="00F709BD" w:rsidP="00126AFC">
      <w:pPr>
        <w:spacing w:before="120" w:after="0" w:line="276" w:lineRule="auto"/>
        <w:rPr>
          <w:rFonts w:ascii="Cambria" w:hAnsi="Cambria"/>
        </w:rPr>
      </w:pPr>
      <w:r>
        <w:rPr>
          <w:rFonts w:ascii="Cambria" w:hAnsi="Cambria"/>
        </w:rPr>
        <w:t>The likelihood of entry is determined by combining the likelihood that the pest will be imported into the PRA area and the likelihood that the pest will be distributed within the PRA area, using a matrix of rules (Table 2). This matrix is then used to combine the likelihood of entry and the likelihood of establishment, and then the likelihood of entry and establishment is combined with the likelihood of spread to determine the overall likelihood of entry, establishment and spread.</w:t>
      </w:r>
      <w:r w:rsidR="004C6DB6">
        <w:rPr>
          <w:rFonts w:ascii="Cambria" w:hAnsi="Cambria"/>
        </w:rPr>
        <w:t xml:space="preserve"> </w:t>
      </w:r>
    </w:p>
    <w:p w14:paraId="3927FBE8" w14:textId="77777777" w:rsidR="00126AFC" w:rsidRDefault="00F709BD" w:rsidP="00126AFC">
      <w:pPr>
        <w:spacing w:before="120" w:after="0" w:line="276" w:lineRule="auto"/>
        <w:rPr>
          <w:rFonts w:ascii="Cambria" w:hAnsi="Cambria"/>
        </w:rPr>
      </w:pPr>
      <w:bookmarkStart w:id="108" w:name="_Toc384197745"/>
      <w:bookmarkStart w:id="109" w:name="_Toc384209833"/>
      <w:bookmarkStart w:id="110" w:name="_Toc384275077"/>
      <w:bookmarkStart w:id="111" w:name="_Toc388949918"/>
      <w:bookmarkStart w:id="112" w:name="_Toc418712907"/>
      <w:bookmarkStart w:id="113" w:name="_Toc432187286"/>
      <w:bookmarkStart w:id="114" w:name="_Toc434315829"/>
      <w:r>
        <w:rPr>
          <w:rFonts w:ascii="Cambria" w:hAnsi="Cambria"/>
        </w:rPr>
        <w:t xml:space="preserve">For example, if the likelihood of importation is assigned a descriptor of ‘low’ and the likelihood of distribution is assigned a descriptor of ‘moderate’, then they are combined to give a likelihood of ‘low’ for entry. Then if the likelihood of establishment has been assigned a descriptor of ‘high’, this will be combined with the likelihood of entry (low), to give a likelihood for entry and establishment of ‘low’. The assigned likelihood for spread (for example ‘very low’) would then be combined with the likelihood for entry and establishment (low), to give an overall likelihood for entry, establishment and spread of ‘very low’. </w:t>
      </w:r>
      <w:r w:rsidR="00126AFC">
        <w:rPr>
          <w:rFonts w:ascii="Cambria" w:hAnsi="Cambria"/>
        </w:rPr>
        <w:t>This can be summarised as:</w:t>
      </w:r>
    </w:p>
    <w:tbl>
      <w:tblPr>
        <w:tblStyle w:val="TableGrid"/>
        <w:tblpPr w:leftFromText="180" w:rightFromText="180" w:vertAnchor="text" w:horzAnchor="margin" w:tblpXSpec="center"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185"/>
      </w:tblGrid>
      <w:tr w:rsidR="00126AFC" w14:paraId="42B3FD3E" w14:textId="77777777" w:rsidTr="00091B7D">
        <w:trPr>
          <w:trHeight w:val="446"/>
        </w:trPr>
        <w:tc>
          <w:tcPr>
            <w:tcW w:w="4185" w:type="dxa"/>
          </w:tcPr>
          <w:p w14:paraId="4DF7C4E1" w14:textId="77777777" w:rsidR="00126AFC" w:rsidRDefault="00126AFC" w:rsidP="00091B7D">
            <w:pPr>
              <w:spacing w:before="0" w:after="0" w:line="240" w:lineRule="auto"/>
              <w:jc w:val="center"/>
              <w:rPr>
                <w:rFonts w:ascii="Cambria" w:hAnsi="Cambria"/>
              </w:rPr>
            </w:pPr>
            <w:r>
              <w:rPr>
                <w:rFonts w:ascii="Cambria" w:hAnsi="Cambria"/>
              </w:rPr>
              <w:t>importation x distribution = entry [E]</w:t>
            </w:r>
          </w:p>
        </w:tc>
        <w:tc>
          <w:tcPr>
            <w:tcW w:w="4185" w:type="dxa"/>
          </w:tcPr>
          <w:p w14:paraId="3548BE29" w14:textId="77777777" w:rsidR="00126AFC" w:rsidRDefault="00126AFC" w:rsidP="00091B7D">
            <w:pPr>
              <w:spacing w:before="0" w:after="0" w:line="240" w:lineRule="auto"/>
              <w:jc w:val="center"/>
              <w:rPr>
                <w:rFonts w:ascii="Cambria" w:hAnsi="Cambria"/>
              </w:rPr>
            </w:pPr>
            <w:r>
              <w:rPr>
                <w:rFonts w:ascii="Cambria" w:hAnsi="Cambria"/>
                <w:b/>
              </w:rPr>
              <w:t>low x moderate = low</w:t>
            </w:r>
          </w:p>
        </w:tc>
      </w:tr>
      <w:tr w:rsidR="00126AFC" w14:paraId="3488DEFF" w14:textId="77777777" w:rsidTr="00091B7D">
        <w:trPr>
          <w:trHeight w:val="446"/>
        </w:trPr>
        <w:tc>
          <w:tcPr>
            <w:tcW w:w="4185" w:type="dxa"/>
          </w:tcPr>
          <w:p w14:paraId="0E06FEE8" w14:textId="77777777" w:rsidR="00126AFC" w:rsidRDefault="00126AFC" w:rsidP="00091B7D">
            <w:pPr>
              <w:spacing w:before="0" w:after="0" w:line="240" w:lineRule="auto"/>
              <w:jc w:val="center"/>
              <w:rPr>
                <w:rFonts w:ascii="Cambria" w:hAnsi="Cambria"/>
              </w:rPr>
            </w:pPr>
            <w:r>
              <w:rPr>
                <w:rFonts w:ascii="Cambria" w:hAnsi="Cambria"/>
              </w:rPr>
              <w:t>entry [E] x establishment = [EE]</w:t>
            </w:r>
          </w:p>
        </w:tc>
        <w:tc>
          <w:tcPr>
            <w:tcW w:w="4185" w:type="dxa"/>
          </w:tcPr>
          <w:p w14:paraId="3D6DB36B" w14:textId="77777777" w:rsidR="00126AFC" w:rsidRDefault="00126AFC" w:rsidP="00091B7D">
            <w:pPr>
              <w:spacing w:before="0" w:after="0" w:line="240" w:lineRule="auto"/>
              <w:jc w:val="center"/>
              <w:rPr>
                <w:rFonts w:ascii="Cambria" w:hAnsi="Cambria"/>
              </w:rPr>
            </w:pPr>
            <w:r>
              <w:rPr>
                <w:rFonts w:ascii="Cambria" w:hAnsi="Cambria"/>
                <w:b/>
              </w:rPr>
              <w:t>low x high = low</w:t>
            </w:r>
          </w:p>
        </w:tc>
      </w:tr>
      <w:tr w:rsidR="00126AFC" w14:paraId="24D12F2A" w14:textId="77777777" w:rsidTr="00091B7D">
        <w:trPr>
          <w:trHeight w:val="446"/>
        </w:trPr>
        <w:tc>
          <w:tcPr>
            <w:tcW w:w="4185" w:type="dxa"/>
          </w:tcPr>
          <w:p w14:paraId="01DFAF49" w14:textId="77777777" w:rsidR="00126AFC" w:rsidRDefault="00126AFC" w:rsidP="00091B7D">
            <w:pPr>
              <w:spacing w:before="0" w:after="0" w:line="240" w:lineRule="auto"/>
              <w:jc w:val="center"/>
              <w:rPr>
                <w:rFonts w:ascii="Cambria" w:hAnsi="Cambria"/>
              </w:rPr>
            </w:pPr>
            <w:r>
              <w:rPr>
                <w:rFonts w:ascii="Cambria" w:hAnsi="Cambria"/>
              </w:rPr>
              <w:t>[EE] x spread = [EES]</w:t>
            </w:r>
          </w:p>
        </w:tc>
        <w:tc>
          <w:tcPr>
            <w:tcW w:w="4185" w:type="dxa"/>
          </w:tcPr>
          <w:p w14:paraId="7D544467" w14:textId="77777777" w:rsidR="00126AFC" w:rsidRDefault="00126AFC" w:rsidP="00091B7D">
            <w:pPr>
              <w:spacing w:before="0" w:after="0" w:line="240" w:lineRule="auto"/>
              <w:jc w:val="center"/>
              <w:rPr>
                <w:rFonts w:ascii="Cambria" w:hAnsi="Cambria"/>
              </w:rPr>
            </w:pPr>
            <w:r>
              <w:rPr>
                <w:rFonts w:ascii="Cambria" w:hAnsi="Cambria"/>
                <w:b/>
              </w:rPr>
              <w:t>low x very low = very low</w:t>
            </w:r>
          </w:p>
        </w:tc>
      </w:tr>
    </w:tbl>
    <w:p w14:paraId="07B8FB59" w14:textId="7DCF6D5D" w:rsidR="008163B6" w:rsidRDefault="008163B6" w:rsidP="00EE028D">
      <w:pPr>
        <w:spacing w:before="120" w:after="120" w:line="276" w:lineRule="auto"/>
        <w:rPr>
          <w:rFonts w:ascii="Cambria" w:hAnsi="Cambria"/>
          <w:b/>
        </w:rPr>
      </w:pPr>
    </w:p>
    <w:p w14:paraId="5E8F34AF" w14:textId="77777777" w:rsidR="008163B6" w:rsidRDefault="00F709BD" w:rsidP="006F4BBD">
      <w:pPr>
        <w:pStyle w:val="Caption"/>
        <w:spacing w:before="200"/>
        <w:rPr>
          <w:rFonts w:asciiTheme="majorHAnsi" w:eastAsiaTheme="majorEastAsia" w:hAnsiTheme="majorHAnsi" w:cstheme="majorBidi"/>
          <w:color w:val="595959" w:themeColor="text1" w:themeTint="A6"/>
          <w:sz w:val="20"/>
        </w:rPr>
      </w:pPr>
      <w:bookmarkStart w:id="115" w:name="_Toc438132869"/>
      <w:bookmarkStart w:id="116" w:name="_Toc438202154"/>
      <w:bookmarkStart w:id="117" w:name="_Toc438549494"/>
      <w:bookmarkStart w:id="118" w:name="_Toc438549538"/>
      <w:bookmarkStart w:id="119" w:name="_Toc439661104"/>
      <w:bookmarkStart w:id="120" w:name="_Toc447541242"/>
      <w:bookmarkStart w:id="121" w:name="_Toc447541261"/>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2</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Matrix of rules for combining qualitative likelihoods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tbl>
      <w:tblPr>
        <w:tblW w:w="4802" w:type="pct"/>
        <w:tblInd w:w="115" w:type="dxa"/>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908"/>
        <w:gridCol w:w="1342"/>
        <w:gridCol w:w="1342"/>
        <w:gridCol w:w="1340"/>
        <w:gridCol w:w="1340"/>
        <w:gridCol w:w="1343"/>
        <w:gridCol w:w="1086"/>
      </w:tblGrid>
      <w:tr w:rsidR="008163B6" w14:paraId="4154319E" w14:textId="77777777">
        <w:trPr>
          <w:cantSplit/>
        </w:trPr>
        <w:tc>
          <w:tcPr>
            <w:tcW w:w="522" w:type="pct"/>
            <w:tcBorders>
              <w:top w:val="single" w:sz="4" w:space="0" w:color="auto"/>
              <w:left w:val="single" w:sz="4" w:space="0" w:color="auto"/>
              <w:bottom w:val="nil"/>
              <w:right w:val="nil"/>
              <w:tl2br w:val="single" w:sz="4" w:space="0" w:color="C0C0C0"/>
            </w:tcBorders>
            <w:shd w:val="clear" w:color="auto" w:fill="auto"/>
          </w:tcPr>
          <w:p w14:paraId="36E515FC" w14:textId="77777777" w:rsidR="008163B6" w:rsidRDefault="008163B6" w:rsidP="006F4BBD">
            <w:pPr>
              <w:pStyle w:val="TableText"/>
              <w:keepNext/>
            </w:pPr>
          </w:p>
        </w:tc>
        <w:tc>
          <w:tcPr>
            <w:tcW w:w="770" w:type="pct"/>
            <w:tcBorders>
              <w:top w:val="single" w:sz="4" w:space="0" w:color="auto"/>
              <w:left w:val="nil"/>
              <w:bottom w:val="single" w:sz="8" w:space="0" w:color="C0C0C0"/>
            </w:tcBorders>
            <w:shd w:val="clear" w:color="auto" w:fill="auto"/>
          </w:tcPr>
          <w:p w14:paraId="0D893A6B" w14:textId="77777777" w:rsidR="008163B6" w:rsidRDefault="00F709BD" w:rsidP="006F4BBD">
            <w:pPr>
              <w:pStyle w:val="TableHeading"/>
            </w:pPr>
            <w:r>
              <w:t>High</w:t>
            </w:r>
          </w:p>
        </w:tc>
        <w:tc>
          <w:tcPr>
            <w:tcW w:w="771" w:type="pct"/>
            <w:tcBorders>
              <w:top w:val="single" w:sz="4" w:space="0" w:color="auto"/>
              <w:bottom w:val="single" w:sz="8" w:space="0" w:color="C0C0C0"/>
            </w:tcBorders>
            <w:shd w:val="clear" w:color="auto" w:fill="auto"/>
          </w:tcPr>
          <w:p w14:paraId="6492D47D" w14:textId="77777777" w:rsidR="008163B6" w:rsidRDefault="00F709BD" w:rsidP="006F4BBD">
            <w:pPr>
              <w:pStyle w:val="TableHeading"/>
            </w:pPr>
            <w:r>
              <w:t>Moderate</w:t>
            </w:r>
          </w:p>
        </w:tc>
        <w:tc>
          <w:tcPr>
            <w:tcW w:w="770" w:type="pct"/>
            <w:tcBorders>
              <w:top w:val="single" w:sz="4" w:space="0" w:color="auto"/>
              <w:bottom w:val="single" w:sz="8" w:space="0" w:color="C0C0C0"/>
            </w:tcBorders>
            <w:shd w:val="clear" w:color="auto" w:fill="auto"/>
          </w:tcPr>
          <w:p w14:paraId="6FEEB366" w14:textId="77777777" w:rsidR="008163B6" w:rsidRDefault="00F709BD" w:rsidP="006F4BBD">
            <w:pPr>
              <w:pStyle w:val="TableHeading"/>
            </w:pPr>
            <w:r>
              <w:t>Low</w:t>
            </w:r>
          </w:p>
        </w:tc>
        <w:tc>
          <w:tcPr>
            <w:tcW w:w="770" w:type="pct"/>
            <w:tcBorders>
              <w:top w:val="single" w:sz="4" w:space="0" w:color="auto"/>
              <w:bottom w:val="single" w:sz="8" w:space="0" w:color="C0C0C0"/>
            </w:tcBorders>
            <w:shd w:val="clear" w:color="auto" w:fill="auto"/>
          </w:tcPr>
          <w:p w14:paraId="336530CA" w14:textId="77777777" w:rsidR="008163B6" w:rsidRDefault="00F709BD" w:rsidP="006F4BBD">
            <w:pPr>
              <w:pStyle w:val="TableHeading"/>
            </w:pPr>
            <w:r>
              <w:t>Very low</w:t>
            </w:r>
          </w:p>
        </w:tc>
        <w:tc>
          <w:tcPr>
            <w:tcW w:w="772" w:type="pct"/>
            <w:tcBorders>
              <w:top w:val="single" w:sz="4" w:space="0" w:color="auto"/>
              <w:bottom w:val="single" w:sz="8" w:space="0" w:color="C0C0C0"/>
            </w:tcBorders>
            <w:shd w:val="clear" w:color="auto" w:fill="auto"/>
          </w:tcPr>
          <w:p w14:paraId="4C0D7C0A" w14:textId="77777777" w:rsidR="008163B6" w:rsidRDefault="00F709BD" w:rsidP="006F4BBD">
            <w:pPr>
              <w:pStyle w:val="TableHeading"/>
            </w:pPr>
            <w:r>
              <w:t>Extremely low</w:t>
            </w:r>
          </w:p>
        </w:tc>
        <w:tc>
          <w:tcPr>
            <w:tcW w:w="624" w:type="pct"/>
            <w:tcBorders>
              <w:top w:val="single" w:sz="4" w:space="0" w:color="auto"/>
              <w:bottom w:val="single" w:sz="8" w:space="0" w:color="C0C0C0"/>
              <w:right w:val="single" w:sz="4" w:space="0" w:color="auto"/>
            </w:tcBorders>
            <w:shd w:val="clear" w:color="auto" w:fill="auto"/>
          </w:tcPr>
          <w:p w14:paraId="3C5C707D" w14:textId="77777777" w:rsidR="008163B6" w:rsidRDefault="00F709BD" w:rsidP="006F4BBD">
            <w:pPr>
              <w:pStyle w:val="TableHeading"/>
            </w:pPr>
            <w:r>
              <w:t>Negligible</w:t>
            </w:r>
          </w:p>
        </w:tc>
      </w:tr>
      <w:tr w:rsidR="008163B6" w14:paraId="02A80285" w14:textId="77777777">
        <w:trPr>
          <w:cantSplit/>
        </w:trPr>
        <w:tc>
          <w:tcPr>
            <w:tcW w:w="522" w:type="pct"/>
            <w:tcBorders>
              <w:top w:val="nil"/>
              <w:left w:val="single" w:sz="4" w:space="0" w:color="auto"/>
              <w:bottom w:val="single" w:sz="8" w:space="0" w:color="C0C0C0"/>
            </w:tcBorders>
            <w:vAlign w:val="center"/>
          </w:tcPr>
          <w:p w14:paraId="56005BCE" w14:textId="77777777" w:rsidR="008163B6" w:rsidRDefault="00F709BD">
            <w:pPr>
              <w:pStyle w:val="TableHeading"/>
            </w:pPr>
            <w:r>
              <w:t>High</w:t>
            </w:r>
          </w:p>
        </w:tc>
        <w:tc>
          <w:tcPr>
            <w:tcW w:w="770" w:type="pct"/>
            <w:tcBorders>
              <w:top w:val="single" w:sz="8" w:space="0" w:color="C0C0C0"/>
              <w:bottom w:val="single" w:sz="8" w:space="0" w:color="C0C0C0"/>
            </w:tcBorders>
            <w:shd w:val="clear" w:color="auto" w:fill="FF99CC"/>
            <w:vAlign w:val="center"/>
          </w:tcPr>
          <w:p w14:paraId="66CECCC5" w14:textId="77777777" w:rsidR="008163B6" w:rsidRDefault="00F709BD">
            <w:pPr>
              <w:pStyle w:val="TableText"/>
            </w:pPr>
            <w:r>
              <w:t>High</w:t>
            </w:r>
          </w:p>
        </w:tc>
        <w:tc>
          <w:tcPr>
            <w:tcW w:w="771" w:type="pct"/>
            <w:tcBorders>
              <w:top w:val="single" w:sz="8" w:space="0" w:color="C0C0C0"/>
            </w:tcBorders>
            <w:shd w:val="clear" w:color="auto" w:fill="FFCC99"/>
            <w:vAlign w:val="center"/>
          </w:tcPr>
          <w:p w14:paraId="269280BA" w14:textId="77777777" w:rsidR="008163B6" w:rsidRDefault="00F709BD">
            <w:pPr>
              <w:pStyle w:val="TableText"/>
            </w:pPr>
            <w:r>
              <w:t>Moderate</w:t>
            </w:r>
          </w:p>
        </w:tc>
        <w:tc>
          <w:tcPr>
            <w:tcW w:w="770" w:type="pct"/>
            <w:tcBorders>
              <w:top w:val="single" w:sz="8" w:space="0" w:color="C0C0C0"/>
            </w:tcBorders>
            <w:shd w:val="clear" w:color="auto" w:fill="FFFF99"/>
            <w:vAlign w:val="center"/>
          </w:tcPr>
          <w:p w14:paraId="5D612D45" w14:textId="77777777" w:rsidR="008163B6" w:rsidRDefault="00F709BD">
            <w:pPr>
              <w:pStyle w:val="TableText"/>
            </w:pPr>
            <w:r>
              <w:t>Low</w:t>
            </w:r>
          </w:p>
        </w:tc>
        <w:tc>
          <w:tcPr>
            <w:tcW w:w="770" w:type="pct"/>
            <w:tcBorders>
              <w:top w:val="single" w:sz="8" w:space="0" w:color="C0C0C0"/>
            </w:tcBorders>
            <w:shd w:val="clear" w:color="auto" w:fill="CCFFCC"/>
            <w:vAlign w:val="center"/>
          </w:tcPr>
          <w:p w14:paraId="741297C4" w14:textId="77777777" w:rsidR="008163B6" w:rsidRDefault="00F709BD">
            <w:pPr>
              <w:pStyle w:val="TableText"/>
            </w:pPr>
            <w:r>
              <w:t>Very low</w:t>
            </w:r>
          </w:p>
        </w:tc>
        <w:tc>
          <w:tcPr>
            <w:tcW w:w="772" w:type="pct"/>
            <w:tcBorders>
              <w:top w:val="single" w:sz="8" w:space="0" w:color="C0C0C0"/>
            </w:tcBorders>
            <w:shd w:val="clear" w:color="auto" w:fill="CCFFFF"/>
            <w:vAlign w:val="center"/>
          </w:tcPr>
          <w:p w14:paraId="08552308" w14:textId="77777777" w:rsidR="008163B6" w:rsidRDefault="00F709BD">
            <w:pPr>
              <w:pStyle w:val="TableText"/>
            </w:pPr>
            <w:r>
              <w:t>Extremely low</w:t>
            </w:r>
          </w:p>
        </w:tc>
        <w:tc>
          <w:tcPr>
            <w:tcW w:w="624" w:type="pct"/>
            <w:tcBorders>
              <w:top w:val="single" w:sz="8" w:space="0" w:color="C0C0C0"/>
              <w:right w:val="single" w:sz="4" w:space="0" w:color="auto"/>
            </w:tcBorders>
            <w:shd w:val="clear" w:color="auto" w:fill="CCCCFF"/>
            <w:vAlign w:val="center"/>
          </w:tcPr>
          <w:p w14:paraId="452DA1E1" w14:textId="77777777" w:rsidR="008163B6" w:rsidRDefault="00F709BD">
            <w:pPr>
              <w:pStyle w:val="TableText"/>
            </w:pPr>
            <w:r>
              <w:t>Negligible</w:t>
            </w:r>
          </w:p>
        </w:tc>
      </w:tr>
      <w:tr w:rsidR="008163B6" w14:paraId="413734B6" w14:textId="77777777">
        <w:trPr>
          <w:cantSplit/>
        </w:trPr>
        <w:tc>
          <w:tcPr>
            <w:tcW w:w="1293" w:type="pct"/>
            <w:gridSpan w:val="2"/>
            <w:tcBorders>
              <w:top w:val="single" w:sz="8" w:space="0" w:color="C0C0C0"/>
              <w:left w:val="single" w:sz="4" w:space="0" w:color="auto"/>
              <w:bottom w:val="single" w:sz="8" w:space="0" w:color="C0C0C0"/>
            </w:tcBorders>
            <w:vAlign w:val="center"/>
          </w:tcPr>
          <w:p w14:paraId="02754A43" w14:textId="77777777" w:rsidR="008163B6" w:rsidRDefault="00F709BD">
            <w:pPr>
              <w:pStyle w:val="TableHeading"/>
            </w:pPr>
            <w:r>
              <w:t>Moderate</w:t>
            </w:r>
          </w:p>
        </w:tc>
        <w:tc>
          <w:tcPr>
            <w:tcW w:w="771" w:type="pct"/>
            <w:tcBorders>
              <w:bottom w:val="single" w:sz="8" w:space="0" w:color="C0C0C0"/>
            </w:tcBorders>
            <w:shd w:val="clear" w:color="auto" w:fill="FFFF99"/>
            <w:vAlign w:val="center"/>
          </w:tcPr>
          <w:p w14:paraId="68AEAAAE" w14:textId="77777777" w:rsidR="008163B6" w:rsidRDefault="00F709BD">
            <w:pPr>
              <w:pStyle w:val="TableText"/>
            </w:pPr>
            <w:r>
              <w:t>Low</w:t>
            </w:r>
          </w:p>
        </w:tc>
        <w:tc>
          <w:tcPr>
            <w:tcW w:w="770" w:type="pct"/>
            <w:shd w:val="clear" w:color="auto" w:fill="FFFF99"/>
            <w:vAlign w:val="center"/>
          </w:tcPr>
          <w:p w14:paraId="0FD6CAD9" w14:textId="77777777" w:rsidR="008163B6" w:rsidRDefault="00F709BD">
            <w:pPr>
              <w:pStyle w:val="TableText"/>
            </w:pPr>
            <w:r>
              <w:t>Low</w:t>
            </w:r>
          </w:p>
        </w:tc>
        <w:tc>
          <w:tcPr>
            <w:tcW w:w="770" w:type="pct"/>
            <w:shd w:val="clear" w:color="auto" w:fill="CCFFCC"/>
            <w:vAlign w:val="center"/>
          </w:tcPr>
          <w:p w14:paraId="3E309969" w14:textId="77777777" w:rsidR="008163B6" w:rsidRDefault="00F709BD">
            <w:pPr>
              <w:pStyle w:val="TableText"/>
            </w:pPr>
            <w:r>
              <w:t>Very low</w:t>
            </w:r>
          </w:p>
        </w:tc>
        <w:tc>
          <w:tcPr>
            <w:tcW w:w="772" w:type="pct"/>
            <w:shd w:val="clear" w:color="auto" w:fill="CCFFFF"/>
            <w:vAlign w:val="center"/>
          </w:tcPr>
          <w:p w14:paraId="697A1BEC" w14:textId="77777777" w:rsidR="008163B6" w:rsidRDefault="00F709BD">
            <w:pPr>
              <w:pStyle w:val="TableText"/>
            </w:pPr>
            <w:r>
              <w:t>Extremely low</w:t>
            </w:r>
          </w:p>
        </w:tc>
        <w:tc>
          <w:tcPr>
            <w:tcW w:w="624" w:type="pct"/>
            <w:tcBorders>
              <w:right w:val="single" w:sz="4" w:space="0" w:color="auto"/>
            </w:tcBorders>
            <w:shd w:val="clear" w:color="auto" w:fill="CCCCFF"/>
            <w:vAlign w:val="center"/>
          </w:tcPr>
          <w:p w14:paraId="0C8E1137" w14:textId="77777777" w:rsidR="008163B6" w:rsidRDefault="00F709BD">
            <w:pPr>
              <w:pStyle w:val="TableText"/>
            </w:pPr>
            <w:r>
              <w:t>Negligible</w:t>
            </w:r>
          </w:p>
        </w:tc>
      </w:tr>
      <w:tr w:rsidR="008163B6" w14:paraId="33689FF4" w14:textId="77777777">
        <w:trPr>
          <w:cantSplit/>
        </w:trPr>
        <w:tc>
          <w:tcPr>
            <w:tcW w:w="2063" w:type="pct"/>
            <w:gridSpan w:val="3"/>
            <w:tcBorders>
              <w:top w:val="single" w:sz="8" w:space="0" w:color="C0C0C0"/>
              <w:left w:val="single" w:sz="4" w:space="0" w:color="auto"/>
              <w:bottom w:val="single" w:sz="8" w:space="0" w:color="C0C0C0"/>
            </w:tcBorders>
            <w:vAlign w:val="center"/>
          </w:tcPr>
          <w:p w14:paraId="7DEDF9C3" w14:textId="77777777" w:rsidR="008163B6" w:rsidRDefault="00F709BD">
            <w:pPr>
              <w:pStyle w:val="TableHeading"/>
            </w:pPr>
            <w:r>
              <w:t>Low</w:t>
            </w:r>
          </w:p>
        </w:tc>
        <w:tc>
          <w:tcPr>
            <w:tcW w:w="770" w:type="pct"/>
            <w:tcBorders>
              <w:bottom w:val="single" w:sz="8" w:space="0" w:color="C0C0C0"/>
            </w:tcBorders>
            <w:shd w:val="clear" w:color="auto" w:fill="CCFFCC"/>
            <w:vAlign w:val="center"/>
          </w:tcPr>
          <w:p w14:paraId="2D93B144" w14:textId="77777777" w:rsidR="008163B6" w:rsidRDefault="00F709BD">
            <w:pPr>
              <w:pStyle w:val="TableText"/>
            </w:pPr>
            <w:r>
              <w:t>Very low</w:t>
            </w:r>
          </w:p>
        </w:tc>
        <w:tc>
          <w:tcPr>
            <w:tcW w:w="770" w:type="pct"/>
            <w:shd w:val="clear" w:color="auto" w:fill="CCFFCC"/>
            <w:vAlign w:val="center"/>
          </w:tcPr>
          <w:p w14:paraId="16044842" w14:textId="77777777" w:rsidR="008163B6" w:rsidRDefault="00F709BD">
            <w:pPr>
              <w:pStyle w:val="TableText"/>
            </w:pPr>
            <w:r>
              <w:t>Very low</w:t>
            </w:r>
          </w:p>
        </w:tc>
        <w:tc>
          <w:tcPr>
            <w:tcW w:w="772" w:type="pct"/>
            <w:shd w:val="clear" w:color="auto" w:fill="CCFFFF"/>
            <w:vAlign w:val="center"/>
          </w:tcPr>
          <w:p w14:paraId="3D54DB8D" w14:textId="77777777" w:rsidR="008163B6" w:rsidRDefault="00F709BD">
            <w:pPr>
              <w:pStyle w:val="TableText"/>
            </w:pPr>
            <w:r>
              <w:t>Extremely low</w:t>
            </w:r>
          </w:p>
        </w:tc>
        <w:tc>
          <w:tcPr>
            <w:tcW w:w="624" w:type="pct"/>
            <w:tcBorders>
              <w:right w:val="single" w:sz="4" w:space="0" w:color="auto"/>
            </w:tcBorders>
            <w:shd w:val="clear" w:color="auto" w:fill="CCCCFF"/>
            <w:vAlign w:val="center"/>
          </w:tcPr>
          <w:p w14:paraId="7B778650" w14:textId="77777777" w:rsidR="008163B6" w:rsidRDefault="00F709BD">
            <w:pPr>
              <w:pStyle w:val="TableText"/>
            </w:pPr>
            <w:r>
              <w:t>Negligible</w:t>
            </w:r>
          </w:p>
        </w:tc>
      </w:tr>
      <w:tr w:rsidR="008163B6" w14:paraId="4AEEFC16" w14:textId="77777777">
        <w:trPr>
          <w:cantSplit/>
        </w:trPr>
        <w:tc>
          <w:tcPr>
            <w:tcW w:w="2834" w:type="pct"/>
            <w:gridSpan w:val="4"/>
            <w:tcBorders>
              <w:top w:val="single" w:sz="8" w:space="0" w:color="C0C0C0"/>
              <w:left w:val="single" w:sz="4" w:space="0" w:color="auto"/>
              <w:bottom w:val="single" w:sz="8" w:space="0" w:color="C0C0C0"/>
            </w:tcBorders>
            <w:vAlign w:val="center"/>
          </w:tcPr>
          <w:p w14:paraId="4FCD14E7" w14:textId="77777777" w:rsidR="008163B6" w:rsidRDefault="00F709BD">
            <w:pPr>
              <w:pStyle w:val="TableHeading"/>
            </w:pPr>
            <w:r>
              <w:t>Very low</w:t>
            </w:r>
          </w:p>
        </w:tc>
        <w:tc>
          <w:tcPr>
            <w:tcW w:w="770" w:type="pct"/>
            <w:tcBorders>
              <w:bottom w:val="single" w:sz="8" w:space="0" w:color="C0C0C0"/>
            </w:tcBorders>
            <w:shd w:val="clear" w:color="auto" w:fill="CCFFFF"/>
            <w:vAlign w:val="center"/>
          </w:tcPr>
          <w:p w14:paraId="09A7C3C7" w14:textId="77777777" w:rsidR="008163B6" w:rsidRDefault="00F709BD">
            <w:pPr>
              <w:pStyle w:val="TableText"/>
            </w:pPr>
            <w:r>
              <w:t>Extremely low</w:t>
            </w:r>
          </w:p>
        </w:tc>
        <w:tc>
          <w:tcPr>
            <w:tcW w:w="772" w:type="pct"/>
            <w:shd w:val="clear" w:color="auto" w:fill="CCFFFF"/>
            <w:vAlign w:val="center"/>
          </w:tcPr>
          <w:p w14:paraId="040E6551" w14:textId="77777777" w:rsidR="008163B6" w:rsidRDefault="00F709BD">
            <w:pPr>
              <w:pStyle w:val="TableText"/>
            </w:pPr>
            <w:r>
              <w:t>Extremely low</w:t>
            </w:r>
          </w:p>
        </w:tc>
        <w:tc>
          <w:tcPr>
            <w:tcW w:w="624" w:type="pct"/>
            <w:tcBorders>
              <w:right w:val="single" w:sz="4" w:space="0" w:color="auto"/>
            </w:tcBorders>
            <w:shd w:val="clear" w:color="auto" w:fill="CCCCFF"/>
            <w:vAlign w:val="center"/>
          </w:tcPr>
          <w:p w14:paraId="3751747F" w14:textId="77777777" w:rsidR="008163B6" w:rsidRDefault="00F709BD">
            <w:pPr>
              <w:pStyle w:val="TableText"/>
            </w:pPr>
            <w:r>
              <w:t>Negligible</w:t>
            </w:r>
          </w:p>
        </w:tc>
      </w:tr>
      <w:tr w:rsidR="008163B6" w14:paraId="3A30B918" w14:textId="77777777">
        <w:trPr>
          <w:cantSplit/>
        </w:trPr>
        <w:tc>
          <w:tcPr>
            <w:tcW w:w="3604" w:type="pct"/>
            <w:gridSpan w:val="5"/>
            <w:tcBorders>
              <w:top w:val="single" w:sz="8" w:space="0" w:color="C0C0C0"/>
              <w:left w:val="single" w:sz="4" w:space="0" w:color="auto"/>
              <w:bottom w:val="single" w:sz="8" w:space="0" w:color="C0C0C0"/>
            </w:tcBorders>
            <w:vAlign w:val="center"/>
          </w:tcPr>
          <w:p w14:paraId="4D49AA90" w14:textId="77777777" w:rsidR="008163B6" w:rsidRDefault="00F709BD">
            <w:pPr>
              <w:pStyle w:val="TableHeading"/>
            </w:pPr>
            <w:r>
              <w:t>Extremely low</w:t>
            </w:r>
          </w:p>
        </w:tc>
        <w:tc>
          <w:tcPr>
            <w:tcW w:w="772" w:type="pct"/>
            <w:tcBorders>
              <w:bottom w:val="single" w:sz="8" w:space="0" w:color="C0C0C0"/>
            </w:tcBorders>
            <w:shd w:val="clear" w:color="auto" w:fill="CCCCFF"/>
            <w:vAlign w:val="center"/>
          </w:tcPr>
          <w:p w14:paraId="1E213699" w14:textId="77777777" w:rsidR="008163B6" w:rsidRDefault="00F709BD">
            <w:pPr>
              <w:pStyle w:val="TableText"/>
            </w:pPr>
            <w:r>
              <w:t>Negligible</w:t>
            </w:r>
          </w:p>
        </w:tc>
        <w:tc>
          <w:tcPr>
            <w:tcW w:w="624" w:type="pct"/>
            <w:tcBorders>
              <w:right w:val="single" w:sz="4" w:space="0" w:color="auto"/>
            </w:tcBorders>
            <w:shd w:val="clear" w:color="auto" w:fill="CCCCFF"/>
            <w:vAlign w:val="center"/>
          </w:tcPr>
          <w:p w14:paraId="7B384EB7" w14:textId="77777777" w:rsidR="008163B6" w:rsidRDefault="00F709BD">
            <w:pPr>
              <w:pStyle w:val="TableText"/>
            </w:pPr>
            <w:r>
              <w:t>Negligible</w:t>
            </w:r>
          </w:p>
        </w:tc>
      </w:tr>
      <w:tr w:rsidR="008163B6" w14:paraId="0395111C" w14:textId="77777777">
        <w:trPr>
          <w:cantSplit/>
        </w:trPr>
        <w:tc>
          <w:tcPr>
            <w:tcW w:w="4376" w:type="pct"/>
            <w:gridSpan w:val="6"/>
            <w:tcBorders>
              <w:top w:val="single" w:sz="8" w:space="0" w:color="C0C0C0"/>
              <w:left w:val="single" w:sz="4" w:space="0" w:color="auto"/>
              <w:bottom w:val="single" w:sz="4" w:space="0" w:color="auto"/>
            </w:tcBorders>
            <w:vAlign w:val="center"/>
          </w:tcPr>
          <w:p w14:paraId="7A3995DF" w14:textId="77777777" w:rsidR="008163B6" w:rsidRDefault="00F709BD">
            <w:pPr>
              <w:pStyle w:val="TableHeading"/>
            </w:pPr>
            <w:r>
              <w:t>Negligible</w:t>
            </w:r>
          </w:p>
        </w:tc>
        <w:tc>
          <w:tcPr>
            <w:tcW w:w="624" w:type="pct"/>
            <w:tcBorders>
              <w:bottom w:val="single" w:sz="4" w:space="0" w:color="auto"/>
              <w:right w:val="single" w:sz="4" w:space="0" w:color="auto"/>
            </w:tcBorders>
            <w:shd w:val="clear" w:color="auto" w:fill="CCCCFF"/>
            <w:vAlign w:val="center"/>
          </w:tcPr>
          <w:p w14:paraId="0E378925" w14:textId="77777777" w:rsidR="008163B6" w:rsidRDefault="00F709BD">
            <w:pPr>
              <w:pStyle w:val="TableText"/>
            </w:pPr>
            <w:r>
              <w:t>Negligible</w:t>
            </w:r>
          </w:p>
        </w:tc>
      </w:tr>
    </w:tbl>
    <w:p w14:paraId="08BE0949" w14:textId="77777777" w:rsidR="008163B6" w:rsidRDefault="00F709BD">
      <w:pPr>
        <w:pStyle w:val="Heading5"/>
        <w:spacing w:before="240"/>
      </w:pPr>
      <w:r>
        <w:t>Time and volume of trade</w:t>
      </w:r>
    </w:p>
    <w:p w14:paraId="7D76EC24" w14:textId="77777777" w:rsidR="008163B6" w:rsidRDefault="00F709BD" w:rsidP="006F4BBD">
      <w:pPr>
        <w:spacing w:before="120" w:after="120" w:line="276" w:lineRule="auto"/>
        <w:rPr>
          <w:rFonts w:ascii="Cambria" w:hAnsi="Cambria"/>
        </w:rPr>
      </w:pPr>
      <w:r>
        <w:rPr>
          <w:rFonts w:ascii="Cambria" w:hAnsi="Cambria"/>
        </w:rPr>
        <w:t>One factor affecting the likelihood of entry is the volume and duration of trade. If all other conditions remain the same, the overall likelihood of entry will increase as time passes and the overall volume of trade increases.</w:t>
      </w:r>
    </w:p>
    <w:p w14:paraId="564E0AE0" w14:textId="1E3D5337" w:rsidR="008163B6" w:rsidRDefault="00F709BD" w:rsidP="006F4BBD">
      <w:pPr>
        <w:spacing w:before="120" w:after="120" w:line="276" w:lineRule="auto"/>
        <w:rPr>
          <w:rFonts w:ascii="Cambria" w:hAnsi="Cambria"/>
        </w:rPr>
      </w:pPr>
      <w:r>
        <w:rPr>
          <w:rFonts w:ascii="Cambria" w:hAnsi="Cambria"/>
        </w:rPr>
        <w:t>The department normally considers the likelihood of entry on the basis of the estimated volume of one year’s trade. However, in case of a high risk commodity the volume of trade is restricted to certain numbers. Therefore, other factors listed in ISPM No. 11 (FAO 201</w:t>
      </w:r>
      <w:r w:rsidR="00BA0653">
        <w:rPr>
          <w:rFonts w:ascii="Cambria" w:hAnsi="Cambria"/>
        </w:rPr>
        <w:t>6b</w:t>
      </w:r>
      <w:r>
        <w:rPr>
          <w:rFonts w:ascii="Cambria" w:hAnsi="Cambria"/>
        </w:rPr>
        <w:t>) may not be relevant to propagative material of a high risk commodity.</w:t>
      </w:r>
    </w:p>
    <w:p w14:paraId="0B041F80"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22" w:name="_Toc447540782"/>
      <w:r>
        <w:rPr>
          <w:rFonts w:ascii="Calibri" w:hAnsi="Calibri" w:cstheme="minorBidi"/>
          <w:sz w:val="24"/>
          <w:szCs w:val="22"/>
        </w:rPr>
        <w:t>Assessment of potential consequences</w:t>
      </w:r>
      <w:bookmarkEnd w:id="122"/>
    </w:p>
    <w:p w14:paraId="38392919" w14:textId="4B87D1D5" w:rsidR="008163B6" w:rsidRDefault="00F709BD" w:rsidP="006F4BBD">
      <w:pPr>
        <w:spacing w:before="120" w:after="120" w:line="276" w:lineRule="auto"/>
        <w:rPr>
          <w:rFonts w:ascii="Cambria" w:hAnsi="Cambria"/>
        </w:rPr>
      </w:pPr>
      <w:r>
        <w:rPr>
          <w:rFonts w:ascii="Cambria" w:hAnsi="Cambria"/>
        </w:rPr>
        <w:t>The objective of the consequence assessment is to provide a structured and transparent analysis of the potential consequences if the pest or disease agents were to enter, establish and spread in Australia. The assessment considers direct and indirect pest effects and their economic and environmental consequences. The requirements for assessing potential consequences are given in Article 5.3 of the SPS Agreement (WTO 1995), ISPM No. 5 (FAO 201</w:t>
      </w:r>
      <w:r w:rsidR="00BA0653">
        <w:rPr>
          <w:rFonts w:ascii="Cambria" w:hAnsi="Cambria"/>
        </w:rPr>
        <w:t>6c</w:t>
      </w:r>
      <w:r>
        <w:rPr>
          <w:rFonts w:ascii="Cambria" w:hAnsi="Cambria"/>
        </w:rPr>
        <w:t>) and ISPM No. 11 (FAO 201</w:t>
      </w:r>
      <w:r w:rsidR="00BA0653">
        <w:rPr>
          <w:rFonts w:ascii="Cambria" w:hAnsi="Cambria"/>
        </w:rPr>
        <w:t>6b</w:t>
      </w:r>
      <w:r>
        <w:rPr>
          <w:rFonts w:ascii="Cambria" w:hAnsi="Cambria"/>
        </w:rPr>
        <w:t>).</w:t>
      </w:r>
    </w:p>
    <w:p w14:paraId="03EA7562" w14:textId="77777777" w:rsidR="008163B6" w:rsidRDefault="00F709BD" w:rsidP="006F4BBD">
      <w:pPr>
        <w:spacing w:before="120" w:after="120" w:line="276" w:lineRule="auto"/>
        <w:rPr>
          <w:rFonts w:ascii="Cambria" w:hAnsi="Cambria"/>
        </w:rPr>
      </w:pPr>
      <w:r>
        <w:rPr>
          <w:rFonts w:ascii="Cambria" w:hAnsi="Cambria"/>
        </w:rPr>
        <w:t>Direct pest effects are considered in the context of the effects on:</w:t>
      </w:r>
    </w:p>
    <w:p w14:paraId="54A5E726"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plant life or health; and</w:t>
      </w:r>
    </w:p>
    <w:p w14:paraId="7BA17FA2"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other</w:t>
      </w:r>
      <w:proofErr w:type="gramEnd"/>
      <w:r>
        <w:rPr>
          <w:rFonts w:ascii="Cambria" w:hAnsi="Cambria"/>
        </w:rPr>
        <w:t xml:space="preserve"> aspects of the environment.</w:t>
      </w:r>
    </w:p>
    <w:p w14:paraId="7DAA5A17" w14:textId="77777777" w:rsidR="008163B6" w:rsidRDefault="00F709BD" w:rsidP="006F4BBD">
      <w:pPr>
        <w:spacing w:before="120" w:after="120" w:line="276" w:lineRule="auto"/>
        <w:contextualSpacing/>
        <w:rPr>
          <w:rFonts w:ascii="Cambria" w:hAnsi="Cambria"/>
        </w:rPr>
      </w:pPr>
      <w:r>
        <w:rPr>
          <w:rFonts w:ascii="Cambria" w:hAnsi="Cambria"/>
        </w:rPr>
        <w:t>Indirect pest effects are considered in the context of the effects on:</w:t>
      </w:r>
    </w:p>
    <w:p w14:paraId="0B4F2875" w14:textId="44A31A42"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eradication</w:t>
      </w:r>
      <w:r w:rsidR="007C710C">
        <w:rPr>
          <w:rFonts w:ascii="Cambria" w:hAnsi="Cambria"/>
        </w:rPr>
        <w:t xml:space="preserve"> or </w:t>
      </w:r>
      <w:r>
        <w:rPr>
          <w:rFonts w:ascii="Cambria" w:hAnsi="Cambria"/>
        </w:rPr>
        <w:t>control;</w:t>
      </w:r>
    </w:p>
    <w:p w14:paraId="76CFCCF8"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domestic trade;</w:t>
      </w:r>
    </w:p>
    <w:p w14:paraId="1CF73657"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rPr>
        <w:t>international trade; and</w:t>
      </w:r>
    </w:p>
    <w:p w14:paraId="52EC5EFA"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proofErr w:type="gramStart"/>
      <w:r>
        <w:rPr>
          <w:rFonts w:ascii="Cambria" w:hAnsi="Cambria"/>
        </w:rPr>
        <w:t>the</w:t>
      </w:r>
      <w:proofErr w:type="gramEnd"/>
      <w:r>
        <w:rPr>
          <w:rFonts w:ascii="Cambria" w:hAnsi="Cambria"/>
        </w:rPr>
        <w:t xml:space="preserve"> environment.</w:t>
      </w:r>
    </w:p>
    <w:p w14:paraId="51047F93" w14:textId="05CCC177" w:rsidR="008163B6" w:rsidRDefault="00F709BD" w:rsidP="006F4BBD">
      <w:pPr>
        <w:spacing w:before="120" w:after="120" w:line="276" w:lineRule="auto"/>
        <w:rPr>
          <w:rFonts w:ascii="Cambria" w:hAnsi="Cambria"/>
        </w:rPr>
      </w:pPr>
      <w:r>
        <w:rPr>
          <w:rFonts w:ascii="Cambria" w:hAnsi="Cambria"/>
        </w:rPr>
        <w:t>For each of these six criteria</w:t>
      </w:r>
      <w:r w:rsidR="007C710C">
        <w:rPr>
          <w:rFonts w:ascii="Cambria" w:hAnsi="Cambria"/>
        </w:rPr>
        <w:t xml:space="preserve"> (direct and indirect pest effects)</w:t>
      </w:r>
      <w:r>
        <w:rPr>
          <w:rFonts w:ascii="Cambria" w:hAnsi="Cambria"/>
        </w:rPr>
        <w:t>, the consequences were estimated over four geographic levels, defined as:</w:t>
      </w:r>
    </w:p>
    <w:p w14:paraId="349F13AD" w14:textId="77777777" w:rsidR="008163B6" w:rsidRDefault="00F709BD" w:rsidP="006F4BBD">
      <w:pPr>
        <w:spacing w:before="120" w:after="120" w:line="276" w:lineRule="auto"/>
        <w:rPr>
          <w:rFonts w:ascii="Cambria" w:hAnsi="Cambria"/>
        </w:rPr>
      </w:pPr>
      <w:r>
        <w:rPr>
          <w:rFonts w:ascii="Cambria" w:hAnsi="Cambria"/>
          <w:b/>
        </w:rPr>
        <w:t>Local</w:t>
      </w:r>
      <w:r>
        <w:rPr>
          <w:rFonts w:ascii="Cambria" w:hAnsi="Cambria"/>
        </w:rPr>
        <w:t>: an aggregate of households or enterprises (a rural community, a town or a local government area).</w:t>
      </w:r>
    </w:p>
    <w:p w14:paraId="55C2B58E" w14:textId="77777777" w:rsidR="008163B6" w:rsidRDefault="00F709BD" w:rsidP="006F4BBD">
      <w:pPr>
        <w:spacing w:before="120" w:after="120" w:line="276" w:lineRule="auto"/>
        <w:rPr>
          <w:rFonts w:ascii="Cambria" w:hAnsi="Cambria"/>
        </w:rPr>
      </w:pPr>
      <w:r>
        <w:rPr>
          <w:rFonts w:ascii="Cambria" w:hAnsi="Cambria"/>
          <w:b/>
        </w:rPr>
        <w:t>District</w:t>
      </w:r>
      <w:r>
        <w:rPr>
          <w:rFonts w:ascii="Cambria" w:hAnsi="Cambria"/>
        </w:rPr>
        <w:t>: a geographically or geopolitically associated collection of aggregates (generally a recognised section of a state or territory, such as ‘Far North Queensland’).</w:t>
      </w:r>
    </w:p>
    <w:p w14:paraId="29BBDD08" w14:textId="77777777" w:rsidR="008163B6" w:rsidRDefault="00F709BD" w:rsidP="006F4BBD">
      <w:pPr>
        <w:spacing w:before="120" w:after="120" w:line="276" w:lineRule="auto"/>
        <w:rPr>
          <w:rFonts w:ascii="Cambria" w:hAnsi="Cambria"/>
        </w:rPr>
      </w:pPr>
      <w:r>
        <w:rPr>
          <w:rFonts w:ascii="Cambria" w:hAnsi="Cambria"/>
          <w:b/>
        </w:rPr>
        <w:t>Regional</w:t>
      </w:r>
      <w:r>
        <w:rPr>
          <w:rFonts w:ascii="Cambria" w:hAnsi="Cambria"/>
        </w:rPr>
        <w:t>: a geographically or geopolitically associated collection of districts in a geographic area (generally a state or territory, although there may be exceptions with larger states such as Western Australia).</w:t>
      </w:r>
    </w:p>
    <w:p w14:paraId="271B4A95" w14:textId="77777777" w:rsidR="008163B6" w:rsidRDefault="00F709BD" w:rsidP="006F4BBD">
      <w:pPr>
        <w:spacing w:before="120" w:after="120" w:line="276" w:lineRule="auto"/>
        <w:rPr>
          <w:rFonts w:ascii="Cambria" w:hAnsi="Cambria"/>
        </w:rPr>
      </w:pPr>
      <w:r>
        <w:rPr>
          <w:rFonts w:ascii="Cambria" w:hAnsi="Cambria"/>
          <w:b/>
        </w:rPr>
        <w:t>National</w:t>
      </w:r>
      <w:r>
        <w:rPr>
          <w:rFonts w:ascii="Cambria" w:hAnsi="Cambria"/>
        </w:rPr>
        <w:t>: Australia wide (Australian mainland states and territories and Tasmania).</w:t>
      </w:r>
    </w:p>
    <w:p w14:paraId="5D090554" w14:textId="77777777" w:rsidR="008163B6" w:rsidRDefault="00F709BD" w:rsidP="006F4BBD">
      <w:pPr>
        <w:spacing w:before="120" w:after="120" w:line="276" w:lineRule="auto"/>
        <w:rPr>
          <w:rFonts w:ascii="Cambria" w:hAnsi="Cambria"/>
        </w:rPr>
      </w:pPr>
      <w:r>
        <w:rPr>
          <w:rFonts w:ascii="Cambria" w:hAnsi="Cambria"/>
        </w:rPr>
        <w:t>For each criterion, the magnitude of the potential consequence at each of these levels was described using four categories, defined as:</w:t>
      </w:r>
    </w:p>
    <w:p w14:paraId="3E1E4121" w14:textId="77777777" w:rsidR="008163B6" w:rsidRDefault="00F709BD" w:rsidP="006F4BBD">
      <w:pPr>
        <w:spacing w:before="120" w:after="120" w:line="276" w:lineRule="auto"/>
        <w:rPr>
          <w:rFonts w:ascii="Cambria" w:hAnsi="Cambria"/>
        </w:rPr>
      </w:pPr>
      <w:r>
        <w:rPr>
          <w:rFonts w:ascii="Cambria" w:hAnsi="Cambria"/>
          <w:b/>
        </w:rPr>
        <w:t>Indiscernible</w:t>
      </w:r>
      <w:r>
        <w:rPr>
          <w:rFonts w:ascii="Cambria" w:hAnsi="Cambria"/>
        </w:rPr>
        <w:t>: pest impact unlikely to be noticeable.</w:t>
      </w:r>
    </w:p>
    <w:p w14:paraId="29B5721F" w14:textId="77777777" w:rsidR="008163B6" w:rsidRDefault="00F709BD" w:rsidP="006F4BBD">
      <w:pPr>
        <w:spacing w:before="120" w:after="120" w:line="276" w:lineRule="auto"/>
        <w:rPr>
          <w:rFonts w:ascii="Cambria" w:hAnsi="Cambria"/>
        </w:rPr>
      </w:pPr>
      <w:r>
        <w:rPr>
          <w:rFonts w:ascii="Cambria" w:hAnsi="Cambria"/>
          <w:b/>
        </w:rPr>
        <w:t>Minor</w:t>
      </w:r>
      <w:r>
        <w:rPr>
          <w:rFonts w:ascii="Cambria" w:hAnsi="Cambria"/>
        </w:rPr>
        <w:t xml:space="preserve"> </w:t>
      </w:r>
      <w:r>
        <w:rPr>
          <w:rFonts w:ascii="Cambria" w:hAnsi="Cambria"/>
          <w:b/>
        </w:rPr>
        <w:t>significance</w:t>
      </w:r>
      <w:r>
        <w:rPr>
          <w:rFonts w:ascii="Cambria" w:hAnsi="Cambria"/>
        </w:rPr>
        <w:t>: 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30E7CEA7" w14:textId="77777777" w:rsidR="008163B6" w:rsidRDefault="00F709BD" w:rsidP="006F4BBD">
      <w:pPr>
        <w:spacing w:before="120" w:after="120" w:line="276" w:lineRule="auto"/>
        <w:rPr>
          <w:rFonts w:ascii="Cambria" w:hAnsi="Cambria"/>
        </w:rPr>
      </w:pPr>
      <w:r>
        <w:rPr>
          <w:rFonts w:ascii="Cambria" w:hAnsi="Cambria"/>
          <w:b/>
        </w:rPr>
        <w:t>Significant</w:t>
      </w:r>
      <w:r>
        <w:rPr>
          <w:rFonts w:ascii="Cambria" w:hAnsi="Cambria"/>
        </w:rPr>
        <w:t>: 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7EFA9C5" w14:textId="77777777" w:rsidR="008163B6" w:rsidRDefault="00F709BD" w:rsidP="006F4BBD">
      <w:pPr>
        <w:spacing w:before="120" w:after="120" w:line="276" w:lineRule="auto"/>
        <w:rPr>
          <w:rFonts w:ascii="Cambria" w:hAnsi="Cambria"/>
        </w:rPr>
      </w:pPr>
      <w:r>
        <w:rPr>
          <w:rFonts w:ascii="Cambria" w:hAnsi="Cambria"/>
          <w:b/>
        </w:rPr>
        <w:t>Major</w:t>
      </w:r>
      <w:r>
        <w:rPr>
          <w:rFonts w:ascii="Cambria" w:hAnsi="Cambria"/>
        </w:rPr>
        <w:t xml:space="preserve"> </w:t>
      </w:r>
      <w:r>
        <w:rPr>
          <w:rFonts w:ascii="Cambria" w:hAnsi="Cambria"/>
          <w:b/>
        </w:rPr>
        <w:t>significance</w:t>
      </w:r>
      <w:r>
        <w:rPr>
          <w:rFonts w:ascii="Cambria" w:hAnsi="Cambria"/>
        </w:rPr>
        <w:t>: expected to threaten the economic viability through a large increase in mortality/morbidity of hosts, or a large decrease in production. Expected to severely or irreversibly damage the intrinsic ‘value’ of non-commercial criteria.</w:t>
      </w:r>
    </w:p>
    <w:p w14:paraId="5050C0E2" w14:textId="77777777" w:rsidR="008163B6" w:rsidRDefault="00F709BD" w:rsidP="006F4BBD">
      <w:pPr>
        <w:spacing w:before="120" w:after="120" w:line="276" w:lineRule="auto"/>
        <w:rPr>
          <w:rFonts w:ascii="Cambria" w:hAnsi="Cambria"/>
        </w:rPr>
      </w:pPr>
      <w:r>
        <w:rPr>
          <w:rFonts w:ascii="Cambria" w:hAnsi="Cambria"/>
        </w:rPr>
        <w:t>The estimates of the magnitude of the potential consequences over the four geographic levels were translated into a qualitative impact score (A–G) using Table 3. For example, a consequence with a magnitude of ‘significant’ at the ‘district’ level will have a consequence impact score of D.</w:t>
      </w:r>
    </w:p>
    <w:p w14:paraId="45048188" w14:textId="77777777" w:rsidR="008163B6" w:rsidRDefault="00F709BD">
      <w:pPr>
        <w:pStyle w:val="Caption"/>
        <w:keepNext w:val="0"/>
        <w:rPr>
          <w:rFonts w:asciiTheme="majorHAnsi" w:eastAsiaTheme="majorEastAsia" w:hAnsiTheme="majorHAnsi" w:cstheme="majorBidi"/>
          <w:color w:val="595959" w:themeColor="text1" w:themeTint="A6"/>
          <w:sz w:val="20"/>
        </w:rPr>
      </w:pPr>
      <w:bookmarkStart w:id="123" w:name="_Toc384197746"/>
      <w:bookmarkStart w:id="124" w:name="_Toc384209834"/>
      <w:bookmarkStart w:id="125" w:name="_Toc384275078"/>
      <w:bookmarkStart w:id="126" w:name="_Toc388949919"/>
      <w:bookmarkStart w:id="127" w:name="_Toc418712908"/>
      <w:bookmarkStart w:id="128" w:name="_Toc432187287"/>
      <w:bookmarkStart w:id="129" w:name="_Toc434315830"/>
      <w:bookmarkStart w:id="130" w:name="_Toc438132870"/>
      <w:bookmarkStart w:id="131" w:name="_Toc438202155"/>
      <w:bookmarkStart w:id="132" w:name="_Toc438549495"/>
      <w:bookmarkStart w:id="133" w:name="_Toc438549539"/>
      <w:bookmarkStart w:id="134" w:name="_Toc439661105"/>
      <w:bookmarkStart w:id="135" w:name="_Toc447541243"/>
      <w:bookmarkStart w:id="136" w:name="_Toc447541262"/>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3</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consequence impact score based on the magnitude of consequences at four geographic scales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tbl>
      <w:tblPr>
        <w:tblW w:w="4942" w:type="pct"/>
        <w:tblInd w:w="10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991"/>
        <w:gridCol w:w="1741"/>
        <w:gridCol w:w="1741"/>
        <w:gridCol w:w="1739"/>
        <w:gridCol w:w="1743"/>
      </w:tblGrid>
      <w:tr w:rsidR="008163B6" w14:paraId="7AC2F542" w14:textId="77777777">
        <w:trPr>
          <w:cantSplit/>
        </w:trPr>
        <w:tc>
          <w:tcPr>
            <w:tcW w:w="1112" w:type="pct"/>
            <w:vMerge w:val="restart"/>
            <w:tcBorders>
              <w:top w:val="single" w:sz="4" w:space="0" w:color="000000" w:themeColor="text1"/>
              <w:left w:val="single" w:sz="4" w:space="0" w:color="000000" w:themeColor="text1"/>
              <w:bottom w:val="nil"/>
              <w:right w:val="nil"/>
              <w:tl2br w:val="nil"/>
            </w:tcBorders>
            <w:vAlign w:val="bottom"/>
          </w:tcPr>
          <w:p w14:paraId="58EA19AB" w14:textId="77777777" w:rsidR="008163B6" w:rsidRDefault="00F709BD">
            <w:pPr>
              <w:pStyle w:val="TableHeading"/>
            </w:pPr>
            <w:r>
              <w:t>Magnitude</w:t>
            </w:r>
          </w:p>
        </w:tc>
        <w:tc>
          <w:tcPr>
            <w:tcW w:w="3888"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27E7981A" w14:textId="77777777" w:rsidR="008163B6" w:rsidRDefault="00F709BD">
            <w:pPr>
              <w:pStyle w:val="TableHeading"/>
              <w:jc w:val="center"/>
            </w:pPr>
            <w:r>
              <w:t>Geographic scale</w:t>
            </w:r>
          </w:p>
        </w:tc>
      </w:tr>
      <w:tr w:rsidR="008163B6" w14:paraId="1EB5C54D" w14:textId="77777777">
        <w:trPr>
          <w:cantSplit/>
        </w:trPr>
        <w:tc>
          <w:tcPr>
            <w:tcW w:w="1112" w:type="pct"/>
            <w:vMerge/>
            <w:tcBorders>
              <w:top w:val="single" w:sz="4" w:space="0" w:color="auto"/>
              <w:left w:val="single" w:sz="4" w:space="0" w:color="000000" w:themeColor="text1"/>
              <w:bottom w:val="single" w:sz="4" w:space="0" w:color="BFBFBF" w:themeColor="background1" w:themeShade="BF"/>
              <w:right w:val="nil"/>
              <w:tl2br w:val="nil"/>
            </w:tcBorders>
          </w:tcPr>
          <w:p w14:paraId="2447E0AF" w14:textId="77777777" w:rsidR="008163B6" w:rsidRDefault="008163B6">
            <w:pPr>
              <w:pStyle w:val="TableText"/>
            </w:pPr>
          </w:p>
        </w:tc>
        <w:tc>
          <w:tcPr>
            <w:tcW w:w="972" w:type="pct"/>
            <w:tcBorders>
              <w:top w:val="single" w:sz="4" w:space="0" w:color="BFBFBF" w:themeColor="background1" w:themeShade="BF"/>
              <w:left w:val="nil"/>
              <w:bottom w:val="single" w:sz="4" w:space="0" w:color="BFBFBF" w:themeColor="background1" w:themeShade="BF"/>
            </w:tcBorders>
          </w:tcPr>
          <w:p w14:paraId="74836F37" w14:textId="77777777" w:rsidR="008163B6" w:rsidRDefault="00F709BD">
            <w:pPr>
              <w:pStyle w:val="TableText"/>
            </w:pPr>
            <w:r>
              <w:t>Local</w:t>
            </w:r>
          </w:p>
        </w:tc>
        <w:tc>
          <w:tcPr>
            <w:tcW w:w="972" w:type="pct"/>
            <w:tcBorders>
              <w:top w:val="single" w:sz="4" w:space="0" w:color="BFBFBF" w:themeColor="background1" w:themeShade="BF"/>
              <w:bottom w:val="single" w:sz="4" w:space="0" w:color="BFBFBF" w:themeColor="background1" w:themeShade="BF"/>
            </w:tcBorders>
          </w:tcPr>
          <w:p w14:paraId="714E826B" w14:textId="77777777" w:rsidR="008163B6" w:rsidRDefault="00F709BD">
            <w:pPr>
              <w:pStyle w:val="TableText"/>
            </w:pPr>
            <w:r>
              <w:t>District</w:t>
            </w:r>
          </w:p>
        </w:tc>
        <w:tc>
          <w:tcPr>
            <w:tcW w:w="971" w:type="pct"/>
            <w:tcBorders>
              <w:top w:val="single" w:sz="4" w:space="0" w:color="BFBFBF" w:themeColor="background1" w:themeShade="BF"/>
              <w:bottom w:val="single" w:sz="4" w:space="0" w:color="BFBFBF" w:themeColor="background1" w:themeShade="BF"/>
            </w:tcBorders>
          </w:tcPr>
          <w:p w14:paraId="6BEE435F" w14:textId="77777777" w:rsidR="008163B6" w:rsidRDefault="00F709BD">
            <w:pPr>
              <w:pStyle w:val="TableText"/>
            </w:pPr>
            <w:r>
              <w:t>Region</w:t>
            </w:r>
          </w:p>
        </w:tc>
        <w:tc>
          <w:tcPr>
            <w:tcW w:w="971" w:type="pct"/>
            <w:tcBorders>
              <w:top w:val="single" w:sz="4" w:space="0" w:color="BFBFBF" w:themeColor="background1" w:themeShade="BF"/>
              <w:bottom w:val="single" w:sz="4" w:space="0" w:color="BFBFBF" w:themeColor="background1" w:themeShade="BF"/>
              <w:right w:val="single" w:sz="4" w:space="0" w:color="000000" w:themeColor="text1"/>
            </w:tcBorders>
          </w:tcPr>
          <w:p w14:paraId="2E9B8122" w14:textId="77777777" w:rsidR="008163B6" w:rsidRDefault="00F709BD">
            <w:pPr>
              <w:pStyle w:val="TableText"/>
            </w:pPr>
            <w:r>
              <w:t>Nation</w:t>
            </w:r>
          </w:p>
        </w:tc>
      </w:tr>
      <w:tr w:rsidR="008163B6" w14:paraId="1DADFFA5" w14:textId="77777777">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3E5EED8B" w14:textId="77777777" w:rsidR="008163B6" w:rsidRDefault="00F709BD">
            <w:pPr>
              <w:pStyle w:val="TableText"/>
            </w:pPr>
            <w:r>
              <w:t>Indiscernible</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CBCDC7" w14:textId="77777777" w:rsidR="008163B6" w:rsidRDefault="00F709BD">
            <w:pPr>
              <w:pStyle w:val="TableText0"/>
              <w:rPr>
                <w:rFonts w:asciiTheme="majorHAnsi" w:hAnsiTheme="majorHAnsi"/>
                <w:sz w:val="18"/>
                <w:szCs w:val="18"/>
              </w:rPr>
            </w:pPr>
            <w:r>
              <w:rPr>
                <w:rFonts w:asciiTheme="majorHAnsi" w:hAnsiTheme="majorHAnsi"/>
                <w:sz w:val="18"/>
                <w:szCs w:val="18"/>
              </w:rPr>
              <w:t>A</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A234CA" w14:textId="77777777" w:rsidR="008163B6" w:rsidRDefault="00F709BD">
            <w:pPr>
              <w:pStyle w:val="TableText"/>
            </w:pPr>
            <w:r>
              <w:t>A</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4D02000" w14:textId="77777777" w:rsidR="008163B6" w:rsidRDefault="00F709BD">
            <w:pPr>
              <w:pStyle w:val="TableText"/>
            </w:pPr>
            <w:r>
              <w:t>A</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3F6841B8" w14:textId="77777777" w:rsidR="008163B6" w:rsidRDefault="00F709BD">
            <w:pPr>
              <w:pStyle w:val="TableText"/>
            </w:pPr>
            <w:r>
              <w:t>A</w:t>
            </w:r>
          </w:p>
        </w:tc>
      </w:tr>
      <w:tr w:rsidR="008163B6" w14:paraId="08BE95A4" w14:textId="77777777">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37352194" w14:textId="77777777" w:rsidR="008163B6" w:rsidRDefault="00F709BD">
            <w:pPr>
              <w:pStyle w:val="TableText"/>
            </w:pPr>
            <w:r>
              <w:t>Minor significance</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0C55ECEE"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B</w:t>
            </w:r>
          </w:p>
        </w:tc>
        <w:tc>
          <w:tcPr>
            <w:tcW w:w="97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576F28D9"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C</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5E7EE41F"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D</w:t>
            </w:r>
          </w:p>
        </w:tc>
        <w:tc>
          <w:tcPr>
            <w:tcW w:w="97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45026A8E" w14:textId="77777777" w:rsidR="008163B6" w:rsidRDefault="00F709BD">
            <w:pPr>
              <w:pStyle w:val="TableText"/>
            </w:pPr>
            <w:r>
              <w:t>E</w:t>
            </w:r>
          </w:p>
        </w:tc>
      </w:tr>
      <w:tr w:rsidR="008163B6" w14:paraId="37F07179" w14:textId="77777777">
        <w:trPr>
          <w:cantSplit/>
        </w:trPr>
        <w:tc>
          <w:tcPr>
            <w:tcW w:w="1112"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27F7612" w14:textId="77777777" w:rsidR="008163B6" w:rsidRDefault="00F709BD">
            <w:pPr>
              <w:pStyle w:val="TableText"/>
            </w:pPr>
            <w:r>
              <w:t>Significant</w:t>
            </w:r>
          </w:p>
        </w:tc>
        <w:tc>
          <w:tcPr>
            <w:tcW w:w="972"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3EE13A93"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C</w:t>
            </w:r>
          </w:p>
        </w:tc>
        <w:tc>
          <w:tcPr>
            <w:tcW w:w="972"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6190EF6B"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D</w:t>
            </w:r>
          </w:p>
        </w:tc>
        <w:tc>
          <w:tcPr>
            <w:tcW w:w="97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103DC9CB" w14:textId="77777777" w:rsidR="008163B6" w:rsidRDefault="00F709BD">
            <w:pPr>
              <w:pStyle w:val="TableText"/>
            </w:pPr>
            <w:r>
              <w:t>E</w:t>
            </w:r>
          </w:p>
        </w:tc>
        <w:tc>
          <w:tcPr>
            <w:tcW w:w="97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2D733622" w14:textId="77777777" w:rsidR="008163B6" w:rsidRDefault="00F709BD">
            <w:pPr>
              <w:pStyle w:val="TableText"/>
            </w:pPr>
            <w:r>
              <w:t>F</w:t>
            </w:r>
          </w:p>
        </w:tc>
      </w:tr>
      <w:tr w:rsidR="008163B6" w14:paraId="6DB22DB3" w14:textId="77777777">
        <w:trPr>
          <w:cantSplit/>
        </w:trPr>
        <w:tc>
          <w:tcPr>
            <w:tcW w:w="1112"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1E3DEE80" w14:textId="77777777" w:rsidR="008163B6" w:rsidRDefault="00F709BD">
            <w:pPr>
              <w:pStyle w:val="TableText"/>
            </w:pPr>
            <w:r>
              <w:t>Major significance</w:t>
            </w:r>
          </w:p>
        </w:tc>
        <w:tc>
          <w:tcPr>
            <w:tcW w:w="972"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48F3592D" w14:textId="77777777" w:rsidR="008163B6" w:rsidRDefault="00F709BD">
            <w:pPr>
              <w:pStyle w:val="TableText0"/>
              <w:rPr>
                <w:rFonts w:ascii="Cambria" w:hAnsi="Cambria" w:cs="Arial"/>
                <w:snapToGrid w:val="0"/>
                <w:sz w:val="18"/>
                <w:szCs w:val="18"/>
              </w:rPr>
            </w:pPr>
            <w:r>
              <w:rPr>
                <w:rFonts w:ascii="Cambria" w:hAnsi="Cambria" w:cs="Arial"/>
                <w:snapToGrid w:val="0"/>
                <w:sz w:val="18"/>
                <w:szCs w:val="18"/>
              </w:rPr>
              <w:t>D</w:t>
            </w:r>
          </w:p>
        </w:tc>
        <w:tc>
          <w:tcPr>
            <w:tcW w:w="972"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3AB0E16C" w14:textId="77777777" w:rsidR="008163B6" w:rsidRDefault="00F709BD">
            <w:pPr>
              <w:pStyle w:val="TableText0"/>
            </w:pPr>
            <w:r>
              <w:rPr>
                <w:rFonts w:ascii="Cambria" w:hAnsi="Cambria" w:cs="Arial"/>
                <w:snapToGrid w:val="0"/>
                <w:sz w:val="18"/>
                <w:szCs w:val="18"/>
              </w:rPr>
              <w:t>E</w:t>
            </w:r>
          </w:p>
        </w:tc>
        <w:tc>
          <w:tcPr>
            <w:tcW w:w="97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2EC4D06A" w14:textId="77777777" w:rsidR="008163B6" w:rsidRDefault="00F709BD">
            <w:pPr>
              <w:pStyle w:val="TableText"/>
            </w:pPr>
            <w:r>
              <w:t>F</w:t>
            </w:r>
          </w:p>
        </w:tc>
        <w:tc>
          <w:tcPr>
            <w:tcW w:w="97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F7C46BA" w14:textId="77777777" w:rsidR="008163B6" w:rsidRDefault="00F709BD">
            <w:pPr>
              <w:pStyle w:val="TableText"/>
            </w:pPr>
            <w:r>
              <w:t>G</w:t>
            </w:r>
          </w:p>
        </w:tc>
      </w:tr>
    </w:tbl>
    <w:p w14:paraId="67902DF3" w14:textId="34C121A7" w:rsidR="008163B6" w:rsidRDefault="00F709BD">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w:t>
      </w:r>
      <w:r w:rsidR="007C710C">
        <w:t xml:space="preserve"> F has been changed to become B–</w:t>
      </w:r>
      <w:r>
        <w:t>G and a new lowest category A (‘indiscernible’ at all four levels) was added. The rules for combining impacts in Table 4 were adjusted accordingly.</w:t>
      </w:r>
    </w:p>
    <w:p w14:paraId="213FC248" w14:textId="77777777" w:rsidR="008163B6" w:rsidRDefault="00F709BD" w:rsidP="006F4BBD">
      <w:pPr>
        <w:spacing w:before="120" w:after="120" w:line="276" w:lineRule="auto"/>
        <w:rPr>
          <w:rFonts w:ascii="Cambria" w:hAnsi="Cambria"/>
        </w:rPr>
      </w:pPr>
      <w:r>
        <w:rPr>
          <w:rFonts w:ascii="Cambria" w:hAnsi="Cambria"/>
        </w:rPr>
        <w:t>The overall consequence for each pest is achieved by combining the qualitative impact scores (A–G) for each direct and indirect consequence using a series of decision rules (Table 4). These rules are mutually exclusive, and are assessed in numerical order until one applies.</w:t>
      </w:r>
    </w:p>
    <w:p w14:paraId="260D196D" w14:textId="77777777" w:rsidR="008163B6" w:rsidRDefault="00F709BD" w:rsidP="00893CD7">
      <w:pPr>
        <w:pStyle w:val="Caption"/>
        <w:rPr>
          <w:rFonts w:asciiTheme="majorHAnsi" w:eastAsiaTheme="majorEastAsia" w:hAnsiTheme="majorHAnsi" w:cstheme="majorBidi"/>
          <w:color w:val="595959" w:themeColor="text1" w:themeTint="A6"/>
          <w:sz w:val="20"/>
        </w:rPr>
      </w:pPr>
      <w:bookmarkStart w:id="137" w:name="_Toc384197747"/>
      <w:bookmarkStart w:id="138" w:name="_Toc384209835"/>
      <w:bookmarkStart w:id="139" w:name="_Toc384275079"/>
      <w:bookmarkStart w:id="140" w:name="_Toc388949920"/>
      <w:bookmarkStart w:id="141" w:name="_Toc418712909"/>
      <w:bookmarkStart w:id="142" w:name="_Toc432187288"/>
      <w:bookmarkStart w:id="143" w:name="_Toc434315831"/>
      <w:bookmarkStart w:id="144" w:name="_Toc438132871"/>
      <w:bookmarkStart w:id="145" w:name="_Toc438202156"/>
      <w:bookmarkStart w:id="146" w:name="_Toc438549496"/>
      <w:bookmarkStart w:id="147" w:name="_Toc438549540"/>
      <w:bookmarkStart w:id="148" w:name="_Toc439661106"/>
      <w:bookmarkStart w:id="149" w:name="_Toc447541244"/>
      <w:bookmarkStart w:id="150" w:name="_Toc447541263"/>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4</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Decision rules for determining the overall consequence rating for each pest</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8163B6" w14:paraId="0B281373" w14:textId="77777777">
        <w:trPr>
          <w:trHeight w:val="414"/>
        </w:trPr>
        <w:tc>
          <w:tcPr>
            <w:tcW w:w="440" w:type="pct"/>
          </w:tcPr>
          <w:p w14:paraId="5F953932" w14:textId="77777777" w:rsidR="008163B6" w:rsidRDefault="00F709BD">
            <w:pPr>
              <w:pStyle w:val="TableHeading"/>
              <w:rPr>
                <w:rFonts w:ascii="Cambria" w:hAnsi="Cambria"/>
              </w:rPr>
            </w:pPr>
            <w:r>
              <w:rPr>
                <w:rFonts w:ascii="Cambria" w:hAnsi="Cambria"/>
              </w:rPr>
              <w:t>Rule</w:t>
            </w:r>
          </w:p>
        </w:tc>
        <w:tc>
          <w:tcPr>
            <w:tcW w:w="3206" w:type="pct"/>
          </w:tcPr>
          <w:p w14:paraId="7AC021C1" w14:textId="77777777" w:rsidR="008163B6" w:rsidRDefault="00F709BD">
            <w:pPr>
              <w:pStyle w:val="TableHeading"/>
              <w:rPr>
                <w:rFonts w:ascii="Cambria" w:hAnsi="Cambria"/>
              </w:rPr>
            </w:pPr>
            <w:r>
              <w:rPr>
                <w:rFonts w:ascii="Cambria" w:hAnsi="Cambria"/>
              </w:rPr>
              <w:t>The impact scores for consequences of direct and indirect criteria</w:t>
            </w:r>
          </w:p>
        </w:tc>
        <w:tc>
          <w:tcPr>
            <w:tcW w:w="1354" w:type="pct"/>
          </w:tcPr>
          <w:p w14:paraId="37DBED36" w14:textId="77777777" w:rsidR="008163B6" w:rsidRDefault="00F709BD">
            <w:pPr>
              <w:pStyle w:val="TableHeading"/>
              <w:rPr>
                <w:rFonts w:ascii="Cambria" w:hAnsi="Cambria"/>
              </w:rPr>
            </w:pPr>
            <w:r>
              <w:rPr>
                <w:rFonts w:ascii="Cambria" w:hAnsi="Cambria"/>
              </w:rPr>
              <w:t>Overall consequence rating</w:t>
            </w:r>
          </w:p>
        </w:tc>
      </w:tr>
      <w:tr w:rsidR="008163B6" w14:paraId="74BEDF7E" w14:textId="77777777">
        <w:trPr>
          <w:trHeight w:val="414"/>
        </w:trPr>
        <w:tc>
          <w:tcPr>
            <w:tcW w:w="440" w:type="pct"/>
          </w:tcPr>
          <w:p w14:paraId="1B7EECA9" w14:textId="77777777" w:rsidR="008163B6" w:rsidRDefault="00F709BD">
            <w:pPr>
              <w:pStyle w:val="TableText"/>
              <w:rPr>
                <w:rFonts w:ascii="Cambria" w:hAnsi="Cambria"/>
              </w:rPr>
            </w:pPr>
            <w:r>
              <w:rPr>
                <w:rFonts w:ascii="Cambria" w:hAnsi="Cambria"/>
              </w:rPr>
              <w:t>1</w:t>
            </w:r>
          </w:p>
        </w:tc>
        <w:tc>
          <w:tcPr>
            <w:tcW w:w="3206" w:type="pct"/>
          </w:tcPr>
          <w:p w14:paraId="6F49C69D" w14:textId="77777777" w:rsidR="008163B6" w:rsidRDefault="00F709BD">
            <w:pPr>
              <w:pStyle w:val="TableText"/>
              <w:rPr>
                <w:rFonts w:ascii="Cambria" w:hAnsi="Cambria"/>
              </w:rPr>
            </w:pPr>
            <w:r>
              <w:rPr>
                <w:rFonts w:ascii="Cambria" w:hAnsi="Cambria"/>
              </w:rPr>
              <w:t>Any criterion has an impact of ‘G’; or</w:t>
            </w:r>
            <w:r>
              <w:rPr>
                <w:rFonts w:ascii="Cambria" w:hAnsi="Cambria"/>
              </w:rPr>
              <w:br/>
              <w:t>more than one criterion has an impact of ‘F’; or</w:t>
            </w:r>
            <w:r>
              <w:rPr>
                <w:rFonts w:ascii="Cambria" w:hAnsi="Cambria"/>
              </w:rPr>
              <w:br/>
              <w:t>a single criterion has an impact of ‘F’ and each remaining criterion an ‘E’.</w:t>
            </w:r>
          </w:p>
        </w:tc>
        <w:tc>
          <w:tcPr>
            <w:tcW w:w="1354" w:type="pct"/>
          </w:tcPr>
          <w:p w14:paraId="7C557037" w14:textId="77777777" w:rsidR="008163B6" w:rsidRDefault="00F709BD">
            <w:pPr>
              <w:pStyle w:val="TableText"/>
              <w:rPr>
                <w:rFonts w:ascii="Cambria" w:hAnsi="Cambria"/>
              </w:rPr>
            </w:pPr>
            <w:r>
              <w:rPr>
                <w:rFonts w:ascii="Cambria" w:hAnsi="Cambria"/>
              </w:rPr>
              <w:t>Extreme</w:t>
            </w:r>
          </w:p>
        </w:tc>
      </w:tr>
      <w:tr w:rsidR="008163B6" w14:paraId="65D781D6" w14:textId="77777777">
        <w:trPr>
          <w:trHeight w:val="414"/>
        </w:trPr>
        <w:tc>
          <w:tcPr>
            <w:tcW w:w="440" w:type="pct"/>
          </w:tcPr>
          <w:p w14:paraId="5990EC2B" w14:textId="77777777" w:rsidR="008163B6" w:rsidRDefault="00F709BD">
            <w:pPr>
              <w:pStyle w:val="TableText"/>
              <w:rPr>
                <w:rFonts w:ascii="Cambria" w:hAnsi="Cambria"/>
              </w:rPr>
            </w:pPr>
            <w:r>
              <w:rPr>
                <w:rFonts w:ascii="Cambria" w:hAnsi="Cambria"/>
              </w:rPr>
              <w:t>2</w:t>
            </w:r>
          </w:p>
        </w:tc>
        <w:tc>
          <w:tcPr>
            <w:tcW w:w="3206" w:type="pct"/>
          </w:tcPr>
          <w:p w14:paraId="27C11027" w14:textId="77777777" w:rsidR="008163B6" w:rsidRDefault="00F709BD">
            <w:pPr>
              <w:pStyle w:val="TableText"/>
              <w:rPr>
                <w:rFonts w:ascii="Cambria" w:hAnsi="Cambria"/>
              </w:rPr>
            </w:pPr>
            <w:r>
              <w:rPr>
                <w:rFonts w:ascii="Cambria" w:hAnsi="Cambria"/>
              </w:rPr>
              <w:t>A single criterion has an impact of ‘F’; or</w:t>
            </w:r>
            <w:r>
              <w:rPr>
                <w:rFonts w:ascii="Cambria" w:hAnsi="Cambria"/>
              </w:rPr>
              <w:br/>
              <w:t>all criteria have an impact of ‘E’.</w:t>
            </w:r>
          </w:p>
        </w:tc>
        <w:tc>
          <w:tcPr>
            <w:tcW w:w="1354" w:type="pct"/>
          </w:tcPr>
          <w:p w14:paraId="34957C8A" w14:textId="77777777" w:rsidR="008163B6" w:rsidRDefault="00F709BD">
            <w:pPr>
              <w:pStyle w:val="TableText"/>
              <w:rPr>
                <w:rFonts w:ascii="Cambria" w:hAnsi="Cambria"/>
              </w:rPr>
            </w:pPr>
            <w:r>
              <w:rPr>
                <w:rFonts w:ascii="Cambria" w:hAnsi="Cambria"/>
              </w:rPr>
              <w:t>High</w:t>
            </w:r>
          </w:p>
        </w:tc>
      </w:tr>
      <w:tr w:rsidR="008163B6" w14:paraId="1171B4D7" w14:textId="77777777">
        <w:trPr>
          <w:trHeight w:val="414"/>
        </w:trPr>
        <w:tc>
          <w:tcPr>
            <w:tcW w:w="440" w:type="pct"/>
          </w:tcPr>
          <w:p w14:paraId="179CE86E" w14:textId="77777777" w:rsidR="008163B6" w:rsidRDefault="00F709BD">
            <w:pPr>
              <w:pStyle w:val="TableText"/>
              <w:rPr>
                <w:rFonts w:ascii="Cambria" w:hAnsi="Cambria"/>
              </w:rPr>
            </w:pPr>
            <w:r>
              <w:rPr>
                <w:rFonts w:ascii="Cambria" w:hAnsi="Cambria"/>
              </w:rPr>
              <w:t>3</w:t>
            </w:r>
          </w:p>
        </w:tc>
        <w:tc>
          <w:tcPr>
            <w:tcW w:w="3206" w:type="pct"/>
          </w:tcPr>
          <w:p w14:paraId="798D76D6" w14:textId="77777777" w:rsidR="008163B6" w:rsidRDefault="00F709BD">
            <w:pPr>
              <w:pStyle w:val="TableText"/>
              <w:rPr>
                <w:rFonts w:ascii="Cambria" w:hAnsi="Cambria"/>
              </w:rPr>
            </w:pPr>
            <w:r>
              <w:rPr>
                <w:rFonts w:ascii="Cambria" w:hAnsi="Cambria"/>
              </w:rPr>
              <w:t>One or more criteria have an impact of ‘E’; or</w:t>
            </w:r>
            <w:r>
              <w:rPr>
                <w:rFonts w:ascii="Cambria" w:hAnsi="Cambria"/>
              </w:rPr>
              <w:br/>
              <w:t>all criteria have an impact of ‘D’.</w:t>
            </w:r>
          </w:p>
        </w:tc>
        <w:tc>
          <w:tcPr>
            <w:tcW w:w="1354" w:type="pct"/>
          </w:tcPr>
          <w:p w14:paraId="4314D665" w14:textId="77777777" w:rsidR="008163B6" w:rsidRDefault="00F709BD">
            <w:pPr>
              <w:pStyle w:val="TableText"/>
              <w:rPr>
                <w:rFonts w:ascii="Cambria" w:hAnsi="Cambria"/>
              </w:rPr>
            </w:pPr>
            <w:r>
              <w:rPr>
                <w:rFonts w:ascii="Cambria" w:hAnsi="Cambria"/>
              </w:rPr>
              <w:t>Moderate</w:t>
            </w:r>
          </w:p>
        </w:tc>
      </w:tr>
      <w:tr w:rsidR="008163B6" w14:paraId="7D7A5FAF" w14:textId="77777777">
        <w:trPr>
          <w:trHeight w:val="414"/>
        </w:trPr>
        <w:tc>
          <w:tcPr>
            <w:tcW w:w="440" w:type="pct"/>
          </w:tcPr>
          <w:p w14:paraId="52334EE8" w14:textId="77777777" w:rsidR="008163B6" w:rsidRDefault="00F709BD">
            <w:pPr>
              <w:pStyle w:val="TableText"/>
              <w:rPr>
                <w:rFonts w:ascii="Cambria" w:hAnsi="Cambria"/>
              </w:rPr>
            </w:pPr>
            <w:r>
              <w:rPr>
                <w:rFonts w:ascii="Cambria" w:hAnsi="Cambria"/>
              </w:rPr>
              <w:t>4</w:t>
            </w:r>
          </w:p>
        </w:tc>
        <w:tc>
          <w:tcPr>
            <w:tcW w:w="3206" w:type="pct"/>
          </w:tcPr>
          <w:p w14:paraId="1566F9F8" w14:textId="77777777" w:rsidR="008163B6" w:rsidRDefault="00F709BD">
            <w:pPr>
              <w:pStyle w:val="TableText"/>
              <w:rPr>
                <w:rFonts w:ascii="Cambria" w:hAnsi="Cambria"/>
              </w:rPr>
            </w:pPr>
            <w:r>
              <w:rPr>
                <w:rFonts w:ascii="Cambria" w:hAnsi="Cambria"/>
              </w:rPr>
              <w:t>One or more criteria have an impact of ‘D’; or</w:t>
            </w:r>
            <w:r>
              <w:rPr>
                <w:rFonts w:ascii="Cambria" w:hAnsi="Cambria"/>
              </w:rPr>
              <w:br/>
              <w:t>all criteria have an impact of ‘C’.</w:t>
            </w:r>
          </w:p>
        </w:tc>
        <w:tc>
          <w:tcPr>
            <w:tcW w:w="1354" w:type="pct"/>
          </w:tcPr>
          <w:p w14:paraId="2A9050D9" w14:textId="77777777" w:rsidR="008163B6" w:rsidRDefault="00F709BD">
            <w:pPr>
              <w:pStyle w:val="TableText"/>
              <w:rPr>
                <w:rFonts w:ascii="Cambria" w:hAnsi="Cambria"/>
              </w:rPr>
            </w:pPr>
            <w:r>
              <w:rPr>
                <w:rFonts w:ascii="Cambria" w:hAnsi="Cambria"/>
              </w:rPr>
              <w:t>Low</w:t>
            </w:r>
          </w:p>
        </w:tc>
      </w:tr>
      <w:tr w:rsidR="008163B6" w14:paraId="4E346F1A" w14:textId="77777777">
        <w:trPr>
          <w:trHeight w:val="414"/>
        </w:trPr>
        <w:tc>
          <w:tcPr>
            <w:tcW w:w="440" w:type="pct"/>
          </w:tcPr>
          <w:p w14:paraId="5AB5A805" w14:textId="77777777" w:rsidR="008163B6" w:rsidRDefault="00F709BD">
            <w:pPr>
              <w:pStyle w:val="TableText"/>
              <w:rPr>
                <w:rFonts w:ascii="Cambria" w:hAnsi="Cambria"/>
              </w:rPr>
            </w:pPr>
            <w:r>
              <w:rPr>
                <w:rFonts w:ascii="Cambria" w:hAnsi="Cambria"/>
              </w:rPr>
              <w:t>5</w:t>
            </w:r>
          </w:p>
        </w:tc>
        <w:tc>
          <w:tcPr>
            <w:tcW w:w="3206" w:type="pct"/>
          </w:tcPr>
          <w:p w14:paraId="05FBB3F1" w14:textId="77777777" w:rsidR="008163B6" w:rsidRDefault="00F709BD">
            <w:pPr>
              <w:pStyle w:val="TableText"/>
              <w:rPr>
                <w:rFonts w:ascii="Cambria" w:hAnsi="Cambria"/>
              </w:rPr>
            </w:pPr>
            <w:r>
              <w:rPr>
                <w:rFonts w:ascii="Cambria" w:hAnsi="Cambria"/>
              </w:rPr>
              <w:t>One or more criteria have an impact of ‘C’; or</w:t>
            </w:r>
            <w:r>
              <w:rPr>
                <w:rFonts w:ascii="Cambria" w:hAnsi="Cambria"/>
              </w:rPr>
              <w:br/>
              <w:t>all criteria have an impact of ‘B’.</w:t>
            </w:r>
          </w:p>
        </w:tc>
        <w:tc>
          <w:tcPr>
            <w:tcW w:w="1354" w:type="pct"/>
          </w:tcPr>
          <w:p w14:paraId="2432DC26" w14:textId="77777777" w:rsidR="008163B6" w:rsidRDefault="00F709BD">
            <w:pPr>
              <w:pStyle w:val="TableText"/>
              <w:rPr>
                <w:rFonts w:ascii="Cambria" w:hAnsi="Cambria"/>
              </w:rPr>
            </w:pPr>
            <w:r>
              <w:rPr>
                <w:rFonts w:ascii="Cambria" w:hAnsi="Cambria"/>
              </w:rPr>
              <w:t>Very Low</w:t>
            </w:r>
          </w:p>
        </w:tc>
      </w:tr>
      <w:tr w:rsidR="008163B6" w14:paraId="60CD7756" w14:textId="77777777">
        <w:trPr>
          <w:trHeight w:val="414"/>
        </w:trPr>
        <w:tc>
          <w:tcPr>
            <w:tcW w:w="440" w:type="pct"/>
          </w:tcPr>
          <w:p w14:paraId="4C97155B" w14:textId="77777777" w:rsidR="008163B6" w:rsidRDefault="00F709BD">
            <w:pPr>
              <w:pStyle w:val="TableText"/>
              <w:rPr>
                <w:rFonts w:ascii="Cambria" w:hAnsi="Cambria"/>
              </w:rPr>
            </w:pPr>
            <w:r>
              <w:rPr>
                <w:rFonts w:ascii="Cambria" w:hAnsi="Cambria"/>
              </w:rPr>
              <w:t>6</w:t>
            </w:r>
          </w:p>
        </w:tc>
        <w:tc>
          <w:tcPr>
            <w:tcW w:w="3206" w:type="pct"/>
          </w:tcPr>
          <w:p w14:paraId="5B1B26E3" w14:textId="77777777" w:rsidR="008163B6" w:rsidRDefault="00F709BD">
            <w:pPr>
              <w:pStyle w:val="TableText"/>
              <w:rPr>
                <w:rFonts w:ascii="Cambria" w:hAnsi="Cambria"/>
              </w:rPr>
            </w:pPr>
            <w:r>
              <w:rPr>
                <w:rFonts w:ascii="Cambria" w:hAnsi="Cambria"/>
              </w:rPr>
              <w:t>One or more but not all criteria have an impact of ‘B’, and</w:t>
            </w:r>
            <w:r>
              <w:rPr>
                <w:rFonts w:ascii="Cambria" w:hAnsi="Cambria"/>
              </w:rPr>
              <w:br/>
              <w:t>all remaining criteria have an impact of ‘A’.</w:t>
            </w:r>
          </w:p>
        </w:tc>
        <w:tc>
          <w:tcPr>
            <w:tcW w:w="1354" w:type="pct"/>
          </w:tcPr>
          <w:p w14:paraId="3BAFC2B5" w14:textId="77777777" w:rsidR="008163B6" w:rsidRDefault="00F709BD">
            <w:pPr>
              <w:pStyle w:val="TableText"/>
              <w:rPr>
                <w:rFonts w:ascii="Cambria" w:hAnsi="Cambria"/>
              </w:rPr>
            </w:pPr>
            <w:r>
              <w:rPr>
                <w:rFonts w:ascii="Cambria" w:hAnsi="Cambria"/>
              </w:rPr>
              <w:t>Negligible</w:t>
            </w:r>
          </w:p>
        </w:tc>
      </w:tr>
    </w:tbl>
    <w:p w14:paraId="4568196D"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51" w:name="_Toc447540783"/>
      <w:r>
        <w:rPr>
          <w:rFonts w:ascii="Calibri" w:hAnsi="Calibri" w:cstheme="minorBidi"/>
          <w:sz w:val="24"/>
          <w:szCs w:val="22"/>
        </w:rPr>
        <w:t>Estimation of the unrestricted risk</w:t>
      </w:r>
      <w:bookmarkEnd w:id="151"/>
    </w:p>
    <w:p w14:paraId="45A435C0" w14:textId="4B4E9BA1" w:rsidR="008163B6" w:rsidRDefault="00F709BD" w:rsidP="006F4BBD">
      <w:pPr>
        <w:spacing w:before="120" w:after="120" w:line="276" w:lineRule="auto"/>
        <w:rPr>
          <w:rFonts w:ascii="Cambria" w:hAnsi="Cambria"/>
        </w:rPr>
      </w:pPr>
      <w:r>
        <w:rPr>
          <w:rFonts w:ascii="Cambria" w:hAnsi="Cambria"/>
        </w:rPr>
        <w:t>Once the assessment of the likelihood of entry, establishment and spread for potential consequences are completed, the unrestricted risk can be determined for each pest or group of pests. This is determined by using a risk estimation matrix (Table 5) to combine the estimates of the likelihood of entry, establishment and spread and the overall consequences of pest establishment and spread. Therefore, risk is the product of likelihood and consequence.</w:t>
      </w:r>
    </w:p>
    <w:p w14:paraId="47AEE7B5" w14:textId="4385C4C8" w:rsidR="008163B6" w:rsidRDefault="00F709BD" w:rsidP="006F4BBD">
      <w:pPr>
        <w:spacing w:before="120" w:after="120" w:line="276" w:lineRule="auto"/>
        <w:rPr>
          <w:rFonts w:ascii="Cambria" w:hAnsi="Cambria"/>
        </w:rPr>
      </w:pPr>
      <w:r>
        <w:rPr>
          <w:rFonts w:ascii="Cambria" w:hAnsi="Cambria"/>
        </w:rPr>
        <w:t>When interpreting the risk estimation matrix, note the descriptors for each axis are similar (for example, low, moderate</w:t>
      </w:r>
      <w:r w:rsidR="007C710C">
        <w:rPr>
          <w:rFonts w:ascii="Cambria" w:hAnsi="Cambria"/>
        </w:rPr>
        <w:t xml:space="preserve"> and</w:t>
      </w:r>
      <w:r>
        <w:rPr>
          <w:rFonts w:ascii="Cambria" w:hAnsi="Cambria"/>
        </w:rPr>
        <w:t xml:space="preserv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p>
    <w:p w14:paraId="1BFBE63E" w14:textId="77777777" w:rsidR="008163B6" w:rsidRDefault="00F709BD">
      <w:pPr>
        <w:pStyle w:val="Caption"/>
        <w:keepNext w:val="0"/>
        <w:rPr>
          <w:rFonts w:asciiTheme="majorHAnsi" w:eastAsiaTheme="majorEastAsia" w:hAnsiTheme="majorHAnsi" w:cstheme="majorBidi"/>
          <w:color w:val="595959" w:themeColor="text1" w:themeTint="A6"/>
          <w:sz w:val="20"/>
        </w:rPr>
      </w:pPr>
      <w:bookmarkStart w:id="152" w:name="_Toc384197748"/>
      <w:bookmarkStart w:id="153" w:name="_Toc384209836"/>
      <w:bookmarkStart w:id="154" w:name="_Toc384275080"/>
      <w:bookmarkStart w:id="155" w:name="_Toc388949921"/>
      <w:bookmarkStart w:id="156" w:name="_Toc418712910"/>
      <w:bookmarkStart w:id="157" w:name="_Toc432187289"/>
      <w:bookmarkStart w:id="158" w:name="_Toc434315832"/>
      <w:bookmarkStart w:id="159" w:name="_Toc438132872"/>
      <w:bookmarkStart w:id="160" w:name="_Toc438202157"/>
      <w:bookmarkStart w:id="161" w:name="_Toc438549497"/>
      <w:bookmarkStart w:id="162" w:name="_Toc438549541"/>
      <w:bookmarkStart w:id="163" w:name="_Toc439661107"/>
      <w:bookmarkStart w:id="164" w:name="_Toc447541245"/>
      <w:bookmarkStart w:id="165" w:name="_Toc447541264"/>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5</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Risk estimation matrix</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bl>
      <w:tblPr>
        <w:tblW w:w="4942" w:type="pct"/>
        <w:tblInd w:w="107" w:type="dxa"/>
        <w:tblLook w:val="0000" w:firstRow="0" w:lastRow="0" w:firstColumn="0" w:lastColumn="0" w:noHBand="0" w:noVBand="0"/>
      </w:tblPr>
      <w:tblGrid>
        <w:gridCol w:w="1332"/>
        <w:gridCol w:w="1269"/>
        <w:gridCol w:w="1270"/>
        <w:gridCol w:w="1272"/>
        <w:gridCol w:w="1270"/>
        <w:gridCol w:w="1270"/>
        <w:gridCol w:w="1272"/>
      </w:tblGrid>
      <w:tr w:rsidR="008163B6" w14:paraId="7E865707" w14:textId="77777777">
        <w:trPr>
          <w:cantSplit/>
          <w:trHeight w:val="551"/>
        </w:trPr>
        <w:tc>
          <w:tcPr>
            <w:tcW w:w="744" w:type="pct"/>
            <w:vMerge w:val="restart"/>
            <w:tcBorders>
              <w:top w:val="single" w:sz="4" w:space="0" w:color="auto"/>
              <w:left w:val="single" w:sz="4" w:space="0" w:color="auto"/>
              <w:bottom w:val="single" w:sz="4" w:space="0" w:color="BFBFBF" w:themeColor="background1" w:themeShade="BF"/>
            </w:tcBorders>
            <w:vAlign w:val="bottom"/>
          </w:tcPr>
          <w:p w14:paraId="29BCAA0C" w14:textId="77777777" w:rsidR="008163B6" w:rsidRDefault="00F709BD">
            <w:pPr>
              <w:pStyle w:val="TableHeading"/>
            </w:pPr>
            <w:r>
              <w:t>Likelihood of pest entry, establishment and spread</w:t>
            </w:r>
          </w:p>
        </w:tc>
        <w:tc>
          <w:tcPr>
            <w:tcW w:w="4256"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45D459D0" w14:textId="77777777" w:rsidR="008163B6" w:rsidRDefault="00F709BD">
            <w:pPr>
              <w:pStyle w:val="TableHeading"/>
              <w:jc w:val="center"/>
            </w:pPr>
            <w:r>
              <w:t>Consequences of pest entry, establishment and spread</w:t>
            </w:r>
          </w:p>
        </w:tc>
      </w:tr>
      <w:tr w:rsidR="008163B6" w14:paraId="6FE3001A" w14:textId="77777777">
        <w:trPr>
          <w:cantSplit/>
        </w:trPr>
        <w:tc>
          <w:tcPr>
            <w:tcW w:w="744" w:type="pct"/>
            <w:vMerge/>
            <w:tcBorders>
              <w:top w:val="single" w:sz="4" w:space="0" w:color="BFBFBF" w:themeColor="background1" w:themeShade="BF"/>
              <w:left w:val="single" w:sz="4" w:space="0" w:color="auto"/>
              <w:bottom w:val="single" w:sz="4" w:space="0" w:color="BFBFBF" w:themeColor="background1" w:themeShade="BF"/>
            </w:tcBorders>
          </w:tcPr>
          <w:p w14:paraId="02C598EA" w14:textId="77777777" w:rsidR="008163B6" w:rsidRDefault="008163B6">
            <w:pPr>
              <w:pStyle w:val="TableText"/>
              <w:rPr>
                <w:color w:val="FFFFFF" w:themeColor="background1"/>
              </w:rPr>
            </w:pPr>
          </w:p>
        </w:tc>
        <w:tc>
          <w:tcPr>
            <w:tcW w:w="709" w:type="pct"/>
            <w:tcBorders>
              <w:top w:val="single" w:sz="4" w:space="0" w:color="BFBFBF" w:themeColor="background1" w:themeShade="BF"/>
              <w:left w:val="nil"/>
              <w:bottom w:val="single" w:sz="8" w:space="0" w:color="C0C0C0"/>
            </w:tcBorders>
            <w:shd w:val="clear" w:color="auto" w:fill="auto"/>
            <w:vAlign w:val="bottom"/>
          </w:tcPr>
          <w:p w14:paraId="7187F5BD" w14:textId="77777777" w:rsidR="008163B6" w:rsidRDefault="00F709BD">
            <w:pPr>
              <w:pStyle w:val="TableText"/>
              <w:rPr>
                <w:b/>
              </w:rPr>
            </w:pPr>
            <w:r>
              <w:rPr>
                <w:b/>
              </w:rPr>
              <w:t xml:space="preserve">Negligible </w:t>
            </w:r>
          </w:p>
        </w:tc>
        <w:tc>
          <w:tcPr>
            <w:tcW w:w="709" w:type="pct"/>
            <w:tcBorders>
              <w:top w:val="single" w:sz="4" w:space="0" w:color="BFBFBF" w:themeColor="background1" w:themeShade="BF"/>
              <w:bottom w:val="single" w:sz="8" w:space="0" w:color="C0C0C0"/>
            </w:tcBorders>
            <w:shd w:val="clear" w:color="auto" w:fill="auto"/>
            <w:vAlign w:val="bottom"/>
          </w:tcPr>
          <w:p w14:paraId="07EB3E5D" w14:textId="77777777" w:rsidR="008163B6" w:rsidRDefault="00F709BD">
            <w:pPr>
              <w:pStyle w:val="TableText"/>
              <w:rPr>
                <w:b/>
              </w:rPr>
            </w:pPr>
            <w:r>
              <w:rPr>
                <w:b/>
              </w:rPr>
              <w:t>Very low</w:t>
            </w:r>
          </w:p>
        </w:tc>
        <w:tc>
          <w:tcPr>
            <w:tcW w:w="710" w:type="pct"/>
            <w:tcBorders>
              <w:top w:val="single" w:sz="4" w:space="0" w:color="BFBFBF" w:themeColor="background1" w:themeShade="BF"/>
              <w:bottom w:val="single" w:sz="8" w:space="0" w:color="C0C0C0"/>
            </w:tcBorders>
            <w:shd w:val="clear" w:color="auto" w:fill="auto"/>
            <w:vAlign w:val="bottom"/>
          </w:tcPr>
          <w:p w14:paraId="66C43326" w14:textId="77777777" w:rsidR="008163B6" w:rsidRDefault="00F709BD">
            <w:pPr>
              <w:pStyle w:val="TableText"/>
              <w:rPr>
                <w:b/>
              </w:rPr>
            </w:pPr>
            <w:r>
              <w:rPr>
                <w:b/>
              </w:rPr>
              <w:t xml:space="preserve">Low </w:t>
            </w:r>
          </w:p>
        </w:tc>
        <w:tc>
          <w:tcPr>
            <w:tcW w:w="709" w:type="pct"/>
            <w:tcBorders>
              <w:top w:val="single" w:sz="4" w:space="0" w:color="BFBFBF" w:themeColor="background1" w:themeShade="BF"/>
              <w:bottom w:val="single" w:sz="8" w:space="0" w:color="C0C0C0"/>
            </w:tcBorders>
            <w:shd w:val="clear" w:color="auto" w:fill="auto"/>
            <w:vAlign w:val="bottom"/>
          </w:tcPr>
          <w:p w14:paraId="0FEB2FF2" w14:textId="77777777" w:rsidR="008163B6" w:rsidRDefault="00F709BD">
            <w:pPr>
              <w:pStyle w:val="TableText"/>
              <w:rPr>
                <w:b/>
              </w:rPr>
            </w:pPr>
            <w:r>
              <w:rPr>
                <w:b/>
              </w:rPr>
              <w:t>Moderate</w:t>
            </w:r>
          </w:p>
        </w:tc>
        <w:tc>
          <w:tcPr>
            <w:tcW w:w="709" w:type="pct"/>
            <w:tcBorders>
              <w:top w:val="single" w:sz="4" w:space="0" w:color="BFBFBF" w:themeColor="background1" w:themeShade="BF"/>
              <w:bottom w:val="single" w:sz="8" w:space="0" w:color="C0C0C0"/>
            </w:tcBorders>
            <w:shd w:val="clear" w:color="auto" w:fill="auto"/>
            <w:vAlign w:val="bottom"/>
          </w:tcPr>
          <w:p w14:paraId="4C9B030C" w14:textId="77777777" w:rsidR="008163B6" w:rsidRDefault="00F709BD">
            <w:pPr>
              <w:pStyle w:val="TableText"/>
              <w:rPr>
                <w:b/>
              </w:rPr>
            </w:pPr>
            <w:r>
              <w:rPr>
                <w:b/>
              </w:rPr>
              <w:t>High</w:t>
            </w:r>
          </w:p>
        </w:tc>
        <w:tc>
          <w:tcPr>
            <w:tcW w:w="709" w:type="pct"/>
            <w:tcBorders>
              <w:top w:val="single" w:sz="4" w:space="0" w:color="BFBFBF" w:themeColor="background1" w:themeShade="BF"/>
              <w:bottom w:val="single" w:sz="8" w:space="0" w:color="C0C0C0"/>
              <w:right w:val="single" w:sz="4" w:space="0" w:color="auto"/>
            </w:tcBorders>
            <w:shd w:val="clear" w:color="auto" w:fill="auto"/>
            <w:vAlign w:val="bottom"/>
          </w:tcPr>
          <w:p w14:paraId="71D0BCAC" w14:textId="77777777" w:rsidR="008163B6" w:rsidRDefault="00F709BD">
            <w:pPr>
              <w:pStyle w:val="TableText"/>
              <w:rPr>
                <w:b/>
              </w:rPr>
            </w:pPr>
            <w:r>
              <w:rPr>
                <w:b/>
              </w:rPr>
              <w:t xml:space="preserve">Extreme </w:t>
            </w:r>
          </w:p>
        </w:tc>
      </w:tr>
      <w:tr w:rsidR="008163B6" w14:paraId="275A173C" w14:textId="77777777">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7287DBC1" w14:textId="77777777" w:rsidR="008163B6" w:rsidRDefault="00F709BD">
            <w:pPr>
              <w:pStyle w:val="TableText"/>
              <w:rPr>
                <w:b/>
              </w:rPr>
            </w:pPr>
            <w:r>
              <w:rPr>
                <w:b/>
              </w:rPr>
              <w:t xml:space="preserve">High </w:t>
            </w:r>
          </w:p>
        </w:tc>
        <w:tc>
          <w:tcPr>
            <w:tcW w:w="709"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6106741F" w14:textId="77777777" w:rsidR="008163B6" w:rsidRDefault="00F709BD">
            <w:pPr>
              <w:pStyle w:val="TableText"/>
            </w:pPr>
            <w:r>
              <w:t>Negligible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4FA1B096" w14:textId="77777777" w:rsidR="008163B6" w:rsidRDefault="00F709BD">
            <w:pPr>
              <w:pStyle w:val="TableText"/>
              <w:rPr>
                <w:color w:val="FFFFFF"/>
              </w:rPr>
            </w:pPr>
            <w:r>
              <w:rPr>
                <w:color w:val="FFFFFF"/>
              </w:rPr>
              <w:t>Very low risk</w:t>
            </w:r>
          </w:p>
        </w:tc>
        <w:tc>
          <w:tcPr>
            <w:tcW w:w="710"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090056D8" w14:textId="77777777" w:rsidR="008163B6" w:rsidRDefault="00F709BD">
            <w:pPr>
              <w:pStyle w:val="TableText"/>
            </w:pPr>
            <w:r>
              <w:t>Low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6D10429B" w14:textId="77777777" w:rsidR="008163B6" w:rsidRDefault="00F709BD">
            <w:pPr>
              <w:pStyle w:val="TableText"/>
            </w:pPr>
            <w:r>
              <w:t>Moderate risk</w:t>
            </w:r>
          </w:p>
        </w:tc>
        <w:tc>
          <w:tcPr>
            <w:tcW w:w="709"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3D81F9C" w14:textId="77777777" w:rsidR="008163B6" w:rsidRDefault="00F709BD">
            <w:pPr>
              <w:pStyle w:val="TableText"/>
            </w:pPr>
            <w:r>
              <w:t>High risk</w:t>
            </w:r>
          </w:p>
        </w:tc>
        <w:tc>
          <w:tcPr>
            <w:tcW w:w="709"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35415B58" w14:textId="77777777" w:rsidR="008163B6" w:rsidRDefault="00F709BD">
            <w:pPr>
              <w:pStyle w:val="TableText"/>
            </w:pPr>
            <w:r>
              <w:t>Extreme risk</w:t>
            </w:r>
          </w:p>
        </w:tc>
      </w:tr>
      <w:tr w:rsidR="008163B6" w14:paraId="63FB2CED" w14:textId="77777777">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63A3196" w14:textId="77777777" w:rsidR="008163B6" w:rsidRDefault="00F709BD">
            <w:pPr>
              <w:pStyle w:val="TableText"/>
              <w:rPr>
                <w:b/>
              </w:rPr>
            </w:pPr>
            <w:r>
              <w:rPr>
                <w:b/>
              </w:rPr>
              <w:t>Moderate</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418D2AB3"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14:paraId="5FABDB62" w14:textId="77777777" w:rsidR="008163B6" w:rsidRDefault="00F709BD">
            <w:pPr>
              <w:pStyle w:val="TableText"/>
              <w:rPr>
                <w:color w:val="FFFFFF"/>
              </w:rPr>
            </w:pPr>
            <w:r>
              <w:rPr>
                <w:color w:val="FFFFFF"/>
              </w:rPr>
              <w:t>Very low risk</w:t>
            </w:r>
          </w:p>
        </w:tc>
        <w:tc>
          <w:tcPr>
            <w:tcW w:w="710" w:type="pct"/>
            <w:tcBorders>
              <w:top w:val="single" w:sz="8" w:space="0" w:color="C0C0C0"/>
              <w:left w:val="single" w:sz="8" w:space="0" w:color="C0C0C0"/>
              <w:bottom w:val="single" w:sz="8" w:space="0" w:color="C0C0C0"/>
              <w:right w:val="single" w:sz="8" w:space="0" w:color="C0C0C0"/>
            </w:tcBorders>
            <w:shd w:val="clear" w:color="auto" w:fill="CCFFCC"/>
          </w:tcPr>
          <w:p w14:paraId="5F0C2DF2" w14:textId="77777777" w:rsidR="008163B6" w:rsidRDefault="00F709BD">
            <w:pPr>
              <w:pStyle w:val="TableText"/>
            </w:pPr>
            <w:r>
              <w:t>Low risk</w:t>
            </w:r>
          </w:p>
        </w:tc>
        <w:tc>
          <w:tcPr>
            <w:tcW w:w="709" w:type="pct"/>
            <w:tcBorders>
              <w:top w:val="single" w:sz="8" w:space="0" w:color="C0C0C0"/>
              <w:left w:val="single" w:sz="8" w:space="0" w:color="C0C0C0"/>
              <w:bottom w:val="single" w:sz="8" w:space="0" w:color="C0C0C0"/>
              <w:right w:val="single" w:sz="8" w:space="0" w:color="C0C0C0"/>
            </w:tcBorders>
            <w:shd w:val="clear" w:color="auto" w:fill="FFFF99"/>
          </w:tcPr>
          <w:p w14:paraId="714B739A" w14:textId="77777777" w:rsidR="008163B6" w:rsidRDefault="00F709BD">
            <w:pPr>
              <w:pStyle w:val="TableText"/>
            </w:pPr>
            <w:r>
              <w:t>Moderate risk</w:t>
            </w:r>
          </w:p>
        </w:tc>
        <w:tc>
          <w:tcPr>
            <w:tcW w:w="709" w:type="pct"/>
            <w:tcBorders>
              <w:top w:val="single" w:sz="8" w:space="0" w:color="C0C0C0"/>
              <w:left w:val="single" w:sz="8" w:space="0" w:color="C0C0C0"/>
              <w:bottom w:val="single" w:sz="8" w:space="0" w:color="C0C0C0"/>
              <w:right w:val="single" w:sz="8" w:space="0" w:color="C0C0C0"/>
            </w:tcBorders>
            <w:shd w:val="clear" w:color="auto" w:fill="FFCC99"/>
          </w:tcPr>
          <w:p w14:paraId="769EE137" w14:textId="77777777" w:rsidR="008163B6" w:rsidRDefault="00F709BD">
            <w:pPr>
              <w:pStyle w:val="TableText"/>
            </w:pPr>
            <w:r>
              <w:t>High risk</w:t>
            </w:r>
          </w:p>
        </w:tc>
        <w:tc>
          <w:tcPr>
            <w:tcW w:w="709" w:type="pct"/>
            <w:tcBorders>
              <w:top w:val="single" w:sz="8" w:space="0" w:color="C0C0C0"/>
              <w:left w:val="single" w:sz="8" w:space="0" w:color="C0C0C0"/>
              <w:bottom w:val="single" w:sz="8" w:space="0" w:color="C0C0C0"/>
              <w:right w:val="single" w:sz="4" w:space="0" w:color="auto"/>
            </w:tcBorders>
            <w:shd w:val="clear" w:color="auto" w:fill="FF99CC"/>
          </w:tcPr>
          <w:p w14:paraId="4832E800" w14:textId="77777777" w:rsidR="008163B6" w:rsidRDefault="00F709BD">
            <w:pPr>
              <w:pStyle w:val="TableText"/>
            </w:pPr>
            <w:r>
              <w:t>Extreme risk</w:t>
            </w:r>
          </w:p>
        </w:tc>
      </w:tr>
      <w:tr w:rsidR="008163B6" w14:paraId="7289227F" w14:textId="77777777">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5F773A3" w14:textId="77777777" w:rsidR="008163B6" w:rsidRDefault="00F709BD">
            <w:pPr>
              <w:pStyle w:val="TableText"/>
              <w:rPr>
                <w:b/>
              </w:rPr>
            </w:pPr>
            <w:r>
              <w:rPr>
                <w:b/>
              </w:rPr>
              <w:t>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11C117F"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CD83ACF" w14:textId="77777777" w:rsidR="008163B6" w:rsidRDefault="00F709BD">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000000"/>
          </w:tcPr>
          <w:p w14:paraId="6E54F2D6" w14:textId="77777777" w:rsidR="008163B6" w:rsidRDefault="00F709BD">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8" w:space="0" w:color="C0C0C0"/>
            </w:tcBorders>
            <w:shd w:val="clear" w:color="auto" w:fill="CCFFCC"/>
          </w:tcPr>
          <w:p w14:paraId="4BF4DB33" w14:textId="77777777" w:rsidR="008163B6" w:rsidRDefault="00F709BD">
            <w:pPr>
              <w:pStyle w:val="TableText"/>
            </w:pPr>
            <w:r>
              <w:t>Low risk</w:t>
            </w:r>
          </w:p>
        </w:tc>
        <w:tc>
          <w:tcPr>
            <w:tcW w:w="709" w:type="pct"/>
            <w:tcBorders>
              <w:top w:val="single" w:sz="8" w:space="0" w:color="C0C0C0"/>
              <w:left w:val="single" w:sz="8" w:space="0" w:color="C0C0C0"/>
              <w:bottom w:val="single" w:sz="8" w:space="0" w:color="C0C0C0"/>
              <w:right w:val="single" w:sz="8" w:space="0" w:color="C0C0C0"/>
            </w:tcBorders>
            <w:shd w:val="clear" w:color="auto" w:fill="FFFF99"/>
          </w:tcPr>
          <w:p w14:paraId="0B8A1D41" w14:textId="77777777" w:rsidR="008163B6" w:rsidRDefault="00F709BD">
            <w:pPr>
              <w:pStyle w:val="TableText"/>
            </w:pPr>
            <w:r>
              <w:t>Moderate risk</w:t>
            </w:r>
          </w:p>
        </w:tc>
        <w:tc>
          <w:tcPr>
            <w:tcW w:w="709" w:type="pct"/>
            <w:tcBorders>
              <w:top w:val="single" w:sz="8" w:space="0" w:color="C0C0C0"/>
              <w:left w:val="single" w:sz="8" w:space="0" w:color="C0C0C0"/>
              <w:bottom w:val="single" w:sz="8" w:space="0" w:color="C0C0C0"/>
              <w:right w:val="single" w:sz="4" w:space="0" w:color="auto"/>
            </w:tcBorders>
            <w:shd w:val="clear" w:color="auto" w:fill="FFCC99"/>
          </w:tcPr>
          <w:p w14:paraId="4C910567" w14:textId="77777777" w:rsidR="008163B6" w:rsidRDefault="00F709BD">
            <w:pPr>
              <w:pStyle w:val="TableText"/>
            </w:pPr>
            <w:r>
              <w:t>High risk</w:t>
            </w:r>
          </w:p>
        </w:tc>
      </w:tr>
      <w:tr w:rsidR="008163B6" w14:paraId="3B48B5B2" w14:textId="77777777">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1FD596D" w14:textId="77777777" w:rsidR="008163B6" w:rsidRDefault="00F709BD">
            <w:pPr>
              <w:pStyle w:val="TableText"/>
              <w:rPr>
                <w:b/>
              </w:rPr>
            </w:pPr>
            <w:r>
              <w:rPr>
                <w:b/>
              </w:rPr>
              <w:t>Very 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3F5C64AB"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68EC531" w14:textId="77777777" w:rsidR="008163B6" w:rsidRDefault="00F709BD">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E2FD72C"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14:paraId="4C5E7BD0" w14:textId="77777777" w:rsidR="008163B6" w:rsidRDefault="00F709BD">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8" w:space="0" w:color="C0C0C0"/>
            </w:tcBorders>
            <w:shd w:val="clear" w:color="auto" w:fill="CCFFCC"/>
          </w:tcPr>
          <w:p w14:paraId="5FC0C9AE" w14:textId="77777777" w:rsidR="008163B6" w:rsidRDefault="00F709BD">
            <w:pPr>
              <w:pStyle w:val="TableText"/>
            </w:pPr>
            <w:r>
              <w:t>Low risk</w:t>
            </w:r>
          </w:p>
        </w:tc>
        <w:tc>
          <w:tcPr>
            <w:tcW w:w="709" w:type="pct"/>
            <w:tcBorders>
              <w:top w:val="single" w:sz="8" w:space="0" w:color="C0C0C0"/>
              <w:left w:val="single" w:sz="8" w:space="0" w:color="C0C0C0"/>
              <w:bottom w:val="single" w:sz="8" w:space="0" w:color="C0C0C0"/>
              <w:right w:val="single" w:sz="4" w:space="0" w:color="auto"/>
            </w:tcBorders>
            <w:shd w:val="clear" w:color="auto" w:fill="FFFF99"/>
          </w:tcPr>
          <w:p w14:paraId="0206005E" w14:textId="77777777" w:rsidR="008163B6" w:rsidRDefault="00F709BD">
            <w:pPr>
              <w:pStyle w:val="TableText"/>
            </w:pPr>
            <w:r>
              <w:t>Moderate risk</w:t>
            </w:r>
          </w:p>
        </w:tc>
      </w:tr>
      <w:tr w:rsidR="008163B6" w14:paraId="73B8C121" w14:textId="77777777">
        <w:trPr>
          <w:cantSplit/>
        </w:trPr>
        <w:tc>
          <w:tcPr>
            <w:tcW w:w="744"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F6F3333" w14:textId="77777777" w:rsidR="008163B6" w:rsidRDefault="00F709BD">
            <w:pPr>
              <w:pStyle w:val="TableText"/>
              <w:rPr>
                <w:b/>
              </w:rPr>
            </w:pPr>
            <w:r>
              <w:rPr>
                <w:b/>
              </w:rPr>
              <w:t>Extremely low</w:t>
            </w:r>
          </w:p>
        </w:tc>
        <w:tc>
          <w:tcPr>
            <w:tcW w:w="709"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80C0B97"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1254E3D" w14:textId="77777777" w:rsidR="008163B6" w:rsidRDefault="00F709BD">
            <w:pPr>
              <w:pStyle w:val="TableText"/>
            </w:pPr>
            <w:r>
              <w:t>Negligible risk</w:t>
            </w:r>
          </w:p>
        </w:tc>
        <w:tc>
          <w:tcPr>
            <w:tcW w:w="710"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F373E59"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55F9B0B" w14:textId="77777777" w:rsidR="008163B6" w:rsidRDefault="00F709BD">
            <w:pPr>
              <w:pStyle w:val="TableText"/>
            </w:pPr>
            <w:r>
              <w:t>Negligible risk</w:t>
            </w:r>
          </w:p>
        </w:tc>
        <w:tc>
          <w:tcPr>
            <w:tcW w:w="709" w:type="pct"/>
            <w:tcBorders>
              <w:top w:val="single" w:sz="8" w:space="0" w:color="C0C0C0"/>
              <w:left w:val="single" w:sz="8" w:space="0" w:color="C0C0C0"/>
              <w:bottom w:val="single" w:sz="8" w:space="0" w:color="C0C0C0"/>
              <w:right w:val="single" w:sz="8" w:space="0" w:color="C0C0C0"/>
            </w:tcBorders>
            <w:shd w:val="clear" w:color="auto" w:fill="000000"/>
          </w:tcPr>
          <w:p w14:paraId="6FCBF678" w14:textId="77777777" w:rsidR="008163B6" w:rsidRDefault="00F709BD">
            <w:pPr>
              <w:pStyle w:val="TableText"/>
              <w:rPr>
                <w:color w:val="FFFFFF"/>
              </w:rPr>
            </w:pPr>
            <w:r>
              <w:rPr>
                <w:color w:val="FFFFFF"/>
              </w:rPr>
              <w:t>Very low risk</w:t>
            </w:r>
          </w:p>
        </w:tc>
        <w:tc>
          <w:tcPr>
            <w:tcW w:w="709" w:type="pct"/>
            <w:tcBorders>
              <w:top w:val="single" w:sz="8" w:space="0" w:color="C0C0C0"/>
              <w:left w:val="single" w:sz="8" w:space="0" w:color="C0C0C0"/>
              <w:bottom w:val="single" w:sz="8" w:space="0" w:color="C0C0C0"/>
              <w:right w:val="single" w:sz="4" w:space="0" w:color="auto"/>
            </w:tcBorders>
            <w:shd w:val="clear" w:color="auto" w:fill="CCFFCC"/>
          </w:tcPr>
          <w:p w14:paraId="7EBB54FF" w14:textId="77777777" w:rsidR="008163B6" w:rsidRDefault="00F709BD">
            <w:pPr>
              <w:pStyle w:val="TableText"/>
            </w:pPr>
            <w:r>
              <w:t>Low risk</w:t>
            </w:r>
          </w:p>
        </w:tc>
      </w:tr>
      <w:tr w:rsidR="008163B6" w14:paraId="2B9834E6" w14:textId="77777777">
        <w:trPr>
          <w:cantSplit/>
        </w:trPr>
        <w:tc>
          <w:tcPr>
            <w:tcW w:w="744"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11D610FE" w14:textId="77777777" w:rsidR="008163B6" w:rsidRDefault="00F709BD">
            <w:pPr>
              <w:pStyle w:val="TableText"/>
              <w:rPr>
                <w:b/>
              </w:rPr>
            </w:pPr>
            <w:r>
              <w:rPr>
                <w:b/>
              </w:rPr>
              <w:t xml:space="preserve">Negligible </w:t>
            </w:r>
          </w:p>
        </w:tc>
        <w:tc>
          <w:tcPr>
            <w:tcW w:w="709"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C569971" w14:textId="77777777" w:rsidR="008163B6" w:rsidRDefault="00F709BD">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1497499" w14:textId="77777777" w:rsidR="008163B6" w:rsidRDefault="00F709BD">
            <w:pPr>
              <w:pStyle w:val="TableText"/>
            </w:pPr>
            <w:r>
              <w:t>Negligible risk</w:t>
            </w:r>
          </w:p>
        </w:tc>
        <w:tc>
          <w:tcPr>
            <w:tcW w:w="710"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A0ABE50" w14:textId="77777777" w:rsidR="008163B6" w:rsidRDefault="00F709BD">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0933EDC4" w14:textId="77777777" w:rsidR="008163B6" w:rsidRDefault="00F709BD">
            <w:pPr>
              <w:pStyle w:val="TableText"/>
            </w:pPr>
            <w:r>
              <w:t>Negligible risk</w:t>
            </w:r>
          </w:p>
        </w:tc>
        <w:tc>
          <w:tcPr>
            <w:tcW w:w="709"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8352A08" w14:textId="77777777" w:rsidR="008163B6" w:rsidRDefault="00F709BD">
            <w:pPr>
              <w:pStyle w:val="TableText"/>
            </w:pPr>
            <w:r>
              <w:t>Negligible risk</w:t>
            </w:r>
          </w:p>
        </w:tc>
        <w:tc>
          <w:tcPr>
            <w:tcW w:w="709" w:type="pct"/>
            <w:tcBorders>
              <w:top w:val="single" w:sz="8" w:space="0" w:color="C0C0C0"/>
              <w:left w:val="single" w:sz="8" w:space="0" w:color="C0C0C0"/>
              <w:bottom w:val="single" w:sz="4" w:space="0" w:color="auto"/>
              <w:right w:val="single" w:sz="4" w:space="0" w:color="auto"/>
            </w:tcBorders>
            <w:shd w:val="clear" w:color="auto" w:fill="000000"/>
          </w:tcPr>
          <w:p w14:paraId="1A9A46BB" w14:textId="77777777" w:rsidR="008163B6" w:rsidRDefault="00F709BD">
            <w:pPr>
              <w:pStyle w:val="TableText"/>
              <w:rPr>
                <w:color w:val="FFFFFF"/>
              </w:rPr>
            </w:pPr>
            <w:r>
              <w:rPr>
                <w:color w:val="FFFFFF"/>
              </w:rPr>
              <w:t>Very low risk</w:t>
            </w:r>
          </w:p>
        </w:tc>
      </w:tr>
    </w:tbl>
    <w:p w14:paraId="0932218B" w14:textId="68634BE3" w:rsidR="008163B6" w:rsidRDefault="006D1F00">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66" w:name="_Toc447540784"/>
      <w:r>
        <w:rPr>
          <w:rFonts w:ascii="Calibri" w:hAnsi="Calibri" w:cstheme="minorBidi"/>
          <w:sz w:val="24"/>
          <w:szCs w:val="22"/>
        </w:rPr>
        <w:t>Australia’s A</w:t>
      </w:r>
      <w:r w:rsidR="00F709BD">
        <w:rPr>
          <w:rFonts w:ascii="Calibri" w:hAnsi="Calibri" w:cstheme="minorBidi"/>
          <w:sz w:val="24"/>
          <w:szCs w:val="22"/>
        </w:rPr>
        <w:t xml:space="preserve">ppropriate </w:t>
      </w:r>
      <w:r>
        <w:rPr>
          <w:rFonts w:ascii="Calibri" w:hAnsi="Calibri" w:cstheme="minorBidi"/>
          <w:sz w:val="24"/>
          <w:szCs w:val="22"/>
        </w:rPr>
        <w:t>Level of P</w:t>
      </w:r>
      <w:r w:rsidR="00F709BD">
        <w:rPr>
          <w:rFonts w:ascii="Calibri" w:hAnsi="Calibri" w:cstheme="minorBidi"/>
          <w:sz w:val="24"/>
          <w:szCs w:val="22"/>
        </w:rPr>
        <w:t>rotection</w:t>
      </w:r>
      <w:bookmarkEnd w:id="166"/>
      <w:r w:rsidR="00F709BD">
        <w:rPr>
          <w:rFonts w:ascii="Calibri" w:hAnsi="Calibri" w:cstheme="minorBidi"/>
          <w:sz w:val="24"/>
          <w:szCs w:val="22"/>
        </w:rPr>
        <w:t xml:space="preserve"> </w:t>
      </w:r>
    </w:p>
    <w:p w14:paraId="633D77A2" w14:textId="52D1CD58" w:rsidR="008163B6" w:rsidRDefault="00F709BD" w:rsidP="006F4BBD">
      <w:pPr>
        <w:spacing w:before="120" w:after="120" w:line="276" w:lineRule="auto"/>
        <w:rPr>
          <w:rFonts w:ascii="Cambria" w:hAnsi="Cambria"/>
        </w:rPr>
      </w:pPr>
      <w:r>
        <w:rPr>
          <w:rFonts w:ascii="Cambria" w:hAnsi="Cambria"/>
        </w:rPr>
        <w:t xml:space="preserve">The SPS Agreement defines the concept of an ‘appropriate level of sanitary or phytosanitary protection (ALOP)’ as the level of protection deemed appropriate by </w:t>
      </w:r>
      <w:r w:rsidR="007C710C">
        <w:rPr>
          <w:rFonts w:ascii="Cambria" w:hAnsi="Cambria"/>
        </w:rPr>
        <w:t xml:space="preserve">a </w:t>
      </w:r>
      <w:r>
        <w:rPr>
          <w:rFonts w:ascii="Cambria" w:hAnsi="Cambria"/>
        </w:rPr>
        <w:t>WTO Member establishing a sanitary or phytosanitary measure to protect human, animal or plant life or health within its territory</w:t>
      </w:r>
      <w:r w:rsidR="007C710C">
        <w:rPr>
          <w:rFonts w:ascii="Cambria" w:hAnsi="Cambria"/>
        </w:rPr>
        <w:t xml:space="preserve"> (WTO 1995)</w:t>
      </w:r>
      <w:r>
        <w:rPr>
          <w:rFonts w:ascii="Cambria" w:hAnsi="Cambria"/>
        </w:rPr>
        <w:t>.</w:t>
      </w:r>
    </w:p>
    <w:p w14:paraId="48236D26" w14:textId="77777777" w:rsidR="008163B6" w:rsidRDefault="00F709BD" w:rsidP="006F4BBD">
      <w:pPr>
        <w:spacing w:before="120" w:after="120" w:line="276" w:lineRule="auto"/>
        <w:rPr>
          <w:rFonts w:ascii="Cambria" w:hAnsi="Cambria"/>
        </w:rPr>
      </w:pPr>
      <w:r>
        <w:rPr>
          <w:rFonts w:ascii="Cambria" w:hAnsi="Cambria"/>
        </w:rPr>
        <w:t>Like many other countries, Australia expresses its ALOP in qualitative terms. Australia’s ALOP, which reflects community expectations through government policy, is currently expressed as providing a high level of sanitary or phytosanitary protection aimed at reducing risk to a very low level, but not to zero. The band of cells in Table 5 marked ‘very low risk’ represents Australia’s ALOP.</w:t>
      </w:r>
    </w:p>
    <w:p w14:paraId="121F28D8"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167" w:name="_Toc447540785"/>
      <w:r>
        <w:rPr>
          <w:rFonts w:eastAsiaTheme="majorEastAsia" w:cstheme="majorBidi"/>
          <w:color w:val="773141"/>
          <w:sz w:val="28"/>
        </w:rPr>
        <w:t>Stage 3: Pest risk management</w:t>
      </w:r>
      <w:bookmarkEnd w:id="167"/>
    </w:p>
    <w:p w14:paraId="506E985F" w14:textId="77777777" w:rsidR="008163B6" w:rsidRDefault="00F709BD" w:rsidP="006F4BBD">
      <w:pPr>
        <w:spacing w:before="120" w:after="120" w:line="276" w:lineRule="auto"/>
        <w:rPr>
          <w:rFonts w:ascii="Cambria" w:hAnsi="Cambria"/>
        </w:rPr>
      </w:pPr>
      <w:r>
        <w:rPr>
          <w:rFonts w:ascii="Cambria" w:hAnsi="Cambria"/>
        </w:rPr>
        <w:t xml:space="preserve">Pest risk management evaluates and selects risk management options to reduce the risk of entry, establishment or spread of identified pests for the identified import pathways. </w:t>
      </w:r>
      <w:r>
        <w:rPr>
          <w:rFonts w:ascii="Cambria" w:hAnsi="Cambria"/>
          <w:bCs/>
        </w:rPr>
        <w:t>To effectively prevent the introduction of pests associated with an identified pathway, a series of important safeguards, conditions or phytosanitary measures must be in place. P</w:t>
      </w:r>
      <w:r>
        <w:rPr>
          <w:rFonts w:ascii="Cambria" w:hAnsi="Cambria"/>
        </w:rPr>
        <w:t>ropagative material represents a direct pathway for pests identified by the pest categorisation. This pathway is direct since the end-use is the planting of a known host plant.</w:t>
      </w:r>
    </w:p>
    <w:p w14:paraId="3DD84D4D"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168" w:name="_Toc293921817"/>
      <w:bookmarkStart w:id="169" w:name="_Toc354738074"/>
      <w:bookmarkStart w:id="170" w:name="_Toc447540786"/>
      <w:r>
        <w:rPr>
          <w:rFonts w:ascii="Calibri" w:hAnsi="Calibri" w:cstheme="minorBidi"/>
          <w:sz w:val="24"/>
          <w:szCs w:val="22"/>
        </w:rPr>
        <w:t>Identification and selection of appropriate risk management options</w:t>
      </w:r>
      <w:bookmarkEnd w:id="168"/>
      <w:bookmarkEnd w:id="169"/>
      <w:bookmarkEnd w:id="170"/>
    </w:p>
    <w:p w14:paraId="2E1A662E" w14:textId="55BF8E45" w:rsidR="008163B6" w:rsidRDefault="00F709BD" w:rsidP="006F4BBD">
      <w:pPr>
        <w:pStyle w:val="AQISText"/>
        <w:spacing w:before="120" w:after="120" w:line="276" w:lineRule="auto"/>
        <w:contextualSpacing/>
        <w:jc w:val="left"/>
        <w:rPr>
          <w:rFonts w:ascii="Cambria" w:hAnsi="Cambria"/>
          <w:szCs w:val="22"/>
        </w:rPr>
      </w:pPr>
      <w:r>
        <w:rPr>
          <w:rFonts w:ascii="Cambria" w:hAnsi="Cambria"/>
          <w:szCs w:val="22"/>
        </w:rPr>
        <w:t>Phytosanitary measures to prevent the establishment and spread of quarantine pests may include any combination of measures, including pre- or post-harvest treatments, inspection at various points between production and final distribution, surveillance, official control, documentation or certification. A measure or combination of measures may be applied at any one or more points along the continuum between the point of origin and the final destination. Pest risk management explores options that can be implemented (</w:t>
      </w:r>
      <w:proofErr w:type="spellStart"/>
      <w:r>
        <w:rPr>
          <w:rFonts w:ascii="Cambria" w:hAnsi="Cambria"/>
          <w:szCs w:val="22"/>
        </w:rPr>
        <w:t>i</w:t>
      </w:r>
      <w:proofErr w:type="spellEnd"/>
      <w:r>
        <w:rPr>
          <w:rFonts w:ascii="Cambria" w:hAnsi="Cambria"/>
          <w:szCs w:val="22"/>
        </w:rPr>
        <w:t>) in the exporting country, (ii) at the point of entry or (iii) within the importing country. The ultimate goal is to protect plants and prevent the introduction of identified quarantine pests.</w:t>
      </w:r>
    </w:p>
    <w:p w14:paraId="7B09ACBD" w14:textId="77777777" w:rsidR="00376F83" w:rsidRPr="00376F83" w:rsidRDefault="00376F83" w:rsidP="006F4BBD">
      <w:pPr>
        <w:pStyle w:val="AQISText"/>
        <w:spacing w:before="120" w:after="120" w:line="276" w:lineRule="auto"/>
        <w:contextualSpacing/>
        <w:jc w:val="left"/>
        <w:rPr>
          <w:rFonts w:ascii="Cambria" w:hAnsi="Cambria"/>
          <w:sz w:val="10"/>
          <w:szCs w:val="10"/>
        </w:rPr>
      </w:pPr>
    </w:p>
    <w:p w14:paraId="45CEB912" w14:textId="77777777" w:rsidR="008163B6" w:rsidRDefault="00F709BD" w:rsidP="006F4BBD">
      <w:pPr>
        <w:pStyle w:val="AQISText"/>
        <w:spacing w:before="120" w:after="120" w:line="276" w:lineRule="auto"/>
        <w:contextualSpacing/>
        <w:jc w:val="left"/>
        <w:rPr>
          <w:rFonts w:ascii="Cambria" w:hAnsi="Cambria"/>
          <w:szCs w:val="22"/>
        </w:rPr>
      </w:pPr>
      <w:r>
        <w:rPr>
          <w:rFonts w:ascii="Cambria" w:hAnsi="Cambria"/>
          <w:szCs w:val="22"/>
        </w:rPr>
        <w:t>Examples of phytosanitary measures which may be applied to propagative material consignments include:</w:t>
      </w:r>
    </w:p>
    <w:p w14:paraId="269EB085" w14:textId="49F72A1E"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 xml:space="preserve">Import from pest free areas only </w:t>
      </w:r>
      <w:r>
        <w:rPr>
          <w:rFonts w:ascii="Cambria" w:hAnsi="Cambria"/>
        </w:rPr>
        <w:t>(</w:t>
      </w:r>
      <w:r>
        <w:rPr>
          <w:rFonts w:ascii="Cambria" w:hAnsi="Cambria"/>
          <w:b/>
        </w:rPr>
        <w:t>ISPM</w:t>
      </w:r>
      <w:r w:rsidR="00376F83">
        <w:rPr>
          <w:rFonts w:ascii="Cambria" w:hAnsi="Cambria"/>
          <w:b/>
        </w:rPr>
        <w:t xml:space="preserve"> </w:t>
      </w:r>
      <w:r w:rsidR="003B1EF1">
        <w:rPr>
          <w:rFonts w:ascii="Cambria" w:hAnsi="Cambria"/>
          <w:b/>
        </w:rPr>
        <w:t xml:space="preserve">No. </w:t>
      </w:r>
      <w:r>
        <w:rPr>
          <w:rFonts w:ascii="Cambria" w:hAnsi="Cambria"/>
          <w:b/>
        </w:rPr>
        <w:t>4</w:t>
      </w:r>
      <w:r>
        <w:rPr>
          <w:rFonts w:ascii="Cambria" w:hAnsi="Cambria"/>
        </w:rPr>
        <w:t>)—the establishment and use of a pest free area by a National Plant Protection Organisation (NPPO) provides for the export of plants from the exporting country to the importing country without the need for application of additional phytosanitary measures when certain requirements are met.</w:t>
      </w:r>
    </w:p>
    <w:p w14:paraId="30E6B502"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Inspections or testing for freedom from regulated pests</w:t>
      </w:r>
      <w:r>
        <w:rPr>
          <w:rFonts w:ascii="Cambria" w:hAnsi="Cambria"/>
        </w:rPr>
        <w:t>—this is a practical measure for visible pests or for pests which produce visible symptoms on plants.</w:t>
      </w:r>
    </w:p>
    <w:p w14:paraId="1DBAEDA3" w14:textId="2A17A933"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Inspection and certification</w:t>
      </w:r>
      <w:r>
        <w:rPr>
          <w:rFonts w:ascii="Cambria" w:hAnsi="Cambria"/>
        </w:rPr>
        <w:t xml:space="preserve"> (</w:t>
      </w:r>
      <w:r>
        <w:rPr>
          <w:rFonts w:ascii="Cambria" w:hAnsi="Cambria"/>
          <w:b/>
        </w:rPr>
        <w:t>ISPM</w:t>
      </w:r>
      <w:r w:rsidR="00376F83">
        <w:rPr>
          <w:rFonts w:ascii="Cambria" w:hAnsi="Cambria"/>
          <w:b/>
        </w:rPr>
        <w:t xml:space="preserve"> </w:t>
      </w:r>
      <w:r w:rsidR="003B1EF1">
        <w:rPr>
          <w:rFonts w:ascii="Cambria" w:hAnsi="Cambria"/>
          <w:b/>
        </w:rPr>
        <w:t xml:space="preserve">No. </w:t>
      </w:r>
      <w:r>
        <w:rPr>
          <w:rFonts w:ascii="Cambria" w:hAnsi="Cambria"/>
          <w:b/>
        </w:rPr>
        <w:t>7, 12, 23</w:t>
      </w:r>
      <w:r>
        <w:rPr>
          <w:rFonts w:ascii="Cambria" w:hAnsi="Cambria"/>
        </w:rPr>
        <w:t>)—the exporting country may be asked to inspect the shipment and certify that the shipment is free from regulated pests before export.</w:t>
      </w:r>
    </w:p>
    <w:p w14:paraId="273B4CE0"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Specified conditions for preparation of the consignment</w:t>
      </w:r>
      <w:r>
        <w:rPr>
          <w:rFonts w:ascii="Cambria" w:hAnsi="Cambria"/>
        </w:rPr>
        <w:t>—the importing country may specify steps that must be followed in order to prepare the consignment for shipment. These conditions can include the requirement for plants to be produced from appropriately tested parent material.</w:t>
      </w:r>
    </w:p>
    <w:p w14:paraId="2900EBDE"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Pre-entry or post-entry quarantine</w:t>
      </w:r>
      <w:r>
        <w:rPr>
          <w:rFonts w:ascii="Cambria" w:hAnsi="Cambria"/>
        </w:rPr>
        <w:t>—the importing country may define certain control conditions, inspection and possible treatment of shipments upon their entry into the country. Post-entry quarantine (PEQ) of dormant cuttings, seed and even tissue cultures (</w:t>
      </w:r>
      <w:r>
        <w:rPr>
          <w:rFonts w:ascii="Cambria" w:hAnsi="Cambria"/>
          <w:i/>
        </w:rPr>
        <w:t>in vitro</w:t>
      </w:r>
      <w:r>
        <w:rPr>
          <w:rFonts w:ascii="Cambria" w:hAnsi="Cambria"/>
        </w:rPr>
        <w:t xml:space="preserve"> plantlets) can help avoid the introduction of new viruses or allied pathogens into the importing countries.</w:t>
      </w:r>
    </w:p>
    <w:p w14:paraId="236569DC" w14:textId="77777777" w:rsidR="008163B6" w:rsidRDefault="00F709BD" w:rsidP="006F4BBD">
      <w:pPr>
        <w:pStyle w:val="ListBullet"/>
        <w:tabs>
          <w:tab w:val="clear" w:pos="360"/>
          <w:tab w:val="num" w:pos="284"/>
        </w:tabs>
        <w:spacing w:line="276" w:lineRule="auto"/>
        <w:ind w:left="284" w:hanging="284"/>
        <w:contextualSpacing/>
        <w:rPr>
          <w:rFonts w:ascii="Cambria" w:hAnsi="Cambria"/>
        </w:rPr>
      </w:pPr>
      <w:r>
        <w:rPr>
          <w:rFonts w:ascii="Cambria" w:hAnsi="Cambria"/>
          <w:b/>
        </w:rPr>
        <w:t>Removal of the pest from the consignment by treatment or other methods</w:t>
      </w:r>
      <w:r>
        <w:rPr>
          <w:rFonts w:ascii="Cambria" w:hAnsi="Cambria"/>
        </w:rPr>
        <w:t>—the importing country may specify chemical or physical treatments that must be applied to the consignment before it may be imported.</w:t>
      </w:r>
    </w:p>
    <w:p w14:paraId="049AD7F8" w14:textId="77777777" w:rsidR="008163B6" w:rsidRDefault="00F709BD" w:rsidP="006F4BBD">
      <w:pPr>
        <w:pStyle w:val="AQISText"/>
        <w:spacing w:before="120" w:after="120" w:line="276" w:lineRule="auto"/>
        <w:contextualSpacing/>
        <w:jc w:val="left"/>
        <w:rPr>
          <w:rFonts w:ascii="Cambria" w:hAnsi="Cambria"/>
          <w:szCs w:val="22"/>
        </w:rPr>
      </w:pPr>
      <w:r>
        <w:rPr>
          <w:rFonts w:ascii="Cambria" w:hAnsi="Cambria"/>
          <w:szCs w:val="22"/>
        </w:rPr>
        <w:t>Measures can range from total prohibition to permitting imports subject to visual inspection. In some cases, more than one phytosanitary measure may be required in order to reduce the pest risk to an acceptable level.</w:t>
      </w:r>
    </w:p>
    <w:p w14:paraId="435BFDAA" w14:textId="77777777" w:rsidR="008163B6" w:rsidRDefault="008163B6">
      <w:pPr>
        <w:pStyle w:val="AQISText"/>
        <w:spacing w:before="200" w:line="276" w:lineRule="auto"/>
        <w:jc w:val="left"/>
      </w:pPr>
    </w:p>
    <w:p w14:paraId="3B1F41EB" w14:textId="77777777" w:rsidR="008163B6" w:rsidRDefault="008163B6">
      <w:pPr>
        <w:pStyle w:val="Heading1Numbered"/>
        <w:sectPr w:rsidR="008163B6">
          <w:headerReference w:type="default" r:id="rId32"/>
          <w:pgSz w:w="11906" w:h="16838"/>
          <w:pgMar w:top="1418" w:right="1418" w:bottom="1418" w:left="1418" w:header="567" w:footer="283" w:gutter="0"/>
          <w:cols w:space="708"/>
          <w:docGrid w:linePitch="360"/>
        </w:sectPr>
      </w:pPr>
      <w:bookmarkStart w:id="171" w:name="_Toc384279550"/>
    </w:p>
    <w:p w14:paraId="3930A213" w14:textId="77777777" w:rsidR="008163B6" w:rsidRDefault="00F709BD">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172" w:name="_Toc447540787"/>
      <w:r>
        <w:rPr>
          <w:rFonts w:eastAsiaTheme="majorEastAsia" w:cstheme="majorBidi"/>
          <w:b/>
          <w:color w:val="D52B1E"/>
          <w:sz w:val="34"/>
        </w:rPr>
        <w:t>The pathogen</w:t>
      </w:r>
      <w:bookmarkEnd w:id="171"/>
      <w:bookmarkEnd w:id="172"/>
    </w:p>
    <w:p w14:paraId="19C6743E" w14:textId="62CF26FC" w:rsidR="008163B6" w:rsidRPr="00B64E5E" w:rsidRDefault="008163B6" w:rsidP="00962111">
      <w:pPr>
        <w:spacing w:before="120" w:after="120" w:line="276" w:lineRule="auto"/>
        <w:rPr>
          <w:rFonts w:ascii="Cambria" w:hAnsi="Cambria"/>
        </w:rPr>
      </w:pPr>
      <w:r w:rsidRPr="00B64E5E">
        <w:rPr>
          <w:rFonts w:ascii="Cambria" w:hAnsi="Cambria"/>
          <w:i/>
        </w:rPr>
        <w:t>Cucumber green mottle mosaic virus</w:t>
      </w:r>
      <w:r w:rsidRPr="00B64E5E">
        <w:rPr>
          <w:rFonts w:ascii="Cambria" w:hAnsi="Cambria"/>
        </w:rPr>
        <w:t xml:space="preserve"> (CGMMV) belongs to the genus </w:t>
      </w:r>
      <w:proofErr w:type="spellStart"/>
      <w:r w:rsidRPr="00B64E5E">
        <w:rPr>
          <w:rFonts w:ascii="Cambria" w:hAnsi="Cambria"/>
          <w:i/>
        </w:rPr>
        <w:t>Tobamovirus</w:t>
      </w:r>
      <w:proofErr w:type="spellEnd"/>
      <w:r w:rsidRPr="00B64E5E">
        <w:rPr>
          <w:rFonts w:ascii="Cambria" w:hAnsi="Cambria"/>
        </w:rPr>
        <w:t xml:space="preserve"> in the family </w:t>
      </w:r>
      <w:proofErr w:type="spellStart"/>
      <w:r w:rsidRPr="00B73BB5">
        <w:rPr>
          <w:rFonts w:ascii="Cambria" w:hAnsi="Cambria"/>
          <w:i/>
        </w:rPr>
        <w:t>Virgaviridae</w:t>
      </w:r>
      <w:proofErr w:type="spellEnd"/>
      <w:r w:rsidRPr="00B64E5E">
        <w:rPr>
          <w:rFonts w:ascii="Cambria" w:hAnsi="Cambria"/>
        </w:rPr>
        <w:t xml:space="preserve"> (Adams et al. 2009). The viruses in </w:t>
      </w:r>
      <w:r w:rsidR="00F709BD" w:rsidRPr="00B64E5E">
        <w:rPr>
          <w:rFonts w:ascii="Cambria" w:hAnsi="Cambria"/>
        </w:rPr>
        <w:t xml:space="preserve">the genus </w:t>
      </w:r>
      <w:proofErr w:type="spellStart"/>
      <w:r w:rsidR="00F709BD" w:rsidRPr="00B64E5E">
        <w:rPr>
          <w:rFonts w:ascii="Cambria" w:hAnsi="Cambria"/>
          <w:i/>
        </w:rPr>
        <w:t>Tobamovirus</w:t>
      </w:r>
      <w:proofErr w:type="spellEnd"/>
      <w:r w:rsidRPr="00B64E5E">
        <w:rPr>
          <w:rFonts w:ascii="Cambria" w:hAnsi="Cambria"/>
          <w:i/>
        </w:rPr>
        <w:t xml:space="preserve"> </w:t>
      </w:r>
      <w:r w:rsidRPr="00B64E5E">
        <w:rPr>
          <w:rFonts w:ascii="Cambria" w:hAnsi="Cambria"/>
        </w:rPr>
        <w:t>have a positive-sense RNA genome and rod-shaped virions (Gibbs 1986; Lewandowski 2000).</w:t>
      </w:r>
      <w:r w:rsidR="00F709BD" w:rsidRPr="00B64E5E">
        <w:rPr>
          <w:rFonts w:ascii="Cambria" w:hAnsi="Cambria"/>
        </w:rPr>
        <w:t xml:space="preserve"> CGMMV was first described in the 1930’s in cucumber and was named </w:t>
      </w:r>
      <w:r w:rsidR="00F709BD" w:rsidRPr="00B64E5E">
        <w:rPr>
          <w:rFonts w:ascii="Cambria" w:hAnsi="Cambria"/>
          <w:i/>
        </w:rPr>
        <w:t>Cucumber virus 3</w:t>
      </w:r>
      <w:r w:rsidR="00F709BD" w:rsidRPr="00B64E5E">
        <w:rPr>
          <w:rFonts w:ascii="Cambria" w:hAnsi="Cambria"/>
        </w:rPr>
        <w:t xml:space="preserve"> and </w:t>
      </w:r>
      <w:r w:rsidR="00F709BD" w:rsidRPr="00B64E5E">
        <w:rPr>
          <w:rFonts w:ascii="Cambria" w:hAnsi="Cambria"/>
          <w:i/>
        </w:rPr>
        <w:t>Cucumber virus 4</w:t>
      </w:r>
      <w:r w:rsidR="00F709BD" w:rsidRPr="00B64E5E">
        <w:rPr>
          <w:rFonts w:ascii="Cambria" w:hAnsi="Cambria"/>
        </w:rPr>
        <w:t xml:space="preserve"> (Ainsworth 1935; </w:t>
      </w:r>
      <w:proofErr w:type="spellStart"/>
      <w:r w:rsidR="00F709BD" w:rsidRPr="00B64E5E">
        <w:rPr>
          <w:rFonts w:ascii="Cambria" w:hAnsi="Cambria"/>
        </w:rPr>
        <w:t>Ugaki</w:t>
      </w:r>
      <w:proofErr w:type="spellEnd"/>
      <w:r w:rsidR="00F709BD" w:rsidRPr="00B64E5E">
        <w:rPr>
          <w:rFonts w:ascii="Cambria" w:hAnsi="Cambria"/>
        </w:rPr>
        <w:t xml:space="preserve"> et al. 1991). CGMMV is rod-shaped (</w:t>
      </w:r>
      <w:proofErr w:type="spellStart"/>
      <w:r w:rsidR="00F709BD" w:rsidRPr="00B64E5E">
        <w:rPr>
          <w:rFonts w:ascii="Cambria" w:hAnsi="Cambria"/>
        </w:rPr>
        <w:t>Lecoq</w:t>
      </w:r>
      <w:proofErr w:type="spellEnd"/>
      <w:r w:rsidR="00F709BD" w:rsidRPr="00B64E5E">
        <w:rPr>
          <w:rFonts w:ascii="Cambria" w:hAnsi="Cambria"/>
        </w:rPr>
        <w:t xml:space="preserve"> &amp; </w:t>
      </w:r>
      <w:proofErr w:type="spellStart"/>
      <w:r w:rsidR="00F709BD" w:rsidRPr="00B64E5E">
        <w:rPr>
          <w:rFonts w:ascii="Cambria" w:hAnsi="Cambria"/>
        </w:rPr>
        <w:t>Desbiez</w:t>
      </w:r>
      <w:proofErr w:type="spellEnd"/>
      <w:r w:rsidR="00F709BD" w:rsidRPr="00B64E5E">
        <w:rPr>
          <w:rFonts w:ascii="Cambria" w:hAnsi="Cambria"/>
        </w:rPr>
        <w:t xml:space="preserve"> 2012) and has single-stranded RNA (Hollings et al. 1975).</w:t>
      </w:r>
    </w:p>
    <w:p w14:paraId="6D6630FB" w14:textId="287494CE" w:rsidR="008163B6" w:rsidRPr="00B64E5E" w:rsidRDefault="00F709BD" w:rsidP="00962111">
      <w:pPr>
        <w:spacing w:before="120" w:after="120" w:line="276" w:lineRule="auto"/>
        <w:rPr>
          <w:rFonts w:ascii="Cambria" w:hAnsi="Cambria"/>
          <w:bCs/>
        </w:rPr>
      </w:pPr>
      <w:r w:rsidRPr="00B64E5E">
        <w:rPr>
          <w:rFonts w:ascii="Cambria" w:hAnsi="Cambria"/>
          <w:bCs/>
        </w:rPr>
        <w:t xml:space="preserve">Many strains and isolates of CGMMV have been reported in the literature. Different authors have described CGMMV strains based on geographic distribution, host range, symptoms on natural host plants, serological methods, </w:t>
      </w:r>
      <w:proofErr w:type="gramStart"/>
      <w:r w:rsidRPr="00B64E5E">
        <w:rPr>
          <w:rFonts w:ascii="Cambria" w:hAnsi="Cambria"/>
          <w:bCs/>
        </w:rPr>
        <w:t>molecular</w:t>
      </w:r>
      <w:proofErr w:type="gramEnd"/>
      <w:r w:rsidRPr="00B64E5E">
        <w:rPr>
          <w:rFonts w:ascii="Cambria" w:hAnsi="Cambria"/>
          <w:bCs/>
        </w:rPr>
        <w:t xml:space="preserve"> methods or by differential responses on indicator plants such as </w:t>
      </w:r>
      <w:proofErr w:type="spellStart"/>
      <w:r w:rsidRPr="00B64E5E">
        <w:rPr>
          <w:rFonts w:ascii="Cambria" w:hAnsi="Cambria"/>
          <w:bCs/>
          <w:i/>
        </w:rPr>
        <w:t>Chenopodium</w:t>
      </w:r>
      <w:proofErr w:type="spellEnd"/>
      <w:r w:rsidRPr="00B64E5E">
        <w:rPr>
          <w:rFonts w:ascii="Cambria" w:hAnsi="Cambria"/>
          <w:bCs/>
          <w:i/>
        </w:rPr>
        <w:t xml:space="preserve"> </w:t>
      </w:r>
      <w:proofErr w:type="spellStart"/>
      <w:r w:rsidRPr="00B64E5E">
        <w:rPr>
          <w:rFonts w:ascii="Cambria" w:hAnsi="Cambria"/>
          <w:bCs/>
          <w:i/>
        </w:rPr>
        <w:t>amaranticolor</w:t>
      </w:r>
      <w:proofErr w:type="spellEnd"/>
      <w:r w:rsidRPr="00B64E5E">
        <w:rPr>
          <w:rFonts w:ascii="Cambria" w:hAnsi="Cambria"/>
          <w:bCs/>
        </w:rPr>
        <w:t xml:space="preserve"> and </w:t>
      </w:r>
      <w:r w:rsidRPr="00B64E5E">
        <w:rPr>
          <w:rFonts w:ascii="Cambria" w:hAnsi="Cambria"/>
          <w:bCs/>
          <w:i/>
        </w:rPr>
        <w:t xml:space="preserve">Datura </w:t>
      </w:r>
      <w:proofErr w:type="spellStart"/>
      <w:r w:rsidRPr="00B64E5E">
        <w:rPr>
          <w:rFonts w:ascii="Cambria" w:hAnsi="Cambria"/>
          <w:bCs/>
          <w:i/>
        </w:rPr>
        <w:t>stramonium</w:t>
      </w:r>
      <w:proofErr w:type="spellEnd"/>
      <w:r w:rsidRPr="00B64E5E">
        <w:rPr>
          <w:rFonts w:ascii="Cambria" w:hAnsi="Cambria"/>
          <w:bCs/>
        </w:rPr>
        <w:t xml:space="preserve"> (Hollings et al. 1975; </w:t>
      </w:r>
      <w:proofErr w:type="spellStart"/>
      <w:r w:rsidRPr="00B64E5E">
        <w:rPr>
          <w:rFonts w:ascii="Cambria" w:hAnsi="Cambria"/>
          <w:bCs/>
        </w:rPr>
        <w:t>Antignus</w:t>
      </w:r>
      <w:proofErr w:type="spellEnd"/>
      <w:r w:rsidRPr="00B64E5E">
        <w:rPr>
          <w:rFonts w:ascii="Cambria" w:hAnsi="Cambria"/>
          <w:bCs/>
        </w:rPr>
        <w:t xml:space="preserve"> et al. 2001; </w:t>
      </w:r>
      <w:proofErr w:type="spellStart"/>
      <w:r w:rsidRPr="00B64E5E">
        <w:rPr>
          <w:rFonts w:ascii="Cambria" w:hAnsi="Cambria"/>
          <w:bCs/>
        </w:rPr>
        <w:t>Boubourakis</w:t>
      </w:r>
      <w:proofErr w:type="spellEnd"/>
      <w:r w:rsidRPr="00B64E5E">
        <w:rPr>
          <w:rFonts w:ascii="Cambria" w:hAnsi="Cambria"/>
          <w:bCs/>
        </w:rPr>
        <w:t xml:space="preserve"> et al. 2015). Some isolates formerly classified as strains of CGMMV are now accepted to be a separate virus species; for instance, </w:t>
      </w:r>
      <w:proofErr w:type="spellStart"/>
      <w:r w:rsidRPr="00B64E5E">
        <w:rPr>
          <w:rFonts w:ascii="Cambria" w:hAnsi="Cambria"/>
          <w:bCs/>
        </w:rPr>
        <w:t>Yodo</w:t>
      </w:r>
      <w:proofErr w:type="spellEnd"/>
      <w:r w:rsidRPr="00B64E5E">
        <w:rPr>
          <w:rFonts w:ascii="Cambria" w:hAnsi="Cambria"/>
          <w:bCs/>
        </w:rPr>
        <w:t xml:space="preserve"> strain (CGMMV-Y) and Cucumber strain (CGMMV-C or CGMMV-Cu) were previously considered to be strains of CGMMV but are now considered to be strains of </w:t>
      </w:r>
      <w:proofErr w:type="spellStart"/>
      <w:r w:rsidRPr="00B64E5E">
        <w:rPr>
          <w:rFonts w:ascii="Cambria" w:hAnsi="Cambria"/>
          <w:bCs/>
          <w:i/>
        </w:rPr>
        <w:t>Kyuri</w:t>
      </w:r>
      <w:proofErr w:type="spellEnd"/>
      <w:r w:rsidRPr="00B64E5E">
        <w:rPr>
          <w:rFonts w:ascii="Cambria" w:hAnsi="Cambria"/>
          <w:bCs/>
          <w:i/>
        </w:rPr>
        <w:t xml:space="preserve"> green mottle mosaic virus</w:t>
      </w:r>
      <w:r w:rsidRPr="00B64E5E">
        <w:rPr>
          <w:rFonts w:ascii="Cambria" w:hAnsi="Cambria"/>
          <w:bCs/>
        </w:rPr>
        <w:t xml:space="preserve"> (KGMMV) (</w:t>
      </w:r>
      <w:proofErr w:type="spellStart"/>
      <w:r w:rsidRPr="00B64E5E">
        <w:rPr>
          <w:rFonts w:ascii="Cambria" w:hAnsi="Cambria"/>
          <w:bCs/>
        </w:rPr>
        <w:t>Antignus</w:t>
      </w:r>
      <w:proofErr w:type="spellEnd"/>
      <w:r w:rsidRPr="00B64E5E">
        <w:rPr>
          <w:rFonts w:ascii="Cambria" w:hAnsi="Cambria"/>
          <w:bCs/>
        </w:rPr>
        <w:t xml:space="preserve"> </w:t>
      </w:r>
      <w:r w:rsidR="008163B6" w:rsidRPr="00B64E5E">
        <w:rPr>
          <w:rFonts w:ascii="Cambria" w:hAnsi="Cambria"/>
          <w:bCs/>
        </w:rPr>
        <w:t>et al</w:t>
      </w:r>
      <w:r w:rsidRPr="00B64E5E">
        <w:rPr>
          <w:rFonts w:ascii="Cambria" w:hAnsi="Cambria"/>
          <w:bCs/>
        </w:rPr>
        <w:t xml:space="preserve">. 2001; </w:t>
      </w:r>
      <w:proofErr w:type="spellStart"/>
      <w:r w:rsidRPr="00B64E5E">
        <w:rPr>
          <w:rFonts w:ascii="Cambria" w:hAnsi="Cambria"/>
          <w:bCs/>
        </w:rPr>
        <w:t>Varveri</w:t>
      </w:r>
      <w:proofErr w:type="spellEnd"/>
      <w:r w:rsidRPr="00B64E5E">
        <w:rPr>
          <w:rFonts w:ascii="Cambria" w:hAnsi="Cambria"/>
          <w:bCs/>
        </w:rPr>
        <w:t xml:space="preserve"> </w:t>
      </w:r>
      <w:r w:rsidR="008163B6" w:rsidRPr="00B64E5E">
        <w:rPr>
          <w:rFonts w:ascii="Cambria" w:hAnsi="Cambria"/>
          <w:bCs/>
        </w:rPr>
        <w:t>et al</w:t>
      </w:r>
      <w:r w:rsidRPr="00B64E5E">
        <w:rPr>
          <w:rFonts w:ascii="Cambria" w:hAnsi="Cambria"/>
          <w:bCs/>
        </w:rPr>
        <w:t xml:space="preserve">. 2002). Currently, all strains and isolates of CGMMV are </w:t>
      </w:r>
      <w:r w:rsidR="00893CD7">
        <w:rPr>
          <w:rFonts w:ascii="Cambria" w:hAnsi="Cambria"/>
          <w:bCs/>
        </w:rPr>
        <w:t>either absent from Australia or have a limited distribution in Australia and are under official control.</w:t>
      </w:r>
      <w:r w:rsidRPr="00B64E5E">
        <w:rPr>
          <w:rFonts w:ascii="Cambria" w:hAnsi="Cambria"/>
          <w:bCs/>
        </w:rPr>
        <w:t xml:space="preserve"> Therefore, this risk analysis considers CGMMV as a quarantine pest at the species level.</w:t>
      </w:r>
    </w:p>
    <w:p w14:paraId="047211D0" w14:textId="77777777" w:rsidR="008163B6" w:rsidRPr="008163B6" w:rsidRDefault="008163B6" w:rsidP="008163B6">
      <w:pPr>
        <w:pStyle w:val="Heading2"/>
        <w:numPr>
          <w:ilvl w:val="1"/>
          <w:numId w:val="21"/>
        </w:numPr>
        <w:tabs>
          <w:tab w:val="clear" w:pos="576"/>
        </w:tabs>
        <w:spacing w:before="200" w:after="120"/>
        <w:ind w:left="357" w:hanging="357"/>
        <w:rPr>
          <w:rFonts w:eastAsiaTheme="majorEastAsia" w:cstheme="majorBidi"/>
          <w:color w:val="773141"/>
          <w:sz w:val="28"/>
        </w:rPr>
      </w:pPr>
      <w:bookmarkStart w:id="173" w:name="_Toc447540788"/>
      <w:r w:rsidRPr="008163B6">
        <w:rPr>
          <w:rFonts w:eastAsiaTheme="majorEastAsia" w:cstheme="majorBidi"/>
          <w:color w:val="773141"/>
          <w:sz w:val="28"/>
        </w:rPr>
        <w:t>G</w:t>
      </w:r>
      <w:r w:rsidR="00F709BD">
        <w:rPr>
          <w:rFonts w:eastAsiaTheme="majorEastAsia" w:cstheme="majorBidi"/>
          <w:color w:val="773141"/>
          <w:sz w:val="28"/>
        </w:rPr>
        <w:t>eographical</w:t>
      </w:r>
      <w:r w:rsidRPr="008163B6">
        <w:rPr>
          <w:rFonts w:eastAsiaTheme="majorEastAsia" w:cstheme="majorBidi"/>
          <w:color w:val="773141"/>
          <w:sz w:val="28"/>
        </w:rPr>
        <w:t xml:space="preserve"> distribution of CGMMV</w:t>
      </w:r>
      <w:bookmarkEnd w:id="173"/>
    </w:p>
    <w:p w14:paraId="2721F928" w14:textId="71FF7907" w:rsidR="008163B6" w:rsidRPr="00F709BD" w:rsidRDefault="008163B6" w:rsidP="006F4BBD">
      <w:pPr>
        <w:pStyle w:val="Header"/>
        <w:tabs>
          <w:tab w:val="num" w:pos="4194"/>
        </w:tabs>
        <w:spacing w:before="120" w:after="120" w:line="276" w:lineRule="auto"/>
        <w:jc w:val="left"/>
        <w:rPr>
          <w:rFonts w:ascii="Cambria" w:hAnsi="Cambria"/>
          <w:bCs/>
          <w:sz w:val="22"/>
        </w:rPr>
      </w:pPr>
      <w:r w:rsidRPr="00F709BD">
        <w:rPr>
          <w:rFonts w:ascii="Cambria" w:hAnsi="Cambria"/>
          <w:bCs/>
          <w:sz w:val="22"/>
        </w:rPr>
        <w:t xml:space="preserve">CGMMV was first described in the United Kingdom in the 1930’s (Ainsworth 1935; </w:t>
      </w:r>
      <w:proofErr w:type="spellStart"/>
      <w:r w:rsidRPr="00F709BD">
        <w:rPr>
          <w:rFonts w:ascii="Cambria" w:hAnsi="Cambria"/>
          <w:bCs/>
          <w:sz w:val="22"/>
        </w:rPr>
        <w:t>Ugaki</w:t>
      </w:r>
      <w:proofErr w:type="spellEnd"/>
      <w:r w:rsidRPr="00F709BD">
        <w:rPr>
          <w:rFonts w:ascii="Cambria" w:hAnsi="Cambria"/>
          <w:bCs/>
          <w:sz w:val="22"/>
        </w:rPr>
        <w:t xml:space="preserve"> et al. 1991). Since then, CGMMV has spread among cucurbit crops worldwide (</w:t>
      </w:r>
      <w:proofErr w:type="spellStart"/>
      <w:r w:rsidRPr="00F709BD">
        <w:rPr>
          <w:rFonts w:ascii="Cambria" w:hAnsi="Cambria"/>
          <w:bCs/>
          <w:sz w:val="22"/>
        </w:rPr>
        <w:t>Reingold</w:t>
      </w:r>
      <w:proofErr w:type="spellEnd"/>
      <w:r w:rsidRPr="00F709BD">
        <w:rPr>
          <w:rFonts w:ascii="Cambria" w:hAnsi="Cambria"/>
          <w:bCs/>
          <w:sz w:val="22"/>
        </w:rPr>
        <w:t xml:space="preserve"> </w:t>
      </w:r>
      <w:r w:rsidR="001F588E">
        <w:rPr>
          <w:rFonts w:ascii="Cambria" w:hAnsi="Cambria"/>
          <w:bCs/>
          <w:sz w:val="22"/>
        </w:rPr>
        <w:t xml:space="preserve">et al. </w:t>
      </w:r>
      <w:r w:rsidRPr="00F709BD">
        <w:rPr>
          <w:rFonts w:ascii="Cambria" w:hAnsi="Cambria"/>
          <w:bCs/>
          <w:sz w:val="22"/>
        </w:rPr>
        <w:t xml:space="preserve">2015). </w:t>
      </w:r>
      <w:r w:rsidR="00F709BD" w:rsidRPr="00F709BD">
        <w:rPr>
          <w:rFonts w:ascii="Cambria" w:hAnsi="Cambria"/>
          <w:bCs/>
          <w:sz w:val="22"/>
        </w:rPr>
        <w:t>CGMMV</w:t>
      </w:r>
      <w:r w:rsidRPr="00F709BD">
        <w:rPr>
          <w:rFonts w:ascii="Cambria" w:hAnsi="Cambria"/>
          <w:bCs/>
          <w:sz w:val="22"/>
        </w:rPr>
        <w:t xml:space="preserve"> is reported to occur in most continents and over 30 countries (Map 3)</w:t>
      </w:r>
      <w:r w:rsidR="00F709BD" w:rsidRPr="00F709BD">
        <w:rPr>
          <w:rFonts w:ascii="Cambria" w:hAnsi="Cambria"/>
          <w:bCs/>
          <w:sz w:val="22"/>
        </w:rPr>
        <w:t xml:space="preserve">. </w:t>
      </w:r>
      <w:r w:rsidRPr="00F709BD">
        <w:rPr>
          <w:rFonts w:ascii="Cambria" w:hAnsi="Cambria"/>
          <w:bCs/>
          <w:sz w:val="22"/>
        </w:rPr>
        <w:t>Choudhury and Lin (1982) also report the possible detection of CGMMV in melon in Brazil; however, this record has not been confirmed. Similarly, a CGMMV-like virus is reported to occur in mosses in Antarctica (</w:t>
      </w:r>
      <w:proofErr w:type="spellStart"/>
      <w:r w:rsidRPr="00F709BD">
        <w:rPr>
          <w:rFonts w:ascii="Cambria" w:hAnsi="Cambria"/>
          <w:bCs/>
          <w:sz w:val="22"/>
        </w:rPr>
        <w:t>Polischuk</w:t>
      </w:r>
      <w:proofErr w:type="spellEnd"/>
      <w:r w:rsidRPr="00F709BD">
        <w:rPr>
          <w:rFonts w:ascii="Cambria" w:hAnsi="Cambria"/>
          <w:bCs/>
          <w:sz w:val="22"/>
        </w:rPr>
        <w:t xml:space="preserve"> et al. 2007).  </w:t>
      </w:r>
    </w:p>
    <w:p w14:paraId="5D604DE5" w14:textId="77777777" w:rsidR="008163B6" w:rsidRDefault="00F709BD" w:rsidP="008163B6">
      <w:pPr>
        <w:pStyle w:val="Caption"/>
        <w:rPr>
          <w:rFonts w:asciiTheme="majorHAnsi" w:eastAsiaTheme="majorEastAsia" w:hAnsiTheme="majorHAnsi" w:cstheme="majorBidi"/>
          <w:color w:val="595959" w:themeColor="text1" w:themeTint="A6"/>
          <w:sz w:val="20"/>
        </w:rPr>
      </w:pPr>
      <w:bookmarkStart w:id="174" w:name="_Toc438132831"/>
      <w:bookmarkStart w:id="175" w:name="_Toc438132873"/>
      <w:bookmarkStart w:id="176" w:name="_Toc438202137"/>
      <w:bookmarkStart w:id="177" w:name="_Toc438202158"/>
      <w:bookmarkStart w:id="178" w:name="_Toc438549498"/>
      <w:bookmarkStart w:id="179" w:name="_Toc438549525"/>
      <w:bookmarkStart w:id="180" w:name="_Toc438549542"/>
      <w:bookmarkStart w:id="181" w:name="_Toc438549612"/>
      <w:bookmarkStart w:id="182" w:name="_Toc439661072"/>
      <w:bookmarkStart w:id="183" w:name="_Toc439661108"/>
      <w:bookmarkStart w:id="184" w:name="_Toc447541246"/>
      <w:bookmarkStart w:id="185" w:name="_Toc447541258"/>
      <w:bookmarkStart w:id="186" w:name="_Toc447541265"/>
      <w:r>
        <w:rPr>
          <w:rFonts w:asciiTheme="majorHAnsi" w:eastAsiaTheme="majorEastAsia" w:hAnsiTheme="majorHAnsi" w:cstheme="majorBidi"/>
          <w:color w:val="595959" w:themeColor="text1" w:themeTint="A6"/>
          <w:sz w:val="20"/>
        </w:rPr>
        <w:t xml:space="preserve">Map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Map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3</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Global occurrence of CGMMV</w:t>
      </w:r>
      <w:bookmarkEnd w:id="174"/>
      <w:bookmarkEnd w:id="175"/>
      <w:bookmarkEnd w:id="176"/>
      <w:bookmarkEnd w:id="177"/>
      <w:bookmarkEnd w:id="178"/>
      <w:bookmarkEnd w:id="179"/>
      <w:bookmarkEnd w:id="180"/>
      <w:bookmarkEnd w:id="181"/>
      <w:bookmarkEnd w:id="182"/>
      <w:bookmarkEnd w:id="183"/>
      <w:bookmarkEnd w:id="184"/>
      <w:bookmarkEnd w:id="185"/>
      <w:bookmarkEnd w:id="186"/>
    </w:p>
    <w:p w14:paraId="52992647" w14:textId="77777777" w:rsidR="008163B6" w:rsidRDefault="00F709BD">
      <w:pPr>
        <w:autoSpaceDE w:val="0"/>
        <w:autoSpaceDN w:val="0"/>
        <w:adjustRightInd w:val="0"/>
        <w:spacing w:before="200"/>
        <w:jc w:val="center"/>
        <w:rPr>
          <w:rFonts w:ascii="Cambria" w:hAnsi="Cambria"/>
        </w:rPr>
      </w:pPr>
      <w:r>
        <w:rPr>
          <w:rFonts w:ascii="Cambria" w:hAnsi="Cambria"/>
          <w:noProof/>
          <w:lang w:eastAsia="en-AU"/>
        </w:rPr>
        <w:drawing>
          <wp:inline distT="0" distB="0" distL="0" distR="0" wp14:anchorId="584488CB" wp14:editId="5A8D0A86">
            <wp:extent cx="5429250" cy="28594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429991" cy="2859795"/>
                    </a:xfrm>
                    <a:prstGeom prst="rect">
                      <a:avLst/>
                    </a:prstGeom>
                    <a:noFill/>
                    <a:ln w="9525">
                      <a:noFill/>
                      <a:miter lim="800000"/>
                      <a:headEnd/>
                      <a:tailEnd/>
                    </a:ln>
                  </pic:spPr>
                </pic:pic>
              </a:graphicData>
            </a:graphic>
          </wp:inline>
        </w:drawing>
      </w:r>
    </w:p>
    <w:p w14:paraId="585E54B2" w14:textId="7F931AD1" w:rsidR="008163B6" w:rsidRDefault="00F709BD" w:rsidP="006F4BBD">
      <w:pPr>
        <w:autoSpaceDE w:val="0"/>
        <w:autoSpaceDN w:val="0"/>
        <w:adjustRightInd w:val="0"/>
        <w:spacing w:before="120" w:after="120" w:line="276" w:lineRule="auto"/>
        <w:rPr>
          <w:rFonts w:ascii="Cambria" w:hAnsi="Cambria"/>
        </w:rPr>
      </w:pPr>
      <w:r>
        <w:rPr>
          <w:rFonts w:ascii="Cambria" w:hAnsi="Cambria"/>
          <w:bCs/>
        </w:rPr>
        <w:t xml:space="preserve">In </w:t>
      </w:r>
      <w:r w:rsidR="0061272C">
        <w:rPr>
          <w:rFonts w:ascii="Cambria" w:hAnsi="Cambria"/>
          <w:bCs/>
        </w:rPr>
        <w:t xml:space="preserve">September </w:t>
      </w:r>
      <w:r>
        <w:rPr>
          <w:rFonts w:ascii="Cambria" w:hAnsi="Cambria"/>
          <w:bCs/>
        </w:rPr>
        <w:t xml:space="preserve">2014, CGMMV was </w:t>
      </w:r>
      <w:r w:rsidR="0061272C">
        <w:rPr>
          <w:rFonts w:ascii="Cambria" w:hAnsi="Cambria"/>
          <w:bCs/>
        </w:rPr>
        <w:t>confirmed to occur</w:t>
      </w:r>
      <w:r>
        <w:rPr>
          <w:rFonts w:ascii="Cambria" w:hAnsi="Cambria"/>
          <w:bCs/>
        </w:rPr>
        <w:t xml:space="preserve"> in the Northern Territory, Australia on commercial watermelon farms (PIDS 2014; Queensland Government 2015). Later on, CGMMV was detected in a sing</w:t>
      </w:r>
      <w:r w:rsidR="00E36161">
        <w:rPr>
          <w:rFonts w:ascii="Cambria" w:hAnsi="Cambria"/>
          <w:bCs/>
        </w:rPr>
        <w:t xml:space="preserve">le cucurbit farm in Queensland and infected property remains under quarantine. </w:t>
      </w:r>
      <w:r w:rsidR="00E36161">
        <w:rPr>
          <w:rFonts w:ascii="Cambria" w:hAnsi="Cambria"/>
        </w:rPr>
        <w:t>In February 2016, t</w:t>
      </w:r>
      <w:r w:rsidR="00E36161" w:rsidRPr="00875CF5">
        <w:rPr>
          <w:rFonts w:ascii="Cambria" w:hAnsi="Cambria"/>
        </w:rPr>
        <w:t>he Northern Territory government announced that the CGMMV quarantine zone will be formally revoked</w:t>
      </w:r>
      <w:r w:rsidR="00E36161">
        <w:rPr>
          <w:rFonts w:ascii="Cambria" w:hAnsi="Cambria"/>
        </w:rPr>
        <w:t>. However, n</w:t>
      </w:r>
      <w:r w:rsidR="00E36161" w:rsidRPr="00875CF5">
        <w:rPr>
          <w:rFonts w:ascii="Cambria" w:hAnsi="Cambria"/>
        </w:rPr>
        <w:t>ew regulations will prohibit the export of seeds, seedlings and bee hives from the Northern Territory without approval for the Chief Inspector of Plant Health, and requires growers to have an auditable farm biosecurity plan for the purpose of controlling CGMMV.</w:t>
      </w:r>
      <w:r w:rsidR="00E36161">
        <w:rPr>
          <w:rFonts w:ascii="Cambria" w:hAnsi="Cambria"/>
        </w:rPr>
        <w:t xml:space="preserve"> Therefore, </w:t>
      </w:r>
      <w:r>
        <w:rPr>
          <w:rFonts w:ascii="Cambria" w:hAnsi="Cambria"/>
          <w:bCs/>
        </w:rPr>
        <w:t>CGMMV is under official control in Australia and risk management measures have been implemented to contain the spread of this virus.</w:t>
      </w:r>
    </w:p>
    <w:p w14:paraId="35E427E0"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187" w:name="_Toc447540789"/>
      <w:r>
        <w:rPr>
          <w:rFonts w:eastAsiaTheme="majorEastAsia" w:cstheme="majorBidi"/>
          <w:color w:val="773141"/>
          <w:sz w:val="28"/>
        </w:rPr>
        <w:t>Biology of CGMMV</w:t>
      </w:r>
      <w:bookmarkEnd w:id="187"/>
    </w:p>
    <w:p w14:paraId="0CDA95D8" w14:textId="01C1C3A8" w:rsidR="008163B6" w:rsidRDefault="00F709BD" w:rsidP="006F4BBD">
      <w:pPr>
        <w:autoSpaceDE w:val="0"/>
        <w:autoSpaceDN w:val="0"/>
        <w:adjustRightInd w:val="0"/>
        <w:spacing w:before="120" w:after="120" w:line="276" w:lineRule="auto"/>
        <w:rPr>
          <w:rFonts w:ascii="Cambria" w:hAnsi="Cambria"/>
          <w:lang w:eastAsia="en-AU"/>
        </w:rPr>
      </w:pPr>
      <w:r>
        <w:rPr>
          <w:rFonts w:ascii="Cambria" w:hAnsi="Cambria"/>
          <w:lang w:eastAsia="en-AU"/>
        </w:rPr>
        <w:t xml:space="preserve">CGMMV infects host cucurbitaceous plants systemically (Inouye et al. I967; </w:t>
      </w:r>
      <w:proofErr w:type="spellStart"/>
      <w:r>
        <w:rPr>
          <w:rFonts w:ascii="Cambria" w:hAnsi="Cambria"/>
          <w:lang w:eastAsia="en-AU"/>
        </w:rPr>
        <w:t>Komuro</w:t>
      </w:r>
      <w:proofErr w:type="spellEnd"/>
      <w:r>
        <w:rPr>
          <w:rFonts w:ascii="Cambria" w:hAnsi="Cambria"/>
          <w:lang w:eastAsia="en-AU"/>
        </w:rPr>
        <w:t xml:space="preserve"> et al. 1971) and causes structural changes in infected tissues (Hatta et al. 1971; Hatta &amp; </w:t>
      </w:r>
      <w:proofErr w:type="spellStart"/>
      <w:r>
        <w:rPr>
          <w:rFonts w:ascii="Cambria" w:hAnsi="Cambria"/>
          <w:lang w:eastAsia="en-AU"/>
        </w:rPr>
        <w:t>Ushiyama</w:t>
      </w:r>
      <w:proofErr w:type="spellEnd"/>
      <w:r>
        <w:rPr>
          <w:rFonts w:ascii="Cambria" w:hAnsi="Cambria"/>
          <w:lang w:eastAsia="en-AU"/>
        </w:rPr>
        <w:t xml:space="preserve"> 1973).</w:t>
      </w:r>
      <w:r>
        <w:rPr>
          <w:rFonts w:ascii="Cambria" w:hAnsi="Cambria"/>
        </w:rPr>
        <w:t xml:space="preserve"> </w:t>
      </w:r>
      <w:r>
        <w:rPr>
          <w:rFonts w:ascii="Cambria" w:hAnsi="Cambria"/>
          <w:lang w:eastAsia="en-AU"/>
        </w:rPr>
        <w:t>During colonisation of cucumber plants, CGMMV moves systemically through phloem (Simon-</w:t>
      </w:r>
      <w:proofErr w:type="spellStart"/>
      <w:r>
        <w:rPr>
          <w:rFonts w:ascii="Cambria" w:hAnsi="Cambria"/>
          <w:lang w:eastAsia="en-AU"/>
        </w:rPr>
        <w:t>Buela</w:t>
      </w:r>
      <w:proofErr w:type="spellEnd"/>
      <w:r>
        <w:rPr>
          <w:rFonts w:ascii="Cambria" w:hAnsi="Cambria"/>
          <w:lang w:eastAsia="en-AU"/>
        </w:rPr>
        <w:t xml:space="preserve"> &amp; Garcıa-</w:t>
      </w:r>
      <w:proofErr w:type="spellStart"/>
      <w:r>
        <w:rPr>
          <w:rFonts w:ascii="Cambria" w:hAnsi="Cambria"/>
          <w:lang w:eastAsia="en-AU"/>
        </w:rPr>
        <w:t>Arenal</w:t>
      </w:r>
      <w:proofErr w:type="spellEnd"/>
      <w:r>
        <w:rPr>
          <w:rFonts w:ascii="Cambria" w:hAnsi="Cambria"/>
          <w:lang w:eastAsia="en-AU"/>
        </w:rPr>
        <w:t xml:space="preserve"> 1999) and xylem (Moreno et al. 2004). CGMMV </w:t>
      </w:r>
      <w:r>
        <w:rPr>
          <w:rFonts w:ascii="Cambria" w:hAnsi="Cambria"/>
        </w:rPr>
        <w:t>survives in seeds (</w:t>
      </w:r>
      <w:r>
        <w:rPr>
          <w:rFonts w:ascii="Cambria" w:hAnsi="Cambria"/>
          <w:iCs/>
        </w:rPr>
        <w:t xml:space="preserve">Tian et al. 2014; </w:t>
      </w:r>
      <w:proofErr w:type="spellStart"/>
      <w:r>
        <w:rPr>
          <w:rFonts w:ascii="Cambria" w:hAnsi="Cambria"/>
          <w:iCs/>
        </w:rPr>
        <w:t>Reingold</w:t>
      </w:r>
      <w:proofErr w:type="spellEnd"/>
      <w:r>
        <w:rPr>
          <w:rFonts w:ascii="Cambria" w:hAnsi="Cambria"/>
          <w:iCs/>
        </w:rPr>
        <w:t xml:space="preserve"> et al. 2015), </w:t>
      </w:r>
      <w:r w:rsidR="003E5E1C">
        <w:rPr>
          <w:rFonts w:ascii="Cambria" w:hAnsi="Cambria"/>
        </w:rPr>
        <w:t xml:space="preserve">in infected </w:t>
      </w:r>
      <w:r>
        <w:rPr>
          <w:rFonts w:ascii="Cambria" w:hAnsi="Cambria"/>
        </w:rPr>
        <w:t>p</w:t>
      </w:r>
      <w:r w:rsidR="003E5E1C">
        <w:rPr>
          <w:rFonts w:ascii="Cambria" w:hAnsi="Cambria"/>
        </w:rPr>
        <w:t>lant</w:t>
      </w:r>
      <w:r>
        <w:rPr>
          <w:rFonts w:ascii="Cambria" w:hAnsi="Cambria"/>
        </w:rPr>
        <w:t xml:space="preserve"> debris (Choi 2001; Liu et al</w:t>
      </w:r>
      <w:r>
        <w:rPr>
          <w:rFonts w:ascii="Cambria" w:hAnsi="Cambria"/>
          <w:i/>
        </w:rPr>
        <w:t>.</w:t>
      </w:r>
      <w:r>
        <w:rPr>
          <w:rFonts w:ascii="Cambria" w:hAnsi="Cambria"/>
        </w:rPr>
        <w:t xml:space="preserve"> 2014) and in soil contaminated with infected plant debris (Hollings et al. </w:t>
      </w:r>
      <w:r>
        <w:rPr>
          <w:rFonts w:ascii="Cambria" w:hAnsi="Cambria"/>
          <w:lang w:eastAsia="en-AU"/>
        </w:rPr>
        <w:t>1975</w:t>
      </w:r>
      <w:r>
        <w:rPr>
          <w:rFonts w:ascii="Cambria" w:hAnsi="Cambria"/>
        </w:rPr>
        <w:t xml:space="preserve">; Rao &amp; Varma 1984). CGMMV is also able to infect host plants through wounds caused by pruning or harvesting (Hollings et al. 1975; </w:t>
      </w:r>
      <w:proofErr w:type="spellStart"/>
      <w:r>
        <w:rPr>
          <w:rFonts w:ascii="Cambria" w:hAnsi="Cambria"/>
        </w:rPr>
        <w:t>Lecoq</w:t>
      </w:r>
      <w:proofErr w:type="spellEnd"/>
      <w:r>
        <w:rPr>
          <w:rFonts w:ascii="Cambria" w:hAnsi="Cambria"/>
        </w:rPr>
        <w:t xml:space="preserve"> &amp; </w:t>
      </w:r>
      <w:proofErr w:type="spellStart"/>
      <w:r>
        <w:rPr>
          <w:rFonts w:ascii="Cambria" w:hAnsi="Cambria"/>
        </w:rPr>
        <w:t>Desbiez</w:t>
      </w:r>
      <w:proofErr w:type="spellEnd"/>
      <w:r>
        <w:rPr>
          <w:rFonts w:ascii="Cambria" w:hAnsi="Cambria"/>
        </w:rPr>
        <w:t xml:space="preserve"> 2012).</w:t>
      </w:r>
    </w:p>
    <w:p w14:paraId="38B32E4D"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88" w:name="_Toc447540790"/>
      <w:r>
        <w:rPr>
          <w:rFonts w:ascii="Calibri" w:hAnsi="Calibri" w:cstheme="minorBidi"/>
          <w:sz w:val="24"/>
          <w:szCs w:val="22"/>
        </w:rPr>
        <w:t>Hosts of CGMMV</w:t>
      </w:r>
      <w:bookmarkEnd w:id="188"/>
    </w:p>
    <w:p w14:paraId="4D04079B" w14:textId="6B259BE0" w:rsidR="008163B6" w:rsidRPr="006D606B" w:rsidRDefault="00F709BD" w:rsidP="006F4BBD">
      <w:pPr>
        <w:autoSpaceDE w:val="0"/>
        <w:autoSpaceDN w:val="0"/>
        <w:adjustRightInd w:val="0"/>
        <w:spacing w:before="120" w:after="120" w:line="276" w:lineRule="auto"/>
        <w:rPr>
          <w:rFonts w:ascii="Cambria" w:hAnsi="Cambria"/>
          <w:lang w:eastAsia="en-AU"/>
        </w:rPr>
      </w:pPr>
      <w:r>
        <w:rPr>
          <w:rFonts w:ascii="Cambria" w:hAnsi="Cambria"/>
        </w:rPr>
        <w:t xml:space="preserve">The host range of CGMMV </w:t>
      </w:r>
      <w:r>
        <w:rPr>
          <w:rFonts w:ascii="Cambria" w:hAnsi="Cambria"/>
          <w:lang w:eastAsia="en-AU"/>
        </w:rPr>
        <w:t>mainly includes species within the Cucurbitaceae family (Hollings et al. 1975). The Cucurbitaceae family has 122 genera and approximately 960 species (</w:t>
      </w:r>
      <w:proofErr w:type="spellStart"/>
      <w:r>
        <w:rPr>
          <w:rFonts w:ascii="Cambria" w:hAnsi="Cambria"/>
          <w:lang w:eastAsia="en-AU"/>
        </w:rPr>
        <w:t>Mabberley</w:t>
      </w:r>
      <w:proofErr w:type="spellEnd"/>
      <w:r>
        <w:rPr>
          <w:rFonts w:ascii="Cambria" w:hAnsi="Cambria"/>
          <w:lang w:eastAsia="en-AU"/>
        </w:rPr>
        <w:t xml:space="preserve"> 2008); however, not all of these genera or species are commonly cultivated (</w:t>
      </w:r>
      <w:r>
        <w:rPr>
          <w:rFonts w:ascii="Cambria" w:eastAsia="Cambria" w:hAnsi="Cambria" w:cs="LucidaBright"/>
          <w:lang w:eastAsia="en-AU"/>
        </w:rPr>
        <w:t>McCormack 2005; Freeman et al. 2015). According to the published evidence, the majority of genera and species within the family Cucurbitaceae are not known to be natural hosts of CGMMV</w:t>
      </w:r>
      <w:r>
        <w:rPr>
          <w:rFonts w:ascii="Cambria" w:hAnsi="Cambria"/>
          <w:lang w:eastAsia="en-AU"/>
        </w:rPr>
        <w:t>. While this virus is reported to occur on multiple cucurbit species, it is only known to be associated with the seed</w:t>
      </w:r>
      <w:r w:rsidR="00BF087E">
        <w:rPr>
          <w:rFonts w:ascii="Cambria" w:hAnsi="Cambria"/>
          <w:lang w:eastAsia="en-AU"/>
        </w:rPr>
        <w:t>s</w:t>
      </w:r>
      <w:r>
        <w:rPr>
          <w:rFonts w:ascii="Cambria" w:hAnsi="Cambria"/>
          <w:lang w:eastAsia="en-AU"/>
        </w:rPr>
        <w:t xml:space="preserve"> of </w:t>
      </w:r>
      <w:r>
        <w:rPr>
          <w:rFonts w:ascii="Cambria" w:hAnsi="Cambria"/>
          <w:bCs/>
          <w:i/>
          <w:lang w:eastAsia="en-AU"/>
        </w:rPr>
        <w:t>Citrullus lanatus</w:t>
      </w:r>
      <w:r>
        <w:rPr>
          <w:rFonts w:ascii="Cambria" w:hAnsi="Cambria"/>
          <w:bCs/>
          <w:lang w:eastAsia="en-AU"/>
        </w:rPr>
        <w:t xml:space="preserve">, </w:t>
      </w:r>
      <w:r>
        <w:rPr>
          <w:rFonts w:ascii="Cambria" w:hAnsi="Cambria"/>
          <w:bCs/>
          <w:i/>
          <w:lang w:eastAsia="en-AU"/>
        </w:rPr>
        <w:t>Cucumis</w:t>
      </w:r>
      <w:r>
        <w:rPr>
          <w:rFonts w:ascii="Cambria" w:hAnsi="Cambria"/>
          <w:bCs/>
          <w:lang w:eastAsia="en-AU"/>
        </w:rPr>
        <w:t xml:space="preserve"> </w:t>
      </w:r>
      <w:r>
        <w:rPr>
          <w:rFonts w:ascii="Cambria" w:hAnsi="Cambria"/>
          <w:bCs/>
          <w:i/>
          <w:lang w:eastAsia="en-AU"/>
        </w:rPr>
        <w:t>melo</w:t>
      </w:r>
      <w:r>
        <w:rPr>
          <w:rFonts w:ascii="Cambria" w:hAnsi="Cambria"/>
          <w:bCs/>
          <w:lang w:eastAsia="en-AU"/>
        </w:rPr>
        <w:t xml:space="preserve">, </w:t>
      </w:r>
      <w:r>
        <w:rPr>
          <w:rFonts w:ascii="Cambria" w:hAnsi="Cambria"/>
          <w:bCs/>
          <w:i/>
          <w:lang w:eastAsia="en-AU"/>
        </w:rPr>
        <w:t>Cucumis sativus</w:t>
      </w:r>
      <w:r>
        <w:rPr>
          <w:rFonts w:ascii="Cambria" w:hAnsi="Cambria"/>
          <w:bCs/>
          <w:lang w:eastAsia="en-AU"/>
        </w:rPr>
        <w:t xml:space="preserve">, </w:t>
      </w:r>
      <w:r w:rsidR="0061272C">
        <w:rPr>
          <w:rFonts w:ascii="Cambria" w:hAnsi="Cambria"/>
          <w:bCs/>
          <w:i/>
          <w:lang w:eastAsia="en-AU"/>
        </w:rPr>
        <w:t>Cucurbita maxima</w:t>
      </w:r>
      <w:r w:rsidR="0061272C">
        <w:rPr>
          <w:rFonts w:ascii="Cambria" w:hAnsi="Cambria"/>
          <w:bCs/>
          <w:lang w:eastAsia="en-AU"/>
        </w:rPr>
        <w:t xml:space="preserve">, </w:t>
      </w:r>
      <w:r w:rsidR="006D606B">
        <w:rPr>
          <w:rFonts w:ascii="Cambria" w:hAnsi="Cambria"/>
          <w:bCs/>
          <w:i/>
          <w:lang w:eastAsia="en-AU"/>
        </w:rPr>
        <w:t xml:space="preserve">Cucurbita maxima </w:t>
      </w:r>
      <w:r w:rsidR="006D606B">
        <w:rPr>
          <w:rFonts w:ascii="Cambria" w:hAnsi="Cambria"/>
          <w:bCs/>
          <w:lang w:eastAsia="en-AU"/>
        </w:rPr>
        <w:t xml:space="preserve">x </w:t>
      </w:r>
      <w:r w:rsidR="006D606B">
        <w:rPr>
          <w:rFonts w:ascii="Cambria" w:hAnsi="Cambria"/>
          <w:bCs/>
          <w:i/>
          <w:lang w:eastAsia="en-AU"/>
        </w:rPr>
        <w:t>Cucurbita moschata</w:t>
      </w:r>
      <w:r w:rsidR="006D606B">
        <w:rPr>
          <w:rFonts w:ascii="Cambria" w:hAnsi="Cambria"/>
          <w:bCs/>
          <w:lang w:eastAsia="en-AU"/>
        </w:rPr>
        <w:t>,</w:t>
      </w:r>
      <w:r w:rsidR="006D606B">
        <w:rPr>
          <w:rFonts w:ascii="Cambria" w:hAnsi="Cambria"/>
          <w:bCs/>
          <w:i/>
          <w:lang w:eastAsia="en-AU"/>
        </w:rPr>
        <w:t xml:space="preserve"> </w:t>
      </w:r>
      <w:r w:rsidR="0061272C">
        <w:rPr>
          <w:rFonts w:ascii="Cambria" w:hAnsi="Cambria"/>
          <w:bCs/>
          <w:i/>
          <w:lang w:eastAsia="en-AU"/>
        </w:rPr>
        <w:t>Cucurbita moschata</w:t>
      </w:r>
      <w:r w:rsidR="0061272C">
        <w:rPr>
          <w:rFonts w:ascii="Cambria" w:hAnsi="Cambria"/>
          <w:bCs/>
          <w:lang w:eastAsia="en-AU"/>
        </w:rPr>
        <w:t>,</w:t>
      </w:r>
      <w:r w:rsidR="0061272C">
        <w:rPr>
          <w:rFonts w:ascii="Cambria" w:hAnsi="Cambria"/>
          <w:bCs/>
          <w:i/>
          <w:lang w:eastAsia="en-AU"/>
        </w:rPr>
        <w:t xml:space="preserve"> </w:t>
      </w:r>
      <w:r>
        <w:rPr>
          <w:rFonts w:ascii="Cambria" w:hAnsi="Cambria"/>
          <w:bCs/>
          <w:i/>
          <w:lang w:eastAsia="en-AU"/>
        </w:rPr>
        <w:t>Cucurbita pepo</w:t>
      </w:r>
      <w:r>
        <w:rPr>
          <w:rFonts w:ascii="Cambria" w:hAnsi="Cambria"/>
          <w:bCs/>
          <w:lang w:eastAsia="en-AU"/>
        </w:rPr>
        <w:t xml:space="preserve">, </w:t>
      </w:r>
      <w:r>
        <w:rPr>
          <w:rFonts w:ascii="Cambria" w:hAnsi="Cambria"/>
          <w:bCs/>
          <w:i/>
          <w:lang w:eastAsia="en-AU"/>
        </w:rPr>
        <w:t xml:space="preserve">Lagenaria siceraria </w:t>
      </w:r>
      <w:r>
        <w:rPr>
          <w:rFonts w:ascii="Cambria" w:hAnsi="Cambria"/>
          <w:bCs/>
          <w:lang w:eastAsia="en-AU"/>
        </w:rPr>
        <w:t xml:space="preserve">and </w:t>
      </w:r>
      <w:r>
        <w:rPr>
          <w:rFonts w:ascii="Cambria" w:hAnsi="Cambria"/>
          <w:bCs/>
          <w:i/>
          <w:lang w:eastAsia="en-AU"/>
        </w:rPr>
        <w:t xml:space="preserve">Trichosanthes cucumerina </w:t>
      </w:r>
      <w:r>
        <w:rPr>
          <w:rFonts w:ascii="Cambria" w:hAnsi="Cambria"/>
          <w:bCs/>
          <w:lang w:eastAsia="en-AU"/>
        </w:rPr>
        <w:t xml:space="preserve">(Table 6). </w:t>
      </w:r>
      <w:r>
        <w:rPr>
          <w:rFonts w:ascii="Cambria" w:hAnsi="Cambria"/>
          <w:lang w:eastAsia="en-AU"/>
        </w:rPr>
        <w:t xml:space="preserve"> </w:t>
      </w:r>
    </w:p>
    <w:p w14:paraId="2EA491A9" w14:textId="017BC05A" w:rsidR="008163B6" w:rsidRDefault="00F709BD" w:rsidP="006F4BBD">
      <w:pPr>
        <w:autoSpaceDE w:val="0"/>
        <w:autoSpaceDN w:val="0"/>
        <w:adjustRightInd w:val="0"/>
        <w:spacing w:before="120" w:after="120" w:line="276" w:lineRule="auto"/>
        <w:rPr>
          <w:rFonts w:ascii="Cambria" w:hAnsi="Cambria"/>
          <w:lang w:eastAsia="en-AU"/>
        </w:rPr>
      </w:pPr>
      <w:r>
        <w:rPr>
          <w:rFonts w:ascii="Cambria" w:hAnsi="Cambria"/>
          <w:lang w:eastAsia="en-AU"/>
        </w:rPr>
        <w:t>In recent years, CGMMV has also been detected in an increasing number of non-cucurbit host plants, particularly weeds. It has been reported to natural</w:t>
      </w:r>
      <w:r w:rsidR="00BF087E">
        <w:rPr>
          <w:rFonts w:ascii="Cambria" w:hAnsi="Cambria"/>
          <w:lang w:eastAsia="en-AU"/>
        </w:rPr>
        <w:t>ly</w:t>
      </w:r>
      <w:r>
        <w:rPr>
          <w:rFonts w:ascii="Cambria" w:hAnsi="Cambria"/>
          <w:lang w:eastAsia="en-AU"/>
        </w:rPr>
        <w:t xml:space="preserve"> occur in non-cucurbit species from the families</w:t>
      </w:r>
      <w:r w:rsidR="003E5E1C">
        <w:rPr>
          <w:rFonts w:ascii="Cambria" w:hAnsi="Cambria"/>
          <w:lang w:eastAsia="en-AU"/>
        </w:rPr>
        <w:t>:</w:t>
      </w:r>
      <w:r>
        <w:rPr>
          <w:rFonts w:ascii="Cambria" w:hAnsi="Cambria"/>
          <w:lang w:eastAsia="en-AU"/>
        </w:rPr>
        <w:t xml:space="preserve"> </w:t>
      </w:r>
      <w:proofErr w:type="spellStart"/>
      <w:r>
        <w:rPr>
          <w:rFonts w:ascii="Cambria" w:hAnsi="Cambria"/>
          <w:lang w:eastAsia="en-AU"/>
        </w:rPr>
        <w:t>Amaranthaceae</w:t>
      </w:r>
      <w:proofErr w:type="spellEnd"/>
      <w:r>
        <w:rPr>
          <w:rFonts w:ascii="Cambria" w:hAnsi="Cambria"/>
          <w:lang w:eastAsia="en-AU"/>
        </w:rPr>
        <w:t xml:space="preserve">, </w:t>
      </w:r>
      <w:proofErr w:type="spellStart"/>
      <w:r>
        <w:rPr>
          <w:rFonts w:ascii="Cambria" w:hAnsi="Cambria"/>
          <w:lang w:eastAsia="en-AU"/>
        </w:rPr>
        <w:t>Apiaceae</w:t>
      </w:r>
      <w:proofErr w:type="spellEnd"/>
      <w:r>
        <w:rPr>
          <w:rFonts w:ascii="Cambria" w:hAnsi="Cambria"/>
          <w:lang w:eastAsia="en-AU"/>
        </w:rPr>
        <w:t xml:space="preserve">, </w:t>
      </w:r>
      <w:proofErr w:type="spellStart"/>
      <w:r>
        <w:rPr>
          <w:rFonts w:ascii="Cambria" w:hAnsi="Cambria"/>
          <w:lang w:eastAsia="en-AU"/>
        </w:rPr>
        <w:t>Boraginaceae</w:t>
      </w:r>
      <w:proofErr w:type="spellEnd"/>
      <w:r>
        <w:rPr>
          <w:rFonts w:ascii="Cambria" w:hAnsi="Cambria"/>
          <w:lang w:eastAsia="en-AU"/>
        </w:rPr>
        <w:t xml:space="preserve">, </w:t>
      </w:r>
      <w:proofErr w:type="spellStart"/>
      <w:r>
        <w:rPr>
          <w:rFonts w:ascii="Cambria" w:hAnsi="Cambria"/>
          <w:lang w:eastAsia="en-AU"/>
        </w:rPr>
        <w:t>Chenopodiaceae</w:t>
      </w:r>
      <w:proofErr w:type="spellEnd"/>
      <w:r>
        <w:rPr>
          <w:rFonts w:ascii="Cambria" w:hAnsi="Cambria"/>
          <w:lang w:eastAsia="en-AU"/>
        </w:rPr>
        <w:t xml:space="preserve">, </w:t>
      </w:r>
      <w:proofErr w:type="spellStart"/>
      <w:r>
        <w:rPr>
          <w:rFonts w:ascii="Cambria" w:hAnsi="Cambria"/>
          <w:lang w:eastAsia="en-AU"/>
        </w:rPr>
        <w:t>Portulacaceae</w:t>
      </w:r>
      <w:proofErr w:type="spellEnd"/>
      <w:r>
        <w:rPr>
          <w:rFonts w:ascii="Cambria" w:hAnsi="Cambria"/>
          <w:lang w:eastAsia="en-AU"/>
        </w:rPr>
        <w:t xml:space="preserve"> and </w:t>
      </w:r>
      <w:proofErr w:type="spellStart"/>
      <w:r>
        <w:rPr>
          <w:rFonts w:ascii="Cambria" w:hAnsi="Cambria"/>
          <w:lang w:eastAsia="en-AU"/>
        </w:rPr>
        <w:t>Solanaceae</w:t>
      </w:r>
      <w:proofErr w:type="spellEnd"/>
      <w:r>
        <w:rPr>
          <w:rFonts w:ascii="Cambria" w:hAnsi="Cambria"/>
          <w:lang w:eastAsia="en-AU"/>
        </w:rPr>
        <w:t xml:space="preserve"> (</w:t>
      </w:r>
      <w:proofErr w:type="spellStart"/>
      <w:r>
        <w:rPr>
          <w:rFonts w:ascii="Cambria" w:hAnsi="Cambria"/>
          <w:lang w:eastAsia="en-AU"/>
        </w:rPr>
        <w:t>Boubourakis</w:t>
      </w:r>
      <w:proofErr w:type="spellEnd"/>
      <w:r>
        <w:rPr>
          <w:rFonts w:ascii="Cambria" w:hAnsi="Cambria"/>
          <w:lang w:eastAsia="en-AU"/>
        </w:rPr>
        <w:t xml:space="preserve"> et al. 2004; Cho et al. 2015). To date, CGMMV is not known to be associated with the seed</w:t>
      </w:r>
      <w:r w:rsidR="00BF087E">
        <w:rPr>
          <w:rFonts w:ascii="Cambria" w:hAnsi="Cambria"/>
          <w:lang w:eastAsia="en-AU"/>
        </w:rPr>
        <w:t>s</w:t>
      </w:r>
      <w:r>
        <w:rPr>
          <w:rFonts w:ascii="Cambria" w:hAnsi="Cambria"/>
          <w:lang w:eastAsia="en-AU"/>
        </w:rPr>
        <w:t xml:space="preserve"> of non-cucurbit crops. The known natural cucurbit and non-cucurbit hosts of CGMMV are presented in Table 6.</w:t>
      </w:r>
    </w:p>
    <w:p w14:paraId="7A74DDC0" w14:textId="77777777" w:rsidR="008163B6" w:rsidRDefault="00F709BD">
      <w:pPr>
        <w:pStyle w:val="Caption"/>
        <w:keepNext w:val="0"/>
        <w:rPr>
          <w:rFonts w:asciiTheme="majorHAnsi" w:eastAsiaTheme="majorEastAsia" w:hAnsiTheme="majorHAnsi" w:cstheme="majorBidi"/>
          <w:color w:val="595959" w:themeColor="text1" w:themeTint="A6"/>
          <w:sz w:val="20"/>
        </w:rPr>
      </w:pPr>
      <w:bookmarkStart w:id="189" w:name="_Toc432187292"/>
      <w:bookmarkStart w:id="190" w:name="_Toc434315835"/>
      <w:bookmarkStart w:id="191" w:name="_Toc438132874"/>
      <w:bookmarkStart w:id="192" w:name="_Toc438202159"/>
      <w:bookmarkStart w:id="193" w:name="_Toc438549499"/>
      <w:bookmarkStart w:id="194" w:name="_Toc438549543"/>
      <w:bookmarkStart w:id="195" w:name="_Toc439661109"/>
      <w:bookmarkStart w:id="196" w:name="_Toc447541247"/>
      <w:bookmarkStart w:id="197" w:name="_Toc447541266"/>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6</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Natural hosts of CGMMV and its association with host seeds</w:t>
      </w:r>
      <w:bookmarkEnd w:id="189"/>
      <w:bookmarkEnd w:id="190"/>
      <w:bookmarkEnd w:id="191"/>
      <w:bookmarkEnd w:id="192"/>
      <w:bookmarkEnd w:id="193"/>
      <w:bookmarkEnd w:id="194"/>
      <w:bookmarkEnd w:id="195"/>
      <w:bookmarkEnd w:id="196"/>
      <w:bookmarkEnd w:id="197"/>
    </w:p>
    <w:tbl>
      <w:tblPr>
        <w:tblW w:w="4942" w:type="pct"/>
        <w:tblInd w:w="108" w:type="dxa"/>
        <w:tblBorders>
          <w:top w:val="single" w:sz="4" w:space="0" w:color="000000" w:themeColor="text1"/>
          <w:bottom w:val="single" w:sz="4" w:space="0" w:color="000000" w:themeColor="text1"/>
        </w:tblBorders>
        <w:tblLook w:val="04A0" w:firstRow="1" w:lastRow="0" w:firstColumn="1" w:lastColumn="0" w:noHBand="0" w:noVBand="1"/>
      </w:tblPr>
      <w:tblGrid>
        <w:gridCol w:w="3188"/>
        <w:gridCol w:w="2213"/>
        <w:gridCol w:w="1911"/>
        <w:gridCol w:w="1653"/>
      </w:tblGrid>
      <w:tr w:rsidR="008163B6" w14:paraId="58F1F11E" w14:textId="77777777">
        <w:trPr>
          <w:tblHeader/>
        </w:trPr>
        <w:tc>
          <w:tcPr>
            <w:tcW w:w="1778" w:type="pct"/>
          </w:tcPr>
          <w:p w14:paraId="706C1B63" w14:textId="77777777" w:rsidR="008163B6" w:rsidRPr="008163B6" w:rsidRDefault="008163B6">
            <w:pPr>
              <w:pStyle w:val="TableHeading"/>
              <w:rPr>
                <w:rFonts w:asciiTheme="majorHAnsi" w:hAnsiTheme="majorHAnsi"/>
                <w:szCs w:val="18"/>
              </w:rPr>
            </w:pPr>
            <w:r w:rsidRPr="008163B6">
              <w:rPr>
                <w:rFonts w:asciiTheme="majorHAnsi" w:hAnsiTheme="majorHAnsi"/>
                <w:szCs w:val="18"/>
              </w:rPr>
              <w:t xml:space="preserve">Scientific name </w:t>
            </w:r>
          </w:p>
        </w:tc>
        <w:tc>
          <w:tcPr>
            <w:tcW w:w="1234" w:type="pct"/>
          </w:tcPr>
          <w:p w14:paraId="7E63A2EA" w14:textId="77777777" w:rsidR="008163B6" w:rsidRPr="008163B6" w:rsidRDefault="008163B6">
            <w:pPr>
              <w:pStyle w:val="TableHeading"/>
              <w:rPr>
                <w:rFonts w:asciiTheme="majorHAnsi" w:hAnsiTheme="majorHAnsi"/>
                <w:szCs w:val="18"/>
              </w:rPr>
            </w:pPr>
            <w:r w:rsidRPr="008163B6">
              <w:rPr>
                <w:rFonts w:asciiTheme="majorHAnsi" w:hAnsiTheme="majorHAnsi"/>
                <w:szCs w:val="18"/>
              </w:rPr>
              <w:t>Common name (s)</w:t>
            </w:r>
          </w:p>
        </w:tc>
        <w:tc>
          <w:tcPr>
            <w:tcW w:w="1066" w:type="pct"/>
          </w:tcPr>
          <w:p w14:paraId="4F6DF83F" w14:textId="77777777" w:rsidR="008163B6" w:rsidRPr="008163B6" w:rsidRDefault="008163B6">
            <w:pPr>
              <w:pStyle w:val="TableHeading"/>
              <w:rPr>
                <w:rFonts w:asciiTheme="majorHAnsi" w:hAnsiTheme="majorHAnsi"/>
                <w:szCs w:val="18"/>
              </w:rPr>
            </w:pPr>
            <w:r w:rsidRPr="008163B6">
              <w:rPr>
                <w:rFonts w:asciiTheme="majorHAnsi" w:hAnsiTheme="majorHAnsi"/>
                <w:szCs w:val="18"/>
              </w:rPr>
              <w:t>Natural host of CGMMV</w:t>
            </w:r>
          </w:p>
        </w:tc>
        <w:tc>
          <w:tcPr>
            <w:tcW w:w="922" w:type="pct"/>
          </w:tcPr>
          <w:p w14:paraId="48D971DC" w14:textId="38B0388B" w:rsidR="008163B6" w:rsidRPr="008163B6" w:rsidRDefault="00CC0813">
            <w:pPr>
              <w:pStyle w:val="TableHeading"/>
              <w:rPr>
                <w:rFonts w:asciiTheme="majorHAnsi" w:hAnsiTheme="majorHAnsi"/>
                <w:szCs w:val="18"/>
              </w:rPr>
            </w:pPr>
            <w:r>
              <w:rPr>
                <w:rFonts w:asciiTheme="majorHAnsi" w:hAnsiTheme="majorHAnsi"/>
                <w:szCs w:val="18"/>
              </w:rPr>
              <w:t>Seed-borne</w:t>
            </w:r>
          </w:p>
        </w:tc>
      </w:tr>
      <w:tr w:rsidR="008163B6" w14:paraId="4912C231" w14:textId="77777777">
        <w:tc>
          <w:tcPr>
            <w:tcW w:w="5000" w:type="pct"/>
            <w:gridSpan w:val="4"/>
          </w:tcPr>
          <w:p w14:paraId="54BBF0D3" w14:textId="77777777" w:rsidR="008163B6" w:rsidRDefault="00F709BD">
            <w:pPr>
              <w:pStyle w:val="TableText"/>
              <w:rPr>
                <w:rFonts w:ascii="Cambria" w:eastAsia="Cambria" w:hAnsi="Cambria" w:cs="LucidaBright"/>
                <w:szCs w:val="18"/>
                <w:lang w:eastAsia="en-AU"/>
              </w:rPr>
            </w:pPr>
            <w:r>
              <w:rPr>
                <w:rFonts w:ascii="Cambria" w:hAnsi="Cambria"/>
                <w:b/>
                <w:color w:val="C00000"/>
                <w:szCs w:val="18"/>
              </w:rPr>
              <w:t>CROPS</w:t>
            </w:r>
          </w:p>
        </w:tc>
      </w:tr>
      <w:tr w:rsidR="008163B6" w:rsidRPr="00474049" w14:paraId="3C061E90" w14:textId="77777777">
        <w:tc>
          <w:tcPr>
            <w:tcW w:w="1778" w:type="pct"/>
          </w:tcPr>
          <w:p w14:paraId="6FB0AF15" w14:textId="77777777" w:rsidR="008163B6" w:rsidRPr="008240FC" w:rsidRDefault="008163B6">
            <w:pPr>
              <w:pStyle w:val="TableText"/>
              <w:spacing w:before="40" w:after="40"/>
              <w:rPr>
                <w:rFonts w:ascii="Cambria" w:hAnsi="Cambria"/>
                <w:iCs/>
                <w:szCs w:val="18"/>
              </w:rPr>
            </w:pPr>
            <w:proofErr w:type="spellStart"/>
            <w:r w:rsidRPr="008240FC">
              <w:rPr>
                <w:rFonts w:ascii="Cambria" w:hAnsi="Cambria"/>
                <w:i/>
                <w:iCs/>
                <w:szCs w:val="18"/>
              </w:rPr>
              <w:t>Benincasa</w:t>
            </w:r>
            <w:proofErr w:type="spellEnd"/>
            <w:r w:rsidRPr="008240FC">
              <w:rPr>
                <w:rFonts w:ascii="Cambria" w:hAnsi="Cambria"/>
                <w:i/>
                <w:iCs/>
                <w:szCs w:val="18"/>
              </w:rPr>
              <w:t xml:space="preserve"> </w:t>
            </w:r>
            <w:proofErr w:type="spellStart"/>
            <w:r w:rsidRPr="008240FC">
              <w:rPr>
                <w:rFonts w:ascii="Cambria" w:hAnsi="Cambria"/>
                <w:i/>
                <w:iCs/>
                <w:szCs w:val="18"/>
              </w:rPr>
              <w:t>hispida</w:t>
            </w:r>
            <w:proofErr w:type="spellEnd"/>
            <w:r w:rsidRPr="008240FC">
              <w:rPr>
                <w:rFonts w:ascii="Cambria" w:hAnsi="Cambria"/>
                <w:iCs/>
                <w:szCs w:val="18"/>
              </w:rPr>
              <w:t xml:space="preserve"> (Thunb</w:t>
            </w:r>
            <w:r w:rsidR="00F709BD" w:rsidRPr="008240FC">
              <w:rPr>
                <w:rFonts w:ascii="Cambria" w:hAnsi="Cambria"/>
                <w:iCs/>
                <w:szCs w:val="18"/>
              </w:rPr>
              <w:t>erg</w:t>
            </w:r>
            <w:r w:rsidRPr="008240FC">
              <w:rPr>
                <w:rFonts w:ascii="Cambria" w:hAnsi="Cambria"/>
                <w:iCs/>
                <w:szCs w:val="18"/>
              </w:rPr>
              <w:t xml:space="preserve">) </w:t>
            </w:r>
            <w:proofErr w:type="spellStart"/>
            <w:r w:rsidRPr="008240FC">
              <w:rPr>
                <w:rFonts w:ascii="Cambria" w:hAnsi="Cambria"/>
                <w:iCs/>
                <w:szCs w:val="18"/>
              </w:rPr>
              <w:t>Cogn</w:t>
            </w:r>
            <w:r w:rsidR="00F709BD" w:rsidRPr="008240FC">
              <w:rPr>
                <w:rFonts w:ascii="Cambria" w:hAnsi="Cambria"/>
                <w:iCs/>
                <w:szCs w:val="18"/>
              </w:rPr>
              <w:t>iaux</w:t>
            </w:r>
            <w:proofErr w:type="spellEnd"/>
            <w:r w:rsidRPr="008240FC">
              <w:rPr>
                <w:rFonts w:ascii="Cambria" w:hAnsi="Cambria"/>
                <w:iCs/>
                <w:szCs w:val="18"/>
              </w:rPr>
              <w:t xml:space="preserve"> </w:t>
            </w:r>
            <w:r w:rsidR="00F709BD" w:rsidRPr="008240FC">
              <w:rPr>
                <w:rFonts w:ascii="Cambria" w:hAnsi="Cambria"/>
                <w:iCs/>
                <w:szCs w:val="18"/>
              </w:rPr>
              <w:t>[Cucurbitaceae]</w:t>
            </w:r>
          </w:p>
        </w:tc>
        <w:tc>
          <w:tcPr>
            <w:tcW w:w="1234" w:type="pct"/>
          </w:tcPr>
          <w:p w14:paraId="6839BE4D" w14:textId="77777777" w:rsidR="008163B6" w:rsidRPr="008240FC" w:rsidRDefault="008163B6">
            <w:pPr>
              <w:pStyle w:val="TableText"/>
              <w:spacing w:before="40" w:after="40"/>
              <w:rPr>
                <w:rFonts w:ascii="Cambria" w:hAnsi="Cambria"/>
                <w:iCs/>
                <w:szCs w:val="18"/>
              </w:rPr>
            </w:pPr>
            <w:r w:rsidRPr="008240FC">
              <w:rPr>
                <w:rFonts w:ascii="Cambria" w:eastAsia="Cambria" w:hAnsi="Cambria" w:cs="LucidaBright"/>
                <w:szCs w:val="18"/>
                <w:lang w:eastAsia="en-AU"/>
              </w:rPr>
              <w:t>Ash gourd, Wax gourd, White gourd</w:t>
            </w:r>
          </w:p>
        </w:tc>
        <w:tc>
          <w:tcPr>
            <w:tcW w:w="1066" w:type="pct"/>
          </w:tcPr>
          <w:p w14:paraId="0A466B9D" w14:textId="1B83BA90" w:rsidR="008163B6" w:rsidRPr="008240FC" w:rsidRDefault="008163B6">
            <w:pPr>
              <w:pStyle w:val="TableText"/>
              <w:spacing w:before="40" w:after="40"/>
              <w:rPr>
                <w:rFonts w:ascii="Cambria" w:hAnsi="Cambria"/>
                <w:iCs/>
                <w:szCs w:val="18"/>
              </w:rPr>
            </w:pPr>
            <w:r w:rsidRPr="008240FC">
              <w:rPr>
                <w:rFonts w:ascii="Cambria" w:hAnsi="Cambria"/>
                <w:b/>
                <w:iCs/>
                <w:szCs w:val="18"/>
              </w:rPr>
              <w:t>Yes</w:t>
            </w:r>
            <w:r w:rsidRPr="008240FC">
              <w:rPr>
                <w:rFonts w:ascii="Cambria" w:hAnsi="Cambria"/>
                <w:iCs/>
                <w:szCs w:val="18"/>
              </w:rPr>
              <w:t xml:space="preserve"> (Noda et al. 1993)</w:t>
            </w:r>
          </w:p>
        </w:tc>
        <w:tc>
          <w:tcPr>
            <w:tcW w:w="922" w:type="pct"/>
          </w:tcPr>
          <w:p w14:paraId="4A9B1F21" w14:textId="1CB37170" w:rsidR="008163B6" w:rsidRPr="008240FC" w:rsidRDefault="00E54B26" w:rsidP="0041118F">
            <w:pPr>
              <w:pStyle w:val="TableText"/>
              <w:spacing w:before="40" w:after="40"/>
              <w:rPr>
                <w:rFonts w:ascii="Cambria" w:hAnsi="Cambria"/>
                <w:iCs/>
                <w:szCs w:val="18"/>
              </w:rPr>
            </w:pPr>
            <w:r w:rsidRPr="008240FC">
              <w:rPr>
                <w:rFonts w:ascii="Cambria" w:hAnsi="Cambria"/>
                <w:iCs/>
                <w:szCs w:val="18"/>
              </w:rPr>
              <w:t xml:space="preserve">No evidence of CGMMV being seed-borne in this </w:t>
            </w:r>
            <w:r w:rsidR="008163B6" w:rsidRPr="008240FC">
              <w:rPr>
                <w:rFonts w:ascii="Cambria" w:hAnsi="Cambria"/>
                <w:iCs/>
                <w:szCs w:val="18"/>
              </w:rPr>
              <w:t>species</w:t>
            </w:r>
            <w:r w:rsidR="00F709BD" w:rsidRPr="008240FC">
              <w:rPr>
                <w:rFonts w:ascii="Cambria" w:hAnsi="Cambria"/>
                <w:iCs/>
                <w:szCs w:val="18"/>
              </w:rPr>
              <w:t>.</w:t>
            </w:r>
          </w:p>
        </w:tc>
      </w:tr>
      <w:tr w:rsidR="008163B6" w:rsidRPr="00474049" w14:paraId="2DD641A0" w14:textId="77777777">
        <w:tc>
          <w:tcPr>
            <w:tcW w:w="1778" w:type="pct"/>
          </w:tcPr>
          <w:p w14:paraId="51CF5187" w14:textId="77777777" w:rsidR="008163B6" w:rsidRPr="008240FC" w:rsidRDefault="008163B6">
            <w:pPr>
              <w:pStyle w:val="TableText"/>
              <w:spacing w:before="40" w:after="40"/>
              <w:rPr>
                <w:rFonts w:ascii="Cambria" w:hAnsi="Cambria" w:cs="Arial"/>
                <w:szCs w:val="18"/>
              </w:rPr>
            </w:pPr>
            <w:r w:rsidRPr="008240FC">
              <w:rPr>
                <w:rFonts w:ascii="Cambria" w:eastAsia="Cambria" w:hAnsi="Cambria" w:cs="LucidaBright,Italic"/>
                <w:b/>
                <w:i/>
                <w:iCs/>
                <w:szCs w:val="18"/>
                <w:lang w:eastAsia="en-AU"/>
              </w:rPr>
              <w:t>Citrullus</w:t>
            </w:r>
            <w:r w:rsidRPr="008240FC">
              <w:rPr>
                <w:rFonts w:ascii="Cambria" w:eastAsia="Cambria" w:hAnsi="Cambria" w:cs="LucidaBright,Italic"/>
                <w:i/>
                <w:iCs/>
                <w:szCs w:val="18"/>
                <w:lang w:eastAsia="en-AU"/>
              </w:rPr>
              <w:t xml:space="preserve"> </w:t>
            </w:r>
            <w:r w:rsidRPr="008240FC">
              <w:rPr>
                <w:rFonts w:ascii="Cambria" w:eastAsia="Cambria" w:hAnsi="Cambria" w:cs="LucidaBright,Italic"/>
                <w:b/>
                <w:i/>
                <w:iCs/>
                <w:szCs w:val="18"/>
                <w:lang w:eastAsia="en-AU"/>
              </w:rPr>
              <w:t>lanatus</w:t>
            </w:r>
            <w:r w:rsidRPr="008240FC">
              <w:rPr>
                <w:rFonts w:ascii="Cambria" w:hAnsi="Cambria"/>
                <w:szCs w:val="18"/>
              </w:rPr>
              <w:t xml:space="preserve"> </w:t>
            </w:r>
            <w:r w:rsidRPr="008240FC">
              <w:rPr>
                <w:rFonts w:ascii="Cambria" w:eastAsia="Cambria" w:hAnsi="Cambria" w:cs="LucidaBright"/>
                <w:szCs w:val="18"/>
                <w:lang w:eastAsia="en-AU"/>
              </w:rPr>
              <w:t>(Thunb</w:t>
            </w:r>
            <w:r w:rsidR="00F709BD" w:rsidRPr="008240FC">
              <w:rPr>
                <w:rFonts w:ascii="Cambria" w:eastAsia="Cambria" w:hAnsi="Cambria" w:cs="LucidaBright"/>
                <w:szCs w:val="18"/>
                <w:lang w:eastAsia="en-AU"/>
              </w:rPr>
              <w:t>erg</w:t>
            </w:r>
            <w:r w:rsidRPr="008240FC">
              <w:rPr>
                <w:rFonts w:ascii="Cambria" w:eastAsia="Cambria" w:hAnsi="Cambria" w:cs="LucidaBright"/>
                <w:szCs w:val="18"/>
                <w:lang w:eastAsia="en-AU"/>
              </w:rPr>
              <w:t>) Matsum</w:t>
            </w:r>
            <w:r w:rsidR="00F709BD" w:rsidRPr="008240FC">
              <w:rPr>
                <w:rFonts w:ascii="Cambria" w:eastAsia="Cambria" w:hAnsi="Cambria" w:cs="LucidaBright"/>
                <w:szCs w:val="18"/>
                <w:lang w:eastAsia="en-AU"/>
              </w:rPr>
              <w:t>ura</w:t>
            </w:r>
            <w:r w:rsidRPr="008240FC">
              <w:rPr>
                <w:rFonts w:ascii="Cambria" w:eastAsia="Cambria" w:hAnsi="Cambria" w:cs="LucidaBright"/>
                <w:szCs w:val="18"/>
                <w:lang w:eastAsia="en-AU"/>
              </w:rPr>
              <w:t xml:space="preserve"> &amp; </w:t>
            </w:r>
            <w:proofErr w:type="spellStart"/>
            <w:r w:rsidRPr="008240FC">
              <w:rPr>
                <w:rFonts w:ascii="Cambria" w:eastAsia="Cambria" w:hAnsi="Cambria" w:cs="LucidaBright"/>
                <w:szCs w:val="18"/>
                <w:lang w:eastAsia="en-AU"/>
              </w:rPr>
              <w:t>Nakai</w:t>
            </w:r>
            <w:proofErr w:type="spellEnd"/>
            <w:r w:rsidR="00F709BD" w:rsidRPr="008240FC">
              <w:rPr>
                <w:rFonts w:ascii="Cambria" w:eastAsia="Cambria" w:hAnsi="Cambria" w:cs="LucidaBright"/>
                <w:szCs w:val="18"/>
                <w:lang w:eastAsia="en-AU"/>
              </w:rPr>
              <w:t xml:space="preserve"> </w:t>
            </w:r>
            <w:r w:rsidR="00F709BD" w:rsidRPr="008240FC">
              <w:rPr>
                <w:rFonts w:ascii="Cambria" w:hAnsi="Cambria"/>
                <w:iCs/>
                <w:szCs w:val="18"/>
              </w:rPr>
              <w:t>[</w:t>
            </w:r>
            <w:proofErr w:type="spellStart"/>
            <w:r w:rsidR="00F709BD" w:rsidRPr="008240FC">
              <w:rPr>
                <w:rFonts w:ascii="Cambria" w:hAnsi="Cambria"/>
                <w:iCs/>
                <w:szCs w:val="18"/>
              </w:rPr>
              <w:t>Cucurbitaceae</w:t>
            </w:r>
            <w:proofErr w:type="spellEnd"/>
            <w:r w:rsidR="00F709BD" w:rsidRPr="008240FC">
              <w:rPr>
                <w:rFonts w:ascii="Cambria" w:hAnsi="Cambria"/>
                <w:iCs/>
                <w:szCs w:val="18"/>
              </w:rPr>
              <w:t>]</w:t>
            </w:r>
          </w:p>
        </w:tc>
        <w:tc>
          <w:tcPr>
            <w:tcW w:w="1234" w:type="pct"/>
          </w:tcPr>
          <w:p w14:paraId="1977925E" w14:textId="77777777" w:rsidR="008163B6" w:rsidRPr="008240FC" w:rsidRDefault="008163B6">
            <w:pPr>
              <w:pStyle w:val="TableText"/>
              <w:spacing w:before="40" w:after="40"/>
              <w:rPr>
                <w:rFonts w:ascii="Cambria" w:hAnsi="Cambria"/>
                <w:szCs w:val="18"/>
              </w:rPr>
            </w:pPr>
            <w:r w:rsidRPr="008240FC">
              <w:rPr>
                <w:rFonts w:ascii="Cambria" w:eastAsia="Cambria" w:hAnsi="Cambria" w:cs="LucidaBright"/>
                <w:szCs w:val="18"/>
                <w:lang w:eastAsia="en-AU"/>
              </w:rPr>
              <w:t>Watermelon</w:t>
            </w:r>
          </w:p>
        </w:tc>
        <w:tc>
          <w:tcPr>
            <w:tcW w:w="1066" w:type="pct"/>
          </w:tcPr>
          <w:p w14:paraId="1B36F053" w14:textId="2F3B1CCC" w:rsidR="008163B6" w:rsidRPr="008240FC" w:rsidRDefault="008163B6">
            <w:pPr>
              <w:pStyle w:val="TableText"/>
              <w:spacing w:before="40" w:after="40"/>
              <w:rPr>
                <w:rFonts w:ascii="Cambria" w:hAnsi="Cambria"/>
                <w:iCs/>
                <w:szCs w:val="18"/>
              </w:rPr>
            </w:pPr>
            <w:r w:rsidRPr="008240FC">
              <w:rPr>
                <w:rFonts w:ascii="Cambria" w:hAnsi="Cambria"/>
                <w:b/>
                <w:iCs/>
                <w:szCs w:val="18"/>
              </w:rPr>
              <w:t>Yes</w:t>
            </w:r>
            <w:r w:rsidRPr="008240FC">
              <w:rPr>
                <w:rFonts w:ascii="Cambria" w:hAnsi="Cambria"/>
                <w:iCs/>
                <w:szCs w:val="18"/>
              </w:rPr>
              <w:t xml:space="preserve"> (Lee et al. 1990; Yoon et al. 2008; </w:t>
            </w:r>
            <w:proofErr w:type="spellStart"/>
            <w:r w:rsidRPr="008240FC">
              <w:rPr>
                <w:rFonts w:ascii="Cambria" w:hAnsi="Cambria"/>
                <w:iCs/>
                <w:szCs w:val="18"/>
              </w:rPr>
              <w:t>Reingold</w:t>
            </w:r>
            <w:proofErr w:type="spellEnd"/>
            <w:r w:rsidRPr="008240FC">
              <w:rPr>
                <w:rFonts w:ascii="Cambria" w:hAnsi="Cambria"/>
                <w:iCs/>
                <w:szCs w:val="18"/>
              </w:rPr>
              <w:t xml:space="preserve"> et al. 2015)</w:t>
            </w:r>
          </w:p>
        </w:tc>
        <w:tc>
          <w:tcPr>
            <w:tcW w:w="922" w:type="pct"/>
          </w:tcPr>
          <w:p w14:paraId="25AE6144" w14:textId="77777777" w:rsidR="008163B6" w:rsidRPr="008240FC" w:rsidRDefault="008163B6">
            <w:pPr>
              <w:pStyle w:val="TableText"/>
              <w:spacing w:before="40" w:after="40"/>
              <w:rPr>
                <w:rFonts w:ascii="Cambria" w:hAnsi="Cambria"/>
                <w:iCs/>
                <w:szCs w:val="18"/>
              </w:rPr>
            </w:pPr>
            <w:r w:rsidRPr="008240FC">
              <w:rPr>
                <w:rFonts w:ascii="Cambria" w:hAnsi="Cambria"/>
                <w:b/>
                <w:iCs/>
                <w:szCs w:val="18"/>
              </w:rPr>
              <w:t>Yes</w:t>
            </w:r>
            <w:r w:rsidRPr="008240FC">
              <w:rPr>
                <w:rFonts w:ascii="Cambria" w:hAnsi="Cambria"/>
                <w:iCs/>
                <w:szCs w:val="18"/>
              </w:rPr>
              <w:t xml:space="preserve"> (Lee et al. 1990; Yoon et al. 2008)</w:t>
            </w:r>
            <w:r w:rsidR="00F709BD" w:rsidRPr="008240FC">
              <w:rPr>
                <w:rFonts w:ascii="Cambria" w:hAnsi="Cambria"/>
                <w:iCs/>
                <w:szCs w:val="18"/>
              </w:rPr>
              <w:t>.</w:t>
            </w:r>
          </w:p>
        </w:tc>
      </w:tr>
      <w:tr w:rsidR="008163B6" w:rsidRPr="00474049" w14:paraId="3D319F14" w14:textId="77777777">
        <w:tc>
          <w:tcPr>
            <w:tcW w:w="1778" w:type="pct"/>
          </w:tcPr>
          <w:p w14:paraId="0FA05B63" w14:textId="77777777" w:rsidR="008163B6" w:rsidRPr="008240FC" w:rsidRDefault="008163B6">
            <w:pPr>
              <w:pStyle w:val="TableText"/>
              <w:spacing w:before="40" w:after="40"/>
              <w:rPr>
                <w:rFonts w:ascii="Cambria" w:eastAsia="Cambria" w:hAnsi="Cambria" w:cs="LucidaBright,Italic"/>
                <w:iCs/>
                <w:szCs w:val="18"/>
                <w:lang w:eastAsia="en-AU"/>
              </w:rPr>
            </w:pPr>
            <w:r w:rsidRPr="008240FC">
              <w:rPr>
                <w:rFonts w:ascii="Cambria" w:eastAsia="Cambria" w:hAnsi="Cambria" w:cs="LucidaBright,Italic"/>
                <w:i/>
                <w:iCs/>
                <w:szCs w:val="18"/>
                <w:lang w:eastAsia="en-AU"/>
              </w:rPr>
              <w:t xml:space="preserve">Cucumis </w:t>
            </w:r>
            <w:proofErr w:type="spellStart"/>
            <w:r w:rsidRPr="008240FC">
              <w:rPr>
                <w:rFonts w:ascii="Cambria" w:eastAsia="Cambria" w:hAnsi="Cambria" w:cs="LucidaBright,Italic"/>
                <w:i/>
                <w:iCs/>
                <w:szCs w:val="18"/>
                <w:lang w:eastAsia="en-AU"/>
              </w:rPr>
              <w:t>anguria</w:t>
            </w:r>
            <w:proofErr w:type="spellEnd"/>
            <w:r w:rsidRPr="008240FC">
              <w:rPr>
                <w:rFonts w:ascii="Cambria" w:eastAsia="Cambria" w:hAnsi="Cambria" w:cs="LucidaBright,Italic"/>
                <w:i/>
                <w:iCs/>
                <w:szCs w:val="18"/>
                <w:lang w:eastAsia="en-AU"/>
              </w:rPr>
              <w:t xml:space="preserve"> </w:t>
            </w:r>
            <w:r w:rsidRPr="008240FC">
              <w:rPr>
                <w:rFonts w:ascii="Cambria" w:eastAsia="Cambria" w:hAnsi="Cambria" w:cs="LucidaBright,Italic"/>
                <w:iCs/>
                <w:szCs w:val="18"/>
                <w:lang w:eastAsia="en-AU"/>
              </w:rPr>
              <w:t>L</w:t>
            </w:r>
            <w:r w:rsidR="00F709BD" w:rsidRPr="008240FC">
              <w:rPr>
                <w:rFonts w:ascii="Cambria" w:eastAsia="Cambria" w:hAnsi="Cambria" w:cs="LucidaBright,Italic"/>
                <w:iCs/>
                <w:szCs w:val="18"/>
                <w:lang w:eastAsia="en-AU"/>
              </w:rPr>
              <w:t xml:space="preserve">innaeus </w:t>
            </w:r>
            <w:r w:rsidR="00F709BD" w:rsidRPr="008240FC">
              <w:rPr>
                <w:rFonts w:ascii="Cambria" w:hAnsi="Cambria"/>
                <w:iCs/>
                <w:szCs w:val="18"/>
              </w:rPr>
              <w:t>[</w:t>
            </w:r>
            <w:proofErr w:type="spellStart"/>
            <w:r w:rsidR="00F709BD" w:rsidRPr="008240FC">
              <w:rPr>
                <w:rFonts w:ascii="Cambria" w:hAnsi="Cambria"/>
                <w:iCs/>
                <w:szCs w:val="18"/>
              </w:rPr>
              <w:t>Cucurbitaceae</w:t>
            </w:r>
            <w:proofErr w:type="spellEnd"/>
            <w:r w:rsidR="00F709BD" w:rsidRPr="008240FC">
              <w:rPr>
                <w:rFonts w:ascii="Cambria" w:hAnsi="Cambria"/>
                <w:iCs/>
                <w:szCs w:val="18"/>
              </w:rPr>
              <w:t>]</w:t>
            </w:r>
          </w:p>
        </w:tc>
        <w:tc>
          <w:tcPr>
            <w:tcW w:w="1234" w:type="pct"/>
          </w:tcPr>
          <w:p w14:paraId="15DEAAA7" w14:textId="09CC7D94" w:rsidR="008163B6" w:rsidRPr="008240FC" w:rsidRDefault="008163B6" w:rsidP="00BF087E">
            <w:pPr>
              <w:pStyle w:val="TableText"/>
              <w:spacing w:before="40" w:after="40"/>
              <w:rPr>
                <w:rFonts w:ascii="Cambria" w:eastAsia="Cambria" w:hAnsi="Cambria" w:cs="LucidaBright"/>
                <w:szCs w:val="18"/>
                <w:lang w:eastAsia="en-AU"/>
              </w:rPr>
            </w:pPr>
            <w:r w:rsidRPr="008240FC">
              <w:rPr>
                <w:rFonts w:ascii="Cambria" w:eastAsia="Cambria" w:hAnsi="Cambria" w:cs="LucidaBright"/>
                <w:szCs w:val="18"/>
                <w:lang w:eastAsia="en-AU"/>
              </w:rPr>
              <w:t>Bur cucumber, West Indian gherkin</w:t>
            </w:r>
          </w:p>
        </w:tc>
        <w:tc>
          <w:tcPr>
            <w:tcW w:w="1066" w:type="pct"/>
          </w:tcPr>
          <w:p w14:paraId="1A45794D" w14:textId="2798E2A2" w:rsidR="008163B6" w:rsidRPr="008240FC" w:rsidRDefault="008163B6">
            <w:pPr>
              <w:pStyle w:val="TableText"/>
              <w:spacing w:before="40" w:after="40"/>
              <w:rPr>
                <w:rFonts w:ascii="Cambria" w:eastAsia="Cambria" w:hAnsi="Cambria" w:cs="LucidaBright"/>
                <w:szCs w:val="18"/>
                <w:lang w:eastAsia="en-AU"/>
              </w:rPr>
            </w:pPr>
            <w:r w:rsidRPr="008240FC">
              <w:rPr>
                <w:rFonts w:ascii="Cambria" w:hAnsi="Cambria"/>
                <w:b/>
                <w:iCs/>
                <w:szCs w:val="18"/>
              </w:rPr>
              <w:t>Yes</w:t>
            </w:r>
            <w:r w:rsidRPr="008240FC">
              <w:rPr>
                <w:rFonts w:ascii="Cambria" w:hAnsi="Cambria"/>
                <w:iCs/>
                <w:szCs w:val="18"/>
              </w:rPr>
              <w:t xml:space="preserve"> (Rashmi et al. 2005)</w:t>
            </w:r>
          </w:p>
        </w:tc>
        <w:tc>
          <w:tcPr>
            <w:tcW w:w="922" w:type="pct"/>
          </w:tcPr>
          <w:p w14:paraId="764B2E06" w14:textId="2B139B73" w:rsidR="008163B6" w:rsidRPr="008240FC" w:rsidRDefault="004F6FE7" w:rsidP="0041118F">
            <w:pPr>
              <w:pStyle w:val="TableText"/>
              <w:spacing w:before="40" w:after="40"/>
              <w:rPr>
                <w:rFonts w:ascii="Cambria" w:eastAsia="Cambria" w:hAnsi="Cambria" w:cs="LucidaBright"/>
                <w:szCs w:val="18"/>
                <w:lang w:eastAsia="en-AU"/>
              </w:rPr>
            </w:pPr>
            <w:r w:rsidRPr="008240FC">
              <w:rPr>
                <w:rFonts w:ascii="Cambria" w:hAnsi="Cambria"/>
                <w:iCs/>
                <w:szCs w:val="18"/>
              </w:rPr>
              <w:t>No evidence of CGMMV being seed-borne in this species</w:t>
            </w:r>
            <w:r w:rsidR="00F709BD" w:rsidRPr="008240FC">
              <w:rPr>
                <w:rFonts w:ascii="Cambria" w:hAnsi="Cambria"/>
                <w:iCs/>
                <w:szCs w:val="18"/>
              </w:rPr>
              <w:t>.</w:t>
            </w:r>
          </w:p>
        </w:tc>
      </w:tr>
      <w:tr w:rsidR="008163B6" w:rsidRPr="00474049" w14:paraId="62F6365B" w14:textId="77777777">
        <w:tc>
          <w:tcPr>
            <w:tcW w:w="1778" w:type="pct"/>
          </w:tcPr>
          <w:p w14:paraId="33B0A8B2" w14:textId="77777777" w:rsidR="008163B6" w:rsidRPr="008240FC" w:rsidRDefault="008163B6">
            <w:pPr>
              <w:pStyle w:val="TableText"/>
              <w:spacing w:before="40" w:after="40"/>
              <w:rPr>
                <w:rFonts w:ascii="Cambria" w:eastAsia="Cambria" w:hAnsi="Cambria" w:cs="LucidaBright,Italic"/>
                <w:iCs/>
                <w:szCs w:val="18"/>
                <w:lang w:eastAsia="en-AU"/>
              </w:rPr>
            </w:pPr>
            <w:r w:rsidRPr="008240FC">
              <w:rPr>
                <w:rFonts w:ascii="Cambria" w:eastAsia="Cambria" w:hAnsi="Cambria" w:cs="LucidaBright,Italic"/>
                <w:b/>
                <w:i/>
                <w:iCs/>
                <w:szCs w:val="18"/>
                <w:lang w:eastAsia="en-AU"/>
              </w:rPr>
              <w:t>Cucumis melo</w:t>
            </w:r>
            <w:r w:rsidRPr="008240FC">
              <w:rPr>
                <w:rFonts w:ascii="Cambria" w:eastAsia="Cambria" w:hAnsi="Cambria" w:cs="LucidaBright,Italic"/>
                <w:i/>
                <w:iCs/>
                <w:szCs w:val="18"/>
                <w:lang w:eastAsia="en-AU"/>
              </w:rPr>
              <w:t xml:space="preserve"> </w:t>
            </w:r>
            <w:r w:rsidR="00F709BD" w:rsidRPr="008240FC">
              <w:rPr>
                <w:rFonts w:ascii="Cambria" w:eastAsia="Cambria" w:hAnsi="Cambria" w:cs="LucidaBright,Italic"/>
                <w:iCs/>
                <w:szCs w:val="18"/>
                <w:lang w:eastAsia="en-AU"/>
              </w:rPr>
              <w:t xml:space="preserve">Linnaeus </w:t>
            </w:r>
            <w:r w:rsidR="00F709BD" w:rsidRPr="008240FC">
              <w:rPr>
                <w:rFonts w:ascii="Cambria" w:hAnsi="Cambria"/>
                <w:iCs/>
                <w:szCs w:val="18"/>
              </w:rPr>
              <w:t>[Cucurbitaceae]</w:t>
            </w:r>
          </w:p>
        </w:tc>
        <w:tc>
          <w:tcPr>
            <w:tcW w:w="1234" w:type="pct"/>
          </w:tcPr>
          <w:p w14:paraId="1B4473C2" w14:textId="77777777" w:rsidR="008163B6" w:rsidRPr="008240FC" w:rsidRDefault="008163B6">
            <w:pPr>
              <w:pStyle w:val="TableText"/>
              <w:spacing w:before="40" w:after="40"/>
              <w:rPr>
                <w:rFonts w:ascii="Cambria" w:eastAsia="Cambria" w:hAnsi="Cambria" w:cs="LucidaBright"/>
                <w:szCs w:val="18"/>
                <w:lang w:eastAsia="en-AU"/>
              </w:rPr>
            </w:pPr>
            <w:r w:rsidRPr="008240FC">
              <w:rPr>
                <w:rFonts w:ascii="Cambria" w:eastAsia="Cambria" w:hAnsi="Cambria" w:cs="LucidaBright"/>
                <w:szCs w:val="18"/>
                <w:lang w:eastAsia="en-AU"/>
              </w:rPr>
              <w:t>Cantaloupe, Melon</w:t>
            </w:r>
          </w:p>
        </w:tc>
        <w:tc>
          <w:tcPr>
            <w:tcW w:w="1066" w:type="pct"/>
          </w:tcPr>
          <w:p w14:paraId="6AEB0231" w14:textId="1CE915FB" w:rsidR="008163B6" w:rsidRPr="008240FC" w:rsidRDefault="008163B6" w:rsidP="00BF087E">
            <w:pPr>
              <w:pStyle w:val="TableText"/>
              <w:spacing w:before="40" w:after="40"/>
              <w:rPr>
                <w:rFonts w:ascii="Cambria" w:hAnsi="Cambria"/>
                <w:iCs/>
                <w:szCs w:val="18"/>
              </w:rPr>
            </w:pPr>
            <w:r w:rsidRPr="008240FC">
              <w:rPr>
                <w:rFonts w:ascii="Cambria" w:hAnsi="Cambria"/>
                <w:b/>
                <w:iCs/>
                <w:szCs w:val="18"/>
              </w:rPr>
              <w:t>Yes</w:t>
            </w:r>
            <w:r w:rsidRPr="008240FC">
              <w:rPr>
                <w:rFonts w:ascii="Cambria" w:hAnsi="Cambria"/>
                <w:iCs/>
                <w:szCs w:val="18"/>
              </w:rPr>
              <w:t xml:space="preserve"> (Sugiyama et al. 2006; Tian et al. 2014;</w:t>
            </w:r>
            <w:r w:rsidR="00BF087E">
              <w:rPr>
                <w:rFonts w:ascii="Cambria" w:hAnsi="Cambria"/>
                <w:iCs/>
                <w:szCs w:val="18"/>
              </w:rPr>
              <w:t xml:space="preserve"> </w:t>
            </w:r>
            <w:proofErr w:type="spellStart"/>
            <w:r w:rsidRPr="008240FC">
              <w:rPr>
                <w:rFonts w:ascii="Cambria" w:hAnsi="Cambria"/>
                <w:iCs/>
                <w:szCs w:val="18"/>
              </w:rPr>
              <w:t>Reingold</w:t>
            </w:r>
            <w:proofErr w:type="spellEnd"/>
            <w:r w:rsidRPr="008240FC">
              <w:rPr>
                <w:rFonts w:ascii="Cambria" w:hAnsi="Cambria"/>
                <w:iCs/>
                <w:szCs w:val="18"/>
              </w:rPr>
              <w:t xml:space="preserve"> et al. 2015)</w:t>
            </w:r>
          </w:p>
        </w:tc>
        <w:tc>
          <w:tcPr>
            <w:tcW w:w="922" w:type="pct"/>
          </w:tcPr>
          <w:p w14:paraId="54BFF3BB" w14:textId="77777777" w:rsidR="008163B6" w:rsidRPr="008240FC" w:rsidRDefault="008163B6">
            <w:pPr>
              <w:pStyle w:val="TableText"/>
              <w:spacing w:before="40" w:after="40"/>
              <w:rPr>
                <w:rFonts w:ascii="Cambria" w:hAnsi="Cambria"/>
                <w:iCs/>
                <w:szCs w:val="18"/>
              </w:rPr>
            </w:pPr>
            <w:r w:rsidRPr="008240FC">
              <w:rPr>
                <w:rFonts w:ascii="Cambria" w:hAnsi="Cambria"/>
                <w:b/>
                <w:iCs/>
                <w:szCs w:val="18"/>
              </w:rPr>
              <w:t xml:space="preserve">Yes </w:t>
            </w:r>
            <w:r w:rsidRPr="008240FC">
              <w:rPr>
                <w:rFonts w:ascii="Cambria" w:hAnsi="Cambria"/>
                <w:iCs/>
                <w:szCs w:val="18"/>
              </w:rPr>
              <w:t xml:space="preserve">(Tian et al. 2014; </w:t>
            </w:r>
            <w:proofErr w:type="spellStart"/>
            <w:r w:rsidRPr="008240FC">
              <w:rPr>
                <w:rFonts w:ascii="Cambria" w:hAnsi="Cambria"/>
                <w:iCs/>
                <w:szCs w:val="18"/>
              </w:rPr>
              <w:t>Reingold</w:t>
            </w:r>
            <w:proofErr w:type="spellEnd"/>
            <w:r w:rsidRPr="008240FC">
              <w:rPr>
                <w:rFonts w:ascii="Cambria" w:hAnsi="Cambria"/>
                <w:iCs/>
                <w:szCs w:val="18"/>
              </w:rPr>
              <w:t xml:space="preserve"> et al. 2015)</w:t>
            </w:r>
            <w:r w:rsidR="00F709BD" w:rsidRPr="008240FC">
              <w:rPr>
                <w:rFonts w:ascii="Cambria" w:hAnsi="Cambria"/>
                <w:iCs/>
                <w:szCs w:val="18"/>
              </w:rPr>
              <w:t>.</w:t>
            </w:r>
          </w:p>
        </w:tc>
      </w:tr>
      <w:tr w:rsidR="008163B6" w:rsidRPr="00474049" w14:paraId="33619EED" w14:textId="77777777">
        <w:tc>
          <w:tcPr>
            <w:tcW w:w="1778" w:type="pct"/>
          </w:tcPr>
          <w:p w14:paraId="1A9030B4" w14:textId="77777777" w:rsidR="008163B6" w:rsidRPr="008240FC" w:rsidRDefault="008163B6">
            <w:pPr>
              <w:pStyle w:val="TableText"/>
              <w:spacing w:before="40" w:after="40"/>
              <w:rPr>
                <w:rFonts w:ascii="Cambria" w:eastAsia="Cambria" w:hAnsi="Cambria" w:cs="LucidaBright,Italic"/>
                <w:iCs/>
                <w:szCs w:val="18"/>
                <w:lang w:eastAsia="en-AU"/>
              </w:rPr>
            </w:pPr>
            <w:r w:rsidRPr="008240FC">
              <w:rPr>
                <w:rFonts w:ascii="Cambria" w:eastAsia="Cambria" w:hAnsi="Cambria" w:cs="LucidaBright,Italic"/>
                <w:b/>
                <w:i/>
                <w:iCs/>
                <w:szCs w:val="18"/>
                <w:lang w:eastAsia="en-AU"/>
              </w:rPr>
              <w:t>Cucumis sativus</w:t>
            </w:r>
            <w:r w:rsidRPr="008240FC">
              <w:rPr>
                <w:rFonts w:ascii="Cambria" w:eastAsia="Cambria" w:hAnsi="Cambria" w:cs="LucidaBright,Italic"/>
                <w:i/>
                <w:iCs/>
                <w:szCs w:val="18"/>
                <w:lang w:eastAsia="en-AU"/>
              </w:rPr>
              <w:t xml:space="preserve"> </w:t>
            </w:r>
            <w:r w:rsidR="00F709BD" w:rsidRPr="008240FC">
              <w:rPr>
                <w:rFonts w:ascii="Cambria" w:eastAsia="Cambria" w:hAnsi="Cambria" w:cs="LucidaBright,Italic"/>
                <w:iCs/>
                <w:szCs w:val="18"/>
                <w:lang w:eastAsia="en-AU"/>
              </w:rPr>
              <w:t xml:space="preserve">Linnaeus </w:t>
            </w:r>
            <w:r w:rsidR="00F709BD" w:rsidRPr="008240FC">
              <w:rPr>
                <w:rFonts w:ascii="Cambria" w:hAnsi="Cambria"/>
                <w:iCs/>
                <w:szCs w:val="18"/>
              </w:rPr>
              <w:t>[Cucurbitaceae]</w:t>
            </w:r>
          </w:p>
        </w:tc>
        <w:tc>
          <w:tcPr>
            <w:tcW w:w="1234" w:type="pct"/>
          </w:tcPr>
          <w:p w14:paraId="28A93598" w14:textId="77777777" w:rsidR="008163B6" w:rsidRPr="008240FC" w:rsidRDefault="008163B6">
            <w:pPr>
              <w:pStyle w:val="TableText"/>
              <w:spacing w:before="40" w:after="40"/>
              <w:rPr>
                <w:rFonts w:ascii="Cambria" w:eastAsia="Cambria" w:hAnsi="Cambria" w:cs="LucidaBright,Italic"/>
                <w:iCs/>
                <w:szCs w:val="18"/>
                <w:lang w:eastAsia="en-AU"/>
              </w:rPr>
            </w:pPr>
            <w:r w:rsidRPr="008240FC">
              <w:rPr>
                <w:rFonts w:ascii="Cambria" w:eastAsia="Cambria" w:hAnsi="Cambria" w:cs="LucidaBright,Italic"/>
                <w:iCs/>
                <w:szCs w:val="18"/>
                <w:lang w:eastAsia="en-AU"/>
              </w:rPr>
              <w:t>Cucumber</w:t>
            </w:r>
          </w:p>
        </w:tc>
        <w:tc>
          <w:tcPr>
            <w:tcW w:w="1066" w:type="pct"/>
          </w:tcPr>
          <w:p w14:paraId="7E79D7A4" w14:textId="34FCF87B" w:rsidR="008163B6" w:rsidRPr="008240FC" w:rsidRDefault="008163B6">
            <w:pPr>
              <w:tabs>
                <w:tab w:val="left" w:pos="4360"/>
                <w:tab w:val="left" w:pos="8720"/>
              </w:tabs>
              <w:spacing w:before="40" w:after="40"/>
              <w:rPr>
                <w:rFonts w:ascii="Cambria" w:eastAsia="Cambria" w:hAnsi="Cambria" w:cs="LucidaBright,Italic"/>
                <w:iCs/>
                <w:sz w:val="18"/>
                <w:szCs w:val="18"/>
                <w:lang w:eastAsia="en-AU"/>
              </w:rPr>
            </w:pPr>
            <w:r w:rsidRPr="008240FC">
              <w:rPr>
                <w:rFonts w:ascii="Cambria" w:eastAsia="Cambria" w:hAnsi="Cambria" w:cs="LucidaBright,Italic"/>
                <w:b/>
                <w:iCs/>
                <w:sz w:val="18"/>
                <w:szCs w:val="18"/>
                <w:lang w:eastAsia="en-AU"/>
              </w:rPr>
              <w:t>Yes</w:t>
            </w:r>
            <w:r w:rsidRPr="008240FC">
              <w:rPr>
                <w:rFonts w:ascii="Cambria" w:eastAsia="Cambria" w:hAnsi="Cambria" w:cs="LucidaBright,Italic"/>
                <w:iCs/>
                <w:sz w:val="18"/>
                <w:szCs w:val="18"/>
                <w:lang w:eastAsia="en-AU"/>
              </w:rPr>
              <w:t xml:space="preserve"> (Liu et al. 2014)</w:t>
            </w:r>
          </w:p>
        </w:tc>
        <w:tc>
          <w:tcPr>
            <w:tcW w:w="922" w:type="pct"/>
          </w:tcPr>
          <w:p w14:paraId="23529D19" w14:textId="77777777" w:rsidR="008163B6" w:rsidRPr="008240FC" w:rsidRDefault="008163B6">
            <w:pPr>
              <w:tabs>
                <w:tab w:val="left" w:pos="4360"/>
                <w:tab w:val="left" w:pos="8720"/>
              </w:tabs>
              <w:spacing w:before="40" w:after="40"/>
              <w:rPr>
                <w:rFonts w:ascii="Cambria" w:eastAsia="Cambria" w:hAnsi="Cambria" w:cs="LucidaBright,Italic"/>
                <w:iCs/>
                <w:sz w:val="18"/>
                <w:szCs w:val="18"/>
                <w:lang w:eastAsia="en-AU"/>
              </w:rPr>
            </w:pPr>
            <w:r w:rsidRPr="008240FC">
              <w:rPr>
                <w:rFonts w:ascii="Cambria" w:eastAsia="Cambria" w:hAnsi="Cambria" w:cs="LucidaBright,Italic"/>
                <w:b/>
                <w:iCs/>
                <w:sz w:val="18"/>
                <w:szCs w:val="18"/>
                <w:lang w:eastAsia="en-AU"/>
              </w:rPr>
              <w:t>Yes</w:t>
            </w:r>
            <w:r w:rsidRPr="008240FC">
              <w:rPr>
                <w:rFonts w:ascii="Cambria" w:eastAsia="Cambria" w:hAnsi="Cambria" w:cs="LucidaBright,Italic"/>
                <w:iCs/>
                <w:sz w:val="18"/>
                <w:szCs w:val="18"/>
                <w:lang w:eastAsia="en-AU"/>
              </w:rPr>
              <w:t xml:space="preserve"> (</w:t>
            </w:r>
            <w:proofErr w:type="spellStart"/>
            <w:r w:rsidRPr="008240FC">
              <w:rPr>
                <w:rFonts w:ascii="Cambria" w:eastAsia="Cambria" w:hAnsi="Cambria" w:cs="LucidaBright,Italic"/>
                <w:iCs/>
                <w:sz w:val="18"/>
                <w:szCs w:val="18"/>
                <w:lang w:eastAsia="en-AU"/>
              </w:rPr>
              <w:t>Faris-Mukhayyish</w:t>
            </w:r>
            <w:proofErr w:type="spellEnd"/>
            <w:r w:rsidRPr="008240FC">
              <w:rPr>
                <w:rFonts w:ascii="Cambria" w:eastAsia="Cambria" w:hAnsi="Cambria" w:cs="LucidaBright,Italic"/>
                <w:iCs/>
                <w:sz w:val="18"/>
                <w:szCs w:val="18"/>
                <w:lang w:eastAsia="en-AU"/>
              </w:rPr>
              <w:t xml:space="preserve"> &amp; </w:t>
            </w:r>
            <w:proofErr w:type="spellStart"/>
            <w:r w:rsidRPr="008240FC">
              <w:rPr>
                <w:rFonts w:ascii="Cambria" w:eastAsia="Cambria" w:hAnsi="Cambria" w:cs="LucidaBright,Italic"/>
                <w:iCs/>
                <w:sz w:val="18"/>
                <w:szCs w:val="18"/>
                <w:lang w:eastAsia="en-AU"/>
              </w:rPr>
              <w:t>Makkouk</w:t>
            </w:r>
            <w:proofErr w:type="spellEnd"/>
            <w:r w:rsidRPr="008240FC">
              <w:rPr>
                <w:rFonts w:ascii="Cambria" w:eastAsia="Cambria" w:hAnsi="Cambria" w:cs="LucidaBright,Italic"/>
                <w:iCs/>
                <w:sz w:val="18"/>
                <w:szCs w:val="18"/>
                <w:lang w:eastAsia="en-AU"/>
              </w:rPr>
              <w:t xml:space="preserve"> 1983; Liu et al. 2014)</w:t>
            </w:r>
            <w:r w:rsidR="00F709BD" w:rsidRPr="008240FC">
              <w:rPr>
                <w:rFonts w:ascii="Cambria" w:eastAsia="Cambria" w:hAnsi="Cambria" w:cs="LucidaBright,Italic"/>
                <w:iCs/>
                <w:sz w:val="18"/>
                <w:szCs w:val="18"/>
                <w:lang w:eastAsia="en-AU"/>
              </w:rPr>
              <w:t>.</w:t>
            </w:r>
          </w:p>
        </w:tc>
      </w:tr>
      <w:tr w:rsidR="008163B6" w:rsidRPr="00474049" w14:paraId="4C15B83B" w14:textId="77777777">
        <w:tc>
          <w:tcPr>
            <w:tcW w:w="1778" w:type="pct"/>
          </w:tcPr>
          <w:p w14:paraId="431AB194" w14:textId="77777777" w:rsidR="008163B6" w:rsidRPr="008240FC" w:rsidRDefault="008163B6">
            <w:pPr>
              <w:tabs>
                <w:tab w:val="left" w:pos="4360"/>
                <w:tab w:val="left" w:pos="8720"/>
              </w:tabs>
              <w:spacing w:before="40" w:after="40"/>
              <w:rPr>
                <w:rFonts w:ascii="Cambria" w:eastAsia="Cambria" w:hAnsi="Cambria" w:cs="LucidaBright"/>
                <w:sz w:val="18"/>
                <w:szCs w:val="18"/>
              </w:rPr>
            </w:pPr>
            <w:r w:rsidRPr="008240FC">
              <w:rPr>
                <w:rFonts w:ascii="Cambria" w:eastAsia="Cambria" w:hAnsi="Cambria" w:cs="LucidaBright"/>
                <w:b/>
                <w:i/>
                <w:sz w:val="18"/>
                <w:szCs w:val="18"/>
              </w:rPr>
              <w:t>Cucurbita maxima</w:t>
            </w:r>
            <w:r w:rsidRPr="008240FC">
              <w:rPr>
                <w:rFonts w:ascii="Cambria" w:eastAsia="Cambria" w:hAnsi="Cambria" w:cs="LucidaBright"/>
                <w:i/>
                <w:sz w:val="18"/>
                <w:szCs w:val="18"/>
              </w:rPr>
              <w:t xml:space="preserve"> </w:t>
            </w:r>
            <w:r w:rsidRPr="008240FC">
              <w:rPr>
                <w:rFonts w:ascii="Cambria" w:eastAsia="Cambria" w:hAnsi="Cambria" w:cs="LucidaBright"/>
                <w:sz w:val="18"/>
                <w:szCs w:val="18"/>
              </w:rPr>
              <w:t>Duchesne</w:t>
            </w:r>
            <w:r w:rsidR="00F709BD" w:rsidRPr="008240FC">
              <w:rPr>
                <w:rFonts w:ascii="Cambria" w:eastAsia="Cambria" w:hAnsi="Cambria" w:cs="LucidaBright"/>
                <w:sz w:val="18"/>
                <w:szCs w:val="18"/>
              </w:rPr>
              <w:t xml:space="preserve"> </w:t>
            </w:r>
            <w:r w:rsidRPr="008240FC">
              <w:rPr>
                <w:rFonts w:ascii="Cambria" w:hAnsi="Cambria"/>
                <w:iCs/>
                <w:sz w:val="18"/>
                <w:szCs w:val="18"/>
              </w:rPr>
              <w:t>[Cucurbitaceae]</w:t>
            </w:r>
          </w:p>
        </w:tc>
        <w:tc>
          <w:tcPr>
            <w:tcW w:w="1234" w:type="pct"/>
          </w:tcPr>
          <w:p w14:paraId="721B5F8B" w14:textId="77777777" w:rsidR="008163B6" w:rsidRPr="008240FC" w:rsidRDefault="008163B6">
            <w:pPr>
              <w:tabs>
                <w:tab w:val="left" w:pos="4360"/>
                <w:tab w:val="left" w:pos="8720"/>
              </w:tabs>
              <w:spacing w:before="40" w:after="40"/>
              <w:rPr>
                <w:rFonts w:ascii="Cambria" w:eastAsia="Cambria" w:hAnsi="Cambria" w:cs="LucidaBright,Italic"/>
                <w:iCs/>
                <w:sz w:val="18"/>
                <w:szCs w:val="18"/>
                <w:lang w:eastAsia="en-AU"/>
              </w:rPr>
            </w:pPr>
            <w:r w:rsidRPr="008240FC">
              <w:rPr>
                <w:rFonts w:ascii="Cambria" w:eastAsia="Cambria" w:hAnsi="Cambria" w:cs="LucidaBright"/>
                <w:sz w:val="18"/>
                <w:szCs w:val="18"/>
              </w:rPr>
              <w:t xml:space="preserve">Buttercup squash, </w:t>
            </w:r>
            <w:proofErr w:type="spellStart"/>
            <w:r w:rsidRPr="008240FC">
              <w:rPr>
                <w:rFonts w:ascii="Cambria" w:eastAsia="Cambria" w:hAnsi="Cambria" w:cs="LucidaBright"/>
                <w:sz w:val="18"/>
                <w:szCs w:val="18"/>
              </w:rPr>
              <w:t>Kabotcha</w:t>
            </w:r>
            <w:proofErr w:type="spellEnd"/>
            <w:r w:rsidRPr="008240FC">
              <w:rPr>
                <w:rFonts w:ascii="Cambria" w:eastAsia="Cambria" w:hAnsi="Cambria" w:cs="LucidaBright"/>
                <w:sz w:val="18"/>
                <w:szCs w:val="18"/>
              </w:rPr>
              <w:t>, Pumpkin</w:t>
            </w:r>
          </w:p>
        </w:tc>
        <w:tc>
          <w:tcPr>
            <w:tcW w:w="1066" w:type="pct"/>
          </w:tcPr>
          <w:p w14:paraId="1F2D3D1A" w14:textId="1115DFB6" w:rsidR="008163B6" w:rsidRPr="008240FC" w:rsidRDefault="008163B6" w:rsidP="00BF087E">
            <w:pPr>
              <w:tabs>
                <w:tab w:val="left" w:pos="4360"/>
                <w:tab w:val="left" w:pos="8720"/>
              </w:tabs>
              <w:spacing w:before="40" w:after="40"/>
              <w:rPr>
                <w:rFonts w:ascii="Cambria" w:eastAsia="Cambria" w:hAnsi="Cambria" w:cs="LucidaBright,Italic"/>
                <w:iCs/>
                <w:sz w:val="18"/>
                <w:szCs w:val="18"/>
                <w:lang w:eastAsia="en-AU"/>
              </w:rPr>
            </w:pPr>
            <w:r w:rsidRPr="008240FC">
              <w:rPr>
                <w:rFonts w:ascii="Cambria" w:eastAsia="Cambria" w:hAnsi="Cambria" w:cs="LucidaBright,Italic"/>
                <w:b/>
                <w:iCs/>
                <w:sz w:val="18"/>
                <w:szCs w:val="18"/>
                <w:lang w:eastAsia="en-AU"/>
              </w:rPr>
              <w:t>Yes</w:t>
            </w:r>
            <w:r w:rsidRPr="008240FC">
              <w:rPr>
                <w:rFonts w:ascii="Cambria" w:eastAsia="Cambria" w:hAnsi="Cambria" w:cs="LucidaBright,Italic"/>
                <w:iCs/>
                <w:sz w:val="18"/>
                <w:szCs w:val="18"/>
                <w:lang w:eastAsia="en-AU"/>
              </w:rPr>
              <w:t xml:space="preserve"> (</w:t>
            </w:r>
            <w:r w:rsidR="009C0222" w:rsidRPr="008240FC">
              <w:rPr>
                <w:rFonts w:ascii="Cambria" w:eastAsia="Cambria" w:hAnsi="Cambria" w:cs="LucidaBright,Italic"/>
                <w:iCs/>
                <w:sz w:val="18"/>
                <w:szCs w:val="18"/>
                <w:lang w:eastAsia="en-AU"/>
              </w:rPr>
              <w:t>Stephen West [NT Department of Primary Industry and Fisheries</w:t>
            </w:r>
            <w:r w:rsidR="00BF087E">
              <w:rPr>
                <w:rFonts w:ascii="Cambria" w:eastAsia="Cambria" w:hAnsi="Cambria" w:cs="LucidaBright,Italic"/>
                <w:iCs/>
                <w:sz w:val="18"/>
                <w:szCs w:val="18"/>
                <w:lang w:eastAsia="en-AU"/>
              </w:rPr>
              <w:t xml:space="preserve"> (DPIF)</w:t>
            </w:r>
            <w:r w:rsidR="009C0222" w:rsidRPr="008240FC">
              <w:rPr>
                <w:rFonts w:ascii="Cambria" w:eastAsia="Cambria" w:hAnsi="Cambria" w:cs="LucidaBright,Italic"/>
                <w:iCs/>
                <w:sz w:val="18"/>
                <w:szCs w:val="18"/>
                <w:lang w:eastAsia="en-AU"/>
              </w:rPr>
              <w:t>] 2015,</w:t>
            </w:r>
            <w:r w:rsidRPr="008240FC">
              <w:rPr>
                <w:rFonts w:ascii="Cambria" w:eastAsia="Cambria" w:hAnsi="Cambria" w:cs="LucidaBright,Italic"/>
                <w:iCs/>
                <w:sz w:val="18"/>
                <w:szCs w:val="18"/>
                <w:lang w:eastAsia="en-AU"/>
              </w:rPr>
              <w:t xml:space="preserve"> pers. comm.</w:t>
            </w:r>
            <w:r w:rsidR="009C0222" w:rsidRPr="008240FC">
              <w:rPr>
                <w:rFonts w:ascii="Cambria" w:eastAsia="Cambria" w:hAnsi="Cambria" w:cs="LucidaBright,Italic"/>
                <w:iCs/>
                <w:sz w:val="18"/>
                <w:szCs w:val="18"/>
                <w:lang w:eastAsia="en-AU"/>
              </w:rPr>
              <w:t>,</w:t>
            </w:r>
            <w:r w:rsidRPr="008240FC">
              <w:rPr>
                <w:rFonts w:ascii="Cambria" w:eastAsia="Cambria" w:hAnsi="Cambria" w:cs="LucidaBright,Italic"/>
                <w:iCs/>
                <w:sz w:val="18"/>
                <w:szCs w:val="18"/>
                <w:lang w:eastAsia="en-AU"/>
              </w:rPr>
              <w:t xml:space="preserve"> </w:t>
            </w:r>
            <w:r w:rsidR="009C0222" w:rsidRPr="008240FC">
              <w:rPr>
                <w:rFonts w:ascii="Cambria" w:eastAsia="Cambria" w:hAnsi="Cambria" w:cs="LucidaBright,Italic"/>
                <w:iCs/>
                <w:sz w:val="18"/>
                <w:szCs w:val="18"/>
                <w:lang w:eastAsia="en-AU"/>
              </w:rPr>
              <w:t>9 September</w:t>
            </w:r>
            <w:r w:rsidRPr="008240FC">
              <w:rPr>
                <w:rFonts w:ascii="Cambria" w:eastAsia="Cambria" w:hAnsi="Cambria" w:cs="LucidaBright,Italic"/>
                <w:iCs/>
                <w:sz w:val="18"/>
                <w:szCs w:val="18"/>
                <w:lang w:eastAsia="en-AU"/>
              </w:rPr>
              <w:t>)</w:t>
            </w:r>
          </w:p>
        </w:tc>
        <w:tc>
          <w:tcPr>
            <w:tcW w:w="922" w:type="pct"/>
          </w:tcPr>
          <w:p w14:paraId="258DCD9D" w14:textId="57D8AB9D" w:rsidR="008163B6" w:rsidRPr="008240FC" w:rsidRDefault="00256D90" w:rsidP="0070635C">
            <w:pPr>
              <w:pStyle w:val="TableText"/>
              <w:spacing w:before="40" w:after="40"/>
              <w:rPr>
                <w:rFonts w:ascii="Cambria" w:hAnsi="Cambria"/>
                <w:iCs/>
                <w:szCs w:val="18"/>
              </w:rPr>
            </w:pPr>
            <w:r w:rsidRPr="008240FC">
              <w:rPr>
                <w:rFonts w:ascii="Cambria" w:hAnsi="Cambria"/>
                <w:b/>
                <w:iCs/>
                <w:szCs w:val="18"/>
              </w:rPr>
              <w:t>Yes</w:t>
            </w:r>
            <w:r w:rsidRPr="008240FC">
              <w:rPr>
                <w:rFonts w:ascii="Cambria" w:hAnsi="Cambria"/>
                <w:iCs/>
                <w:szCs w:val="18"/>
              </w:rPr>
              <w:t xml:space="preserve"> (</w:t>
            </w:r>
            <w:r w:rsidR="0070635C" w:rsidRPr="008240FC">
              <w:rPr>
                <w:rFonts w:ascii="Cambria" w:hAnsi="Cambria"/>
                <w:iCs/>
                <w:szCs w:val="18"/>
              </w:rPr>
              <w:t>Fiona Constable [Department of Economic Development, Jobs, Transport and Resources, Victoria</w:t>
            </w:r>
            <w:r w:rsidR="00BF087E">
              <w:rPr>
                <w:rFonts w:ascii="Cambria" w:hAnsi="Cambria"/>
                <w:iCs/>
                <w:szCs w:val="18"/>
              </w:rPr>
              <w:t xml:space="preserve"> (DEDJTR)</w:t>
            </w:r>
            <w:r w:rsidR="0070635C" w:rsidRPr="008240FC">
              <w:rPr>
                <w:rFonts w:ascii="Cambria" w:hAnsi="Cambria"/>
                <w:iCs/>
                <w:szCs w:val="18"/>
              </w:rPr>
              <w:t>] 2015, pers.</w:t>
            </w:r>
            <w:r w:rsidR="008F1BBC" w:rsidRPr="008240FC">
              <w:rPr>
                <w:rFonts w:ascii="Cambria" w:hAnsi="Cambria"/>
                <w:iCs/>
                <w:szCs w:val="18"/>
              </w:rPr>
              <w:t xml:space="preserve"> </w:t>
            </w:r>
            <w:r w:rsidR="0070635C" w:rsidRPr="008240FC">
              <w:rPr>
                <w:rFonts w:ascii="Cambria" w:hAnsi="Cambria"/>
                <w:iCs/>
                <w:szCs w:val="18"/>
              </w:rPr>
              <w:t>comm.</w:t>
            </w:r>
            <w:r w:rsidR="008F1BBC" w:rsidRPr="008240FC">
              <w:rPr>
                <w:rFonts w:ascii="Cambria" w:hAnsi="Cambria"/>
                <w:iCs/>
                <w:szCs w:val="18"/>
              </w:rPr>
              <w:t>,</w:t>
            </w:r>
            <w:r w:rsidR="0070635C" w:rsidRPr="008240FC">
              <w:rPr>
                <w:rFonts w:ascii="Cambria" w:hAnsi="Cambria"/>
                <w:iCs/>
                <w:szCs w:val="18"/>
              </w:rPr>
              <w:t xml:space="preserve"> 2 December</w:t>
            </w:r>
            <w:r w:rsidRPr="008240FC">
              <w:rPr>
                <w:rFonts w:ascii="Cambria" w:hAnsi="Cambria"/>
                <w:iCs/>
                <w:szCs w:val="18"/>
              </w:rPr>
              <w:t>)</w:t>
            </w:r>
            <w:r w:rsidR="00F709BD" w:rsidRPr="008240FC">
              <w:rPr>
                <w:rFonts w:ascii="Cambria" w:hAnsi="Cambria"/>
                <w:iCs/>
                <w:szCs w:val="18"/>
              </w:rPr>
              <w:t>.</w:t>
            </w:r>
          </w:p>
        </w:tc>
      </w:tr>
      <w:tr w:rsidR="006D606B" w:rsidRPr="00474049" w14:paraId="67EC5ABC" w14:textId="77777777">
        <w:tc>
          <w:tcPr>
            <w:tcW w:w="1778" w:type="pct"/>
          </w:tcPr>
          <w:p w14:paraId="58B16827" w14:textId="43AEACB6" w:rsidR="006D606B" w:rsidRPr="004F6FE7" w:rsidRDefault="006D606B">
            <w:pPr>
              <w:tabs>
                <w:tab w:val="left" w:pos="4360"/>
                <w:tab w:val="left" w:pos="8720"/>
              </w:tabs>
              <w:spacing w:before="40" w:after="40"/>
              <w:rPr>
                <w:rFonts w:ascii="Cambria" w:eastAsia="Cambria" w:hAnsi="Cambria" w:cs="LucidaBright"/>
                <w:b/>
                <w:sz w:val="18"/>
                <w:szCs w:val="18"/>
              </w:rPr>
            </w:pPr>
            <w:r w:rsidRPr="004F6FE7">
              <w:rPr>
                <w:rFonts w:ascii="Cambria" w:eastAsia="Cambria" w:hAnsi="Cambria" w:cs="LucidaBright"/>
                <w:b/>
                <w:i/>
                <w:sz w:val="18"/>
                <w:szCs w:val="18"/>
              </w:rPr>
              <w:t xml:space="preserve">Cucurbita maxima </w:t>
            </w:r>
            <w:r w:rsidRPr="004F6FE7">
              <w:rPr>
                <w:rFonts w:ascii="Cambria" w:eastAsia="Cambria" w:hAnsi="Cambria" w:cs="LucidaBright"/>
                <w:sz w:val="18"/>
                <w:szCs w:val="18"/>
              </w:rPr>
              <w:t>Duchesne</w:t>
            </w:r>
            <w:r w:rsidRPr="004F6FE7">
              <w:rPr>
                <w:rFonts w:ascii="Cambria" w:eastAsia="Cambria" w:hAnsi="Cambria" w:cs="LucidaBright"/>
                <w:b/>
                <w:i/>
                <w:sz w:val="18"/>
                <w:szCs w:val="18"/>
              </w:rPr>
              <w:t xml:space="preserve"> </w:t>
            </w:r>
            <w:r w:rsidRPr="004F6FE7">
              <w:rPr>
                <w:rFonts w:ascii="Cambria" w:eastAsia="Cambria" w:hAnsi="Cambria" w:cs="LucidaBright"/>
                <w:b/>
                <w:sz w:val="18"/>
                <w:szCs w:val="18"/>
              </w:rPr>
              <w:t xml:space="preserve">x </w:t>
            </w:r>
            <w:r w:rsidRPr="004F6FE7">
              <w:rPr>
                <w:rFonts w:ascii="Cambria" w:eastAsia="Cambria" w:hAnsi="Cambria" w:cs="LucidaBright"/>
                <w:b/>
                <w:i/>
                <w:sz w:val="18"/>
                <w:szCs w:val="18"/>
              </w:rPr>
              <w:t>Cucurbita moschata</w:t>
            </w:r>
            <w:r w:rsidRPr="004F6FE7">
              <w:rPr>
                <w:rFonts w:ascii="Cambria" w:eastAsia="Cambria" w:hAnsi="Cambria" w:cs="LucidaBright"/>
                <w:sz w:val="18"/>
                <w:szCs w:val="18"/>
              </w:rPr>
              <w:t xml:space="preserve"> Duchesne</w:t>
            </w:r>
            <w:r w:rsidRPr="004F6FE7">
              <w:rPr>
                <w:rFonts w:ascii="Cambria" w:eastAsia="Cambria" w:hAnsi="Cambria" w:cs="LucidaBright"/>
                <w:b/>
                <w:i/>
                <w:sz w:val="18"/>
                <w:szCs w:val="18"/>
              </w:rPr>
              <w:t xml:space="preserve"> </w:t>
            </w:r>
            <w:r w:rsidRPr="004F6FE7">
              <w:rPr>
                <w:rFonts w:ascii="Cambria" w:eastAsia="Cambria" w:hAnsi="Cambria" w:cs="LucidaBright"/>
                <w:sz w:val="18"/>
                <w:szCs w:val="18"/>
              </w:rPr>
              <w:t>[Cucurbitaceae]</w:t>
            </w:r>
          </w:p>
        </w:tc>
        <w:tc>
          <w:tcPr>
            <w:tcW w:w="1234" w:type="pct"/>
          </w:tcPr>
          <w:p w14:paraId="28F58BFE" w14:textId="6F9D4083" w:rsidR="006D606B" w:rsidRPr="004F6FE7" w:rsidRDefault="006D606B" w:rsidP="00BF087E">
            <w:pPr>
              <w:tabs>
                <w:tab w:val="left" w:pos="4360"/>
                <w:tab w:val="left" w:pos="8720"/>
              </w:tabs>
              <w:spacing w:before="40" w:after="40"/>
              <w:rPr>
                <w:rFonts w:ascii="Cambria" w:eastAsia="Cambria" w:hAnsi="Cambria" w:cs="LucidaBright"/>
                <w:sz w:val="18"/>
                <w:szCs w:val="18"/>
              </w:rPr>
            </w:pPr>
            <w:proofErr w:type="spellStart"/>
            <w:r w:rsidRPr="004F6FE7">
              <w:rPr>
                <w:rFonts w:ascii="Cambria" w:eastAsia="Cambria" w:hAnsi="Cambria" w:cs="LucidaBright"/>
                <w:sz w:val="18"/>
                <w:szCs w:val="18"/>
              </w:rPr>
              <w:t>Kabotcha</w:t>
            </w:r>
            <w:proofErr w:type="spellEnd"/>
            <w:r w:rsidRPr="004F6FE7">
              <w:rPr>
                <w:rFonts w:ascii="Cambria" w:eastAsia="Cambria" w:hAnsi="Cambria" w:cs="LucidaBright"/>
                <w:sz w:val="18"/>
                <w:szCs w:val="18"/>
              </w:rPr>
              <w:t xml:space="preserve">, </w:t>
            </w:r>
            <w:r w:rsidR="00BF087E">
              <w:rPr>
                <w:rFonts w:ascii="Cambria" w:eastAsia="Cambria" w:hAnsi="Cambria" w:cs="LucidaBright"/>
                <w:sz w:val="18"/>
                <w:szCs w:val="18"/>
              </w:rPr>
              <w:t>P</w:t>
            </w:r>
            <w:r w:rsidRPr="004F6FE7">
              <w:rPr>
                <w:rFonts w:ascii="Cambria" w:eastAsia="Cambria" w:hAnsi="Cambria" w:cs="LucidaBright"/>
                <w:sz w:val="18"/>
                <w:szCs w:val="18"/>
              </w:rPr>
              <w:t>umpkin</w:t>
            </w:r>
          </w:p>
        </w:tc>
        <w:tc>
          <w:tcPr>
            <w:tcW w:w="1066" w:type="pct"/>
          </w:tcPr>
          <w:p w14:paraId="6F08685C" w14:textId="459E3D2A" w:rsidR="006D606B" w:rsidRPr="004F6FE7" w:rsidRDefault="006D606B" w:rsidP="00BF087E">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(Fiona Constable [D</w:t>
            </w:r>
            <w:r w:rsidR="00BF087E">
              <w:rPr>
                <w:rFonts w:ascii="Cambria" w:eastAsia="Cambria" w:hAnsi="Cambria" w:cs="LucidaBright,Italic"/>
                <w:iCs/>
                <w:sz w:val="18"/>
                <w:szCs w:val="18"/>
                <w:lang w:eastAsia="en-AU"/>
              </w:rPr>
              <w:t>EDJTR</w:t>
            </w:r>
            <w:r w:rsidRPr="004F6FE7">
              <w:rPr>
                <w:rFonts w:ascii="Cambria" w:eastAsia="Cambria" w:hAnsi="Cambria" w:cs="LucidaBright,Italic"/>
                <w:iCs/>
                <w:sz w:val="18"/>
                <w:szCs w:val="18"/>
                <w:lang w:eastAsia="en-AU"/>
              </w:rPr>
              <w:t>]</w:t>
            </w:r>
            <w:r w:rsidR="00BF087E">
              <w:rPr>
                <w:rFonts w:ascii="Cambria" w:eastAsia="Cambria" w:hAnsi="Cambria" w:cs="LucidaBright,Italic"/>
                <w:iCs/>
                <w:sz w:val="18"/>
                <w:szCs w:val="18"/>
                <w:lang w:eastAsia="en-AU"/>
              </w:rPr>
              <w:t xml:space="preserve"> 2015, pers. comm., 2 December)</w:t>
            </w:r>
          </w:p>
        </w:tc>
        <w:tc>
          <w:tcPr>
            <w:tcW w:w="922" w:type="pct"/>
          </w:tcPr>
          <w:p w14:paraId="30989080" w14:textId="0C11EB20" w:rsidR="006D606B" w:rsidRPr="004F6FE7" w:rsidRDefault="006D606B" w:rsidP="00BF087E">
            <w:pPr>
              <w:pStyle w:val="TableText"/>
              <w:spacing w:before="40" w:after="40"/>
              <w:rPr>
                <w:rFonts w:ascii="Cambria" w:hAnsi="Cambria"/>
                <w:b/>
                <w:iCs/>
                <w:szCs w:val="18"/>
              </w:rPr>
            </w:pPr>
            <w:r w:rsidRPr="004F6FE7">
              <w:rPr>
                <w:rFonts w:ascii="Cambria" w:hAnsi="Cambria"/>
                <w:b/>
                <w:iCs/>
                <w:szCs w:val="18"/>
              </w:rPr>
              <w:t>Yes</w:t>
            </w:r>
            <w:r w:rsidRPr="004F6FE7">
              <w:rPr>
                <w:rFonts w:ascii="Cambria" w:hAnsi="Cambria"/>
                <w:iCs/>
                <w:szCs w:val="18"/>
              </w:rPr>
              <w:t xml:space="preserve"> (Fiona Constable [</w:t>
            </w:r>
            <w:r w:rsidR="00BF087E" w:rsidRPr="004F6FE7">
              <w:rPr>
                <w:rFonts w:ascii="Cambria" w:eastAsia="Cambria" w:hAnsi="Cambria" w:cs="LucidaBright,Italic"/>
                <w:iCs/>
                <w:szCs w:val="18"/>
                <w:lang w:eastAsia="en-AU"/>
              </w:rPr>
              <w:t>D</w:t>
            </w:r>
            <w:r w:rsidR="00BF087E">
              <w:rPr>
                <w:rFonts w:ascii="Cambria" w:eastAsia="Cambria" w:hAnsi="Cambria" w:cs="LucidaBright,Italic"/>
                <w:iCs/>
                <w:szCs w:val="18"/>
                <w:lang w:eastAsia="en-AU"/>
              </w:rPr>
              <w:t>EDJTR</w:t>
            </w:r>
            <w:r w:rsidRPr="004F6FE7">
              <w:rPr>
                <w:rFonts w:ascii="Cambria" w:hAnsi="Cambria"/>
                <w:iCs/>
                <w:szCs w:val="18"/>
              </w:rPr>
              <w:t>] 2015, pers. comm., 2 December).</w:t>
            </w:r>
          </w:p>
        </w:tc>
      </w:tr>
      <w:tr w:rsidR="008F1BBC" w:rsidRPr="00474049" w14:paraId="547BD063" w14:textId="77777777">
        <w:tc>
          <w:tcPr>
            <w:tcW w:w="1778" w:type="pct"/>
          </w:tcPr>
          <w:p w14:paraId="7849921C" w14:textId="77777777" w:rsidR="008F1BBC" w:rsidRPr="004F6FE7" w:rsidRDefault="008F1BBC">
            <w:pPr>
              <w:tabs>
                <w:tab w:val="left" w:pos="4360"/>
                <w:tab w:val="left" w:pos="8720"/>
              </w:tabs>
              <w:spacing w:before="40" w:after="40"/>
              <w:rPr>
                <w:rFonts w:ascii="Cambria" w:eastAsia="Cambria" w:hAnsi="Cambria" w:cs="LucidaBright,Italic"/>
                <w:i/>
                <w:iCs/>
                <w:sz w:val="18"/>
                <w:szCs w:val="18"/>
                <w:lang w:eastAsia="en-AU"/>
              </w:rPr>
            </w:pPr>
            <w:r w:rsidRPr="004F6FE7">
              <w:rPr>
                <w:rFonts w:ascii="Cambria" w:eastAsia="Cambria" w:hAnsi="Cambria" w:cs="LucidaBright,Italic"/>
                <w:b/>
                <w:i/>
                <w:iCs/>
                <w:sz w:val="18"/>
                <w:szCs w:val="18"/>
                <w:lang w:eastAsia="en-AU"/>
              </w:rPr>
              <w:t>Cucurbita moschata</w:t>
            </w:r>
            <w:r w:rsidRPr="004F6FE7">
              <w:rPr>
                <w:rFonts w:ascii="Cambria" w:eastAsia="Cambria" w:hAnsi="Cambria" w:cs="LucidaBright,Italic"/>
                <w:i/>
                <w:iCs/>
                <w:sz w:val="18"/>
                <w:szCs w:val="18"/>
                <w:lang w:eastAsia="en-AU"/>
              </w:rPr>
              <w:t xml:space="preserve"> </w:t>
            </w:r>
            <w:r w:rsidRPr="004F6FE7">
              <w:rPr>
                <w:rFonts w:ascii="Cambria" w:eastAsia="Cambria" w:hAnsi="Cambria" w:cs="LucidaBright"/>
                <w:sz w:val="18"/>
                <w:szCs w:val="18"/>
              </w:rPr>
              <w:t xml:space="preserve">Duchesne </w:t>
            </w:r>
            <w:r w:rsidRPr="004F6FE7">
              <w:rPr>
                <w:rFonts w:ascii="Cambria" w:hAnsi="Cambria"/>
                <w:iCs/>
                <w:sz w:val="18"/>
                <w:szCs w:val="18"/>
              </w:rPr>
              <w:t>[Cucurbitaceae]</w:t>
            </w:r>
          </w:p>
        </w:tc>
        <w:tc>
          <w:tcPr>
            <w:tcW w:w="1234" w:type="pct"/>
          </w:tcPr>
          <w:p w14:paraId="397744D8"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iCs/>
                <w:sz w:val="18"/>
                <w:szCs w:val="18"/>
                <w:lang w:eastAsia="en-AU"/>
              </w:rPr>
              <w:t>Butternut pumpkin, Butternut squash, Calabaza pumpkin , Pumpkin, Tropical pumpkin</w:t>
            </w:r>
          </w:p>
        </w:tc>
        <w:tc>
          <w:tcPr>
            <w:tcW w:w="1066" w:type="pct"/>
          </w:tcPr>
          <w:p w14:paraId="2F98D1EF" w14:textId="133A72D2"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(Noda </w:t>
            </w:r>
            <w:r w:rsidR="00BF087E">
              <w:rPr>
                <w:rFonts w:ascii="Cambria" w:eastAsia="Cambria" w:hAnsi="Cambria" w:cs="LucidaBright,Italic"/>
                <w:iCs/>
                <w:sz w:val="18"/>
                <w:szCs w:val="18"/>
                <w:lang w:eastAsia="en-AU"/>
              </w:rPr>
              <w:t>et al. 1993; Zhang et al. 2009)</w:t>
            </w:r>
          </w:p>
        </w:tc>
        <w:tc>
          <w:tcPr>
            <w:tcW w:w="922" w:type="pct"/>
          </w:tcPr>
          <w:p w14:paraId="14BA91E6" w14:textId="5460F636" w:rsidR="008F1BBC" w:rsidRPr="004F6FE7" w:rsidRDefault="008F1BBC" w:rsidP="00BF087E">
            <w:pPr>
              <w:pStyle w:val="TableText"/>
              <w:spacing w:before="40" w:after="40"/>
              <w:rPr>
                <w:rFonts w:ascii="Cambria" w:hAnsi="Cambria"/>
                <w:iCs/>
                <w:szCs w:val="18"/>
              </w:rPr>
            </w:pPr>
            <w:r w:rsidRPr="004F6FE7">
              <w:rPr>
                <w:rFonts w:ascii="Cambria" w:hAnsi="Cambria"/>
                <w:b/>
                <w:iCs/>
                <w:szCs w:val="18"/>
              </w:rPr>
              <w:t>Yes</w:t>
            </w:r>
            <w:r w:rsidRPr="004F6FE7">
              <w:rPr>
                <w:rFonts w:ascii="Cambria" w:hAnsi="Cambria"/>
                <w:iCs/>
                <w:szCs w:val="18"/>
              </w:rPr>
              <w:t xml:space="preserve"> (Fiona Constable [</w:t>
            </w:r>
            <w:r w:rsidR="00BF087E" w:rsidRPr="004F6FE7">
              <w:rPr>
                <w:rFonts w:ascii="Cambria" w:eastAsia="Cambria" w:hAnsi="Cambria" w:cs="LucidaBright,Italic"/>
                <w:iCs/>
                <w:szCs w:val="18"/>
                <w:lang w:eastAsia="en-AU"/>
              </w:rPr>
              <w:t>D</w:t>
            </w:r>
            <w:r w:rsidR="00BF087E">
              <w:rPr>
                <w:rFonts w:ascii="Cambria" w:eastAsia="Cambria" w:hAnsi="Cambria" w:cs="LucidaBright,Italic"/>
                <w:iCs/>
                <w:szCs w:val="18"/>
                <w:lang w:eastAsia="en-AU"/>
              </w:rPr>
              <w:t>EDJTR</w:t>
            </w:r>
            <w:r w:rsidRPr="004F6FE7">
              <w:rPr>
                <w:rFonts w:ascii="Cambria" w:hAnsi="Cambria"/>
                <w:iCs/>
                <w:szCs w:val="18"/>
              </w:rPr>
              <w:t>] 2015, pers. comm., 2 December).</w:t>
            </w:r>
          </w:p>
        </w:tc>
      </w:tr>
      <w:tr w:rsidR="008F1BBC" w:rsidRPr="00474049" w14:paraId="79E1E50D" w14:textId="77777777">
        <w:tc>
          <w:tcPr>
            <w:tcW w:w="1778" w:type="pct"/>
          </w:tcPr>
          <w:p w14:paraId="2CF649C5" w14:textId="77777777" w:rsidR="008F1BBC" w:rsidRPr="004F6FE7" w:rsidRDefault="008F1BBC">
            <w:pPr>
              <w:tabs>
                <w:tab w:val="left" w:pos="4360"/>
                <w:tab w:val="left" w:pos="8720"/>
              </w:tabs>
              <w:spacing w:before="40" w:after="40"/>
              <w:rPr>
                <w:rFonts w:ascii="Cambria" w:eastAsia="Cambria" w:hAnsi="Cambria" w:cs="LucidaBright,Italic"/>
                <w:b/>
                <w:iCs/>
                <w:sz w:val="18"/>
                <w:szCs w:val="18"/>
                <w:lang w:eastAsia="en-AU"/>
              </w:rPr>
            </w:pPr>
            <w:r w:rsidRPr="004F6FE7">
              <w:rPr>
                <w:rFonts w:ascii="Cambria" w:eastAsia="Cambria" w:hAnsi="Cambria" w:cs="LucidaBright,Italic"/>
                <w:b/>
                <w:i/>
                <w:iCs/>
                <w:sz w:val="18"/>
                <w:szCs w:val="18"/>
                <w:lang w:eastAsia="en-AU"/>
              </w:rPr>
              <w:t>Cucurbita pepo</w:t>
            </w:r>
            <w:r w:rsidRPr="004F6FE7">
              <w:rPr>
                <w:rFonts w:ascii="Cambria" w:eastAsia="Cambria" w:hAnsi="Cambria" w:cs="LucidaBright,Italic"/>
                <w:i/>
                <w:iCs/>
                <w:sz w:val="18"/>
                <w:szCs w:val="18"/>
                <w:lang w:eastAsia="en-AU"/>
              </w:rPr>
              <w:t xml:space="preserve"> </w:t>
            </w:r>
            <w:r w:rsidRPr="004F6FE7">
              <w:rPr>
                <w:rFonts w:ascii="Cambria" w:eastAsia="Cambria" w:hAnsi="Cambria" w:cs="LucidaBright,Italic"/>
                <w:iCs/>
                <w:sz w:val="18"/>
                <w:szCs w:val="18"/>
                <w:lang w:eastAsia="en-AU"/>
              </w:rPr>
              <w:t xml:space="preserve">Linnaeus </w:t>
            </w:r>
            <w:r w:rsidRPr="004F6FE7">
              <w:rPr>
                <w:rFonts w:ascii="Cambria" w:hAnsi="Cambria"/>
                <w:iCs/>
                <w:sz w:val="18"/>
                <w:szCs w:val="18"/>
              </w:rPr>
              <w:t>[Cucurbitaceae]</w:t>
            </w:r>
          </w:p>
        </w:tc>
        <w:tc>
          <w:tcPr>
            <w:tcW w:w="1234" w:type="pct"/>
          </w:tcPr>
          <w:p w14:paraId="7F78E24E"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
                <w:sz w:val="18"/>
                <w:szCs w:val="18"/>
                <w:lang w:eastAsia="en-AU"/>
              </w:rPr>
              <w:t>Acorn squash, Pumpkin, Summer squash,  Zucchini</w:t>
            </w:r>
          </w:p>
        </w:tc>
        <w:tc>
          <w:tcPr>
            <w:tcW w:w="1066" w:type="pct"/>
          </w:tcPr>
          <w:p w14:paraId="0E4515BF" w14:textId="58A1EF79"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(Qin et a</w:t>
            </w:r>
            <w:r w:rsidR="00BF087E">
              <w:rPr>
                <w:rFonts w:ascii="Cambria" w:eastAsia="Cambria" w:hAnsi="Cambria" w:cs="LucidaBright,Italic"/>
                <w:iCs/>
                <w:sz w:val="18"/>
                <w:szCs w:val="18"/>
                <w:lang w:eastAsia="en-AU"/>
              </w:rPr>
              <w:t>l. 2005; Al-</w:t>
            </w:r>
            <w:proofErr w:type="spellStart"/>
            <w:r w:rsidR="00BF087E">
              <w:rPr>
                <w:rFonts w:ascii="Cambria" w:eastAsia="Cambria" w:hAnsi="Cambria" w:cs="LucidaBright,Italic"/>
                <w:iCs/>
                <w:sz w:val="18"/>
                <w:szCs w:val="18"/>
                <w:lang w:eastAsia="en-AU"/>
              </w:rPr>
              <w:t>Tamimi</w:t>
            </w:r>
            <w:proofErr w:type="spellEnd"/>
            <w:r w:rsidR="00BF087E">
              <w:rPr>
                <w:rFonts w:ascii="Cambria" w:eastAsia="Cambria" w:hAnsi="Cambria" w:cs="LucidaBright,Italic"/>
                <w:iCs/>
                <w:sz w:val="18"/>
                <w:szCs w:val="18"/>
                <w:lang w:eastAsia="en-AU"/>
              </w:rPr>
              <w:t xml:space="preserve"> et al. 2009)</w:t>
            </w:r>
          </w:p>
        </w:tc>
        <w:tc>
          <w:tcPr>
            <w:tcW w:w="922" w:type="pct"/>
          </w:tcPr>
          <w:p w14:paraId="0B5FEBB3"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(Al-</w:t>
            </w:r>
            <w:proofErr w:type="spellStart"/>
            <w:r w:rsidRPr="004F6FE7">
              <w:rPr>
                <w:rFonts w:ascii="Cambria" w:eastAsia="Cambria" w:hAnsi="Cambria" w:cs="LucidaBright,Italic"/>
                <w:iCs/>
                <w:sz w:val="18"/>
                <w:szCs w:val="18"/>
                <w:lang w:eastAsia="en-AU"/>
              </w:rPr>
              <w:t>Tamimi</w:t>
            </w:r>
            <w:proofErr w:type="spellEnd"/>
            <w:r w:rsidRPr="004F6FE7">
              <w:rPr>
                <w:rFonts w:ascii="Cambria" w:eastAsia="Cambria" w:hAnsi="Cambria" w:cs="LucidaBright,Italic"/>
                <w:iCs/>
                <w:sz w:val="18"/>
                <w:szCs w:val="18"/>
                <w:lang w:eastAsia="en-AU"/>
              </w:rPr>
              <w:t xml:space="preserve"> et al. 2009; Kwon et al. 2014).</w:t>
            </w:r>
          </w:p>
        </w:tc>
      </w:tr>
      <w:tr w:rsidR="008F1BBC" w:rsidRPr="00474049" w14:paraId="245657BC" w14:textId="77777777">
        <w:tc>
          <w:tcPr>
            <w:tcW w:w="1778" w:type="pct"/>
          </w:tcPr>
          <w:p w14:paraId="6A1D184F" w14:textId="77777777" w:rsidR="008F1BBC" w:rsidRPr="004F6FE7" w:rsidRDefault="008F1BBC">
            <w:pPr>
              <w:tabs>
                <w:tab w:val="left" w:pos="4360"/>
                <w:tab w:val="left" w:pos="8720"/>
              </w:tabs>
              <w:spacing w:before="40" w:after="40"/>
              <w:rPr>
                <w:rFonts w:ascii="Cambria" w:eastAsia="Cambria" w:hAnsi="Cambria" w:cs="LucidaBright"/>
                <w:sz w:val="18"/>
                <w:szCs w:val="18"/>
              </w:rPr>
            </w:pPr>
            <w:r w:rsidRPr="004F6FE7">
              <w:rPr>
                <w:rFonts w:ascii="Cambria" w:eastAsia="Cambria" w:hAnsi="Cambria" w:cs="LucidaBright"/>
                <w:b/>
                <w:i/>
                <w:sz w:val="18"/>
                <w:szCs w:val="18"/>
              </w:rPr>
              <w:t>Lagenaria</w:t>
            </w:r>
            <w:r w:rsidRPr="004F6FE7">
              <w:rPr>
                <w:rFonts w:ascii="Cambria" w:eastAsia="Cambria" w:hAnsi="Cambria" w:cs="LucidaBright"/>
                <w:i/>
                <w:sz w:val="18"/>
                <w:szCs w:val="18"/>
              </w:rPr>
              <w:t xml:space="preserve"> </w:t>
            </w:r>
            <w:r w:rsidRPr="004F6FE7">
              <w:rPr>
                <w:rFonts w:ascii="Cambria" w:eastAsia="Cambria" w:hAnsi="Cambria" w:cs="LucidaBright"/>
                <w:b/>
                <w:i/>
                <w:sz w:val="18"/>
                <w:szCs w:val="18"/>
              </w:rPr>
              <w:t>siceraria</w:t>
            </w:r>
            <w:r w:rsidRPr="004F6FE7">
              <w:rPr>
                <w:rFonts w:ascii="Cambria" w:eastAsia="Cambria" w:hAnsi="Cambria" w:cs="LucidaBright"/>
                <w:sz w:val="18"/>
                <w:szCs w:val="18"/>
              </w:rPr>
              <w:t xml:space="preserve"> (Molina) Standley </w:t>
            </w:r>
            <w:r w:rsidRPr="004F6FE7">
              <w:rPr>
                <w:rFonts w:ascii="Cambria" w:hAnsi="Cambria"/>
                <w:iCs/>
                <w:sz w:val="18"/>
                <w:szCs w:val="18"/>
              </w:rPr>
              <w:t>[Cucurbitaceae]</w:t>
            </w:r>
            <w:r w:rsidRPr="004F6FE7">
              <w:rPr>
                <w:rFonts w:ascii="Cambria" w:hAnsi="Cambria"/>
                <w:color w:val="000000"/>
                <w:sz w:val="18"/>
                <w:szCs w:val="18"/>
              </w:rPr>
              <w:t xml:space="preserve"> </w:t>
            </w:r>
          </w:p>
        </w:tc>
        <w:tc>
          <w:tcPr>
            <w:tcW w:w="1234" w:type="pct"/>
          </w:tcPr>
          <w:p w14:paraId="793A80D0"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
                <w:sz w:val="18"/>
                <w:szCs w:val="18"/>
              </w:rPr>
              <w:t>Bottle gourd, Calabash,  Korean native gourd, Long melon</w:t>
            </w:r>
          </w:p>
        </w:tc>
        <w:tc>
          <w:tcPr>
            <w:tcW w:w="1066" w:type="pct"/>
          </w:tcPr>
          <w:p w14:paraId="546C9DE7" w14:textId="06A79E5E"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w:t>
            </w:r>
            <w:proofErr w:type="spellStart"/>
            <w:r w:rsidRPr="004F6FE7">
              <w:rPr>
                <w:rFonts w:ascii="Cambria" w:eastAsia="Cambria" w:hAnsi="Cambria" w:cs="LucidaBright,Italic"/>
                <w:iCs/>
                <w:sz w:val="18"/>
                <w:szCs w:val="18"/>
                <w:lang w:eastAsia="en-AU"/>
              </w:rPr>
              <w:t>Boubourakas</w:t>
            </w:r>
            <w:proofErr w:type="spellEnd"/>
            <w:r w:rsidRPr="004F6FE7">
              <w:rPr>
                <w:rFonts w:ascii="Cambria" w:eastAsia="Cambria" w:hAnsi="Cambria" w:cs="LucidaBright,Italic"/>
                <w:iCs/>
                <w:sz w:val="18"/>
                <w:szCs w:val="18"/>
                <w:lang w:eastAsia="en-AU"/>
              </w:rPr>
              <w:t xml:space="preserve"> </w:t>
            </w:r>
            <w:r w:rsidR="00BF087E">
              <w:rPr>
                <w:rFonts w:ascii="Cambria" w:eastAsia="Cambria" w:hAnsi="Cambria" w:cs="LucidaBright,Italic"/>
                <w:iCs/>
                <w:sz w:val="18"/>
                <w:szCs w:val="18"/>
                <w:lang w:eastAsia="en-AU"/>
              </w:rPr>
              <w:t>et al. 2004; Zhang et al. 2009)</w:t>
            </w:r>
          </w:p>
        </w:tc>
        <w:tc>
          <w:tcPr>
            <w:tcW w:w="922" w:type="pct"/>
          </w:tcPr>
          <w:p w14:paraId="65F287F3"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(Choi 2001; </w:t>
            </w:r>
            <w:proofErr w:type="spellStart"/>
            <w:r w:rsidRPr="004F6FE7">
              <w:rPr>
                <w:rFonts w:ascii="Cambria" w:eastAsia="Cambria" w:hAnsi="Cambria" w:cs="LucidaBright,Italic"/>
                <w:iCs/>
                <w:sz w:val="18"/>
                <w:szCs w:val="18"/>
                <w:lang w:eastAsia="en-AU"/>
              </w:rPr>
              <w:t>Boubourakas</w:t>
            </w:r>
            <w:proofErr w:type="spellEnd"/>
            <w:r w:rsidRPr="004F6FE7">
              <w:rPr>
                <w:rFonts w:ascii="Cambria" w:eastAsia="Cambria" w:hAnsi="Cambria" w:cs="LucidaBright,Italic"/>
                <w:iCs/>
                <w:sz w:val="18"/>
                <w:szCs w:val="18"/>
                <w:lang w:eastAsia="en-AU"/>
              </w:rPr>
              <w:t xml:space="preserve"> et al. 2004).</w:t>
            </w:r>
          </w:p>
        </w:tc>
      </w:tr>
      <w:tr w:rsidR="008F1BBC" w:rsidRPr="00474049" w14:paraId="4DB14A05" w14:textId="77777777">
        <w:tc>
          <w:tcPr>
            <w:tcW w:w="1778" w:type="pct"/>
          </w:tcPr>
          <w:p w14:paraId="1F7094B3" w14:textId="77777777" w:rsidR="008F1BBC" w:rsidRPr="004F6FE7" w:rsidRDefault="008F1BBC">
            <w:pPr>
              <w:tabs>
                <w:tab w:val="left" w:pos="4360"/>
                <w:tab w:val="left" w:pos="8720"/>
              </w:tabs>
              <w:spacing w:before="40" w:after="40"/>
              <w:rPr>
                <w:rFonts w:ascii="Cambria" w:eastAsia="Cambria" w:hAnsi="Cambria" w:cs="LucidaBright"/>
                <w:sz w:val="18"/>
                <w:szCs w:val="18"/>
              </w:rPr>
            </w:pPr>
            <w:r w:rsidRPr="004F6FE7">
              <w:rPr>
                <w:rFonts w:ascii="Cambria" w:eastAsia="Cambria" w:hAnsi="Cambria" w:cs="LucidaBright"/>
                <w:i/>
                <w:sz w:val="18"/>
                <w:szCs w:val="18"/>
              </w:rPr>
              <w:t xml:space="preserve">Luffa </w:t>
            </w:r>
            <w:proofErr w:type="spellStart"/>
            <w:r w:rsidRPr="004F6FE7">
              <w:rPr>
                <w:rFonts w:ascii="Cambria" w:eastAsia="Cambria" w:hAnsi="Cambria" w:cs="LucidaBright"/>
                <w:i/>
                <w:sz w:val="18"/>
                <w:szCs w:val="18"/>
              </w:rPr>
              <w:t>acutangula</w:t>
            </w:r>
            <w:proofErr w:type="spellEnd"/>
            <w:r w:rsidRPr="004F6FE7">
              <w:rPr>
                <w:rFonts w:ascii="Cambria" w:eastAsia="Cambria" w:hAnsi="Cambria" w:cs="LucidaBright"/>
                <w:sz w:val="18"/>
                <w:szCs w:val="18"/>
              </w:rPr>
              <w:t xml:space="preserve"> (</w:t>
            </w:r>
            <w:r w:rsidRPr="004F6FE7">
              <w:rPr>
                <w:rFonts w:ascii="Cambria" w:eastAsia="Cambria" w:hAnsi="Cambria" w:cs="LucidaBright,Italic"/>
                <w:iCs/>
                <w:sz w:val="18"/>
                <w:szCs w:val="18"/>
                <w:lang w:eastAsia="en-AU"/>
              </w:rPr>
              <w:t>Linnaeus</w:t>
            </w:r>
            <w:r w:rsidRPr="004F6FE7">
              <w:rPr>
                <w:rFonts w:ascii="Cambria" w:eastAsia="Cambria" w:hAnsi="Cambria" w:cs="LucidaBright"/>
                <w:sz w:val="18"/>
                <w:szCs w:val="18"/>
              </w:rPr>
              <w:t xml:space="preserve">) Roxburgh </w:t>
            </w:r>
            <w:r w:rsidRPr="004F6FE7">
              <w:rPr>
                <w:rFonts w:ascii="Cambria" w:hAnsi="Cambria"/>
                <w:iCs/>
                <w:sz w:val="18"/>
                <w:szCs w:val="18"/>
              </w:rPr>
              <w:t>[</w:t>
            </w:r>
            <w:proofErr w:type="spellStart"/>
            <w:r w:rsidRPr="004F6FE7">
              <w:rPr>
                <w:rFonts w:ascii="Cambria" w:hAnsi="Cambria"/>
                <w:iCs/>
                <w:sz w:val="18"/>
                <w:szCs w:val="18"/>
              </w:rPr>
              <w:t>Cucurbitaceae</w:t>
            </w:r>
            <w:proofErr w:type="spellEnd"/>
            <w:r w:rsidRPr="004F6FE7">
              <w:rPr>
                <w:rFonts w:ascii="Cambria" w:hAnsi="Cambria"/>
                <w:iCs/>
                <w:sz w:val="18"/>
                <w:szCs w:val="18"/>
              </w:rPr>
              <w:t>]</w:t>
            </w:r>
            <w:r w:rsidRPr="004F6FE7">
              <w:rPr>
                <w:rFonts w:ascii="Cambria" w:eastAsia="Cambria" w:hAnsi="Cambria" w:cs="LucidaBright"/>
                <w:sz w:val="18"/>
                <w:szCs w:val="18"/>
              </w:rPr>
              <w:t xml:space="preserve"> </w:t>
            </w:r>
          </w:p>
        </w:tc>
        <w:tc>
          <w:tcPr>
            <w:tcW w:w="1234" w:type="pct"/>
          </w:tcPr>
          <w:p w14:paraId="3D0562DB"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
                <w:sz w:val="18"/>
                <w:szCs w:val="18"/>
              </w:rPr>
              <w:t>Angled luffa, Chinese okra, Ridged gourd</w:t>
            </w:r>
          </w:p>
        </w:tc>
        <w:tc>
          <w:tcPr>
            <w:tcW w:w="1066" w:type="pct"/>
          </w:tcPr>
          <w:p w14:paraId="12AE3E82" w14:textId="4A331092"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(Noda et</w:t>
            </w:r>
            <w:r w:rsidR="00BF087E">
              <w:rPr>
                <w:rFonts w:ascii="Cambria" w:eastAsia="Cambria" w:hAnsi="Cambria" w:cs="LucidaBright,Italic"/>
                <w:iCs/>
                <w:sz w:val="18"/>
                <w:szCs w:val="18"/>
                <w:lang w:eastAsia="en-AU"/>
              </w:rPr>
              <w:t xml:space="preserve"> al. 1993; Sharma et al. 2014)</w:t>
            </w:r>
          </w:p>
        </w:tc>
        <w:tc>
          <w:tcPr>
            <w:tcW w:w="922" w:type="pct"/>
          </w:tcPr>
          <w:p w14:paraId="41A0B7A0" w14:textId="2A3F4260" w:rsidR="008F1BBC" w:rsidRPr="004F6FE7"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sidRPr="004F6FE7">
              <w:rPr>
                <w:rFonts w:ascii="Cambria" w:hAnsi="Cambria"/>
                <w:iCs/>
                <w:sz w:val="18"/>
                <w:szCs w:val="18"/>
              </w:rPr>
              <w:t>.</w:t>
            </w:r>
          </w:p>
        </w:tc>
      </w:tr>
      <w:tr w:rsidR="008F1BBC" w:rsidRPr="00474049" w14:paraId="390433D9" w14:textId="77777777">
        <w:tc>
          <w:tcPr>
            <w:tcW w:w="1778" w:type="pct"/>
          </w:tcPr>
          <w:p w14:paraId="257173F1" w14:textId="77777777" w:rsidR="008F1BBC" w:rsidRPr="004F6FE7" w:rsidRDefault="008F1BBC">
            <w:pPr>
              <w:tabs>
                <w:tab w:val="left" w:pos="4360"/>
                <w:tab w:val="left" w:pos="8720"/>
              </w:tabs>
              <w:spacing w:before="40" w:after="40"/>
              <w:rPr>
                <w:rFonts w:ascii="Cambria" w:hAnsi="Cambria"/>
                <w:i/>
                <w:sz w:val="18"/>
                <w:szCs w:val="18"/>
              </w:rPr>
            </w:pPr>
            <w:r w:rsidRPr="004F6FE7">
              <w:rPr>
                <w:rFonts w:ascii="Cambria" w:hAnsi="Cambria"/>
                <w:i/>
                <w:sz w:val="18"/>
                <w:szCs w:val="18"/>
              </w:rPr>
              <w:t xml:space="preserve">Luffa </w:t>
            </w:r>
            <w:proofErr w:type="spellStart"/>
            <w:r w:rsidRPr="004F6FE7">
              <w:rPr>
                <w:rFonts w:ascii="Cambria" w:hAnsi="Cambria"/>
                <w:i/>
                <w:sz w:val="18"/>
                <w:szCs w:val="18"/>
              </w:rPr>
              <w:t>cylindrica</w:t>
            </w:r>
            <w:proofErr w:type="spellEnd"/>
            <w:r w:rsidRPr="004F6FE7">
              <w:rPr>
                <w:rFonts w:ascii="Cambria" w:hAnsi="Cambria"/>
                <w:i/>
                <w:sz w:val="18"/>
                <w:szCs w:val="18"/>
              </w:rPr>
              <w:t xml:space="preserve"> </w:t>
            </w:r>
            <w:r w:rsidRPr="004F6FE7">
              <w:rPr>
                <w:rFonts w:ascii="Cambria" w:eastAsia="Cambria" w:hAnsi="Cambria" w:cs="LucidaBright"/>
                <w:sz w:val="18"/>
                <w:szCs w:val="18"/>
              </w:rPr>
              <w:t xml:space="preserve">(Linnaeus) Roemer </w:t>
            </w:r>
            <w:r w:rsidRPr="004F6FE7">
              <w:rPr>
                <w:rFonts w:ascii="Cambria" w:hAnsi="Cambria"/>
                <w:iCs/>
                <w:sz w:val="18"/>
                <w:szCs w:val="18"/>
              </w:rPr>
              <w:t>[</w:t>
            </w:r>
            <w:proofErr w:type="spellStart"/>
            <w:r w:rsidRPr="004F6FE7">
              <w:rPr>
                <w:rFonts w:ascii="Cambria" w:hAnsi="Cambria"/>
                <w:iCs/>
                <w:sz w:val="18"/>
                <w:szCs w:val="18"/>
              </w:rPr>
              <w:t>Cucurbitaceae</w:t>
            </w:r>
            <w:proofErr w:type="spellEnd"/>
            <w:r w:rsidRPr="004F6FE7">
              <w:rPr>
                <w:rFonts w:ascii="Cambria" w:hAnsi="Cambria"/>
                <w:iCs/>
                <w:sz w:val="18"/>
                <w:szCs w:val="18"/>
              </w:rPr>
              <w:t>]</w:t>
            </w:r>
          </w:p>
        </w:tc>
        <w:tc>
          <w:tcPr>
            <w:tcW w:w="1234" w:type="pct"/>
          </w:tcPr>
          <w:p w14:paraId="0C799B07"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iCs/>
                <w:sz w:val="18"/>
                <w:szCs w:val="18"/>
                <w:lang w:eastAsia="en-AU"/>
              </w:rPr>
              <w:t>Smooth loofah gourd</w:t>
            </w:r>
          </w:p>
        </w:tc>
        <w:tc>
          <w:tcPr>
            <w:tcW w:w="1066" w:type="pct"/>
          </w:tcPr>
          <w:p w14:paraId="303D110B" w14:textId="044CA009"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(Noda et al. 1993)</w:t>
            </w:r>
          </w:p>
        </w:tc>
        <w:tc>
          <w:tcPr>
            <w:tcW w:w="922" w:type="pct"/>
          </w:tcPr>
          <w:p w14:paraId="31C3A0FF" w14:textId="57E22E2C" w:rsidR="008F1BBC" w:rsidRPr="004F6FE7"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sidRPr="004F6FE7">
              <w:rPr>
                <w:rFonts w:ascii="Cambria" w:hAnsi="Cambria"/>
                <w:iCs/>
                <w:sz w:val="18"/>
                <w:szCs w:val="18"/>
              </w:rPr>
              <w:t>.</w:t>
            </w:r>
          </w:p>
        </w:tc>
      </w:tr>
      <w:tr w:rsidR="008F1BBC" w:rsidRPr="00474049" w14:paraId="3D4904AC" w14:textId="77777777">
        <w:tc>
          <w:tcPr>
            <w:tcW w:w="1778" w:type="pct"/>
          </w:tcPr>
          <w:p w14:paraId="7145E42B" w14:textId="77777777" w:rsidR="008F1BBC" w:rsidRPr="004F6FE7" w:rsidRDefault="008F1BBC">
            <w:pPr>
              <w:tabs>
                <w:tab w:val="left" w:pos="4360"/>
                <w:tab w:val="left" w:pos="8720"/>
              </w:tabs>
              <w:spacing w:before="40" w:after="40"/>
              <w:rPr>
                <w:rFonts w:ascii="Cambria" w:eastAsia="Cambria" w:hAnsi="Cambria" w:cs="LucidaBright,Italic"/>
                <w:i/>
                <w:iCs/>
                <w:sz w:val="18"/>
                <w:szCs w:val="18"/>
                <w:lang w:eastAsia="en-AU"/>
              </w:rPr>
            </w:pPr>
            <w:proofErr w:type="spellStart"/>
            <w:r w:rsidRPr="004F6FE7">
              <w:rPr>
                <w:rFonts w:ascii="Cambria" w:eastAsia="Cambria" w:hAnsi="Cambria" w:cs="LucidaBright,Italic"/>
                <w:i/>
                <w:iCs/>
                <w:sz w:val="18"/>
                <w:szCs w:val="18"/>
                <w:lang w:eastAsia="en-AU"/>
              </w:rPr>
              <w:t>Momordica</w:t>
            </w:r>
            <w:proofErr w:type="spellEnd"/>
            <w:r w:rsidRPr="004F6FE7">
              <w:rPr>
                <w:rFonts w:ascii="Cambria" w:eastAsia="Cambria" w:hAnsi="Cambria" w:cs="LucidaBright,Italic"/>
                <w:i/>
                <w:iCs/>
                <w:sz w:val="18"/>
                <w:szCs w:val="18"/>
                <w:lang w:eastAsia="en-AU"/>
              </w:rPr>
              <w:t xml:space="preserve"> </w:t>
            </w:r>
            <w:proofErr w:type="spellStart"/>
            <w:r w:rsidRPr="004F6FE7">
              <w:rPr>
                <w:rFonts w:ascii="Cambria" w:eastAsia="Cambria" w:hAnsi="Cambria" w:cs="LucidaBright,Italic"/>
                <w:i/>
                <w:iCs/>
                <w:sz w:val="18"/>
                <w:szCs w:val="18"/>
                <w:lang w:eastAsia="en-AU"/>
              </w:rPr>
              <w:t>charantia</w:t>
            </w:r>
            <w:proofErr w:type="spellEnd"/>
            <w:r w:rsidRPr="004F6FE7">
              <w:rPr>
                <w:rFonts w:ascii="Cambria" w:eastAsia="Cambria" w:hAnsi="Cambria" w:cs="LucidaBright,Italic"/>
                <w:i/>
                <w:iCs/>
                <w:sz w:val="18"/>
                <w:szCs w:val="18"/>
                <w:lang w:eastAsia="en-AU"/>
              </w:rPr>
              <w:t xml:space="preserve"> </w:t>
            </w:r>
            <w:r w:rsidRPr="004F6FE7">
              <w:rPr>
                <w:rFonts w:ascii="Cambria" w:eastAsia="Cambria" w:hAnsi="Cambria" w:cs="LucidaBright,Italic"/>
                <w:iCs/>
                <w:sz w:val="18"/>
                <w:szCs w:val="18"/>
                <w:lang w:eastAsia="en-AU"/>
              </w:rPr>
              <w:t xml:space="preserve">Linnaeus </w:t>
            </w:r>
            <w:r w:rsidRPr="004F6FE7">
              <w:rPr>
                <w:rFonts w:ascii="Cambria" w:hAnsi="Cambria"/>
                <w:iCs/>
                <w:sz w:val="18"/>
                <w:szCs w:val="18"/>
              </w:rPr>
              <w:t>[</w:t>
            </w:r>
            <w:proofErr w:type="spellStart"/>
            <w:r w:rsidRPr="004F6FE7">
              <w:rPr>
                <w:rFonts w:ascii="Cambria" w:hAnsi="Cambria"/>
                <w:iCs/>
                <w:sz w:val="18"/>
                <w:szCs w:val="18"/>
              </w:rPr>
              <w:t>Cucurbitaceae</w:t>
            </w:r>
            <w:proofErr w:type="spellEnd"/>
            <w:r w:rsidRPr="004F6FE7">
              <w:rPr>
                <w:rFonts w:ascii="Cambria" w:hAnsi="Cambria"/>
                <w:iCs/>
                <w:sz w:val="18"/>
                <w:szCs w:val="18"/>
              </w:rPr>
              <w:t>]</w:t>
            </w:r>
            <w:r w:rsidRPr="004F6FE7">
              <w:rPr>
                <w:rFonts w:ascii="Cambria" w:eastAsia="Cambria" w:hAnsi="Cambria" w:cs="LucidaBright,Italic"/>
                <w:iCs/>
                <w:sz w:val="18"/>
                <w:szCs w:val="18"/>
                <w:lang w:eastAsia="en-AU"/>
              </w:rPr>
              <w:t xml:space="preserve"> </w:t>
            </w:r>
          </w:p>
        </w:tc>
        <w:tc>
          <w:tcPr>
            <w:tcW w:w="1234" w:type="pct"/>
          </w:tcPr>
          <w:p w14:paraId="214F4BBF"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iCs/>
                <w:sz w:val="18"/>
                <w:szCs w:val="18"/>
                <w:lang w:eastAsia="en-AU"/>
              </w:rPr>
              <w:t>Balsam apple, Balsam pear,  Bitter gourd, Bitter melon</w:t>
            </w:r>
          </w:p>
        </w:tc>
        <w:tc>
          <w:tcPr>
            <w:tcW w:w="1066" w:type="pct"/>
          </w:tcPr>
          <w:p w14:paraId="7A199741" w14:textId="54A94BD6"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(Pandey &amp;</w:t>
            </w:r>
            <w:r w:rsidR="00BF087E">
              <w:rPr>
                <w:rFonts w:ascii="Cambria" w:eastAsia="Cambria" w:hAnsi="Cambria" w:cs="LucidaBright,Italic"/>
                <w:iCs/>
                <w:sz w:val="18"/>
                <w:szCs w:val="18"/>
                <w:lang w:eastAsia="en-AU"/>
              </w:rPr>
              <w:t xml:space="preserve"> Joshi 1989; Noda et al. 1993)</w:t>
            </w:r>
          </w:p>
        </w:tc>
        <w:tc>
          <w:tcPr>
            <w:tcW w:w="922" w:type="pct"/>
          </w:tcPr>
          <w:p w14:paraId="42CC93A5" w14:textId="1B122AE6" w:rsidR="008F1BBC" w:rsidRPr="004F6FE7"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sidRPr="004F6FE7">
              <w:rPr>
                <w:rFonts w:ascii="Cambria" w:hAnsi="Cambria"/>
                <w:iCs/>
                <w:sz w:val="18"/>
                <w:szCs w:val="18"/>
              </w:rPr>
              <w:t>.</w:t>
            </w:r>
          </w:p>
        </w:tc>
      </w:tr>
      <w:tr w:rsidR="008F1BBC" w:rsidRPr="00474049" w14:paraId="42C17FD0" w14:textId="77777777">
        <w:tc>
          <w:tcPr>
            <w:tcW w:w="1778" w:type="pct"/>
          </w:tcPr>
          <w:p w14:paraId="35450B42" w14:textId="77777777" w:rsidR="008F1BBC" w:rsidRPr="004F6FE7" w:rsidRDefault="008F1BBC">
            <w:pPr>
              <w:tabs>
                <w:tab w:val="left" w:pos="4360"/>
                <w:tab w:val="left" w:pos="8720"/>
              </w:tabs>
              <w:spacing w:before="40" w:after="40"/>
              <w:rPr>
                <w:rFonts w:ascii="Cambria" w:hAnsi="Cambria"/>
                <w:sz w:val="18"/>
                <w:szCs w:val="18"/>
              </w:rPr>
            </w:pPr>
            <w:r w:rsidRPr="004F6FE7">
              <w:rPr>
                <w:rFonts w:ascii="Cambria" w:hAnsi="Cambria"/>
                <w:b/>
                <w:i/>
                <w:sz w:val="18"/>
                <w:szCs w:val="18"/>
              </w:rPr>
              <w:t xml:space="preserve">Trichosanthes cucumerina </w:t>
            </w:r>
            <w:r w:rsidRPr="004F6FE7">
              <w:rPr>
                <w:rFonts w:ascii="Cambria" w:eastAsia="Cambria" w:hAnsi="Cambria" w:cs="LucidaBright,Italic"/>
                <w:iCs/>
                <w:sz w:val="18"/>
                <w:szCs w:val="18"/>
                <w:lang w:eastAsia="en-AU"/>
              </w:rPr>
              <w:t xml:space="preserve">Linnaeus </w:t>
            </w:r>
            <w:r w:rsidRPr="004F6FE7">
              <w:rPr>
                <w:rFonts w:ascii="Cambria" w:hAnsi="Cambria"/>
                <w:iCs/>
                <w:sz w:val="18"/>
                <w:szCs w:val="18"/>
              </w:rPr>
              <w:t>[Cucurbitaceae]</w:t>
            </w:r>
            <w:r w:rsidRPr="004F6FE7">
              <w:rPr>
                <w:rFonts w:ascii="Cambria" w:eastAsia="Cambria" w:hAnsi="Cambria" w:cs="LucidaBright,Italic"/>
                <w:iCs/>
                <w:sz w:val="18"/>
                <w:szCs w:val="18"/>
                <w:lang w:eastAsia="en-AU"/>
              </w:rPr>
              <w:t xml:space="preserve"> </w:t>
            </w:r>
          </w:p>
        </w:tc>
        <w:tc>
          <w:tcPr>
            <w:tcW w:w="1234" w:type="pct"/>
          </w:tcPr>
          <w:p w14:paraId="34CDB579"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sz w:val="18"/>
                <w:szCs w:val="18"/>
              </w:rPr>
              <w:t>Serpent gourd, Snake gourd</w:t>
            </w:r>
          </w:p>
        </w:tc>
        <w:tc>
          <w:tcPr>
            <w:tcW w:w="1066" w:type="pct"/>
          </w:tcPr>
          <w:p w14:paraId="52B7BC45" w14:textId="12D1C313"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Nagendran</w:t>
            </w:r>
            <w:proofErr w:type="spellEnd"/>
            <w:r w:rsidR="00BF087E">
              <w:rPr>
                <w:rFonts w:ascii="Cambria" w:eastAsia="Cambria" w:hAnsi="Cambria" w:cs="LucidaBright,Italic"/>
                <w:iCs/>
                <w:sz w:val="18"/>
                <w:szCs w:val="18"/>
                <w:lang w:eastAsia="en-AU"/>
              </w:rPr>
              <w:t xml:space="preserve"> et al. 2015)</w:t>
            </w:r>
          </w:p>
        </w:tc>
        <w:tc>
          <w:tcPr>
            <w:tcW w:w="922" w:type="pct"/>
          </w:tcPr>
          <w:p w14:paraId="6DBE90AF" w14:textId="77777777" w:rsidR="008F1BBC" w:rsidRPr="004F6FE7" w:rsidRDefault="008F1BBC">
            <w:pPr>
              <w:tabs>
                <w:tab w:val="left" w:pos="4360"/>
                <w:tab w:val="left" w:pos="8720"/>
              </w:tabs>
              <w:spacing w:before="40" w:after="40"/>
              <w:rPr>
                <w:rFonts w:ascii="Cambria" w:eastAsia="Cambria" w:hAnsi="Cambria" w:cs="LucidaBright,Italic"/>
                <w:iCs/>
                <w:sz w:val="18"/>
                <w:szCs w:val="18"/>
                <w:lang w:eastAsia="en-AU"/>
              </w:rPr>
            </w:pPr>
            <w:r w:rsidRPr="004F6FE7">
              <w:rPr>
                <w:rFonts w:ascii="Cambria" w:eastAsia="Cambria" w:hAnsi="Cambria" w:cs="LucidaBright,Italic"/>
                <w:b/>
                <w:iCs/>
                <w:sz w:val="18"/>
                <w:szCs w:val="18"/>
                <w:lang w:eastAsia="en-AU"/>
              </w:rPr>
              <w:t>Yes</w:t>
            </w:r>
            <w:r w:rsidRPr="004F6FE7">
              <w:rPr>
                <w:rFonts w:ascii="Cambria" w:eastAsia="Cambria" w:hAnsi="Cambria" w:cs="LucidaBright,Italic"/>
                <w:iCs/>
                <w:sz w:val="18"/>
                <w:szCs w:val="18"/>
                <w:lang w:eastAsia="en-AU"/>
              </w:rPr>
              <w:t xml:space="preserve"> (</w:t>
            </w:r>
            <w:proofErr w:type="spellStart"/>
            <w:r w:rsidRPr="004F6FE7">
              <w:rPr>
                <w:rFonts w:ascii="Cambria" w:eastAsia="Cambria" w:hAnsi="Cambria" w:cs="LucidaBright,Italic"/>
                <w:iCs/>
                <w:sz w:val="18"/>
                <w:szCs w:val="18"/>
                <w:lang w:eastAsia="en-AU"/>
              </w:rPr>
              <w:t>Ariyaratne</w:t>
            </w:r>
            <w:proofErr w:type="spellEnd"/>
            <w:r w:rsidRPr="004F6FE7">
              <w:rPr>
                <w:rFonts w:ascii="Cambria" w:eastAsia="Cambria" w:hAnsi="Cambria" w:cs="LucidaBright,Italic"/>
                <w:iCs/>
                <w:sz w:val="18"/>
                <w:szCs w:val="18"/>
                <w:lang w:eastAsia="en-AU"/>
              </w:rPr>
              <w:t xml:space="preserve"> et al. 2005).</w:t>
            </w:r>
          </w:p>
        </w:tc>
      </w:tr>
      <w:tr w:rsidR="008F1BBC" w14:paraId="066B6168" w14:textId="77777777">
        <w:tc>
          <w:tcPr>
            <w:tcW w:w="5000" w:type="pct"/>
            <w:gridSpan w:val="4"/>
          </w:tcPr>
          <w:p w14:paraId="14511A51" w14:textId="77777777" w:rsidR="008F1BBC" w:rsidRPr="008163B6" w:rsidRDefault="008F1BBC">
            <w:pPr>
              <w:pStyle w:val="TableText"/>
              <w:rPr>
                <w:rFonts w:asciiTheme="majorHAnsi" w:hAnsiTheme="majorHAnsi"/>
                <w:szCs w:val="18"/>
              </w:rPr>
            </w:pPr>
            <w:r w:rsidRPr="008163B6">
              <w:rPr>
                <w:rFonts w:asciiTheme="majorHAnsi" w:hAnsiTheme="majorHAnsi"/>
                <w:b/>
                <w:color w:val="C00000"/>
                <w:szCs w:val="18"/>
              </w:rPr>
              <w:t xml:space="preserve">WEEDS </w:t>
            </w:r>
          </w:p>
        </w:tc>
      </w:tr>
      <w:tr w:rsidR="004F6FE7" w14:paraId="46D98D44" w14:textId="77777777">
        <w:tc>
          <w:tcPr>
            <w:tcW w:w="1778" w:type="pct"/>
          </w:tcPr>
          <w:p w14:paraId="60848D4C" w14:textId="77777777" w:rsidR="004F6FE7" w:rsidRDefault="004F6FE7">
            <w:pPr>
              <w:tabs>
                <w:tab w:val="left" w:pos="4360"/>
                <w:tab w:val="left" w:pos="8720"/>
              </w:tabs>
              <w:spacing w:before="40" w:after="40"/>
              <w:rPr>
                <w:rFonts w:ascii="Cambria" w:hAnsi="Cambria"/>
                <w:sz w:val="18"/>
                <w:szCs w:val="18"/>
              </w:rPr>
            </w:pPr>
            <w:proofErr w:type="spellStart"/>
            <w:r>
              <w:rPr>
                <w:rFonts w:ascii="Cambria" w:hAnsi="Cambria" w:cs="Arial"/>
                <w:i/>
                <w:sz w:val="18"/>
                <w:szCs w:val="18"/>
              </w:rPr>
              <w:t>Amaranthus</w:t>
            </w:r>
            <w:proofErr w:type="spellEnd"/>
            <w:r>
              <w:rPr>
                <w:rFonts w:ascii="Cambria" w:hAnsi="Cambria" w:cs="Arial"/>
                <w:i/>
                <w:sz w:val="18"/>
                <w:szCs w:val="18"/>
              </w:rPr>
              <w:t xml:space="preserve"> </w:t>
            </w:r>
            <w:proofErr w:type="spellStart"/>
            <w:r>
              <w:rPr>
                <w:rFonts w:ascii="Cambria" w:hAnsi="Cambria" w:cs="Arial"/>
                <w:i/>
                <w:sz w:val="18"/>
                <w:szCs w:val="18"/>
              </w:rPr>
              <w:t>blitoides</w:t>
            </w:r>
            <w:proofErr w:type="spellEnd"/>
            <w:r>
              <w:rPr>
                <w:rFonts w:ascii="Cambria" w:hAnsi="Cambria" w:cs="Arial"/>
                <w:i/>
                <w:sz w:val="18"/>
                <w:szCs w:val="18"/>
              </w:rPr>
              <w:t xml:space="preserve"> </w:t>
            </w:r>
            <w:r>
              <w:rPr>
                <w:rFonts w:ascii="Cambria" w:hAnsi="Cambria"/>
                <w:noProof/>
                <w:sz w:val="18"/>
                <w:szCs w:val="18"/>
              </w:rPr>
              <w:t>Watson</w:t>
            </w:r>
            <w:r>
              <w:rPr>
                <w:rFonts w:ascii="Cambria" w:hAnsi="Cambria" w:cs="Arial"/>
                <w:i/>
                <w:sz w:val="18"/>
                <w:szCs w:val="18"/>
              </w:rPr>
              <w:t xml:space="preserve"> </w:t>
            </w:r>
            <w:r>
              <w:rPr>
                <w:rFonts w:ascii="Cambria" w:hAnsi="Cambria" w:cs="Arial"/>
                <w:sz w:val="18"/>
                <w:szCs w:val="18"/>
              </w:rPr>
              <w:t>[</w:t>
            </w:r>
            <w:proofErr w:type="spellStart"/>
            <w:r>
              <w:rPr>
                <w:rFonts w:ascii="Cambria" w:hAnsi="Cambria" w:cs="Arial"/>
                <w:sz w:val="18"/>
                <w:szCs w:val="18"/>
              </w:rPr>
              <w:t>A</w:t>
            </w:r>
            <w:r>
              <w:rPr>
                <w:rFonts w:ascii="Cambria" w:hAnsi="Cambria"/>
                <w:noProof/>
                <w:sz w:val="18"/>
                <w:szCs w:val="18"/>
              </w:rPr>
              <w:t>maranthaceae</w:t>
            </w:r>
            <w:proofErr w:type="spellEnd"/>
            <w:r>
              <w:rPr>
                <w:rFonts w:ascii="Cambria" w:hAnsi="Cambria"/>
                <w:noProof/>
                <w:sz w:val="18"/>
                <w:szCs w:val="18"/>
              </w:rPr>
              <w:t>]</w:t>
            </w:r>
          </w:p>
        </w:tc>
        <w:tc>
          <w:tcPr>
            <w:tcW w:w="1234" w:type="pct"/>
          </w:tcPr>
          <w:p w14:paraId="582D977E" w14:textId="77777777" w:rsidR="004F6FE7" w:rsidRDefault="004F6FE7">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Mat amaranth, Prostrate amaranth</w:t>
            </w:r>
          </w:p>
        </w:tc>
        <w:tc>
          <w:tcPr>
            <w:tcW w:w="1066" w:type="pct"/>
          </w:tcPr>
          <w:p w14:paraId="6819926A" w14:textId="61FB31D6" w:rsidR="004F6FE7" w:rsidRDefault="004F6FE7">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vMerge w:val="restart"/>
          </w:tcPr>
          <w:p w14:paraId="3812DDF3" w14:textId="23047606" w:rsidR="004F6FE7"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w:t>
            </w:r>
            <w:r>
              <w:rPr>
                <w:rFonts w:ascii="Cambria" w:hAnsi="Cambria"/>
                <w:iCs/>
                <w:sz w:val="18"/>
                <w:szCs w:val="18"/>
              </w:rPr>
              <w:t>ese</w:t>
            </w:r>
            <w:r w:rsidRPr="004F6FE7">
              <w:rPr>
                <w:rFonts w:ascii="Cambria" w:hAnsi="Cambria"/>
                <w:iCs/>
                <w:sz w:val="18"/>
                <w:szCs w:val="18"/>
              </w:rPr>
              <w:t xml:space="preserve"> species</w:t>
            </w:r>
            <w:r>
              <w:rPr>
                <w:rFonts w:ascii="Cambria" w:hAnsi="Cambria"/>
                <w:iCs/>
                <w:sz w:val="18"/>
                <w:szCs w:val="18"/>
              </w:rPr>
              <w:t>.</w:t>
            </w:r>
          </w:p>
        </w:tc>
      </w:tr>
      <w:tr w:rsidR="004F6FE7" w14:paraId="519627AA" w14:textId="77777777">
        <w:tc>
          <w:tcPr>
            <w:tcW w:w="1778" w:type="pct"/>
          </w:tcPr>
          <w:p w14:paraId="230D4950" w14:textId="77777777" w:rsidR="004F6FE7" w:rsidRDefault="004F6FE7">
            <w:pPr>
              <w:tabs>
                <w:tab w:val="left" w:pos="4360"/>
                <w:tab w:val="left" w:pos="8720"/>
              </w:tabs>
              <w:spacing w:before="40" w:after="40"/>
              <w:rPr>
                <w:rFonts w:ascii="Cambria" w:hAnsi="Cambria"/>
                <w:i/>
                <w:sz w:val="18"/>
                <w:szCs w:val="18"/>
              </w:rPr>
            </w:pPr>
            <w:proofErr w:type="spellStart"/>
            <w:r>
              <w:rPr>
                <w:rFonts w:ascii="Cambria" w:hAnsi="Cambria" w:cs="Arial"/>
                <w:i/>
                <w:sz w:val="18"/>
                <w:szCs w:val="18"/>
              </w:rPr>
              <w:t>Amaranthus</w:t>
            </w:r>
            <w:proofErr w:type="spellEnd"/>
            <w:r>
              <w:rPr>
                <w:rFonts w:ascii="Cambria" w:hAnsi="Cambria" w:cs="Arial"/>
                <w:i/>
                <w:sz w:val="18"/>
                <w:szCs w:val="18"/>
              </w:rPr>
              <w:t xml:space="preserve"> </w:t>
            </w:r>
            <w:proofErr w:type="spellStart"/>
            <w:r>
              <w:rPr>
                <w:rFonts w:ascii="Cambria" w:hAnsi="Cambria" w:cs="Arial"/>
                <w:i/>
                <w:sz w:val="18"/>
                <w:szCs w:val="18"/>
              </w:rPr>
              <w:t>retroflexus</w:t>
            </w:r>
            <w:proofErr w:type="spellEnd"/>
            <w:r>
              <w:rPr>
                <w:rFonts w:ascii="Cambria" w:hAnsi="Cambria" w:cs="Arial"/>
                <w:sz w:val="18"/>
                <w:szCs w:val="18"/>
              </w:rPr>
              <w:t xml:space="preserve"> Linnaeus</w:t>
            </w:r>
            <w:r>
              <w:rPr>
                <w:rFonts w:ascii="Cambria" w:hAnsi="Cambria" w:cs="Arial"/>
                <w:i/>
                <w:sz w:val="18"/>
                <w:szCs w:val="18"/>
              </w:rPr>
              <w:t xml:space="preserve"> </w:t>
            </w:r>
            <w:r>
              <w:rPr>
                <w:rFonts w:ascii="Cambria" w:hAnsi="Cambria" w:cs="Arial"/>
                <w:sz w:val="18"/>
                <w:szCs w:val="18"/>
              </w:rPr>
              <w:t>[</w:t>
            </w:r>
            <w:proofErr w:type="spellStart"/>
            <w:r>
              <w:rPr>
                <w:rFonts w:ascii="Cambria" w:hAnsi="Cambria" w:cs="Arial"/>
                <w:sz w:val="18"/>
                <w:szCs w:val="18"/>
              </w:rPr>
              <w:t>A</w:t>
            </w:r>
            <w:r>
              <w:rPr>
                <w:rFonts w:ascii="Cambria" w:hAnsi="Cambria"/>
                <w:noProof/>
                <w:sz w:val="18"/>
                <w:szCs w:val="18"/>
              </w:rPr>
              <w:t>maranthaceae</w:t>
            </w:r>
            <w:proofErr w:type="spellEnd"/>
            <w:r>
              <w:rPr>
                <w:rFonts w:ascii="Cambria" w:hAnsi="Cambria"/>
                <w:noProof/>
                <w:sz w:val="18"/>
                <w:szCs w:val="18"/>
              </w:rPr>
              <w:t>]</w:t>
            </w:r>
          </w:p>
        </w:tc>
        <w:tc>
          <w:tcPr>
            <w:tcW w:w="1234" w:type="pct"/>
          </w:tcPr>
          <w:p w14:paraId="4FC25336" w14:textId="77777777" w:rsidR="004F6FE7" w:rsidRDefault="004F6FE7">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Redroot amaranth, Redroot pigweed</w:t>
            </w:r>
          </w:p>
        </w:tc>
        <w:tc>
          <w:tcPr>
            <w:tcW w:w="1066" w:type="pct"/>
          </w:tcPr>
          <w:p w14:paraId="6CFF0D97" w14:textId="17BCA6C9" w:rsidR="004F6FE7" w:rsidRDefault="004F6FE7">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vMerge/>
          </w:tcPr>
          <w:p w14:paraId="0FB944EE" w14:textId="5846C9ED" w:rsidR="004F6FE7" w:rsidRDefault="004F6FE7">
            <w:pPr>
              <w:tabs>
                <w:tab w:val="left" w:pos="4360"/>
                <w:tab w:val="left" w:pos="8720"/>
              </w:tabs>
              <w:spacing w:before="40" w:after="40"/>
              <w:rPr>
                <w:rFonts w:ascii="Cambria" w:eastAsia="Cambria" w:hAnsi="Cambria" w:cs="LucidaBright,Italic"/>
                <w:iCs/>
                <w:sz w:val="18"/>
                <w:szCs w:val="18"/>
                <w:lang w:eastAsia="en-AU"/>
              </w:rPr>
            </w:pPr>
          </w:p>
        </w:tc>
      </w:tr>
      <w:tr w:rsidR="004F6FE7" w14:paraId="3F6E9B23" w14:textId="77777777">
        <w:tc>
          <w:tcPr>
            <w:tcW w:w="1778" w:type="pct"/>
          </w:tcPr>
          <w:p w14:paraId="087C905C" w14:textId="77777777" w:rsidR="004F6FE7" w:rsidRDefault="004F6FE7">
            <w:pPr>
              <w:tabs>
                <w:tab w:val="left" w:pos="4360"/>
                <w:tab w:val="left" w:pos="8720"/>
              </w:tabs>
              <w:spacing w:before="40" w:after="40"/>
              <w:rPr>
                <w:rFonts w:ascii="Cambria" w:hAnsi="Cambria" w:cs="Arial"/>
                <w:i/>
                <w:sz w:val="18"/>
                <w:szCs w:val="18"/>
              </w:rPr>
            </w:pPr>
            <w:proofErr w:type="spellStart"/>
            <w:r>
              <w:rPr>
                <w:rFonts w:ascii="Cambria" w:hAnsi="Cambria" w:cs="Arial"/>
                <w:i/>
                <w:sz w:val="18"/>
                <w:szCs w:val="18"/>
              </w:rPr>
              <w:t>Amaranthus</w:t>
            </w:r>
            <w:proofErr w:type="spellEnd"/>
            <w:r>
              <w:rPr>
                <w:rFonts w:ascii="Cambria" w:hAnsi="Cambria" w:cs="Arial"/>
                <w:i/>
                <w:sz w:val="18"/>
                <w:szCs w:val="18"/>
              </w:rPr>
              <w:t xml:space="preserve"> </w:t>
            </w:r>
            <w:proofErr w:type="spellStart"/>
            <w:r>
              <w:rPr>
                <w:rFonts w:ascii="Cambria" w:hAnsi="Cambria" w:cs="Arial"/>
                <w:i/>
                <w:sz w:val="18"/>
                <w:szCs w:val="18"/>
              </w:rPr>
              <w:t>viridis</w:t>
            </w:r>
            <w:proofErr w:type="spellEnd"/>
            <w:r>
              <w:rPr>
                <w:rFonts w:ascii="Cambria" w:hAnsi="Cambria" w:cs="Arial"/>
                <w:i/>
                <w:sz w:val="18"/>
                <w:szCs w:val="18"/>
              </w:rPr>
              <w:t xml:space="preserve"> </w:t>
            </w:r>
            <w:r>
              <w:rPr>
                <w:rFonts w:ascii="Cambria" w:hAnsi="Cambria" w:cs="Arial"/>
                <w:sz w:val="18"/>
                <w:szCs w:val="18"/>
              </w:rPr>
              <w:t>Linnaeus [</w:t>
            </w:r>
            <w:proofErr w:type="spellStart"/>
            <w:r>
              <w:rPr>
                <w:rFonts w:ascii="Cambria" w:hAnsi="Cambria" w:cs="Arial"/>
                <w:sz w:val="18"/>
                <w:szCs w:val="18"/>
              </w:rPr>
              <w:t>A</w:t>
            </w:r>
            <w:r>
              <w:rPr>
                <w:rFonts w:ascii="Cambria" w:hAnsi="Cambria"/>
                <w:noProof/>
                <w:sz w:val="18"/>
                <w:szCs w:val="18"/>
              </w:rPr>
              <w:t>maranthaceae</w:t>
            </w:r>
            <w:proofErr w:type="spellEnd"/>
            <w:r>
              <w:rPr>
                <w:rFonts w:ascii="Cambria" w:hAnsi="Cambria"/>
                <w:noProof/>
                <w:sz w:val="18"/>
                <w:szCs w:val="18"/>
              </w:rPr>
              <w:t>]</w:t>
            </w:r>
          </w:p>
        </w:tc>
        <w:tc>
          <w:tcPr>
            <w:tcW w:w="1234" w:type="pct"/>
          </w:tcPr>
          <w:p w14:paraId="2DBAC69B" w14:textId="77777777" w:rsidR="004F6FE7" w:rsidRDefault="004F6FE7">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 xml:space="preserve">Green </w:t>
            </w:r>
            <w:proofErr w:type="spellStart"/>
            <w:r>
              <w:rPr>
                <w:rFonts w:ascii="Cambria" w:eastAsia="Cambria" w:hAnsi="Cambria" w:cs="LucidaBright,Italic"/>
                <w:iCs/>
                <w:sz w:val="18"/>
                <w:szCs w:val="18"/>
                <w:lang w:eastAsia="en-AU"/>
              </w:rPr>
              <w:t>amaranthus</w:t>
            </w:r>
            <w:proofErr w:type="spellEnd"/>
          </w:p>
        </w:tc>
        <w:tc>
          <w:tcPr>
            <w:tcW w:w="1066" w:type="pct"/>
          </w:tcPr>
          <w:p w14:paraId="7161F016" w14:textId="62D46736" w:rsidR="004F6FE7" w:rsidRDefault="004F6FE7" w:rsidP="00BF087E">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Pr>
                <w:rFonts w:ascii="Cambria" w:eastAsia="Cambria" w:hAnsi="Cambria" w:cs="LucidaBright,Italic"/>
                <w:iCs/>
                <w:sz w:val="18"/>
                <w:szCs w:val="18"/>
                <w:lang w:eastAsia="en-AU"/>
              </w:rPr>
              <w:t xml:space="preserve"> </w:t>
            </w:r>
            <w:r w:rsidRPr="008163B6">
              <w:rPr>
                <w:rFonts w:asciiTheme="majorHAnsi" w:eastAsia="Cambria" w:hAnsiTheme="majorHAnsi" w:cs="LucidaBright,Italic"/>
                <w:iCs/>
                <w:sz w:val="18"/>
                <w:szCs w:val="18"/>
                <w:lang w:eastAsia="en-AU"/>
              </w:rPr>
              <w:t>(</w:t>
            </w:r>
            <w:r>
              <w:rPr>
                <w:rFonts w:asciiTheme="majorHAnsi" w:eastAsia="Cambria" w:hAnsiTheme="majorHAnsi" w:cs="LucidaBright,Italic"/>
                <w:iCs/>
                <w:sz w:val="18"/>
                <w:szCs w:val="18"/>
                <w:lang w:eastAsia="en-AU"/>
              </w:rPr>
              <w:t>Stephen West [NT D</w:t>
            </w:r>
            <w:r w:rsidR="00BF087E">
              <w:rPr>
                <w:rFonts w:asciiTheme="majorHAnsi" w:eastAsia="Cambria" w:hAnsiTheme="majorHAnsi" w:cs="LucidaBright,Italic"/>
                <w:iCs/>
                <w:sz w:val="18"/>
                <w:szCs w:val="18"/>
                <w:lang w:eastAsia="en-AU"/>
              </w:rPr>
              <w:t>PIF</w:t>
            </w:r>
            <w:r>
              <w:rPr>
                <w:rFonts w:asciiTheme="majorHAnsi" w:eastAsia="Cambria" w:hAnsiTheme="majorHAnsi" w:cs="LucidaBright,Italic"/>
                <w:iCs/>
                <w:sz w:val="18"/>
                <w:szCs w:val="18"/>
                <w:lang w:eastAsia="en-AU"/>
              </w:rPr>
              <w:t>] 2015,</w:t>
            </w:r>
            <w:r w:rsidRPr="008163B6">
              <w:rPr>
                <w:rFonts w:asciiTheme="majorHAnsi" w:eastAsia="Cambria" w:hAnsiTheme="majorHAnsi" w:cs="LucidaBright,Italic"/>
                <w:iCs/>
                <w:sz w:val="18"/>
                <w:szCs w:val="18"/>
                <w:lang w:eastAsia="en-AU"/>
              </w:rPr>
              <w:t xml:space="preserve"> pers. comm.</w:t>
            </w:r>
            <w:r>
              <w:rPr>
                <w:rFonts w:asciiTheme="majorHAnsi" w:eastAsia="Cambria" w:hAnsiTheme="majorHAnsi" w:cs="LucidaBright,Italic"/>
                <w:iCs/>
                <w:sz w:val="18"/>
                <w:szCs w:val="18"/>
                <w:lang w:eastAsia="en-AU"/>
              </w:rPr>
              <w:t>,</w:t>
            </w:r>
            <w:r w:rsidRPr="008163B6">
              <w:rPr>
                <w:rFonts w:asciiTheme="majorHAnsi" w:eastAsia="Cambria" w:hAnsiTheme="majorHAnsi" w:cs="LucidaBright,Italic"/>
                <w:iCs/>
                <w:sz w:val="18"/>
                <w:szCs w:val="18"/>
                <w:lang w:eastAsia="en-AU"/>
              </w:rPr>
              <w:t xml:space="preserve"> </w:t>
            </w:r>
            <w:r>
              <w:rPr>
                <w:rFonts w:asciiTheme="majorHAnsi" w:eastAsia="Cambria" w:hAnsiTheme="majorHAnsi" w:cs="LucidaBright,Italic"/>
                <w:iCs/>
                <w:sz w:val="18"/>
                <w:szCs w:val="18"/>
                <w:lang w:eastAsia="en-AU"/>
              </w:rPr>
              <w:t>9 September</w:t>
            </w:r>
            <w:r w:rsidRPr="008163B6">
              <w:rPr>
                <w:rFonts w:asciiTheme="majorHAnsi" w:eastAsia="Cambria" w:hAnsiTheme="majorHAnsi" w:cs="LucidaBright,Italic"/>
                <w:iCs/>
                <w:sz w:val="18"/>
                <w:szCs w:val="18"/>
                <w:lang w:eastAsia="en-AU"/>
              </w:rPr>
              <w:t>)</w:t>
            </w:r>
          </w:p>
        </w:tc>
        <w:tc>
          <w:tcPr>
            <w:tcW w:w="922" w:type="pct"/>
            <w:vMerge/>
          </w:tcPr>
          <w:p w14:paraId="55447CA5" w14:textId="2EBD7A9E" w:rsidR="004F6FE7" w:rsidRDefault="004F6FE7">
            <w:pPr>
              <w:tabs>
                <w:tab w:val="left" w:pos="4360"/>
                <w:tab w:val="left" w:pos="8720"/>
              </w:tabs>
              <w:spacing w:before="40" w:after="40"/>
              <w:rPr>
                <w:rFonts w:ascii="Cambria" w:eastAsia="Cambria" w:hAnsi="Cambria" w:cs="LucidaBright,Italic"/>
                <w:iCs/>
                <w:sz w:val="18"/>
                <w:szCs w:val="18"/>
                <w:lang w:eastAsia="en-AU"/>
              </w:rPr>
            </w:pPr>
          </w:p>
        </w:tc>
      </w:tr>
      <w:tr w:rsidR="008F1BBC" w14:paraId="2D488CF7" w14:textId="77777777">
        <w:tc>
          <w:tcPr>
            <w:tcW w:w="1778" w:type="pct"/>
          </w:tcPr>
          <w:p w14:paraId="11425559" w14:textId="77777777" w:rsidR="008F1BBC" w:rsidRDefault="008F1BBC">
            <w:pPr>
              <w:tabs>
                <w:tab w:val="left" w:pos="4360"/>
                <w:tab w:val="left" w:pos="8720"/>
              </w:tabs>
              <w:spacing w:before="40" w:after="40"/>
              <w:rPr>
                <w:rFonts w:ascii="Cambria" w:hAnsi="Cambria"/>
                <w:sz w:val="18"/>
                <w:szCs w:val="18"/>
              </w:rPr>
            </w:pPr>
            <w:proofErr w:type="spellStart"/>
            <w:r>
              <w:rPr>
                <w:rFonts w:ascii="Cambria" w:hAnsi="Cambria" w:cs="Arial"/>
                <w:i/>
                <w:sz w:val="18"/>
                <w:szCs w:val="18"/>
              </w:rPr>
              <w:t>Chenopodium</w:t>
            </w:r>
            <w:proofErr w:type="spellEnd"/>
            <w:r>
              <w:rPr>
                <w:rFonts w:ascii="Cambria" w:hAnsi="Cambria" w:cs="Arial"/>
                <w:i/>
                <w:sz w:val="18"/>
                <w:szCs w:val="18"/>
              </w:rPr>
              <w:t xml:space="preserve"> album </w:t>
            </w:r>
            <w:r>
              <w:rPr>
                <w:rFonts w:ascii="Cambria" w:hAnsi="Cambria" w:cs="Arial"/>
                <w:sz w:val="18"/>
                <w:szCs w:val="18"/>
              </w:rPr>
              <w:t>Linnaeus [</w:t>
            </w:r>
            <w:proofErr w:type="spellStart"/>
            <w:r>
              <w:rPr>
                <w:rFonts w:ascii="Cambria" w:hAnsi="Cambria"/>
                <w:noProof/>
                <w:sz w:val="18"/>
                <w:szCs w:val="18"/>
              </w:rPr>
              <w:t>Chenopodiaceae</w:t>
            </w:r>
            <w:proofErr w:type="spellEnd"/>
            <w:r>
              <w:rPr>
                <w:rFonts w:ascii="Cambria" w:hAnsi="Cambria"/>
                <w:noProof/>
                <w:sz w:val="18"/>
                <w:szCs w:val="18"/>
              </w:rPr>
              <w:t>]</w:t>
            </w:r>
          </w:p>
        </w:tc>
        <w:tc>
          <w:tcPr>
            <w:tcW w:w="1234" w:type="pct"/>
          </w:tcPr>
          <w:p w14:paraId="38D103AF"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Fat hen</w:t>
            </w:r>
          </w:p>
        </w:tc>
        <w:tc>
          <w:tcPr>
            <w:tcW w:w="1066" w:type="pct"/>
          </w:tcPr>
          <w:p w14:paraId="45872DEF" w14:textId="2F47B306"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tcPr>
          <w:p w14:paraId="6DFA1019" w14:textId="7D308E0E"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r w:rsidR="008F1BBC" w14:paraId="3B00FD5C" w14:textId="77777777">
        <w:tc>
          <w:tcPr>
            <w:tcW w:w="1778" w:type="pct"/>
          </w:tcPr>
          <w:p w14:paraId="53549933" w14:textId="77777777" w:rsidR="008F1BBC" w:rsidRDefault="008F1BBC">
            <w:pPr>
              <w:tabs>
                <w:tab w:val="left" w:pos="4360"/>
                <w:tab w:val="left" w:pos="8720"/>
              </w:tabs>
              <w:spacing w:before="40" w:after="40"/>
              <w:rPr>
                <w:rFonts w:ascii="Cambria" w:hAnsi="Cambria" w:cs="Arial"/>
                <w:sz w:val="18"/>
                <w:szCs w:val="18"/>
              </w:rPr>
            </w:pPr>
            <w:proofErr w:type="spellStart"/>
            <w:r>
              <w:rPr>
                <w:rFonts w:ascii="Cambria" w:hAnsi="Cambria" w:cs="Arial"/>
                <w:i/>
                <w:sz w:val="18"/>
                <w:szCs w:val="18"/>
              </w:rPr>
              <w:t>Ecballium</w:t>
            </w:r>
            <w:proofErr w:type="spellEnd"/>
            <w:r>
              <w:rPr>
                <w:rFonts w:ascii="Cambria" w:hAnsi="Cambria" w:cs="Arial"/>
                <w:i/>
                <w:sz w:val="18"/>
                <w:szCs w:val="18"/>
              </w:rPr>
              <w:t xml:space="preserve"> elaterium </w:t>
            </w:r>
            <w:r>
              <w:rPr>
                <w:rFonts w:ascii="Cambria" w:hAnsi="Cambria"/>
                <w:noProof/>
                <w:sz w:val="18"/>
                <w:szCs w:val="18"/>
              </w:rPr>
              <w:t>(Linnaeus) Richard</w:t>
            </w:r>
            <w:r>
              <w:rPr>
                <w:rFonts w:ascii="Cambria" w:hAnsi="Cambria" w:cs="Arial"/>
                <w:sz w:val="18"/>
                <w:szCs w:val="18"/>
              </w:rPr>
              <w:t xml:space="preserve"> [Cucurbitaceae]</w:t>
            </w:r>
          </w:p>
        </w:tc>
        <w:tc>
          <w:tcPr>
            <w:tcW w:w="1234" w:type="pct"/>
          </w:tcPr>
          <w:p w14:paraId="6F861F94"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Squirting cucumber</w:t>
            </w:r>
          </w:p>
        </w:tc>
        <w:tc>
          <w:tcPr>
            <w:tcW w:w="1066" w:type="pct"/>
          </w:tcPr>
          <w:p w14:paraId="077659BE" w14:textId="152FBA4B"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Antignus</w:t>
            </w:r>
            <w:proofErr w:type="spellEnd"/>
            <w:r w:rsidR="00BF087E">
              <w:rPr>
                <w:rFonts w:ascii="Cambria" w:eastAsia="Cambria" w:hAnsi="Cambria" w:cs="LucidaBright,Italic"/>
                <w:iCs/>
                <w:sz w:val="18"/>
                <w:szCs w:val="18"/>
                <w:lang w:eastAsia="en-AU"/>
              </w:rPr>
              <w:t xml:space="preserve"> et al. 1990)</w:t>
            </w:r>
          </w:p>
        </w:tc>
        <w:tc>
          <w:tcPr>
            <w:tcW w:w="922" w:type="pct"/>
          </w:tcPr>
          <w:p w14:paraId="625D93EE" w14:textId="4AC6B309"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r w:rsidR="008F1BBC" w14:paraId="4D9D53BE" w14:textId="77777777">
        <w:tc>
          <w:tcPr>
            <w:tcW w:w="1778" w:type="pct"/>
          </w:tcPr>
          <w:p w14:paraId="30047B7A" w14:textId="77777777" w:rsidR="008F1BBC" w:rsidRDefault="008F1BBC">
            <w:pPr>
              <w:tabs>
                <w:tab w:val="left" w:pos="4360"/>
                <w:tab w:val="left" w:pos="8720"/>
              </w:tabs>
              <w:spacing w:before="40" w:after="40"/>
              <w:rPr>
                <w:rFonts w:ascii="Cambria" w:hAnsi="Cambria" w:cs="Arial"/>
                <w:i/>
                <w:sz w:val="18"/>
                <w:szCs w:val="18"/>
              </w:rPr>
            </w:pPr>
            <w:proofErr w:type="spellStart"/>
            <w:r>
              <w:rPr>
                <w:rFonts w:ascii="Cambria" w:hAnsi="Cambria" w:cs="Arial"/>
                <w:i/>
                <w:sz w:val="18"/>
                <w:szCs w:val="18"/>
              </w:rPr>
              <w:t>Heliotropium</w:t>
            </w:r>
            <w:proofErr w:type="spellEnd"/>
            <w:r>
              <w:rPr>
                <w:rFonts w:ascii="Cambria" w:hAnsi="Cambria" w:cs="Arial"/>
                <w:i/>
                <w:sz w:val="18"/>
                <w:szCs w:val="18"/>
              </w:rPr>
              <w:t xml:space="preserve"> </w:t>
            </w:r>
            <w:proofErr w:type="spellStart"/>
            <w:r>
              <w:rPr>
                <w:rFonts w:ascii="Cambria" w:hAnsi="Cambria" w:cs="Arial"/>
                <w:i/>
                <w:sz w:val="18"/>
                <w:szCs w:val="18"/>
              </w:rPr>
              <w:t>europaeum</w:t>
            </w:r>
            <w:proofErr w:type="spellEnd"/>
            <w:r>
              <w:rPr>
                <w:rFonts w:ascii="Cambria" w:hAnsi="Cambria" w:cs="Arial"/>
                <w:i/>
                <w:sz w:val="18"/>
                <w:szCs w:val="18"/>
              </w:rPr>
              <w:t xml:space="preserve"> </w:t>
            </w:r>
            <w:r>
              <w:rPr>
                <w:rFonts w:ascii="Cambria" w:hAnsi="Cambria" w:cs="Arial"/>
                <w:sz w:val="18"/>
                <w:szCs w:val="18"/>
              </w:rPr>
              <w:t xml:space="preserve">Linnaeus </w:t>
            </w:r>
            <w:r>
              <w:rPr>
                <w:rFonts w:ascii="Cambria" w:hAnsi="Cambria"/>
                <w:sz w:val="18"/>
                <w:szCs w:val="18"/>
              </w:rPr>
              <w:t>[</w:t>
            </w:r>
            <w:proofErr w:type="spellStart"/>
            <w:r>
              <w:rPr>
                <w:rFonts w:ascii="Cambria" w:hAnsi="Cambria"/>
                <w:sz w:val="18"/>
                <w:szCs w:val="18"/>
              </w:rPr>
              <w:t>Boraginaceae</w:t>
            </w:r>
            <w:proofErr w:type="spellEnd"/>
            <w:r>
              <w:rPr>
                <w:rFonts w:ascii="Cambria" w:hAnsi="Cambria"/>
                <w:sz w:val="18"/>
                <w:szCs w:val="18"/>
              </w:rPr>
              <w:t>]</w:t>
            </w:r>
          </w:p>
        </w:tc>
        <w:tc>
          <w:tcPr>
            <w:tcW w:w="1234" w:type="pct"/>
          </w:tcPr>
          <w:p w14:paraId="3701D4FB"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Common heliotrope</w:t>
            </w:r>
          </w:p>
        </w:tc>
        <w:tc>
          <w:tcPr>
            <w:tcW w:w="1066" w:type="pct"/>
          </w:tcPr>
          <w:p w14:paraId="5C547CF8" w14:textId="26373A04"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tcPr>
          <w:p w14:paraId="304B237E" w14:textId="43CF352A"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r w:rsidR="008F1BBC" w14:paraId="176CAEE7" w14:textId="77777777">
        <w:tc>
          <w:tcPr>
            <w:tcW w:w="1778" w:type="pct"/>
          </w:tcPr>
          <w:p w14:paraId="27A277FE" w14:textId="77777777" w:rsidR="008F1BBC" w:rsidRDefault="008F1BBC">
            <w:pPr>
              <w:tabs>
                <w:tab w:val="left" w:pos="4360"/>
                <w:tab w:val="left" w:pos="8720"/>
              </w:tabs>
              <w:spacing w:before="40" w:after="40"/>
              <w:rPr>
                <w:rFonts w:ascii="Cambria" w:hAnsi="Cambria"/>
                <w:sz w:val="18"/>
                <w:szCs w:val="18"/>
              </w:rPr>
            </w:pPr>
            <w:proofErr w:type="spellStart"/>
            <w:r>
              <w:rPr>
                <w:rFonts w:ascii="Cambria" w:hAnsi="Cambria"/>
                <w:i/>
                <w:sz w:val="18"/>
                <w:szCs w:val="18"/>
              </w:rPr>
              <w:t>Heracleum</w:t>
            </w:r>
            <w:proofErr w:type="spellEnd"/>
            <w:r>
              <w:rPr>
                <w:rFonts w:ascii="Cambria" w:hAnsi="Cambria"/>
                <w:i/>
                <w:sz w:val="18"/>
                <w:szCs w:val="18"/>
              </w:rPr>
              <w:t xml:space="preserve"> </w:t>
            </w:r>
            <w:proofErr w:type="spellStart"/>
            <w:r>
              <w:rPr>
                <w:rFonts w:ascii="Cambria" w:hAnsi="Cambria"/>
                <w:i/>
                <w:sz w:val="18"/>
                <w:szCs w:val="18"/>
              </w:rPr>
              <w:t>moellendorffii</w:t>
            </w:r>
            <w:proofErr w:type="spellEnd"/>
            <w:r>
              <w:rPr>
                <w:rFonts w:ascii="Cambria" w:hAnsi="Cambria"/>
                <w:i/>
                <w:sz w:val="18"/>
                <w:szCs w:val="18"/>
              </w:rPr>
              <w:t xml:space="preserve"> </w:t>
            </w:r>
            <w:r>
              <w:rPr>
                <w:rFonts w:ascii="Cambria" w:hAnsi="Cambria"/>
                <w:sz w:val="18"/>
                <w:szCs w:val="18"/>
              </w:rPr>
              <w:t>Hance [</w:t>
            </w:r>
            <w:proofErr w:type="spellStart"/>
            <w:r>
              <w:rPr>
                <w:rFonts w:ascii="Cambria" w:hAnsi="Cambria"/>
                <w:sz w:val="18"/>
                <w:szCs w:val="18"/>
              </w:rPr>
              <w:t>Apiaceae</w:t>
            </w:r>
            <w:proofErr w:type="spellEnd"/>
            <w:r>
              <w:rPr>
                <w:rFonts w:ascii="Cambria" w:hAnsi="Cambria"/>
                <w:sz w:val="18"/>
                <w:szCs w:val="18"/>
              </w:rPr>
              <w:t>]</w:t>
            </w:r>
          </w:p>
        </w:tc>
        <w:tc>
          <w:tcPr>
            <w:tcW w:w="1234" w:type="pct"/>
          </w:tcPr>
          <w:p w14:paraId="1EE20831"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proofErr w:type="spellStart"/>
            <w:r>
              <w:rPr>
                <w:rFonts w:ascii="Cambria" w:eastAsia="Cambria" w:hAnsi="Cambria" w:cs="LucidaBright,Italic"/>
                <w:iCs/>
                <w:sz w:val="18"/>
                <w:szCs w:val="18"/>
                <w:lang w:eastAsia="en-AU"/>
              </w:rPr>
              <w:t>Duan</w:t>
            </w:r>
            <w:proofErr w:type="spellEnd"/>
            <w:r>
              <w:rPr>
                <w:rFonts w:ascii="Cambria" w:eastAsia="Cambria" w:hAnsi="Cambria" w:cs="LucidaBright,Italic"/>
                <w:iCs/>
                <w:sz w:val="18"/>
                <w:szCs w:val="18"/>
                <w:lang w:eastAsia="en-AU"/>
              </w:rPr>
              <w:t xml:space="preserve"> </w:t>
            </w:r>
            <w:proofErr w:type="spellStart"/>
            <w:r>
              <w:rPr>
                <w:rFonts w:ascii="Cambria" w:eastAsia="Cambria" w:hAnsi="Cambria" w:cs="LucidaBright,Italic"/>
                <w:iCs/>
                <w:sz w:val="18"/>
                <w:szCs w:val="18"/>
                <w:lang w:eastAsia="en-AU"/>
              </w:rPr>
              <w:t>mao</w:t>
            </w:r>
            <w:proofErr w:type="spellEnd"/>
            <w:r>
              <w:rPr>
                <w:rFonts w:ascii="Cambria" w:eastAsia="Cambria" w:hAnsi="Cambria" w:cs="LucidaBright,Italic"/>
                <w:iCs/>
                <w:sz w:val="18"/>
                <w:szCs w:val="18"/>
                <w:lang w:eastAsia="en-AU"/>
              </w:rPr>
              <w:t xml:space="preserve"> du </w:t>
            </w:r>
            <w:proofErr w:type="spellStart"/>
            <w:r>
              <w:rPr>
                <w:rFonts w:ascii="Cambria" w:eastAsia="Cambria" w:hAnsi="Cambria" w:cs="LucidaBright,Italic"/>
                <w:iCs/>
                <w:sz w:val="18"/>
                <w:szCs w:val="18"/>
                <w:lang w:eastAsia="en-AU"/>
              </w:rPr>
              <w:t>huo</w:t>
            </w:r>
            <w:proofErr w:type="spellEnd"/>
            <w:r>
              <w:rPr>
                <w:rFonts w:ascii="Cambria" w:eastAsia="Cambria" w:hAnsi="Cambria" w:cs="LucidaBright,Italic"/>
                <w:iCs/>
                <w:sz w:val="18"/>
                <w:szCs w:val="18"/>
                <w:lang w:eastAsia="en-AU"/>
              </w:rPr>
              <w:t xml:space="preserve">, </w:t>
            </w:r>
            <w:proofErr w:type="spellStart"/>
            <w:r>
              <w:rPr>
                <w:rFonts w:ascii="Cambria" w:eastAsia="Cambria" w:hAnsi="Cambria" w:cs="LucidaBright,Italic"/>
                <w:iCs/>
                <w:sz w:val="18"/>
                <w:szCs w:val="18"/>
                <w:lang w:eastAsia="en-AU"/>
              </w:rPr>
              <w:t>Eosuri</w:t>
            </w:r>
            <w:proofErr w:type="spellEnd"/>
          </w:p>
        </w:tc>
        <w:tc>
          <w:tcPr>
            <w:tcW w:w="1066" w:type="pct"/>
          </w:tcPr>
          <w:p w14:paraId="60610D20" w14:textId="7B07A23E"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(Cho et al. 2015)</w:t>
            </w:r>
          </w:p>
        </w:tc>
        <w:tc>
          <w:tcPr>
            <w:tcW w:w="922" w:type="pct"/>
          </w:tcPr>
          <w:p w14:paraId="06416FDA" w14:textId="7F375E60"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r w:rsidR="008F1BBC" w14:paraId="5799F592" w14:textId="77777777">
        <w:tc>
          <w:tcPr>
            <w:tcW w:w="1778" w:type="pct"/>
          </w:tcPr>
          <w:p w14:paraId="3F7E89F1" w14:textId="77777777" w:rsidR="008F1BBC" w:rsidRDefault="008F1BBC">
            <w:pPr>
              <w:tabs>
                <w:tab w:val="left" w:pos="4360"/>
                <w:tab w:val="left" w:pos="8720"/>
              </w:tabs>
              <w:spacing w:before="40" w:after="40"/>
              <w:rPr>
                <w:rFonts w:ascii="Cambria" w:hAnsi="Cambria" w:cs="Arial"/>
                <w:sz w:val="18"/>
                <w:szCs w:val="18"/>
              </w:rPr>
            </w:pPr>
            <w:r>
              <w:rPr>
                <w:rFonts w:ascii="Cambria" w:hAnsi="Cambria" w:cs="Arial"/>
                <w:i/>
                <w:sz w:val="18"/>
                <w:szCs w:val="18"/>
              </w:rPr>
              <w:t xml:space="preserve">Portulaca </w:t>
            </w:r>
            <w:proofErr w:type="spellStart"/>
            <w:r>
              <w:rPr>
                <w:rFonts w:ascii="Cambria" w:hAnsi="Cambria" w:cs="Arial"/>
                <w:i/>
                <w:sz w:val="18"/>
                <w:szCs w:val="18"/>
              </w:rPr>
              <w:t>oleracea</w:t>
            </w:r>
            <w:proofErr w:type="spellEnd"/>
            <w:r>
              <w:rPr>
                <w:rFonts w:ascii="Cambria" w:hAnsi="Cambria" w:cs="Arial"/>
                <w:i/>
                <w:sz w:val="18"/>
                <w:szCs w:val="18"/>
              </w:rPr>
              <w:t xml:space="preserve"> </w:t>
            </w:r>
            <w:r>
              <w:rPr>
                <w:rFonts w:ascii="Cambria" w:hAnsi="Cambria" w:cs="Arial"/>
                <w:sz w:val="18"/>
                <w:szCs w:val="18"/>
              </w:rPr>
              <w:t xml:space="preserve">Linnaeus </w:t>
            </w:r>
            <w:r>
              <w:rPr>
                <w:rFonts w:ascii="Cambria" w:hAnsi="Cambria"/>
                <w:sz w:val="18"/>
                <w:szCs w:val="18"/>
              </w:rPr>
              <w:t>[</w:t>
            </w:r>
            <w:proofErr w:type="spellStart"/>
            <w:r>
              <w:rPr>
                <w:rFonts w:ascii="Cambria" w:hAnsi="Cambria"/>
                <w:sz w:val="18"/>
                <w:szCs w:val="18"/>
              </w:rPr>
              <w:t>Portulacaceae</w:t>
            </w:r>
            <w:proofErr w:type="spellEnd"/>
            <w:r>
              <w:rPr>
                <w:rFonts w:ascii="Cambria" w:hAnsi="Cambria"/>
                <w:sz w:val="18"/>
                <w:szCs w:val="18"/>
              </w:rPr>
              <w:t>]</w:t>
            </w:r>
          </w:p>
        </w:tc>
        <w:tc>
          <w:tcPr>
            <w:tcW w:w="1234" w:type="pct"/>
          </w:tcPr>
          <w:p w14:paraId="747EBAF7"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 xml:space="preserve">Parsley, Pigweed, Purslane </w:t>
            </w:r>
          </w:p>
        </w:tc>
        <w:tc>
          <w:tcPr>
            <w:tcW w:w="1066" w:type="pct"/>
          </w:tcPr>
          <w:p w14:paraId="3CD77C75" w14:textId="5A62CA7D"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tcPr>
          <w:p w14:paraId="31CE6F8B" w14:textId="0A2C8C14"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r w:rsidR="008F1BBC" w14:paraId="67A75175" w14:textId="77777777">
        <w:tc>
          <w:tcPr>
            <w:tcW w:w="1778" w:type="pct"/>
          </w:tcPr>
          <w:p w14:paraId="486EC638" w14:textId="77777777" w:rsidR="008F1BBC" w:rsidRDefault="008F1BBC">
            <w:pPr>
              <w:tabs>
                <w:tab w:val="left" w:pos="4360"/>
                <w:tab w:val="left" w:pos="8720"/>
              </w:tabs>
              <w:spacing w:before="40" w:after="40"/>
              <w:rPr>
                <w:rFonts w:ascii="Cambria" w:hAnsi="Cambria" w:cs="Arial"/>
                <w:sz w:val="18"/>
                <w:szCs w:val="18"/>
              </w:rPr>
            </w:pPr>
            <w:r>
              <w:rPr>
                <w:rFonts w:ascii="Cambria" w:hAnsi="Cambria" w:cs="Arial"/>
                <w:i/>
                <w:sz w:val="18"/>
                <w:szCs w:val="18"/>
              </w:rPr>
              <w:t xml:space="preserve">Solanum </w:t>
            </w:r>
            <w:proofErr w:type="spellStart"/>
            <w:r>
              <w:rPr>
                <w:rFonts w:ascii="Cambria" w:hAnsi="Cambria" w:cs="Arial"/>
                <w:i/>
                <w:sz w:val="18"/>
                <w:szCs w:val="18"/>
              </w:rPr>
              <w:t>nigrum</w:t>
            </w:r>
            <w:proofErr w:type="spellEnd"/>
            <w:r>
              <w:rPr>
                <w:rFonts w:ascii="Cambria" w:hAnsi="Cambria" w:cs="Arial"/>
                <w:i/>
                <w:sz w:val="18"/>
                <w:szCs w:val="18"/>
              </w:rPr>
              <w:t xml:space="preserve"> </w:t>
            </w:r>
            <w:r>
              <w:rPr>
                <w:rFonts w:ascii="Cambria" w:hAnsi="Cambria" w:cs="Arial"/>
                <w:sz w:val="18"/>
                <w:szCs w:val="18"/>
              </w:rPr>
              <w:t xml:space="preserve">Linnaeus </w:t>
            </w:r>
            <w:r>
              <w:rPr>
                <w:rFonts w:ascii="Cambria" w:hAnsi="Cambria"/>
                <w:sz w:val="18"/>
                <w:szCs w:val="18"/>
              </w:rPr>
              <w:t>[</w:t>
            </w:r>
            <w:proofErr w:type="spellStart"/>
            <w:r>
              <w:rPr>
                <w:rFonts w:ascii="Cambria" w:hAnsi="Cambria"/>
                <w:sz w:val="18"/>
                <w:szCs w:val="18"/>
              </w:rPr>
              <w:t>Solanaceae</w:t>
            </w:r>
            <w:proofErr w:type="spellEnd"/>
            <w:r>
              <w:rPr>
                <w:rFonts w:ascii="Cambria" w:hAnsi="Cambria"/>
                <w:sz w:val="18"/>
                <w:szCs w:val="18"/>
              </w:rPr>
              <w:t>]</w:t>
            </w:r>
          </w:p>
        </w:tc>
        <w:tc>
          <w:tcPr>
            <w:tcW w:w="1234" w:type="pct"/>
          </w:tcPr>
          <w:p w14:paraId="5CB72690" w14:textId="77777777"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iCs/>
                <w:sz w:val="18"/>
                <w:szCs w:val="18"/>
                <w:lang w:eastAsia="en-AU"/>
              </w:rPr>
              <w:t xml:space="preserve">Blackberry nightshade, Black nightshade </w:t>
            </w:r>
          </w:p>
        </w:tc>
        <w:tc>
          <w:tcPr>
            <w:tcW w:w="1066" w:type="pct"/>
          </w:tcPr>
          <w:p w14:paraId="794F4271" w14:textId="451204E2" w:rsidR="008F1BBC" w:rsidRDefault="008F1BBC">
            <w:pPr>
              <w:tabs>
                <w:tab w:val="left" w:pos="4360"/>
                <w:tab w:val="left" w:pos="8720"/>
              </w:tabs>
              <w:spacing w:before="40" w:after="40"/>
              <w:rPr>
                <w:rFonts w:ascii="Cambria" w:eastAsia="Cambria" w:hAnsi="Cambria" w:cs="LucidaBright,Italic"/>
                <w:iCs/>
                <w:sz w:val="18"/>
                <w:szCs w:val="18"/>
                <w:lang w:eastAsia="en-AU"/>
              </w:rPr>
            </w:pPr>
            <w:r>
              <w:rPr>
                <w:rFonts w:ascii="Cambria" w:eastAsia="Cambria" w:hAnsi="Cambria" w:cs="LucidaBright,Italic"/>
                <w:b/>
                <w:iCs/>
                <w:sz w:val="18"/>
                <w:szCs w:val="18"/>
                <w:lang w:eastAsia="en-AU"/>
              </w:rPr>
              <w:t>Yes</w:t>
            </w:r>
            <w:r w:rsidR="00BF087E">
              <w:rPr>
                <w:rFonts w:ascii="Cambria" w:eastAsia="Cambria" w:hAnsi="Cambria" w:cs="LucidaBright,Italic"/>
                <w:iCs/>
                <w:sz w:val="18"/>
                <w:szCs w:val="18"/>
                <w:lang w:eastAsia="en-AU"/>
              </w:rPr>
              <w:t xml:space="preserve"> (</w:t>
            </w:r>
            <w:proofErr w:type="spellStart"/>
            <w:r w:rsidR="00BF087E">
              <w:rPr>
                <w:rFonts w:ascii="Cambria" w:eastAsia="Cambria" w:hAnsi="Cambria" w:cs="LucidaBright,Italic"/>
                <w:iCs/>
                <w:sz w:val="18"/>
                <w:szCs w:val="18"/>
                <w:lang w:eastAsia="en-AU"/>
              </w:rPr>
              <w:t>Boubourakas</w:t>
            </w:r>
            <w:proofErr w:type="spellEnd"/>
            <w:r w:rsidR="00BF087E">
              <w:rPr>
                <w:rFonts w:ascii="Cambria" w:eastAsia="Cambria" w:hAnsi="Cambria" w:cs="LucidaBright,Italic"/>
                <w:iCs/>
                <w:sz w:val="18"/>
                <w:szCs w:val="18"/>
                <w:lang w:eastAsia="en-AU"/>
              </w:rPr>
              <w:t xml:space="preserve"> et al. 2004)</w:t>
            </w:r>
          </w:p>
        </w:tc>
        <w:tc>
          <w:tcPr>
            <w:tcW w:w="922" w:type="pct"/>
          </w:tcPr>
          <w:p w14:paraId="70B4EAF9" w14:textId="6A0690D6" w:rsidR="008F1BBC" w:rsidRDefault="004F6FE7" w:rsidP="0041118F">
            <w:pPr>
              <w:tabs>
                <w:tab w:val="left" w:pos="4360"/>
                <w:tab w:val="left" w:pos="8720"/>
              </w:tabs>
              <w:spacing w:before="40" w:after="40"/>
              <w:rPr>
                <w:rFonts w:ascii="Cambria" w:eastAsia="Cambria" w:hAnsi="Cambria" w:cs="LucidaBright,Italic"/>
                <w:iCs/>
                <w:sz w:val="18"/>
                <w:szCs w:val="18"/>
                <w:lang w:eastAsia="en-AU"/>
              </w:rPr>
            </w:pPr>
            <w:r w:rsidRPr="004F6FE7">
              <w:rPr>
                <w:rFonts w:ascii="Cambria" w:hAnsi="Cambria"/>
                <w:iCs/>
                <w:sz w:val="18"/>
                <w:szCs w:val="18"/>
              </w:rPr>
              <w:t>No evidence of CGMMV being seed-borne in this species</w:t>
            </w:r>
            <w:r w:rsidR="008F1BBC">
              <w:rPr>
                <w:rFonts w:ascii="Cambria" w:hAnsi="Cambria"/>
                <w:iCs/>
                <w:sz w:val="18"/>
                <w:szCs w:val="18"/>
              </w:rPr>
              <w:t>.</w:t>
            </w:r>
          </w:p>
        </w:tc>
      </w:tr>
    </w:tbl>
    <w:p w14:paraId="18ECF137" w14:textId="59BB6477" w:rsidR="008163B6" w:rsidRDefault="00F709BD">
      <w:pPr>
        <w:pStyle w:val="BodyText2"/>
        <w:spacing w:before="200" w:line="269" w:lineRule="auto"/>
        <w:jc w:val="left"/>
        <w:rPr>
          <w:rFonts w:ascii="Cambria" w:hAnsi="Cambria"/>
          <w:sz w:val="18"/>
          <w:szCs w:val="18"/>
        </w:rPr>
      </w:pPr>
      <w:r>
        <w:rPr>
          <w:rFonts w:ascii="Cambria" w:hAnsi="Cambria"/>
          <w:sz w:val="18"/>
          <w:szCs w:val="18"/>
        </w:rPr>
        <w:t xml:space="preserve">CGMMV is reported to be </w:t>
      </w:r>
      <w:r w:rsidR="00CC0813">
        <w:rPr>
          <w:rFonts w:ascii="Cambria" w:hAnsi="Cambria"/>
          <w:sz w:val="18"/>
          <w:szCs w:val="18"/>
        </w:rPr>
        <w:t>seed-borne</w:t>
      </w:r>
      <w:r>
        <w:rPr>
          <w:rFonts w:ascii="Cambria" w:hAnsi="Cambria"/>
          <w:sz w:val="18"/>
          <w:szCs w:val="18"/>
        </w:rPr>
        <w:t xml:space="preserve"> in the host species in </w:t>
      </w:r>
      <w:r w:rsidR="008163B6" w:rsidRPr="008163B6">
        <w:rPr>
          <w:rFonts w:ascii="Cambria" w:hAnsi="Cambria"/>
          <w:b/>
          <w:sz w:val="18"/>
          <w:szCs w:val="18"/>
        </w:rPr>
        <w:t>bold</w:t>
      </w:r>
      <w:r>
        <w:rPr>
          <w:rFonts w:ascii="Cambria" w:hAnsi="Cambria"/>
          <w:sz w:val="18"/>
          <w:szCs w:val="18"/>
        </w:rPr>
        <w:t>.</w:t>
      </w:r>
    </w:p>
    <w:p w14:paraId="54EE7A2F"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198" w:name="_Toc447540791"/>
      <w:r>
        <w:rPr>
          <w:rFonts w:ascii="Calibri" w:hAnsi="Calibri" w:cstheme="minorBidi"/>
          <w:sz w:val="24"/>
          <w:szCs w:val="22"/>
        </w:rPr>
        <w:t>Spread of CGMMV</w:t>
      </w:r>
      <w:bookmarkEnd w:id="198"/>
    </w:p>
    <w:p w14:paraId="5BD2478C" w14:textId="1D82BB1E" w:rsidR="008163B6" w:rsidRDefault="00F709BD" w:rsidP="006F4BBD">
      <w:pPr>
        <w:autoSpaceDE w:val="0"/>
        <w:autoSpaceDN w:val="0"/>
        <w:adjustRightInd w:val="0"/>
        <w:spacing w:before="120" w:after="120" w:line="276" w:lineRule="auto"/>
        <w:contextualSpacing/>
        <w:rPr>
          <w:rFonts w:ascii="Cambria" w:hAnsi="Cambria"/>
        </w:rPr>
      </w:pPr>
      <w:r>
        <w:rPr>
          <w:rFonts w:ascii="Cambria" w:hAnsi="Cambria"/>
          <w:iCs/>
        </w:rPr>
        <w:t xml:space="preserve">CGMMV is </w:t>
      </w:r>
      <w:r>
        <w:rPr>
          <w:rFonts w:ascii="Cambria" w:hAnsi="Cambria"/>
        </w:rPr>
        <w:t xml:space="preserve">capable of natural spread in protected environments (such as greenhouses), in the field, and through human activities. Short-distance natural spread of CGMMV mainly occurs through physical contact between an infected plant and another host plant, mechanical transmission through contaminated hands, clothing </w:t>
      </w:r>
      <w:r w:rsidR="00CA40D5">
        <w:rPr>
          <w:rFonts w:ascii="Cambria" w:hAnsi="Cambria"/>
        </w:rPr>
        <w:t xml:space="preserve">or </w:t>
      </w:r>
      <w:r>
        <w:rPr>
          <w:rFonts w:ascii="Cambria" w:hAnsi="Cambria"/>
        </w:rPr>
        <w:t xml:space="preserve">tools, contaminated water, contaminated soil and infected plant debris </w:t>
      </w:r>
      <w:r>
        <w:rPr>
          <w:rFonts w:ascii="Cambria" w:hAnsi="Cambria" w:cs="Arial"/>
        </w:rPr>
        <w:t xml:space="preserve">(Broadbent &amp; Fletcher 1963; Choi 2001; </w:t>
      </w:r>
      <w:proofErr w:type="spellStart"/>
      <w:r>
        <w:rPr>
          <w:rFonts w:ascii="Cambria" w:hAnsi="Cambria" w:cs="Arial"/>
        </w:rPr>
        <w:t>Reingold</w:t>
      </w:r>
      <w:proofErr w:type="spellEnd"/>
      <w:r>
        <w:rPr>
          <w:rFonts w:ascii="Cambria" w:hAnsi="Cambria" w:cs="Arial"/>
        </w:rPr>
        <w:t xml:space="preserve"> et al. 2015)</w:t>
      </w:r>
      <w:r>
        <w:rPr>
          <w:rFonts w:ascii="Cambria" w:hAnsi="Cambria"/>
        </w:rPr>
        <w:t>. Human-mediated transport of infected seedlings, infected seed or contaminated soil is mainly responsible for the long-distance spread of CGMMV (Choi 2001).</w:t>
      </w:r>
    </w:p>
    <w:p w14:paraId="2D0FA3F9" w14:textId="77777777" w:rsidR="008163B6" w:rsidRPr="008163B6" w:rsidRDefault="008163B6" w:rsidP="008163B6">
      <w:pPr>
        <w:pStyle w:val="Heading4"/>
        <w:spacing w:before="200"/>
      </w:pPr>
      <w:r w:rsidRPr="008163B6">
        <w:t>Short-distance spread</w:t>
      </w:r>
    </w:p>
    <w:p w14:paraId="4C124054" w14:textId="61CD7D0F" w:rsidR="008163B6" w:rsidRDefault="00F709BD" w:rsidP="006F4BBD">
      <w:pPr>
        <w:spacing w:before="120" w:after="120" w:line="276" w:lineRule="auto"/>
        <w:contextualSpacing/>
        <w:rPr>
          <w:rFonts w:ascii="Cambria" w:hAnsi="Cambria" w:cs="Arial"/>
        </w:rPr>
      </w:pPr>
      <w:r>
        <w:rPr>
          <w:rFonts w:ascii="Cambria" w:hAnsi="Cambria"/>
        </w:rPr>
        <w:t xml:space="preserve">The natural short-distance spread </w:t>
      </w:r>
      <w:r>
        <w:rPr>
          <w:rFonts w:ascii="Cambria" w:hAnsi="Cambria" w:cs="Arial"/>
        </w:rPr>
        <w:t xml:space="preserve">of </w:t>
      </w:r>
      <w:r>
        <w:rPr>
          <w:rFonts w:ascii="Cambria" w:hAnsi="Cambria"/>
        </w:rPr>
        <w:t>CGMMV mainly</w:t>
      </w:r>
      <w:r>
        <w:rPr>
          <w:rFonts w:ascii="Cambria" w:hAnsi="Cambria" w:cs="Arial"/>
        </w:rPr>
        <w:t xml:space="preserve"> occurs through </w:t>
      </w:r>
      <w:r>
        <w:rPr>
          <w:rFonts w:ascii="Cambria" w:hAnsi="Cambria"/>
        </w:rPr>
        <w:t>physical contact</w:t>
      </w:r>
      <w:r w:rsidR="00CB66E1">
        <w:rPr>
          <w:rFonts w:ascii="Cambria" w:hAnsi="Cambria"/>
        </w:rPr>
        <w:t>, mechanical transmission</w:t>
      </w:r>
      <w:r>
        <w:rPr>
          <w:rFonts w:ascii="Cambria" w:hAnsi="Cambria"/>
        </w:rPr>
        <w:t xml:space="preserve">, contaminated water, contaminated soil </w:t>
      </w:r>
      <w:r w:rsidR="00CB66E1">
        <w:rPr>
          <w:rFonts w:ascii="Cambria" w:hAnsi="Cambria"/>
        </w:rPr>
        <w:t xml:space="preserve">or </w:t>
      </w:r>
      <w:r>
        <w:rPr>
          <w:rFonts w:ascii="Cambria" w:hAnsi="Cambria"/>
        </w:rPr>
        <w:t>infected plant debris</w:t>
      </w:r>
      <w:r w:rsidR="00192B0F">
        <w:rPr>
          <w:rFonts w:ascii="Cambria" w:hAnsi="Cambria"/>
        </w:rPr>
        <w:t xml:space="preserve"> (</w:t>
      </w:r>
      <w:r w:rsidR="00192B0F">
        <w:rPr>
          <w:rFonts w:ascii="Cambria" w:hAnsi="Cambria" w:cs="Arial"/>
        </w:rPr>
        <w:t xml:space="preserve">Broadbent &amp; Fletcher 1963; Choi 2001; </w:t>
      </w:r>
      <w:proofErr w:type="spellStart"/>
      <w:r w:rsidR="00192B0F">
        <w:rPr>
          <w:rFonts w:ascii="Cambria" w:hAnsi="Cambria" w:cs="Arial"/>
        </w:rPr>
        <w:t>Reingold</w:t>
      </w:r>
      <w:proofErr w:type="spellEnd"/>
      <w:r w:rsidR="00192B0F">
        <w:rPr>
          <w:rFonts w:ascii="Cambria" w:hAnsi="Cambria" w:cs="Arial"/>
        </w:rPr>
        <w:t xml:space="preserve"> et al. 2015</w:t>
      </w:r>
      <w:r w:rsidR="00192B0F">
        <w:rPr>
          <w:rFonts w:ascii="Cambria" w:hAnsi="Cambria"/>
        </w:rPr>
        <w:t>)</w:t>
      </w:r>
      <w:r>
        <w:rPr>
          <w:rFonts w:ascii="Cambria" w:hAnsi="Cambria"/>
        </w:rPr>
        <w:t>.</w:t>
      </w:r>
    </w:p>
    <w:p w14:paraId="733AAB2F" w14:textId="0B264495" w:rsidR="008163B6" w:rsidRDefault="00F709BD" w:rsidP="006F4BBD">
      <w:pPr>
        <w:pStyle w:val="ListBullet"/>
        <w:numPr>
          <w:ilvl w:val="0"/>
          <w:numId w:val="38"/>
        </w:numPr>
        <w:spacing w:line="276" w:lineRule="auto"/>
        <w:ind w:left="357" w:hanging="357"/>
        <w:contextualSpacing/>
        <w:rPr>
          <w:rFonts w:ascii="Cambria" w:hAnsi="Cambria" w:cs="Arial"/>
        </w:rPr>
      </w:pPr>
      <w:r>
        <w:rPr>
          <w:rFonts w:ascii="Cambria" w:hAnsi="Cambria" w:cs="Arial"/>
        </w:rPr>
        <w:t xml:space="preserve">CGMMV is very stable and can survive for long periods on equipment and on tools (ASTA 2014). The virus may be spread through standard cultivation practices and harvesting </w:t>
      </w:r>
      <w:r>
        <w:rPr>
          <w:rFonts w:ascii="Cambria" w:hAnsi="Cambria"/>
        </w:rPr>
        <w:t>(</w:t>
      </w:r>
      <w:proofErr w:type="spellStart"/>
      <w:r>
        <w:rPr>
          <w:rFonts w:ascii="Cambria" w:hAnsi="Cambria"/>
        </w:rPr>
        <w:t>Lecoq</w:t>
      </w:r>
      <w:proofErr w:type="spellEnd"/>
      <w:r>
        <w:rPr>
          <w:rFonts w:ascii="Cambria" w:hAnsi="Cambria"/>
        </w:rPr>
        <w:t xml:space="preserve"> &amp; </w:t>
      </w:r>
      <w:proofErr w:type="spellStart"/>
      <w:r>
        <w:rPr>
          <w:rFonts w:ascii="Cambria" w:hAnsi="Cambria"/>
        </w:rPr>
        <w:t>Desbiez</w:t>
      </w:r>
      <w:proofErr w:type="spellEnd"/>
      <w:r>
        <w:rPr>
          <w:rFonts w:ascii="Cambria" w:hAnsi="Cambria"/>
        </w:rPr>
        <w:t xml:space="preserve"> 2012)</w:t>
      </w:r>
      <w:r>
        <w:rPr>
          <w:rFonts w:ascii="Cambria" w:hAnsi="Cambria" w:cs="Arial"/>
        </w:rPr>
        <w:t xml:space="preserve">, </w:t>
      </w:r>
      <w:r>
        <w:rPr>
          <w:rFonts w:ascii="Cambria" w:hAnsi="Cambria"/>
          <w:bCs/>
          <w:lang w:eastAsia="en-AU"/>
        </w:rPr>
        <w:t>when plants are handled by farm personnel, or when infected equipment or machinery is used (</w:t>
      </w:r>
      <w:proofErr w:type="spellStart"/>
      <w:r>
        <w:rPr>
          <w:rFonts w:ascii="Cambria" w:hAnsi="Cambria"/>
          <w:bCs/>
          <w:lang w:eastAsia="en-AU"/>
        </w:rPr>
        <w:t>Boubourakas</w:t>
      </w:r>
      <w:proofErr w:type="spellEnd"/>
      <w:r>
        <w:rPr>
          <w:rFonts w:ascii="Cambria" w:hAnsi="Cambria"/>
          <w:bCs/>
          <w:lang w:eastAsia="en-AU"/>
        </w:rPr>
        <w:t xml:space="preserve"> et al. 2004; </w:t>
      </w:r>
      <w:proofErr w:type="spellStart"/>
      <w:r>
        <w:rPr>
          <w:rFonts w:ascii="Cambria" w:hAnsi="Cambria" w:cs="Arial"/>
        </w:rPr>
        <w:t>Reingold</w:t>
      </w:r>
      <w:proofErr w:type="spellEnd"/>
      <w:r>
        <w:rPr>
          <w:rFonts w:ascii="Cambria" w:hAnsi="Cambria" w:cs="Arial"/>
        </w:rPr>
        <w:t xml:space="preserve"> et al. 2015</w:t>
      </w:r>
      <w:r>
        <w:rPr>
          <w:rFonts w:ascii="Cambria" w:hAnsi="Cambria"/>
          <w:bCs/>
          <w:lang w:eastAsia="en-AU"/>
        </w:rPr>
        <w:t>).</w:t>
      </w:r>
    </w:p>
    <w:p w14:paraId="2CC60DA8" w14:textId="77777777" w:rsidR="008163B6" w:rsidRDefault="00F709BD" w:rsidP="006F4BBD">
      <w:pPr>
        <w:pStyle w:val="ListBullet"/>
        <w:numPr>
          <w:ilvl w:val="0"/>
          <w:numId w:val="38"/>
        </w:numPr>
        <w:spacing w:line="276" w:lineRule="auto"/>
        <w:ind w:left="357" w:hanging="357"/>
        <w:contextualSpacing/>
        <w:rPr>
          <w:rFonts w:ascii="Cambria" w:hAnsi="Cambria"/>
          <w:bCs/>
          <w:lang w:eastAsia="en-AU"/>
        </w:rPr>
      </w:pPr>
      <w:r>
        <w:rPr>
          <w:rFonts w:ascii="Cambria" w:hAnsi="Cambria" w:cs="Arial"/>
        </w:rPr>
        <w:t xml:space="preserve">Secondary spread of </w:t>
      </w:r>
      <w:r>
        <w:rPr>
          <w:rFonts w:ascii="Cambria" w:hAnsi="Cambria"/>
        </w:rPr>
        <w:t>CGMMV</w:t>
      </w:r>
      <w:r>
        <w:rPr>
          <w:rFonts w:ascii="Cambria" w:hAnsi="Cambria" w:cs="Arial"/>
        </w:rPr>
        <w:t xml:space="preserve"> can occur through leaf contact between healthy and infected plants (</w:t>
      </w:r>
      <w:proofErr w:type="spellStart"/>
      <w:r>
        <w:rPr>
          <w:rFonts w:ascii="Cambria" w:hAnsi="Cambria" w:cs="Arial"/>
        </w:rPr>
        <w:t>Lecoq</w:t>
      </w:r>
      <w:proofErr w:type="spellEnd"/>
      <w:r>
        <w:rPr>
          <w:rFonts w:ascii="Cambria" w:hAnsi="Cambria" w:cs="Arial"/>
        </w:rPr>
        <w:t xml:space="preserve"> &amp; </w:t>
      </w:r>
      <w:proofErr w:type="spellStart"/>
      <w:r>
        <w:rPr>
          <w:rFonts w:ascii="Cambria" w:hAnsi="Cambria" w:cs="Arial"/>
        </w:rPr>
        <w:t>Desbiez</w:t>
      </w:r>
      <w:proofErr w:type="spellEnd"/>
      <w:r>
        <w:rPr>
          <w:rFonts w:ascii="Cambria" w:hAnsi="Cambria" w:cs="Arial"/>
        </w:rPr>
        <w:t xml:space="preserve"> 2012).</w:t>
      </w:r>
    </w:p>
    <w:p w14:paraId="4506A8F1" w14:textId="77777777" w:rsidR="008163B6" w:rsidRDefault="00F709BD" w:rsidP="006F4BBD">
      <w:pPr>
        <w:pStyle w:val="ListBullet"/>
        <w:numPr>
          <w:ilvl w:val="0"/>
          <w:numId w:val="38"/>
        </w:numPr>
        <w:spacing w:line="276" w:lineRule="auto"/>
        <w:ind w:left="357" w:hanging="357"/>
        <w:contextualSpacing/>
        <w:rPr>
          <w:rFonts w:ascii="Cambria" w:hAnsi="Cambria" w:cs="Arial"/>
        </w:rPr>
      </w:pPr>
      <w:r>
        <w:rPr>
          <w:rFonts w:ascii="Cambria" w:hAnsi="Cambria"/>
        </w:rPr>
        <w:t>CGMMV has been found in irrigation water, which can lead to plant infection. Spread of CGMMV through surface water and water for irrigation has been reported (</w:t>
      </w:r>
      <w:proofErr w:type="spellStart"/>
      <w:r>
        <w:rPr>
          <w:rFonts w:ascii="Cambria" w:hAnsi="Cambria"/>
        </w:rPr>
        <w:t>Dorst</w:t>
      </w:r>
      <w:proofErr w:type="spellEnd"/>
      <w:r>
        <w:rPr>
          <w:rFonts w:ascii="Cambria" w:hAnsi="Cambria"/>
        </w:rPr>
        <w:t xml:space="preserve"> 1988; Vani &amp; Varma 1993). CGMMV can spread to new host plants through the recirculation of nutrient solutions (</w:t>
      </w:r>
      <w:proofErr w:type="spellStart"/>
      <w:r>
        <w:rPr>
          <w:rFonts w:ascii="Cambria" w:hAnsi="Cambria"/>
        </w:rPr>
        <w:t>Buttner</w:t>
      </w:r>
      <w:proofErr w:type="spellEnd"/>
      <w:r>
        <w:rPr>
          <w:rFonts w:ascii="Cambria" w:hAnsi="Cambria"/>
        </w:rPr>
        <w:t xml:space="preserve"> et al. 1995).</w:t>
      </w:r>
    </w:p>
    <w:p w14:paraId="2B8C0742" w14:textId="34E626E0" w:rsidR="008163B6" w:rsidRDefault="00F709BD" w:rsidP="006F4BBD">
      <w:pPr>
        <w:pStyle w:val="ListBullet"/>
        <w:numPr>
          <w:ilvl w:val="0"/>
          <w:numId w:val="38"/>
        </w:numPr>
        <w:spacing w:line="276" w:lineRule="auto"/>
        <w:ind w:left="357" w:hanging="357"/>
        <w:contextualSpacing/>
        <w:rPr>
          <w:rFonts w:ascii="Cambria" w:hAnsi="Cambria"/>
          <w:bCs/>
          <w:lang w:eastAsia="en-AU"/>
        </w:rPr>
      </w:pPr>
      <w:r>
        <w:rPr>
          <w:rFonts w:ascii="Cambria" w:hAnsi="Cambria" w:cs="Arial"/>
        </w:rPr>
        <w:t xml:space="preserve">CGMMV can survive for long periods on plant debris, which can assist in the spread. </w:t>
      </w:r>
      <w:r>
        <w:rPr>
          <w:rFonts w:ascii="Cambria" w:hAnsi="Cambria"/>
          <w:bCs/>
          <w:lang w:eastAsia="en-AU"/>
        </w:rPr>
        <w:t xml:space="preserve">CGMMV may spread over short-distances through contact via roots in soil contaminated by infected plant debris (Hollings et al. 1975). For example, transmission due to root contact between infected and uninfected </w:t>
      </w:r>
      <w:r>
        <w:rPr>
          <w:rFonts w:ascii="Cambria" w:hAnsi="Cambria"/>
          <w:bCs/>
          <w:i/>
          <w:lang w:eastAsia="en-AU"/>
        </w:rPr>
        <w:t>Lagenaria siceraria</w:t>
      </w:r>
      <w:r>
        <w:rPr>
          <w:rFonts w:ascii="Cambria" w:hAnsi="Cambria"/>
          <w:bCs/>
          <w:lang w:eastAsia="en-AU"/>
        </w:rPr>
        <w:t xml:space="preserve"> plants did not take place, but 18 percent transmission of CGMMV occurred among </w:t>
      </w:r>
      <w:r>
        <w:rPr>
          <w:rFonts w:ascii="Cambria" w:hAnsi="Cambria"/>
          <w:bCs/>
          <w:i/>
          <w:lang w:eastAsia="en-AU"/>
        </w:rPr>
        <w:t>L. siceraria</w:t>
      </w:r>
      <w:r>
        <w:rPr>
          <w:rFonts w:ascii="Cambria" w:hAnsi="Cambria"/>
          <w:bCs/>
          <w:lang w:eastAsia="en-AU"/>
        </w:rPr>
        <w:t xml:space="preserve"> plants sown in soil mixed with infected plant debris (Rao &amp; Varma 1984).</w:t>
      </w:r>
    </w:p>
    <w:p w14:paraId="35FF436C" w14:textId="77777777" w:rsidR="008163B6" w:rsidRPr="008163B6" w:rsidRDefault="008163B6" w:rsidP="008163B6">
      <w:pPr>
        <w:pStyle w:val="Heading4"/>
        <w:spacing w:before="200"/>
      </w:pPr>
      <w:r w:rsidRPr="008163B6">
        <w:t>Long-distance spread</w:t>
      </w:r>
    </w:p>
    <w:p w14:paraId="1CCA54E9" w14:textId="77777777" w:rsidR="008163B6" w:rsidRDefault="00F709BD" w:rsidP="006F4BBD">
      <w:pPr>
        <w:spacing w:before="120" w:after="120" w:line="276" w:lineRule="auto"/>
        <w:contextualSpacing/>
        <w:rPr>
          <w:rFonts w:ascii="Cambria" w:hAnsi="Cambria"/>
        </w:rPr>
      </w:pPr>
      <w:r>
        <w:rPr>
          <w:rFonts w:ascii="Cambria" w:hAnsi="Cambria"/>
        </w:rPr>
        <w:t xml:space="preserve">Long-distance spread of CGMMV via human-mediated means is likely to be rapid, and the commercial movement of infected seeds or seedlings for planting is likely to be a significant pathway for the spread of this virus (Kobayashi 1990; </w:t>
      </w:r>
      <w:proofErr w:type="spellStart"/>
      <w:r>
        <w:rPr>
          <w:rFonts w:ascii="Cambria" w:hAnsi="Cambria"/>
        </w:rPr>
        <w:t>Lecoq</w:t>
      </w:r>
      <w:proofErr w:type="spellEnd"/>
      <w:r>
        <w:rPr>
          <w:rFonts w:ascii="Cambria" w:hAnsi="Cambria"/>
        </w:rPr>
        <w:t xml:space="preserve"> &amp; </w:t>
      </w:r>
      <w:proofErr w:type="spellStart"/>
      <w:r>
        <w:rPr>
          <w:rFonts w:ascii="Cambria" w:hAnsi="Cambria"/>
        </w:rPr>
        <w:t>Katis</w:t>
      </w:r>
      <w:proofErr w:type="spellEnd"/>
      <w:r>
        <w:rPr>
          <w:rFonts w:ascii="Cambria" w:hAnsi="Cambria"/>
        </w:rPr>
        <w:t xml:space="preserve"> 2014; Liu et al. 2014). Other possible pathways for long-distance spread through human-mediated means include infested soil and debris contaminating seeds (</w:t>
      </w:r>
      <w:proofErr w:type="spellStart"/>
      <w:r>
        <w:rPr>
          <w:rFonts w:ascii="Cambria" w:hAnsi="Cambria"/>
        </w:rPr>
        <w:t>Lecoq</w:t>
      </w:r>
      <w:proofErr w:type="spellEnd"/>
      <w:r>
        <w:rPr>
          <w:rFonts w:ascii="Cambria" w:hAnsi="Cambria"/>
        </w:rPr>
        <w:t xml:space="preserve"> &amp; </w:t>
      </w:r>
      <w:proofErr w:type="spellStart"/>
      <w:r>
        <w:rPr>
          <w:rFonts w:ascii="Cambria" w:hAnsi="Cambria"/>
        </w:rPr>
        <w:t>Katis</w:t>
      </w:r>
      <w:proofErr w:type="spellEnd"/>
      <w:r>
        <w:rPr>
          <w:rFonts w:ascii="Cambria" w:hAnsi="Cambria"/>
        </w:rPr>
        <w:t xml:space="preserve"> 2014).</w:t>
      </w:r>
    </w:p>
    <w:p w14:paraId="19283DD9" w14:textId="272330EC"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rPr>
        <w:t xml:space="preserve">The seed trade is the main pathway for the worldwide introduction and spread of exotic pathogens, including CGMMV. The introduction of CGMMV into Japan in 1966 was linked to </w:t>
      </w:r>
      <w:r>
        <w:rPr>
          <w:rFonts w:ascii="Cambria" w:hAnsi="Cambria"/>
          <w:i/>
        </w:rPr>
        <w:t>Lagenaria siceraria</w:t>
      </w:r>
      <w:r>
        <w:rPr>
          <w:rFonts w:ascii="Cambria" w:hAnsi="Cambria"/>
        </w:rPr>
        <w:t xml:space="preserve"> seed imported from India (</w:t>
      </w:r>
      <w:proofErr w:type="spellStart"/>
      <w:r>
        <w:rPr>
          <w:rFonts w:ascii="Cambria" w:hAnsi="Cambria"/>
        </w:rPr>
        <w:t>Tochihara</w:t>
      </w:r>
      <w:proofErr w:type="spellEnd"/>
      <w:r>
        <w:rPr>
          <w:rFonts w:ascii="Cambria" w:hAnsi="Cambria"/>
        </w:rPr>
        <w:t xml:space="preserve"> &amp; </w:t>
      </w:r>
      <w:proofErr w:type="spellStart"/>
      <w:r>
        <w:rPr>
          <w:rFonts w:ascii="Cambria" w:hAnsi="Cambria"/>
        </w:rPr>
        <w:t>Komuro</w:t>
      </w:r>
      <w:proofErr w:type="spellEnd"/>
      <w:r>
        <w:rPr>
          <w:rFonts w:ascii="Cambria" w:hAnsi="Cambria"/>
        </w:rPr>
        <w:t xml:space="preserve"> 1974; Kobayashi 1990). Choi (2001)</w:t>
      </w:r>
      <w:r w:rsidR="00192B0F">
        <w:rPr>
          <w:rFonts w:ascii="Cambria" w:hAnsi="Cambria"/>
        </w:rPr>
        <w:t xml:space="preserve"> discovered that </w:t>
      </w:r>
      <w:r>
        <w:rPr>
          <w:rFonts w:ascii="Cambria" w:hAnsi="Cambria"/>
        </w:rPr>
        <w:t>virus-contaminated bottle gourd seeds were the major cause of disease transmission to watermelon growing regions in Korea in 199</w:t>
      </w:r>
      <w:r w:rsidRPr="008E58D0">
        <w:rPr>
          <w:rFonts w:ascii="Cambria" w:hAnsi="Cambria"/>
        </w:rPr>
        <w:t xml:space="preserve">8. The rapid spread of CGMMV throughout </w:t>
      </w:r>
      <w:r w:rsidR="00B94260">
        <w:rPr>
          <w:rFonts w:ascii="Cambria" w:hAnsi="Cambria"/>
        </w:rPr>
        <w:t xml:space="preserve">the </w:t>
      </w:r>
      <w:r w:rsidRPr="008E58D0">
        <w:rPr>
          <w:rFonts w:ascii="Cambria" w:hAnsi="Cambria"/>
        </w:rPr>
        <w:t>cucurbit-growing areas</w:t>
      </w:r>
      <w:r w:rsidR="008E58D0" w:rsidRPr="008E58D0">
        <w:rPr>
          <w:rFonts w:ascii="Cambria" w:hAnsi="Cambria"/>
        </w:rPr>
        <w:t xml:space="preserve"> of the world</w:t>
      </w:r>
      <w:r w:rsidRPr="008E58D0">
        <w:rPr>
          <w:rFonts w:ascii="Cambria" w:hAnsi="Cambria"/>
        </w:rPr>
        <w:t xml:space="preserve"> is likely to be </w:t>
      </w:r>
      <w:r w:rsidR="008E58D0" w:rsidRPr="008E58D0">
        <w:rPr>
          <w:rFonts w:ascii="Cambria" w:hAnsi="Cambria"/>
        </w:rPr>
        <w:t xml:space="preserve">associated with the trade of </w:t>
      </w:r>
      <w:r w:rsidR="00CF373F">
        <w:rPr>
          <w:rFonts w:ascii="Cambria" w:hAnsi="Cambria"/>
        </w:rPr>
        <w:t xml:space="preserve">host </w:t>
      </w:r>
      <w:r w:rsidR="008E58D0" w:rsidRPr="008E58D0">
        <w:rPr>
          <w:rFonts w:ascii="Cambria" w:hAnsi="Cambria"/>
        </w:rPr>
        <w:t>cucurbit seeds</w:t>
      </w:r>
      <w:r w:rsidRPr="008E58D0">
        <w:rPr>
          <w:rFonts w:ascii="Cambria" w:hAnsi="Cambria"/>
        </w:rPr>
        <w:t>.</w:t>
      </w:r>
    </w:p>
    <w:p w14:paraId="37D96115" w14:textId="28D8E477"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rPr>
        <w:t xml:space="preserve">CGMMV is </w:t>
      </w:r>
      <w:r w:rsidR="00CC0813">
        <w:rPr>
          <w:rFonts w:ascii="Cambria" w:hAnsi="Cambria"/>
        </w:rPr>
        <w:t>seed-borne</w:t>
      </w:r>
      <w:r>
        <w:rPr>
          <w:rFonts w:ascii="Cambria" w:hAnsi="Cambria"/>
        </w:rPr>
        <w:t xml:space="preserve"> in </w:t>
      </w:r>
      <w:r>
        <w:rPr>
          <w:rFonts w:ascii="Cambria" w:hAnsi="Cambria"/>
          <w:i/>
        </w:rPr>
        <w:t>Citrullus lanatus</w:t>
      </w:r>
      <w:r>
        <w:rPr>
          <w:rFonts w:ascii="Cambria" w:hAnsi="Cambria"/>
        </w:rPr>
        <w:t xml:space="preserve">, </w:t>
      </w:r>
      <w:r>
        <w:rPr>
          <w:rFonts w:ascii="Cambria" w:hAnsi="Cambria"/>
          <w:i/>
        </w:rPr>
        <w:t>Cucumis sativus</w:t>
      </w:r>
      <w:r>
        <w:rPr>
          <w:rFonts w:ascii="Cambria" w:hAnsi="Cambria"/>
        </w:rPr>
        <w:t>,</w:t>
      </w:r>
      <w:r>
        <w:rPr>
          <w:rFonts w:ascii="Cambria" w:hAnsi="Cambria"/>
          <w:i/>
        </w:rPr>
        <w:t xml:space="preserve"> Cucumis melo, </w:t>
      </w:r>
      <w:r w:rsidR="004B1009">
        <w:rPr>
          <w:rFonts w:ascii="Cambria" w:hAnsi="Cambria"/>
          <w:i/>
        </w:rPr>
        <w:t xml:space="preserve">Cucurbita maxima, Cucurbita maxima </w:t>
      </w:r>
      <w:r w:rsidR="004B1009">
        <w:rPr>
          <w:rFonts w:ascii="Cambria" w:hAnsi="Cambria"/>
        </w:rPr>
        <w:t xml:space="preserve">x </w:t>
      </w:r>
      <w:r w:rsidR="004B1009">
        <w:rPr>
          <w:rFonts w:ascii="Cambria" w:hAnsi="Cambria"/>
          <w:i/>
        </w:rPr>
        <w:t xml:space="preserve">Cucurbita moschata, Cucurbita moschata, </w:t>
      </w:r>
      <w:r>
        <w:rPr>
          <w:rFonts w:ascii="Cambria" w:hAnsi="Cambria"/>
          <w:i/>
        </w:rPr>
        <w:t>Cucurbita pepo</w:t>
      </w:r>
      <w:r>
        <w:rPr>
          <w:rFonts w:ascii="Cambria" w:hAnsi="Cambria"/>
        </w:rPr>
        <w:t>,</w:t>
      </w:r>
      <w:r>
        <w:rPr>
          <w:rFonts w:ascii="Cambria" w:hAnsi="Cambria"/>
          <w:i/>
        </w:rPr>
        <w:t xml:space="preserve"> Lagenaria siceraria </w:t>
      </w:r>
      <w:r>
        <w:rPr>
          <w:rFonts w:ascii="Cambria" w:hAnsi="Cambria"/>
        </w:rPr>
        <w:t xml:space="preserve">and </w:t>
      </w:r>
      <w:r>
        <w:rPr>
          <w:rFonts w:ascii="Cambria" w:hAnsi="Cambria"/>
          <w:i/>
        </w:rPr>
        <w:t>Trichosanthes cucumerina</w:t>
      </w:r>
      <w:r>
        <w:rPr>
          <w:rFonts w:ascii="Cambria" w:hAnsi="Cambria"/>
        </w:rPr>
        <w:t xml:space="preserve"> (Lee et al. 1990; Choi 2001; Liu et al. 2014</w:t>
      </w:r>
      <w:r w:rsidR="00A3435C">
        <w:rPr>
          <w:rFonts w:ascii="Cambria" w:hAnsi="Cambria"/>
        </w:rPr>
        <w:t xml:space="preserve">; </w:t>
      </w:r>
      <w:r w:rsidR="00A3435C">
        <w:rPr>
          <w:rFonts w:asciiTheme="majorHAnsi" w:hAnsiTheme="majorHAnsi"/>
          <w:iCs/>
          <w:szCs w:val="18"/>
        </w:rPr>
        <w:t>Fiona Constable [</w:t>
      </w:r>
      <w:r w:rsidR="00326368">
        <w:rPr>
          <w:rFonts w:asciiTheme="majorHAnsi" w:hAnsiTheme="majorHAnsi"/>
          <w:iCs/>
          <w:szCs w:val="18"/>
        </w:rPr>
        <w:t>DEDJTR</w:t>
      </w:r>
      <w:r w:rsidR="00A3435C">
        <w:rPr>
          <w:rFonts w:asciiTheme="majorHAnsi" w:hAnsiTheme="majorHAnsi"/>
          <w:iCs/>
          <w:szCs w:val="18"/>
        </w:rPr>
        <w:t>] 2015, pers. comm., 2 December</w:t>
      </w:r>
      <w:r>
        <w:rPr>
          <w:rFonts w:ascii="Cambria" w:hAnsi="Cambria"/>
        </w:rPr>
        <w:t>). Seed</w:t>
      </w:r>
      <w:r w:rsidR="00777D32">
        <w:rPr>
          <w:rFonts w:ascii="Cambria" w:hAnsi="Cambria"/>
        </w:rPr>
        <w:t>s</w:t>
      </w:r>
      <w:r>
        <w:rPr>
          <w:rFonts w:ascii="Cambria" w:hAnsi="Cambria"/>
        </w:rPr>
        <w:t xml:space="preserve"> play a pivotal role in the spread and survival of CGMMV and infected seed</w:t>
      </w:r>
      <w:r w:rsidR="00777D32">
        <w:rPr>
          <w:rFonts w:ascii="Cambria" w:hAnsi="Cambria"/>
        </w:rPr>
        <w:t>s are</w:t>
      </w:r>
      <w:r>
        <w:rPr>
          <w:rFonts w:ascii="Cambria" w:hAnsi="Cambria"/>
        </w:rPr>
        <w:t xml:space="preserve"> probably the most important source of virus infection in commercial plantings. </w:t>
      </w:r>
    </w:p>
    <w:p w14:paraId="296E45C3" w14:textId="77777777"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rPr>
        <w:t xml:space="preserve">Seed to seedling transmission of CGMMV has been demonstrated in several host species. Seed transmission rates can be high; for instance, Liu et al. (2014) found that the rate of CGMMV transmission from cucumber seeds to seedlings was 76.7 percent. </w:t>
      </w:r>
    </w:p>
    <w:p w14:paraId="0677093C" w14:textId="77777777"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rPr>
        <w:t>CGMMV transmission through seeds and soil, even at very low levels, may initiate the disease cycle (Choi 2001).</w:t>
      </w:r>
    </w:p>
    <w:p w14:paraId="1FA9E989" w14:textId="77777777" w:rsidR="008163B6" w:rsidRPr="008163B6" w:rsidRDefault="008163B6" w:rsidP="008163B6">
      <w:pPr>
        <w:pStyle w:val="Heading4"/>
        <w:spacing w:before="200"/>
      </w:pPr>
      <w:r w:rsidRPr="008163B6">
        <w:t>Other</w:t>
      </w:r>
      <w:r w:rsidR="00315354">
        <w:t xml:space="preserve"> potential</w:t>
      </w:r>
      <w:r w:rsidRPr="008163B6">
        <w:t xml:space="preserve"> means of spread</w:t>
      </w:r>
    </w:p>
    <w:p w14:paraId="54710316" w14:textId="24839524"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b/>
          <w:bCs/>
          <w:lang w:eastAsia="en-AU"/>
        </w:rPr>
        <w:t>Pollen</w:t>
      </w:r>
      <w:r>
        <w:rPr>
          <w:rFonts w:ascii="Cambria" w:hAnsi="Cambria"/>
          <w:bCs/>
          <w:lang w:eastAsia="en-AU"/>
        </w:rPr>
        <w:t>—CGMMV has been detected in the pollen of bottle gourd (Rao &amp; Varma 1984); however, natural spread by pollen has not been proven.</w:t>
      </w:r>
      <w:r>
        <w:rPr>
          <w:rFonts w:ascii="Cambria" w:hAnsi="Cambria"/>
        </w:rPr>
        <w:t xml:space="preserve"> Under experimental conditions, </w:t>
      </w:r>
      <w:r w:rsidR="00DE0AF6">
        <w:rPr>
          <w:rFonts w:ascii="Cambria" w:hAnsi="Cambria"/>
        </w:rPr>
        <w:t xml:space="preserve">the </w:t>
      </w:r>
      <w:r>
        <w:rPr>
          <w:rFonts w:ascii="Cambria" w:hAnsi="Cambria"/>
          <w:bCs/>
          <w:lang w:eastAsia="en-AU"/>
        </w:rPr>
        <w:t>artificial pollination of cucumber flowers with pollen infected with CGMMV resulted in the infection of up to 51.2 percent of fruits. Seed samples from infected fruits also tested positive for the virus (Liu et al</w:t>
      </w:r>
      <w:r>
        <w:rPr>
          <w:rFonts w:ascii="Cambria" w:hAnsi="Cambria"/>
          <w:bCs/>
          <w:i/>
          <w:lang w:eastAsia="en-AU"/>
        </w:rPr>
        <w:t>.</w:t>
      </w:r>
      <w:r>
        <w:rPr>
          <w:rFonts w:ascii="Cambria" w:hAnsi="Cambria"/>
          <w:bCs/>
          <w:lang w:eastAsia="en-AU"/>
        </w:rPr>
        <w:t xml:space="preserve"> 2014). Pollen infection could result in </w:t>
      </w:r>
      <w:r w:rsidR="00467AAA">
        <w:rPr>
          <w:rFonts w:ascii="Cambria" w:hAnsi="Cambria"/>
          <w:bCs/>
          <w:lang w:eastAsia="en-AU"/>
        </w:rPr>
        <w:t xml:space="preserve">a </w:t>
      </w:r>
      <w:r>
        <w:rPr>
          <w:rFonts w:ascii="Cambria" w:hAnsi="Cambria"/>
          <w:bCs/>
          <w:lang w:eastAsia="en-AU"/>
        </w:rPr>
        <w:t>systemic infection in mature plants and be passed on to the next generation via infected seeds. Therefore, pollen transmission could play a significant role in the epidemiology and management of CGMMV (Mink 1993; Liu et al. 2014). However, more information is required to establish that spread occurs naturally via pollen.</w:t>
      </w:r>
    </w:p>
    <w:p w14:paraId="0E90466D" w14:textId="788299AF" w:rsidR="008163B6" w:rsidRDefault="00F709BD" w:rsidP="006F4BBD">
      <w:pPr>
        <w:pStyle w:val="ListBullet"/>
        <w:numPr>
          <w:ilvl w:val="0"/>
          <w:numId w:val="38"/>
        </w:numPr>
        <w:spacing w:line="276" w:lineRule="auto"/>
        <w:ind w:left="357" w:hanging="357"/>
        <w:contextualSpacing/>
        <w:rPr>
          <w:rFonts w:ascii="Cambria" w:hAnsi="Cambria"/>
        </w:rPr>
      </w:pPr>
      <w:r>
        <w:rPr>
          <w:rFonts w:ascii="Cambria" w:hAnsi="Cambria"/>
          <w:b/>
        </w:rPr>
        <w:t>Insects</w:t>
      </w:r>
      <w:r>
        <w:rPr>
          <w:rFonts w:ascii="Cambria" w:hAnsi="Cambria"/>
        </w:rPr>
        <w:t>—No CGMMV transmission was observed in trials using aphids (</w:t>
      </w:r>
      <w:r w:rsidR="00B04CF0">
        <w:rPr>
          <w:rFonts w:ascii="Cambria" w:hAnsi="Cambria"/>
          <w:i/>
        </w:rPr>
        <w:t xml:space="preserve">Aphis </w:t>
      </w:r>
      <w:proofErr w:type="spellStart"/>
      <w:r w:rsidR="00B04CF0">
        <w:rPr>
          <w:rFonts w:ascii="Cambria" w:hAnsi="Cambria"/>
          <w:i/>
        </w:rPr>
        <w:t>gossypii</w:t>
      </w:r>
      <w:proofErr w:type="spellEnd"/>
      <w:r w:rsidR="00B04CF0">
        <w:rPr>
          <w:rFonts w:ascii="Cambria" w:hAnsi="Cambria"/>
          <w:i/>
        </w:rPr>
        <w:t xml:space="preserve"> </w:t>
      </w:r>
      <w:r w:rsidR="00B04CF0">
        <w:rPr>
          <w:rFonts w:ascii="Cambria" w:hAnsi="Cambria"/>
        </w:rPr>
        <w:t>and</w:t>
      </w:r>
      <w:r w:rsidR="00B04CF0">
        <w:rPr>
          <w:rFonts w:ascii="Cambria" w:hAnsi="Cambria"/>
          <w:i/>
        </w:rPr>
        <w:t xml:space="preserve"> </w:t>
      </w:r>
      <w:proofErr w:type="spellStart"/>
      <w:r>
        <w:rPr>
          <w:rFonts w:ascii="Cambria" w:hAnsi="Cambria"/>
          <w:i/>
        </w:rPr>
        <w:t>Myzus</w:t>
      </w:r>
      <w:proofErr w:type="spellEnd"/>
      <w:r>
        <w:rPr>
          <w:rFonts w:ascii="Cambria" w:hAnsi="Cambria"/>
          <w:i/>
        </w:rPr>
        <w:t xml:space="preserve"> </w:t>
      </w:r>
      <w:proofErr w:type="spellStart"/>
      <w:r>
        <w:rPr>
          <w:rFonts w:ascii="Cambria" w:hAnsi="Cambria"/>
          <w:i/>
        </w:rPr>
        <w:t>persicae</w:t>
      </w:r>
      <w:proofErr w:type="spellEnd"/>
      <w:r>
        <w:rPr>
          <w:rFonts w:ascii="Cambria" w:hAnsi="Cambria"/>
        </w:rPr>
        <w:t>) and cucumber leaf beetles (</w:t>
      </w:r>
      <w:proofErr w:type="spellStart"/>
      <w:r>
        <w:rPr>
          <w:rFonts w:ascii="Cambria" w:hAnsi="Cambria"/>
          <w:i/>
        </w:rPr>
        <w:t>Aulacophora</w:t>
      </w:r>
      <w:proofErr w:type="spellEnd"/>
      <w:r>
        <w:rPr>
          <w:rFonts w:ascii="Cambria" w:hAnsi="Cambria"/>
          <w:i/>
        </w:rPr>
        <w:t xml:space="preserve"> </w:t>
      </w:r>
      <w:proofErr w:type="spellStart"/>
      <w:r>
        <w:rPr>
          <w:rFonts w:ascii="Cambria" w:hAnsi="Cambria"/>
          <w:i/>
        </w:rPr>
        <w:t>femoralis</w:t>
      </w:r>
      <w:proofErr w:type="spellEnd"/>
      <w:r>
        <w:rPr>
          <w:rFonts w:ascii="Cambria" w:hAnsi="Cambria"/>
        </w:rPr>
        <w:t xml:space="preserve">) as vectors (Hollings et al. 1975). However, Rao and </w:t>
      </w:r>
      <w:proofErr w:type="spellStart"/>
      <w:r>
        <w:rPr>
          <w:rFonts w:ascii="Cambria" w:hAnsi="Cambria"/>
        </w:rPr>
        <w:t>Verma</w:t>
      </w:r>
      <w:proofErr w:type="spellEnd"/>
      <w:r>
        <w:rPr>
          <w:rFonts w:ascii="Cambria" w:hAnsi="Cambria"/>
        </w:rPr>
        <w:t xml:space="preserve"> (1984) reported that cucumber leaf beetles are potential vectors of CGMMV. During transmission studies, cucumber leaf beetles transmitted CGMMV directly to 10 percent of tested plants (Rao &amp; </w:t>
      </w:r>
      <w:proofErr w:type="spellStart"/>
      <w:r>
        <w:rPr>
          <w:rFonts w:ascii="Cambria" w:hAnsi="Cambria"/>
        </w:rPr>
        <w:t>Verma</w:t>
      </w:r>
      <w:proofErr w:type="spellEnd"/>
      <w:r>
        <w:rPr>
          <w:rFonts w:ascii="Cambria" w:hAnsi="Cambria"/>
        </w:rPr>
        <w:t xml:space="preserve"> 1984). Infective particles of CGMMV were also detected in the regurgitated fluid and excreta of cucumber leaf beetles (Rao &amp; </w:t>
      </w:r>
      <w:proofErr w:type="spellStart"/>
      <w:r>
        <w:rPr>
          <w:rFonts w:ascii="Cambria" w:hAnsi="Cambria"/>
        </w:rPr>
        <w:t>Verma</w:t>
      </w:r>
      <w:proofErr w:type="spellEnd"/>
      <w:r>
        <w:rPr>
          <w:rFonts w:ascii="Cambria" w:hAnsi="Cambria"/>
        </w:rPr>
        <w:t xml:space="preserve"> 1984). Therefore, cucumber leaf beetles may be a potential vector for short-distance spread of CGMMV in some countries. </w:t>
      </w:r>
    </w:p>
    <w:p w14:paraId="4FEA787F" w14:textId="2FFA99F5" w:rsidR="008163B6" w:rsidRDefault="00DE0AF6" w:rsidP="006F4BBD">
      <w:pPr>
        <w:pStyle w:val="ListBullet"/>
        <w:numPr>
          <w:ilvl w:val="0"/>
          <w:numId w:val="38"/>
        </w:numPr>
        <w:spacing w:line="276" w:lineRule="auto"/>
        <w:ind w:left="357" w:hanging="357"/>
        <w:contextualSpacing/>
        <w:rPr>
          <w:rFonts w:ascii="Cambria" w:hAnsi="Cambria"/>
          <w:bCs/>
          <w:lang w:eastAsia="en-AU"/>
        </w:rPr>
      </w:pPr>
      <w:r>
        <w:rPr>
          <w:rFonts w:ascii="Cambria" w:hAnsi="Cambria"/>
          <w:b/>
          <w:bCs/>
          <w:lang w:eastAsia="en-AU"/>
        </w:rPr>
        <w:t>Parasitic plants</w:t>
      </w:r>
      <w:r w:rsidR="00F709BD">
        <w:rPr>
          <w:rFonts w:ascii="Cambria" w:hAnsi="Cambria"/>
          <w:bCs/>
          <w:lang w:eastAsia="en-AU"/>
        </w:rPr>
        <w:t>—</w:t>
      </w:r>
      <w:proofErr w:type="gramStart"/>
      <w:r w:rsidR="00F709BD">
        <w:rPr>
          <w:rFonts w:ascii="Cambria" w:hAnsi="Cambria"/>
          <w:bCs/>
          <w:lang w:eastAsia="en-AU"/>
        </w:rPr>
        <w:t>There</w:t>
      </w:r>
      <w:proofErr w:type="gramEnd"/>
      <w:r w:rsidR="00F709BD">
        <w:rPr>
          <w:rFonts w:ascii="Cambria" w:hAnsi="Cambria"/>
          <w:bCs/>
          <w:lang w:eastAsia="en-AU"/>
        </w:rPr>
        <w:t xml:space="preserve"> is a historic record that CGMMV can be transmitted by dodder species, including </w:t>
      </w:r>
      <w:proofErr w:type="spellStart"/>
      <w:r w:rsidR="00F709BD">
        <w:rPr>
          <w:rFonts w:ascii="Cambria" w:hAnsi="Cambria"/>
          <w:bCs/>
          <w:i/>
          <w:lang w:eastAsia="en-AU"/>
        </w:rPr>
        <w:t>Cuscuta</w:t>
      </w:r>
      <w:proofErr w:type="spellEnd"/>
      <w:r w:rsidR="00F709BD">
        <w:rPr>
          <w:rFonts w:ascii="Cambria" w:hAnsi="Cambria"/>
          <w:bCs/>
          <w:i/>
          <w:lang w:eastAsia="en-AU"/>
        </w:rPr>
        <w:t xml:space="preserve"> </w:t>
      </w:r>
      <w:proofErr w:type="spellStart"/>
      <w:r w:rsidR="00F709BD">
        <w:rPr>
          <w:rFonts w:ascii="Cambria" w:hAnsi="Cambria"/>
          <w:bCs/>
          <w:i/>
          <w:lang w:eastAsia="en-AU"/>
        </w:rPr>
        <w:t>subinclusa</w:t>
      </w:r>
      <w:proofErr w:type="spellEnd"/>
      <w:r w:rsidR="00F709BD">
        <w:rPr>
          <w:rFonts w:ascii="Cambria" w:hAnsi="Cambria"/>
          <w:bCs/>
          <w:lang w:eastAsia="en-AU"/>
        </w:rPr>
        <w:t xml:space="preserve">, </w:t>
      </w:r>
      <w:r w:rsidR="00F709BD">
        <w:rPr>
          <w:rFonts w:ascii="Cambria" w:hAnsi="Cambria"/>
          <w:bCs/>
          <w:i/>
          <w:lang w:eastAsia="en-AU"/>
        </w:rPr>
        <w:t xml:space="preserve">C. </w:t>
      </w:r>
      <w:proofErr w:type="spellStart"/>
      <w:r w:rsidR="00F709BD">
        <w:rPr>
          <w:rFonts w:ascii="Cambria" w:hAnsi="Cambria"/>
          <w:bCs/>
          <w:i/>
          <w:lang w:eastAsia="en-AU"/>
        </w:rPr>
        <w:t>lupuliformis</w:t>
      </w:r>
      <w:proofErr w:type="spellEnd"/>
      <w:r w:rsidR="00F709BD">
        <w:rPr>
          <w:rFonts w:ascii="Cambria" w:hAnsi="Cambria"/>
          <w:bCs/>
          <w:lang w:eastAsia="en-AU"/>
        </w:rPr>
        <w:t xml:space="preserve"> and </w:t>
      </w:r>
      <w:r w:rsidR="00F709BD">
        <w:rPr>
          <w:rFonts w:ascii="Cambria" w:hAnsi="Cambria"/>
          <w:bCs/>
          <w:i/>
          <w:lang w:eastAsia="en-AU"/>
        </w:rPr>
        <w:t xml:space="preserve">C. </w:t>
      </w:r>
      <w:proofErr w:type="spellStart"/>
      <w:r w:rsidR="00F709BD">
        <w:rPr>
          <w:rFonts w:ascii="Cambria" w:hAnsi="Cambria"/>
          <w:bCs/>
          <w:i/>
          <w:lang w:eastAsia="en-AU"/>
        </w:rPr>
        <w:t>campestris</w:t>
      </w:r>
      <w:proofErr w:type="spellEnd"/>
      <w:r w:rsidR="00F709BD">
        <w:rPr>
          <w:rFonts w:ascii="Cambria" w:hAnsi="Cambria"/>
          <w:bCs/>
          <w:lang w:eastAsia="en-AU"/>
        </w:rPr>
        <w:t>, under experimental conditions (</w:t>
      </w:r>
      <w:proofErr w:type="spellStart"/>
      <w:r w:rsidR="00F709BD">
        <w:rPr>
          <w:rFonts w:ascii="Cambria" w:hAnsi="Cambria"/>
          <w:bCs/>
          <w:lang w:eastAsia="en-AU"/>
        </w:rPr>
        <w:t>Schmelzer</w:t>
      </w:r>
      <w:proofErr w:type="spellEnd"/>
      <w:r w:rsidR="00F709BD">
        <w:rPr>
          <w:rFonts w:ascii="Cambria" w:hAnsi="Cambria"/>
          <w:bCs/>
          <w:lang w:eastAsia="en-AU"/>
        </w:rPr>
        <w:t xml:space="preserve"> 1956 cited in Hollings et al. 1975).</w:t>
      </w:r>
    </w:p>
    <w:p w14:paraId="711D831D" w14:textId="77777777" w:rsidR="008163B6" w:rsidRPr="008163B6" w:rsidRDefault="008163B6" w:rsidP="008163B6">
      <w:pPr>
        <w:pStyle w:val="Heading2"/>
        <w:numPr>
          <w:ilvl w:val="1"/>
          <w:numId w:val="21"/>
        </w:numPr>
        <w:tabs>
          <w:tab w:val="clear" w:pos="576"/>
        </w:tabs>
        <w:spacing w:before="200" w:after="120"/>
        <w:ind w:left="357" w:hanging="357"/>
        <w:rPr>
          <w:rFonts w:eastAsiaTheme="majorEastAsia" w:cstheme="majorBidi"/>
          <w:color w:val="773141"/>
          <w:sz w:val="28"/>
        </w:rPr>
      </w:pPr>
      <w:bookmarkStart w:id="199" w:name="_Toc447540792"/>
      <w:r w:rsidRPr="008163B6">
        <w:rPr>
          <w:rFonts w:eastAsiaTheme="majorEastAsia" w:cstheme="majorBidi"/>
          <w:color w:val="773141"/>
          <w:sz w:val="28"/>
        </w:rPr>
        <w:t>Symptoms of CGMMV</w:t>
      </w:r>
      <w:bookmarkEnd w:id="199"/>
    </w:p>
    <w:p w14:paraId="143BEDB8" w14:textId="26D6AC0C" w:rsidR="008163B6" w:rsidRDefault="00F709BD" w:rsidP="006F4BBD">
      <w:pPr>
        <w:autoSpaceDE w:val="0"/>
        <w:autoSpaceDN w:val="0"/>
        <w:adjustRightInd w:val="0"/>
        <w:spacing w:before="120" w:after="120" w:line="276" w:lineRule="auto"/>
        <w:rPr>
          <w:rFonts w:ascii="Cambria" w:hAnsi="Cambria"/>
          <w:bCs/>
          <w:lang w:eastAsia="en-AU"/>
        </w:rPr>
      </w:pPr>
      <w:r>
        <w:rPr>
          <w:rFonts w:ascii="Cambria" w:hAnsi="Cambria" w:cs="Arial"/>
          <w:szCs w:val="28"/>
        </w:rPr>
        <w:t xml:space="preserve">CGMMV can cause a range of symptoms in host plants and may also infect plants </w:t>
      </w:r>
      <w:proofErr w:type="spellStart"/>
      <w:r>
        <w:rPr>
          <w:rFonts w:ascii="Cambria" w:hAnsi="Cambria" w:cs="Arial"/>
          <w:szCs w:val="28"/>
        </w:rPr>
        <w:t>symptomlessly</w:t>
      </w:r>
      <w:proofErr w:type="spellEnd"/>
      <w:r>
        <w:rPr>
          <w:rFonts w:ascii="Cambria" w:hAnsi="Cambria" w:cs="Arial"/>
          <w:szCs w:val="28"/>
        </w:rPr>
        <w:t>. In cucurbits, CGMMV symptoms typically include leaf mottling</w:t>
      </w:r>
      <w:r w:rsidR="00467AAA">
        <w:rPr>
          <w:rFonts w:ascii="Cambria" w:hAnsi="Cambria" w:cs="Arial"/>
          <w:szCs w:val="28"/>
        </w:rPr>
        <w:t xml:space="preserve">, </w:t>
      </w:r>
      <w:r>
        <w:rPr>
          <w:rFonts w:ascii="Cambria" w:hAnsi="Cambria" w:cs="Arial"/>
          <w:szCs w:val="28"/>
        </w:rPr>
        <w:t>mosaic symptoms and fruit mottling or distortion (</w:t>
      </w:r>
      <w:proofErr w:type="spellStart"/>
      <w:r>
        <w:rPr>
          <w:rFonts w:ascii="Cambria" w:hAnsi="Cambria" w:cs="Arial"/>
          <w:szCs w:val="28"/>
        </w:rPr>
        <w:t>Reingold</w:t>
      </w:r>
      <w:proofErr w:type="spellEnd"/>
      <w:r>
        <w:rPr>
          <w:rFonts w:ascii="Cambria" w:hAnsi="Cambria" w:cs="Arial"/>
          <w:szCs w:val="28"/>
        </w:rPr>
        <w:t xml:space="preserve"> </w:t>
      </w:r>
      <w:r w:rsidR="008163B6" w:rsidRPr="008163B6">
        <w:rPr>
          <w:rFonts w:ascii="Cambria" w:hAnsi="Cambria" w:cs="Arial"/>
          <w:szCs w:val="28"/>
        </w:rPr>
        <w:t>et al</w:t>
      </w:r>
      <w:r>
        <w:rPr>
          <w:rFonts w:ascii="Cambria" w:hAnsi="Cambria" w:cs="Arial"/>
          <w:szCs w:val="28"/>
        </w:rPr>
        <w:t>. 201</w:t>
      </w:r>
      <w:r w:rsidR="005D021D">
        <w:rPr>
          <w:rFonts w:ascii="Cambria" w:hAnsi="Cambria" w:cs="Arial"/>
          <w:szCs w:val="28"/>
        </w:rPr>
        <w:t>5</w:t>
      </w:r>
      <w:r>
        <w:rPr>
          <w:rFonts w:ascii="Cambria" w:hAnsi="Cambria" w:cs="Arial"/>
          <w:szCs w:val="28"/>
        </w:rPr>
        <w:t xml:space="preserve">). This virus may also symptomatically infect some non-cucurbit crops, for instance, </w:t>
      </w:r>
      <w:proofErr w:type="spellStart"/>
      <w:r>
        <w:rPr>
          <w:rFonts w:ascii="Cambria" w:hAnsi="Cambria" w:cs="Arial"/>
          <w:i/>
          <w:szCs w:val="28"/>
        </w:rPr>
        <w:t>Heracleum</w:t>
      </w:r>
      <w:proofErr w:type="spellEnd"/>
      <w:r>
        <w:rPr>
          <w:rFonts w:ascii="Cambria" w:hAnsi="Cambria" w:cs="Arial"/>
          <w:i/>
          <w:szCs w:val="28"/>
        </w:rPr>
        <w:t xml:space="preserve"> </w:t>
      </w:r>
      <w:proofErr w:type="spellStart"/>
      <w:r>
        <w:rPr>
          <w:rFonts w:ascii="Cambria" w:hAnsi="Cambria" w:cs="Arial"/>
          <w:i/>
          <w:szCs w:val="28"/>
        </w:rPr>
        <w:t>moellendorfii</w:t>
      </w:r>
      <w:proofErr w:type="spellEnd"/>
      <w:r>
        <w:rPr>
          <w:rFonts w:ascii="Cambria" w:hAnsi="Cambria" w:cs="Arial"/>
          <w:i/>
          <w:szCs w:val="28"/>
        </w:rPr>
        <w:t xml:space="preserve"> </w:t>
      </w:r>
      <w:r>
        <w:rPr>
          <w:rFonts w:ascii="Cambria" w:hAnsi="Cambria" w:cs="Arial"/>
          <w:szCs w:val="28"/>
        </w:rPr>
        <w:t>(</w:t>
      </w:r>
      <w:proofErr w:type="spellStart"/>
      <w:r>
        <w:rPr>
          <w:rFonts w:ascii="Cambria" w:hAnsi="Cambria" w:cs="Arial"/>
          <w:szCs w:val="28"/>
        </w:rPr>
        <w:t>Apiaceae</w:t>
      </w:r>
      <w:proofErr w:type="spellEnd"/>
      <w:r>
        <w:rPr>
          <w:rFonts w:ascii="Cambria" w:hAnsi="Cambria" w:cs="Arial"/>
          <w:szCs w:val="28"/>
        </w:rPr>
        <w:t>)</w:t>
      </w:r>
      <w:r>
        <w:rPr>
          <w:rFonts w:ascii="Cambria" w:hAnsi="Cambria" w:cs="Arial"/>
          <w:i/>
          <w:szCs w:val="28"/>
        </w:rPr>
        <w:t xml:space="preserve"> </w:t>
      </w:r>
      <w:r>
        <w:rPr>
          <w:rFonts w:ascii="Cambria" w:hAnsi="Cambria" w:cs="Arial"/>
          <w:szCs w:val="28"/>
        </w:rPr>
        <w:t xml:space="preserve">plants naturally infected with CGMMV have shown leaf mottling and mosaic symptoms (Cho et al. 2015). CGMMV </w:t>
      </w:r>
      <w:r>
        <w:rPr>
          <w:rFonts w:ascii="Cambria" w:hAnsi="Cambria"/>
          <w:bCs/>
          <w:lang w:eastAsia="en-AU"/>
        </w:rPr>
        <w:t>s</w:t>
      </w:r>
      <w:r>
        <w:rPr>
          <w:rFonts w:ascii="Cambria" w:hAnsi="Cambria"/>
        </w:rPr>
        <w:t xml:space="preserve">ymptoms may not be constant over time or between locations and may vary with isolate, strain, season, host and </w:t>
      </w:r>
      <w:r>
        <w:rPr>
          <w:rFonts w:ascii="Cambria" w:hAnsi="Cambria"/>
          <w:bCs/>
        </w:rPr>
        <w:t>environmental</w:t>
      </w:r>
      <w:r>
        <w:rPr>
          <w:rFonts w:ascii="Cambria" w:hAnsi="Cambria"/>
        </w:rPr>
        <w:t xml:space="preserve"> conditions </w:t>
      </w:r>
      <w:r>
        <w:rPr>
          <w:rFonts w:ascii="Cambria" w:hAnsi="Cambria"/>
          <w:bCs/>
          <w:lang w:eastAsia="en-AU"/>
        </w:rPr>
        <w:t xml:space="preserve">(ASTA 2014). </w:t>
      </w:r>
    </w:p>
    <w:p w14:paraId="5A1B5AD3" w14:textId="7C4269D0" w:rsidR="008163B6" w:rsidRDefault="00F709BD" w:rsidP="006F4BBD">
      <w:pPr>
        <w:autoSpaceDE w:val="0"/>
        <w:autoSpaceDN w:val="0"/>
        <w:adjustRightInd w:val="0"/>
        <w:spacing w:before="120" w:after="120" w:line="276" w:lineRule="auto"/>
        <w:rPr>
          <w:rFonts w:ascii="Cambria" w:hAnsi="Cambria"/>
        </w:rPr>
      </w:pPr>
      <w:r>
        <w:rPr>
          <w:rFonts w:ascii="Cambria" w:hAnsi="Cambria"/>
          <w:bCs/>
          <w:lang w:eastAsia="en-AU"/>
        </w:rPr>
        <w:t>This review focuses on symptoms that CGMMV typically causes on the natural host s</w:t>
      </w:r>
      <w:r w:rsidR="002C4F1E">
        <w:rPr>
          <w:rFonts w:ascii="Cambria" w:hAnsi="Cambria"/>
          <w:bCs/>
          <w:lang w:eastAsia="en-AU"/>
        </w:rPr>
        <w:t>pecies</w:t>
      </w:r>
      <w:r w:rsidR="00467AAA">
        <w:rPr>
          <w:rFonts w:ascii="Cambria" w:hAnsi="Cambria"/>
          <w:bCs/>
          <w:lang w:eastAsia="en-AU"/>
        </w:rPr>
        <w:t xml:space="preserve"> (</w:t>
      </w:r>
      <w:r w:rsidR="00467AAA">
        <w:rPr>
          <w:rFonts w:ascii="Cambria" w:hAnsi="Cambria"/>
          <w:bCs/>
          <w:i/>
          <w:lang w:eastAsia="en-AU"/>
        </w:rPr>
        <w:t>Citrullus lanatus</w:t>
      </w:r>
      <w:r w:rsidR="00467AAA">
        <w:rPr>
          <w:rFonts w:ascii="Cambria" w:hAnsi="Cambria"/>
          <w:bCs/>
          <w:lang w:eastAsia="en-AU"/>
        </w:rPr>
        <w:t xml:space="preserve">, </w:t>
      </w:r>
      <w:r w:rsidR="00467AAA">
        <w:rPr>
          <w:rFonts w:ascii="Cambria" w:hAnsi="Cambria"/>
          <w:bCs/>
          <w:i/>
          <w:lang w:eastAsia="en-AU"/>
        </w:rPr>
        <w:t>Cucumis</w:t>
      </w:r>
      <w:r w:rsidR="00467AAA">
        <w:rPr>
          <w:rFonts w:ascii="Cambria" w:hAnsi="Cambria"/>
          <w:bCs/>
          <w:lang w:eastAsia="en-AU"/>
        </w:rPr>
        <w:t xml:space="preserve"> </w:t>
      </w:r>
      <w:r w:rsidR="00467AAA">
        <w:rPr>
          <w:rFonts w:ascii="Cambria" w:hAnsi="Cambria"/>
          <w:bCs/>
          <w:i/>
          <w:lang w:eastAsia="en-AU"/>
        </w:rPr>
        <w:t>melo</w:t>
      </w:r>
      <w:r w:rsidR="00467AAA">
        <w:rPr>
          <w:rFonts w:ascii="Cambria" w:hAnsi="Cambria"/>
          <w:bCs/>
          <w:lang w:eastAsia="en-AU"/>
        </w:rPr>
        <w:t xml:space="preserve">, </w:t>
      </w:r>
      <w:r w:rsidR="00467AAA">
        <w:rPr>
          <w:rFonts w:ascii="Cambria" w:hAnsi="Cambria"/>
          <w:bCs/>
          <w:i/>
          <w:lang w:eastAsia="en-AU"/>
        </w:rPr>
        <w:t>Cucumis sativus</w:t>
      </w:r>
      <w:r w:rsidR="00467AAA">
        <w:rPr>
          <w:rFonts w:ascii="Cambria" w:hAnsi="Cambria"/>
          <w:bCs/>
          <w:lang w:eastAsia="en-AU"/>
        </w:rPr>
        <w:t xml:space="preserve">, </w:t>
      </w:r>
      <w:r w:rsidR="00467AAA">
        <w:rPr>
          <w:rFonts w:ascii="Cambria" w:hAnsi="Cambria"/>
          <w:bCs/>
          <w:i/>
          <w:lang w:eastAsia="en-AU"/>
        </w:rPr>
        <w:t xml:space="preserve">Cucurbita </w:t>
      </w:r>
      <w:r w:rsidR="00467AAA" w:rsidRPr="00A3435C">
        <w:rPr>
          <w:rFonts w:ascii="Cambria" w:hAnsi="Cambria"/>
          <w:bCs/>
          <w:i/>
          <w:lang w:eastAsia="en-AU"/>
        </w:rPr>
        <w:t>maxima</w:t>
      </w:r>
      <w:r w:rsidR="00467AAA">
        <w:rPr>
          <w:rFonts w:ascii="Cambria" w:hAnsi="Cambria"/>
          <w:bCs/>
          <w:lang w:eastAsia="en-AU"/>
        </w:rPr>
        <w:t xml:space="preserve">, </w:t>
      </w:r>
      <w:r w:rsidR="00467AAA">
        <w:rPr>
          <w:rFonts w:ascii="Cambria" w:hAnsi="Cambria"/>
          <w:bCs/>
          <w:i/>
          <w:lang w:eastAsia="en-AU"/>
        </w:rPr>
        <w:t xml:space="preserve">Cucurbita </w:t>
      </w:r>
      <w:r w:rsidR="00467AAA" w:rsidRPr="00A3435C">
        <w:rPr>
          <w:rFonts w:ascii="Cambria" w:hAnsi="Cambria"/>
          <w:bCs/>
          <w:i/>
          <w:lang w:eastAsia="en-AU"/>
        </w:rPr>
        <w:t>moschata</w:t>
      </w:r>
      <w:r w:rsidR="00467AAA">
        <w:rPr>
          <w:rFonts w:ascii="Cambria" w:hAnsi="Cambria"/>
          <w:bCs/>
          <w:lang w:eastAsia="en-AU"/>
        </w:rPr>
        <w:t xml:space="preserve">, </w:t>
      </w:r>
      <w:r w:rsidR="00467AAA" w:rsidRPr="00A3435C">
        <w:rPr>
          <w:rFonts w:ascii="Cambria" w:hAnsi="Cambria"/>
          <w:bCs/>
          <w:i/>
          <w:lang w:eastAsia="en-AU"/>
        </w:rPr>
        <w:t xml:space="preserve">Cucurbita </w:t>
      </w:r>
      <w:r w:rsidR="00467AAA">
        <w:rPr>
          <w:rFonts w:ascii="Cambria" w:hAnsi="Cambria"/>
          <w:bCs/>
          <w:i/>
          <w:lang w:eastAsia="en-AU"/>
        </w:rPr>
        <w:t>pepo</w:t>
      </w:r>
      <w:r w:rsidR="00467AAA">
        <w:rPr>
          <w:rFonts w:ascii="Cambria" w:hAnsi="Cambria"/>
          <w:bCs/>
          <w:lang w:eastAsia="en-AU"/>
        </w:rPr>
        <w:t xml:space="preserve">, </w:t>
      </w:r>
      <w:r w:rsidR="00467AAA">
        <w:rPr>
          <w:rFonts w:ascii="Cambria" w:hAnsi="Cambria"/>
          <w:bCs/>
          <w:i/>
          <w:lang w:eastAsia="en-AU"/>
        </w:rPr>
        <w:t>Lagenaria siceraria</w:t>
      </w:r>
      <w:r w:rsidR="00467AAA">
        <w:rPr>
          <w:rFonts w:ascii="Cambria" w:hAnsi="Cambria"/>
          <w:bCs/>
          <w:lang w:eastAsia="en-AU"/>
        </w:rPr>
        <w:t xml:space="preserve"> and </w:t>
      </w:r>
      <w:r w:rsidR="00467AAA">
        <w:rPr>
          <w:rFonts w:ascii="Cambria" w:hAnsi="Cambria"/>
          <w:bCs/>
          <w:i/>
          <w:lang w:eastAsia="en-AU"/>
        </w:rPr>
        <w:t>Trichosanthes cucumerina</w:t>
      </w:r>
      <w:r w:rsidR="00467AAA">
        <w:rPr>
          <w:rFonts w:ascii="Cambria" w:hAnsi="Cambria"/>
          <w:bCs/>
          <w:lang w:eastAsia="en-AU"/>
        </w:rPr>
        <w:t xml:space="preserve">) </w:t>
      </w:r>
      <w:r>
        <w:rPr>
          <w:rFonts w:ascii="Cambria" w:hAnsi="Cambria"/>
          <w:bCs/>
          <w:lang w:eastAsia="en-AU"/>
        </w:rPr>
        <w:t xml:space="preserve">that are known to carry this virus in seed. </w:t>
      </w:r>
    </w:p>
    <w:p w14:paraId="66782638" w14:textId="2D0CD15D" w:rsidR="008163B6" w:rsidRPr="008163B6" w:rsidRDefault="001C5698" w:rsidP="00C536DD">
      <w:pPr>
        <w:pStyle w:val="Heading3"/>
        <w:keepLines/>
        <w:spacing w:before="200" w:after="200"/>
        <w:rPr>
          <w:sz w:val="24"/>
        </w:rPr>
      </w:pPr>
      <w:bookmarkStart w:id="200" w:name="_Toc447540793"/>
      <w:r>
        <w:rPr>
          <w:rFonts w:ascii="Calibri" w:hAnsi="Calibri" w:cstheme="minorBidi"/>
          <w:sz w:val="24"/>
          <w:szCs w:val="22"/>
        </w:rPr>
        <w:t>Symptoms caused by CGMMV o</w:t>
      </w:r>
      <w:r w:rsidR="008163B6" w:rsidRPr="008163B6">
        <w:rPr>
          <w:rFonts w:ascii="Calibri" w:hAnsi="Calibri" w:cstheme="minorBidi"/>
          <w:sz w:val="24"/>
          <w:szCs w:val="22"/>
        </w:rPr>
        <w:t xml:space="preserve">n </w:t>
      </w:r>
      <w:r w:rsidR="008163B6" w:rsidRPr="008163B6">
        <w:rPr>
          <w:rFonts w:ascii="Calibri" w:hAnsi="Calibri" w:cstheme="minorBidi"/>
          <w:i/>
          <w:sz w:val="24"/>
          <w:szCs w:val="22"/>
        </w:rPr>
        <w:t>Citrullus lanatus</w:t>
      </w:r>
      <w:bookmarkEnd w:id="200"/>
    </w:p>
    <w:p w14:paraId="2A5F1CD2" w14:textId="03413AFC" w:rsidR="008163B6" w:rsidRDefault="00F709BD" w:rsidP="006F4BBD">
      <w:pPr>
        <w:autoSpaceDE w:val="0"/>
        <w:autoSpaceDN w:val="0"/>
        <w:adjustRightInd w:val="0"/>
        <w:spacing w:before="120" w:after="120" w:line="276" w:lineRule="auto"/>
        <w:rPr>
          <w:rFonts w:ascii="Cambria" w:hAnsi="Cambria"/>
        </w:rPr>
      </w:pPr>
      <w:r>
        <w:rPr>
          <w:rFonts w:ascii="Cambria" w:eastAsia="Cambria" w:hAnsi="Cambria" w:cs="Times-Roman"/>
          <w:lang w:eastAsia="en-AU"/>
        </w:rPr>
        <w:t xml:space="preserve">Symptoms of CGMMV on watermelon </w:t>
      </w:r>
      <w:r w:rsidR="00A4028F">
        <w:rPr>
          <w:rFonts w:ascii="Cambria" w:eastAsia="Cambria" w:hAnsi="Cambria" w:cs="Times-Roman"/>
          <w:lang w:eastAsia="en-AU"/>
        </w:rPr>
        <w:t>(</w:t>
      </w:r>
      <w:r w:rsidR="00A4028F">
        <w:rPr>
          <w:rFonts w:ascii="Cambria" w:eastAsia="Cambria" w:hAnsi="Cambria" w:cs="Times-Roman"/>
          <w:i/>
          <w:lang w:eastAsia="en-AU"/>
        </w:rPr>
        <w:t>Citrullus lanatus</w:t>
      </w:r>
      <w:r w:rsidR="00A4028F">
        <w:rPr>
          <w:rFonts w:ascii="Cambria" w:eastAsia="Cambria" w:hAnsi="Cambria" w:cs="Times-Roman"/>
          <w:lang w:eastAsia="en-AU"/>
        </w:rPr>
        <w:t xml:space="preserve">) </w:t>
      </w:r>
      <w:r>
        <w:rPr>
          <w:rFonts w:ascii="Cambria" w:eastAsia="Cambria" w:hAnsi="Cambria" w:cs="Times-Roman"/>
          <w:lang w:eastAsia="en-AU"/>
        </w:rPr>
        <w:t xml:space="preserve">plants generally </w:t>
      </w:r>
      <w:r>
        <w:rPr>
          <w:rFonts w:ascii="Cambria" w:hAnsi="Cambria" w:cs="AdvTimes"/>
        </w:rPr>
        <w:t>include vein clearing and crumpling of young leaves; mottling or mosaic patterns</w:t>
      </w:r>
      <w:r w:rsidR="00C41374">
        <w:rPr>
          <w:rFonts w:ascii="Cambria" w:hAnsi="Cambria" w:cs="AdvTimes"/>
        </w:rPr>
        <w:t>;</w:t>
      </w:r>
      <w:r>
        <w:rPr>
          <w:rFonts w:ascii="Cambria" w:hAnsi="Cambria" w:cs="AdvTimes"/>
        </w:rPr>
        <w:t xml:space="preserve"> a pale-yellow or bleached appearance on mature leaves (Figure 1A); and necrotic spots on the peduncle (Figure 1B) </w:t>
      </w:r>
      <w:r>
        <w:rPr>
          <w:rFonts w:ascii="Cambria" w:hAnsi="Cambria"/>
        </w:rPr>
        <w:t>(</w:t>
      </w:r>
      <w:proofErr w:type="spellStart"/>
      <w:r>
        <w:rPr>
          <w:rFonts w:ascii="Cambria" w:hAnsi="Cambria"/>
        </w:rPr>
        <w:t>Reingold</w:t>
      </w:r>
      <w:proofErr w:type="spellEnd"/>
      <w:r>
        <w:rPr>
          <w:rFonts w:ascii="Cambria" w:hAnsi="Cambria"/>
        </w:rPr>
        <w:t xml:space="preserve"> et al. 2013)</w:t>
      </w:r>
      <w:r>
        <w:rPr>
          <w:rFonts w:ascii="Cambria" w:hAnsi="Cambria" w:cs="AdvTimes"/>
        </w:rPr>
        <w:t xml:space="preserve">. </w:t>
      </w:r>
      <w:r w:rsidR="00C41374">
        <w:rPr>
          <w:rFonts w:ascii="Cambria" w:hAnsi="Cambria" w:cs="AdvTimes"/>
        </w:rPr>
        <w:t>Fruit s</w:t>
      </w:r>
      <w:r>
        <w:rPr>
          <w:rFonts w:ascii="Cambria" w:hAnsi="Cambria" w:cs="AdvTimes"/>
        </w:rPr>
        <w:t xml:space="preserve">ymptoms may include yellowing of the normally pink to red flesh, especially on its outer perimeter (Figure 1C), and the development of internal cavities and areas that prematurely soften and become mushy (Figures 1C–1D) (ASTA 2014; Northern Territory Government 2015). </w:t>
      </w:r>
    </w:p>
    <w:p w14:paraId="1DE15C0A" w14:textId="02C52A26" w:rsidR="008163B6" w:rsidRPr="008163B6" w:rsidRDefault="008163B6" w:rsidP="006F4BBD">
      <w:pPr>
        <w:autoSpaceDE w:val="0"/>
        <w:autoSpaceDN w:val="0"/>
        <w:adjustRightInd w:val="0"/>
        <w:spacing w:before="120" w:after="120" w:line="276" w:lineRule="auto"/>
        <w:rPr>
          <w:rFonts w:ascii="Cambria" w:eastAsia="Cambria" w:hAnsi="Cambria" w:cs="Times-Roman"/>
          <w:lang w:eastAsia="en-AU"/>
        </w:rPr>
      </w:pPr>
      <w:r w:rsidRPr="008163B6">
        <w:rPr>
          <w:rFonts w:ascii="Cambria" w:eastAsia="Cambria" w:hAnsi="Cambria" w:cs="Times-Roman"/>
          <w:lang w:eastAsia="en-AU"/>
        </w:rPr>
        <w:t xml:space="preserve">Variability in CGMMV symptoms on watermelon plants has been reported. For example, </w:t>
      </w:r>
      <w:proofErr w:type="spellStart"/>
      <w:r w:rsidRPr="008163B6">
        <w:rPr>
          <w:rFonts w:ascii="Cambria" w:eastAsia="Cambria" w:hAnsi="Cambria" w:cs="Times-Roman"/>
          <w:lang w:eastAsia="en-AU"/>
        </w:rPr>
        <w:t>Boubourakas</w:t>
      </w:r>
      <w:proofErr w:type="spellEnd"/>
      <w:r w:rsidRPr="008163B6">
        <w:rPr>
          <w:rFonts w:ascii="Cambria" w:eastAsia="Cambria" w:hAnsi="Cambria" w:cs="Times-Roman"/>
          <w:lang w:eastAsia="en-AU"/>
        </w:rPr>
        <w:t xml:space="preserve"> et al. (2004) described three types of CGMMV symptoms on grafted watermelon crops in Greece. The first type consisted of asymptomatic leaves and the regular appearance of necrotic lesions on the fruit pedicel (Figure 1B). Fruits at maturity showed whitish-yellow discoloration of the peripheral region and water-soaked inner pulp (Fig. 1C–D). The second type of symptoms occurred more frequently and consisted of chlorotic leaf spots, which later coalesced to form characteristic irregular chlorotic patterns on leaves. The third type of symptoms consisted of chlorotic leaf patterns followed by pedicel necrosis (</w:t>
      </w:r>
      <w:proofErr w:type="spellStart"/>
      <w:r w:rsidRPr="008163B6">
        <w:rPr>
          <w:rFonts w:ascii="Cambria" w:eastAsia="Cambria" w:hAnsi="Cambria" w:cs="Times-Roman"/>
          <w:lang w:eastAsia="en-AU"/>
        </w:rPr>
        <w:t>Boubourakas</w:t>
      </w:r>
      <w:proofErr w:type="spellEnd"/>
      <w:r w:rsidRPr="008163B6">
        <w:rPr>
          <w:rFonts w:ascii="Cambria" w:eastAsia="Cambria" w:hAnsi="Cambria" w:cs="Times-Roman"/>
          <w:lang w:eastAsia="en-AU"/>
        </w:rPr>
        <w:t xml:space="preserve"> et al. 2004).</w:t>
      </w:r>
    </w:p>
    <w:p w14:paraId="6994A480" w14:textId="405963D9" w:rsidR="008163B6" w:rsidRDefault="00F709BD">
      <w:pPr>
        <w:pStyle w:val="Caption"/>
        <w:keepNext w:val="0"/>
        <w:spacing w:before="120"/>
        <w:rPr>
          <w:rFonts w:asciiTheme="majorHAnsi" w:eastAsiaTheme="majorEastAsia" w:hAnsiTheme="majorHAnsi" w:cstheme="majorBidi"/>
          <w:color w:val="595959" w:themeColor="text1" w:themeTint="A6"/>
          <w:sz w:val="20"/>
        </w:rPr>
      </w:pPr>
      <w:bookmarkStart w:id="201" w:name="_Toc438132833"/>
      <w:bookmarkStart w:id="202" w:name="_Toc438202139"/>
      <w:bookmarkStart w:id="203" w:name="_Toc438549527"/>
      <w:bookmarkStart w:id="204" w:name="_Toc438549614"/>
      <w:bookmarkStart w:id="205" w:name="_Toc439661074"/>
      <w:bookmarkStart w:id="206" w:name="_Toc447541248"/>
      <w:bookmarkStart w:id="207" w:name="_Toc447541267"/>
      <w:r>
        <w:rPr>
          <w:rFonts w:asciiTheme="majorHAnsi" w:eastAsiaTheme="majorEastAsia" w:hAnsiTheme="majorHAnsi" w:cstheme="majorBidi"/>
          <w:color w:val="595959" w:themeColor="text1" w:themeTint="A6"/>
          <w:sz w:val="20"/>
        </w:rPr>
        <w:t xml:space="preserve">Figure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1</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CGMMV symptoms on watermelon: (A) leaf mottling and chlorotic mosaic symptoms; (B) peduncle necrosis; (C) whitish-yellow discoloration of the peripheral region of fruit;</w:t>
      </w:r>
      <w:r w:rsidR="006D1F00">
        <w:rPr>
          <w:rFonts w:asciiTheme="majorHAnsi" w:eastAsiaTheme="majorEastAsia" w:hAnsiTheme="majorHAnsi" w:cstheme="majorBidi"/>
          <w:color w:val="595959" w:themeColor="text1" w:themeTint="A6"/>
          <w:sz w:val="20"/>
        </w:rPr>
        <w:t xml:space="preserve"> and</w:t>
      </w:r>
      <w:r>
        <w:rPr>
          <w:rFonts w:asciiTheme="majorHAnsi" w:eastAsiaTheme="majorEastAsia" w:hAnsiTheme="majorHAnsi" w:cstheme="majorBidi"/>
          <w:color w:val="595959" w:themeColor="text1" w:themeTint="A6"/>
          <w:sz w:val="20"/>
        </w:rPr>
        <w:t xml:space="preserve"> (D) water-soaked inner pulp of fruit</w:t>
      </w:r>
      <w:bookmarkEnd w:id="201"/>
      <w:bookmarkEnd w:id="202"/>
      <w:bookmarkEnd w:id="203"/>
      <w:bookmarkEnd w:id="204"/>
      <w:bookmarkEnd w:id="205"/>
      <w:bookmarkEnd w:id="206"/>
      <w:bookmarkEnd w:id="207"/>
    </w:p>
    <w:p w14:paraId="0677BD89" w14:textId="77777777" w:rsidR="008163B6" w:rsidRDefault="00F709BD">
      <w:pPr>
        <w:autoSpaceDE w:val="0"/>
        <w:autoSpaceDN w:val="0"/>
        <w:adjustRightInd w:val="0"/>
        <w:spacing w:after="0" w:line="240" w:lineRule="auto"/>
        <w:jc w:val="center"/>
        <w:rPr>
          <w:rFonts w:ascii="Times-Roman" w:eastAsia="Cambria" w:hAnsi="Times-Roman" w:cs="Times-Roman"/>
          <w:noProof/>
          <w:sz w:val="19"/>
          <w:szCs w:val="19"/>
          <w:lang w:eastAsia="en-AU"/>
        </w:rPr>
      </w:pPr>
      <w:r>
        <w:rPr>
          <w:rFonts w:ascii="Times-Roman" w:eastAsia="Cambria" w:hAnsi="Times-Roman" w:cs="Times-Roman"/>
          <w:noProof/>
          <w:sz w:val="19"/>
          <w:szCs w:val="19"/>
          <w:lang w:eastAsia="en-AU"/>
        </w:rPr>
        <w:drawing>
          <wp:inline distT="0" distB="0" distL="0" distR="0" wp14:anchorId="473B838A" wp14:editId="51322138">
            <wp:extent cx="3453376" cy="2608274"/>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461658" cy="2614529"/>
                    </a:xfrm>
                    <a:prstGeom prst="rect">
                      <a:avLst/>
                    </a:prstGeom>
                    <a:noFill/>
                    <a:ln w="9525">
                      <a:noFill/>
                      <a:miter lim="800000"/>
                      <a:headEnd/>
                      <a:tailEnd/>
                    </a:ln>
                  </pic:spPr>
                </pic:pic>
              </a:graphicData>
            </a:graphic>
          </wp:inline>
        </w:drawing>
      </w:r>
    </w:p>
    <w:p w14:paraId="3AAEEDFD" w14:textId="50249D4E" w:rsidR="008163B6" w:rsidRDefault="00F709BD">
      <w:pPr>
        <w:autoSpaceDE w:val="0"/>
        <w:autoSpaceDN w:val="0"/>
        <w:adjustRightInd w:val="0"/>
        <w:spacing w:before="200" w:after="0"/>
      </w:pPr>
      <w:r>
        <w:rPr>
          <w:rFonts w:ascii="Cambria" w:hAnsi="Cambria" w:cs="AdvTimes"/>
          <w:sz w:val="18"/>
          <w:szCs w:val="18"/>
        </w:rPr>
        <w:t xml:space="preserve">Source: AMA </w:t>
      </w:r>
      <w:r w:rsidR="00C536DD">
        <w:rPr>
          <w:rFonts w:ascii="Cambria" w:hAnsi="Cambria" w:cs="AdvTimes"/>
          <w:sz w:val="18"/>
          <w:szCs w:val="18"/>
        </w:rPr>
        <w:t>(</w:t>
      </w:r>
      <w:r>
        <w:rPr>
          <w:rFonts w:ascii="Cambria" w:hAnsi="Cambria" w:cs="AdvTimes"/>
          <w:sz w:val="18"/>
          <w:szCs w:val="18"/>
        </w:rPr>
        <w:t>2015)</w:t>
      </w:r>
      <w:r w:rsidR="00ED2894">
        <w:rPr>
          <w:rFonts w:ascii="Cambria" w:hAnsi="Cambria" w:cs="AdvTimes"/>
          <w:sz w:val="18"/>
          <w:szCs w:val="18"/>
        </w:rPr>
        <w:t>.</w:t>
      </w:r>
    </w:p>
    <w:p w14:paraId="63ECC5BF" w14:textId="17FC908B" w:rsidR="008163B6" w:rsidRPr="008163B6" w:rsidRDefault="001C5698" w:rsidP="00C536DD">
      <w:pPr>
        <w:pStyle w:val="Heading3"/>
        <w:keepLines/>
        <w:spacing w:before="200" w:after="200"/>
        <w:rPr>
          <w:sz w:val="24"/>
        </w:rPr>
      </w:pPr>
      <w:bookmarkStart w:id="208" w:name="_Toc447540794"/>
      <w:r>
        <w:rPr>
          <w:rFonts w:ascii="Calibri" w:hAnsi="Calibri" w:cstheme="minorBidi"/>
          <w:sz w:val="24"/>
          <w:szCs w:val="22"/>
        </w:rPr>
        <w:t>Symptoms caused by CGMMV o</w:t>
      </w:r>
      <w:r w:rsidR="008163B6" w:rsidRPr="008163B6">
        <w:rPr>
          <w:rFonts w:ascii="Calibri" w:hAnsi="Calibri" w:cstheme="minorBidi"/>
          <w:sz w:val="24"/>
          <w:szCs w:val="22"/>
        </w:rPr>
        <w:t xml:space="preserve">n </w:t>
      </w:r>
      <w:r w:rsidR="008163B6" w:rsidRPr="008163B6">
        <w:rPr>
          <w:rFonts w:ascii="Calibri" w:hAnsi="Calibri" w:cstheme="minorBidi"/>
          <w:i/>
          <w:sz w:val="24"/>
          <w:szCs w:val="22"/>
        </w:rPr>
        <w:t>Cucumis melo</w:t>
      </w:r>
      <w:bookmarkEnd w:id="208"/>
    </w:p>
    <w:p w14:paraId="0D6B0B21" w14:textId="1C2C551C" w:rsidR="008163B6" w:rsidRDefault="00F709BD" w:rsidP="006F4BBD">
      <w:pPr>
        <w:autoSpaceDE w:val="0"/>
        <w:autoSpaceDN w:val="0"/>
        <w:adjustRightInd w:val="0"/>
        <w:spacing w:before="120" w:after="120" w:line="276" w:lineRule="auto"/>
        <w:rPr>
          <w:rFonts w:ascii="Cambria" w:hAnsi="Cambria"/>
        </w:rPr>
      </w:pPr>
      <w:r>
        <w:rPr>
          <w:rFonts w:ascii="Cambria" w:hAnsi="Cambria" w:cs="Arial"/>
          <w:i/>
        </w:rPr>
        <w:t>Cucumber green mottle mosaic virus</w:t>
      </w:r>
      <w:r>
        <w:rPr>
          <w:rFonts w:ascii="Cambria" w:hAnsi="Cambria" w:cs="Arial"/>
        </w:rPr>
        <w:t xml:space="preserve"> causes mosaic and wrinkling, green vein-banding and stunting of melon </w:t>
      </w:r>
      <w:r w:rsidR="008D399D">
        <w:rPr>
          <w:rFonts w:ascii="Cambria" w:hAnsi="Cambria" w:cs="Arial"/>
        </w:rPr>
        <w:t>(</w:t>
      </w:r>
      <w:r w:rsidR="008D399D">
        <w:rPr>
          <w:rFonts w:ascii="Cambria" w:hAnsi="Cambria" w:cs="Arial"/>
          <w:i/>
        </w:rPr>
        <w:t>Cucumis melo</w:t>
      </w:r>
      <w:r w:rsidR="008D399D">
        <w:rPr>
          <w:rFonts w:ascii="Cambria" w:hAnsi="Cambria" w:cs="Arial"/>
        </w:rPr>
        <w:t xml:space="preserve">) </w:t>
      </w:r>
      <w:r>
        <w:rPr>
          <w:rFonts w:ascii="Cambria" w:hAnsi="Cambria" w:cs="Arial"/>
        </w:rPr>
        <w:t xml:space="preserve">crops in the field. In the greenhouse, </w:t>
      </w:r>
      <w:r w:rsidR="00C41374">
        <w:rPr>
          <w:rFonts w:ascii="Cambria" w:hAnsi="Cambria" w:cs="Arial"/>
        </w:rPr>
        <w:t xml:space="preserve">symptoms can include </w:t>
      </w:r>
      <w:r>
        <w:rPr>
          <w:rFonts w:ascii="Cambria" w:hAnsi="Cambria" w:cs="Arial"/>
        </w:rPr>
        <w:t>mild chlorosis, mosaic, vein-banding, and deformed leaves with bl</w:t>
      </w:r>
      <w:r w:rsidR="008802E8">
        <w:rPr>
          <w:rFonts w:ascii="Cambria" w:hAnsi="Cambria" w:cs="Arial"/>
        </w:rPr>
        <w:t>isters in older leaves (Figure 2</w:t>
      </w:r>
      <w:r>
        <w:rPr>
          <w:rFonts w:ascii="Cambria" w:hAnsi="Cambria" w:cs="Arial"/>
        </w:rPr>
        <w:t>A</w:t>
      </w:r>
      <w:r w:rsidR="00B04CF0">
        <w:rPr>
          <w:rFonts w:ascii="Cambria" w:hAnsi="Cambria" w:cs="Arial"/>
        </w:rPr>
        <w:t xml:space="preserve">; </w:t>
      </w:r>
      <w:proofErr w:type="spellStart"/>
      <w:r>
        <w:rPr>
          <w:rFonts w:ascii="Cambria" w:hAnsi="Cambria" w:cs="Arial"/>
        </w:rPr>
        <w:t>Raychaudhuri</w:t>
      </w:r>
      <w:proofErr w:type="spellEnd"/>
      <w:r>
        <w:rPr>
          <w:rFonts w:ascii="Cambria" w:hAnsi="Cambria" w:cs="Arial"/>
        </w:rPr>
        <w:t xml:space="preserve"> &amp; Varma 1978; AMA 2015). </w:t>
      </w:r>
      <w:r>
        <w:rPr>
          <w:rFonts w:ascii="Cambria" w:hAnsi="Cambria"/>
        </w:rPr>
        <w:t>Infected fruit may display mottl</w:t>
      </w:r>
      <w:r w:rsidR="008802E8">
        <w:rPr>
          <w:rFonts w:ascii="Cambria" w:hAnsi="Cambria"/>
        </w:rPr>
        <w:t>ed symptoms as shown in figure 2</w:t>
      </w:r>
      <w:r>
        <w:rPr>
          <w:rFonts w:ascii="Cambria" w:hAnsi="Cambria"/>
        </w:rPr>
        <w:t>B (AMA 2015).</w:t>
      </w:r>
    </w:p>
    <w:p w14:paraId="5E96A330" w14:textId="5D05BE10" w:rsidR="008163B6" w:rsidRDefault="00F709BD" w:rsidP="008163B6">
      <w:pPr>
        <w:pStyle w:val="Caption"/>
        <w:spacing w:before="120"/>
        <w:rPr>
          <w:rFonts w:asciiTheme="majorHAnsi" w:eastAsiaTheme="majorEastAsia" w:hAnsiTheme="majorHAnsi" w:cstheme="majorBidi"/>
          <w:color w:val="595959" w:themeColor="text1" w:themeTint="A6"/>
          <w:sz w:val="20"/>
        </w:rPr>
      </w:pPr>
      <w:bookmarkStart w:id="209" w:name="_Toc438132834"/>
      <w:bookmarkStart w:id="210" w:name="_Toc438202140"/>
      <w:bookmarkStart w:id="211" w:name="_Toc438549528"/>
      <w:bookmarkStart w:id="212" w:name="_Toc438549615"/>
      <w:bookmarkStart w:id="213" w:name="_Toc439661075"/>
      <w:bookmarkStart w:id="214" w:name="_Toc447541249"/>
      <w:bookmarkStart w:id="215" w:name="_Toc447541268"/>
      <w:r>
        <w:rPr>
          <w:rFonts w:asciiTheme="majorHAnsi" w:eastAsiaTheme="majorEastAsia" w:hAnsiTheme="majorHAnsi" w:cstheme="majorBidi"/>
          <w:color w:val="595959" w:themeColor="text1" w:themeTint="A6"/>
          <w:sz w:val="20"/>
        </w:rPr>
        <w:t xml:space="preserve">Figure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2</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CGMMV symptoms on melon leaves and fruits: (A) mild chlorosis and mosaic symptoms on leaves and (B) mottle on fruits</w:t>
      </w:r>
      <w:bookmarkEnd w:id="209"/>
      <w:bookmarkEnd w:id="210"/>
      <w:bookmarkEnd w:id="211"/>
      <w:bookmarkEnd w:id="212"/>
      <w:bookmarkEnd w:id="213"/>
      <w:bookmarkEnd w:id="214"/>
      <w:bookmarkEnd w:id="215"/>
    </w:p>
    <w:p w14:paraId="53FF5D1A" w14:textId="77777777" w:rsidR="008163B6" w:rsidRPr="008163B6" w:rsidRDefault="00F709BD" w:rsidP="008163B6">
      <w:pPr>
        <w:jc w:val="center"/>
      </w:pPr>
      <w:r>
        <w:rPr>
          <w:noProof/>
          <w:lang w:eastAsia="en-AU"/>
        </w:rPr>
        <w:drawing>
          <wp:inline distT="0" distB="0" distL="0" distR="0" wp14:anchorId="0B314441" wp14:editId="7C141C18">
            <wp:extent cx="5111750" cy="1714633"/>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5111750" cy="1714633"/>
                    </a:xfrm>
                    <a:prstGeom prst="rect">
                      <a:avLst/>
                    </a:prstGeom>
                    <a:noFill/>
                    <a:ln w="9525">
                      <a:noFill/>
                      <a:miter lim="800000"/>
                      <a:headEnd/>
                      <a:tailEnd/>
                    </a:ln>
                  </pic:spPr>
                </pic:pic>
              </a:graphicData>
            </a:graphic>
          </wp:inline>
        </w:drawing>
      </w:r>
    </w:p>
    <w:p w14:paraId="06A3812C" w14:textId="7B25EAF9" w:rsidR="008163B6" w:rsidRDefault="00F709BD" w:rsidP="008163B6">
      <w:pPr>
        <w:autoSpaceDE w:val="0"/>
        <w:autoSpaceDN w:val="0"/>
        <w:adjustRightInd w:val="0"/>
        <w:spacing w:after="0" w:line="240" w:lineRule="auto"/>
        <w:rPr>
          <w:rFonts w:ascii="Cambria" w:eastAsia="Cambria" w:hAnsi="Cambria" w:cs="Times-Roman"/>
          <w:sz w:val="18"/>
          <w:szCs w:val="18"/>
          <w:lang w:eastAsia="en-AU"/>
        </w:rPr>
      </w:pPr>
      <w:r>
        <w:rPr>
          <w:rFonts w:ascii="Cambria" w:hAnsi="Cambria"/>
          <w:sz w:val="18"/>
          <w:szCs w:val="18"/>
        </w:rPr>
        <w:t xml:space="preserve">Source: (A) </w:t>
      </w:r>
      <w:proofErr w:type="spellStart"/>
      <w:r>
        <w:rPr>
          <w:rFonts w:ascii="Cambria" w:hAnsi="Cambria" w:cs="AdvTimes"/>
          <w:sz w:val="18"/>
          <w:szCs w:val="18"/>
        </w:rPr>
        <w:t>Kurowski</w:t>
      </w:r>
      <w:proofErr w:type="spellEnd"/>
      <w:r>
        <w:rPr>
          <w:rFonts w:ascii="Cambria" w:hAnsi="Cambria" w:cs="AdvTimes"/>
          <w:sz w:val="18"/>
          <w:szCs w:val="18"/>
        </w:rPr>
        <w:t xml:space="preserve"> et al. </w:t>
      </w:r>
      <w:r w:rsidR="00C536DD">
        <w:rPr>
          <w:rFonts w:ascii="Cambria" w:hAnsi="Cambria" w:cs="AdvTimes"/>
          <w:sz w:val="18"/>
          <w:szCs w:val="18"/>
        </w:rPr>
        <w:t>(</w:t>
      </w:r>
      <w:r>
        <w:rPr>
          <w:rFonts w:ascii="Cambria" w:hAnsi="Cambria" w:cs="AdvTimes"/>
          <w:sz w:val="18"/>
          <w:szCs w:val="18"/>
        </w:rPr>
        <w:t>2015</w:t>
      </w:r>
      <w:r w:rsidR="00C536DD">
        <w:rPr>
          <w:rFonts w:ascii="Cambria" w:hAnsi="Cambria" w:cs="AdvTimes"/>
          <w:sz w:val="18"/>
          <w:szCs w:val="18"/>
        </w:rPr>
        <w:t>)</w:t>
      </w:r>
      <w:r>
        <w:rPr>
          <w:rFonts w:ascii="Cambria" w:hAnsi="Cambria" w:cs="AdvTimes"/>
          <w:sz w:val="18"/>
          <w:szCs w:val="18"/>
        </w:rPr>
        <w:t xml:space="preserve">; (B) </w:t>
      </w:r>
      <w:r>
        <w:rPr>
          <w:rStyle w:val="caption-text"/>
          <w:rFonts w:ascii="Cambria" w:hAnsi="Cambria"/>
          <w:sz w:val="18"/>
          <w:szCs w:val="18"/>
        </w:rPr>
        <w:t xml:space="preserve">AMA </w:t>
      </w:r>
      <w:r w:rsidR="00C536DD">
        <w:rPr>
          <w:rStyle w:val="caption-text"/>
          <w:rFonts w:ascii="Cambria" w:hAnsi="Cambria"/>
          <w:sz w:val="18"/>
          <w:szCs w:val="18"/>
        </w:rPr>
        <w:t>(</w:t>
      </w:r>
      <w:r>
        <w:rPr>
          <w:rStyle w:val="caption-text"/>
          <w:rFonts w:ascii="Cambria" w:hAnsi="Cambria"/>
          <w:sz w:val="18"/>
          <w:szCs w:val="18"/>
        </w:rPr>
        <w:t>2015</w:t>
      </w:r>
      <w:r w:rsidR="00C536DD">
        <w:rPr>
          <w:rStyle w:val="caption-text"/>
          <w:rFonts w:ascii="Cambria" w:hAnsi="Cambria"/>
          <w:sz w:val="18"/>
          <w:szCs w:val="18"/>
        </w:rPr>
        <w:t>)</w:t>
      </w:r>
      <w:r w:rsidR="00ED2894">
        <w:rPr>
          <w:rStyle w:val="caption-text"/>
          <w:rFonts w:ascii="Cambria" w:hAnsi="Cambria"/>
          <w:sz w:val="18"/>
          <w:szCs w:val="18"/>
        </w:rPr>
        <w:t>.</w:t>
      </w:r>
      <w:r>
        <w:rPr>
          <w:rStyle w:val="caption-text"/>
          <w:rFonts w:ascii="Cambria" w:hAnsi="Cambria"/>
          <w:b/>
          <w:sz w:val="18"/>
          <w:szCs w:val="18"/>
        </w:rPr>
        <w:t xml:space="preserve"> </w:t>
      </w:r>
    </w:p>
    <w:p w14:paraId="499F167A" w14:textId="7A0E7208" w:rsidR="008163B6" w:rsidRPr="008163B6" w:rsidRDefault="001C5698" w:rsidP="00C536DD">
      <w:pPr>
        <w:pStyle w:val="Heading3"/>
        <w:keepLines/>
        <w:spacing w:before="200" w:after="200"/>
        <w:rPr>
          <w:sz w:val="24"/>
        </w:rPr>
      </w:pPr>
      <w:bookmarkStart w:id="216" w:name="_Toc447540795"/>
      <w:r>
        <w:rPr>
          <w:rFonts w:ascii="Calibri" w:hAnsi="Calibri" w:cstheme="minorBidi"/>
          <w:sz w:val="24"/>
          <w:szCs w:val="22"/>
        </w:rPr>
        <w:t>Symptoms caused by CGMMV o</w:t>
      </w:r>
      <w:r w:rsidR="008163B6" w:rsidRPr="008163B6">
        <w:rPr>
          <w:rFonts w:ascii="Calibri" w:hAnsi="Calibri" w:cstheme="minorBidi"/>
          <w:sz w:val="24"/>
          <w:szCs w:val="22"/>
        </w:rPr>
        <w:t xml:space="preserve">n </w:t>
      </w:r>
      <w:r w:rsidR="008163B6" w:rsidRPr="008163B6">
        <w:rPr>
          <w:rFonts w:ascii="Calibri" w:hAnsi="Calibri" w:cstheme="minorBidi"/>
          <w:i/>
          <w:sz w:val="24"/>
          <w:szCs w:val="22"/>
        </w:rPr>
        <w:t>Cucumis sativus</w:t>
      </w:r>
      <w:bookmarkEnd w:id="216"/>
    </w:p>
    <w:p w14:paraId="772E2793" w14:textId="57AFECB8" w:rsidR="008163B6" w:rsidRDefault="00F709BD" w:rsidP="006F4BBD">
      <w:pPr>
        <w:autoSpaceDE w:val="0"/>
        <w:autoSpaceDN w:val="0"/>
        <w:adjustRightInd w:val="0"/>
        <w:spacing w:before="120" w:after="120" w:line="276" w:lineRule="auto"/>
        <w:rPr>
          <w:rFonts w:ascii="Cambria" w:hAnsi="Cambria" w:cs="AdvTimes"/>
        </w:rPr>
      </w:pPr>
      <w:r>
        <w:rPr>
          <w:rFonts w:ascii="Cambria" w:hAnsi="Cambria" w:cs="AdvTimes"/>
        </w:rPr>
        <w:t>CGMMV causes a range of symptoms in cucumber</w:t>
      </w:r>
      <w:r w:rsidR="00F41372">
        <w:rPr>
          <w:rFonts w:ascii="Cambria" w:hAnsi="Cambria" w:cs="AdvTimes"/>
        </w:rPr>
        <w:t xml:space="preserve"> (</w:t>
      </w:r>
      <w:r w:rsidR="00F41372">
        <w:rPr>
          <w:rFonts w:ascii="Cambria" w:hAnsi="Cambria" w:cs="AdvTimes"/>
          <w:i/>
        </w:rPr>
        <w:t>Cucumis sativus</w:t>
      </w:r>
      <w:r w:rsidR="00F41372">
        <w:rPr>
          <w:rFonts w:ascii="Cambria" w:hAnsi="Cambria" w:cs="AdvTimes"/>
        </w:rPr>
        <w:t>)</w:t>
      </w:r>
      <w:r>
        <w:rPr>
          <w:rFonts w:ascii="Cambria" w:hAnsi="Cambria" w:cs="AdvTimes"/>
        </w:rPr>
        <w:t xml:space="preserve">, with symptoms varying between strains and isolates (Hollings et al. 1975). </w:t>
      </w:r>
      <w:r w:rsidR="00ED1465">
        <w:rPr>
          <w:rFonts w:ascii="Cambria" w:hAnsi="Cambria" w:cs="AdvTimes"/>
        </w:rPr>
        <w:t xml:space="preserve">While the </w:t>
      </w:r>
      <w:r>
        <w:rPr>
          <w:rFonts w:ascii="Cambria" w:hAnsi="Cambria"/>
          <w:bCs/>
          <w:lang w:eastAsia="en-AU"/>
        </w:rPr>
        <w:t xml:space="preserve">type strain does not </w:t>
      </w:r>
      <w:r w:rsidR="00ED1465">
        <w:rPr>
          <w:rFonts w:ascii="Cambria" w:hAnsi="Cambria"/>
          <w:bCs/>
          <w:lang w:eastAsia="en-AU"/>
        </w:rPr>
        <w:t xml:space="preserve">typically </w:t>
      </w:r>
      <w:r>
        <w:rPr>
          <w:rFonts w:ascii="Cambria" w:hAnsi="Cambria"/>
          <w:bCs/>
          <w:lang w:eastAsia="en-AU"/>
        </w:rPr>
        <w:t>cause fruit symptoms in cucumber</w:t>
      </w:r>
      <w:r w:rsidR="00ED1465" w:rsidRPr="00ED1465">
        <w:rPr>
          <w:rFonts w:ascii="Cambria" w:hAnsi="Cambria" w:cs="AdvTimes"/>
        </w:rPr>
        <w:t xml:space="preserve"> </w:t>
      </w:r>
      <w:r w:rsidR="00ED1465">
        <w:rPr>
          <w:rFonts w:ascii="Cambria" w:hAnsi="Cambria" w:cs="AdvTimes"/>
        </w:rPr>
        <w:t>(Hollings et al. 1975)</w:t>
      </w:r>
      <w:r>
        <w:rPr>
          <w:rFonts w:ascii="Cambria" w:hAnsi="Cambria"/>
          <w:bCs/>
          <w:lang w:eastAsia="en-AU"/>
        </w:rPr>
        <w:t>, s</w:t>
      </w:r>
      <w:r>
        <w:rPr>
          <w:rFonts w:ascii="Cambria" w:hAnsi="Cambria" w:cs="AdvTimes"/>
        </w:rPr>
        <w:t>ome strains can cause severe fruit mottling and distortion (</w:t>
      </w:r>
      <w:r w:rsidR="00E342DA">
        <w:rPr>
          <w:rFonts w:ascii="Cambria" w:hAnsi="Cambria" w:cs="AdvTimes"/>
        </w:rPr>
        <w:t xml:space="preserve">Liu et al. 2014; </w:t>
      </w:r>
      <w:r>
        <w:rPr>
          <w:rFonts w:ascii="Cambria" w:hAnsi="Cambria" w:cs="AdvTimes"/>
        </w:rPr>
        <w:t>Figure 3B–C)</w:t>
      </w:r>
      <w:r>
        <w:rPr>
          <w:rFonts w:ascii="Cambria" w:hAnsi="Cambria"/>
          <w:bCs/>
          <w:lang w:eastAsia="en-AU"/>
        </w:rPr>
        <w:t xml:space="preserve">. </w:t>
      </w:r>
      <w:r w:rsidR="00835824">
        <w:rPr>
          <w:rFonts w:ascii="Cambria" w:hAnsi="Cambria"/>
          <w:bCs/>
          <w:lang w:eastAsia="en-AU"/>
        </w:rPr>
        <w:t>For example, l</w:t>
      </w:r>
      <w:r>
        <w:rPr>
          <w:rFonts w:ascii="Cambria" w:hAnsi="Cambria" w:cs="AdvTimes"/>
        </w:rPr>
        <w:t>eaf mottling, blistering and distortion (Figure 3A), and stunted growt</w:t>
      </w:r>
      <w:r w:rsidR="00663AA6">
        <w:rPr>
          <w:rFonts w:ascii="Cambria" w:hAnsi="Cambria" w:cs="AdvTimes"/>
        </w:rPr>
        <w:t xml:space="preserve">h have been observed on cucumbers </w:t>
      </w:r>
      <w:r>
        <w:rPr>
          <w:rFonts w:ascii="Cambria" w:hAnsi="Cambria" w:cs="AdvTimes"/>
        </w:rPr>
        <w:t xml:space="preserve">infected with type strain CV3 (Hollings et al. 1975; Ling et al. 2014; AMA 2015). The </w:t>
      </w:r>
      <w:r>
        <w:rPr>
          <w:rFonts w:ascii="Cambria" w:hAnsi="Cambria"/>
          <w:bCs/>
          <w:lang w:eastAsia="en-AU"/>
        </w:rPr>
        <w:t>Indian bottle gourd strain C can cause blister-mottle, stunting and crop losses (Hollings et al. 1975). Several Greek isolates showed symptoms of higher severity and have a wider host range, compared with other described CGMMV isolates (</w:t>
      </w:r>
      <w:proofErr w:type="spellStart"/>
      <w:r>
        <w:rPr>
          <w:rFonts w:ascii="Cambria" w:hAnsi="Cambria"/>
          <w:bCs/>
          <w:lang w:eastAsia="en-AU"/>
        </w:rPr>
        <w:t>Boubourakas</w:t>
      </w:r>
      <w:proofErr w:type="spellEnd"/>
      <w:r>
        <w:rPr>
          <w:rFonts w:ascii="Cambria" w:hAnsi="Cambria"/>
          <w:bCs/>
          <w:lang w:eastAsia="en-AU"/>
        </w:rPr>
        <w:t xml:space="preserve"> et al. 2004)</w:t>
      </w:r>
      <w:r>
        <w:rPr>
          <w:rFonts w:ascii="Cambria" w:hAnsi="Cambria" w:cs="AdvTimes"/>
        </w:rPr>
        <w:t xml:space="preserve">. </w:t>
      </w:r>
    </w:p>
    <w:p w14:paraId="40B129C3" w14:textId="65327D82" w:rsidR="008163B6" w:rsidRDefault="00F709BD" w:rsidP="009F2896">
      <w:pPr>
        <w:pStyle w:val="Caption"/>
        <w:keepNext w:val="0"/>
        <w:spacing w:before="120"/>
        <w:rPr>
          <w:rFonts w:asciiTheme="majorHAnsi" w:eastAsiaTheme="majorEastAsia" w:hAnsiTheme="majorHAnsi" w:cstheme="majorBidi"/>
          <w:color w:val="595959" w:themeColor="text1" w:themeTint="A6"/>
          <w:sz w:val="20"/>
        </w:rPr>
      </w:pPr>
      <w:bookmarkStart w:id="217" w:name="_Toc432187256"/>
      <w:bookmarkStart w:id="218" w:name="_Toc432763627"/>
      <w:bookmarkStart w:id="219" w:name="_Toc432763831"/>
      <w:bookmarkStart w:id="220" w:name="_Toc433710205"/>
      <w:bookmarkStart w:id="221" w:name="_Toc434315817"/>
      <w:bookmarkStart w:id="222" w:name="_Toc438132835"/>
      <w:bookmarkStart w:id="223" w:name="_Toc438202141"/>
      <w:bookmarkStart w:id="224" w:name="_Toc438549529"/>
      <w:bookmarkStart w:id="225" w:name="_Toc438549616"/>
      <w:bookmarkStart w:id="226" w:name="_Toc439661076"/>
      <w:bookmarkStart w:id="227" w:name="_Toc447541250"/>
      <w:bookmarkStart w:id="228" w:name="_Toc447541269"/>
      <w:r>
        <w:rPr>
          <w:rFonts w:asciiTheme="majorHAnsi" w:eastAsiaTheme="majorEastAsia" w:hAnsiTheme="majorHAnsi" w:cstheme="majorBidi"/>
          <w:color w:val="595959" w:themeColor="text1" w:themeTint="A6"/>
          <w:sz w:val="20"/>
        </w:rPr>
        <w:t xml:space="preserve">Figure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Figure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3</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CGMMV symptoms on cucumber leaves and fruits: (A) leaf mottling and chlorosis; (B) fruit blistering and mottling; and (C) fruit distortion</w:t>
      </w:r>
      <w:bookmarkEnd w:id="217"/>
      <w:bookmarkEnd w:id="218"/>
      <w:bookmarkEnd w:id="219"/>
      <w:bookmarkEnd w:id="220"/>
      <w:bookmarkEnd w:id="221"/>
      <w:bookmarkEnd w:id="222"/>
      <w:bookmarkEnd w:id="223"/>
      <w:bookmarkEnd w:id="224"/>
      <w:bookmarkEnd w:id="225"/>
      <w:bookmarkEnd w:id="226"/>
      <w:bookmarkEnd w:id="227"/>
      <w:bookmarkEnd w:id="228"/>
    </w:p>
    <w:p w14:paraId="679C0550" w14:textId="77777777" w:rsidR="008163B6" w:rsidRDefault="00F709BD">
      <w:pPr>
        <w:jc w:val="center"/>
      </w:pPr>
      <w:r>
        <w:rPr>
          <w:noProof/>
          <w:lang w:eastAsia="en-AU"/>
        </w:rPr>
        <w:drawing>
          <wp:inline distT="0" distB="0" distL="0" distR="0" wp14:anchorId="2A86C48C" wp14:editId="0F2F0435">
            <wp:extent cx="5102860" cy="1647573"/>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102860" cy="1647573"/>
                    </a:xfrm>
                    <a:prstGeom prst="rect">
                      <a:avLst/>
                    </a:prstGeom>
                    <a:noFill/>
                    <a:ln w="9525">
                      <a:noFill/>
                      <a:miter lim="800000"/>
                      <a:headEnd/>
                      <a:tailEnd/>
                    </a:ln>
                  </pic:spPr>
                </pic:pic>
              </a:graphicData>
            </a:graphic>
          </wp:inline>
        </w:drawing>
      </w:r>
    </w:p>
    <w:p w14:paraId="6784C858" w14:textId="11BFC3EB" w:rsidR="008163B6" w:rsidRDefault="00F709BD" w:rsidP="008163B6">
      <w:pPr>
        <w:rPr>
          <w:rFonts w:ascii="Cambria" w:hAnsi="Cambria" w:cs="Calibri,Bold"/>
          <w:bCs/>
          <w:sz w:val="18"/>
          <w:szCs w:val="18"/>
        </w:rPr>
      </w:pPr>
      <w:r>
        <w:rPr>
          <w:rFonts w:ascii="Cambria" w:hAnsi="Cambria" w:cs="Calibri,Bold"/>
          <w:bCs/>
          <w:sz w:val="18"/>
          <w:szCs w:val="18"/>
        </w:rPr>
        <w:t xml:space="preserve">Source: AMA </w:t>
      </w:r>
      <w:r w:rsidR="00C536DD">
        <w:rPr>
          <w:rFonts w:ascii="Cambria" w:hAnsi="Cambria" w:cs="Calibri,Bold"/>
          <w:bCs/>
          <w:sz w:val="18"/>
          <w:szCs w:val="18"/>
        </w:rPr>
        <w:t>(</w:t>
      </w:r>
      <w:r>
        <w:rPr>
          <w:rFonts w:ascii="Cambria" w:hAnsi="Cambria" w:cs="Calibri,Bold"/>
          <w:bCs/>
          <w:sz w:val="18"/>
          <w:szCs w:val="18"/>
        </w:rPr>
        <w:t>2015</w:t>
      </w:r>
      <w:r w:rsidR="00C536DD">
        <w:rPr>
          <w:rFonts w:ascii="Cambria" w:hAnsi="Cambria" w:cs="Calibri,Bold"/>
          <w:bCs/>
          <w:sz w:val="18"/>
          <w:szCs w:val="18"/>
        </w:rPr>
        <w:t>)</w:t>
      </w:r>
      <w:r>
        <w:rPr>
          <w:rFonts w:ascii="Cambria" w:hAnsi="Cambria" w:cs="Calibri,Bold"/>
          <w:bCs/>
          <w:sz w:val="18"/>
          <w:szCs w:val="18"/>
        </w:rPr>
        <w:t xml:space="preserve">; Liu et al. </w:t>
      </w:r>
      <w:r w:rsidR="00C536DD">
        <w:rPr>
          <w:rFonts w:ascii="Cambria" w:hAnsi="Cambria" w:cs="Calibri,Bold"/>
          <w:bCs/>
          <w:sz w:val="18"/>
          <w:szCs w:val="18"/>
        </w:rPr>
        <w:t>(</w:t>
      </w:r>
      <w:r>
        <w:rPr>
          <w:rFonts w:ascii="Cambria" w:hAnsi="Cambria" w:cs="Calibri,Bold"/>
          <w:bCs/>
          <w:sz w:val="18"/>
          <w:szCs w:val="18"/>
        </w:rPr>
        <w:t>2014</w:t>
      </w:r>
      <w:r w:rsidR="00C536DD">
        <w:rPr>
          <w:rFonts w:ascii="Cambria" w:hAnsi="Cambria" w:cs="Calibri,Bold"/>
          <w:bCs/>
          <w:sz w:val="18"/>
          <w:szCs w:val="18"/>
        </w:rPr>
        <w:t>)</w:t>
      </w:r>
      <w:r>
        <w:rPr>
          <w:rFonts w:ascii="Cambria" w:hAnsi="Cambria" w:cs="Calibri,Bold"/>
          <w:bCs/>
          <w:sz w:val="18"/>
          <w:szCs w:val="18"/>
        </w:rPr>
        <w:t>.</w:t>
      </w:r>
    </w:p>
    <w:p w14:paraId="6C06C297" w14:textId="391B4B35" w:rsidR="00A3435C" w:rsidRDefault="00C536DD" w:rsidP="00C536DD">
      <w:pPr>
        <w:pStyle w:val="Heading3"/>
        <w:keepLines/>
        <w:spacing w:before="200" w:after="200"/>
        <w:rPr>
          <w:rFonts w:ascii="Calibri" w:hAnsi="Calibri" w:cstheme="minorBidi"/>
          <w:sz w:val="24"/>
          <w:szCs w:val="22"/>
        </w:rPr>
      </w:pPr>
      <w:bookmarkStart w:id="229" w:name="_Toc447540796"/>
      <w:r>
        <w:rPr>
          <w:rFonts w:ascii="Calibri" w:hAnsi="Calibri" w:cstheme="minorBidi"/>
          <w:sz w:val="24"/>
          <w:szCs w:val="22"/>
        </w:rPr>
        <w:t xml:space="preserve">Symptoms caused by CGMMV </w:t>
      </w:r>
      <w:r w:rsidR="001C5698">
        <w:rPr>
          <w:rFonts w:ascii="Calibri" w:hAnsi="Calibri" w:cstheme="minorBidi"/>
          <w:sz w:val="24"/>
          <w:szCs w:val="22"/>
        </w:rPr>
        <w:t>o</w:t>
      </w:r>
      <w:r w:rsidR="00A3435C" w:rsidRPr="008163B6">
        <w:rPr>
          <w:rFonts w:ascii="Calibri" w:hAnsi="Calibri" w:cstheme="minorBidi"/>
          <w:sz w:val="24"/>
          <w:szCs w:val="22"/>
        </w:rPr>
        <w:t xml:space="preserve">n </w:t>
      </w:r>
      <w:r>
        <w:rPr>
          <w:rFonts w:ascii="Calibri" w:hAnsi="Calibri" w:cstheme="minorBidi"/>
          <w:sz w:val="24"/>
          <w:szCs w:val="22"/>
        </w:rPr>
        <w:t>other seed-borne hosts</w:t>
      </w:r>
      <w:bookmarkEnd w:id="229"/>
    </w:p>
    <w:p w14:paraId="13E7C118" w14:textId="6BD534C3" w:rsidR="008163B6" w:rsidRDefault="00A3435C" w:rsidP="00C536DD">
      <w:pPr>
        <w:spacing w:before="120" w:after="120" w:line="276" w:lineRule="auto"/>
        <w:rPr>
          <w:rFonts w:ascii="Cambria" w:hAnsi="Cambria"/>
          <w:bCs/>
          <w:lang w:eastAsia="en-AU"/>
        </w:rPr>
      </w:pPr>
      <w:r>
        <w:rPr>
          <w:rFonts w:ascii="Cambria" w:hAnsi="Cambria"/>
          <w:bCs/>
          <w:i/>
          <w:lang w:eastAsia="en-AU"/>
        </w:rPr>
        <w:t xml:space="preserve">Cucurbita maxima </w:t>
      </w:r>
      <w:r w:rsidR="00704B96">
        <w:rPr>
          <w:rFonts w:ascii="Cambria" w:hAnsi="Cambria"/>
          <w:bCs/>
          <w:lang w:eastAsia="en-AU"/>
        </w:rPr>
        <w:t>has only recently been reported to be a natural host of CGMMV</w:t>
      </w:r>
      <w:r>
        <w:rPr>
          <w:rFonts w:ascii="Cambria" w:hAnsi="Cambria"/>
          <w:bCs/>
          <w:lang w:eastAsia="en-AU"/>
        </w:rPr>
        <w:t xml:space="preserve"> (</w:t>
      </w:r>
      <w:r w:rsidRPr="00A3435C">
        <w:rPr>
          <w:rFonts w:ascii="Cambria" w:hAnsi="Cambria"/>
          <w:bCs/>
          <w:lang w:eastAsia="en-AU"/>
        </w:rPr>
        <w:t>Stephen West [</w:t>
      </w:r>
      <w:r w:rsidR="00326368">
        <w:rPr>
          <w:rFonts w:ascii="Cambria" w:hAnsi="Cambria"/>
          <w:bCs/>
          <w:lang w:eastAsia="en-AU"/>
        </w:rPr>
        <w:t>DPIF</w:t>
      </w:r>
      <w:r w:rsidRPr="00A3435C">
        <w:rPr>
          <w:rFonts w:ascii="Cambria" w:hAnsi="Cambria"/>
          <w:bCs/>
          <w:lang w:eastAsia="en-AU"/>
        </w:rPr>
        <w:t>] 2015, pers. comm., 9 September</w:t>
      </w:r>
      <w:r>
        <w:rPr>
          <w:rFonts w:ascii="Cambria" w:hAnsi="Cambria"/>
          <w:bCs/>
          <w:lang w:eastAsia="en-AU"/>
        </w:rPr>
        <w:t>)</w:t>
      </w:r>
      <w:r w:rsidR="00704B96">
        <w:rPr>
          <w:rFonts w:ascii="Cambria" w:hAnsi="Cambria"/>
          <w:bCs/>
          <w:lang w:eastAsia="en-AU"/>
        </w:rPr>
        <w:t xml:space="preserve">. This virus was reported to be associated with </w:t>
      </w:r>
      <w:r w:rsidR="00704B96">
        <w:rPr>
          <w:rFonts w:ascii="Cambria" w:hAnsi="Cambria"/>
          <w:bCs/>
          <w:i/>
          <w:lang w:eastAsia="en-AU"/>
        </w:rPr>
        <w:t>C.</w:t>
      </w:r>
      <w:r w:rsidR="009E2AA1">
        <w:rPr>
          <w:rFonts w:ascii="Cambria" w:hAnsi="Cambria"/>
          <w:bCs/>
          <w:i/>
          <w:lang w:eastAsia="en-AU"/>
        </w:rPr>
        <w:t> </w:t>
      </w:r>
      <w:r w:rsidR="00704B96">
        <w:rPr>
          <w:rFonts w:ascii="Cambria" w:hAnsi="Cambria"/>
          <w:bCs/>
          <w:i/>
          <w:lang w:eastAsia="en-AU"/>
        </w:rPr>
        <w:t>maxima</w:t>
      </w:r>
      <w:r w:rsidR="00704B96">
        <w:rPr>
          <w:rFonts w:ascii="Cambria" w:hAnsi="Cambria"/>
          <w:bCs/>
          <w:lang w:eastAsia="en-AU"/>
        </w:rPr>
        <w:t xml:space="preserve"> </w:t>
      </w:r>
      <w:r>
        <w:rPr>
          <w:rFonts w:ascii="Cambria" w:hAnsi="Cambria"/>
          <w:bCs/>
          <w:lang w:eastAsia="en-AU"/>
        </w:rPr>
        <w:t>seeds</w:t>
      </w:r>
      <w:r w:rsidR="00704B96">
        <w:rPr>
          <w:rFonts w:ascii="Cambria" w:hAnsi="Cambria"/>
          <w:bCs/>
          <w:lang w:eastAsia="en-AU"/>
        </w:rPr>
        <w:t xml:space="preserve"> for sowing for the first time in December 2015</w:t>
      </w:r>
      <w:r>
        <w:rPr>
          <w:rFonts w:ascii="Cambria" w:hAnsi="Cambria"/>
          <w:bCs/>
          <w:lang w:eastAsia="en-AU"/>
        </w:rPr>
        <w:t xml:space="preserve"> (</w:t>
      </w:r>
      <w:r w:rsidR="00704B96">
        <w:rPr>
          <w:rFonts w:ascii="Cambria" w:hAnsi="Cambria"/>
          <w:bCs/>
          <w:lang w:eastAsia="en-AU"/>
        </w:rPr>
        <w:t>Fiona Constable [</w:t>
      </w:r>
      <w:r w:rsidR="00704B96" w:rsidRPr="0070635C">
        <w:rPr>
          <w:rFonts w:asciiTheme="majorHAnsi" w:hAnsiTheme="majorHAnsi"/>
          <w:iCs/>
          <w:szCs w:val="18"/>
        </w:rPr>
        <w:t>D</w:t>
      </w:r>
      <w:r w:rsidR="00326368">
        <w:rPr>
          <w:rFonts w:asciiTheme="majorHAnsi" w:hAnsiTheme="majorHAnsi"/>
          <w:iCs/>
          <w:szCs w:val="18"/>
        </w:rPr>
        <w:t>EDJTR</w:t>
      </w:r>
      <w:r w:rsidR="00704B96">
        <w:rPr>
          <w:rFonts w:asciiTheme="majorHAnsi" w:hAnsiTheme="majorHAnsi"/>
          <w:iCs/>
          <w:szCs w:val="18"/>
        </w:rPr>
        <w:t>] 2015, pers. comm., 2 December</w:t>
      </w:r>
      <w:r>
        <w:rPr>
          <w:rFonts w:ascii="Cambria" w:hAnsi="Cambria"/>
          <w:bCs/>
          <w:lang w:eastAsia="en-AU"/>
        </w:rPr>
        <w:t>)</w:t>
      </w:r>
      <w:r w:rsidR="00704B96">
        <w:rPr>
          <w:rFonts w:ascii="Cambria" w:hAnsi="Cambria"/>
          <w:bCs/>
          <w:lang w:eastAsia="en-AU"/>
        </w:rPr>
        <w:t xml:space="preserve">. The symptoms of this virus in </w:t>
      </w:r>
      <w:r w:rsidR="00704B96">
        <w:rPr>
          <w:rFonts w:ascii="Cambria" w:hAnsi="Cambria"/>
          <w:bCs/>
          <w:i/>
          <w:lang w:eastAsia="en-AU"/>
        </w:rPr>
        <w:t>C. maxima</w:t>
      </w:r>
      <w:r w:rsidR="00704B96">
        <w:rPr>
          <w:rFonts w:ascii="Cambria" w:hAnsi="Cambria"/>
          <w:bCs/>
          <w:lang w:eastAsia="en-AU"/>
        </w:rPr>
        <w:t xml:space="preserve"> are not reported.</w:t>
      </w:r>
      <w:r w:rsidR="00B423D7">
        <w:rPr>
          <w:rFonts w:ascii="Cambria" w:hAnsi="Cambria"/>
          <w:bCs/>
          <w:lang w:eastAsia="en-AU"/>
        </w:rPr>
        <w:t xml:space="preserve"> CGMMV is reported to cause systemic mosaic symptoms in </w:t>
      </w:r>
      <w:r w:rsidR="00B423D7">
        <w:rPr>
          <w:rFonts w:ascii="Cambria" w:hAnsi="Cambria"/>
          <w:bCs/>
          <w:i/>
          <w:lang w:eastAsia="en-AU"/>
        </w:rPr>
        <w:t xml:space="preserve">Cucurbita moschata </w:t>
      </w:r>
      <w:r w:rsidR="00B423D7">
        <w:rPr>
          <w:rFonts w:ascii="Cambria" w:hAnsi="Cambria"/>
          <w:bCs/>
          <w:lang w:eastAsia="en-AU"/>
        </w:rPr>
        <w:t xml:space="preserve">(Zhou et al. 2008). </w:t>
      </w:r>
      <w:r w:rsidR="00AE0FE9">
        <w:rPr>
          <w:rFonts w:ascii="Cambria" w:hAnsi="Cambria"/>
          <w:bCs/>
          <w:lang w:eastAsia="en-AU"/>
        </w:rPr>
        <w:t xml:space="preserve">Under experimental conditions, symptomless </w:t>
      </w:r>
      <w:r w:rsidR="00A4312F">
        <w:rPr>
          <w:rFonts w:ascii="Cambria" w:hAnsi="Cambria"/>
          <w:bCs/>
          <w:lang w:eastAsia="en-AU"/>
        </w:rPr>
        <w:t xml:space="preserve">CGMMV </w:t>
      </w:r>
      <w:r w:rsidR="00AE0FE9">
        <w:rPr>
          <w:rFonts w:ascii="Cambria" w:hAnsi="Cambria"/>
          <w:bCs/>
          <w:lang w:eastAsia="en-AU"/>
        </w:rPr>
        <w:t xml:space="preserve">infection of </w:t>
      </w:r>
      <w:r w:rsidR="00AE0FE9">
        <w:rPr>
          <w:rFonts w:ascii="Cambria" w:hAnsi="Cambria"/>
          <w:bCs/>
          <w:i/>
          <w:lang w:eastAsia="en-AU"/>
        </w:rPr>
        <w:t>Cucurbita moschata</w:t>
      </w:r>
      <w:r w:rsidR="00A4312F">
        <w:rPr>
          <w:rFonts w:ascii="Cambria" w:hAnsi="Cambria"/>
          <w:bCs/>
          <w:i/>
          <w:lang w:eastAsia="en-AU"/>
        </w:rPr>
        <w:t xml:space="preserve"> </w:t>
      </w:r>
      <w:r w:rsidR="00A4312F">
        <w:rPr>
          <w:rFonts w:ascii="Cambria" w:hAnsi="Cambria"/>
          <w:bCs/>
          <w:lang w:eastAsia="en-AU"/>
        </w:rPr>
        <w:t>has also been reported</w:t>
      </w:r>
      <w:r w:rsidR="00AE0FE9">
        <w:rPr>
          <w:rFonts w:ascii="Cambria" w:hAnsi="Cambria"/>
          <w:bCs/>
          <w:lang w:eastAsia="en-AU"/>
        </w:rPr>
        <w:t xml:space="preserve"> (</w:t>
      </w:r>
      <w:proofErr w:type="spellStart"/>
      <w:r w:rsidR="00AE0FE9">
        <w:rPr>
          <w:rFonts w:ascii="Cambria" w:hAnsi="Cambria"/>
          <w:bCs/>
          <w:lang w:eastAsia="en-AU"/>
        </w:rPr>
        <w:t>Moradi</w:t>
      </w:r>
      <w:proofErr w:type="spellEnd"/>
      <w:r w:rsidR="00AE0FE9">
        <w:rPr>
          <w:rFonts w:ascii="Cambria" w:hAnsi="Cambria"/>
          <w:bCs/>
          <w:lang w:eastAsia="en-AU"/>
        </w:rPr>
        <w:t xml:space="preserve"> &amp; </w:t>
      </w:r>
      <w:proofErr w:type="spellStart"/>
      <w:r w:rsidR="00AE0FE9">
        <w:rPr>
          <w:rFonts w:ascii="Cambria" w:hAnsi="Cambria"/>
          <w:bCs/>
          <w:lang w:eastAsia="en-AU"/>
        </w:rPr>
        <w:t>Jafarpour</w:t>
      </w:r>
      <w:proofErr w:type="spellEnd"/>
      <w:r w:rsidR="00AE0FE9">
        <w:rPr>
          <w:rFonts w:ascii="Cambria" w:hAnsi="Cambria"/>
          <w:bCs/>
          <w:lang w:eastAsia="en-AU"/>
        </w:rPr>
        <w:t xml:space="preserve"> 2010).</w:t>
      </w:r>
      <w:r w:rsidR="00C536DD">
        <w:rPr>
          <w:rFonts w:ascii="Cambria" w:hAnsi="Cambria"/>
          <w:bCs/>
          <w:lang w:eastAsia="en-AU"/>
        </w:rPr>
        <w:t xml:space="preserve"> In </w:t>
      </w:r>
      <w:r w:rsidR="00C536DD" w:rsidRPr="00C536DD">
        <w:rPr>
          <w:rFonts w:ascii="Cambria" w:hAnsi="Cambria"/>
          <w:bCs/>
          <w:i/>
          <w:lang w:eastAsia="en-AU"/>
        </w:rPr>
        <w:t>Cucurbita pepo</w:t>
      </w:r>
      <w:r w:rsidR="00C536DD">
        <w:rPr>
          <w:rFonts w:ascii="Cambria" w:hAnsi="Cambria"/>
          <w:bCs/>
          <w:lang w:eastAsia="en-AU"/>
        </w:rPr>
        <w:t xml:space="preserve">, </w:t>
      </w:r>
      <w:r w:rsidR="00F709BD">
        <w:rPr>
          <w:rFonts w:ascii="Cambria" w:hAnsi="Cambria"/>
          <w:bCs/>
          <w:lang w:eastAsia="en-AU"/>
        </w:rPr>
        <w:t xml:space="preserve">CGMMV is reported to cause systemic chlorotic spots, systemic mosaic symptoms, leaf mottle and leaf vein yellowing symptoms (Qin et al. 2005; </w:t>
      </w:r>
      <w:proofErr w:type="spellStart"/>
      <w:r w:rsidR="00F709BD">
        <w:rPr>
          <w:rFonts w:ascii="Cambria" w:hAnsi="Cambria"/>
          <w:bCs/>
          <w:lang w:eastAsia="en-AU"/>
        </w:rPr>
        <w:t>Nontajak</w:t>
      </w:r>
      <w:proofErr w:type="spellEnd"/>
      <w:r w:rsidR="00F709BD">
        <w:rPr>
          <w:rFonts w:ascii="Cambria" w:hAnsi="Cambria"/>
          <w:bCs/>
          <w:lang w:eastAsia="en-AU"/>
        </w:rPr>
        <w:t xml:space="preserve"> et al. 2014) (Figure 4A and 4B). This virus has been detected on the seeds of symptomless </w:t>
      </w:r>
      <w:r w:rsidR="00F709BD">
        <w:rPr>
          <w:rFonts w:ascii="Cambria" w:hAnsi="Cambria"/>
          <w:bCs/>
          <w:i/>
          <w:lang w:eastAsia="en-AU"/>
        </w:rPr>
        <w:t xml:space="preserve">Cucurbita pepo </w:t>
      </w:r>
      <w:r w:rsidR="00F709BD">
        <w:rPr>
          <w:rFonts w:ascii="Cambria" w:hAnsi="Cambria"/>
          <w:bCs/>
          <w:lang w:eastAsia="en-AU"/>
        </w:rPr>
        <w:t>fruit (Al-</w:t>
      </w:r>
      <w:proofErr w:type="spellStart"/>
      <w:r w:rsidR="00F709BD">
        <w:rPr>
          <w:rFonts w:ascii="Cambria" w:hAnsi="Cambria"/>
          <w:bCs/>
          <w:lang w:eastAsia="en-AU"/>
        </w:rPr>
        <w:t>Tamimi</w:t>
      </w:r>
      <w:proofErr w:type="spellEnd"/>
      <w:r w:rsidR="00F709BD">
        <w:rPr>
          <w:rFonts w:ascii="Cambria" w:hAnsi="Cambria"/>
          <w:bCs/>
          <w:lang w:eastAsia="en-AU"/>
        </w:rPr>
        <w:t xml:space="preserve"> et al. 2009).</w:t>
      </w:r>
    </w:p>
    <w:p w14:paraId="3CE766CC" w14:textId="04CBD5DB" w:rsidR="008163B6" w:rsidRDefault="008163B6" w:rsidP="009F2896">
      <w:pPr>
        <w:pStyle w:val="Caption"/>
        <w:rPr>
          <w:rFonts w:asciiTheme="majorHAnsi" w:eastAsiaTheme="majorEastAsia" w:hAnsiTheme="majorHAnsi" w:cstheme="majorBidi"/>
          <w:color w:val="595959" w:themeColor="text1" w:themeTint="A6"/>
          <w:sz w:val="20"/>
        </w:rPr>
      </w:pPr>
      <w:bookmarkStart w:id="230" w:name="_Toc438132836"/>
      <w:bookmarkStart w:id="231" w:name="_Toc438202142"/>
      <w:bookmarkStart w:id="232" w:name="_Toc438549530"/>
      <w:bookmarkStart w:id="233" w:name="_Toc438549617"/>
      <w:bookmarkStart w:id="234" w:name="_Toc439661077"/>
      <w:bookmarkStart w:id="235" w:name="_Toc447541251"/>
      <w:bookmarkStart w:id="236" w:name="_Toc447541270"/>
      <w:r w:rsidRPr="008163B6">
        <w:rPr>
          <w:rFonts w:asciiTheme="majorHAnsi" w:eastAsiaTheme="majorEastAsia" w:hAnsiTheme="majorHAnsi" w:cstheme="majorBidi"/>
          <w:color w:val="595959" w:themeColor="text1" w:themeTint="A6"/>
          <w:sz w:val="20"/>
        </w:rPr>
        <w:t xml:space="preserve">Figure </w:t>
      </w:r>
      <w:r w:rsidR="00F709BD">
        <w:rPr>
          <w:rFonts w:asciiTheme="majorHAnsi" w:eastAsiaTheme="majorEastAsia" w:hAnsiTheme="majorHAnsi" w:cstheme="majorBidi"/>
          <w:color w:val="595959" w:themeColor="text1" w:themeTint="A6"/>
          <w:sz w:val="20"/>
        </w:rPr>
        <w:t>4</w:t>
      </w:r>
      <w:r w:rsidRPr="008163B6">
        <w:rPr>
          <w:rFonts w:asciiTheme="majorHAnsi" w:eastAsiaTheme="majorEastAsia" w:hAnsiTheme="majorHAnsi" w:cstheme="majorBidi"/>
          <w:color w:val="595959" w:themeColor="text1" w:themeTint="A6"/>
          <w:sz w:val="20"/>
        </w:rPr>
        <w:t xml:space="preserve"> CGMMV </w:t>
      </w:r>
      <w:r w:rsidR="00F709BD">
        <w:rPr>
          <w:rFonts w:asciiTheme="majorHAnsi" w:eastAsiaTheme="majorEastAsia" w:hAnsiTheme="majorHAnsi" w:cstheme="majorBidi"/>
          <w:color w:val="595959" w:themeColor="text1" w:themeTint="A6"/>
          <w:sz w:val="20"/>
        </w:rPr>
        <w:t>symptoms in zucchini: (A) mild mosaic leaf symptoms and (B) i</w:t>
      </w:r>
      <w:r w:rsidRPr="008163B6">
        <w:rPr>
          <w:rFonts w:asciiTheme="majorHAnsi" w:eastAsiaTheme="majorEastAsia" w:hAnsiTheme="majorHAnsi" w:cstheme="majorBidi"/>
          <w:color w:val="595959" w:themeColor="text1" w:themeTint="A6"/>
          <w:sz w:val="20"/>
        </w:rPr>
        <w:t xml:space="preserve">nternal vein yellowing </w:t>
      </w:r>
      <w:r w:rsidR="00F709BD">
        <w:rPr>
          <w:rFonts w:asciiTheme="majorHAnsi" w:eastAsiaTheme="majorEastAsia" w:hAnsiTheme="majorHAnsi" w:cstheme="majorBidi"/>
          <w:color w:val="595959" w:themeColor="text1" w:themeTint="A6"/>
          <w:sz w:val="20"/>
        </w:rPr>
        <w:t>leaf symptoms</w:t>
      </w:r>
      <w:bookmarkEnd w:id="230"/>
      <w:bookmarkEnd w:id="231"/>
      <w:bookmarkEnd w:id="232"/>
      <w:bookmarkEnd w:id="233"/>
      <w:bookmarkEnd w:id="234"/>
      <w:bookmarkEnd w:id="235"/>
      <w:bookmarkEnd w:id="236"/>
    </w:p>
    <w:p w14:paraId="145F78FA" w14:textId="77777777" w:rsidR="008163B6" w:rsidRDefault="00F709BD" w:rsidP="008163B6">
      <w:pPr>
        <w:jc w:val="center"/>
        <w:rPr>
          <w:rFonts w:ascii="Cambria" w:hAnsi="Cambria"/>
          <w:bCs/>
          <w:lang w:eastAsia="en-AU"/>
        </w:rPr>
      </w:pPr>
      <w:r>
        <w:rPr>
          <w:noProof/>
          <w:lang w:eastAsia="en-AU"/>
        </w:rPr>
        <w:drawing>
          <wp:inline distT="0" distB="0" distL="0" distR="0" wp14:anchorId="19C11476" wp14:editId="1F3AB6FB">
            <wp:extent cx="4098704" cy="149760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4098186" cy="1497416"/>
                    </a:xfrm>
                    <a:prstGeom prst="rect">
                      <a:avLst/>
                    </a:prstGeom>
                    <a:noFill/>
                    <a:ln w="9525">
                      <a:noFill/>
                      <a:miter lim="800000"/>
                      <a:headEnd/>
                      <a:tailEnd/>
                    </a:ln>
                  </pic:spPr>
                </pic:pic>
              </a:graphicData>
            </a:graphic>
          </wp:inline>
        </w:drawing>
      </w:r>
    </w:p>
    <w:p w14:paraId="2DB0D2A2" w14:textId="37A9B0D6" w:rsidR="008163B6" w:rsidRDefault="00F709BD">
      <w:pPr>
        <w:autoSpaceDE w:val="0"/>
        <w:autoSpaceDN w:val="0"/>
        <w:adjustRightInd w:val="0"/>
        <w:spacing w:before="120" w:after="0"/>
        <w:rPr>
          <w:rFonts w:ascii="Cambria" w:hAnsi="Cambria" w:cs="Calibri,Bold"/>
          <w:bCs/>
          <w:sz w:val="18"/>
          <w:szCs w:val="18"/>
        </w:rPr>
      </w:pPr>
      <w:r>
        <w:rPr>
          <w:rFonts w:ascii="Cambria" w:hAnsi="Cambria" w:cs="Calibri,Bold"/>
          <w:bCs/>
          <w:sz w:val="18"/>
          <w:szCs w:val="18"/>
        </w:rPr>
        <w:t xml:space="preserve">Source: </w:t>
      </w:r>
      <w:proofErr w:type="spellStart"/>
      <w:r>
        <w:rPr>
          <w:rFonts w:ascii="Cambria" w:hAnsi="Cambria" w:cs="Calibri,Bold"/>
          <w:bCs/>
          <w:sz w:val="18"/>
          <w:szCs w:val="18"/>
        </w:rPr>
        <w:t>Nontajak</w:t>
      </w:r>
      <w:proofErr w:type="spellEnd"/>
      <w:r>
        <w:rPr>
          <w:rFonts w:ascii="Cambria" w:hAnsi="Cambria" w:cs="Calibri,Bold"/>
          <w:bCs/>
          <w:sz w:val="18"/>
          <w:szCs w:val="18"/>
        </w:rPr>
        <w:t xml:space="preserve"> et al. </w:t>
      </w:r>
      <w:r w:rsidR="00C536DD">
        <w:rPr>
          <w:rFonts w:ascii="Cambria" w:hAnsi="Cambria" w:cs="Calibri,Bold"/>
          <w:bCs/>
          <w:sz w:val="18"/>
          <w:szCs w:val="18"/>
        </w:rPr>
        <w:t>(</w:t>
      </w:r>
      <w:r>
        <w:rPr>
          <w:rFonts w:ascii="Cambria" w:hAnsi="Cambria" w:cs="Calibri,Bold"/>
          <w:bCs/>
          <w:sz w:val="18"/>
          <w:szCs w:val="18"/>
        </w:rPr>
        <w:t>2014</w:t>
      </w:r>
      <w:r w:rsidR="00C536DD">
        <w:rPr>
          <w:rFonts w:ascii="Cambria" w:hAnsi="Cambria" w:cs="Calibri,Bold"/>
          <w:bCs/>
          <w:sz w:val="18"/>
          <w:szCs w:val="18"/>
        </w:rPr>
        <w:t>)</w:t>
      </w:r>
      <w:r w:rsidR="00ED2894">
        <w:rPr>
          <w:rFonts w:ascii="Cambria" w:hAnsi="Cambria" w:cs="Calibri,Bold"/>
          <w:bCs/>
          <w:sz w:val="18"/>
          <w:szCs w:val="18"/>
        </w:rPr>
        <w:t>.</w:t>
      </w:r>
      <w:r>
        <w:rPr>
          <w:rFonts w:ascii="Cambria" w:hAnsi="Cambria" w:cs="Calibri,Bold"/>
          <w:bCs/>
          <w:sz w:val="18"/>
          <w:szCs w:val="18"/>
        </w:rPr>
        <w:t xml:space="preserve"> </w:t>
      </w:r>
    </w:p>
    <w:p w14:paraId="18FA67AA" w14:textId="189E46BA" w:rsidR="00C536DD" w:rsidRDefault="00F709BD" w:rsidP="00C536DD">
      <w:pPr>
        <w:autoSpaceDE w:val="0"/>
        <w:autoSpaceDN w:val="0"/>
        <w:adjustRightInd w:val="0"/>
        <w:spacing w:before="120" w:after="120" w:line="276" w:lineRule="auto"/>
        <w:rPr>
          <w:rFonts w:ascii="Cambria" w:hAnsi="Cambria"/>
          <w:bCs/>
          <w:lang w:eastAsia="en-AU"/>
        </w:rPr>
      </w:pPr>
      <w:r>
        <w:rPr>
          <w:rFonts w:ascii="Cambria" w:hAnsi="Cambria"/>
          <w:bCs/>
          <w:lang w:eastAsia="en-AU"/>
        </w:rPr>
        <w:t>In bottle gourd</w:t>
      </w:r>
      <w:r w:rsidR="00C536DD">
        <w:rPr>
          <w:rFonts w:ascii="Cambria" w:hAnsi="Cambria"/>
          <w:bCs/>
          <w:lang w:eastAsia="en-AU"/>
        </w:rPr>
        <w:t xml:space="preserve"> (</w:t>
      </w:r>
      <w:r w:rsidR="00C536DD">
        <w:rPr>
          <w:rFonts w:ascii="Cambria" w:hAnsi="Cambria"/>
          <w:bCs/>
          <w:i/>
          <w:lang w:eastAsia="en-AU"/>
        </w:rPr>
        <w:t>Lagenaria siceraria</w:t>
      </w:r>
      <w:r w:rsidR="00C536DD">
        <w:rPr>
          <w:rFonts w:ascii="Cambria" w:hAnsi="Cambria"/>
          <w:bCs/>
          <w:lang w:eastAsia="en-AU"/>
        </w:rPr>
        <w:t xml:space="preserve">), CGMMV </w:t>
      </w:r>
      <w:r>
        <w:rPr>
          <w:rFonts w:ascii="Cambria" w:hAnsi="Cambria"/>
          <w:bCs/>
          <w:lang w:eastAsia="en-AU"/>
        </w:rPr>
        <w:t>s</w:t>
      </w:r>
      <w:r w:rsidR="00C536DD">
        <w:rPr>
          <w:rFonts w:ascii="Cambria" w:hAnsi="Cambria"/>
          <w:bCs/>
          <w:lang w:eastAsia="en-AU"/>
        </w:rPr>
        <w:t xml:space="preserve">ymptoms vary from </w:t>
      </w:r>
      <w:r>
        <w:rPr>
          <w:rFonts w:ascii="Cambria" w:hAnsi="Cambria"/>
          <w:bCs/>
          <w:lang w:eastAsia="en-AU"/>
        </w:rPr>
        <w:t>leaf mosaic and mottle symptoms (Kim et al. 2010) (Figure 5)</w:t>
      </w:r>
      <w:r w:rsidR="00C536DD">
        <w:rPr>
          <w:rFonts w:ascii="Cambria" w:hAnsi="Cambria"/>
          <w:bCs/>
          <w:lang w:eastAsia="en-AU"/>
        </w:rPr>
        <w:t xml:space="preserve"> to </w:t>
      </w:r>
      <w:r>
        <w:rPr>
          <w:rFonts w:ascii="Cambria" w:hAnsi="Cambria"/>
          <w:bCs/>
          <w:lang w:eastAsia="en-AU"/>
        </w:rPr>
        <w:t xml:space="preserve">systemic mosaic symptoms (Mandal et al. 2008; Zhang et al. 2009). </w:t>
      </w:r>
      <w:r w:rsidR="00C536DD">
        <w:rPr>
          <w:rFonts w:ascii="Cambria" w:hAnsi="Cambria"/>
          <w:bCs/>
          <w:lang w:eastAsia="en-AU"/>
        </w:rPr>
        <w:t xml:space="preserve">While in India, </w:t>
      </w:r>
      <w:r w:rsidR="00BC2587">
        <w:rPr>
          <w:rFonts w:ascii="Cambria" w:hAnsi="Cambria"/>
          <w:bCs/>
          <w:lang w:eastAsia="en-AU"/>
        </w:rPr>
        <w:t>s</w:t>
      </w:r>
      <w:r w:rsidR="00C536DD">
        <w:rPr>
          <w:rFonts w:ascii="Cambria" w:hAnsi="Cambria"/>
          <w:bCs/>
          <w:lang w:eastAsia="en-AU"/>
        </w:rPr>
        <w:t>erpent gourd (</w:t>
      </w:r>
      <w:r w:rsidR="00BE4A87">
        <w:rPr>
          <w:rFonts w:ascii="Cambria" w:hAnsi="Cambria"/>
          <w:bCs/>
          <w:i/>
          <w:lang w:eastAsia="en-AU"/>
        </w:rPr>
        <w:t>Trichosanthes cucumerina</w:t>
      </w:r>
      <w:r w:rsidR="00C536DD">
        <w:rPr>
          <w:rFonts w:ascii="Cambria" w:hAnsi="Cambria"/>
          <w:bCs/>
          <w:lang w:eastAsia="en-AU"/>
        </w:rPr>
        <w:t xml:space="preserve">) symptoms include leaf mosaic, leaf mottling, reduced leaf size and </w:t>
      </w:r>
      <w:proofErr w:type="spellStart"/>
      <w:r w:rsidR="00C536DD">
        <w:rPr>
          <w:rFonts w:ascii="Cambria" w:hAnsi="Cambria"/>
          <w:bCs/>
          <w:lang w:eastAsia="en-AU"/>
        </w:rPr>
        <w:t>phylloid</w:t>
      </w:r>
      <w:proofErr w:type="spellEnd"/>
      <w:r w:rsidR="00C536DD">
        <w:rPr>
          <w:rFonts w:ascii="Cambria" w:hAnsi="Cambria"/>
          <w:bCs/>
          <w:lang w:eastAsia="en-AU"/>
        </w:rPr>
        <w:t xml:space="preserve"> flowers (</w:t>
      </w:r>
      <w:proofErr w:type="spellStart"/>
      <w:r w:rsidR="00C536DD">
        <w:rPr>
          <w:rFonts w:ascii="Cambria" w:hAnsi="Cambria"/>
          <w:bCs/>
          <w:lang w:eastAsia="en-AU"/>
        </w:rPr>
        <w:t>Nagendran</w:t>
      </w:r>
      <w:proofErr w:type="spellEnd"/>
      <w:r w:rsidR="00C536DD">
        <w:rPr>
          <w:rFonts w:ascii="Cambria" w:hAnsi="Cambria"/>
          <w:bCs/>
          <w:lang w:eastAsia="en-AU"/>
        </w:rPr>
        <w:t xml:space="preserve"> et al. 2015).</w:t>
      </w:r>
    </w:p>
    <w:p w14:paraId="560CB35D" w14:textId="3D8DE44B" w:rsidR="008163B6" w:rsidRPr="008163B6" w:rsidRDefault="008163B6" w:rsidP="00A4312F">
      <w:pPr>
        <w:pStyle w:val="Caption"/>
        <w:spacing w:before="120"/>
        <w:rPr>
          <w:rFonts w:asciiTheme="majorHAnsi" w:eastAsiaTheme="majorEastAsia" w:hAnsiTheme="majorHAnsi" w:cstheme="majorBidi"/>
          <w:color w:val="595959" w:themeColor="text1" w:themeTint="A6"/>
          <w:sz w:val="20"/>
        </w:rPr>
      </w:pPr>
      <w:bookmarkStart w:id="237" w:name="_Toc438132837"/>
      <w:bookmarkStart w:id="238" w:name="_Toc438202143"/>
      <w:bookmarkStart w:id="239" w:name="_Toc438549531"/>
      <w:bookmarkStart w:id="240" w:name="_Toc438549618"/>
      <w:bookmarkStart w:id="241" w:name="_Toc439661078"/>
      <w:bookmarkStart w:id="242" w:name="_Toc447541252"/>
      <w:bookmarkStart w:id="243" w:name="_Toc447541271"/>
      <w:r w:rsidRPr="008163B6">
        <w:rPr>
          <w:rFonts w:asciiTheme="majorHAnsi" w:eastAsiaTheme="majorEastAsia" w:hAnsiTheme="majorHAnsi" w:cstheme="majorBidi"/>
          <w:color w:val="595959" w:themeColor="text1" w:themeTint="A6"/>
          <w:sz w:val="20"/>
        </w:rPr>
        <w:t xml:space="preserve">Figure </w:t>
      </w:r>
      <w:r w:rsidR="002A0C1F">
        <w:rPr>
          <w:rFonts w:asciiTheme="majorHAnsi" w:eastAsiaTheme="majorEastAsia" w:hAnsiTheme="majorHAnsi" w:cstheme="majorBidi"/>
          <w:color w:val="595959" w:themeColor="text1" w:themeTint="A6"/>
          <w:sz w:val="20"/>
        </w:rPr>
        <w:t>5</w:t>
      </w:r>
      <w:r w:rsidRPr="008163B6">
        <w:rPr>
          <w:rFonts w:asciiTheme="majorHAnsi" w:eastAsiaTheme="majorEastAsia" w:hAnsiTheme="majorHAnsi" w:cstheme="majorBidi"/>
          <w:color w:val="595959" w:themeColor="text1" w:themeTint="A6"/>
          <w:sz w:val="20"/>
        </w:rPr>
        <w:t xml:space="preserve"> CGMMV </w:t>
      </w:r>
      <w:r w:rsidR="00F709BD">
        <w:rPr>
          <w:rFonts w:asciiTheme="majorHAnsi" w:eastAsiaTheme="majorEastAsia" w:hAnsiTheme="majorHAnsi" w:cstheme="majorBidi"/>
          <w:color w:val="595959" w:themeColor="text1" w:themeTint="A6"/>
          <w:sz w:val="20"/>
        </w:rPr>
        <w:t xml:space="preserve">mottle and mosaic </w:t>
      </w:r>
      <w:r w:rsidRPr="008163B6">
        <w:rPr>
          <w:rFonts w:asciiTheme="majorHAnsi" w:eastAsiaTheme="majorEastAsia" w:hAnsiTheme="majorHAnsi" w:cstheme="majorBidi"/>
          <w:color w:val="595959" w:themeColor="text1" w:themeTint="A6"/>
          <w:sz w:val="20"/>
        </w:rPr>
        <w:t>symptoms on</w:t>
      </w:r>
      <w:r w:rsidR="00F709BD">
        <w:rPr>
          <w:rFonts w:asciiTheme="majorHAnsi" w:eastAsiaTheme="majorEastAsia" w:hAnsiTheme="majorHAnsi" w:cstheme="majorBidi"/>
          <w:color w:val="595959" w:themeColor="text1" w:themeTint="A6"/>
          <w:sz w:val="20"/>
        </w:rPr>
        <w:t xml:space="preserve"> a</w:t>
      </w:r>
      <w:r w:rsidRPr="008163B6">
        <w:rPr>
          <w:rFonts w:asciiTheme="majorHAnsi" w:eastAsiaTheme="majorEastAsia" w:hAnsiTheme="majorHAnsi" w:cstheme="majorBidi"/>
          <w:color w:val="595959" w:themeColor="text1" w:themeTint="A6"/>
          <w:sz w:val="20"/>
        </w:rPr>
        <w:t xml:space="preserve"> bottle gourd lea</w:t>
      </w:r>
      <w:r w:rsidR="00F709BD">
        <w:rPr>
          <w:rFonts w:asciiTheme="majorHAnsi" w:eastAsiaTheme="majorEastAsia" w:hAnsiTheme="majorHAnsi" w:cstheme="majorBidi"/>
          <w:color w:val="595959" w:themeColor="text1" w:themeTint="A6"/>
          <w:sz w:val="20"/>
        </w:rPr>
        <w:t>f</w:t>
      </w:r>
      <w:bookmarkEnd w:id="237"/>
      <w:bookmarkEnd w:id="238"/>
      <w:bookmarkEnd w:id="239"/>
      <w:bookmarkEnd w:id="240"/>
      <w:bookmarkEnd w:id="241"/>
      <w:bookmarkEnd w:id="242"/>
      <w:bookmarkEnd w:id="243"/>
    </w:p>
    <w:p w14:paraId="4049C90F" w14:textId="77777777" w:rsidR="008163B6" w:rsidRDefault="00F709BD" w:rsidP="008163B6">
      <w:pPr>
        <w:autoSpaceDE w:val="0"/>
        <w:autoSpaceDN w:val="0"/>
        <w:adjustRightInd w:val="0"/>
        <w:spacing w:before="120"/>
        <w:jc w:val="center"/>
        <w:rPr>
          <w:rFonts w:ascii="Cambria" w:hAnsi="Cambria"/>
          <w:bCs/>
          <w:lang w:eastAsia="en-AU"/>
        </w:rPr>
      </w:pPr>
      <w:r>
        <w:rPr>
          <w:rFonts w:ascii="Cambria" w:hAnsi="Cambria"/>
          <w:bCs/>
          <w:noProof/>
          <w:lang w:eastAsia="en-AU"/>
        </w:rPr>
        <w:drawing>
          <wp:inline distT="0" distB="0" distL="0" distR="0" wp14:anchorId="2A8A72EF" wp14:editId="3913291A">
            <wp:extent cx="2234241" cy="2277374"/>
            <wp:effectExtent l="0" t="0" r="0" b="8890"/>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tretch>
                      <a:fillRect/>
                    </a:stretch>
                  </pic:blipFill>
                  <pic:spPr bwMode="auto">
                    <a:xfrm>
                      <a:off x="0" y="0"/>
                      <a:ext cx="2237578" cy="2280776"/>
                    </a:xfrm>
                    <a:prstGeom prst="rect">
                      <a:avLst/>
                    </a:prstGeom>
                    <a:noFill/>
                    <a:ln w="9525">
                      <a:noFill/>
                      <a:miter lim="800000"/>
                      <a:headEnd/>
                      <a:tailEnd/>
                    </a:ln>
                  </pic:spPr>
                </pic:pic>
              </a:graphicData>
            </a:graphic>
          </wp:inline>
        </w:drawing>
      </w:r>
    </w:p>
    <w:p w14:paraId="69B308DB" w14:textId="6CB340A4" w:rsidR="008163B6" w:rsidRDefault="00F709BD">
      <w:pPr>
        <w:autoSpaceDE w:val="0"/>
        <w:autoSpaceDN w:val="0"/>
        <w:adjustRightInd w:val="0"/>
        <w:spacing w:before="120" w:after="0"/>
        <w:rPr>
          <w:rFonts w:ascii="Cambria" w:hAnsi="Cambria" w:cs="Calibri,Bold"/>
          <w:bCs/>
          <w:sz w:val="18"/>
          <w:szCs w:val="18"/>
        </w:rPr>
      </w:pPr>
      <w:r>
        <w:rPr>
          <w:rFonts w:ascii="Cambria" w:hAnsi="Cambria" w:cs="Calibri,Bold"/>
          <w:bCs/>
          <w:sz w:val="18"/>
          <w:szCs w:val="18"/>
        </w:rPr>
        <w:t xml:space="preserve">Source: </w:t>
      </w:r>
      <w:proofErr w:type="spellStart"/>
      <w:r>
        <w:rPr>
          <w:rFonts w:ascii="Cambria" w:hAnsi="Cambria" w:cs="Calibri,Bold"/>
          <w:bCs/>
          <w:sz w:val="18"/>
          <w:szCs w:val="18"/>
        </w:rPr>
        <w:t>Kurowski</w:t>
      </w:r>
      <w:proofErr w:type="spellEnd"/>
      <w:r>
        <w:rPr>
          <w:rFonts w:ascii="Cambria" w:hAnsi="Cambria" w:cs="Calibri,Bold"/>
          <w:bCs/>
          <w:sz w:val="18"/>
          <w:szCs w:val="18"/>
        </w:rPr>
        <w:t xml:space="preserve"> et al. </w:t>
      </w:r>
      <w:r w:rsidR="00C536DD">
        <w:rPr>
          <w:rFonts w:ascii="Cambria" w:hAnsi="Cambria" w:cs="Calibri,Bold"/>
          <w:bCs/>
          <w:sz w:val="18"/>
          <w:szCs w:val="18"/>
        </w:rPr>
        <w:t>(</w:t>
      </w:r>
      <w:r>
        <w:rPr>
          <w:rFonts w:ascii="Cambria" w:hAnsi="Cambria" w:cs="Calibri,Bold"/>
          <w:bCs/>
          <w:sz w:val="18"/>
          <w:szCs w:val="18"/>
        </w:rPr>
        <w:t>2015</w:t>
      </w:r>
      <w:r w:rsidR="00C536DD">
        <w:rPr>
          <w:rFonts w:ascii="Cambria" w:hAnsi="Cambria" w:cs="Calibri,Bold"/>
          <w:bCs/>
          <w:sz w:val="18"/>
          <w:szCs w:val="18"/>
        </w:rPr>
        <w:t>)</w:t>
      </w:r>
      <w:r w:rsidR="00ED2894">
        <w:rPr>
          <w:rFonts w:ascii="Cambria" w:hAnsi="Cambria" w:cs="Calibri,Bold"/>
          <w:bCs/>
          <w:sz w:val="18"/>
          <w:szCs w:val="18"/>
        </w:rPr>
        <w:t>.</w:t>
      </w:r>
      <w:r>
        <w:rPr>
          <w:rFonts w:ascii="Cambria" w:hAnsi="Cambria" w:cs="Calibri,Bold"/>
          <w:bCs/>
          <w:sz w:val="18"/>
          <w:szCs w:val="18"/>
        </w:rPr>
        <w:t xml:space="preserve"> </w:t>
      </w:r>
    </w:p>
    <w:p w14:paraId="1613090F" w14:textId="77777777" w:rsidR="008163B6" w:rsidRDefault="00F709BD">
      <w:pPr>
        <w:shd w:val="clear" w:color="auto" w:fill="FFFFFF"/>
        <w:spacing w:after="0" w:line="0" w:lineRule="auto"/>
        <w:rPr>
          <w:rFonts w:ascii="ff1" w:eastAsia="Times New Roman" w:hAnsi="ff1" w:cs="Times New Roman"/>
          <w:color w:val="231F20"/>
          <w:sz w:val="96"/>
          <w:szCs w:val="96"/>
          <w:lang w:eastAsia="en-AU"/>
        </w:rPr>
      </w:pPr>
      <w:r>
        <w:rPr>
          <w:rFonts w:ascii="ff5" w:eastAsia="Times New Roman" w:hAnsi="ff5" w:cs="Times New Roman"/>
          <w:color w:val="231F20"/>
          <w:sz w:val="78"/>
          <w:lang w:eastAsia="en-AU"/>
        </w:rPr>
        <w:t>2–198</w:t>
      </w:r>
    </w:p>
    <w:p w14:paraId="734F3394" w14:textId="77777777" w:rsidR="008163B6" w:rsidRDefault="008163B6">
      <w:pPr>
        <w:sectPr w:rsidR="008163B6">
          <w:headerReference w:type="default" r:id="rId39"/>
          <w:pgSz w:w="11906" w:h="16838"/>
          <w:pgMar w:top="1418" w:right="1418" w:bottom="1418" w:left="1418" w:header="567" w:footer="283" w:gutter="0"/>
          <w:cols w:space="708"/>
          <w:docGrid w:linePitch="360"/>
        </w:sectPr>
      </w:pPr>
    </w:p>
    <w:p w14:paraId="407A9845" w14:textId="77777777" w:rsidR="008163B6" w:rsidRDefault="00F709BD">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244" w:name="_Toc447540797"/>
      <w:r>
        <w:rPr>
          <w:rFonts w:eastAsiaTheme="majorEastAsia" w:cstheme="majorBidi"/>
          <w:b/>
          <w:color w:val="D52B1E"/>
          <w:sz w:val="34"/>
        </w:rPr>
        <w:t>Pest risk assessment</w:t>
      </w:r>
      <w:bookmarkEnd w:id="244"/>
    </w:p>
    <w:p w14:paraId="3A30714C" w14:textId="7F9DECE7" w:rsidR="008163B6" w:rsidRDefault="00F709BD" w:rsidP="006F4BBD">
      <w:pPr>
        <w:spacing w:before="120" w:after="120" w:line="276" w:lineRule="auto"/>
        <w:rPr>
          <w:rFonts w:ascii="Cambria" w:hAnsi="Cambria" w:cs="Helvetica"/>
        </w:rPr>
      </w:pPr>
      <w:r>
        <w:rPr>
          <w:rFonts w:ascii="Cambria" w:hAnsi="Cambria" w:cs="Helvetica"/>
        </w:rPr>
        <w:t xml:space="preserve">This pathogen-based pathway risk assessment was initiated to fulfil </w:t>
      </w:r>
      <w:r>
        <w:rPr>
          <w:rFonts w:ascii="Cambria" w:hAnsi="Cambria"/>
          <w:iCs/>
          <w:lang w:eastAsia="en-AU"/>
        </w:rPr>
        <w:t xml:space="preserve">Australia’s obligations under the IPPC and ISPM </w:t>
      </w:r>
      <w:r w:rsidR="003B1EF1">
        <w:rPr>
          <w:rFonts w:ascii="Cambria" w:hAnsi="Cambria"/>
          <w:iCs/>
          <w:lang w:eastAsia="en-AU"/>
        </w:rPr>
        <w:t xml:space="preserve">No. </w:t>
      </w:r>
      <w:r>
        <w:rPr>
          <w:rFonts w:ascii="Cambria" w:hAnsi="Cambria"/>
          <w:iCs/>
          <w:lang w:eastAsia="en-AU"/>
        </w:rPr>
        <w:t xml:space="preserve">1 to review </w:t>
      </w:r>
      <w:r w:rsidR="003921EC">
        <w:rPr>
          <w:rFonts w:ascii="Cambria" w:hAnsi="Cambria"/>
          <w:iCs/>
          <w:lang w:eastAsia="en-AU"/>
        </w:rPr>
        <w:t xml:space="preserve">the </w:t>
      </w:r>
      <w:r>
        <w:rPr>
          <w:rFonts w:ascii="Cambria" w:hAnsi="Cambria"/>
          <w:iCs/>
          <w:lang w:eastAsia="en-AU"/>
        </w:rPr>
        <w:t>emergency phytosanitary measures that Australia introduced on 20 October 2014</w:t>
      </w:r>
      <w:r w:rsidR="00CB5840">
        <w:rPr>
          <w:rFonts w:ascii="Cambria" w:hAnsi="Cambria"/>
          <w:iCs/>
          <w:lang w:eastAsia="en-AU"/>
        </w:rPr>
        <w:t xml:space="preserve"> and amended in December 2015</w:t>
      </w:r>
      <w:r>
        <w:rPr>
          <w:rFonts w:ascii="Cambria" w:hAnsi="Cambria" w:cs="Helvetica"/>
        </w:rPr>
        <w:t xml:space="preserve">. CGMMV is identified as </w:t>
      </w:r>
      <w:r w:rsidR="00B73BB5">
        <w:rPr>
          <w:rFonts w:ascii="Cambria" w:hAnsi="Cambria" w:cs="Helvetica"/>
        </w:rPr>
        <w:t xml:space="preserve">a </w:t>
      </w:r>
      <w:r>
        <w:rPr>
          <w:rFonts w:ascii="Cambria" w:hAnsi="Cambria" w:cs="Helvetica"/>
        </w:rPr>
        <w:t>quarantine pathogen for Australia because</w:t>
      </w:r>
      <w:r w:rsidR="00436493">
        <w:rPr>
          <w:rFonts w:ascii="Cambria" w:hAnsi="Cambria" w:cs="Helvetica"/>
        </w:rPr>
        <w:t xml:space="preserve"> it</w:t>
      </w:r>
      <w:r>
        <w:rPr>
          <w:rFonts w:ascii="Cambria" w:hAnsi="Cambria" w:cs="Helvetica"/>
        </w:rPr>
        <w:t>:</w:t>
      </w:r>
    </w:p>
    <w:p w14:paraId="6F774F77" w14:textId="22231BC7" w:rsidR="008163B6" w:rsidRDefault="00F709BD" w:rsidP="006F4BBD">
      <w:pPr>
        <w:pStyle w:val="ListParagraph"/>
        <w:numPr>
          <w:ilvl w:val="0"/>
          <w:numId w:val="35"/>
        </w:numPr>
        <w:spacing w:before="120" w:after="120" w:line="276" w:lineRule="auto"/>
        <w:ind w:left="426" w:hanging="284"/>
        <w:rPr>
          <w:rFonts w:ascii="Cambria" w:hAnsi="Cambria" w:cs="Helvetica"/>
        </w:rPr>
      </w:pPr>
      <w:r>
        <w:rPr>
          <w:rFonts w:ascii="Cambria" w:hAnsi="Cambria" w:cs="Helvetica"/>
        </w:rPr>
        <w:t xml:space="preserve">has a restricted distribution in Australia and is under official control; </w:t>
      </w:r>
    </w:p>
    <w:p w14:paraId="4F3086C9" w14:textId="00AAE1C5" w:rsidR="008163B6" w:rsidRDefault="00036BCA" w:rsidP="006F4BBD">
      <w:pPr>
        <w:pStyle w:val="ListParagraph"/>
        <w:numPr>
          <w:ilvl w:val="0"/>
          <w:numId w:val="35"/>
        </w:numPr>
        <w:spacing w:before="120" w:after="120" w:line="276" w:lineRule="auto"/>
        <w:ind w:left="426" w:hanging="284"/>
        <w:rPr>
          <w:rFonts w:ascii="Cambria" w:hAnsi="Cambria" w:cs="Helvetica"/>
        </w:rPr>
      </w:pPr>
      <w:proofErr w:type="gramStart"/>
      <w:r>
        <w:rPr>
          <w:rFonts w:ascii="Cambria" w:hAnsi="Cambria" w:cs="Helvetica"/>
        </w:rPr>
        <w:t>has</w:t>
      </w:r>
      <w:proofErr w:type="gramEnd"/>
      <w:r>
        <w:rPr>
          <w:rFonts w:ascii="Cambria" w:hAnsi="Cambria" w:cs="Helvetica"/>
        </w:rPr>
        <w:t xml:space="preserve"> the potential for introduction, establishment and spread in Australia. CGMMV </w:t>
      </w:r>
      <w:r w:rsidR="00F709BD">
        <w:rPr>
          <w:rFonts w:ascii="Cambria" w:hAnsi="Cambria" w:cs="Helvetica"/>
        </w:rPr>
        <w:t>has the potential to be introduced into Australia on the seed pathway (</w:t>
      </w:r>
      <w:r w:rsidR="00F709BD">
        <w:rPr>
          <w:rFonts w:ascii="Cambria" w:hAnsi="Cambria"/>
        </w:rPr>
        <w:t>Choi 2001; Liu et al. 2014</w:t>
      </w:r>
      <w:r w:rsidR="00F709BD">
        <w:rPr>
          <w:rFonts w:ascii="Cambria" w:hAnsi="Cambria" w:cs="Helvetica"/>
        </w:rPr>
        <w:t>)</w:t>
      </w:r>
      <w:r>
        <w:rPr>
          <w:rFonts w:ascii="Cambria" w:hAnsi="Cambria" w:cs="Helvetica"/>
        </w:rPr>
        <w:t xml:space="preserve">, </w:t>
      </w:r>
      <w:r w:rsidR="00F709BD">
        <w:rPr>
          <w:rFonts w:ascii="Cambria" w:hAnsi="Cambria" w:cs="Helvetica"/>
        </w:rPr>
        <w:t>has established in areas with a wide range of climatic conditions (Tian et al. 2014; CABI 2015) and can spread under natural conditions and by human activities (</w:t>
      </w:r>
      <w:proofErr w:type="spellStart"/>
      <w:r w:rsidR="00F709BD">
        <w:rPr>
          <w:rFonts w:ascii="Cambria" w:hAnsi="Cambria"/>
        </w:rPr>
        <w:t>Tochihara</w:t>
      </w:r>
      <w:proofErr w:type="spellEnd"/>
      <w:r w:rsidR="00F709BD">
        <w:rPr>
          <w:rFonts w:ascii="Cambria" w:hAnsi="Cambria"/>
        </w:rPr>
        <w:t xml:space="preserve"> &amp; </w:t>
      </w:r>
      <w:proofErr w:type="spellStart"/>
      <w:r w:rsidR="00F709BD">
        <w:rPr>
          <w:rFonts w:ascii="Cambria" w:hAnsi="Cambria"/>
        </w:rPr>
        <w:t>Komuro</w:t>
      </w:r>
      <w:proofErr w:type="spellEnd"/>
      <w:r w:rsidR="00F709BD">
        <w:rPr>
          <w:rFonts w:ascii="Cambria" w:hAnsi="Cambria"/>
        </w:rPr>
        <w:t xml:space="preserve"> 1974; Kobayashi 1990</w:t>
      </w:r>
      <w:r w:rsidR="00F709BD">
        <w:rPr>
          <w:rFonts w:ascii="Cambria" w:hAnsi="Cambria" w:cs="Helvetica"/>
        </w:rPr>
        <w:t>)</w:t>
      </w:r>
      <w:r>
        <w:rPr>
          <w:rFonts w:ascii="Cambria" w:hAnsi="Cambria" w:cs="Helvetica"/>
        </w:rPr>
        <w:t xml:space="preserve">; </w:t>
      </w:r>
      <w:r w:rsidR="00F709BD">
        <w:rPr>
          <w:rFonts w:ascii="Cambria" w:hAnsi="Cambria" w:cs="Helvetica"/>
        </w:rPr>
        <w:t>and</w:t>
      </w:r>
    </w:p>
    <w:p w14:paraId="4EF5C6E0" w14:textId="219D325D" w:rsidR="00313FD0" w:rsidRPr="00313FD0" w:rsidRDefault="00F709BD" w:rsidP="00313FD0">
      <w:pPr>
        <w:pStyle w:val="ListParagraph"/>
        <w:numPr>
          <w:ilvl w:val="0"/>
          <w:numId w:val="35"/>
        </w:numPr>
        <w:spacing w:before="120" w:after="120" w:line="276" w:lineRule="auto"/>
        <w:ind w:left="426" w:hanging="284"/>
        <w:rPr>
          <w:rFonts w:ascii="Cambria" w:hAnsi="Cambria" w:cs="Helvetica"/>
        </w:rPr>
      </w:pPr>
      <w:proofErr w:type="gramStart"/>
      <w:r>
        <w:rPr>
          <w:rFonts w:ascii="Cambria" w:hAnsi="Cambria" w:cs="Helvetica"/>
        </w:rPr>
        <w:t>is</w:t>
      </w:r>
      <w:proofErr w:type="gramEnd"/>
      <w:r>
        <w:rPr>
          <w:rFonts w:ascii="Cambria" w:hAnsi="Cambria" w:cs="Helvetica"/>
        </w:rPr>
        <w:t xml:space="preserve"> an economically important pathogen (</w:t>
      </w:r>
      <w:r>
        <w:rPr>
          <w:rFonts w:ascii="Cambria" w:hAnsi="Cambria" w:cs="Arial"/>
        </w:rPr>
        <w:t xml:space="preserve">Nilsson 1977; </w:t>
      </w:r>
      <w:proofErr w:type="spellStart"/>
      <w:r>
        <w:rPr>
          <w:rFonts w:ascii="Cambria" w:hAnsi="Cambria" w:cs="Arial"/>
        </w:rPr>
        <w:t>Reingold</w:t>
      </w:r>
      <w:proofErr w:type="spellEnd"/>
      <w:r>
        <w:rPr>
          <w:rFonts w:ascii="Cambria" w:hAnsi="Cambria" w:cs="Arial"/>
        </w:rPr>
        <w:t xml:space="preserve"> et al. 2015</w:t>
      </w:r>
      <w:r>
        <w:rPr>
          <w:rFonts w:ascii="Cambria" w:hAnsi="Cambria" w:cs="Helvetica"/>
        </w:rPr>
        <w:t>).</w:t>
      </w:r>
    </w:p>
    <w:p w14:paraId="5370654D" w14:textId="77777777" w:rsidR="008163B6" w:rsidRDefault="00F709BD">
      <w:pPr>
        <w:pStyle w:val="Heading2"/>
        <w:numPr>
          <w:ilvl w:val="1"/>
          <w:numId w:val="21"/>
        </w:numPr>
        <w:tabs>
          <w:tab w:val="clear" w:pos="576"/>
        </w:tabs>
        <w:spacing w:before="200" w:after="120"/>
        <w:ind w:left="709" w:hanging="709"/>
        <w:rPr>
          <w:rFonts w:eastAsiaTheme="majorEastAsia" w:cstheme="majorBidi"/>
          <w:color w:val="773141"/>
          <w:sz w:val="28"/>
        </w:rPr>
      </w:pPr>
      <w:bookmarkStart w:id="245" w:name="_Toc447540798"/>
      <w:r>
        <w:rPr>
          <w:rFonts w:eastAsiaTheme="majorEastAsia" w:cstheme="majorBidi"/>
          <w:i/>
          <w:color w:val="773141"/>
          <w:sz w:val="28"/>
        </w:rPr>
        <w:t>Cucumber green mottle mosaic virus</w:t>
      </w:r>
      <w:r>
        <w:rPr>
          <w:rFonts w:eastAsiaTheme="majorEastAsia" w:cstheme="majorBidi"/>
          <w:color w:val="773141"/>
          <w:sz w:val="28"/>
        </w:rPr>
        <w:t xml:space="preserve"> (CGMMV)</w:t>
      </w:r>
      <w:bookmarkEnd w:id="245"/>
    </w:p>
    <w:p w14:paraId="19EB2333" w14:textId="0386A005" w:rsidR="008163B6" w:rsidRDefault="00F709BD" w:rsidP="006F4BBD">
      <w:pPr>
        <w:spacing w:before="120" w:after="120" w:line="276" w:lineRule="auto"/>
        <w:rPr>
          <w:rFonts w:ascii="Cambria" w:hAnsi="Cambria"/>
        </w:rPr>
      </w:pPr>
      <w:r>
        <w:rPr>
          <w:rFonts w:ascii="Cambria" w:hAnsi="Cambria"/>
        </w:rPr>
        <w:t xml:space="preserve">CGMMV </w:t>
      </w:r>
      <w:r>
        <w:rPr>
          <w:rFonts w:ascii="Cambria" w:hAnsi="Cambria"/>
          <w:bCs/>
        </w:rPr>
        <w:t>is associated with several species of cultivated cucurbit crops (</w:t>
      </w:r>
      <w:r>
        <w:rPr>
          <w:rFonts w:ascii="Cambria" w:hAnsi="Cambria"/>
        </w:rPr>
        <w:t xml:space="preserve">Hollings et al. 1975; </w:t>
      </w:r>
      <w:proofErr w:type="spellStart"/>
      <w:r>
        <w:rPr>
          <w:rFonts w:ascii="Cambria" w:hAnsi="Cambria"/>
        </w:rPr>
        <w:t>Lecoq</w:t>
      </w:r>
      <w:proofErr w:type="spellEnd"/>
      <w:r>
        <w:rPr>
          <w:rFonts w:ascii="Cambria" w:hAnsi="Cambria"/>
        </w:rPr>
        <w:t xml:space="preserve"> &amp; </w:t>
      </w:r>
      <w:proofErr w:type="spellStart"/>
      <w:r>
        <w:rPr>
          <w:rFonts w:ascii="Cambria" w:hAnsi="Cambria"/>
        </w:rPr>
        <w:t>Desbiez</w:t>
      </w:r>
      <w:proofErr w:type="spellEnd"/>
      <w:r>
        <w:rPr>
          <w:rFonts w:ascii="Cambria" w:hAnsi="Cambria"/>
        </w:rPr>
        <w:t xml:space="preserve"> 2012</w:t>
      </w:r>
      <w:r>
        <w:rPr>
          <w:rFonts w:ascii="Cambria" w:hAnsi="Cambria"/>
          <w:bCs/>
        </w:rPr>
        <w:t xml:space="preserve">). However, it is only reported to be </w:t>
      </w:r>
      <w:r w:rsidR="00CC0813">
        <w:rPr>
          <w:rFonts w:ascii="Cambria" w:hAnsi="Cambria"/>
          <w:bCs/>
        </w:rPr>
        <w:t>seed-borne</w:t>
      </w:r>
      <w:r>
        <w:rPr>
          <w:rFonts w:ascii="Cambria" w:hAnsi="Cambria"/>
          <w:bCs/>
        </w:rPr>
        <w:t xml:space="preserve"> in </w:t>
      </w:r>
      <w:r>
        <w:rPr>
          <w:rFonts w:ascii="Cambria" w:hAnsi="Cambria"/>
          <w:i/>
        </w:rPr>
        <w:t xml:space="preserve">Citrullus lanatus </w:t>
      </w:r>
      <w:r>
        <w:rPr>
          <w:rFonts w:ascii="Cambria" w:hAnsi="Cambria"/>
          <w:iCs/>
        </w:rPr>
        <w:t xml:space="preserve">(Lee et al. 1990; Yoon et al. 2008), </w:t>
      </w:r>
      <w:r>
        <w:rPr>
          <w:rFonts w:ascii="Cambria" w:hAnsi="Cambria"/>
          <w:i/>
        </w:rPr>
        <w:t xml:space="preserve">Cucumis melo </w:t>
      </w:r>
      <w:r>
        <w:rPr>
          <w:rFonts w:ascii="Cambria" w:hAnsi="Cambria"/>
          <w:iCs/>
        </w:rPr>
        <w:t xml:space="preserve">(Tian et al. 2014; </w:t>
      </w:r>
      <w:proofErr w:type="spellStart"/>
      <w:r>
        <w:rPr>
          <w:rFonts w:ascii="Cambria" w:hAnsi="Cambria"/>
          <w:iCs/>
        </w:rPr>
        <w:t>Reingold</w:t>
      </w:r>
      <w:proofErr w:type="spellEnd"/>
      <w:r>
        <w:rPr>
          <w:rFonts w:ascii="Cambria" w:hAnsi="Cambria"/>
          <w:iCs/>
        </w:rPr>
        <w:t xml:space="preserve"> et al. 2015), </w:t>
      </w:r>
      <w:r w:rsidR="00CB5840">
        <w:rPr>
          <w:rFonts w:ascii="Cambria" w:hAnsi="Cambria"/>
          <w:i/>
        </w:rPr>
        <w:t xml:space="preserve">Cucumis sativus </w:t>
      </w:r>
      <w:r w:rsidR="00CB5840">
        <w:rPr>
          <w:rFonts w:ascii="Cambria" w:hAnsi="Cambria"/>
          <w:iCs/>
        </w:rPr>
        <w:t>(</w:t>
      </w:r>
      <w:proofErr w:type="spellStart"/>
      <w:r w:rsidR="00CB5840">
        <w:rPr>
          <w:rFonts w:ascii="Cambria" w:hAnsi="Cambria"/>
          <w:iCs/>
        </w:rPr>
        <w:t>Faris-Mukhayyish</w:t>
      </w:r>
      <w:proofErr w:type="spellEnd"/>
      <w:r w:rsidR="00CB5840">
        <w:rPr>
          <w:rFonts w:ascii="Cambria" w:hAnsi="Cambria"/>
          <w:iCs/>
        </w:rPr>
        <w:t xml:space="preserve"> &amp; </w:t>
      </w:r>
      <w:proofErr w:type="spellStart"/>
      <w:r w:rsidR="00CB5840">
        <w:rPr>
          <w:rFonts w:ascii="Cambria" w:hAnsi="Cambria"/>
          <w:iCs/>
        </w:rPr>
        <w:t>Makkouk</w:t>
      </w:r>
      <w:proofErr w:type="spellEnd"/>
      <w:r w:rsidR="00CB5840">
        <w:rPr>
          <w:rFonts w:ascii="Cambria" w:hAnsi="Cambria"/>
          <w:iCs/>
        </w:rPr>
        <w:t xml:space="preserve"> 1983; Liu et al. 2014), </w:t>
      </w:r>
      <w:r w:rsidR="002C4F1E">
        <w:rPr>
          <w:rFonts w:ascii="Cambria" w:hAnsi="Cambria"/>
          <w:i/>
          <w:iCs/>
        </w:rPr>
        <w:t xml:space="preserve">Cucurbita maxima, Cucurbita maxima </w:t>
      </w:r>
      <w:r w:rsidR="002C4F1E">
        <w:rPr>
          <w:rFonts w:ascii="Cambria" w:hAnsi="Cambria"/>
          <w:iCs/>
        </w:rPr>
        <w:t xml:space="preserve">x </w:t>
      </w:r>
      <w:r w:rsidR="002C4F1E">
        <w:rPr>
          <w:rFonts w:ascii="Cambria" w:hAnsi="Cambria"/>
          <w:i/>
          <w:iCs/>
        </w:rPr>
        <w:t>Cucurbita moschata</w:t>
      </w:r>
      <w:r w:rsidR="00BC4D0C">
        <w:rPr>
          <w:rFonts w:ascii="Cambria" w:hAnsi="Cambria"/>
          <w:i/>
          <w:iCs/>
        </w:rPr>
        <w:t>, Cucurbita moschata</w:t>
      </w:r>
      <w:r w:rsidR="002C4F1E">
        <w:rPr>
          <w:rFonts w:ascii="Cambria" w:hAnsi="Cambria"/>
          <w:i/>
          <w:iCs/>
        </w:rPr>
        <w:t xml:space="preserve"> </w:t>
      </w:r>
      <w:r w:rsidR="002C4F1E">
        <w:rPr>
          <w:rFonts w:ascii="Cambria" w:hAnsi="Cambria"/>
          <w:iCs/>
        </w:rPr>
        <w:t>(</w:t>
      </w:r>
      <w:r w:rsidR="002C4F1E">
        <w:rPr>
          <w:rFonts w:asciiTheme="majorHAnsi" w:hAnsiTheme="majorHAnsi"/>
          <w:iCs/>
          <w:szCs w:val="18"/>
        </w:rPr>
        <w:t>Fiona Constable [</w:t>
      </w:r>
      <w:r w:rsidR="002C4F1E" w:rsidRPr="0070635C">
        <w:rPr>
          <w:rFonts w:asciiTheme="majorHAnsi" w:hAnsiTheme="majorHAnsi"/>
          <w:iCs/>
          <w:szCs w:val="18"/>
        </w:rPr>
        <w:t>D</w:t>
      </w:r>
      <w:r w:rsidR="00326368">
        <w:rPr>
          <w:rFonts w:asciiTheme="majorHAnsi" w:hAnsiTheme="majorHAnsi"/>
          <w:iCs/>
          <w:szCs w:val="18"/>
        </w:rPr>
        <w:t>EDJTR</w:t>
      </w:r>
      <w:r w:rsidR="002C4F1E">
        <w:rPr>
          <w:rFonts w:asciiTheme="majorHAnsi" w:hAnsiTheme="majorHAnsi"/>
          <w:iCs/>
          <w:szCs w:val="18"/>
        </w:rPr>
        <w:t>] 2015, pers. comm., 2 December</w:t>
      </w:r>
      <w:r w:rsidR="00CB5840">
        <w:rPr>
          <w:rFonts w:ascii="Cambria" w:hAnsi="Cambria"/>
          <w:iCs/>
        </w:rPr>
        <w:t xml:space="preserve">), </w:t>
      </w:r>
      <w:r>
        <w:rPr>
          <w:rFonts w:ascii="Cambria" w:hAnsi="Cambria"/>
          <w:i/>
        </w:rPr>
        <w:t xml:space="preserve">Cucurbita pepo </w:t>
      </w:r>
      <w:r>
        <w:rPr>
          <w:rFonts w:ascii="Cambria" w:hAnsi="Cambria"/>
          <w:iCs/>
        </w:rPr>
        <w:t>(Al-</w:t>
      </w:r>
      <w:proofErr w:type="spellStart"/>
      <w:r>
        <w:rPr>
          <w:rFonts w:ascii="Cambria" w:hAnsi="Cambria"/>
          <w:iCs/>
        </w:rPr>
        <w:t>Tamimi</w:t>
      </w:r>
      <w:proofErr w:type="spellEnd"/>
      <w:r>
        <w:rPr>
          <w:rFonts w:ascii="Cambria" w:hAnsi="Cambria"/>
          <w:iCs/>
        </w:rPr>
        <w:t xml:space="preserve"> et al. 2009; Kwon et al. 2014), </w:t>
      </w:r>
      <w:r>
        <w:rPr>
          <w:rFonts w:ascii="Cambria" w:hAnsi="Cambria"/>
          <w:i/>
        </w:rPr>
        <w:t xml:space="preserve">Lagenaria siceraria </w:t>
      </w:r>
      <w:r>
        <w:rPr>
          <w:rFonts w:ascii="Cambria" w:hAnsi="Cambria"/>
        </w:rPr>
        <w:t xml:space="preserve">(Choi 2001; </w:t>
      </w:r>
      <w:proofErr w:type="spellStart"/>
      <w:r>
        <w:rPr>
          <w:rFonts w:ascii="Cambria" w:hAnsi="Cambria"/>
        </w:rPr>
        <w:t>Boubourakas</w:t>
      </w:r>
      <w:proofErr w:type="spellEnd"/>
      <w:r>
        <w:rPr>
          <w:rFonts w:ascii="Cambria" w:hAnsi="Cambria"/>
        </w:rPr>
        <w:t xml:space="preserve"> et al. 2004) and </w:t>
      </w:r>
      <w:r>
        <w:rPr>
          <w:rFonts w:ascii="Cambria" w:hAnsi="Cambria"/>
          <w:i/>
        </w:rPr>
        <w:t>Trichosanthes cucumerina</w:t>
      </w:r>
      <w:r>
        <w:rPr>
          <w:rFonts w:ascii="Cambria" w:hAnsi="Cambria"/>
          <w:b/>
          <w:i/>
        </w:rPr>
        <w:t xml:space="preserve"> </w:t>
      </w:r>
      <w:r>
        <w:rPr>
          <w:rFonts w:ascii="Cambria" w:hAnsi="Cambria"/>
        </w:rPr>
        <w:t>(</w:t>
      </w:r>
      <w:proofErr w:type="spellStart"/>
      <w:r>
        <w:rPr>
          <w:rFonts w:ascii="Cambria" w:hAnsi="Cambria"/>
        </w:rPr>
        <w:t>Ariyaratne</w:t>
      </w:r>
      <w:proofErr w:type="spellEnd"/>
      <w:r>
        <w:rPr>
          <w:rFonts w:ascii="Cambria" w:hAnsi="Cambria"/>
        </w:rPr>
        <w:t xml:space="preserve"> et al. 2005)</w:t>
      </w:r>
      <w:r>
        <w:rPr>
          <w:rFonts w:ascii="Cambria" w:hAnsi="Cambria"/>
          <w:bCs/>
        </w:rPr>
        <w:t xml:space="preserve">. Therefore, the </w:t>
      </w:r>
      <w:r>
        <w:rPr>
          <w:rFonts w:ascii="Cambria" w:hAnsi="Cambria"/>
        </w:rPr>
        <w:t xml:space="preserve">seeds of these </w:t>
      </w:r>
      <w:r w:rsidR="00CB5840">
        <w:rPr>
          <w:rFonts w:ascii="Cambria" w:hAnsi="Cambria"/>
        </w:rPr>
        <w:t>specie</w:t>
      </w:r>
      <w:r>
        <w:rPr>
          <w:rFonts w:ascii="Cambria" w:hAnsi="Cambria"/>
        </w:rPr>
        <w:t xml:space="preserve">s </w:t>
      </w:r>
      <w:r w:rsidR="002C4F1E">
        <w:rPr>
          <w:rFonts w:ascii="Cambria" w:hAnsi="Cambria"/>
        </w:rPr>
        <w:t xml:space="preserve">and their hybrids </w:t>
      </w:r>
      <w:r>
        <w:rPr>
          <w:rFonts w:ascii="Cambria" w:hAnsi="Cambria"/>
        </w:rPr>
        <w:t>are a potential pathway for the introduction of CGMMV into Australia.</w:t>
      </w:r>
    </w:p>
    <w:p w14:paraId="6CB22867" w14:textId="77777777"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246" w:name="_Toc447540799"/>
      <w:r>
        <w:rPr>
          <w:rFonts w:ascii="Calibri" w:hAnsi="Calibri" w:cstheme="minorBidi"/>
          <w:sz w:val="24"/>
          <w:szCs w:val="22"/>
        </w:rPr>
        <w:t>Likelihood of entry</w:t>
      </w:r>
      <w:bookmarkEnd w:id="246"/>
    </w:p>
    <w:p w14:paraId="09C4DF33" w14:textId="3BED5AB7" w:rsidR="008163B6" w:rsidRDefault="00F709BD" w:rsidP="006F4BBD">
      <w:pPr>
        <w:spacing w:before="120" w:after="120" w:line="276" w:lineRule="auto"/>
        <w:rPr>
          <w:rFonts w:ascii="Cambria" w:hAnsi="Cambria"/>
        </w:rPr>
      </w:pPr>
      <w:r>
        <w:rPr>
          <w:rFonts w:ascii="Cambria" w:hAnsi="Cambria"/>
        </w:rPr>
        <w:t xml:space="preserve">The likelihood of entry is divided for assessment purposes into the likelihood of importation (the likelihood that CGMMV will arrive when the host seed is imported) and the likelihood of distribution (the likelihood that CGMMV </w:t>
      </w:r>
      <w:r w:rsidR="003921EC">
        <w:rPr>
          <w:rFonts w:ascii="Cambria" w:hAnsi="Cambria"/>
        </w:rPr>
        <w:t>w</w:t>
      </w:r>
      <w:r>
        <w:rPr>
          <w:rFonts w:ascii="Cambria" w:hAnsi="Cambria"/>
        </w:rPr>
        <w:t>ill be transferred to a suitable host).</w:t>
      </w:r>
    </w:p>
    <w:p w14:paraId="60B34AAB" w14:textId="77777777" w:rsidR="008163B6" w:rsidRDefault="00F709BD">
      <w:pPr>
        <w:pStyle w:val="Heading4"/>
        <w:spacing w:before="200"/>
      </w:pPr>
      <w:r>
        <w:t>Likelihood of importation</w:t>
      </w:r>
    </w:p>
    <w:p w14:paraId="5944633A" w14:textId="5AEC01AD" w:rsidR="008163B6" w:rsidRDefault="00F709BD" w:rsidP="006F4BBD">
      <w:pPr>
        <w:spacing w:before="120" w:after="120" w:line="276" w:lineRule="auto"/>
        <w:rPr>
          <w:rFonts w:ascii="Cambria" w:hAnsi="Cambria"/>
        </w:rPr>
      </w:pPr>
      <w:r>
        <w:rPr>
          <w:rFonts w:ascii="Cambria" w:hAnsi="Cambria"/>
        </w:rPr>
        <w:t xml:space="preserve">The likelihood that </w:t>
      </w:r>
      <w:bookmarkStart w:id="247" w:name="OLE_LINK1"/>
      <w:bookmarkStart w:id="248" w:name="OLE_LINK2"/>
      <w:r>
        <w:rPr>
          <w:rFonts w:ascii="Cambria" w:hAnsi="Cambria"/>
        </w:rPr>
        <w:t xml:space="preserve">CGMMV </w:t>
      </w:r>
      <w:bookmarkEnd w:id="247"/>
      <w:bookmarkEnd w:id="248"/>
      <w:r>
        <w:rPr>
          <w:rFonts w:ascii="Cambria" w:hAnsi="Cambria"/>
        </w:rPr>
        <w:t xml:space="preserve">will arrive in Australia with trade in </w:t>
      </w:r>
      <w:r w:rsidR="00CF373F">
        <w:rPr>
          <w:rFonts w:ascii="Cambria" w:hAnsi="Cambria"/>
        </w:rPr>
        <w:t xml:space="preserve">host </w:t>
      </w:r>
      <w:r>
        <w:rPr>
          <w:rFonts w:ascii="Cambria" w:hAnsi="Cambria"/>
        </w:rPr>
        <w:t xml:space="preserve">cucurbit seeds for sowing is </w:t>
      </w:r>
      <w:r>
        <w:rPr>
          <w:rFonts w:ascii="Cambria" w:hAnsi="Cambria"/>
          <w:b/>
          <w:bCs/>
        </w:rPr>
        <w:t>HIGH</w:t>
      </w:r>
      <w:r>
        <w:rPr>
          <w:rFonts w:ascii="Cambria" w:hAnsi="Cambria"/>
        </w:rPr>
        <w:t>.</w:t>
      </w:r>
    </w:p>
    <w:p w14:paraId="2F9F917F" w14:textId="77777777" w:rsidR="008163B6" w:rsidRDefault="00F709BD">
      <w:pPr>
        <w:pStyle w:val="Heading5"/>
        <w:spacing w:before="160"/>
      </w:pPr>
      <w:r>
        <w:t>Association of the pest with the pathway</w:t>
      </w:r>
    </w:p>
    <w:p w14:paraId="179D7E6B" w14:textId="48C17116" w:rsidR="008163B6" w:rsidRDefault="00F709BD" w:rsidP="006F4BBD">
      <w:pPr>
        <w:pStyle w:val="AQISNum"/>
        <w:numPr>
          <w:ilvl w:val="0"/>
          <w:numId w:val="33"/>
        </w:numPr>
        <w:tabs>
          <w:tab w:val="clear" w:pos="360"/>
          <w:tab w:val="num" w:pos="284"/>
        </w:tabs>
        <w:spacing w:before="120" w:after="120" w:line="276" w:lineRule="auto"/>
        <w:ind w:left="284" w:hanging="284"/>
        <w:contextualSpacing/>
        <w:rPr>
          <w:rFonts w:ascii="Cambria" w:hAnsi="Cambria"/>
        </w:rPr>
      </w:pPr>
      <w:bookmarkStart w:id="249" w:name="_Toc356671318"/>
      <w:r>
        <w:rPr>
          <w:rFonts w:ascii="Cambria" w:hAnsi="Cambria"/>
        </w:rPr>
        <w:t xml:space="preserve">CGMMV is </w:t>
      </w:r>
      <w:r w:rsidR="00CC0813">
        <w:rPr>
          <w:rFonts w:ascii="Cambria" w:hAnsi="Cambria"/>
        </w:rPr>
        <w:t>seed-borne</w:t>
      </w:r>
      <w:r>
        <w:rPr>
          <w:rFonts w:ascii="Cambria" w:hAnsi="Cambria"/>
        </w:rPr>
        <w:t xml:space="preserve"> in </w:t>
      </w:r>
      <w:r>
        <w:rPr>
          <w:rFonts w:ascii="Cambria" w:hAnsi="Cambria"/>
          <w:i/>
        </w:rPr>
        <w:t xml:space="preserve">Citrullus lanatus </w:t>
      </w:r>
      <w:r>
        <w:rPr>
          <w:rFonts w:ascii="Cambria" w:hAnsi="Cambria"/>
          <w:iCs/>
        </w:rPr>
        <w:t xml:space="preserve">(Lee et al. 1990; Yoon et al. 2008), </w:t>
      </w:r>
      <w:r>
        <w:rPr>
          <w:rFonts w:ascii="Cambria" w:hAnsi="Cambria"/>
          <w:i/>
        </w:rPr>
        <w:t xml:space="preserve">Cucumis melo </w:t>
      </w:r>
      <w:r>
        <w:rPr>
          <w:rFonts w:ascii="Cambria" w:hAnsi="Cambria"/>
          <w:iCs/>
        </w:rPr>
        <w:t xml:space="preserve">(Tian et al. 2014; </w:t>
      </w:r>
      <w:proofErr w:type="spellStart"/>
      <w:r>
        <w:rPr>
          <w:rFonts w:ascii="Cambria" w:hAnsi="Cambria"/>
          <w:iCs/>
        </w:rPr>
        <w:t>Reingold</w:t>
      </w:r>
      <w:proofErr w:type="spellEnd"/>
      <w:r>
        <w:rPr>
          <w:rFonts w:ascii="Cambria" w:hAnsi="Cambria"/>
          <w:iCs/>
        </w:rPr>
        <w:t xml:space="preserve"> et al. 2015), </w:t>
      </w:r>
      <w:r>
        <w:rPr>
          <w:rFonts w:ascii="Cambria" w:hAnsi="Cambria"/>
          <w:i/>
        </w:rPr>
        <w:t xml:space="preserve">Cucumis sativus </w:t>
      </w:r>
      <w:r>
        <w:rPr>
          <w:rFonts w:ascii="Cambria" w:hAnsi="Cambria"/>
          <w:iCs/>
        </w:rPr>
        <w:t>(</w:t>
      </w:r>
      <w:proofErr w:type="spellStart"/>
      <w:r>
        <w:rPr>
          <w:rFonts w:ascii="Cambria" w:hAnsi="Cambria"/>
          <w:iCs/>
        </w:rPr>
        <w:t>Faris-Mukhayyish</w:t>
      </w:r>
      <w:proofErr w:type="spellEnd"/>
      <w:r>
        <w:rPr>
          <w:rFonts w:ascii="Cambria" w:hAnsi="Cambria"/>
          <w:iCs/>
        </w:rPr>
        <w:t xml:space="preserve"> &amp; </w:t>
      </w:r>
      <w:proofErr w:type="spellStart"/>
      <w:r>
        <w:rPr>
          <w:rFonts w:ascii="Cambria" w:hAnsi="Cambria"/>
          <w:iCs/>
        </w:rPr>
        <w:t>Makkouk</w:t>
      </w:r>
      <w:proofErr w:type="spellEnd"/>
      <w:r>
        <w:rPr>
          <w:rFonts w:ascii="Cambria" w:hAnsi="Cambria"/>
          <w:iCs/>
        </w:rPr>
        <w:t xml:space="preserve"> 1983; Liu et al. 2014),</w:t>
      </w:r>
      <w:r>
        <w:rPr>
          <w:rFonts w:ascii="Cambria" w:hAnsi="Cambria"/>
          <w:i/>
        </w:rPr>
        <w:t xml:space="preserve"> </w:t>
      </w:r>
      <w:r w:rsidR="002C4F1E">
        <w:rPr>
          <w:rFonts w:ascii="Cambria" w:hAnsi="Cambria"/>
          <w:i/>
          <w:iCs/>
        </w:rPr>
        <w:t xml:space="preserve">Cucurbita maxima, </w:t>
      </w:r>
      <w:r w:rsidR="00BC4D0C">
        <w:rPr>
          <w:rFonts w:ascii="Cambria" w:hAnsi="Cambria"/>
          <w:i/>
          <w:iCs/>
        </w:rPr>
        <w:t>Cucurbita moschata</w:t>
      </w:r>
      <w:r w:rsidR="002C4F1E">
        <w:rPr>
          <w:rFonts w:ascii="Cambria" w:hAnsi="Cambria"/>
          <w:i/>
          <w:iCs/>
        </w:rPr>
        <w:t xml:space="preserve"> </w:t>
      </w:r>
      <w:r w:rsidR="002C4F1E">
        <w:rPr>
          <w:rFonts w:ascii="Cambria" w:hAnsi="Cambria"/>
          <w:iCs/>
        </w:rPr>
        <w:t>(</w:t>
      </w:r>
      <w:r w:rsidR="002C4F1E">
        <w:rPr>
          <w:rFonts w:asciiTheme="majorHAnsi" w:hAnsiTheme="majorHAnsi"/>
          <w:iCs/>
          <w:szCs w:val="18"/>
        </w:rPr>
        <w:t>Fiona Constable [</w:t>
      </w:r>
      <w:r w:rsidR="002C4F1E" w:rsidRPr="0070635C">
        <w:rPr>
          <w:rFonts w:asciiTheme="majorHAnsi" w:hAnsiTheme="majorHAnsi"/>
          <w:iCs/>
          <w:szCs w:val="18"/>
        </w:rPr>
        <w:t>D</w:t>
      </w:r>
      <w:r w:rsidR="00326368">
        <w:rPr>
          <w:rFonts w:asciiTheme="majorHAnsi" w:hAnsiTheme="majorHAnsi"/>
          <w:iCs/>
          <w:szCs w:val="18"/>
        </w:rPr>
        <w:t>EDJTR</w:t>
      </w:r>
      <w:r w:rsidR="002C4F1E">
        <w:rPr>
          <w:rFonts w:asciiTheme="majorHAnsi" w:hAnsiTheme="majorHAnsi"/>
          <w:iCs/>
          <w:szCs w:val="18"/>
        </w:rPr>
        <w:t>] 2015, pers. comm., 2 December</w:t>
      </w:r>
      <w:r w:rsidR="00BC4D0C">
        <w:rPr>
          <w:rFonts w:asciiTheme="majorHAnsi" w:hAnsiTheme="majorHAnsi"/>
          <w:iCs/>
          <w:szCs w:val="18"/>
        </w:rPr>
        <w:t>),</w:t>
      </w:r>
      <w:r w:rsidR="002C4F1E">
        <w:rPr>
          <w:rFonts w:ascii="Cambria" w:hAnsi="Cambria"/>
          <w:i/>
        </w:rPr>
        <w:t xml:space="preserve"> </w:t>
      </w:r>
      <w:r>
        <w:rPr>
          <w:rFonts w:ascii="Cambria" w:hAnsi="Cambria"/>
          <w:i/>
        </w:rPr>
        <w:t xml:space="preserve">Cucurbita pepo </w:t>
      </w:r>
      <w:r>
        <w:rPr>
          <w:rFonts w:ascii="Cambria" w:hAnsi="Cambria"/>
          <w:iCs/>
        </w:rPr>
        <w:t>(Al-</w:t>
      </w:r>
      <w:proofErr w:type="spellStart"/>
      <w:r>
        <w:rPr>
          <w:rFonts w:ascii="Cambria" w:hAnsi="Cambria"/>
          <w:iCs/>
        </w:rPr>
        <w:t>Tamimi</w:t>
      </w:r>
      <w:proofErr w:type="spellEnd"/>
      <w:r>
        <w:rPr>
          <w:rFonts w:ascii="Cambria" w:hAnsi="Cambria"/>
          <w:iCs/>
        </w:rPr>
        <w:t xml:space="preserve"> et al. 2009; Kwon et al. 2014), </w:t>
      </w:r>
      <w:r>
        <w:rPr>
          <w:rFonts w:ascii="Cambria" w:hAnsi="Cambria"/>
          <w:i/>
        </w:rPr>
        <w:t xml:space="preserve">Lagenaria siceraria </w:t>
      </w:r>
      <w:r>
        <w:rPr>
          <w:rFonts w:ascii="Cambria" w:hAnsi="Cambria"/>
        </w:rPr>
        <w:t xml:space="preserve">(Choi 2001; </w:t>
      </w:r>
      <w:proofErr w:type="spellStart"/>
      <w:r>
        <w:rPr>
          <w:rFonts w:ascii="Cambria" w:hAnsi="Cambria"/>
        </w:rPr>
        <w:t>Boubourakas</w:t>
      </w:r>
      <w:proofErr w:type="spellEnd"/>
      <w:r>
        <w:rPr>
          <w:rFonts w:ascii="Cambria" w:hAnsi="Cambria"/>
        </w:rPr>
        <w:t xml:space="preserve"> et al. 2004) and </w:t>
      </w:r>
      <w:r>
        <w:rPr>
          <w:rFonts w:ascii="Cambria" w:hAnsi="Cambria"/>
          <w:i/>
        </w:rPr>
        <w:t>Trichosanthes cucumerina</w:t>
      </w:r>
      <w:r>
        <w:rPr>
          <w:rFonts w:ascii="Cambria" w:hAnsi="Cambria"/>
          <w:b/>
          <w:i/>
        </w:rPr>
        <w:t xml:space="preserve"> </w:t>
      </w:r>
      <w:r>
        <w:rPr>
          <w:rFonts w:ascii="Cambria" w:hAnsi="Cambria"/>
        </w:rPr>
        <w:t>(</w:t>
      </w:r>
      <w:proofErr w:type="spellStart"/>
      <w:r>
        <w:rPr>
          <w:rFonts w:ascii="Cambria" w:hAnsi="Cambria"/>
        </w:rPr>
        <w:t>Ariyaratne</w:t>
      </w:r>
      <w:proofErr w:type="spellEnd"/>
      <w:r>
        <w:rPr>
          <w:rFonts w:ascii="Cambria" w:hAnsi="Cambria"/>
        </w:rPr>
        <w:t xml:space="preserve"> et al. 2005)</w:t>
      </w:r>
      <w:r>
        <w:rPr>
          <w:rFonts w:ascii="Cambria" w:hAnsi="Cambria"/>
          <w:bCs/>
        </w:rPr>
        <w:t xml:space="preserve">. </w:t>
      </w:r>
      <w:r>
        <w:rPr>
          <w:rFonts w:ascii="Cambria" w:hAnsi="Cambria"/>
          <w:szCs w:val="22"/>
        </w:rPr>
        <w:t xml:space="preserve">Therefore, CGMMV is associated with the seed pathway </w:t>
      </w:r>
      <w:r w:rsidR="009A168B">
        <w:rPr>
          <w:rFonts w:ascii="Cambria" w:hAnsi="Cambria"/>
          <w:szCs w:val="22"/>
        </w:rPr>
        <w:t>for</w:t>
      </w:r>
      <w:r>
        <w:rPr>
          <w:rFonts w:ascii="Cambria" w:hAnsi="Cambria"/>
          <w:szCs w:val="22"/>
        </w:rPr>
        <w:t xml:space="preserve"> these hosts.</w:t>
      </w:r>
      <w:r w:rsidR="002C4F1E">
        <w:rPr>
          <w:rFonts w:ascii="Cambria" w:hAnsi="Cambria"/>
          <w:szCs w:val="22"/>
        </w:rPr>
        <w:t xml:space="preserve"> It also has </w:t>
      </w:r>
      <w:r w:rsidR="00CD3554">
        <w:rPr>
          <w:rFonts w:ascii="Cambria" w:hAnsi="Cambria"/>
          <w:szCs w:val="22"/>
        </w:rPr>
        <w:t>been detected on the seed</w:t>
      </w:r>
      <w:r w:rsidR="00036BCA">
        <w:rPr>
          <w:rFonts w:ascii="Cambria" w:hAnsi="Cambria"/>
          <w:szCs w:val="22"/>
        </w:rPr>
        <w:t>s</w:t>
      </w:r>
      <w:r w:rsidR="00CD3554">
        <w:rPr>
          <w:rFonts w:ascii="Cambria" w:hAnsi="Cambria"/>
          <w:szCs w:val="22"/>
        </w:rPr>
        <w:t xml:space="preserve"> of the hybrid </w:t>
      </w:r>
      <w:r w:rsidR="00CD3554">
        <w:rPr>
          <w:rFonts w:ascii="Cambria" w:hAnsi="Cambria"/>
          <w:i/>
          <w:szCs w:val="22"/>
        </w:rPr>
        <w:t xml:space="preserve">Cucurbita maxima </w:t>
      </w:r>
      <w:r w:rsidR="00CD3554">
        <w:rPr>
          <w:rFonts w:ascii="Cambria" w:hAnsi="Cambria"/>
          <w:szCs w:val="22"/>
        </w:rPr>
        <w:t xml:space="preserve">x </w:t>
      </w:r>
      <w:r w:rsidR="00CD3554">
        <w:rPr>
          <w:rFonts w:ascii="Cambria" w:hAnsi="Cambria"/>
          <w:i/>
          <w:szCs w:val="22"/>
        </w:rPr>
        <w:t xml:space="preserve">Cucurbita moschata </w:t>
      </w:r>
      <w:r w:rsidR="00326368">
        <w:rPr>
          <w:rFonts w:ascii="Cambria" w:hAnsi="Cambria"/>
        </w:rPr>
        <w:t>(</w:t>
      </w:r>
      <w:r w:rsidR="00326368">
        <w:rPr>
          <w:rFonts w:asciiTheme="majorHAnsi" w:hAnsiTheme="majorHAnsi"/>
          <w:iCs/>
          <w:szCs w:val="18"/>
        </w:rPr>
        <w:t>Fiona Constable [</w:t>
      </w:r>
      <w:r w:rsidR="00326368" w:rsidRPr="0070635C">
        <w:rPr>
          <w:rFonts w:asciiTheme="majorHAnsi" w:hAnsiTheme="majorHAnsi"/>
          <w:iCs/>
          <w:szCs w:val="18"/>
        </w:rPr>
        <w:t>D</w:t>
      </w:r>
      <w:r w:rsidR="00326368">
        <w:rPr>
          <w:rFonts w:asciiTheme="majorHAnsi" w:hAnsiTheme="majorHAnsi"/>
          <w:iCs/>
          <w:szCs w:val="18"/>
        </w:rPr>
        <w:t>EDJTR] 2015, pers. comm., 2 December</w:t>
      </w:r>
      <w:r w:rsidR="00326368">
        <w:rPr>
          <w:rFonts w:ascii="Cambria" w:hAnsi="Cambria"/>
        </w:rPr>
        <w:t>)</w:t>
      </w:r>
      <w:r w:rsidR="00CD3554">
        <w:rPr>
          <w:rFonts w:ascii="Cambria" w:hAnsi="Cambria"/>
          <w:szCs w:val="22"/>
        </w:rPr>
        <w:t xml:space="preserve">, and </w:t>
      </w:r>
      <w:r w:rsidR="00036BCA">
        <w:rPr>
          <w:rFonts w:ascii="Cambria" w:hAnsi="Cambria"/>
          <w:szCs w:val="22"/>
        </w:rPr>
        <w:t xml:space="preserve">therefore </w:t>
      </w:r>
      <w:r w:rsidR="00CD3554">
        <w:rPr>
          <w:rFonts w:ascii="Cambria" w:hAnsi="Cambria"/>
          <w:szCs w:val="22"/>
        </w:rPr>
        <w:t xml:space="preserve">has </w:t>
      </w:r>
      <w:r w:rsidR="002C4F1E">
        <w:rPr>
          <w:rFonts w:ascii="Cambria" w:hAnsi="Cambria"/>
          <w:szCs w:val="22"/>
        </w:rPr>
        <w:t xml:space="preserve">the potential to be associated with the seeds of </w:t>
      </w:r>
      <w:r w:rsidR="003921EC">
        <w:rPr>
          <w:rFonts w:ascii="Cambria" w:hAnsi="Cambria"/>
          <w:szCs w:val="22"/>
        </w:rPr>
        <w:t xml:space="preserve">hybrids of </w:t>
      </w:r>
      <w:r w:rsidR="0026016E">
        <w:rPr>
          <w:rFonts w:ascii="Cambria" w:hAnsi="Cambria"/>
          <w:szCs w:val="22"/>
        </w:rPr>
        <w:t>other seed-borne hosts of CGMMV</w:t>
      </w:r>
      <w:r w:rsidR="002C4F1E">
        <w:rPr>
          <w:rFonts w:ascii="Cambria" w:hAnsi="Cambria"/>
          <w:szCs w:val="22"/>
        </w:rPr>
        <w:t>.</w:t>
      </w:r>
    </w:p>
    <w:p w14:paraId="10079B14" w14:textId="34A86B29" w:rsidR="008163B6" w:rsidRDefault="00036BCA" w:rsidP="006F4BBD">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szCs w:val="22"/>
        </w:rPr>
        <w:t>The a</w:t>
      </w:r>
      <w:r w:rsidR="00F709BD">
        <w:rPr>
          <w:rFonts w:ascii="Cambria" w:hAnsi="Cambria"/>
          <w:szCs w:val="22"/>
        </w:rPr>
        <w:t>ssociation of cucurbit seeds with CGMMV is mainly external (</w:t>
      </w:r>
      <w:proofErr w:type="spellStart"/>
      <w:r w:rsidR="00F709BD">
        <w:rPr>
          <w:rFonts w:ascii="Cambria" w:hAnsi="Cambria"/>
          <w:szCs w:val="22"/>
        </w:rPr>
        <w:t>Lecoq</w:t>
      </w:r>
      <w:proofErr w:type="spellEnd"/>
      <w:r w:rsidR="00F709BD">
        <w:rPr>
          <w:rFonts w:ascii="Cambria" w:hAnsi="Cambria"/>
          <w:szCs w:val="22"/>
        </w:rPr>
        <w:t xml:space="preserve"> &amp; </w:t>
      </w:r>
      <w:proofErr w:type="spellStart"/>
      <w:r w:rsidR="00F709BD">
        <w:rPr>
          <w:rFonts w:ascii="Cambria" w:hAnsi="Cambria"/>
          <w:szCs w:val="22"/>
        </w:rPr>
        <w:t>Desbiez</w:t>
      </w:r>
      <w:proofErr w:type="spellEnd"/>
      <w:r w:rsidR="00F709BD">
        <w:rPr>
          <w:rFonts w:ascii="Cambria" w:hAnsi="Cambria"/>
          <w:szCs w:val="22"/>
        </w:rPr>
        <w:t xml:space="preserve"> 2012). The highly stable genome helps the virus remain infectious in dried seed coats and can subsequently infect plantlets during germination (</w:t>
      </w:r>
      <w:proofErr w:type="spellStart"/>
      <w:r w:rsidR="00F709BD">
        <w:rPr>
          <w:rFonts w:ascii="Cambria" w:hAnsi="Cambria"/>
          <w:szCs w:val="22"/>
        </w:rPr>
        <w:t>Lecoq</w:t>
      </w:r>
      <w:proofErr w:type="spellEnd"/>
      <w:r w:rsidR="00F709BD">
        <w:rPr>
          <w:rFonts w:ascii="Cambria" w:hAnsi="Cambria"/>
          <w:szCs w:val="22"/>
        </w:rPr>
        <w:t xml:space="preserve"> &amp; </w:t>
      </w:r>
      <w:proofErr w:type="spellStart"/>
      <w:r w:rsidR="00F709BD">
        <w:rPr>
          <w:rFonts w:ascii="Cambria" w:hAnsi="Cambria"/>
          <w:szCs w:val="22"/>
        </w:rPr>
        <w:t>Katis</w:t>
      </w:r>
      <w:proofErr w:type="spellEnd"/>
      <w:r w:rsidR="00F709BD">
        <w:rPr>
          <w:rFonts w:ascii="Cambria" w:hAnsi="Cambria"/>
          <w:szCs w:val="22"/>
        </w:rPr>
        <w:t xml:space="preserve"> 2014). </w:t>
      </w:r>
      <w:r w:rsidR="00CD6636">
        <w:rPr>
          <w:rFonts w:ascii="Cambria" w:hAnsi="Cambria"/>
          <w:szCs w:val="22"/>
        </w:rPr>
        <w:t xml:space="preserve"> CGMMV is also found in the inner tissue </w:t>
      </w:r>
      <w:r>
        <w:rPr>
          <w:rFonts w:ascii="Cambria" w:hAnsi="Cambria"/>
          <w:szCs w:val="22"/>
        </w:rPr>
        <w:t xml:space="preserve">(endopleura) </w:t>
      </w:r>
      <w:r w:rsidR="00CD6636">
        <w:rPr>
          <w:rFonts w:ascii="Cambria" w:hAnsi="Cambria"/>
          <w:szCs w:val="22"/>
        </w:rPr>
        <w:t>of infected seed</w:t>
      </w:r>
      <w:r w:rsidR="004E14D0">
        <w:rPr>
          <w:rFonts w:ascii="Cambria" w:hAnsi="Cambria"/>
          <w:szCs w:val="22"/>
        </w:rPr>
        <w:t>s</w:t>
      </w:r>
      <w:r>
        <w:rPr>
          <w:rFonts w:ascii="Cambria" w:hAnsi="Cambria"/>
          <w:szCs w:val="22"/>
        </w:rPr>
        <w:t xml:space="preserve"> </w:t>
      </w:r>
      <w:r w:rsidR="00CD6636">
        <w:rPr>
          <w:rFonts w:ascii="Cambria" w:hAnsi="Cambria"/>
          <w:szCs w:val="22"/>
        </w:rPr>
        <w:t>(</w:t>
      </w:r>
      <w:proofErr w:type="spellStart"/>
      <w:r w:rsidR="00CD6636">
        <w:rPr>
          <w:rFonts w:ascii="Cambria" w:hAnsi="Cambria"/>
          <w:szCs w:val="22"/>
        </w:rPr>
        <w:t>Reingold</w:t>
      </w:r>
      <w:proofErr w:type="spellEnd"/>
      <w:r w:rsidR="00CD6636">
        <w:rPr>
          <w:rFonts w:ascii="Cambria" w:hAnsi="Cambria"/>
          <w:szCs w:val="22"/>
        </w:rPr>
        <w:t xml:space="preserve"> et al. 2015). Therefore,</w:t>
      </w:r>
      <w:r w:rsidR="00F709BD">
        <w:rPr>
          <w:rFonts w:ascii="Cambria" w:hAnsi="Cambria"/>
          <w:szCs w:val="22"/>
        </w:rPr>
        <w:t xml:space="preserve"> CGMMV is associated with the </w:t>
      </w:r>
      <w:r w:rsidR="00E549FC">
        <w:rPr>
          <w:rFonts w:ascii="Cambria" w:hAnsi="Cambria"/>
          <w:szCs w:val="22"/>
        </w:rPr>
        <w:t xml:space="preserve">host </w:t>
      </w:r>
      <w:r w:rsidR="00F709BD">
        <w:rPr>
          <w:rFonts w:ascii="Cambria" w:hAnsi="Cambria"/>
          <w:szCs w:val="22"/>
        </w:rPr>
        <w:t>seed pathway.</w:t>
      </w:r>
    </w:p>
    <w:p w14:paraId="0ED4F754" w14:textId="77777777" w:rsidR="008163B6" w:rsidRDefault="00F709BD" w:rsidP="006F4BBD">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Seed to seedling transmission has also been reported for CGMMV </w:t>
      </w:r>
      <w:r w:rsidR="00E97204">
        <w:rPr>
          <w:rFonts w:ascii="Cambria" w:hAnsi="Cambria"/>
        </w:rPr>
        <w:t xml:space="preserve">in multiple hosts </w:t>
      </w:r>
      <w:r>
        <w:rPr>
          <w:rFonts w:ascii="Cambria" w:hAnsi="Cambria"/>
        </w:rPr>
        <w:t>(Lee et al. 1990; Choi 2001; Liu et al. 2014). Therefore, trade in seeds for sowing is a pathway for the introduction of CGMMV.</w:t>
      </w:r>
    </w:p>
    <w:bookmarkEnd w:id="249"/>
    <w:p w14:paraId="1B2119AD" w14:textId="0BB435FC" w:rsidR="008163B6" w:rsidRDefault="00C079F6" w:rsidP="006F4BBD">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CGMMV was first described in the 1930s in the UK </w:t>
      </w:r>
      <w:r>
        <w:rPr>
          <w:rFonts w:ascii="Cambria" w:hAnsi="Cambria"/>
        </w:rPr>
        <w:t xml:space="preserve">(Ainsworth 1935; </w:t>
      </w:r>
      <w:proofErr w:type="spellStart"/>
      <w:r>
        <w:rPr>
          <w:rFonts w:ascii="Cambria" w:hAnsi="Cambria"/>
        </w:rPr>
        <w:t>Ugaki</w:t>
      </w:r>
      <w:proofErr w:type="spellEnd"/>
      <w:r>
        <w:rPr>
          <w:rFonts w:ascii="Cambria" w:hAnsi="Cambria"/>
        </w:rPr>
        <w:t xml:space="preserve"> et al. 1991) and </w:t>
      </w:r>
      <w:r w:rsidR="00F51DFB">
        <w:rPr>
          <w:rFonts w:ascii="Cambria" w:hAnsi="Cambria"/>
        </w:rPr>
        <w:t xml:space="preserve">has </w:t>
      </w:r>
      <w:r>
        <w:rPr>
          <w:rFonts w:ascii="Cambria" w:hAnsi="Cambria"/>
        </w:rPr>
        <w:t>since been found to infect cucurbit crops worldwide (</w:t>
      </w:r>
      <w:proofErr w:type="spellStart"/>
      <w:r>
        <w:rPr>
          <w:rFonts w:ascii="Cambria" w:hAnsi="Cambria"/>
        </w:rPr>
        <w:t>Reingold</w:t>
      </w:r>
      <w:proofErr w:type="spellEnd"/>
      <w:r>
        <w:rPr>
          <w:rFonts w:ascii="Cambria" w:hAnsi="Cambria"/>
        </w:rPr>
        <w:t xml:space="preserve"> et al. 2015).</w:t>
      </w:r>
      <w:r>
        <w:rPr>
          <w:rFonts w:ascii="Cambria" w:hAnsi="Cambria"/>
          <w:szCs w:val="22"/>
        </w:rPr>
        <w:t xml:space="preserve"> </w:t>
      </w:r>
      <w:r w:rsidR="00F709BD">
        <w:rPr>
          <w:rFonts w:ascii="Cambria" w:hAnsi="Cambria"/>
          <w:szCs w:val="22"/>
        </w:rPr>
        <w:t xml:space="preserve">Global trade in seeds and the associated movement of seeds across borders </w:t>
      </w:r>
      <w:r>
        <w:rPr>
          <w:rFonts w:ascii="Cambria" w:hAnsi="Cambria"/>
          <w:szCs w:val="22"/>
        </w:rPr>
        <w:t xml:space="preserve">is likely to have played a significant role in the </w:t>
      </w:r>
      <w:r w:rsidR="00F709BD">
        <w:rPr>
          <w:rFonts w:ascii="Cambria" w:hAnsi="Cambria"/>
          <w:szCs w:val="22"/>
        </w:rPr>
        <w:t>introduc</w:t>
      </w:r>
      <w:r>
        <w:rPr>
          <w:rFonts w:ascii="Cambria" w:hAnsi="Cambria"/>
          <w:szCs w:val="22"/>
        </w:rPr>
        <w:t>tion of</w:t>
      </w:r>
      <w:r w:rsidR="00F709BD">
        <w:rPr>
          <w:rFonts w:ascii="Cambria" w:hAnsi="Cambria"/>
          <w:szCs w:val="22"/>
        </w:rPr>
        <w:t xml:space="preserve"> </w:t>
      </w:r>
      <w:r w:rsidR="00F709BD">
        <w:rPr>
          <w:rFonts w:ascii="Cambria" w:hAnsi="Cambria"/>
          <w:bCs/>
        </w:rPr>
        <w:t xml:space="preserve">CGMMV </w:t>
      </w:r>
      <w:r w:rsidR="00F709BD">
        <w:rPr>
          <w:rFonts w:ascii="Cambria" w:hAnsi="Cambria"/>
          <w:szCs w:val="22"/>
        </w:rPr>
        <w:t xml:space="preserve">into </w:t>
      </w:r>
      <w:r>
        <w:rPr>
          <w:rFonts w:ascii="Cambria" w:hAnsi="Cambria"/>
          <w:szCs w:val="22"/>
        </w:rPr>
        <w:t>geographically distant</w:t>
      </w:r>
      <w:r w:rsidR="00F709BD">
        <w:rPr>
          <w:rFonts w:ascii="Cambria" w:hAnsi="Cambria"/>
          <w:szCs w:val="22"/>
        </w:rPr>
        <w:t xml:space="preserve"> areas</w:t>
      </w:r>
      <w:r w:rsidR="00F709BD">
        <w:rPr>
          <w:rFonts w:ascii="Cambria" w:hAnsi="Cambria"/>
          <w:i/>
          <w:szCs w:val="22"/>
        </w:rPr>
        <w:t>.</w:t>
      </w:r>
      <w:r w:rsidR="00F709BD">
        <w:rPr>
          <w:rFonts w:ascii="Cambria" w:hAnsi="Cambria"/>
          <w:szCs w:val="22"/>
        </w:rPr>
        <w:t xml:space="preserve"> </w:t>
      </w:r>
    </w:p>
    <w:p w14:paraId="16DD2821" w14:textId="6F0B698E" w:rsidR="00E97204" w:rsidRDefault="00F709BD" w:rsidP="006F4BBD">
      <w:pPr>
        <w:pStyle w:val="AQISNum"/>
        <w:numPr>
          <w:ilvl w:val="1"/>
          <w:numId w:val="33"/>
        </w:numPr>
        <w:tabs>
          <w:tab w:val="clear" w:pos="1440"/>
          <w:tab w:val="num" w:pos="567"/>
        </w:tabs>
        <w:spacing w:before="120" w:after="120" w:line="276" w:lineRule="auto"/>
        <w:ind w:left="567" w:hanging="283"/>
        <w:contextualSpacing/>
        <w:rPr>
          <w:rFonts w:ascii="Cambria" w:hAnsi="Cambria"/>
          <w:szCs w:val="22"/>
        </w:rPr>
      </w:pPr>
      <w:r>
        <w:rPr>
          <w:rFonts w:ascii="Cambria" w:hAnsi="Cambria"/>
        </w:rPr>
        <w:t>CGMMV</w:t>
      </w:r>
      <w:r>
        <w:rPr>
          <w:rFonts w:ascii="Cambria" w:hAnsi="Cambria"/>
          <w:szCs w:val="22"/>
        </w:rPr>
        <w:t xml:space="preserve"> was presumed to be have been introduced by infected bottle gourd </w:t>
      </w:r>
      <w:r w:rsidR="00F51DFB">
        <w:rPr>
          <w:rFonts w:ascii="Cambria" w:hAnsi="Cambria"/>
          <w:szCs w:val="22"/>
        </w:rPr>
        <w:t>(</w:t>
      </w:r>
      <w:r w:rsidR="00F51DFB">
        <w:rPr>
          <w:rFonts w:ascii="Cambria" w:hAnsi="Cambria"/>
          <w:bCs/>
          <w:i/>
          <w:lang w:eastAsia="en-AU"/>
        </w:rPr>
        <w:t>Lagenaria siceraria</w:t>
      </w:r>
      <w:r w:rsidR="00F51DFB">
        <w:rPr>
          <w:rFonts w:ascii="Cambria" w:hAnsi="Cambria"/>
          <w:szCs w:val="22"/>
        </w:rPr>
        <w:t xml:space="preserve">) </w:t>
      </w:r>
      <w:r>
        <w:rPr>
          <w:rFonts w:ascii="Cambria" w:hAnsi="Cambria"/>
          <w:szCs w:val="22"/>
        </w:rPr>
        <w:t>seeds into Japan in 1966 (</w:t>
      </w:r>
      <w:proofErr w:type="spellStart"/>
      <w:r>
        <w:rPr>
          <w:rFonts w:ascii="Cambria" w:hAnsi="Cambria"/>
          <w:szCs w:val="22"/>
        </w:rPr>
        <w:t>Tochihara</w:t>
      </w:r>
      <w:proofErr w:type="spellEnd"/>
      <w:r>
        <w:rPr>
          <w:rFonts w:ascii="Cambria" w:hAnsi="Cambria"/>
          <w:szCs w:val="22"/>
        </w:rPr>
        <w:t xml:space="preserve"> &amp; </w:t>
      </w:r>
      <w:proofErr w:type="spellStart"/>
      <w:r>
        <w:rPr>
          <w:rFonts w:ascii="Cambria" w:hAnsi="Cambria"/>
          <w:szCs w:val="22"/>
        </w:rPr>
        <w:t>Komuro</w:t>
      </w:r>
      <w:proofErr w:type="spellEnd"/>
      <w:r>
        <w:rPr>
          <w:rFonts w:ascii="Cambria" w:hAnsi="Cambria"/>
          <w:szCs w:val="22"/>
        </w:rPr>
        <w:t xml:space="preserve"> 1974; Kobayashi 1990). </w:t>
      </w:r>
    </w:p>
    <w:p w14:paraId="3D593C86" w14:textId="32910BD7" w:rsidR="00C079F6" w:rsidRDefault="00C079F6" w:rsidP="006F4BBD">
      <w:pPr>
        <w:pStyle w:val="AQISNum"/>
        <w:numPr>
          <w:ilvl w:val="1"/>
          <w:numId w:val="33"/>
        </w:numPr>
        <w:tabs>
          <w:tab w:val="clear" w:pos="1440"/>
          <w:tab w:val="num" w:pos="567"/>
        </w:tabs>
        <w:spacing w:before="120" w:after="120" w:line="276" w:lineRule="auto"/>
        <w:ind w:left="567" w:hanging="283"/>
        <w:contextualSpacing/>
        <w:rPr>
          <w:rFonts w:ascii="Cambria" w:hAnsi="Cambria"/>
          <w:szCs w:val="22"/>
        </w:rPr>
      </w:pPr>
      <w:r>
        <w:rPr>
          <w:rFonts w:ascii="Cambria" w:hAnsi="Cambria"/>
        </w:rPr>
        <w:t>An outbreak of CGMMV</w:t>
      </w:r>
      <w:r>
        <w:rPr>
          <w:rFonts w:ascii="Cambria" w:hAnsi="Cambria"/>
          <w:szCs w:val="22"/>
        </w:rPr>
        <w:t xml:space="preserve"> in </w:t>
      </w:r>
      <w:r w:rsidR="00443056">
        <w:rPr>
          <w:rFonts w:ascii="Cambria" w:hAnsi="Cambria"/>
          <w:szCs w:val="22"/>
        </w:rPr>
        <w:t xml:space="preserve">the </w:t>
      </w:r>
      <w:r>
        <w:rPr>
          <w:rFonts w:ascii="Cambria" w:hAnsi="Cambria"/>
          <w:szCs w:val="22"/>
        </w:rPr>
        <w:t xml:space="preserve">watermelon growing areas of Korea was considered to be </w:t>
      </w:r>
      <w:r w:rsidR="009A168B">
        <w:rPr>
          <w:rFonts w:ascii="Cambria" w:hAnsi="Cambria"/>
          <w:szCs w:val="22"/>
        </w:rPr>
        <w:t>caused by the introduction of</w:t>
      </w:r>
      <w:r>
        <w:rPr>
          <w:rFonts w:ascii="Cambria" w:hAnsi="Cambria"/>
          <w:szCs w:val="22"/>
        </w:rPr>
        <w:t xml:space="preserve"> contaminated bottle gourd seeds from China (Choi 2001). </w:t>
      </w:r>
    </w:p>
    <w:p w14:paraId="58700FAE" w14:textId="77777777" w:rsidR="008163B6" w:rsidRDefault="00F709BD">
      <w:pPr>
        <w:pStyle w:val="Heading5"/>
        <w:spacing w:before="160"/>
      </w:pPr>
      <w:r>
        <w:t>Ability of the pest to survive transport and storage</w:t>
      </w:r>
    </w:p>
    <w:p w14:paraId="5E166704" w14:textId="433C07A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bCs/>
        </w:rPr>
        <w:t xml:space="preserve">CGMMV </w:t>
      </w:r>
      <w:r>
        <w:rPr>
          <w:rFonts w:ascii="Cambria" w:hAnsi="Cambria"/>
          <w:szCs w:val="22"/>
        </w:rPr>
        <w:t xml:space="preserve">is highly likely to survive during transport and storage since the primary conditions for survival are fulfilled by the presence of </w:t>
      </w:r>
      <w:r w:rsidR="009A168B">
        <w:rPr>
          <w:rFonts w:ascii="Cambria" w:hAnsi="Cambria"/>
          <w:szCs w:val="22"/>
        </w:rPr>
        <w:t>viable seeds</w:t>
      </w:r>
      <w:r>
        <w:rPr>
          <w:rFonts w:ascii="Cambria" w:hAnsi="Cambria"/>
          <w:szCs w:val="22"/>
        </w:rPr>
        <w:t xml:space="preserve"> and associated environmental conditions. </w:t>
      </w:r>
      <w:r w:rsidR="00CF373F">
        <w:rPr>
          <w:rFonts w:ascii="Cambria" w:hAnsi="Cambria"/>
          <w:szCs w:val="22"/>
        </w:rPr>
        <w:t>Host c</w:t>
      </w:r>
      <w:r>
        <w:rPr>
          <w:rFonts w:ascii="Cambria" w:hAnsi="Cambria"/>
          <w:szCs w:val="22"/>
        </w:rPr>
        <w:t>ucurbit seeds are packaged and shipped to areas conducive to their survival. The handling of the seed is</w:t>
      </w:r>
      <w:r w:rsidR="009A168B">
        <w:rPr>
          <w:rFonts w:ascii="Cambria" w:hAnsi="Cambria"/>
          <w:szCs w:val="22"/>
        </w:rPr>
        <w:t xml:space="preserve"> highly</w:t>
      </w:r>
      <w:r>
        <w:rPr>
          <w:rFonts w:ascii="Cambria" w:hAnsi="Cambria"/>
          <w:szCs w:val="22"/>
        </w:rPr>
        <w:t xml:space="preserve"> unlikely to be detrimental to the survival of CGMMV.</w:t>
      </w:r>
    </w:p>
    <w:p w14:paraId="1C7AF85F" w14:textId="7E646CFE"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Most </w:t>
      </w:r>
      <w:r w:rsidR="00CC0813">
        <w:rPr>
          <w:rFonts w:ascii="Cambria" w:hAnsi="Cambria"/>
          <w:szCs w:val="22"/>
        </w:rPr>
        <w:t>seed-borne</w:t>
      </w:r>
      <w:r>
        <w:rPr>
          <w:rFonts w:ascii="Cambria" w:hAnsi="Cambria"/>
          <w:szCs w:val="22"/>
        </w:rPr>
        <w:t xml:space="preserve"> pathogens use seeds as a vehicle for transport and survival (Elmer 2001). Seed associations can provide</w:t>
      </w:r>
      <w:r w:rsidR="009A168B">
        <w:rPr>
          <w:rFonts w:ascii="Cambria" w:hAnsi="Cambria"/>
          <w:szCs w:val="22"/>
        </w:rPr>
        <w:t xml:space="preserve"> pathogens an opportunity for</w:t>
      </w:r>
      <w:r>
        <w:rPr>
          <w:rFonts w:ascii="Cambria" w:hAnsi="Cambria"/>
          <w:szCs w:val="22"/>
        </w:rPr>
        <w:t xml:space="preserve"> long-term survival. Survival of CGMMV is highly unlikely to be diminished during </w:t>
      </w:r>
      <w:r w:rsidR="00F51DFB">
        <w:rPr>
          <w:rFonts w:ascii="Cambria" w:hAnsi="Cambria"/>
          <w:szCs w:val="22"/>
        </w:rPr>
        <w:t xml:space="preserve">the </w:t>
      </w:r>
      <w:r>
        <w:rPr>
          <w:rFonts w:ascii="Cambria" w:hAnsi="Cambria"/>
          <w:szCs w:val="22"/>
        </w:rPr>
        <w:t>transport or storage</w:t>
      </w:r>
      <w:r w:rsidR="00A8786B">
        <w:rPr>
          <w:rFonts w:ascii="Cambria" w:hAnsi="Cambria"/>
          <w:szCs w:val="22"/>
        </w:rPr>
        <w:t xml:space="preserve"> of host seeds</w:t>
      </w:r>
      <w:r>
        <w:rPr>
          <w:rFonts w:ascii="Cambria" w:hAnsi="Cambria"/>
          <w:szCs w:val="22"/>
        </w:rPr>
        <w:t xml:space="preserve">. </w:t>
      </w:r>
    </w:p>
    <w:p w14:paraId="0AFFE5EB" w14:textId="3F03D072" w:rsidR="009C32F7"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Transport and storage of seed</w:t>
      </w:r>
      <w:r w:rsidR="00F51DFB">
        <w:rPr>
          <w:rFonts w:ascii="Cambria" w:hAnsi="Cambria"/>
          <w:szCs w:val="22"/>
        </w:rPr>
        <w:t xml:space="preserve">s </w:t>
      </w:r>
      <w:r>
        <w:rPr>
          <w:rFonts w:ascii="Cambria" w:hAnsi="Cambria"/>
          <w:szCs w:val="22"/>
        </w:rPr>
        <w:t xml:space="preserve">is done at low temperatures and these conditions are not expected to affect the viability of </w:t>
      </w:r>
      <w:r>
        <w:rPr>
          <w:rFonts w:ascii="Cambria" w:hAnsi="Cambria"/>
          <w:bCs/>
        </w:rPr>
        <w:t>CGMMV</w:t>
      </w:r>
      <w:r>
        <w:rPr>
          <w:rFonts w:ascii="Cambria" w:hAnsi="Cambria"/>
          <w:szCs w:val="22"/>
        </w:rPr>
        <w:t>. Hollings et al. (1975) reported that CGMMV is very stable and, when stored at 2</w:t>
      </w:r>
      <w:r w:rsidR="00B91E45">
        <w:rPr>
          <w:rFonts w:ascii="Cambria" w:hAnsi="Cambria"/>
          <w:szCs w:val="22"/>
        </w:rPr>
        <w:t> </w:t>
      </w:r>
      <w:r>
        <w:rPr>
          <w:rFonts w:ascii="Cambria" w:hAnsi="Cambria"/>
          <w:szCs w:val="22"/>
        </w:rPr>
        <w:t xml:space="preserve">°C, can retain nearly all serological activity for at least </w:t>
      </w:r>
      <w:r w:rsidR="009F2D3A">
        <w:rPr>
          <w:rFonts w:ascii="Cambria" w:hAnsi="Cambria"/>
          <w:szCs w:val="22"/>
        </w:rPr>
        <w:t>six</w:t>
      </w:r>
      <w:r>
        <w:rPr>
          <w:rFonts w:ascii="Cambria" w:hAnsi="Cambria"/>
          <w:szCs w:val="22"/>
        </w:rPr>
        <w:t xml:space="preserve"> years. Therefore, </w:t>
      </w:r>
      <w:r>
        <w:rPr>
          <w:rFonts w:ascii="Cambria" w:hAnsi="Cambria"/>
          <w:bCs/>
        </w:rPr>
        <w:t>CGMMV</w:t>
      </w:r>
      <w:r>
        <w:rPr>
          <w:rFonts w:ascii="Cambria" w:hAnsi="Cambria"/>
          <w:szCs w:val="22"/>
        </w:rPr>
        <w:t xml:space="preserve"> is</w:t>
      </w:r>
      <w:r w:rsidR="00A8786B">
        <w:rPr>
          <w:rFonts w:ascii="Cambria" w:hAnsi="Cambria"/>
          <w:szCs w:val="22"/>
        </w:rPr>
        <w:t xml:space="preserve"> highly</w:t>
      </w:r>
      <w:r>
        <w:rPr>
          <w:rFonts w:ascii="Cambria" w:hAnsi="Cambria"/>
          <w:szCs w:val="22"/>
        </w:rPr>
        <w:t xml:space="preserve"> likely to</w:t>
      </w:r>
      <w:r w:rsidR="00A8786B">
        <w:rPr>
          <w:rFonts w:ascii="Cambria" w:hAnsi="Cambria"/>
          <w:szCs w:val="22"/>
        </w:rPr>
        <w:t xml:space="preserve"> </w:t>
      </w:r>
      <w:r>
        <w:rPr>
          <w:rFonts w:ascii="Cambria" w:hAnsi="Cambria"/>
          <w:szCs w:val="22"/>
        </w:rPr>
        <w:t>survive</w:t>
      </w:r>
      <w:r w:rsidR="00A8786B">
        <w:rPr>
          <w:rFonts w:ascii="Cambria" w:hAnsi="Cambria"/>
          <w:szCs w:val="22"/>
        </w:rPr>
        <w:t xml:space="preserve"> in or on seeds during</w:t>
      </w:r>
      <w:r>
        <w:rPr>
          <w:rFonts w:ascii="Cambria" w:hAnsi="Cambria"/>
          <w:szCs w:val="22"/>
        </w:rPr>
        <w:t xml:space="preserve"> transport and storage.</w:t>
      </w:r>
      <w:r w:rsidR="00C84073">
        <w:rPr>
          <w:rFonts w:ascii="Cambria" w:hAnsi="Cambria"/>
          <w:szCs w:val="22"/>
        </w:rPr>
        <w:t xml:space="preserve"> </w:t>
      </w:r>
    </w:p>
    <w:p w14:paraId="19CC31A1" w14:textId="77777777" w:rsidR="008163B6" w:rsidRPr="00521491" w:rsidRDefault="008D6C04">
      <w:pPr>
        <w:pStyle w:val="Heading5"/>
        <w:spacing w:before="160"/>
        <w:rPr>
          <w:rFonts w:ascii="Cambria" w:hAnsi="Cambria"/>
          <w:i w:val="0"/>
        </w:rPr>
      </w:pPr>
      <w:r w:rsidRPr="00521491">
        <w:rPr>
          <w:rFonts w:ascii="Cambria" w:hAnsi="Cambria"/>
        </w:rPr>
        <w:t>Ability of the pest to survive existing pest management procedures</w:t>
      </w:r>
    </w:p>
    <w:p w14:paraId="0357C7E2" w14:textId="679F28B8" w:rsidR="008163B6" w:rsidRPr="00E24C0E" w:rsidRDefault="00F709BD" w:rsidP="00E24C0E">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sidRPr="00E24C0E">
        <w:rPr>
          <w:rFonts w:ascii="Cambria" w:hAnsi="Cambria"/>
          <w:szCs w:val="22"/>
        </w:rPr>
        <w:t>Curren</w:t>
      </w:r>
      <w:r w:rsidRPr="00E24C0E">
        <w:rPr>
          <w:rFonts w:ascii="Cambria" w:hAnsi="Cambria"/>
          <w:bCs/>
          <w:szCs w:val="22"/>
        </w:rPr>
        <w:t xml:space="preserve">tly, </w:t>
      </w:r>
      <w:r w:rsidRPr="00E24C0E">
        <w:rPr>
          <w:rFonts w:ascii="Cambria" w:hAnsi="Cambria"/>
          <w:szCs w:val="22"/>
        </w:rPr>
        <w:t xml:space="preserve">there are few effective control strategies for the protection of cucurbit </w:t>
      </w:r>
      <w:r w:rsidRPr="00E24C0E">
        <w:rPr>
          <w:rFonts w:ascii="Cambria" w:hAnsi="Cambria"/>
          <w:iCs/>
          <w:szCs w:val="22"/>
        </w:rPr>
        <w:t>crops again</w:t>
      </w:r>
      <w:r w:rsidRPr="00E24C0E">
        <w:rPr>
          <w:rFonts w:ascii="Cambria" w:hAnsi="Cambria"/>
          <w:bCs/>
          <w:szCs w:val="22"/>
        </w:rPr>
        <w:t xml:space="preserve">st natural infection of </w:t>
      </w:r>
      <w:r w:rsidRPr="00E24C0E">
        <w:rPr>
          <w:rFonts w:ascii="Cambria" w:hAnsi="Cambria"/>
          <w:bCs/>
        </w:rPr>
        <w:t>CGMMV</w:t>
      </w:r>
      <w:r w:rsidRPr="00E24C0E">
        <w:rPr>
          <w:rFonts w:ascii="Cambria" w:hAnsi="Cambria"/>
          <w:bCs/>
          <w:szCs w:val="22"/>
        </w:rPr>
        <w:t>.</w:t>
      </w:r>
      <w:r w:rsidRPr="00E24C0E">
        <w:rPr>
          <w:rFonts w:ascii="Cambria" w:hAnsi="Cambria"/>
          <w:szCs w:val="22"/>
        </w:rPr>
        <w:t xml:space="preserve"> Cultural practic</w:t>
      </w:r>
      <w:r w:rsidRPr="00E24C0E">
        <w:rPr>
          <w:rFonts w:ascii="Cambria" w:hAnsi="Cambria"/>
          <w:bCs/>
          <w:szCs w:val="22"/>
        </w:rPr>
        <w:t>es, i</w:t>
      </w:r>
      <w:r w:rsidRPr="00E24C0E">
        <w:rPr>
          <w:rFonts w:ascii="Cambria" w:hAnsi="Cambria"/>
          <w:szCs w:val="22"/>
        </w:rPr>
        <w:t xml:space="preserve">ncluding the use of CGMMV free seeds; removal and destruction of all infected host material; disinfection of equipment, tools and clothes; and strict control on </w:t>
      </w:r>
      <w:r w:rsidR="00443056" w:rsidRPr="00E24C0E">
        <w:rPr>
          <w:rFonts w:ascii="Cambria" w:hAnsi="Cambria"/>
          <w:szCs w:val="22"/>
        </w:rPr>
        <w:t xml:space="preserve">the </w:t>
      </w:r>
      <w:r w:rsidRPr="00E24C0E">
        <w:rPr>
          <w:rFonts w:ascii="Cambria" w:hAnsi="Cambria"/>
          <w:szCs w:val="22"/>
        </w:rPr>
        <w:t>movement of potentially infect</w:t>
      </w:r>
      <w:r w:rsidR="004E2CCB" w:rsidRPr="00E24C0E">
        <w:rPr>
          <w:rFonts w:ascii="Cambria" w:hAnsi="Cambria"/>
          <w:szCs w:val="22"/>
        </w:rPr>
        <w:t>ed material from affected farms</w:t>
      </w:r>
      <w:r w:rsidRPr="00E24C0E">
        <w:rPr>
          <w:rFonts w:ascii="Cambria" w:hAnsi="Cambria"/>
          <w:szCs w:val="22"/>
        </w:rPr>
        <w:t xml:space="preserve"> are </w:t>
      </w:r>
      <w:r w:rsidRPr="00E24C0E">
        <w:rPr>
          <w:rFonts w:ascii="Cambria" w:hAnsi="Cambria"/>
          <w:lang w:eastAsia="en-AU"/>
        </w:rPr>
        <w:t>critical factors in managing CGMMV.</w:t>
      </w:r>
    </w:p>
    <w:p w14:paraId="599BE352" w14:textId="46101673" w:rsidR="00815CB7" w:rsidRDefault="00815CB7"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Currently, most commercial seed lots are subjected to dry heat or chemical disinfection treatments prior to marketing (</w:t>
      </w:r>
      <w:proofErr w:type="spellStart"/>
      <w:r>
        <w:rPr>
          <w:rFonts w:ascii="Cambria" w:hAnsi="Cambria"/>
          <w:szCs w:val="22"/>
        </w:rPr>
        <w:t>Lecoq</w:t>
      </w:r>
      <w:proofErr w:type="spellEnd"/>
      <w:r>
        <w:rPr>
          <w:rFonts w:ascii="Cambria" w:hAnsi="Cambria"/>
          <w:szCs w:val="22"/>
        </w:rPr>
        <w:t xml:space="preserve"> &amp; </w:t>
      </w:r>
      <w:proofErr w:type="spellStart"/>
      <w:r>
        <w:rPr>
          <w:rFonts w:ascii="Cambria" w:hAnsi="Cambria"/>
          <w:szCs w:val="22"/>
        </w:rPr>
        <w:t>Desbiez</w:t>
      </w:r>
      <w:proofErr w:type="spellEnd"/>
      <w:r>
        <w:rPr>
          <w:rFonts w:ascii="Cambria" w:hAnsi="Cambria"/>
          <w:szCs w:val="22"/>
        </w:rPr>
        <w:t xml:space="preserve"> 2012). However, t</w:t>
      </w:r>
      <w:r w:rsidR="00F709BD">
        <w:rPr>
          <w:rFonts w:ascii="Cambria" w:hAnsi="Cambria"/>
          <w:szCs w:val="22"/>
        </w:rPr>
        <w:t xml:space="preserve">here </w:t>
      </w:r>
      <w:r>
        <w:rPr>
          <w:rFonts w:ascii="Cambria" w:hAnsi="Cambria"/>
          <w:szCs w:val="22"/>
        </w:rPr>
        <w:t xml:space="preserve">is </w:t>
      </w:r>
      <w:r w:rsidR="00F709BD">
        <w:rPr>
          <w:rFonts w:ascii="Cambria" w:hAnsi="Cambria"/>
          <w:szCs w:val="22"/>
        </w:rPr>
        <w:t xml:space="preserve">conflicting </w:t>
      </w:r>
      <w:r>
        <w:rPr>
          <w:rFonts w:ascii="Cambria" w:hAnsi="Cambria"/>
          <w:szCs w:val="22"/>
        </w:rPr>
        <w:t xml:space="preserve">evidence </w:t>
      </w:r>
      <w:r w:rsidR="00F709BD">
        <w:rPr>
          <w:rFonts w:ascii="Cambria" w:hAnsi="Cambria"/>
          <w:szCs w:val="22"/>
        </w:rPr>
        <w:t xml:space="preserve">on the effectiveness of </w:t>
      </w:r>
      <w:r>
        <w:rPr>
          <w:rFonts w:ascii="Cambria" w:hAnsi="Cambria"/>
          <w:szCs w:val="22"/>
        </w:rPr>
        <w:t xml:space="preserve">heat and chemical </w:t>
      </w:r>
      <w:r w:rsidR="00F709BD">
        <w:rPr>
          <w:rFonts w:ascii="Cambria" w:hAnsi="Cambria"/>
          <w:szCs w:val="22"/>
        </w:rPr>
        <w:t>treatment</w:t>
      </w:r>
      <w:r>
        <w:rPr>
          <w:rFonts w:ascii="Cambria" w:hAnsi="Cambria"/>
          <w:szCs w:val="22"/>
        </w:rPr>
        <w:t>s</w:t>
      </w:r>
      <w:r w:rsidR="00F709BD">
        <w:rPr>
          <w:rFonts w:ascii="Cambria" w:hAnsi="Cambria"/>
          <w:szCs w:val="22"/>
        </w:rPr>
        <w:t xml:space="preserve"> in eliminating CGMMV from host seeds. </w:t>
      </w:r>
      <w:r>
        <w:rPr>
          <w:rFonts w:ascii="Cambria" w:hAnsi="Cambria"/>
          <w:szCs w:val="22"/>
        </w:rPr>
        <w:t>Therefore, CGMMV may be able to survive existing pest management procedures.</w:t>
      </w:r>
    </w:p>
    <w:p w14:paraId="4C6C9FCC" w14:textId="7931EA6E" w:rsidR="00AC3586" w:rsidRDefault="00815CB7" w:rsidP="009B2C61">
      <w:pPr>
        <w:pStyle w:val="AQISNum"/>
        <w:numPr>
          <w:ilvl w:val="1"/>
          <w:numId w:val="33"/>
        </w:numPr>
        <w:tabs>
          <w:tab w:val="clear" w:pos="1440"/>
          <w:tab w:val="num" w:pos="567"/>
        </w:tabs>
        <w:spacing w:before="120" w:after="120" w:line="276" w:lineRule="auto"/>
        <w:ind w:left="567" w:hanging="283"/>
        <w:contextualSpacing/>
        <w:rPr>
          <w:rFonts w:ascii="Cambria" w:hAnsi="Cambria"/>
          <w:szCs w:val="22"/>
        </w:rPr>
      </w:pPr>
      <w:r>
        <w:rPr>
          <w:rFonts w:ascii="Cambria" w:hAnsi="Cambria"/>
          <w:szCs w:val="22"/>
        </w:rPr>
        <w:t xml:space="preserve">Some </w:t>
      </w:r>
      <w:r w:rsidR="00F709BD">
        <w:rPr>
          <w:rFonts w:ascii="Cambria" w:hAnsi="Cambria"/>
          <w:szCs w:val="22"/>
        </w:rPr>
        <w:t>reports indicate that the virus can be completely eliminated using dry heat treatment</w:t>
      </w:r>
      <w:r>
        <w:rPr>
          <w:rFonts w:ascii="Cambria" w:hAnsi="Cambria"/>
          <w:szCs w:val="22"/>
        </w:rPr>
        <w:t xml:space="preserve">. For example, </w:t>
      </w:r>
      <w:proofErr w:type="spellStart"/>
      <w:r>
        <w:rPr>
          <w:rFonts w:ascii="Cambria" w:hAnsi="Cambria"/>
          <w:szCs w:val="22"/>
        </w:rPr>
        <w:t>Lecoq</w:t>
      </w:r>
      <w:proofErr w:type="spellEnd"/>
      <w:r>
        <w:rPr>
          <w:rFonts w:ascii="Cambria" w:hAnsi="Cambria"/>
          <w:szCs w:val="22"/>
        </w:rPr>
        <w:t xml:space="preserve"> &amp; </w:t>
      </w:r>
      <w:proofErr w:type="spellStart"/>
      <w:r>
        <w:rPr>
          <w:rFonts w:ascii="Cambria" w:hAnsi="Cambria"/>
          <w:szCs w:val="22"/>
        </w:rPr>
        <w:t>Desbiez</w:t>
      </w:r>
      <w:proofErr w:type="spellEnd"/>
      <w:r>
        <w:rPr>
          <w:rFonts w:ascii="Cambria" w:hAnsi="Cambria"/>
          <w:szCs w:val="22"/>
        </w:rPr>
        <w:t xml:space="preserve"> </w:t>
      </w:r>
      <w:r w:rsidR="004E2CCB">
        <w:rPr>
          <w:rFonts w:ascii="Cambria" w:hAnsi="Cambria"/>
          <w:szCs w:val="22"/>
        </w:rPr>
        <w:t>(</w:t>
      </w:r>
      <w:r>
        <w:rPr>
          <w:rFonts w:ascii="Cambria" w:hAnsi="Cambria"/>
          <w:szCs w:val="22"/>
        </w:rPr>
        <w:t>2012</w:t>
      </w:r>
      <w:r w:rsidR="004E2CCB">
        <w:rPr>
          <w:rFonts w:ascii="Cambria" w:hAnsi="Cambria"/>
          <w:szCs w:val="22"/>
        </w:rPr>
        <w:t>)</w:t>
      </w:r>
      <w:r>
        <w:rPr>
          <w:rFonts w:ascii="Cambria" w:hAnsi="Cambria"/>
          <w:szCs w:val="22"/>
        </w:rPr>
        <w:t xml:space="preserve"> and </w:t>
      </w:r>
      <w:proofErr w:type="spellStart"/>
      <w:r>
        <w:rPr>
          <w:rFonts w:ascii="Cambria" w:hAnsi="Cambria"/>
          <w:szCs w:val="22"/>
        </w:rPr>
        <w:t>Lecoq</w:t>
      </w:r>
      <w:proofErr w:type="spellEnd"/>
      <w:r>
        <w:rPr>
          <w:rFonts w:ascii="Cambria" w:hAnsi="Cambria"/>
          <w:szCs w:val="22"/>
        </w:rPr>
        <w:t xml:space="preserve"> &amp; </w:t>
      </w:r>
      <w:proofErr w:type="spellStart"/>
      <w:r>
        <w:rPr>
          <w:rFonts w:ascii="Cambria" w:hAnsi="Cambria"/>
          <w:szCs w:val="22"/>
        </w:rPr>
        <w:t>Katis</w:t>
      </w:r>
      <w:proofErr w:type="spellEnd"/>
      <w:r>
        <w:rPr>
          <w:rFonts w:ascii="Cambria" w:hAnsi="Cambria"/>
          <w:szCs w:val="22"/>
        </w:rPr>
        <w:t xml:space="preserve"> </w:t>
      </w:r>
      <w:r w:rsidR="004E2CCB">
        <w:rPr>
          <w:rFonts w:ascii="Cambria" w:hAnsi="Cambria"/>
          <w:szCs w:val="22"/>
        </w:rPr>
        <w:t>(</w:t>
      </w:r>
      <w:r>
        <w:rPr>
          <w:rFonts w:ascii="Cambria" w:hAnsi="Cambria"/>
          <w:szCs w:val="22"/>
        </w:rPr>
        <w:t>2014</w:t>
      </w:r>
      <w:r w:rsidR="004E2CCB">
        <w:rPr>
          <w:rFonts w:ascii="Cambria" w:hAnsi="Cambria"/>
          <w:szCs w:val="22"/>
        </w:rPr>
        <w:t>)</w:t>
      </w:r>
      <w:r>
        <w:rPr>
          <w:rFonts w:ascii="Cambria" w:hAnsi="Cambria"/>
          <w:szCs w:val="22"/>
        </w:rPr>
        <w:t xml:space="preserve"> found that CGMMV could be eliminated from seed treated at </w:t>
      </w:r>
      <w:r w:rsidR="00F709BD">
        <w:rPr>
          <w:rFonts w:ascii="Cambria" w:hAnsi="Cambria"/>
          <w:szCs w:val="22"/>
        </w:rPr>
        <w:t>70</w:t>
      </w:r>
      <w:r w:rsidR="00F60B74">
        <w:rPr>
          <w:rFonts w:ascii="Cambria" w:hAnsi="Cambria"/>
          <w:szCs w:val="22"/>
        </w:rPr>
        <w:t> </w:t>
      </w:r>
      <w:r w:rsidR="00F709BD">
        <w:rPr>
          <w:rFonts w:ascii="Cambria" w:hAnsi="Cambria"/>
          <w:szCs w:val="22"/>
        </w:rPr>
        <w:t>°C for 24</w:t>
      </w:r>
      <w:r>
        <w:rPr>
          <w:rFonts w:ascii="Cambria" w:hAnsi="Cambria"/>
          <w:szCs w:val="22"/>
        </w:rPr>
        <w:t xml:space="preserve"> to </w:t>
      </w:r>
      <w:r w:rsidR="00F709BD">
        <w:rPr>
          <w:rFonts w:ascii="Cambria" w:hAnsi="Cambria"/>
          <w:szCs w:val="22"/>
        </w:rPr>
        <w:t xml:space="preserve">72 hours. </w:t>
      </w:r>
    </w:p>
    <w:p w14:paraId="7E3B3B3C" w14:textId="74A2707F" w:rsidR="00AC3586" w:rsidRDefault="00677FF2" w:rsidP="009B2C61">
      <w:pPr>
        <w:pStyle w:val="AQISNum"/>
        <w:numPr>
          <w:ilvl w:val="1"/>
          <w:numId w:val="33"/>
        </w:numPr>
        <w:tabs>
          <w:tab w:val="clear" w:pos="1440"/>
          <w:tab w:val="num" w:pos="567"/>
        </w:tabs>
        <w:spacing w:before="120" w:after="120" w:line="276" w:lineRule="auto"/>
        <w:ind w:left="567" w:hanging="283"/>
        <w:contextualSpacing/>
        <w:rPr>
          <w:rFonts w:ascii="Cambria" w:hAnsi="Cambria"/>
          <w:szCs w:val="22"/>
        </w:rPr>
      </w:pPr>
      <w:r>
        <w:rPr>
          <w:rFonts w:ascii="Cambria" w:hAnsi="Cambria"/>
          <w:szCs w:val="22"/>
        </w:rPr>
        <w:t>Other studies have found that heat and chemical treatments are inadequate in eliminating the virus from seeds.</w:t>
      </w:r>
      <w:r w:rsidR="00815CB7">
        <w:rPr>
          <w:rFonts w:ascii="Cambria" w:hAnsi="Cambria"/>
          <w:szCs w:val="22"/>
        </w:rPr>
        <w:t xml:space="preserve"> </w:t>
      </w:r>
      <w:r w:rsidR="008D6C04" w:rsidRPr="00521491">
        <w:rPr>
          <w:rFonts w:ascii="Cambria" w:hAnsi="Cambria"/>
          <w:szCs w:val="22"/>
        </w:rPr>
        <w:t xml:space="preserve">For instance, </w:t>
      </w:r>
      <w:proofErr w:type="spellStart"/>
      <w:r w:rsidR="008D6C04" w:rsidRPr="00521491">
        <w:rPr>
          <w:rFonts w:ascii="Cambria" w:hAnsi="Cambria"/>
          <w:szCs w:val="22"/>
        </w:rPr>
        <w:t>Reingold</w:t>
      </w:r>
      <w:proofErr w:type="spellEnd"/>
      <w:r w:rsidR="008D6C04" w:rsidRPr="00521491">
        <w:rPr>
          <w:rFonts w:ascii="Cambria" w:hAnsi="Cambria"/>
          <w:szCs w:val="22"/>
        </w:rPr>
        <w:t xml:space="preserve"> et al. (2015) found that heat treatment of seeds at 72 °C for 72 hours did not eliminate </w:t>
      </w:r>
      <w:r>
        <w:rPr>
          <w:rFonts w:ascii="Cambria" w:hAnsi="Cambria"/>
          <w:szCs w:val="22"/>
        </w:rPr>
        <w:t>CGMMV</w:t>
      </w:r>
      <w:r w:rsidR="008D6C04" w:rsidRPr="00521491">
        <w:rPr>
          <w:rFonts w:ascii="Cambria" w:hAnsi="Cambria"/>
          <w:szCs w:val="22"/>
        </w:rPr>
        <w:t xml:space="preserve"> from seeds, which had an infectivity rate of 66.6 percent after treatment. </w:t>
      </w:r>
      <w:r>
        <w:rPr>
          <w:rFonts w:ascii="Cambria" w:hAnsi="Cambria"/>
          <w:szCs w:val="22"/>
        </w:rPr>
        <w:t xml:space="preserve">Additionally, </w:t>
      </w:r>
      <w:proofErr w:type="spellStart"/>
      <w:r>
        <w:rPr>
          <w:rFonts w:ascii="Cambria" w:hAnsi="Cambria"/>
          <w:szCs w:val="22"/>
        </w:rPr>
        <w:t>Reingold</w:t>
      </w:r>
      <w:proofErr w:type="spellEnd"/>
      <w:r>
        <w:rPr>
          <w:rFonts w:ascii="Cambria" w:hAnsi="Cambria"/>
          <w:szCs w:val="22"/>
        </w:rPr>
        <w:t xml:space="preserve"> et al. (2015) found that </w:t>
      </w:r>
      <w:r w:rsidRPr="00815CB7">
        <w:rPr>
          <w:rFonts w:ascii="Cambria" w:hAnsi="Cambria"/>
          <w:szCs w:val="22"/>
        </w:rPr>
        <w:t xml:space="preserve">all infected seeds treated with 10 percent </w:t>
      </w:r>
      <w:proofErr w:type="spellStart"/>
      <w:r w:rsidRPr="00815CB7">
        <w:rPr>
          <w:rFonts w:ascii="Cambria" w:hAnsi="Cambria"/>
          <w:szCs w:val="22"/>
        </w:rPr>
        <w:t>trisodium</w:t>
      </w:r>
      <w:proofErr w:type="spellEnd"/>
      <w:r w:rsidRPr="00815CB7">
        <w:rPr>
          <w:rFonts w:ascii="Cambria" w:hAnsi="Cambria"/>
          <w:szCs w:val="22"/>
        </w:rPr>
        <w:t xml:space="preserve"> phosphate (TSP) still contained the entire viral genome after treatment and had an infectivity rate of 83.3 percent after treatment. </w:t>
      </w:r>
      <w:r>
        <w:rPr>
          <w:rFonts w:ascii="Cambria" w:hAnsi="Cambria"/>
          <w:szCs w:val="22"/>
        </w:rPr>
        <w:t xml:space="preserve">While the </w:t>
      </w:r>
      <w:r w:rsidR="008D6C04" w:rsidRPr="00521491">
        <w:rPr>
          <w:rFonts w:ascii="Cambria" w:hAnsi="Cambria"/>
          <w:szCs w:val="22"/>
        </w:rPr>
        <w:t xml:space="preserve">combination of treating seeds with 10 percent TSP then heat treatment was more effective in disinfecting seeds from </w:t>
      </w:r>
      <w:r>
        <w:rPr>
          <w:rFonts w:ascii="Cambria" w:hAnsi="Cambria"/>
          <w:szCs w:val="22"/>
        </w:rPr>
        <w:t>CGMMV</w:t>
      </w:r>
      <w:r w:rsidR="00F60B74">
        <w:rPr>
          <w:rFonts w:ascii="Cambria" w:hAnsi="Cambria"/>
          <w:szCs w:val="22"/>
        </w:rPr>
        <w:t xml:space="preserve"> then either individual treatment</w:t>
      </w:r>
      <w:r w:rsidR="008D6C04" w:rsidRPr="00521491">
        <w:rPr>
          <w:rFonts w:ascii="Cambria" w:hAnsi="Cambria"/>
          <w:szCs w:val="22"/>
        </w:rPr>
        <w:t xml:space="preserve">, </w:t>
      </w:r>
      <w:r>
        <w:rPr>
          <w:rFonts w:ascii="Cambria" w:hAnsi="Cambria"/>
          <w:szCs w:val="22"/>
        </w:rPr>
        <w:t>the</w:t>
      </w:r>
      <w:r w:rsidR="00F60B74">
        <w:rPr>
          <w:rFonts w:ascii="Cambria" w:hAnsi="Cambria"/>
          <w:szCs w:val="22"/>
        </w:rPr>
        <w:t xml:space="preserve"> infectivity rate was still </w:t>
      </w:r>
      <w:r w:rsidR="008D6C04" w:rsidRPr="00521491">
        <w:rPr>
          <w:rFonts w:ascii="Cambria" w:hAnsi="Cambria"/>
          <w:szCs w:val="22"/>
        </w:rPr>
        <w:t xml:space="preserve">31.5 percent after </w:t>
      </w:r>
      <w:r w:rsidR="00F60B74">
        <w:rPr>
          <w:rFonts w:ascii="Cambria" w:hAnsi="Cambria"/>
          <w:szCs w:val="22"/>
        </w:rPr>
        <w:t xml:space="preserve">both </w:t>
      </w:r>
      <w:r w:rsidR="008D6C04" w:rsidRPr="00521491">
        <w:rPr>
          <w:rFonts w:ascii="Cambria" w:hAnsi="Cambria"/>
          <w:szCs w:val="22"/>
        </w:rPr>
        <w:t>treatment</w:t>
      </w:r>
      <w:r w:rsidR="00F60B74">
        <w:rPr>
          <w:rFonts w:ascii="Cambria" w:hAnsi="Cambria"/>
          <w:szCs w:val="22"/>
        </w:rPr>
        <w:t>s (</w:t>
      </w:r>
      <w:proofErr w:type="spellStart"/>
      <w:r w:rsidR="00F60B74">
        <w:rPr>
          <w:rFonts w:ascii="Cambria" w:hAnsi="Cambria"/>
          <w:szCs w:val="22"/>
        </w:rPr>
        <w:t>Reingold</w:t>
      </w:r>
      <w:proofErr w:type="spellEnd"/>
      <w:r w:rsidR="00F60B74">
        <w:rPr>
          <w:rFonts w:ascii="Cambria" w:hAnsi="Cambria"/>
          <w:szCs w:val="22"/>
        </w:rPr>
        <w:t xml:space="preserve"> et al. 2015)</w:t>
      </w:r>
      <w:r w:rsidR="008D6C04" w:rsidRPr="00521491">
        <w:rPr>
          <w:rFonts w:ascii="Cambria" w:hAnsi="Cambria"/>
          <w:szCs w:val="22"/>
        </w:rPr>
        <w:t xml:space="preserve">. </w:t>
      </w:r>
    </w:p>
    <w:p w14:paraId="415C5CBD"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Disinfection of pruning and harvesting tools with </w:t>
      </w:r>
      <w:proofErr w:type="spellStart"/>
      <w:r>
        <w:rPr>
          <w:rFonts w:ascii="Cambria" w:hAnsi="Cambria"/>
          <w:szCs w:val="22"/>
        </w:rPr>
        <w:t>trisodium</w:t>
      </w:r>
      <w:proofErr w:type="spellEnd"/>
      <w:r>
        <w:rPr>
          <w:rFonts w:ascii="Cambria" w:hAnsi="Cambria"/>
          <w:szCs w:val="22"/>
        </w:rPr>
        <w:t xml:space="preserve"> phosphate will reduce mechanical transmission of the virus, but will not prevent transmission through leaf contact (</w:t>
      </w:r>
      <w:proofErr w:type="spellStart"/>
      <w:r>
        <w:rPr>
          <w:rFonts w:ascii="Cambria" w:hAnsi="Cambria"/>
          <w:szCs w:val="22"/>
        </w:rPr>
        <w:t>Lecoq</w:t>
      </w:r>
      <w:proofErr w:type="spellEnd"/>
      <w:r>
        <w:rPr>
          <w:rFonts w:ascii="Cambria" w:hAnsi="Cambria"/>
          <w:szCs w:val="22"/>
        </w:rPr>
        <w:t xml:space="preserve"> &amp; </w:t>
      </w:r>
      <w:proofErr w:type="spellStart"/>
      <w:r>
        <w:rPr>
          <w:rFonts w:ascii="Cambria" w:hAnsi="Cambria"/>
          <w:szCs w:val="22"/>
        </w:rPr>
        <w:t>Desbiez</w:t>
      </w:r>
      <w:proofErr w:type="spellEnd"/>
      <w:r>
        <w:rPr>
          <w:rFonts w:ascii="Cambria" w:hAnsi="Cambria"/>
          <w:szCs w:val="22"/>
        </w:rPr>
        <w:t xml:space="preserve"> 2012).</w:t>
      </w:r>
    </w:p>
    <w:p w14:paraId="0F5EA6E4" w14:textId="77777777" w:rsidR="008163B6" w:rsidRDefault="00F709BD">
      <w:pPr>
        <w:pStyle w:val="Heading4"/>
        <w:spacing w:before="200"/>
      </w:pPr>
      <w:r>
        <w:t>Likelihood of distribution (transfer to a susceptible host)</w:t>
      </w:r>
    </w:p>
    <w:p w14:paraId="3D351F57" w14:textId="6F77D4D1" w:rsidR="008163B6" w:rsidRDefault="00F709BD" w:rsidP="009B2C61">
      <w:pPr>
        <w:pStyle w:val="AQISNum"/>
        <w:spacing w:before="120" w:after="120" w:line="276" w:lineRule="auto"/>
        <w:contextualSpacing/>
        <w:rPr>
          <w:rFonts w:ascii="Cambria" w:eastAsia="WarnockPro-Regular" w:hAnsi="Cambria" w:cs="WarnockPro-Regular"/>
          <w:szCs w:val="22"/>
        </w:rPr>
      </w:pPr>
      <w:r>
        <w:rPr>
          <w:rFonts w:ascii="Cambria" w:hAnsi="Cambria"/>
          <w:szCs w:val="22"/>
        </w:rPr>
        <w:t xml:space="preserve">The likelihood that </w:t>
      </w:r>
      <w:r>
        <w:rPr>
          <w:rFonts w:ascii="Cambria" w:hAnsi="Cambria"/>
          <w:bCs/>
        </w:rPr>
        <w:t>CGMMV</w:t>
      </w:r>
      <w:r>
        <w:rPr>
          <w:rFonts w:ascii="Cambria" w:hAnsi="Cambria"/>
        </w:rPr>
        <w:t xml:space="preserve"> </w:t>
      </w:r>
      <w:r>
        <w:rPr>
          <w:rFonts w:ascii="Cambria" w:hAnsi="Cambria"/>
          <w:szCs w:val="22"/>
        </w:rPr>
        <w:t>will be distributed within Austra</w:t>
      </w:r>
      <w:r>
        <w:rPr>
          <w:rFonts w:ascii="Cambria" w:eastAsia="WarnockPro-Regular" w:hAnsi="Cambria" w:cs="WarnockPro-Regular"/>
          <w:szCs w:val="22"/>
        </w:rPr>
        <w:t>lia in a viable state with imported cucurbit</w:t>
      </w:r>
      <w:r w:rsidR="004414FA">
        <w:rPr>
          <w:rFonts w:ascii="Cambria" w:eastAsia="WarnockPro-Regular" w:hAnsi="Cambria" w:cs="WarnockPro-Regular"/>
          <w:szCs w:val="22"/>
        </w:rPr>
        <w:t xml:space="preserve"> host</w:t>
      </w:r>
      <w:r>
        <w:rPr>
          <w:rFonts w:ascii="Cambria" w:eastAsia="WarnockPro-Regular" w:hAnsi="Cambria" w:cs="WarnockPro-Regular"/>
          <w:szCs w:val="22"/>
        </w:rPr>
        <w:t xml:space="preserve"> seeds for sowing and be transferred to a suitable host is </w:t>
      </w:r>
      <w:r>
        <w:rPr>
          <w:rFonts w:ascii="Cambria" w:eastAsia="WarnockPro-Regular" w:hAnsi="Cambria" w:cs="WarnockPro-Regular"/>
          <w:b/>
          <w:bCs/>
          <w:szCs w:val="22"/>
        </w:rPr>
        <w:t>MODERATE</w:t>
      </w:r>
      <w:r>
        <w:rPr>
          <w:rFonts w:ascii="Cambria" w:eastAsia="WarnockPro-Regular" w:hAnsi="Cambria" w:cs="WarnockPro-Regular"/>
          <w:szCs w:val="22"/>
        </w:rPr>
        <w:t>.</w:t>
      </w:r>
    </w:p>
    <w:p w14:paraId="3A003462" w14:textId="77777777" w:rsidR="008163B6" w:rsidRDefault="00F709BD">
      <w:pPr>
        <w:pStyle w:val="Heading5"/>
        <w:spacing w:before="120"/>
        <w:rPr>
          <w:i w:val="0"/>
        </w:rPr>
      </w:pPr>
      <w:r>
        <w:t>Ability of the pest to move from the pathway to a suitable host</w:t>
      </w:r>
    </w:p>
    <w:p w14:paraId="34E65D08" w14:textId="5E1D1DB2"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Cucurbit seeds infected with CGMMV arriving in Australia are already associated with a suitable host. These seeds can then be used for propagation (</w:t>
      </w:r>
      <w:r>
        <w:rPr>
          <w:rFonts w:ascii="Cambria" w:hAnsi="Cambria"/>
          <w:szCs w:val="22"/>
        </w:rPr>
        <w:t xml:space="preserve">Liu et al. 2014; </w:t>
      </w:r>
      <w:proofErr w:type="spellStart"/>
      <w:r>
        <w:rPr>
          <w:rFonts w:ascii="Cambria" w:hAnsi="Cambria"/>
          <w:szCs w:val="22"/>
        </w:rPr>
        <w:t>Reingold</w:t>
      </w:r>
      <w:proofErr w:type="spellEnd"/>
      <w:r>
        <w:rPr>
          <w:rFonts w:ascii="Cambria" w:hAnsi="Cambria"/>
          <w:szCs w:val="22"/>
        </w:rPr>
        <w:t xml:space="preserve"> et al. 2015</w:t>
      </w:r>
      <w:r>
        <w:rPr>
          <w:rFonts w:ascii="Cambria" w:hAnsi="Cambria"/>
        </w:rPr>
        <w:t>)</w:t>
      </w:r>
      <w:r>
        <w:rPr>
          <w:rFonts w:ascii="Cambria" w:hAnsi="Cambria"/>
          <w:szCs w:val="22"/>
        </w:rPr>
        <w:t xml:space="preserve">. </w:t>
      </w:r>
      <w:r>
        <w:rPr>
          <w:rFonts w:ascii="Cambria" w:hAnsi="Cambria"/>
        </w:rPr>
        <w:t>Seed to seedling transmission has been reported for CGMMV (Lee et al. 1990; Choi 2001; Liu et al. 2014)</w:t>
      </w:r>
      <w:r>
        <w:rPr>
          <w:rFonts w:ascii="Cambria" w:hAnsi="Cambria"/>
          <w:szCs w:val="22"/>
        </w:rPr>
        <w:t xml:space="preserve">. </w:t>
      </w:r>
      <w:r w:rsidR="004414FA">
        <w:rPr>
          <w:rFonts w:ascii="Cambria" w:hAnsi="Cambria"/>
          <w:szCs w:val="22"/>
        </w:rPr>
        <w:t>Con</w:t>
      </w:r>
      <w:r>
        <w:rPr>
          <w:rFonts w:ascii="Cambria" w:hAnsi="Cambria"/>
          <w:szCs w:val="22"/>
        </w:rPr>
        <w:t>sequently, there is no need to move from the seed pathway to a new</w:t>
      </w:r>
      <w:r w:rsidR="004414FA">
        <w:rPr>
          <w:rFonts w:ascii="Cambria" w:hAnsi="Cambria"/>
          <w:szCs w:val="22"/>
        </w:rPr>
        <w:t xml:space="preserve"> host</w:t>
      </w:r>
      <w:r>
        <w:rPr>
          <w:rFonts w:ascii="Cambria" w:hAnsi="Cambria"/>
          <w:szCs w:val="22"/>
        </w:rPr>
        <w:t xml:space="preserve">, as </w:t>
      </w:r>
      <w:r>
        <w:rPr>
          <w:rFonts w:ascii="Cambria" w:hAnsi="Cambria"/>
        </w:rPr>
        <w:t>CGMMV is</w:t>
      </w:r>
      <w:r>
        <w:rPr>
          <w:rFonts w:ascii="Cambria" w:hAnsi="Cambria"/>
          <w:szCs w:val="22"/>
        </w:rPr>
        <w:t xml:space="preserve"> already within a suitable host.</w:t>
      </w:r>
    </w:p>
    <w:p w14:paraId="048BD60D" w14:textId="618FA0D8"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Cucurbit seeds are imported specifically for the purpose of propagation and can be a </w:t>
      </w:r>
      <w:r>
        <w:rPr>
          <w:rFonts w:ascii="Cambria" w:hAnsi="Cambria"/>
          <w:szCs w:val="22"/>
        </w:rPr>
        <w:t>significant</w:t>
      </w:r>
      <w:r>
        <w:rPr>
          <w:rFonts w:ascii="Cambria" w:hAnsi="Cambria"/>
        </w:rPr>
        <w:t xml:space="preserve"> investment for importers. Infected cucurbit seeds are therefore likely to be </w:t>
      </w:r>
      <w:r w:rsidR="004B455C">
        <w:rPr>
          <w:rFonts w:ascii="Cambria" w:hAnsi="Cambria"/>
        </w:rPr>
        <w:t xml:space="preserve">sown in </w:t>
      </w:r>
      <w:r>
        <w:rPr>
          <w:rFonts w:ascii="Cambria" w:hAnsi="Cambria"/>
        </w:rPr>
        <w:t>suitable habitats at multiple locations throughout Australia. The distribution of infected cucurbit seeds commercially will facilitate the distribution of CGMMV.</w:t>
      </w:r>
    </w:p>
    <w:p w14:paraId="039F518C" w14:textId="723A2200" w:rsidR="00832325" w:rsidRPr="00845673" w:rsidRDefault="00832325"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If an infected seed results in an infected seedling, CGMMV is likely to spread to other hosts</w:t>
      </w:r>
      <w:r w:rsidRPr="00845673">
        <w:rPr>
          <w:rFonts w:ascii="Cambria" w:hAnsi="Cambria"/>
        </w:rPr>
        <w:t xml:space="preserve"> </w:t>
      </w:r>
      <w:r>
        <w:rPr>
          <w:rFonts w:ascii="Cambria" w:hAnsi="Cambria"/>
        </w:rPr>
        <w:t xml:space="preserve">by mechanical transmission. </w:t>
      </w:r>
      <w:r w:rsidRPr="00845673">
        <w:rPr>
          <w:rFonts w:ascii="Cambria" w:hAnsi="Cambria"/>
        </w:rPr>
        <w:t xml:space="preserve">CGMMV is very stable and can survive for long periods on equipment and on tools (ASTA 2014). The virus may be spread through standard cultivation practices and harvesting </w:t>
      </w:r>
      <w:r>
        <w:rPr>
          <w:rFonts w:ascii="Cambria" w:hAnsi="Cambria"/>
        </w:rPr>
        <w:t>(</w:t>
      </w:r>
      <w:proofErr w:type="spellStart"/>
      <w:r>
        <w:rPr>
          <w:rFonts w:ascii="Cambria" w:hAnsi="Cambria"/>
        </w:rPr>
        <w:t>Lecoq</w:t>
      </w:r>
      <w:proofErr w:type="spellEnd"/>
      <w:r>
        <w:rPr>
          <w:rFonts w:ascii="Cambria" w:hAnsi="Cambria"/>
        </w:rPr>
        <w:t xml:space="preserve"> &amp; </w:t>
      </w:r>
      <w:proofErr w:type="spellStart"/>
      <w:r>
        <w:rPr>
          <w:rFonts w:ascii="Cambria" w:hAnsi="Cambria"/>
        </w:rPr>
        <w:t>Desbiez</w:t>
      </w:r>
      <w:proofErr w:type="spellEnd"/>
      <w:r>
        <w:rPr>
          <w:rFonts w:ascii="Cambria" w:hAnsi="Cambria"/>
        </w:rPr>
        <w:t xml:space="preserve"> 2012)</w:t>
      </w:r>
      <w:r w:rsidRPr="00845673">
        <w:rPr>
          <w:rFonts w:ascii="Cambria" w:hAnsi="Cambria"/>
        </w:rPr>
        <w:t>, when plants are handled by farm personnel and when infected equipment or machinery is used (</w:t>
      </w:r>
      <w:proofErr w:type="spellStart"/>
      <w:r w:rsidRPr="00845673">
        <w:rPr>
          <w:rFonts w:ascii="Cambria" w:hAnsi="Cambria"/>
        </w:rPr>
        <w:t>Boubourakas</w:t>
      </w:r>
      <w:proofErr w:type="spellEnd"/>
      <w:r w:rsidRPr="00845673">
        <w:rPr>
          <w:rFonts w:ascii="Cambria" w:hAnsi="Cambria"/>
        </w:rPr>
        <w:t xml:space="preserve"> et al. 2004; </w:t>
      </w:r>
      <w:proofErr w:type="spellStart"/>
      <w:r w:rsidRPr="00845673">
        <w:rPr>
          <w:rFonts w:ascii="Cambria" w:hAnsi="Cambria"/>
        </w:rPr>
        <w:t>Reingold</w:t>
      </w:r>
      <w:proofErr w:type="spellEnd"/>
      <w:r w:rsidRPr="00845673">
        <w:rPr>
          <w:rFonts w:ascii="Cambria" w:hAnsi="Cambria"/>
        </w:rPr>
        <w:t xml:space="preserve"> et al. 2015).</w:t>
      </w:r>
      <w:r>
        <w:rPr>
          <w:rFonts w:ascii="Cambria" w:hAnsi="Cambria"/>
        </w:rPr>
        <w:t xml:space="preserve"> </w:t>
      </w:r>
    </w:p>
    <w:p w14:paraId="12080A68" w14:textId="0A36F4CC" w:rsidR="00AC3586" w:rsidRPr="00521491" w:rsidRDefault="00845673"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CGMMV</w:t>
      </w:r>
      <w:r w:rsidRPr="00845673">
        <w:rPr>
          <w:rFonts w:ascii="Cambria" w:hAnsi="Cambria"/>
        </w:rPr>
        <w:t xml:space="preserve"> can spread through leaf contact between healthy and infected plants (</w:t>
      </w:r>
      <w:proofErr w:type="spellStart"/>
      <w:r w:rsidRPr="00845673">
        <w:rPr>
          <w:rFonts w:ascii="Cambria" w:hAnsi="Cambria"/>
        </w:rPr>
        <w:t>Lecoq</w:t>
      </w:r>
      <w:proofErr w:type="spellEnd"/>
      <w:r w:rsidRPr="00845673">
        <w:rPr>
          <w:rFonts w:ascii="Cambria" w:hAnsi="Cambria"/>
        </w:rPr>
        <w:t xml:space="preserve"> &amp; </w:t>
      </w:r>
      <w:proofErr w:type="spellStart"/>
      <w:r w:rsidRPr="00845673">
        <w:rPr>
          <w:rFonts w:ascii="Cambria" w:hAnsi="Cambria"/>
        </w:rPr>
        <w:t>Desbiez</w:t>
      </w:r>
      <w:proofErr w:type="spellEnd"/>
      <w:r w:rsidRPr="00845673">
        <w:rPr>
          <w:rFonts w:ascii="Cambria" w:hAnsi="Cambria"/>
        </w:rPr>
        <w:t xml:space="preserve"> 2012). Cucurbit seeds for commercial production are likely to be propagated in large numbers in the field or glasshouse; therefore, multiple hosts are likely to be available in close proximity to the infected </w:t>
      </w:r>
      <w:r w:rsidR="00832325">
        <w:rPr>
          <w:rFonts w:ascii="Cambria" w:hAnsi="Cambria"/>
        </w:rPr>
        <w:t>plant</w:t>
      </w:r>
      <w:r w:rsidRPr="00845673">
        <w:rPr>
          <w:rFonts w:ascii="Cambria" w:hAnsi="Cambria"/>
        </w:rPr>
        <w:t>.</w:t>
      </w:r>
      <w:r w:rsidR="00C14C3B">
        <w:rPr>
          <w:rFonts w:ascii="Cambria" w:hAnsi="Cambria"/>
        </w:rPr>
        <w:t xml:space="preserve"> Consequently, CGMMV is likely to spread </w:t>
      </w:r>
      <w:r w:rsidR="00C14C3B" w:rsidRPr="00845673">
        <w:rPr>
          <w:rFonts w:ascii="Cambria" w:hAnsi="Cambria"/>
        </w:rPr>
        <w:t>through leaf contact between healthy and infected plants</w:t>
      </w:r>
      <w:r w:rsidR="00C14C3B">
        <w:rPr>
          <w:rFonts w:ascii="Cambria" w:hAnsi="Cambria"/>
        </w:rPr>
        <w:t>.</w:t>
      </w:r>
    </w:p>
    <w:p w14:paraId="5983E124" w14:textId="3E099712" w:rsidR="00AC3586" w:rsidRDefault="0074037B"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sidRPr="00845673">
        <w:rPr>
          <w:rFonts w:ascii="Cambria" w:hAnsi="Cambria"/>
        </w:rPr>
        <w:t xml:space="preserve">CGMMV can survive for long periods on plant debris, which can assist in the spread. </w:t>
      </w:r>
      <w:r w:rsidR="008D6C04" w:rsidRPr="00521491">
        <w:rPr>
          <w:rFonts w:ascii="Cambria" w:hAnsi="Cambria"/>
        </w:rPr>
        <w:t xml:space="preserve">CGMMV may spread over short-distances through contact via roots in soil contaminated by infected plant debris (Hollings et al. 1975). For example, 18 percent transmission of CGMMV occurred among </w:t>
      </w:r>
      <w:r w:rsidR="008D6C04" w:rsidRPr="00521491">
        <w:rPr>
          <w:rFonts w:ascii="Cambria" w:hAnsi="Cambria"/>
          <w:i/>
        </w:rPr>
        <w:t>L</w:t>
      </w:r>
      <w:r w:rsidR="00832325">
        <w:rPr>
          <w:rFonts w:ascii="Cambria" w:hAnsi="Cambria"/>
          <w:i/>
        </w:rPr>
        <w:t>agenaria</w:t>
      </w:r>
      <w:r w:rsidR="008D6C04" w:rsidRPr="00521491">
        <w:rPr>
          <w:rFonts w:ascii="Cambria" w:hAnsi="Cambria"/>
          <w:i/>
        </w:rPr>
        <w:t xml:space="preserve"> siceraria</w:t>
      </w:r>
      <w:r w:rsidR="008D6C04" w:rsidRPr="00521491">
        <w:rPr>
          <w:rFonts w:ascii="Cambria" w:hAnsi="Cambria"/>
        </w:rPr>
        <w:t xml:space="preserve"> plants sown in soil mixed with infected plant debris (Rao &amp; Varma 1984).</w:t>
      </w:r>
    </w:p>
    <w:p w14:paraId="3361061C" w14:textId="77777777" w:rsidR="00832325" w:rsidRDefault="00832325"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CGMMV has been found in irrigation water, which can lead to plant infection. Spread of CGMMV through surface water and water for irrigation has been reported (</w:t>
      </w:r>
      <w:proofErr w:type="spellStart"/>
      <w:r>
        <w:rPr>
          <w:rFonts w:ascii="Cambria" w:hAnsi="Cambria"/>
        </w:rPr>
        <w:t>Dorst</w:t>
      </w:r>
      <w:proofErr w:type="spellEnd"/>
      <w:r>
        <w:rPr>
          <w:rFonts w:ascii="Cambria" w:hAnsi="Cambria"/>
        </w:rPr>
        <w:t xml:space="preserve"> 1988; Vani &amp; Varma 1993). CGMMV is also reported to spread to new host plants through the recirculation of nutrient solutions (</w:t>
      </w:r>
      <w:proofErr w:type="spellStart"/>
      <w:r>
        <w:rPr>
          <w:rFonts w:ascii="Cambria" w:hAnsi="Cambria"/>
        </w:rPr>
        <w:t>Buttner</w:t>
      </w:r>
      <w:proofErr w:type="spellEnd"/>
      <w:r>
        <w:rPr>
          <w:rFonts w:ascii="Cambria" w:hAnsi="Cambria"/>
        </w:rPr>
        <w:t xml:space="preserve"> et al. 1995).</w:t>
      </w:r>
    </w:p>
    <w:p w14:paraId="2C342675" w14:textId="0B0C1BCD" w:rsidR="0096452F" w:rsidRPr="0096452F" w:rsidRDefault="0096452F"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sidRPr="0096452F">
        <w:rPr>
          <w:rFonts w:ascii="Cambria" w:hAnsi="Cambria"/>
        </w:rPr>
        <w:t xml:space="preserve">Insect vectors may help transfer CGMMV from infected to healthy </w:t>
      </w:r>
      <w:r w:rsidR="004E2CCB">
        <w:rPr>
          <w:rFonts w:ascii="Cambria" w:hAnsi="Cambria"/>
        </w:rPr>
        <w:t>plant</w:t>
      </w:r>
      <w:r w:rsidRPr="0096452F">
        <w:rPr>
          <w:rFonts w:ascii="Cambria" w:hAnsi="Cambria"/>
        </w:rPr>
        <w:t xml:space="preserve">s. Hollings et al. (1975) found </w:t>
      </w:r>
      <w:r w:rsidR="00F51DFB">
        <w:rPr>
          <w:rFonts w:ascii="Cambria" w:hAnsi="Cambria"/>
        </w:rPr>
        <w:t xml:space="preserve">the </w:t>
      </w:r>
      <w:r w:rsidRPr="0096452F">
        <w:rPr>
          <w:rFonts w:ascii="Cambria" w:hAnsi="Cambria"/>
        </w:rPr>
        <w:t xml:space="preserve">transmission of CGMMV by </w:t>
      </w:r>
      <w:proofErr w:type="spellStart"/>
      <w:r w:rsidRPr="0096452F">
        <w:rPr>
          <w:rFonts w:ascii="Cambria" w:hAnsi="Cambria"/>
          <w:i/>
        </w:rPr>
        <w:t>Myzus</w:t>
      </w:r>
      <w:proofErr w:type="spellEnd"/>
      <w:r w:rsidRPr="0096452F">
        <w:rPr>
          <w:rFonts w:ascii="Cambria" w:hAnsi="Cambria"/>
          <w:i/>
        </w:rPr>
        <w:t xml:space="preserve"> </w:t>
      </w:r>
      <w:proofErr w:type="spellStart"/>
      <w:r w:rsidRPr="0096452F">
        <w:rPr>
          <w:rFonts w:ascii="Cambria" w:hAnsi="Cambria"/>
          <w:i/>
        </w:rPr>
        <w:t>persicae</w:t>
      </w:r>
      <w:proofErr w:type="spellEnd"/>
      <w:r w:rsidRPr="0096452F">
        <w:rPr>
          <w:rFonts w:ascii="Cambria" w:hAnsi="Cambria"/>
        </w:rPr>
        <w:t xml:space="preserve">, </w:t>
      </w:r>
      <w:r w:rsidRPr="0096452F">
        <w:rPr>
          <w:rFonts w:ascii="Cambria" w:hAnsi="Cambria"/>
          <w:i/>
        </w:rPr>
        <w:t xml:space="preserve">Aphis </w:t>
      </w:r>
      <w:proofErr w:type="spellStart"/>
      <w:r w:rsidRPr="0096452F">
        <w:rPr>
          <w:rFonts w:ascii="Cambria" w:hAnsi="Cambria"/>
          <w:i/>
        </w:rPr>
        <w:t>gossypii</w:t>
      </w:r>
      <w:proofErr w:type="spellEnd"/>
      <w:r w:rsidR="008D6C04" w:rsidRPr="00521491">
        <w:rPr>
          <w:rFonts w:ascii="Cambria" w:hAnsi="Cambria"/>
          <w:i/>
        </w:rPr>
        <w:t xml:space="preserve"> </w:t>
      </w:r>
      <w:r w:rsidRPr="0096452F">
        <w:rPr>
          <w:rFonts w:ascii="Cambria" w:hAnsi="Cambria"/>
        </w:rPr>
        <w:t xml:space="preserve">and </w:t>
      </w:r>
      <w:proofErr w:type="spellStart"/>
      <w:r w:rsidRPr="0096452F">
        <w:rPr>
          <w:rFonts w:ascii="Cambria" w:hAnsi="Cambria"/>
          <w:i/>
        </w:rPr>
        <w:t>Aulacophora</w:t>
      </w:r>
      <w:proofErr w:type="spellEnd"/>
      <w:r w:rsidRPr="0096452F">
        <w:rPr>
          <w:rFonts w:ascii="Cambria" w:hAnsi="Cambria"/>
          <w:i/>
        </w:rPr>
        <w:t xml:space="preserve"> </w:t>
      </w:r>
      <w:proofErr w:type="spellStart"/>
      <w:r w:rsidRPr="0096452F">
        <w:rPr>
          <w:rFonts w:ascii="Cambria" w:hAnsi="Cambria"/>
          <w:i/>
        </w:rPr>
        <w:t>femoralis</w:t>
      </w:r>
      <w:proofErr w:type="spellEnd"/>
      <w:r w:rsidRPr="0096452F">
        <w:rPr>
          <w:rFonts w:ascii="Cambria" w:hAnsi="Cambria"/>
        </w:rPr>
        <w:t xml:space="preserve"> was not successful (Hollings et al. 1975). However, </w:t>
      </w:r>
      <w:r w:rsidR="00F51DFB">
        <w:rPr>
          <w:rFonts w:ascii="Cambria" w:hAnsi="Cambria"/>
        </w:rPr>
        <w:t xml:space="preserve">a </w:t>
      </w:r>
      <w:r w:rsidRPr="0096452F">
        <w:rPr>
          <w:rFonts w:ascii="Cambria" w:hAnsi="Cambria"/>
        </w:rPr>
        <w:t>later stud</w:t>
      </w:r>
      <w:r w:rsidR="00F51DFB">
        <w:rPr>
          <w:rFonts w:ascii="Cambria" w:hAnsi="Cambria"/>
        </w:rPr>
        <w:t xml:space="preserve">y has </w:t>
      </w:r>
      <w:r w:rsidRPr="0096452F">
        <w:rPr>
          <w:rFonts w:ascii="Cambria" w:hAnsi="Cambria"/>
        </w:rPr>
        <w:t xml:space="preserve">demonstrated </w:t>
      </w:r>
      <w:r w:rsidR="00BC2587">
        <w:rPr>
          <w:rFonts w:ascii="Cambria" w:hAnsi="Cambria"/>
        </w:rPr>
        <w:t xml:space="preserve">CGMMV </w:t>
      </w:r>
      <w:r w:rsidRPr="0096452F">
        <w:rPr>
          <w:rFonts w:ascii="Cambria" w:hAnsi="Cambria"/>
        </w:rPr>
        <w:t xml:space="preserve">transmission through </w:t>
      </w:r>
      <w:r w:rsidRPr="0096452F">
        <w:rPr>
          <w:rFonts w:ascii="Cambria" w:hAnsi="Cambria"/>
          <w:i/>
        </w:rPr>
        <w:t xml:space="preserve">A. </w:t>
      </w:r>
      <w:proofErr w:type="spellStart"/>
      <w:r w:rsidRPr="0096452F">
        <w:rPr>
          <w:rFonts w:ascii="Cambria" w:hAnsi="Cambria"/>
          <w:i/>
        </w:rPr>
        <w:t>femoralis</w:t>
      </w:r>
      <w:proofErr w:type="spellEnd"/>
      <w:r w:rsidRPr="0096452F">
        <w:rPr>
          <w:rFonts w:ascii="Cambria" w:hAnsi="Cambria"/>
        </w:rPr>
        <w:t xml:space="preserve"> (</w:t>
      </w:r>
      <w:r>
        <w:rPr>
          <w:rFonts w:ascii="Cambria" w:hAnsi="Cambria"/>
        </w:rPr>
        <w:t xml:space="preserve">Rao &amp; </w:t>
      </w:r>
      <w:proofErr w:type="spellStart"/>
      <w:r>
        <w:rPr>
          <w:rFonts w:ascii="Cambria" w:hAnsi="Cambria"/>
        </w:rPr>
        <w:t>Verma</w:t>
      </w:r>
      <w:proofErr w:type="spellEnd"/>
      <w:r>
        <w:rPr>
          <w:rFonts w:ascii="Cambria" w:hAnsi="Cambria"/>
        </w:rPr>
        <w:t xml:space="preserve"> 1984). While </w:t>
      </w:r>
      <w:r w:rsidRPr="0096452F">
        <w:rPr>
          <w:rFonts w:ascii="Cambria" w:hAnsi="Cambria"/>
          <w:i/>
        </w:rPr>
        <w:t>A</w:t>
      </w:r>
      <w:r w:rsidR="00F51DFB">
        <w:rPr>
          <w:rFonts w:ascii="Cambria" w:hAnsi="Cambria"/>
          <w:i/>
        </w:rPr>
        <w:t xml:space="preserve">. </w:t>
      </w:r>
      <w:proofErr w:type="spellStart"/>
      <w:r w:rsidRPr="0096452F">
        <w:rPr>
          <w:rFonts w:ascii="Cambria" w:hAnsi="Cambria"/>
          <w:i/>
        </w:rPr>
        <w:t>femoralis</w:t>
      </w:r>
      <w:proofErr w:type="spellEnd"/>
      <w:r w:rsidR="008D6C04" w:rsidRPr="00521491">
        <w:rPr>
          <w:rFonts w:ascii="Cambria" w:hAnsi="Cambria"/>
        </w:rPr>
        <w:t xml:space="preserve"> </w:t>
      </w:r>
      <w:r>
        <w:rPr>
          <w:rFonts w:ascii="Cambria" w:hAnsi="Cambria"/>
        </w:rPr>
        <w:t>is not present in Australia, it is unknown if related species that are present in Australia (for example</w:t>
      </w:r>
      <w:r w:rsidR="008D6C04" w:rsidRPr="00521491">
        <w:rPr>
          <w:rFonts w:ascii="Cambria" w:hAnsi="Cambria"/>
          <w:i/>
        </w:rPr>
        <w:t xml:space="preserve">, </w:t>
      </w:r>
      <w:r w:rsidR="00443056" w:rsidRPr="0096452F">
        <w:rPr>
          <w:rFonts w:ascii="Cambria" w:hAnsi="Cambria"/>
          <w:i/>
        </w:rPr>
        <w:t>A</w:t>
      </w:r>
      <w:r w:rsidR="00443056">
        <w:rPr>
          <w:rFonts w:ascii="Cambria" w:hAnsi="Cambria"/>
          <w:i/>
        </w:rPr>
        <w:t>.</w:t>
      </w:r>
      <w:r w:rsidR="005847BD">
        <w:rPr>
          <w:rFonts w:ascii="Cambria" w:hAnsi="Cambria"/>
          <w:i/>
        </w:rPr>
        <w:t> </w:t>
      </w:r>
      <w:proofErr w:type="spellStart"/>
      <w:r w:rsidR="00443056" w:rsidRPr="0096452F">
        <w:rPr>
          <w:rFonts w:ascii="Cambria" w:hAnsi="Cambria"/>
          <w:i/>
        </w:rPr>
        <w:t>abdominalis</w:t>
      </w:r>
      <w:proofErr w:type="spellEnd"/>
      <w:r w:rsidR="00443056" w:rsidRPr="0096452F">
        <w:rPr>
          <w:rFonts w:ascii="Cambria" w:hAnsi="Cambria"/>
          <w:i/>
        </w:rPr>
        <w:t xml:space="preserve"> </w:t>
      </w:r>
      <w:r w:rsidR="00443056">
        <w:rPr>
          <w:rFonts w:ascii="Cambria" w:hAnsi="Cambria"/>
        </w:rPr>
        <w:t xml:space="preserve">and </w:t>
      </w:r>
      <w:r w:rsidRPr="0096452F">
        <w:rPr>
          <w:rFonts w:ascii="Cambria" w:hAnsi="Cambria"/>
          <w:i/>
        </w:rPr>
        <w:t>A</w:t>
      </w:r>
      <w:r w:rsidR="00443056">
        <w:rPr>
          <w:rFonts w:ascii="Cambria" w:hAnsi="Cambria"/>
          <w:i/>
        </w:rPr>
        <w:t>.</w:t>
      </w:r>
      <w:r w:rsidR="005847BD">
        <w:rPr>
          <w:rFonts w:ascii="Cambria" w:hAnsi="Cambria"/>
          <w:i/>
        </w:rPr>
        <w:t> </w:t>
      </w:r>
      <w:proofErr w:type="spellStart"/>
      <w:r w:rsidRPr="0096452F">
        <w:rPr>
          <w:rFonts w:ascii="Cambria" w:hAnsi="Cambria"/>
          <w:i/>
        </w:rPr>
        <w:t>hilaris</w:t>
      </w:r>
      <w:proofErr w:type="spellEnd"/>
      <w:r>
        <w:rPr>
          <w:rFonts w:ascii="Cambria" w:hAnsi="Cambria"/>
        </w:rPr>
        <w:t>) would play a role in transferring CGMMV to healthy host plants.</w:t>
      </w:r>
    </w:p>
    <w:p w14:paraId="67B41883" w14:textId="43D126B6" w:rsidR="0074037B" w:rsidRPr="001F4FF3" w:rsidRDefault="0074037B" w:rsidP="009B2C61">
      <w:pPr>
        <w:pStyle w:val="AQISNum"/>
        <w:numPr>
          <w:ilvl w:val="0"/>
          <w:numId w:val="33"/>
        </w:numPr>
        <w:tabs>
          <w:tab w:val="clear" w:pos="360"/>
          <w:tab w:val="num" w:pos="284"/>
        </w:tabs>
        <w:spacing w:before="120" w:after="120" w:line="276" w:lineRule="auto"/>
        <w:ind w:left="284" w:hanging="284"/>
        <w:contextualSpacing/>
      </w:pPr>
      <w:r w:rsidRPr="001F4FF3">
        <w:rPr>
          <w:rFonts w:ascii="Cambria" w:hAnsi="Cambria"/>
          <w:bCs/>
        </w:rPr>
        <w:t xml:space="preserve">Suitable hosts for CGMMV are widely distributed across Australia. CGMMV mainly infects plants within the </w:t>
      </w:r>
      <w:r w:rsidRPr="001F4FF3">
        <w:rPr>
          <w:rFonts w:ascii="Cambria" w:hAnsi="Cambria"/>
          <w:lang w:eastAsia="en-AU"/>
        </w:rPr>
        <w:t xml:space="preserve">Cucurbitaceae family (Hollings et al. 1975), </w:t>
      </w:r>
      <w:r w:rsidRPr="001F4FF3">
        <w:rPr>
          <w:rFonts w:ascii="Cambria" w:hAnsi="Cambria"/>
          <w:szCs w:val="22"/>
        </w:rPr>
        <w:t xml:space="preserve">including fruit and vegetable crops such as cucumber, gourd, </w:t>
      </w:r>
      <w:r w:rsidR="00EA7B77" w:rsidRPr="001F4FF3">
        <w:rPr>
          <w:rFonts w:ascii="Cambria" w:hAnsi="Cambria"/>
          <w:szCs w:val="22"/>
        </w:rPr>
        <w:t>loofah,</w:t>
      </w:r>
      <w:r w:rsidR="00EA7B77">
        <w:rPr>
          <w:rFonts w:ascii="Cambria" w:hAnsi="Cambria"/>
          <w:szCs w:val="22"/>
        </w:rPr>
        <w:t xml:space="preserve"> </w:t>
      </w:r>
      <w:r w:rsidRPr="001F4FF3">
        <w:rPr>
          <w:rFonts w:ascii="Cambria" w:hAnsi="Cambria"/>
          <w:szCs w:val="22"/>
        </w:rPr>
        <w:t xml:space="preserve">melon, pumpkin, squash, watermelon and zucchini (Qin et al. 2005; Liu et al. 2014; </w:t>
      </w:r>
      <w:proofErr w:type="spellStart"/>
      <w:r w:rsidRPr="001F4FF3">
        <w:rPr>
          <w:rFonts w:ascii="Cambria" w:hAnsi="Cambria"/>
          <w:szCs w:val="22"/>
        </w:rPr>
        <w:t>Reingold</w:t>
      </w:r>
      <w:proofErr w:type="spellEnd"/>
      <w:r w:rsidRPr="001F4FF3">
        <w:rPr>
          <w:rFonts w:ascii="Cambria" w:hAnsi="Cambria"/>
          <w:szCs w:val="22"/>
        </w:rPr>
        <w:t xml:space="preserve"> et al. 2015). These species are widely distributed throughout Australia, with many commercial farms, semi-rural properties and residential properties in the metropolitan areas growing these </w:t>
      </w:r>
      <w:r w:rsidR="004E2CCB">
        <w:rPr>
          <w:rFonts w:ascii="Cambria" w:hAnsi="Cambria"/>
          <w:szCs w:val="22"/>
        </w:rPr>
        <w:t xml:space="preserve">fruit and </w:t>
      </w:r>
      <w:r w:rsidRPr="001F4FF3">
        <w:rPr>
          <w:rFonts w:ascii="Cambria" w:hAnsi="Cambria"/>
          <w:szCs w:val="22"/>
        </w:rPr>
        <w:t xml:space="preserve">vegetables. </w:t>
      </w:r>
    </w:p>
    <w:p w14:paraId="031D5AC5" w14:textId="77777777" w:rsidR="0074037B" w:rsidRDefault="0074037B" w:rsidP="009B2C61">
      <w:pPr>
        <w:pStyle w:val="AQISNum"/>
        <w:numPr>
          <w:ilvl w:val="0"/>
          <w:numId w:val="33"/>
        </w:numPr>
        <w:tabs>
          <w:tab w:val="clear" w:pos="360"/>
          <w:tab w:val="num" w:pos="284"/>
        </w:tabs>
        <w:spacing w:before="120" w:after="120" w:line="276" w:lineRule="auto"/>
        <w:ind w:left="284" w:hanging="284"/>
        <w:contextualSpacing/>
      </w:pPr>
      <w:r w:rsidRPr="001F4FF3">
        <w:rPr>
          <w:rFonts w:ascii="Cambria" w:hAnsi="Cambria"/>
          <w:bCs/>
        </w:rPr>
        <w:t xml:space="preserve">A growing number of weeds have been reported as natural hosts of CGMMV, including species within the families </w:t>
      </w:r>
      <w:proofErr w:type="spellStart"/>
      <w:r w:rsidRPr="001F4FF3">
        <w:rPr>
          <w:rFonts w:ascii="Cambria" w:hAnsi="Cambria"/>
          <w:bCs/>
        </w:rPr>
        <w:t>Amaranthaceae</w:t>
      </w:r>
      <w:proofErr w:type="spellEnd"/>
      <w:r w:rsidRPr="001F4FF3">
        <w:rPr>
          <w:rFonts w:ascii="Cambria" w:hAnsi="Cambria"/>
          <w:bCs/>
        </w:rPr>
        <w:t xml:space="preserve">, </w:t>
      </w:r>
      <w:proofErr w:type="spellStart"/>
      <w:r w:rsidRPr="001F4FF3">
        <w:rPr>
          <w:rFonts w:ascii="Cambria" w:hAnsi="Cambria"/>
          <w:bCs/>
        </w:rPr>
        <w:t>Apiaceae</w:t>
      </w:r>
      <w:proofErr w:type="spellEnd"/>
      <w:r w:rsidRPr="001F4FF3">
        <w:rPr>
          <w:rFonts w:ascii="Cambria" w:hAnsi="Cambria"/>
          <w:bCs/>
        </w:rPr>
        <w:t xml:space="preserve">, </w:t>
      </w:r>
      <w:proofErr w:type="spellStart"/>
      <w:r w:rsidRPr="001F4FF3">
        <w:rPr>
          <w:rFonts w:ascii="Cambria" w:hAnsi="Cambria"/>
          <w:bCs/>
        </w:rPr>
        <w:t>Boraginaceae</w:t>
      </w:r>
      <w:proofErr w:type="spellEnd"/>
      <w:r w:rsidRPr="001F4FF3">
        <w:rPr>
          <w:rFonts w:ascii="Cambria" w:hAnsi="Cambria"/>
          <w:bCs/>
        </w:rPr>
        <w:t xml:space="preserve">, </w:t>
      </w:r>
      <w:proofErr w:type="spellStart"/>
      <w:r w:rsidRPr="001F4FF3">
        <w:rPr>
          <w:rFonts w:ascii="Cambria" w:hAnsi="Cambria"/>
          <w:bCs/>
        </w:rPr>
        <w:t>Chenopodiaceae</w:t>
      </w:r>
      <w:proofErr w:type="spellEnd"/>
      <w:r w:rsidRPr="001F4FF3">
        <w:rPr>
          <w:rFonts w:ascii="Cambria" w:hAnsi="Cambria"/>
          <w:bCs/>
        </w:rPr>
        <w:t xml:space="preserve">, </w:t>
      </w:r>
      <w:proofErr w:type="spellStart"/>
      <w:r w:rsidRPr="001F4FF3">
        <w:rPr>
          <w:rFonts w:ascii="Cambria" w:hAnsi="Cambria"/>
          <w:bCs/>
        </w:rPr>
        <w:t>Cu</w:t>
      </w:r>
      <w:r w:rsidRPr="001F4FF3">
        <w:rPr>
          <w:rFonts w:ascii="Cambria" w:hAnsi="Cambria"/>
          <w:lang w:eastAsia="en-AU"/>
        </w:rPr>
        <w:t>curbitaceae</w:t>
      </w:r>
      <w:proofErr w:type="spellEnd"/>
      <w:r w:rsidRPr="001F4FF3">
        <w:rPr>
          <w:rFonts w:ascii="Cambria" w:hAnsi="Cambria"/>
          <w:lang w:eastAsia="en-AU"/>
        </w:rPr>
        <w:t xml:space="preserve">, </w:t>
      </w:r>
      <w:proofErr w:type="spellStart"/>
      <w:r w:rsidRPr="001F4FF3">
        <w:rPr>
          <w:rFonts w:ascii="Cambria" w:hAnsi="Cambria"/>
          <w:lang w:eastAsia="en-AU"/>
        </w:rPr>
        <w:t>Portulacaceae</w:t>
      </w:r>
      <w:proofErr w:type="spellEnd"/>
      <w:r w:rsidRPr="001F4FF3">
        <w:rPr>
          <w:rFonts w:ascii="Cambria" w:hAnsi="Cambria"/>
          <w:lang w:eastAsia="en-AU"/>
        </w:rPr>
        <w:t xml:space="preserve"> and </w:t>
      </w:r>
      <w:proofErr w:type="spellStart"/>
      <w:r w:rsidRPr="001F4FF3">
        <w:rPr>
          <w:rFonts w:ascii="Cambria" w:hAnsi="Cambria"/>
          <w:lang w:eastAsia="en-AU"/>
        </w:rPr>
        <w:t>Solanaceae</w:t>
      </w:r>
      <w:proofErr w:type="spellEnd"/>
      <w:r w:rsidRPr="001F4FF3">
        <w:rPr>
          <w:rFonts w:ascii="Cambria" w:hAnsi="Cambria"/>
          <w:lang w:eastAsia="en-AU"/>
        </w:rPr>
        <w:t xml:space="preserve"> (</w:t>
      </w:r>
      <w:proofErr w:type="spellStart"/>
      <w:r w:rsidRPr="001F4FF3">
        <w:rPr>
          <w:rFonts w:ascii="Cambria" w:hAnsi="Cambria"/>
          <w:lang w:eastAsia="en-AU"/>
        </w:rPr>
        <w:t>Antignus</w:t>
      </w:r>
      <w:proofErr w:type="spellEnd"/>
      <w:r w:rsidRPr="001F4FF3">
        <w:rPr>
          <w:rFonts w:ascii="Cambria" w:hAnsi="Cambria"/>
          <w:lang w:eastAsia="en-AU"/>
        </w:rPr>
        <w:t xml:space="preserve"> et al. 1990, </w:t>
      </w:r>
      <w:proofErr w:type="spellStart"/>
      <w:r w:rsidRPr="001F4FF3">
        <w:rPr>
          <w:rFonts w:ascii="Cambria" w:hAnsi="Cambria"/>
          <w:lang w:eastAsia="en-AU"/>
        </w:rPr>
        <w:t>Boubourakis</w:t>
      </w:r>
      <w:proofErr w:type="spellEnd"/>
      <w:r w:rsidRPr="001F4FF3">
        <w:rPr>
          <w:rFonts w:ascii="Cambria" w:hAnsi="Cambria"/>
          <w:lang w:eastAsia="en-AU"/>
        </w:rPr>
        <w:t xml:space="preserve"> et al. 2004; Cho et al. 2015)</w:t>
      </w:r>
      <w:r w:rsidRPr="001F4FF3">
        <w:rPr>
          <w:rFonts w:ascii="Cambria" w:hAnsi="Cambria"/>
          <w:szCs w:val="22"/>
        </w:rPr>
        <w:t>. Many of these weeds are widely distributed throughout Australia.</w:t>
      </w:r>
    </w:p>
    <w:p w14:paraId="6C371325" w14:textId="77777777" w:rsidR="00AC3586" w:rsidRDefault="008D6C04" w:rsidP="00FA7223">
      <w:pPr>
        <w:pStyle w:val="Heading5"/>
        <w:spacing w:before="120"/>
        <w:rPr>
          <w:i w:val="0"/>
        </w:rPr>
      </w:pPr>
      <w:r w:rsidRPr="00C14C3B">
        <w:rPr>
          <w:rFonts w:asciiTheme="minorHAnsi" w:hAnsiTheme="minorHAnsi"/>
        </w:rPr>
        <w:t>Distribution of the imported commodity in the PRA area</w:t>
      </w:r>
    </w:p>
    <w:p w14:paraId="17E663E3" w14:textId="49C6DCA6"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Association with cucurbit seed</w:t>
      </w:r>
      <w:r w:rsidR="00C14C3B">
        <w:rPr>
          <w:rFonts w:ascii="Cambria" w:hAnsi="Cambria"/>
          <w:szCs w:val="22"/>
        </w:rPr>
        <w:t xml:space="preserve"> host</w:t>
      </w:r>
      <w:r>
        <w:rPr>
          <w:rFonts w:ascii="Cambria" w:hAnsi="Cambria"/>
          <w:szCs w:val="22"/>
        </w:rPr>
        <w:t xml:space="preserve">s provides the opportunity for CGMMV to </w:t>
      </w:r>
      <w:r w:rsidR="00B5401F">
        <w:rPr>
          <w:rFonts w:ascii="Cambria" w:hAnsi="Cambria"/>
          <w:szCs w:val="22"/>
        </w:rPr>
        <w:t xml:space="preserve">be distributed through </w:t>
      </w:r>
      <w:r w:rsidR="00EA7B77">
        <w:rPr>
          <w:rFonts w:ascii="Cambria" w:hAnsi="Cambria"/>
          <w:szCs w:val="22"/>
        </w:rPr>
        <w:t xml:space="preserve">the </w:t>
      </w:r>
      <w:r w:rsidR="00B5401F">
        <w:rPr>
          <w:rFonts w:ascii="Cambria" w:hAnsi="Cambria"/>
          <w:szCs w:val="22"/>
        </w:rPr>
        <w:t xml:space="preserve">trade of cucurbit seeds across </w:t>
      </w:r>
      <w:r>
        <w:rPr>
          <w:rFonts w:ascii="Cambria" w:hAnsi="Cambria"/>
          <w:szCs w:val="22"/>
        </w:rPr>
        <w:t xml:space="preserve">Australia. Its ability to survive on, or in, </w:t>
      </w:r>
      <w:r w:rsidR="00B5401F">
        <w:rPr>
          <w:rFonts w:ascii="Cambria" w:hAnsi="Cambria"/>
          <w:szCs w:val="22"/>
        </w:rPr>
        <w:t>host seeds</w:t>
      </w:r>
      <w:r>
        <w:rPr>
          <w:rFonts w:ascii="Cambria" w:hAnsi="Cambria"/>
          <w:szCs w:val="22"/>
        </w:rPr>
        <w:t xml:space="preserve"> acts to ensure its viability during distribution across Australia.</w:t>
      </w:r>
    </w:p>
    <w:p w14:paraId="7C92AF3D" w14:textId="23DB6AED"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The </w:t>
      </w:r>
      <w:r w:rsidR="00B94D53">
        <w:rPr>
          <w:rFonts w:ascii="Cambria" w:hAnsi="Cambria"/>
          <w:szCs w:val="22"/>
        </w:rPr>
        <w:t xml:space="preserve">commercial and retail trade </w:t>
      </w:r>
      <w:r>
        <w:rPr>
          <w:rFonts w:ascii="Cambria" w:hAnsi="Cambria"/>
          <w:szCs w:val="22"/>
        </w:rPr>
        <w:t xml:space="preserve">of </w:t>
      </w:r>
      <w:r w:rsidR="00CF373F">
        <w:rPr>
          <w:rFonts w:ascii="Cambria" w:hAnsi="Cambria"/>
          <w:szCs w:val="22"/>
        </w:rPr>
        <w:t xml:space="preserve">host </w:t>
      </w:r>
      <w:r>
        <w:rPr>
          <w:rFonts w:ascii="Cambria" w:hAnsi="Cambria"/>
          <w:szCs w:val="22"/>
        </w:rPr>
        <w:t xml:space="preserve">cucurbit seeds for sowing </w:t>
      </w:r>
      <w:r w:rsidR="00B94D53">
        <w:rPr>
          <w:rFonts w:ascii="Cambria" w:hAnsi="Cambria"/>
          <w:szCs w:val="22"/>
        </w:rPr>
        <w:t xml:space="preserve">facilitates the distribution of the virus </w:t>
      </w:r>
      <w:r>
        <w:rPr>
          <w:rFonts w:ascii="Cambria" w:hAnsi="Cambria"/>
          <w:szCs w:val="22"/>
        </w:rPr>
        <w:t xml:space="preserve">to multiple destinations throughout the PRA area. </w:t>
      </w:r>
    </w:p>
    <w:p w14:paraId="64107CCF" w14:textId="0EA04AAF" w:rsidR="00811636" w:rsidRDefault="00811636"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CGMMV is likely to survive transportation and storage within Australia. Cucurbit </w:t>
      </w:r>
      <w:r w:rsidR="004E1BF2">
        <w:rPr>
          <w:rFonts w:ascii="Cambria" w:hAnsi="Cambria"/>
          <w:szCs w:val="22"/>
        </w:rPr>
        <w:t>propagative material is</w:t>
      </w:r>
      <w:r>
        <w:rPr>
          <w:rFonts w:ascii="Cambria" w:hAnsi="Cambria"/>
          <w:szCs w:val="22"/>
        </w:rPr>
        <w:t xml:space="preserve"> likely to be transported, stored and maintained under conditions that are </w:t>
      </w:r>
      <w:proofErr w:type="spellStart"/>
      <w:r>
        <w:rPr>
          <w:rFonts w:ascii="Cambria" w:hAnsi="Cambria"/>
          <w:szCs w:val="22"/>
        </w:rPr>
        <w:t>unlikley</w:t>
      </w:r>
      <w:proofErr w:type="spellEnd"/>
      <w:r>
        <w:rPr>
          <w:rFonts w:ascii="Cambria" w:hAnsi="Cambria"/>
          <w:szCs w:val="22"/>
        </w:rPr>
        <w:t xml:space="preserve"> to have any impact on the survival of CGMMV. Asymptomatic plants that develop from infected seeds may be ove</w:t>
      </w:r>
      <w:r w:rsidR="004E2CCB">
        <w:rPr>
          <w:rFonts w:ascii="Cambria" w:hAnsi="Cambria"/>
          <w:szCs w:val="22"/>
        </w:rPr>
        <w:t>rlooked and sold to commercial produc</w:t>
      </w:r>
      <w:r>
        <w:rPr>
          <w:rFonts w:ascii="Cambria" w:hAnsi="Cambria"/>
          <w:szCs w:val="22"/>
        </w:rPr>
        <w:t xml:space="preserve">ers and households. </w:t>
      </w:r>
    </w:p>
    <w:p w14:paraId="214C23D8" w14:textId="77777777" w:rsidR="008163B6" w:rsidRDefault="00F709BD">
      <w:pPr>
        <w:pStyle w:val="Heading5"/>
        <w:spacing w:before="120"/>
      </w:pPr>
      <w:r>
        <w:t>Risks from by-products and waste</w:t>
      </w:r>
    </w:p>
    <w:p w14:paraId="0107D217" w14:textId="323C5B51"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The intended use of cucurbit seeds is for propagation, and all imported seeds would be grown under ideal conditions. Cucurbit seeds that do not survive transportation and storage may not be used for sowing. Therefore, waste material may be generated. As CGMMV is </w:t>
      </w:r>
      <w:r w:rsidR="00CC0813">
        <w:rPr>
          <w:rFonts w:ascii="Cambria" w:hAnsi="Cambria"/>
          <w:szCs w:val="22"/>
        </w:rPr>
        <w:t>seed-borne</w:t>
      </w:r>
      <w:r>
        <w:rPr>
          <w:rFonts w:ascii="Cambria" w:hAnsi="Cambria"/>
          <w:szCs w:val="22"/>
        </w:rPr>
        <w:t>, any such material that is discarded may contain the virus.</w:t>
      </w:r>
    </w:p>
    <w:p w14:paraId="24136DCF"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CGMMV is capable of surviving in host plant debris</w:t>
      </w:r>
      <w:r w:rsidR="00214574">
        <w:rPr>
          <w:rFonts w:ascii="Cambria" w:hAnsi="Cambria"/>
          <w:szCs w:val="22"/>
        </w:rPr>
        <w:t xml:space="preserve"> for long periods of time</w:t>
      </w:r>
      <w:r>
        <w:rPr>
          <w:rFonts w:ascii="Cambria" w:hAnsi="Cambria"/>
          <w:szCs w:val="22"/>
        </w:rPr>
        <w:t xml:space="preserve">. Therefore, infected plant debris may pose a risk for the introduction of CGMMV in the environment. Transmission of the virus via roots in soil contaminated with infected plant debris has been reported (Hollings et al. 1975; Rao &amp; Varma 1984). </w:t>
      </w:r>
    </w:p>
    <w:p w14:paraId="1868738C"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The transfer of CGMMV from a seedling established at a waste depot or in the backyard, to a host may occur through contact between host plants as the virus is sap- and mechanically- transmissible. </w:t>
      </w:r>
    </w:p>
    <w:p w14:paraId="7A257C90" w14:textId="4D39091C" w:rsidR="004E1BF2" w:rsidRDefault="004E1BF2"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CGMMV can spread through surface water and water for irrigation (</w:t>
      </w:r>
      <w:proofErr w:type="spellStart"/>
      <w:r>
        <w:rPr>
          <w:rFonts w:ascii="Cambria" w:hAnsi="Cambria"/>
        </w:rPr>
        <w:t>Dorst</w:t>
      </w:r>
      <w:proofErr w:type="spellEnd"/>
      <w:r>
        <w:rPr>
          <w:rFonts w:ascii="Cambria" w:hAnsi="Cambria"/>
        </w:rPr>
        <w:t xml:space="preserve"> 1988; Vani &amp; Varma 1993). </w:t>
      </w:r>
      <w:r>
        <w:rPr>
          <w:rFonts w:ascii="Cambria" w:hAnsi="Cambria"/>
          <w:szCs w:val="22"/>
        </w:rPr>
        <w:t xml:space="preserve">CGMMV therefore </w:t>
      </w:r>
      <w:r w:rsidR="0096452F">
        <w:rPr>
          <w:rFonts w:ascii="Cambria" w:hAnsi="Cambria"/>
          <w:szCs w:val="22"/>
        </w:rPr>
        <w:t xml:space="preserve">has the potential to </w:t>
      </w:r>
      <w:r>
        <w:rPr>
          <w:rFonts w:ascii="Cambria" w:hAnsi="Cambria"/>
          <w:szCs w:val="22"/>
        </w:rPr>
        <w:t xml:space="preserve">spread from infected seeds, seedlings or debris to a healthy host plant through water. </w:t>
      </w:r>
    </w:p>
    <w:p w14:paraId="2F9315F6" w14:textId="6A932CDC"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szCs w:val="22"/>
        </w:rPr>
        <w:t xml:space="preserve">Insect vectors may help transfer CGMMV from infected to healthy </w:t>
      </w:r>
      <w:r w:rsidR="004E2CCB">
        <w:rPr>
          <w:rFonts w:ascii="Cambria" w:hAnsi="Cambria"/>
          <w:szCs w:val="22"/>
        </w:rPr>
        <w:t>plant</w:t>
      </w:r>
      <w:r>
        <w:rPr>
          <w:rFonts w:ascii="Cambria" w:hAnsi="Cambria"/>
          <w:szCs w:val="22"/>
        </w:rPr>
        <w:t xml:space="preserve">s. Hollings et al. (1975) found transmission of CGMMV by </w:t>
      </w:r>
      <w:proofErr w:type="spellStart"/>
      <w:r>
        <w:rPr>
          <w:rFonts w:ascii="Cambria" w:hAnsi="Cambria"/>
          <w:i/>
          <w:szCs w:val="22"/>
        </w:rPr>
        <w:t>Myzus</w:t>
      </w:r>
      <w:proofErr w:type="spellEnd"/>
      <w:r>
        <w:rPr>
          <w:rFonts w:ascii="Cambria" w:hAnsi="Cambria"/>
          <w:i/>
          <w:szCs w:val="22"/>
        </w:rPr>
        <w:t xml:space="preserve"> </w:t>
      </w:r>
      <w:proofErr w:type="spellStart"/>
      <w:r>
        <w:rPr>
          <w:rFonts w:ascii="Cambria" w:hAnsi="Cambria"/>
          <w:i/>
          <w:szCs w:val="22"/>
        </w:rPr>
        <w:t>persicae</w:t>
      </w:r>
      <w:proofErr w:type="spellEnd"/>
      <w:r>
        <w:rPr>
          <w:rFonts w:ascii="Cambria" w:hAnsi="Cambria"/>
          <w:szCs w:val="22"/>
        </w:rPr>
        <w:t xml:space="preserve">, </w:t>
      </w:r>
      <w:r>
        <w:rPr>
          <w:rFonts w:ascii="Cambria" w:hAnsi="Cambria"/>
          <w:i/>
          <w:szCs w:val="22"/>
        </w:rPr>
        <w:t xml:space="preserve">Aphis </w:t>
      </w:r>
      <w:proofErr w:type="spellStart"/>
      <w:r>
        <w:rPr>
          <w:rFonts w:ascii="Cambria" w:hAnsi="Cambria"/>
          <w:i/>
          <w:szCs w:val="22"/>
        </w:rPr>
        <w:t>gossypii</w:t>
      </w:r>
      <w:proofErr w:type="spellEnd"/>
      <w:r>
        <w:rPr>
          <w:rFonts w:ascii="Cambria" w:hAnsi="Cambria"/>
          <w:szCs w:val="22"/>
        </w:rPr>
        <w:t xml:space="preserve"> and </w:t>
      </w:r>
      <w:proofErr w:type="spellStart"/>
      <w:r>
        <w:rPr>
          <w:rFonts w:ascii="Cambria" w:hAnsi="Cambria"/>
          <w:i/>
        </w:rPr>
        <w:t>Aulacophora</w:t>
      </w:r>
      <w:proofErr w:type="spellEnd"/>
      <w:r>
        <w:rPr>
          <w:rFonts w:ascii="Cambria" w:hAnsi="Cambria"/>
          <w:i/>
        </w:rPr>
        <w:t xml:space="preserve"> </w:t>
      </w:r>
      <w:proofErr w:type="spellStart"/>
      <w:r>
        <w:rPr>
          <w:rFonts w:ascii="Cambria" w:hAnsi="Cambria"/>
          <w:i/>
        </w:rPr>
        <w:t>femoralis</w:t>
      </w:r>
      <w:proofErr w:type="spellEnd"/>
      <w:r>
        <w:rPr>
          <w:rFonts w:ascii="Cambria" w:hAnsi="Cambria"/>
          <w:szCs w:val="22"/>
        </w:rPr>
        <w:t xml:space="preserve"> was not successful (Hollings et al. 1975). However, later studies </w:t>
      </w:r>
      <w:r w:rsidR="00811636">
        <w:rPr>
          <w:rFonts w:ascii="Cambria" w:hAnsi="Cambria"/>
          <w:szCs w:val="22"/>
        </w:rPr>
        <w:t xml:space="preserve">demonstrated </w:t>
      </w:r>
      <w:r w:rsidR="00BC2587">
        <w:rPr>
          <w:rFonts w:ascii="Cambria" w:hAnsi="Cambria"/>
          <w:szCs w:val="22"/>
        </w:rPr>
        <w:t xml:space="preserve">CGMMV </w:t>
      </w:r>
      <w:r>
        <w:rPr>
          <w:rFonts w:ascii="Cambria" w:hAnsi="Cambria"/>
          <w:szCs w:val="22"/>
        </w:rPr>
        <w:t xml:space="preserve">transmission through </w:t>
      </w:r>
      <w:r>
        <w:rPr>
          <w:rFonts w:ascii="Cambria" w:hAnsi="Cambria"/>
          <w:i/>
        </w:rPr>
        <w:t xml:space="preserve">A. </w:t>
      </w:r>
      <w:proofErr w:type="spellStart"/>
      <w:r>
        <w:rPr>
          <w:rFonts w:ascii="Cambria" w:hAnsi="Cambria"/>
          <w:i/>
        </w:rPr>
        <w:t>femoralis</w:t>
      </w:r>
      <w:proofErr w:type="spellEnd"/>
      <w:r>
        <w:rPr>
          <w:rFonts w:ascii="Cambria" w:hAnsi="Cambria"/>
          <w:szCs w:val="22"/>
        </w:rPr>
        <w:t xml:space="preserve"> (</w:t>
      </w:r>
      <w:r>
        <w:rPr>
          <w:rFonts w:ascii="Cambria" w:hAnsi="Cambria"/>
        </w:rPr>
        <w:t xml:space="preserve">Rao &amp; </w:t>
      </w:r>
      <w:proofErr w:type="spellStart"/>
      <w:r>
        <w:rPr>
          <w:rFonts w:ascii="Cambria" w:hAnsi="Cambria"/>
        </w:rPr>
        <w:t>Verma</w:t>
      </w:r>
      <w:proofErr w:type="spellEnd"/>
      <w:r>
        <w:rPr>
          <w:rFonts w:ascii="Cambria" w:hAnsi="Cambria"/>
        </w:rPr>
        <w:t xml:space="preserve"> 1984).</w:t>
      </w:r>
      <w:r w:rsidR="00811636">
        <w:rPr>
          <w:rFonts w:ascii="Cambria" w:hAnsi="Cambria"/>
        </w:rPr>
        <w:t xml:space="preserve"> While </w:t>
      </w:r>
      <w:r w:rsidR="00811636">
        <w:rPr>
          <w:rFonts w:ascii="Cambria" w:hAnsi="Cambria"/>
          <w:i/>
        </w:rPr>
        <w:t>A</w:t>
      </w:r>
      <w:r w:rsidR="005847BD">
        <w:rPr>
          <w:rFonts w:ascii="Cambria" w:hAnsi="Cambria"/>
          <w:i/>
        </w:rPr>
        <w:t xml:space="preserve">. </w:t>
      </w:r>
      <w:proofErr w:type="spellStart"/>
      <w:r w:rsidR="00811636">
        <w:rPr>
          <w:rFonts w:ascii="Cambria" w:hAnsi="Cambria"/>
          <w:i/>
        </w:rPr>
        <w:t>femoralis</w:t>
      </w:r>
      <w:proofErr w:type="spellEnd"/>
      <w:r w:rsidR="00811636">
        <w:rPr>
          <w:rFonts w:ascii="Cambria" w:hAnsi="Cambria"/>
          <w:i/>
        </w:rPr>
        <w:t xml:space="preserve"> </w:t>
      </w:r>
      <w:r w:rsidR="00811636">
        <w:rPr>
          <w:rFonts w:ascii="Cambria" w:hAnsi="Cambria"/>
        </w:rPr>
        <w:t>is not present in Australia, it is un</w:t>
      </w:r>
      <w:r w:rsidR="00367ABE">
        <w:rPr>
          <w:rFonts w:ascii="Cambria" w:hAnsi="Cambria"/>
        </w:rPr>
        <w:t>known</w:t>
      </w:r>
      <w:r w:rsidR="00811636">
        <w:rPr>
          <w:rFonts w:ascii="Cambria" w:hAnsi="Cambria"/>
        </w:rPr>
        <w:t xml:space="preserve"> if related species that are present in Australia (</w:t>
      </w:r>
      <w:r w:rsidR="00367ABE">
        <w:rPr>
          <w:rFonts w:ascii="Cambria" w:hAnsi="Cambria"/>
        </w:rPr>
        <w:t xml:space="preserve">for example, </w:t>
      </w:r>
      <w:r w:rsidR="00811636">
        <w:rPr>
          <w:rFonts w:ascii="Cambria" w:hAnsi="Cambria"/>
          <w:i/>
        </w:rPr>
        <w:t>A</w:t>
      </w:r>
      <w:r w:rsidR="005847BD">
        <w:rPr>
          <w:rFonts w:ascii="Cambria" w:hAnsi="Cambria"/>
          <w:i/>
        </w:rPr>
        <w:t>. </w:t>
      </w:r>
      <w:proofErr w:type="spellStart"/>
      <w:r w:rsidR="00811636">
        <w:rPr>
          <w:rFonts w:ascii="Cambria" w:hAnsi="Cambria"/>
          <w:i/>
        </w:rPr>
        <w:t>abdominalis</w:t>
      </w:r>
      <w:proofErr w:type="spellEnd"/>
      <w:r w:rsidR="005847BD" w:rsidRPr="005847BD">
        <w:rPr>
          <w:rFonts w:ascii="Cambria" w:hAnsi="Cambria"/>
          <w:i/>
        </w:rPr>
        <w:t xml:space="preserve"> </w:t>
      </w:r>
      <w:r w:rsidR="005847BD">
        <w:rPr>
          <w:rFonts w:ascii="Cambria" w:hAnsi="Cambria"/>
        </w:rPr>
        <w:t xml:space="preserve">and </w:t>
      </w:r>
      <w:r w:rsidR="005847BD">
        <w:rPr>
          <w:rFonts w:ascii="Cambria" w:hAnsi="Cambria"/>
          <w:i/>
        </w:rPr>
        <w:t>A. </w:t>
      </w:r>
      <w:proofErr w:type="spellStart"/>
      <w:r w:rsidR="005847BD">
        <w:rPr>
          <w:rFonts w:ascii="Cambria" w:hAnsi="Cambria"/>
          <w:i/>
        </w:rPr>
        <w:t>hilaris</w:t>
      </w:r>
      <w:proofErr w:type="spellEnd"/>
      <w:r w:rsidR="00811636">
        <w:rPr>
          <w:rFonts w:ascii="Cambria" w:hAnsi="Cambria"/>
        </w:rPr>
        <w:t>) would play a role in transferring CGMMV to healthy host plants.</w:t>
      </w:r>
      <w:r>
        <w:rPr>
          <w:rFonts w:ascii="Cambria" w:hAnsi="Cambria"/>
        </w:rPr>
        <w:t xml:space="preserve"> </w:t>
      </w:r>
    </w:p>
    <w:p w14:paraId="38BE41A7" w14:textId="77777777" w:rsidR="008163B6" w:rsidRDefault="00F709BD">
      <w:pPr>
        <w:pStyle w:val="Heading4"/>
        <w:spacing w:before="200"/>
      </w:pPr>
      <w:r>
        <w:t>Overall likelihood of entry (importation x distribution)</w:t>
      </w:r>
    </w:p>
    <w:p w14:paraId="75E981DA" w14:textId="77777777" w:rsidR="008163B6" w:rsidRDefault="00F709BD" w:rsidP="009B2C61">
      <w:pPr>
        <w:pStyle w:val="AQISNum"/>
        <w:spacing w:before="120" w:after="120" w:line="276" w:lineRule="auto"/>
        <w:contextualSpacing/>
        <w:rPr>
          <w:rFonts w:ascii="Cambria" w:hAnsi="Cambria"/>
        </w:rPr>
      </w:pPr>
      <w:r>
        <w:rPr>
          <w:rFonts w:ascii="Cambria" w:hAnsi="Cambria"/>
          <w:szCs w:val="22"/>
        </w:rPr>
        <w:t xml:space="preserve">The overall likelihood of entry of CGMMV is determined by combining the likelihood of importation with the likelihood of distribution using the matrix of rules for combining qualitative likelihoods (Table 2). </w:t>
      </w:r>
    </w:p>
    <w:p w14:paraId="1A276E66" w14:textId="632C5860" w:rsidR="008163B6" w:rsidRDefault="00F709BD" w:rsidP="009B2C61">
      <w:pPr>
        <w:pStyle w:val="ListBullet"/>
        <w:tabs>
          <w:tab w:val="clear" w:pos="360"/>
          <w:tab w:val="num" w:pos="284"/>
        </w:tabs>
        <w:spacing w:line="276" w:lineRule="auto"/>
        <w:ind w:left="284" w:hanging="284"/>
        <w:contextualSpacing/>
        <w:rPr>
          <w:rFonts w:ascii="Cambria" w:hAnsi="Cambria"/>
          <w:b/>
        </w:rPr>
      </w:pPr>
      <w:r>
        <w:rPr>
          <w:rFonts w:ascii="Cambria" w:hAnsi="Cambria"/>
          <w:color w:val="000000"/>
        </w:rPr>
        <w:t xml:space="preserve">The likelihood that CGMMV will enter Australia with imported seed for sowing and transfer to a suitable host is </w:t>
      </w:r>
      <w:r>
        <w:rPr>
          <w:rFonts w:ascii="Cambria" w:hAnsi="Cambria"/>
          <w:b/>
          <w:bCs/>
          <w:color w:val="000000"/>
        </w:rPr>
        <w:t>MODERATE</w:t>
      </w:r>
      <w:r>
        <w:rPr>
          <w:rFonts w:ascii="Cambria" w:hAnsi="Cambria"/>
          <w:bCs/>
          <w:color w:val="000000"/>
        </w:rPr>
        <w:t>.</w:t>
      </w:r>
    </w:p>
    <w:p w14:paraId="75C30F9A" w14:textId="77777777" w:rsidR="008163B6" w:rsidRDefault="00F709BD">
      <w:pPr>
        <w:pStyle w:val="Heading3"/>
        <w:keepLines/>
        <w:numPr>
          <w:ilvl w:val="2"/>
          <w:numId w:val="21"/>
        </w:numPr>
        <w:tabs>
          <w:tab w:val="clear" w:pos="720"/>
        </w:tabs>
        <w:spacing w:after="200"/>
        <w:ind w:left="357" w:hanging="357"/>
        <w:rPr>
          <w:rFonts w:ascii="Calibri" w:hAnsi="Calibri" w:cstheme="minorBidi"/>
          <w:sz w:val="24"/>
          <w:szCs w:val="22"/>
        </w:rPr>
      </w:pPr>
      <w:bookmarkStart w:id="250" w:name="_Toc447540800"/>
      <w:r>
        <w:rPr>
          <w:rFonts w:ascii="Calibri" w:hAnsi="Calibri" w:cstheme="minorBidi"/>
          <w:sz w:val="24"/>
          <w:szCs w:val="22"/>
        </w:rPr>
        <w:t>Likelihood of establishment</w:t>
      </w:r>
      <w:bookmarkEnd w:id="250"/>
    </w:p>
    <w:p w14:paraId="573A6AE6" w14:textId="03FA05EC" w:rsidR="008163B6" w:rsidRDefault="00F709BD" w:rsidP="009B2C61">
      <w:pPr>
        <w:pStyle w:val="ListBullet"/>
        <w:numPr>
          <w:ilvl w:val="0"/>
          <w:numId w:val="0"/>
        </w:numPr>
        <w:spacing w:line="276" w:lineRule="auto"/>
        <w:contextualSpacing/>
        <w:rPr>
          <w:rFonts w:ascii="Cambria" w:hAnsi="Cambria"/>
        </w:rPr>
      </w:pPr>
      <w:r>
        <w:rPr>
          <w:rFonts w:ascii="Cambria" w:hAnsi="Cambria"/>
        </w:rPr>
        <w:t xml:space="preserve">The likelihood that CGMMV, having entered on imported </w:t>
      </w:r>
      <w:r w:rsidR="0074037B">
        <w:rPr>
          <w:rFonts w:ascii="Cambria" w:hAnsi="Cambria"/>
        </w:rPr>
        <w:t>seeds for sowing</w:t>
      </w:r>
      <w:r>
        <w:rPr>
          <w:rFonts w:ascii="Cambria" w:hAnsi="Cambria"/>
        </w:rPr>
        <w:t xml:space="preserve">, will establish within Australia based on a comparison of factors in the source and destination areas considered pertinent to its survival and reproduction is </w:t>
      </w:r>
      <w:r>
        <w:rPr>
          <w:rFonts w:ascii="Cambria" w:hAnsi="Cambria"/>
          <w:b/>
          <w:bCs/>
        </w:rPr>
        <w:t>HIGH</w:t>
      </w:r>
      <w:r>
        <w:rPr>
          <w:rFonts w:ascii="Cambria" w:hAnsi="Cambria"/>
        </w:rPr>
        <w:t>.</w:t>
      </w:r>
    </w:p>
    <w:p w14:paraId="7723DF61" w14:textId="77777777" w:rsidR="008163B6" w:rsidRDefault="00F709BD">
      <w:pPr>
        <w:pStyle w:val="Heading5"/>
        <w:spacing w:before="120" w:after="120"/>
      </w:pPr>
      <w:r>
        <w:t>Availability of suitable hosts, alternative hosts and vectors in the PRA area</w:t>
      </w:r>
    </w:p>
    <w:p w14:paraId="363D86AC" w14:textId="565D2101" w:rsidR="009A6A85" w:rsidRDefault="009A6A85"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CGMMV is </w:t>
      </w:r>
      <w:r w:rsidR="00CC0813">
        <w:rPr>
          <w:rFonts w:ascii="Cambria" w:hAnsi="Cambria"/>
          <w:szCs w:val="22"/>
        </w:rPr>
        <w:t>seed-borne</w:t>
      </w:r>
      <w:r w:rsidR="00091B7D">
        <w:rPr>
          <w:rFonts w:ascii="Cambria" w:hAnsi="Cambria"/>
          <w:szCs w:val="22"/>
        </w:rPr>
        <w:t xml:space="preserve">, </w:t>
      </w:r>
      <w:r w:rsidR="008B13AB">
        <w:rPr>
          <w:rFonts w:ascii="Cambria" w:hAnsi="Cambria"/>
          <w:szCs w:val="22"/>
        </w:rPr>
        <w:t>seed-</w:t>
      </w:r>
      <w:r>
        <w:rPr>
          <w:rFonts w:ascii="Cambria" w:hAnsi="Cambria"/>
          <w:szCs w:val="22"/>
        </w:rPr>
        <w:t>transmissible (Choi 2001; Liu et al. 2014) and infects host plants systemically (Moreno et al. 2004). Therefore, the introduction and establishment of plants from imported</w:t>
      </w:r>
      <w:r w:rsidR="00CF373F">
        <w:rPr>
          <w:rFonts w:ascii="Cambria" w:hAnsi="Cambria"/>
          <w:szCs w:val="22"/>
        </w:rPr>
        <w:t xml:space="preserve"> host</w:t>
      </w:r>
      <w:r>
        <w:rPr>
          <w:rFonts w:ascii="Cambria" w:hAnsi="Cambria"/>
          <w:szCs w:val="22"/>
        </w:rPr>
        <w:t xml:space="preserve"> cucurbit seeds promotes the establishment of CGMMV</w:t>
      </w:r>
      <w:r>
        <w:rPr>
          <w:rFonts w:ascii="Cambria" w:hAnsi="Cambria"/>
        </w:rPr>
        <w:t xml:space="preserve"> with the propagative material.</w:t>
      </w:r>
    </w:p>
    <w:p w14:paraId="716446D4" w14:textId="71905B2F"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Association with the host seeds will facilitate the establishment of CGMMV, as the pathogen is already established with, or within, a suitable host. In addition, host plant seed</w:t>
      </w:r>
      <w:r w:rsidR="00091B7D">
        <w:rPr>
          <w:rFonts w:ascii="Cambria" w:hAnsi="Cambria"/>
        </w:rPr>
        <w:t>s are</w:t>
      </w:r>
      <w:r>
        <w:rPr>
          <w:rFonts w:ascii="Cambria" w:hAnsi="Cambria"/>
        </w:rPr>
        <w:t xml:space="preserve"> likely to be maintained in places with similar climates to the area of production</w:t>
      </w:r>
      <w:r w:rsidR="00091B7D">
        <w:rPr>
          <w:rFonts w:ascii="Cambria" w:hAnsi="Cambria"/>
        </w:rPr>
        <w:t>. C</w:t>
      </w:r>
      <w:r>
        <w:rPr>
          <w:rFonts w:ascii="Cambria" w:hAnsi="Cambria"/>
        </w:rPr>
        <w:t>limatic conditions are expected to favour the establishment of the pathogen.</w:t>
      </w:r>
    </w:p>
    <w:p w14:paraId="2EFE24C2" w14:textId="5E1A75E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Seeds are intended for propagation and are deliberately introduced, distributed and aided to establish. Seeds will be sown, and the resultant seedlings maintained, in a suitable habitat, potentially in substantial numbers and for an indeterminate period</w:t>
      </w:r>
      <w:r w:rsidR="004E2CCB">
        <w:rPr>
          <w:rFonts w:ascii="Cambria" w:hAnsi="Cambria"/>
        </w:rPr>
        <w:t xml:space="preserve"> of time</w:t>
      </w:r>
      <w:r>
        <w:rPr>
          <w:rFonts w:ascii="Cambria" w:hAnsi="Cambria"/>
        </w:rPr>
        <w:t xml:space="preserve">. Therefore, the introduction and establishment of plants from imported seeds in essence establishes </w:t>
      </w:r>
      <w:r>
        <w:rPr>
          <w:rFonts w:ascii="Cambria" w:hAnsi="Cambria"/>
          <w:szCs w:val="22"/>
        </w:rPr>
        <w:t>CGMMV</w:t>
      </w:r>
      <w:r>
        <w:rPr>
          <w:rFonts w:ascii="Cambria" w:hAnsi="Cambria"/>
        </w:rPr>
        <w:t xml:space="preserve"> associated with the propagative material.</w:t>
      </w:r>
    </w:p>
    <w:p w14:paraId="12F306B0" w14:textId="05AB58EC"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 xml:space="preserve">Natural hosts of CGMMV </w:t>
      </w:r>
      <w:r>
        <w:rPr>
          <w:rFonts w:ascii="Cambria" w:hAnsi="Cambria"/>
          <w:iCs/>
          <w:szCs w:val="22"/>
        </w:rPr>
        <w:t xml:space="preserve">are widely cultivated throughout Australia, </w:t>
      </w:r>
      <w:r w:rsidR="00091B7D">
        <w:rPr>
          <w:rFonts w:ascii="Cambria" w:hAnsi="Cambria"/>
          <w:szCs w:val="22"/>
        </w:rPr>
        <w:t>with many commercial</w:t>
      </w:r>
      <w:r>
        <w:rPr>
          <w:rFonts w:ascii="Cambria" w:hAnsi="Cambria"/>
          <w:szCs w:val="22"/>
        </w:rPr>
        <w:t xml:space="preserve">, </w:t>
      </w:r>
      <w:r w:rsidR="00091B7D">
        <w:rPr>
          <w:rFonts w:ascii="Cambria" w:hAnsi="Cambria"/>
          <w:szCs w:val="22"/>
        </w:rPr>
        <w:t xml:space="preserve">semi-rural </w:t>
      </w:r>
      <w:r>
        <w:rPr>
          <w:rFonts w:ascii="Cambria" w:hAnsi="Cambria"/>
          <w:szCs w:val="22"/>
        </w:rPr>
        <w:t xml:space="preserve">and residential properties in metropolitan areas growing </w:t>
      </w:r>
      <w:r w:rsidR="004E2CCB">
        <w:rPr>
          <w:rFonts w:ascii="Cambria" w:hAnsi="Cambria"/>
          <w:szCs w:val="22"/>
        </w:rPr>
        <w:t xml:space="preserve">host fruit and </w:t>
      </w:r>
      <w:r>
        <w:rPr>
          <w:rFonts w:ascii="Cambria" w:hAnsi="Cambria"/>
          <w:szCs w:val="22"/>
        </w:rPr>
        <w:t>vegetables. Therefore, the availability of host material throughout Australia will help establish CGMMV.</w:t>
      </w:r>
    </w:p>
    <w:p w14:paraId="10545858" w14:textId="4A0704B2" w:rsidR="009A6A85" w:rsidRDefault="009A6A85"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iCs/>
          <w:szCs w:val="22"/>
        </w:rPr>
        <w:t>Alternative hosts include weed species (</w:t>
      </w:r>
      <w:proofErr w:type="spellStart"/>
      <w:r>
        <w:rPr>
          <w:rFonts w:ascii="Cambria" w:hAnsi="Cambria"/>
          <w:szCs w:val="18"/>
        </w:rPr>
        <w:t>Boubourakas</w:t>
      </w:r>
      <w:proofErr w:type="spellEnd"/>
      <w:r>
        <w:rPr>
          <w:rFonts w:ascii="Cambria" w:hAnsi="Cambria"/>
          <w:szCs w:val="18"/>
        </w:rPr>
        <w:t xml:space="preserve"> et al. 2004), some of which </w:t>
      </w:r>
      <w:r>
        <w:rPr>
          <w:rFonts w:ascii="Cambria" w:hAnsi="Cambria"/>
          <w:iCs/>
          <w:szCs w:val="22"/>
        </w:rPr>
        <w:t>are widely distributed in Australia</w:t>
      </w:r>
      <w:r w:rsidR="004E2CCB">
        <w:rPr>
          <w:rFonts w:ascii="Cambria" w:hAnsi="Cambria"/>
          <w:iCs/>
          <w:szCs w:val="22"/>
        </w:rPr>
        <w:t>.</w:t>
      </w:r>
      <w:r>
        <w:rPr>
          <w:rFonts w:ascii="Cambria" w:hAnsi="Cambria"/>
          <w:iCs/>
          <w:szCs w:val="22"/>
        </w:rPr>
        <w:t xml:space="preserve"> </w:t>
      </w:r>
      <w:r w:rsidR="004E2CCB">
        <w:rPr>
          <w:rFonts w:ascii="Cambria" w:hAnsi="Cambria"/>
          <w:iCs/>
          <w:szCs w:val="22"/>
        </w:rPr>
        <w:t>C</w:t>
      </w:r>
      <w:r>
        <w:rPr>
          <w:rFonts w:ascii="Cambria" w:hAnsi="Cambria"/>
          <w:iCs/>
          <w:szCs w:val="22"/>
        </w:rPr>
        <w:t>ontact between infected cucurbits and weed species will help transfer CGMMV from its cucurbit crop host to an alternative host. Consequently, weed hosts may help to establish CGMMV.</w:t>
      </w:r>
    </w:p>
    <w:p w14:paraId="0C87BDA6" w14:textId="41DFEDD5" w:rsidR="008163B6" w:rsidRDefault="00F709BD" w:rsidP="009B2C61">
      <w:pPr>
        <w:pStyle w:val="AQISNum"/>
        <w:numPr>
          <w:ilvl w:val="0"/>
          <w:numId w:val="33"/>
        </w:numPr>
        <w:tabs>
          <w:tab w:val="clear" w:pos="360"/>
          <w:tab w:val="num" w:pos="284"/>
        </w:tabs>
        <w:spacing w:before="120" w:after="120" w:line="276" w:lineRule="auto"/>
        <w:ind w:left="284" w:hanging="284"/>
        <w:contextualSpacing/>
      </w:pPr>
      <w:r>
        <w:rPr>
          <w:rFonts w:ascii="Cambria" w:hAnsi="Cambria"/>
          <w:szCs w:val="22"/>
        </w:rPr>
        <w:t xml:space="preserve">The latent period of CGMMV infection before visible symptoms appear (up to 14 days </w:t>
      </w:r>
      <w:r w:rsidR="0096452F">
        <w:rPr>
          <w:rFonts w:ascii="Cambria" w:hAnsi="Cambria"/>
          <w:szCs w:val="22"/>
        </w:rPr>
        <w:t>has been reported in</w:t>
      </w:r>
      <w:r>
        <w:rPr>
          <w:rFonts w:ascii="Cambria" w:hAnsi="Cambria"/>
          <w:szCs w:val="22"/>
        </w:rPr>
        <w:t xml:space="preserve"> cucumber (</w:t>
      </w:r>
      <w:r w:rsidR="00091B7D">
        <w:rPr>
          <w:rFonts w:ascii="Cambria" w:hAnsi="Cambria"/>
          <w:i/>
          <w:szCs w:val="22"/>
        </w:rPr>
        <w:t>Cucumis</w:t>
      </w:r>
      <w:r w:rsidR="00091B7D" w:rsidRPr="00091B7D">
        <w:rPr>
          <w:rFonts w:ascii="Cambria" w:hAnsi="Cambria"/>
          <w:i/>
          <w:szCs w:val="22"/>
        </w:rPr>
        <w:t xml:space="preserve"> sativus</w:t>
      </w:r>
      <w:r w:rsidR="00091B7D">
        <w:rPr>
          <w:rFonts w:ascii="Cambria" w:hAnsi="Cambria"/>
          <w:szCs w:val="22"/>
        </w:rPr>
        <w:t xml:space="preserve">; </w:t>
      </w:r>
      <w:r w:rsidRPr="00091B7D">
        <w:rPr>
          <w:rFonts w:ascii="Cambria" w:hAnsi="Cambria"/>
          <w:szCs w:val="22"/>
        </w:rPr>
        <w:t>Smith</w:t>
      </w:r>
      <w:r>
        <w:rPr>
          <w:rFonts w:ascii="Cambria" w:hAnsi="Cambria"/>
          <w:szCs w:val="22"/>
        </w:rPr>
        <w:t xml:space="preserve"> 1972)) may result in non-detection of the virus</w:t>
      </w:r>
      <w:r w:rsidR="00353708">
        <w:rPr>
          <w:rFonts w:ascii="Cambria" w:hAnsi="Cambria"/>
          <w:szCs w:val="22"/>
        </w:rPr>
        <w:t>. A</w:t>
      </w:r>
      <w:r>
        <w:rPr>
          <w:rFonts w:ascii="Cambria" w:hAnsi="Cambria"/>
          <w:szCs w:val="22"/>
        </w:rPr>
        <w:t>symptomatic leaves and symptomless fruits are often observed in CGMMV infected cucurbit hosts (Hollings et al. 197</w:t>
      </w:r>
      <w:r>
        <w:rPr>
          <w:rFonts w:ascii="Cambria" w:hAnsi="Cambria" w:hint="eastAsia"/>
          <w:szCs w:val="22"/>
        </w:rPr>
        <w:t>5</w:t>
      </w:r>
      <w:r>
        <w:rPr>
          <w:rFonts w:ascii="Cambria" w:hAnsi="Cambria"/>
          <w:szCs w:val="22"/>
        </w:rPr>
        <w:t xml:space="preserve">; Liu et al. 2014). Therefore, CGMMV </w:t>
      </w:r>
      <w:r w:rsidR="0096452F">
        <w:rPr>
          <w:rFonts w:ascii="Cambria" w:hAnsi="Cambria"/>
          <w:szCs w:val="22"/>
        </w:rPr>
        <w:t xml:space="preserve">may </w:t>
      </w:r>
      <w:r>
        <w:rPr>
          <w:rFonts w:ascii="Cambria" w:hAnsi="Cambria"/>
          <w:szCs w:val="22"/>
        </w:rPr>
        <w:t>have ample time to establish in new areas before being detected.</w:t>
      </w:r>
    </w:p>
    <w:p w14:paraId="4C133ADC" w14:textId="6BBA7ABA"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CGMMV is efficiently transmitted by mechanical means such as workers’ hands, clothing and tools (Broa</w:t>
      </w:r>
      <w:r w:rsidR="00876E85">
        <w:rPr>
          <w:rFonts w:ascii="Cambria" w:hAnsi="Cambria"/>
          <w:szCs w:val="22"/>
        </w:rPr>
        <w:t>d</w:t>
      </w:r>
      <w:r>
        <w:rPr>
          <w:rFonts w:ascii="Cambria" w:hAnsi="Cambria"/>
          <w:szCs w:val="22"/>
        </w:rPr>
        <w:t xml:space="preserve">bent &amp; Fletcher 1963; </w:t>
      </w:r>
      <w:proofErr w:type="spellStart"/>
      <w:r>
        <w:rPr>
          <w:rFonts w:ascii="Cambria" w:hAnsi="Cambria"/>
          <w:szCs w:val="22"/>
        </w:rPr>
        <w:t>Reingold</w:t>
      </w:r>
      <w:proofErr w:type="spellEnd"/>
      <w:r>
        <w:rPr>
          <w:rFonts w:ascii="Cambria" w:hAnsi="Cambria"/>
          <w:szCs w:val="22"/>
        </w:rPr>
        <w:t xml:space="preserve"> et al. 2015). </w:t>
      </w:r>
      <w:r w:rsidR="009A6A85">
        <w:rPr>
          <w:rFonts w:ascii="Cambria" w:hAnsi="Cambria"/>
          <w:szCs w:val="22"/>
        </w:rPr>
        <w:t xml:space="preserve">The virus is very stable and can survive for long periods on equipment surfaces and tools (ASTA 2014). </w:t>
      </w:r>
      <w:r>
        <w:rPr>
          <w:rFonts w:ascii="Cambria" w:hAnsi="Cambria"/>
          <w:szCs w:val="22"/>
        </w:rPr>
        <w:t>Therefore, it is highly likely that mechanical transmission could spread the virus from infected plants</w:t>
      </w:r>
      <w:r w:rsidR="00353708">
        <w:rPr>
          <w:rFonts w:ascii="Cambria" w:hAnsi="Cambria"/>
          <w:szCs w:val="22"/>
        </w:rPr>
        <w:t>,</w:t>
      </w:r>
      <w:r>
        <w:rPr>
          <w:rFonts w:ascii="Cambria" w:hAnsi="Cambria"/>
          <w:szCs w:val="22"/>
        </w:rPr>
        <w:t xml:space="preserve"> resulting from infected seeds</w:t>
      </w:r>
      <w:r w:rsidR="00353708">
        <w:rPr>
          <w:rFonts w:ascii="Cambria" w:hAnsi="Cambria"/>
          <w:szCs w:val="22"/>
        </w:rPr>
        <w:t>,</w:t>
      </w:r>
      <w:r>
        <w:rPr>
          <w:rFonts w:ascii="Cambria" w:hAnsi="Cambria"/>
          <w:szCs w:val="22"/>
        </w:rPr>
        <w:t xml:space="preserve"> to healthy host plant</w:t>
      </w:r>
      <w:r w:rsidR="009A6A85">
        <w:rPr>
          <w:rFonts w:ascii="Cambria" w:hAnsi="Cambria"/>
          <w:szCs w:val="22"/>
        </w:rPr>
        <w:t>s</w:t>
      </w:r>
      <w:r>
        <w:rPr>
          <w:rFonts w:ascii="Cambria" w:hAnsi="Cambria"/>
          <w:szCs w:val="22"/>
        </w:rPr>
        <w:t xml:space="preserve">. </w:t>
      </w:r>
    </w:p>
    <w:p w14:paraId="18C5F393" w14:textId="138595CF"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Vectors </w:t>
      </w:r>
      <w:r w:rsidR="009A6A85">
        <w:rPr>
          <w:rFonts w:ascii="Cambria" w:hAnsi="Cambria"/>
        </w:rPr>
        <w:t>can play an</w:t>
      </w:r>
      <w:r>
        <w:rPr>
          <w:rFonts w:ascii="Cambria" w:hAnsi="Cambria"/>
        </w:rPr>
        <w:t xml:space="preserve"> important </w:t>
      </w:r>
      <w:r w:rsidR="009A6A85">
        <w:rPr>
          <w:rFonts w:ascii="Cambria" w:hAnsi="Cambria"/>
        </w:rPr>
        <w:t xml:space="preserve">role </w:t>
      </w:r>
      <w:r w:rsidR="00353708">
        <w:rPr>
          <w:rFonts w:ascii="Cambria" w:hAnsi="Cambria"/>
        </w:rPr>
        <w:t xml:space="preserve">in the </w:t>
      </w:r>
      <w:r w:rsidR="009A6A85">
        <w:rPr>
          <w:rFonts w:ascii="Cambria" w:hAnsi="Cambria"/>
        </w:rPr>
        <w:t xml:space="preserve">transmission of </w:t>
      </w:r>
      <w:r>
        <w:rPr>
          <w:rFonts w:ascii="Cambria" w:hAnsi="Cambria"/>
        </w:rPr>
        <w:t>viruses to new host plants. However, CGMMV</w:t>
      </w:r>
      <w:r w:rsidR="009A6A85">
        <w:rPr>
          <w:rFonts w:ascii="Cambria" w:hAnsi="Cambria"/>
        </w:rPr>
        <w:t>,</w:t>
      </w:r>
      <w:r>
        <w:rPr>
          <w:rFonts w:ascii="Cambria" w:hAnsi="Cambria"/>
        </w:rPr>
        <w:t xml:space="preserve"> like other mechanically- or sap- transmitted viruses</w:t>
      </w:r>
      <w:r w:rsidR="009A6A85">
        <w:rPr>
          <w:rFonts w:ascii="Cambria" w:hAnsi="Cambria"/>
        </w:rPr>
        <w:t xml:space="preserve">, is </w:t>
      </w:r>
      <w:r>
        <w:rPr>
          <w:rFonts w:ascii="Cambria" w:hAnsi="Cambria"/>
        </w:rPr>
        <w:t>capable of moving to new host plants through direct contact.</w:t>
      </w:r>
      <w:r w:rsidR="009A6A85">
        <w:rPr>
          <w:rFonts w:ascii="Cambria" w:hAnsi="Cambria"/>
        </w:rPr>
        <w:t xml:space="preserve"> Therefore, this virus has the potential to establish and spread without vectors.</w:t>
      </w:r>
    </w:p>
    <w:p w14:paraId="7D1E0638" w14:textId="748A7938" w:rsidR="009A6A85" w:rsidRDefault="009A6A85" w:rsidP="009B2C61">
      <w:pPr>
        <w:pStyle w:val="AQISNum"/>
        <w:numPr>
          <w:ilvl w:val="0"/>
          <w:numId w:val="33"/>
        </w:numPr>
        <w:tabs>
          <w:tab w:val="clear" w:pos="360"/>
          <w:tab w:val="num" w:pos="284"/>
        </w:tabs>
        <w:spacing w:before="120" w:after="120" w:line="276" w:lineRule="auto"/>
        <w:ind w:left="284" w:hanging="284"/>
        <w:contextualSpacing/>
      </w:pPr>
      <w:r w:rsidRPr="0096452F">
        <w:rPr>
          <w:rFonts w:ascii="Cambria" w:hAnsi="Cambria"/>
          <w:szCs w:val="22"/>
        </w:rPr>
        <w:t xml:space="preserve">Establishment of </w:t>
      </w:r>
      <w:r w:rsidRPr="0096452F">
        <w:rPr>
          <w:rFonts w:ascii="Cambria" w:hAnsi="Cambria"/>
        </w:rPr>
        <w:t>CGMMV c</w:t>
      </w:r>
      <w:r w:rsidRPr="0096452F">
        <w:rPr>
          <w:rFonts w:ascii="Cambria" w:hAnsi="Cambria"/>
          <w:szCs w:val="22"/>
        </w:rPr>
        <w:t xml:space="preserve">ould be aided by the presence of insect vectors in the PRA area. </w:t>
      </w:r>
      <w:r w:rsidR="00353708">
        <w:rPr>
          <w:rFonts w:ascii="Cambria" w:hAnsi="Cambria"/>
          <w:szCs w:val="22"/>
        </w:rPr>
        <w:t xml:space="preserve">The </w:t>
      </w:r>
      <w:r w:rsidR="00BC2587">
        <w:rPr>
          <w:rFonts w:ascii="Cambria" w:hAnsi="Cambria"/>
          <w:szCs w:val="22"/>
        </w:rPr>
        <w:t>c</w:t>
      </w:r>
      <w:r w:rsidRPr="0096452F">
        <w:rPr>
          <w:rFonts w:ascii="Cambria" w:hAnsi="Cambria"/>
        </w:rPr>
        <w:t>ucumber leaf beetle (</w:t>
      </w:r>
      <w:proofErr w:type="spellStart"/>
      <w:r w:rsidRPr="0096452F">
        <w:rPr>
          <w:rFonts w:ascii="Cambria" w:hAnsi="Cambria"/>
          <w:i/>
        </w:rPr>
        <w:t>Aulacophora</w:t>
      </w:r>
      <w:proofErr w:type="spellEnd"/>
      <w:r w:rsidRPr="0096452F">
        <w:rPr>
          <w:rFonts w:ascii="Cambria" w:hAnsi="Cambria"/>
          <w:i/>
        </w:rPr>
        <w:t xml:space="preserve"> </w:t>
      </w:r>
      <w:proofErr w:type="spellStart"/>
      <w:r w:rsidRPr="0096452F">
        <w:rPr>
          <w:rFonts w:ascii="Cambria" w:hAnsi="Cambria"/>
          <w:i/>
        </w:rPr>
        <w:t>femoralis</w:t>
      </w:r>
      <w:proofErr w:type="spellEnd"/>
      <w:r w:rsidRPr="0096452F">
        <w:rPr>
          <w:rFonts w:ascii="Cambria" w:hAnsi="Cambria"/>
        </w:rPr>
        <w:t xml:space="preserve">) </w:t>
      </w:r>
      <w:r w:rsidR="00353708">
        <w:rPr>
          <w:rFonts w:ascii="Cambria" w:hAnsi="Cambria"/>
        </w:rPr>
        <w:t xml:space="preserve">has been shown to </w:t>
      </w:r>
      <w:r w:rsidRPr="0096452F">
        <w:rPr>
          <w:rFonts w:ascii="Cambria" w:hAnsi="Cambria"/>
        </w:rPr>
        <w:t xml:space="preserve">transmit CGMMV directly to 10 percent of tested plants (Rao &amp; </w:t>
      </w:r>
      <w:proofErr w:type="spellStart"/>
      <w:r w:rsidRPr="0096452F">
        <w:rPr>
          <w:rFonts w:ascii="Cambria" w:hAnsi="Cambria"/>
        </w:rPr>
        <w:t>Verma</w:t>
      </w:r>
      <w:proofErr w:type="spellEnd"/>
      <w:r w:rsidRPr="0096452F">
        <w:rPr>
          <w:rFonts w:ascii="Cambria" w:hAnsi="Cambria"/>
        </w:rPr>
        <w:t xml:space="preserve"> 1984). Infective virus particles were detected in regurgitated fluid and excreta (Rao &amp; </w:t>
      </w:r>
      <w:proofErr w:type="spellStart"/>
      <w:r w:rsidRPr="0096452F">
        <w:rPr>
          <w:rFonts w:ascii="Cambria" w:hAnsi="Cambria"/>
        </w:rPr>
        <w:t>Verma</w:t>
      </w:r>
      <w:proofErr w:type="spellEnd"/>
      <w:r w:rsidRPr="0096452F">
        <w:rPr>
          <w:rFonts w:ascii="Cambria" w:hAnsi="Cambria"/>
        </w:rPr>
        <w:t xml:space="preserve"> 1984). While </w:t>
      </w:r>
      <w:r w:rsidRPr="0096452F">
        <w:rPr>
          <w:rFonts w:ascii="Cambria" w:hAnsi="Cambria"/>
          <w:i/>
        </w:rPr>
        <w:t>A</w:t>
      </w:r>
      <w:r w:rsidR="00B8375F">
        <w:rPr>
          <w:rFonts w:ascii="Cambria" w:hAnsi="Cambria"/>
          <w:i/>
        </w:rPr>
        <w:t>. </w:t>
      </w:r>
      <w:proofErr w:type="spellStart"/>
      <w:r w:rsidRPr="0096452F">
        <w:rPr>
          <w:rFonts w:ascii="Cambria" w:hAnsi="Cambria"/>
          <w:i/>
        </w:rPr>
        <w:t>femoralis</w:t>
      </w:r>
      <w:proofErr w:type="spellEnd"/>
      <w:r w:rsidRPr="0096452F">
        <w:rPr>
          <w:rFonts w:ascii="Cambria" w:hAnsi="Cambria"/>
          <w:i/>
        </w:rPr>
        <w:t xml:space="preserve"> </w:t>
      </w:r>
      <w:r w:rsidRPr="0096452F">
        <w:rPr>
          <w:rFonts w:ascii="Cambria" w:hAnsi="Cambria"/>
        </w:rPr>
        <w:t xml:space="preserve">is not present in Australia, it is unknown if related species that are present in Australia (for example, </w:t>
      </w:r>
      <w:r w:rsidR="00B8375F" w:rsidRPr="0096452F">
        <w:rPr>
          <w:rFonts w:ascii="Cambria" w:hAnsi="Cambria"/>
          <w:i/>
        </w:rPr>
        <w:t>A</w:t>
      </w:r>
      <w:r w:rsidR="00B8375F">
        <w:rPr>
          <w:rFonts w:ascii="Cambria" w:hAnsi="Cambria"/>
          <w:i/>
        </w:rPr>
        <w:t>. </w:t>
      </w:r>
      <w:proofErr w:type="spellStart"/>
      <w:r w:rsidR="00B8375F" w:rsidRPr="0096452F">
        <w:rPr>
          <w:rFonts w:ascii="Cambria" w:hAnsi="Cambria"/>
          <w:i/>
        </w:rPr>
        <w:t>abdominalis</w:t>
      </w:r>
      <w:proofErr w:type="spellEnd"/>
      <w:r w:rsidR="00B8375F" w:rsidRPr="0096452F">
        <w:rPr>
          <w:rFonts w:ascii="Cambria" w:hAnsi="Cambria"/>
          <w:i/>
        </w:rPr>
        <w:t xml:space="preserve"> </w:t>
      </w:r>
      <w:r w:rsidR="00B8375F">
        <w:rPr>
          <w:rFonts w:ascii="Cambria" w:hAnsi="Cambria"/>
        </w:rPr>
        <w:t xml:space="preserve">and </w:t>
      </w:r>
      <w:r w:rsidRPr="0096452F">
        <w:rPr>
          <w:rFonts w:ascii="Cambria" w:hAnsi="Cambria"/>
          <w:i/>
        </w:rPr>
        <w:t>A</w:t>
      </w:r>
      <w:r w:rsidR="00B8375F">
        <w:rPr>
          <w:rFonts w:ascii="Cambria" w:hAnsi="Cambria"/>
          <w:i/>
        </w:rPr>
        <w:t>. </w:t>
      </w:r>
      <w:proofErr w:type="spellStart"/>
      <w:r w:rsidRPr="0096452F">
        <w:rPr>
          <w:rFonts w:ascii="Cambria" w:hAnsi="Cambria"/>
          <w:i/>
        </w:rPr>
        <w:t>hilaris</w:t>
      </w:r>
      <w:proofErr w:type="spellEnd"/>
      <w:r w:rsidRPr="0096452F">
        <w:rPr>
          <w:rFonts w:ascii="Cambria" w:hAnsi="Cambria"/>
        </w:rPr>
        <w:t xml:space="preserve">) would play a role in transferring CGMMV to healthy host plants. </w:t>
      </w:r>
    </w:p>
    <w:p w14:paraId="019A2132" w14:textId="77777777" w:rsidR="008163B6" w:rsidRDefault="00F709BD">
      <w:pPr>
        <w:pStyle w:val="Heading5"/>
        <w:spacing w:before="120" w:after="120"/>
      </w:pPr>
      <w:r>
        <w:t>Suitability of the environment</w:t>
      </w:r>
    </w:p>
    <w:p w14:paraId="10F838C2"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CGMMV has established in areas with a wide range of climatic conditions (Map 3). The current reported distribution of CGMMV indicates that climatic conditions would be suitable for its establishment in outdoor crops in parts of Australia. </w:t>
      </w:r>
    </w:p>
    <w:p w14:paraId="1DA629CB" w14:textId="0B2EB916" w:rsidR="0076695E" w:rsidRDefault="0076695E"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The origin of CGMMV is not known and is difficult to determine; however, this virus was first reported from the UK (Ain</w:t>
      </w:r>
      <w:r w:rsidR="00BD6099">
        <w:rPr>
          <w:rFonts w:ascii="Cambria" w:hAnsi="Cambria"/>
        </w:rPr>
        <w:t>s</w:t>
      </w:r>
      <w:r>
        <w:rPr>
          <w:rFonts w:ascii="Cambria" w:hAnsi="Cambria"/>
        </w:rPr>
        <w:t xml:space="preserve">worth 1935). Subsequently, </w:t>
      </w:r>
      <w:r w:rsidRPr="00F709BD">
        <w:rPr>
          <w:rFonts w:ascii="Cambria" w:hAnsi="Cambria"/>
          <w:bCs/>
        </w:rPr>
        <w:t>CGMMV</w:t>
      </w:r>
      <w:r>
        <w:rPr>
          <w:rFonts w:ascii="Cambria" w:hAnsi="Cambria"/>
          <w:bCs/>
        </w:rPr>
        <w:t xml:space="preserve"> has been</w:t>
      </w:r>
      <w:r w:rsidRPr="00F709BD">
        <w:rPr>
          <w:rFonts w:ascii="Cambria" w:hAnsi="Cambria"/>
          <w:bCs/>
        </w:rPr>
        <w:t xml:space="preserve"> reported to occur in most continents and over 30 countries</w:t>
      </w:r>
      <w:r>
        <w:rPr>
          <w:rFonts w:ascii="Cambria" w:hAnsi="Cambria"/>
          <w:bCs/>
        </w:rPr>
        <w:t>, including but not limited to</w:t>
      </w:r>
      <w:r w:rsidRPr="00F709BD">
        <w:rPr>
          <w:rFonts w:ascii="Cambria" w:hAnsi="Cambria"/>
          <w:bCs/>
        </w:rPr>
        <w:t xml:space="preserve"> </w:t>
      </w:r>
      <w:r>
        <w:rPr>
          <w:rFonts w:ascii="Cambria" w:hAnsi="Cambria"/>
        </w:rPr>
        <w:t>China, Finland, Germany, Greece, India, Israel, Japan, Korea, Pakistan, Saudi Arabia and Spain (</w:t>
      </w:r>
      <w:proofErr w:type="spellStart"/>
      <w:r>
        <w:rPr>
          <w:rFonts w:ascii="Cambria" w:hAnsi="Cambria"/>
        </w:rPr>
        <w:t>Komuro</w:t>
      </w:r>
      <w:proofErr w:type="spellEnd"/>
      <w:r>
        <w:rPr>
          <w:rFonts w:ascii="Cambria" w:hAnsi="Cambria"/>
        </w:rPr>
        <w:t xml:space="preserve"> et al. 1968; </w:t>
      </w:r>
      <w:proofErr w:type="spellStart"/>
      <w:r>
        <w:rPr>
          <w:rFonts w:ascii="Cambria" w:hAnsi="Cambria"/>
        </w:rPr>
        <w:t>Francki</w:t>
      </w:r>
      <w:proofErr w:type="spellEnd"/>
      <w:r>
        <w:rPr>
          <w:rFonts w:ascii="Cambria" w:hAnsi="Cambria"/>
        </w:rPr>
        <w:t xml:space="preserve"> et al. 1986; Lee et al. 1990; Lee 1996; Shang et al. 2011). The climatic regions across its range are diverse and there are similar climatic regions in parts of Australia that would be suitable for the establishment of CGMMV.</w:t>
      </w:r>
    </w:p>
    <w:p w14:paraId="6F99CC53" w14:textId="130F8085"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cstheme="minorHAnsi"/>
        </w:rPr>
        <w:t xml:space="preserve">In </w:t>
      </w:r>
      <w:r w:rsidR="00D25A73">
        <w:rPr>
          <w:rFonts w:ascii="Cambria" w:hAnsi="Cambria" w:cstheme="minorHAnsi"/>
        </w:rPr>
        <w:t>Septem</w:t>
      </w:r>
      <w:r w:rsidR="0040054F">
        <w:rPr>
          <w:rFonts w:ascii="Cambria" w:hAnsi="Cambria" w:cstheme="minorHAnsi"/>
        </w:rPr>
        <w:t xml:space="preserve">ber </w:t>
      </w:r>
      <w:r>
        <w:rPr>
          <w:rFonts w:ascii="Cambria" w:hAnsi="Cambria" w:cstheme="minorHAnsi"/>
        </w:rPr>
        <w:t xml:space="preserve">2014, </w:t>
      </w:r>
      <w:r>
        <w:rPr>
          <w:rFonts w:ascii="Cambria" w:hAnsi="Cambria"/>
        </w:rPr>
        <w:t xml:space="preserve">CGMMV </w:t>
      </w:r>
      <w:r>
        <w:rPr>
          <w:rFonts w:ascii="Cambria" w:hAnsi="Cambria" w:cstheme="minorHAnsi"/>
        </w:rPr>
        <w:t xml:space="preserve">was </w:t>
      </w:r>
      <w:r w:rsidR="0040054F">
        <w:rPr>
          <w:rFonts w:ascii="Cambria" w:hAnsi="Cambria" w:cstheme="minorHAnsi"/>
        </w:rPr>
        <w:t xml:space="preserve">confirmed to occur </w:t>
      </w:r>
      <w:r>
        <w:rPr>
          <w:rFonts w:ascii="Cambria" w:hAnsi="Cambria" w:cstheme="minorHAnsi"/>
        </w:rPr>
        <w:t>in commercial watermelon farms near Katherine and Darwin, in the Northern Territory,</w:t>
      </w:r>
      <w:r>
        <w:rPr>
          <w:rFonts w:ascii="Cambria" w:hAnsi="Cambria"/>
        </w:rPr>
        <w:t xml:space="preserve"> Australia, </w:t>
      </w:r>
      <w:r w:rsidR="0076695E">
        <w:rPr>
          <w:rFonts w:ascii="Cambria" w:hAnsi="Cambria"/>
        </w:rPr>
        <w:t xml:space="preserve">demonstrating </w:t>
      </w:r>
      <w:r>
        <w:rPr>
          <w:rFonts w:ascii="Cambria" w:hAnsi="Cambria"/>
        </w:rPr>
        <w:t xml:space="preserve">that </w:t>
      </w:r>
      <w:r w:rsidR="0076695E">
        <w:rPr>
          <w:rFonts w:ascii="Cambria" w:hAnsi="Cambria"/>
        </w:rPr>
        <w:t xml:space="preserve">parts of Australia have suitable environmental </w:t>
      </w:r>
      <w:r>
        <w:rPr>
          <w:rFonts w:ascii="Cambria" w:hAnsi="Cambria"/>
        </w:rPr>
        <w:t xml:space="preserve">conditions for </w:t>
      </w:r>
      <w:r w:rsidR="0040054F">
        <w:rPr>
          <w:rFonts w:ascii="Cambria" w:hAnsi="Cambria"/>
        </w:rPr>
        <w:t>the survival of this virus</w:t>
      </w:r>
      <w:r>
        <w:rPr>
          <w:rFonts w:ascii="Cambria" w:hAnsi="Cambria"/>
        </w:rPr>
        <w:t xml:space="preserve">. </w:t>
      </w:r>
    </w:p>
    <w:p w14:paraId="468CBE44" w14:textId="03E92282"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Theme="majorHAnsi" w:hAnsiTheme="majorHAnsi"/>
          <w:szCs w:val="22"/>
          <w:lang w:val="en-GB"/>
        </w:rPr>
      </w:pPr>
      <w:r>
        <w:rPr>
          <w:rFonts w:asciiTheme="majorHAnsi" w:hAnsiTheme="majorHAnsi"/>
          <w:szCs w:val="22"/>
          <w:lang w:val="en-GB"/>
        </w:rPr>
        <w:t xml:space="preserve">Intensive cultivation, high plant density and frequent crop handling facilitate the spread of mechanically transmitted </w:t>
      </w:r>
      <w:proofErr w:type="spellStart"/>
      <w:r>
        <w:rPr>
          <w:rFonts w:asciiTheme="majorHAnsi" w:hAnsiTheme="majorHAnsi"/>
          <w:szCs w:val="22"/>
          <w:lang w:val="en-GB"/>
        </w:rPr>
        <w:t>tobamoviruses</w:t>
      </w:r>
      <w:proofErr w:type="spellEnd"/>
      <w:r>
        <w:rPr>
          <w:rFonts w:asciiTheme="majorHAnsi" w:hAnsiTheme="majorHAnsi"/>
          <w:szCs w:val="22"/>
          <w:lang w:val="en-GB"/>
        </w:rPr>
        <w:t xml:space="preserve">, including CGMMV, in greenhouse grown cucurbit crops. Field grown cucurbits are less intensively handled and the crops are not in the field for more than four months a year (NSCFS 2008). Therefore, </w:t>
      </w:r>
      <w:r w:rsidR="0076695E">
        <w:rPr>
          <w:rFonts w:asciiTheme="majorHAnsi" w:hAnsiTheme="majorHAnsi"/>
          <w:szCs w:val="22"/>
          <w:lang w:val="en-GB"/>
        </w:rPr>
        <w:t xml:space="preserve">glasshouse </w:t>
      </w:r>
      <w:r>
        <w:rPr>
          <w:rFonts w:asciiTheme="majorHAnsi" w:hAnsiTheme="majorHAnsi"/>
          <w:szCs w:val="22"/>
          <w:lang w:val="en-GB"/>
        </w:rPr>
        <w:t xml:space="preserve">grown cucurbit crops </w:t>
      </w:r>
      <w:r w:rsidR="0076695E">
        <w:rPr>
          <w:rFonts w:asciiTheme="majorHAnsi" w:hAnsiTheme="majorHAnsi"/>
          <w:szCs w:val="22"/>
          <w:lang w:val="en-GB"/>
        </w:rPr>
        <w:t>may be even more</w:t>
      </w:r>
      <w:r>
        <w:rPr>
          <w:rFonts w:asciiTheme="majorHAnsi" w:hAnsiTheme="majorHAnsi"/>
          <w:szCs w:val="22"/>
          <w:lang w:val="en-GB"/>
        </w:rPr>
        <w:t xml:space="preserve"> vulnerable to mechanically transmitted viruses</w:t>
      </w:r>
      <w:r w:rsidR="004E2CCB">
        <w:rPr>
          <w:rFonts w:asciiTheme="majorHAnsi" w:hAnsiTheme="majorHAnsi"/>
          <w:szCs w:val="22"/>
          <w:lang w:val="en-GB"/>
        </w:rPr>
        <w:t xml:space="preserve"> such as CGMMV</w:t>
      </w:r>
      <w:r>
        <w:rPr>
          <w:rFonts w:asciiTheme="majorHAnsi" w:hAnsiTheme="majorHAnsi"/>
          <w:szCs w:val="22"/>
          <w:lang w:val="en-GB"/>
        </w:rPr>
        <w:t xml:space="preserve">. </w:t>
      </w:r>
    </w:p>
    <w:p w14:paraId="206C006F" w14:textId="77777777" w:rsidR="008163B6" w:rsidRDefault="00F709BD">
      <w:pPr>
        <w:pStyle w:val="Heading5"/>
        <w:spacing w:before="120" w:after="120"/>
      </w:pPr>
      <w:r>
        <w:t>The reproductive strategy and survival of the pest</w:t>
      </w:r>
    </w:p>
    <w:p w14:paraId="6A5971F9" w14:textId="6C033418" w:rsidR="0076695E"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Viruses in general are obligate parasites and reproduce within host cells (</w:t>
      </w:r>
      <w:proofErr w:type="spellStart"/>
      <w:r>
        <w:rPr>
          <w:rFonts w:ascii="Cambria" w:hAnsi="Cambria"/>
          <w:szCs w:val="22"/>
        </w:rPr>
        <w:t>Persley</w:t>
      </w:r>
      <w:proofErr w:type="spellEnd"/>
      <w:r w:rsidR="00876E85">
        <w:rPr>
          <w:rFonts w:ascii="Cambria" w:hAnsi="Cambria"/>
          <w:szCs w:val="22"/>
        </w:rPr>
        <w:t xml:space="preserve"> et al.</w:t>
      </w:r>
      <w:r>
        <w:rPr>
          <w:rFonts w:ascii="Cambria" w:hAnsi="Cambria"/>
          <w:szCs w:val="22"/>
        </w:rPr>
        <w:t xml:space="preserve"> 2010). </w:t>
      </w:r>
      <w:r>
        <w:rPr>
          <w:rFonts w:ascii="Cambria" w:hAnsi="Cambria"/>
          <w:bCs/>
        </w:rPr>
        <w:t>CGMMV</w:t>
      </w:r>
      <w:r>
        <w:rPr>
          <w:rFonts w:ascii="Cambria" w:hAnsi="Cambria"/>
          <w:szCs w:val="22"/>
        </w:rPr>
        <w:t xml:space="preserve"> multiplies and survives in the tissues of infected host plants (Moreno et al. 2004)</w:t>
      </w:r>
      <w:r w:rsidR="0076695E">
        <w:rPr>
          <w:rFonts w:ascii="Cambria" w:hAnsi="Cambria"/>
          <w:szCs w:val="22"/>
        </w:rPr>
        <w:t>; however, it is not reliant on a living host for survival</w:t>
      </w:r>
      <w:r>
        <w:rPr>
          <w:rFonts w:ascii="Cambria" w:hAnsi="Cambria"/>
          <w:szCs w:val="22"/>
        </w:rPr>
        <w:t>.</w:t>
      </w:r>
    </w:p>
    <w:p w14:paraId="46AFCAB8" w14:textId="77777777" w:rsidR="00A81691"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sidRPr="00A81691">
        <w:rPr>
          <w:rFonts w:ascii="Cambria" w:hAnsi="Cambria"/>
          <w:szCs w:val="22"/>
        </w:rPr>
        <w:t>CGMMV is able to survive long periods in plant debris and soil without a living host (</w:t>
      </w:r>
      <w:proofErr w:type="spellStart"/>
      <w:r w:rsidRPr="00A81691">
        <w:rPr>
          <w:rFonts w:ascii="Cambria" w:eastAsia="Times New Roman" w:hAnsi="Cambria" w:cs="Times New Roman"/>
          <w:bCs/>
          <w:lang w:eastAsia="en-AU"/>
        </w:rPr>
        <w:t>Reingold</w:t>
      </w:r>
      <w:proofErr w:type="spellEnd"/>
      <w:r w:rsidRPr="00A81691">
        <w:rPr>
          <w:rFonts w:ascii="Cambria" w:eastAsia="Times New Roman" w:hAnsi="Cambria" w:cs="Times New Roman"/>
          <w:bCs/>
          <w:lang w:eastAsia="en-AU"/>
        </w:rPr>
        <w:t xml:space="preserve"> et al. 2015). </w:t>
      </w:r>
      <w:r w:rsidR="00A81691">
        <w:rPr>
          <w:rFonts w:ascii="Cambria" w:hAnsi="Cambria"/>
          <w:szCs w:val="22"/>
        </w:rPr>
        <w:t>Transmission of the virus via roots in soil contaminated with infected plant debris has been reported (Hollings et al. 1975; Rao &amp; Varma 1984). Therefore, survival in plant debris is likely to assist in the establishment of this virus.</w:t>
      </w:r>
    </w:p>
    <w:p w14:paraId="792528CD" w14:textId="74122FCC" w:rsidR="00A81691"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eastAsia="Times New Roman" w:hAnsi="Cambria" w:cs="Times New Roman"/>
          <w:bCs/>
          <w:szCs w:val="22"/>
          <w:lang w:eastAsia="en-AU"/>
        </w:rPr>
      </w:pPr>
      <w:r w:rsidRPr="00A81691">
        <w:rPr>
          <w:rFonts w:ascii="Cambria" w:hAnsi="Cambria"/>
          <w:szCs w:val="22"/>
        </w:rPr>
        <w:t>Generally, plant viruses rapidly lose their infectivity in seed coats during the process of seed drying; however, CGMMV is very stable and can remain infectious in dried seed coats for a long period of time (</w:t>
      </w:r>
      <w:proofErr w:type="spellStart"/>
      <w:r w:rsidRPr="00A81691">
        <w:rPr>
          <w:rFonts w:ascii="Cambria" w:hAnsi="Cambria"/>
          <w:szCs w:val="22"/>
        </w:rPr>
        <w:t>Lecoq</w:t>
      </w:r>
      <w:proofErr w:type="spellEnd"/>
      <w:r w:rsidRPr="00A81691">
        <w:rPr>
          <w:rFonts w:ascii="Cambria" w:hAnsi="Cambria"/>
          <w:szCs w:val="22"/>
        </w:rPr>
        <w:t xml:space="preserve"> &amp; </w:t>
      </w:r>
      <w:proofErr w:type="spellStart"/>
      <w:r w:rsidRPr="00A81691">
        <w:rPr>
          <w:rFonts w:ascii="Cambria" w:hAnsi="Cambria"/>
          <w:szCs w:val="22"/>
        </w:rPr>
        <w:t>Katis</w:t>
      </w:r>
      <w:proofErr w:type="spellEnd"/>
      <w:r w:rsidRPr="00A81691">
        <w:rPr>
          <w:rFonts w:ascii="Cambria" w:hAnsi="Cambria"/>
          <w:szCs w:val="22"/>
        </w:rPr>
        <w:t xml:space="preserve"> 2014).</w:t>
      </w:r>
      <w:r w:rsidR="00A81691">
        <w:rPr>
          <w:rFonts w:ascii="Cambria" w:eastAsia="Times New Roman" w:hAnsi="Cambria" w:cs="Times New Roman"/>
          <w:bCs/>
          <w:szCs w:val="22"/>
          <w:lang w:eastAsia="en-AU"/>
        </w:rPr>
        <w:t xml:space="preserve"> </w:t>
      </w:r>
      <w:r w:rsidRPr="00A81691">
        <w:rPr>
          <w:rFonts w:ascii="Cambria" w:eastAsia="Times New Roman" w:hAnsi="Cambria" w:cs="Times New Roman"/>
          <w:bCs/>
          <w:szCs w:val="22"/>
          <w:lang w:eastAsia="en-AU"/>
        </w:rPr>
        <w:t>CGMMV can survive in an infective state on the surface of seeds for months to a few years without invading the inner tissues of the seeds (</w:t>
      </w:r>
      <w:proofErr w:type="spellStart"/>
      <w:r w:rsidRPr="00A81691">
        <w:rPr>
          <w:rFonts w:ascii="Cambria" w:eastAsia="Times New Roman" w:hAnsi="Cambria" w:cs="Times New Roman"/>
          <w:bCs/>
          <w:szCs w:val="22"/>
          <w:lang w:eastAsia="en-AU"/>
        </w:rPr>
        <w:t>Reingold</w:t>
      </w:r>
      <w:proofErr w:type="spellEnd"/>
      <w:r w:rsidRPr="00A81691">
        <w:rPr>
          <w:rFonts w:ascii="Cambria" w:eastAsia="Times New Roman" w:hAnsi="Cambria" w:cs="Times New Roman"/>
          <w:bCs/>
          <w:szCs w:val="22"/>
          <w:lang w:eastAsia="en-AU"/>
        </w:rPr>
        <w:t xml:space="preserve"> et al. 2015). </w:t>
      </w:r>
    </w:p>
    <w:p w14:paraId="219B349D" w14:textId="5E3EEC65" w:rsidR="00A81691" w:rsidRPr="00CD6636" w:rsidRDefault="00A81691" w:rsidP="009B2C61">
      <w:pPr>
        <w:pStyle w:val="AQISNum"/>
        <w:numPr>
          <w:ilvl w:val="0"/>
          <w:numId w:val="33"/>
        </w:numPr>
        <w:tabs>
          <w:tab w:val="clear" w:pos="360"/>
          <w:tab w:val="num" w:pos="284"/>
        </w:tabs>
        <w:spacing w:before="120" w:after="120" w:line="276" w:lineRule="auto"/>
        <w:ind w:left="284" w:hanging="284"/>
        <w:contextualSpacing/>
        <w:rPr>
          <w:rFonts w:ascii="Cambria" w:eastAsia="Times New Roman" w:hAnsi="Cambria" w:cs="Times New Roman"/>
          <w:bCs/>
          <w:szCs w:val="22"/>
          <w:lang w:eastAsia="en-AU"/>
        </w:rPr>
      </w:pPr>
      <w:r w:rsidRPr="00CD6636">
        <w:rPr>
          <w:rFonts w:ascii="Cambria" w:eastAsia="Times New Roman" w:hAnsi="Cambria" w:cs="Times New Roman"/>
          <w:bCs/>
          <w:szCs w:val="22"/>
          <w:lang w:eastAsia="en-AU"/>
        </w:rPr>
        <w:t>In addition</w:t>
      </w:r>
      <w:r w:rsidR="00B10EEE">
        <w:rPr>
          <w:rFonts w:ascii="Cambria" w:eastAsia="Times New Roman" w:hAnsi="Cambria" w:cs="Times New Roman"/>
          <w:bCs/>
          <w:szCs w:val="22"/>
          <w:lang w:eastAsia="en-AU"/>
        </w:rPr>
        <w:t xml:space="preserve"> to association with the seed coat</w:t>
      </w:r>
      <w:r w:rsidRPr="00CD6636">
        <w:rPr>
          <w:rFonts w:ascii="Cambria" w:eastAsia="Times New Roman" w:hAnsi="Cambria" w:cs="Times New Roman"/>
          <w:bCs/>
          <w:szCs w:val="22"/>
          <w:lang w:eastAsia="en-AU"/>
        </w:rPr>
        <w:t xml:space="preserve">, CGMMV </w:t>
      </w:r>
      <w:r w:rsidR="00CD6636" w:rsidRPr="00CD6636">
        <w:rPr>
          <w:rFonts w:ascii="Cambria" w:eastAsia="Times New Roman" w:hAnsi="Cambria" w:cs="Times New Roman"/>
          <w:bCs/>
          <w:szCs w:val="22"/>
          <w:lang w:eastAsia="en-AU"/>
        </w:rPr>
        <w:t xml:space="preserve">has been detected in the inner tissue </w:t>
      </w:r>
      <w:r w:rsidR="00353708">
        <w:rPr>
          <w:rFonts w:ascii="Cambria" w:eastAsia="Times New Roman" w:hAnsi="Cambria" w:cs="Times New Roman"/>
          <w:bCs/>
          <w:szCs w:val="22"/>
          <w:lang w:eastAsia="en-AU"/>
        </w:rPr>
        <w:t>(</w:t>
      </w:r>
      <w:r w:rsidR="00353708" w:rsidRPr="00CD6636">
        <w:rPr>
          <w:rFonts w:ascii="Cambria" w:eastAsia="Times New Roman" w:hAnsi="Cambria" w:cs="Times New Roman"/>
          <w:bCs/>
          <w:szCs w:val="22"/>
          <w:lang w:eastAsia="en-AU"/>
        </w:rPr>
        <w:t>endopleura</w:t>
      </w:r>
      <w:r w:rsidR="00353708">
        <w:rPr>
          <w:rFonts w:ascii="Cambria" w:eastAsia="Times New Roman" w:hAnsi="Cambria" w:cs="Times New Roman"/>
          <w:bCs/>
          <w:szCs w:val="22"/>
          <w:lang w:eastAsia="en-AU"/>
        </w:rPr>
        <w:t>)</w:t>
      </w:r>
      <w:r w:rsidR="00353708" w:rsidRPr="00CD6636">
        <w:rPr>
          <w:rFonts w:ascii="Cambria" w:eastAsia="Times New Roman" w:hAnsi="Cambria" w:cs="Times New Roman"/>
          <w:bCs/>
          <w:szCs w:val="22"/>
          <w:lang w:eastAsia="en-AU"/>
        </w:rPr>
        <w:t xml:space="preserve"> </w:t>
      </w:r>
      <w:r w:rsidR="00CD6636" w:rsidRPr="00CD6636">
        <w:rPr>
          <w:rFonts w:ascii="Cambria" w:eastAsia="Times New Roman" w:hAnsi="Cambria" w:cs="Times New Roman"/>
          <w:bCs/>
          <w:szCs w:val="22"/>
          <w:lang w:eastAsia="en-AU"/>
        </w:rPr>
        <w:t xml:space="preserve">of CGMMV-infected seeds </w:t>
      </w:r>
      <w:r w:rsidR="008D6C04" w:rsidRPr="00C14C3B">
        <w:rPr>
          <w:rFonts w:ascii="Cambria" w:eastAsia="Times New Roman" w:hAnsi="Cambria" w:cs="Times New Roman"/>
          <w:bCs/>
          <w:szCs w:val="22"/>
          <w:lang w:eastAsia="en-AU"/>
        </w:rPr>
        <w:t>(</w:t>
      </w:r>
      <w:proofErr w:type="spellStart"/>
      <w:r w:rsidR="00CD6636" w:rsidRPr="00C14C3B">
        <w:rPr>
          <w:rFonts w:ascii="Cambria" w:eastAsia="Times New Roman" w:hAnsi="Cambria" w:cs="Times New Roman"/>
          <w:bCs/>
          <w:szCs w:val="22"/>
          <w:lang w:eastAsia="en-AU"/>
        </w:rPr>
        <w:t>Reingold</w:t>
      </w:r>
      <w:proofErr w:type="spellEnd"/>
      <w:r w:rsidR="00CD6636" w:rsidRPr="00C14C3B">
        <w:rPr>
          <w:rFonts w:ascii="Cambria" w:eastAsia="Times New Roman" w:hAnsi="Cambria" w:cs="Times New Roman"/>
          <w:bCs/>
          <w:szCs w:val="22"/>
          <w:lang w:eastAsia="en-AU"/>
        </w:rPr>
        <w:t xml:space="preserve"> et al. 2015</w:t>
      </w:r>
      <w:r w:rsidR="008D6C04" w:rsidRPr="00C14C3B">
        <w:rPr>
          <w:rFonts w:ascii="Cambria" w:eastAsia="Times New Roman" w:hAnsi="Cambria" w:cs="Times New Roman"/>
          <w:bCs/>
          <w:szCs w:val="22"/>
          <w:lang w:eastAsia="en-AU"/>
        </w:rPr>
        <w:t>).</w:t>
      </w:r>
      <w:r w:rsidRPr="00C14C3B">
        <w:rPr>
          <w:rFonts w:ascii="Cambria" w:eastAsia="Times New Roman" w:hAnsi="Cambria" w:cs="Times New Roman"/>
          <w:bCs/>
          <w:szCs w:val="22"/>
          <w:lang w:eastAsia="en-AU"/>
        </w:rPr>
        <w:t xml:space="preserve"> </w:t>
      </w:r>
      <w:r w:rsidR="00CD6636">
        <w:rPr>
          <w:rFonts w:ascii="Cambria" w:eastAsia="Times New Roman" w:hAnsi="Cambria" w:cs="Times New Roman"/>
          <w:bCs/>
          <w:szCs w:val="22"/>
          <w:lang w:eastAsia="en-AU"/>
        </w:rPr>
        <w:t>I</w:t>
      </w:r>
      <w:r w:rsidRPr="00C14C3B">
        <w:rPr>
          <w:rFonts w:ascii="Cambria" w:eastAsia="Times New Roman" w:hAnsi="Cambria" w:cs="Times New Roman"/>
          <w:bCs/>
          <w:szCs w:val="22"/>
          <w:lang w:eastAsia="en-AU"/>
        </w:rPr>
        <w:t xml:space="preserve">nfection of </w:t>
      </w:r>
      <w:r w:rsidR="00CD6636">
        <w:rPr>
          <w:rFonts w:ascii="Cambria" w:eastAsia="Times New Roman" w:hAnsi="Cambria" w:cs="Times New Roman"/>
          <w:bCs/>
          <w:szCs w:val="22"/>
          <w:lang w:eastAsia="en-AU"/>
        </w:rPr>
        <w:t xml:space="preserve">the inner tissues of </w:t>
      </w:r>
      <w:r w:rsidRPr="00C14C3B">
        <w:rPr>
          <w:rFonts w:ascii="Cambria" w:eastAsia="Times New Roman" w:hAnsi="Cambria" w:cs="Times New Roman"/>
          <w:bCs/>
          <w:szCs w:val="22"/>
          <w:lang w:eastAsia="en-AU"/>
        </w:rPr>
        <w:t xml:space="preserve">seeds may make CGMMV more difficult to eliminate from seeds, which may assist in the </w:t>
      </w:r>
      <w:r w:rsidR="00DE2CF3">
        <w:rPr>
          <w:rFonts w:ascii="Cambria" w:eastAsia="Times New Roman" w:hAnsi="Cambria" w:cs="Times New Roman"/>
          <w:bCs/>
          <w:szCs w:val="22"/>
          <w:lang w:eastAsia="en-AU"/>
        </w:rPr>
        <w:t xml:space="preserve">survival and </w:t>
      </w:r>
      <w:r w:rsidRPr="00C14C3B">
        <w:rPr>
          <w:rFonts w:ascii="Cambria" w:eastAsia="Times New Roman" w:hAnsi="Cambria" w:cs="Times New Roman"/>
          <w:bCs/>
          <w:szCs w:val="22"/>
          <w:lang w:eastAsia="en-AU"/>
        </w:rPr>
        <w:t>establishment of this virus.</w:t>
      </w:r>
    </w:p>
    <w:p w14:paraId="5A3E337D" w14:textId="735C9AC5" w:rsidR="008163B6" w:rsidRPr="00C14C3B" w:rsidRDefault="008D6C04" w:rsidP="009B2C61">
      <w:pPr>
        <w:pStyle w:val="AQISNum"/>
        <w:numPr>
          <w:ilvl w:val="0"/>
          <w:numId w:val="33"/>
        </w:numPr>
        <w:tabs>
          <w:tab w:val="clear" w:pos="360"/>
          <w:tab w:val="num" w:pos="284"/>
        </w:tabs>
        <w:spacing w:before="120" w:after="120" w:line="276" w:lineRule="auto"/>
        <w:ind w:left="284" w:hanging="284"/>
        <w:contextualSpacing/>
        <w:rPr>
          <w:rFonts w:ascii="Cambria" w:eastAsia="Times New Roman" w:hAnsi="Cambria" w:cs="Times New Roman"/>
          <w:bCs/>
          <w:szCs w:val="22"/>
          <w:lang w:eastAsia="en-AU"/>
        </w:rPr>
      </w:pPr>
      <w:r w:rsidRPr="00C14C3B">
        <w:rPr>
          <w:rFonts w:ascii="Cambria" w:hAnsi="Cambria"/>
          <w:szCs w:val="22"/>
        </w:rPr>
        <w:t>N</w:t>
      </w:r>
      <w:r w:rsidR="00F709BD" w:rsidRPr="00A81691">
        <w:rPr>
          <w:rFonts w:ascii="Cambria" w:hAnsi="Cambria"/>
          <w:szCs w:val="22"/>
        </w:rPr>
        <w:t>ew cucurbit seeds being produced from th</w:t>
      </w:r>
      <w:r w:rsidRPr="00C14C3B">
        <w:rPr>
          <w:rFonts w:ascii="Cambria" w:eastAsia="Times New Roman" w:hAnsi="Cambria" w:cs="Times New Roman"/>
          <w:bCs/>
          <w:szCs w:val="22"/>
          <w:lang w:eastAsia="en-AU"/>
        </w:rPr>
        <w:t>e infected imported cucurbit seeds will assist in the survival and establishment of CGMMV.</w:t>
      </w:r>
    </w:p>
    <w:p w14:paraId="1F4A350E" w14:textId="77777777" w:rsidR="008163B6" w:rsidRPr="00BC2587" w:rsidRDefault="008D6C04" w:rsidP="00BC2587">
      <w:pPr>
        <w:pStyle w:val="Heading3"/>
        <w:keepLines/>
        <w:numPr>
          <w:ilvl w:val="2"/>
          <w:numId w:val="21"/>
        </w:numPr>
        <w:tabs>
          <w:tab w:val="clear" w:pos="720"/>
        </w:tabs>
        <w:spacing w:after="200"/>
        <w:ind w:left="357" w:hanging="357"/>
        <w:rPr>
          <w:rFonts w:ascii="Calibri" w:hAnsi="Calibri" w:cstheme="minorBidi"/>
          <w:sz w:val="24"/>
          <w:szCs w:val="22"/>
        </w:rPr>
      </w:pPr>
      <w:bookmarkStart w:id="251" w:name="_Toc447540801"/>
      <w:r w:rsidRPr="00BC2587">
        <w:rPr>
          <w:rFonts w:ascii="Calibri" w:hAnsi="Calibri" w:cstheme="minorBidi"/>
          <w:sz w:val="24"/>
          <w:szCs w:val="22"/>
        </w:rPr>
        <w:t>Likelihood of spread</w:t>
      </w:r>
      <w:bookmarkEnd w:id="251"/>
    </w:p>
    <w:p w14:paraId="7CE20A1D" w14:textId="73C1FCF5" w:rsidR="008163B6" w:rsidRPr="00C14C3B" w:rsidRDefault="008D6C04" w:rsidP="009B2C61">
      <w:pPr>
        <w:pStyle w:val="AQISNum"/>
        <w:spacing w:before="120" w:after="120" w:line="276" w:lineRule="auto"/>
        <w:rPr>
          <w:rFonts w:ascii="Cambria" w:hAnsi="Cambria"/>
          <w:szCs w:val="22"/>
        </w:rPr>
      </w:pPr>
      <w:r w:rsidRPr="00C14C3B">
        <w:rPr>
          <w:rFonts w:ascii="Cambria" w:eastAsia="Times New Roman" w:hAnsi="Cambria" w:cs="Times New Roman"/>
          <w:bCs/>
          <w:szCs w:val="22"/>
          <w:lang w:eastAsia="en-AU"/>
        </w:rPr>
        <w:t xml:space="preserve">The likelihood that </w:t>
      </w:r>
      <w:r w:rsidRPr="00C14C3B">
        <w:rPr>
          <w:rFonts w:ascii="Cambria" w:eastAsia="Times New Roman" w:hAnsi="Cambria" w:cs="Times New Roman"/>
          <w:bCs/>
          <w:lang w:eastAsia="en-AU"/>
        </w:rPr>
        <w:t>CGMMV,</w:t>
      </w:r>
      <w:r w:rsidRPr="00C14C3B">
        <w:rPr>
          <w:rFonts w:ascii="Cambria" w:eastAsia="Times New Roman" w:hAnsi="Cambria" w:cs="Times New Roman"/>
          <w:bCs/>
          <w:szCs w:val="22"/>
          <w:lang w:eastAsia="en-AU"/>
        </w:rPr>
        <w:t xml:space="preserve"> having entered on seed</w:t>
      </w:r>
      <w:r w:rsidR="00950CE4">
        <w:rPr>
          <w:rFonts w:ascii="Cambria" w:eastAsia="Times New Roman" w:hAnsi="Cambria" w:cs="Times New Roman"/>
          <w:bCs/>
          <w:szCs w:val="22"/>
          <w:lang w:eastAsia="en-AU"/>
        </w:rPr>
        <w:t>s for sowing</w:t>
      </w:r>
      <w:r w:rsidRPr="00C14C3B">
        <w:rPr>
          <w:rFonts w:ascii="Cambria" w:eastAsia="Times New Roman" w:hAnsi="Cambria" w:cs="Times New Roman"/>
          <w:bCs/>
          <w:szCs w:val="22"/>
          <w:lang w:eastAsia="en-AU"/>
        </w:rPr>
        <w:t xml:space="preserve"> and established, will spread in Australia, b</w:t>
      </w:r>
      <w:r w:rsidRPr="00C14C3B">
        <w:rPr>
          <w:rFonts w:ascii="Cambria" w:hAnsi="Cambria"/>
          <w:szCs w:val="22"/>
        </w:rPr>
        <w:t xml:space="preserve">ased on a comparison of factors in the source and destination areas, considered pertinent to the expansion of the geographic distribution of the pest is </w:t>
      </w:r>
      <w:r w:rsidRPr="00C14C3B">
        <w:rPr>
          <w:rFonts w:ascii="Cambria" w:eastAsia="Calibri" w:hAnsi="Cambria"/>
          <w:b/>
          <w:szCs w:val="22"/>
        </w:rPr>
        <w:t>MODERATE</w:t>
      </w:r>
      <w:r w:rsidRPr="00C14C3B">
        <w:rPr>
          <w:rFonts w:ascii="Cambria" w:eastAsia="Calibri" w:hAnsi="Cambria"/>
          <w:szCs w:val="22"/>
        </w:rPr>
        <w:t>.</w:t>
      </w:r>
    </w:p>
    <w:p w14:paraId="06AAE4F0" w14:textId="77777777" w:rsidR="008163B6" w:rsidRDefault="008D6C04" w:rsidP="009B2C61">
      <w:pPr>
        <w:pStyle w:val="Heading5"/>
        <w:spacing w:before="120" w:after="120" w:line="276" w:lineRule="auto"/>
      </w:pPr>
      <w:r w:rsidRPr="00C14C3B">
        <w:rPr>
          <w:rFonts w:ascii="Cambria" w:hAnsi="Cambria"/>
        </w:rPr>
        <w:t>The s</w:t>
      </w:r>
      <w:r w:rsidR="00F709BD">
        <w:t>uitability of the natural or managed environment for natural spread</w:t>
      </w:r>
    </w:p>
    <w:p w14:paraId="37299616"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iCs/>
        </w:rPr>
        <w:t xml:space="preserve">CGMMV </w:t>
      </w:r>
      <w:r>
        <w:rPr>
          <w:rFonts w:ascii="Cambria" w:hAnsi="Cambria"/>
        </w:rPr>
        <w:t xml:space="preserve">was first discovered in the UK (Ainsworth 1935; </w:t>
      </w:r>
      <w:proofErr w:type="spellStart"/>
      <w:r>
        <w:rPr>
          <w:rFonts w:ascii="Cambria" w:hAnsi="Cambria"/>
        </w:rPr>
        <w:t>Ugaki</w:t>
      </w:r>
      <w:proofErr w:type="spellEnd"/>
      <w:r>
        <w:rPr>
          <w:rFonts w:ascii="Cambria" w:hAnsi="Cambria"/>
        </w:rPr>
        <w:t xml:space="preserve"> et al. 1991) and since then it has been recorded in</w:t>
      </w:r>
      <w:r w:rsidR="00950CE4">
        <w:rPr>
          <w:rFonts w:ascii="Cambria" w:hAnsi="Cambria"/>
        </w:rPr>
        <w:t xml:space="preserve"> many countries, including but not limited to</w:t>
      </w:r>
      <w:r>
        <w:rPr>
          <w:rFonts w:ascii="Cambria" w:hAnsi="Cambria"/>
        </w:rPr>
        <w:t xml:space="preserve"> China, Finland, Germany, Greece, India, Israel, Japan, Korea, Pakistan, Saudi Arabia and Spain (</w:t>
      </w:r>
      <w:proofErr w:type="spellStart"/>
      <w:r>
        <w:rPr>
          <w:rFonts w:ascii="Cambria" w:hAnsi="Cambria"/>
        </w:rPr>
        <w:t>Komuro</w:t>
      </w:r>
      <w:proofErr w:type="spellEnd"/>
      <w:r>
        <w:rPr>
          <w:rFonts w:ascii="Cambria" w:hAnsi="Cambria"/>
        </w:rPr>
        <w:t xml:space="preserve"> et al. 1968; </w:t>
      </w:r>
      <w:proofErr w:type="spellStart"/>
      <w:r>
        <w:rPr>
          <w:rFonts w:ascii="Cambria" w:hAnsi="Cambria"/>
        </w:rPr>
        <w:t>Francki</w:t>
      </w:r>
      <w:proofErr w:type="spellEnd"/>
      <w:r>
        <w:rPr>
          <w:rFonts w:ascii="Cambria" w:hAnsi="Cambria"/>
        </w:rPr>
        <w:t xml:space="preserve"> et al. 1986; Lee et al. 1990; Lee 1996; Shang et al. 2011). The climatic regions across this range are diverse and there are similar climatic regions in parts of Australia that would be suitable for the establishment and spread of CGMMV.</w:t>
      </w:r>
      <w:r w:rsidR="0040054F">
        <w:rPr>
          <w:rFonts w:ascii="Cambria" w:hAnsi="Cambria"/>
        </w:rPr>
        <w:t xml:space="preserve"> </w:t>
      </w:r>
    </w:p>
    <w:p w14:paraId="516F9E49" w14:textId="10C22266" w:rsidR="0040054F" w:rsidRDefault="0040054F"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cstheme="minorHAnsi"/>
        </w:rPr>
        <w:t xml:space="preserve">In </w:t>
      </w:r>
      <w:r w:rsidR="00D25A73">
        <w:rPr>
          <w:rFonts w:ascii="Cambria" w:hAnsi="Cambria" w:cstheme="minorHAnsi"/>
        </w:rPr>
        <w:t>September</w:t>
      </w:r>
      <w:r>
        <w:rPr>
          <w:rFonts w:ascii="Cambria" w:hAnsi="Cambria" w:cstheme="minorHAnsi"/>
        </w:rPr>
        <w:t xml:space="preserve"> 2014, </w:t>
      </w:r>
      <w:r>
        <w:rPr>
          <w:rFonts w:ascii="Cambria" w:hAnsi="Cambria"/>
        </w:rPr>
        <w:t xml:space="preserve">CGMMV </w:t>
      </w:r>
      <w:r>
        <w:rPr>
          <w:rFonts w:ascii="Cambria" w:hAnsi="Cambria" w:cstheme="minorHAnsi"/>
        </w:rPr>
        <w:t>was confirmed to occur in commercial watermelon farms near Katherine and Darwin, in the Northern Territory,</w:t>
      </w:r>
      <w:r>
        <w:rPr>
          <w:rFonts w:ascii="Cambria" w:hAnsi="Cambria"/>
        </w:rPr>
        <w:t xml:space="preserve"> Australia, demonstrating that parts of Australia have suitable environmental conditions for the survival of this virus. </w:t>
      </w:r>
    </w:p>
    <w:p w14:paraId="3700D434" w14:textId="68937334"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cs="Arial"/>
        </w:rPr>
      </w:pPr>
      <w:r>
        <w:rPr>
          <w:rFonts w:ascii="Cambria" w:hAnsi="Cambria" w:cs="Arial"/>
        </w:rPr>
        <w:t>The managed environment in</w:t>
      </w:r>
      <w:r w:rsidR="007C75B0">
        <w:rPr>
          <w:rFonts w:ascii="Cambria" w:hAnsi="Cambria" w:cs="Arial"/>
        </w:rPr>
        <w:t xml:space="preserve"> cucurbit </w:t>
      </w:r>
      <w:r w:rsidR="00576EE7">
        <w:rPr>
          <w:rFonts w:ascii="Cambria" w:hAnsi="Cambria" w:cs="Arial"/>
        </w:rPr>
        <w:t>farms</w:t>
      </w:r>
      <w:r w:rsidR="007C75B0">
        <w:rPr>
          <w:rFonts w:ascii="Cambria" w:hAnsi="Cambria" w:cs="Arial"/>
        </w:rPr>
        <w:t>,</w:t>
      </w:r>
      <w:r>
        <w:rPr>
          <w:rFonts w:ascii="Cambria" w:hAnsi="Cambria" w:cs="Arial"/>
        </w:rPr>
        <w:t xml:space="preserve"> nurseries, propagation houses and private gardens are all favourable for the natural spread of CGMMV, as host plants are abundantly available. Plants are often closely placed, which will favour </w:t>
      </w:r>
      <w:r w:rsidR="00EB6397">
        <w:rPr>
          <w:rFonts w:ascii="Cambria" w:hAnsi="Cambria" w:cs="Arial"/>
        </w:rPr>
        <w:t xml:space="preserve">the </w:t>
      </w:r>
      <w:r>
        <w:rPr>
          <w:rFonts w:ascii="Cambria" w:hAnsi="Cambria" w:cs="Arial"/>
        </w:rPr>
        <w:t>natural spread of CGMMV through sap and mechanical transmission.</w:t>
      </w:r>
    </w:p>
    <w:p w14:paraId="35D9A7C2" w14:textId="0EB5A6AD"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lang w:val="en-GB"/>
        </w:rPr>
      </w:pPr>
      <w:r>
        <w:rPr>
          <w:rFonts w:ascii="Cambria" w:hAnsi="Cambria"/>
          <w:szCs w:val="22"/>
          <w:lang w:val="en-GB"/>
        </w:rPr>
        <w:t xml:space="preserve">Intensive cultivation, high plant density and frequent crop handling </w:t>
      </w:r>
      <w:r w:rsidR="00B10EEE">
        <w:rPr>
          <w:rFonts w:ascii="Cambria" w:hAnsi="Cambria"/>
          <w:szCs w:val="22"/>
          <w:lang w:val="en-GB"/>
        </w:rPr>
        <w:t xml:space="preserve">may </w:t>
      </w:r>
      <w:r>
        <w:rPr>
          <w:rFonts w:ascii="Cambria" w:hAnsi="Cambria"/>
          <w:szCs w:val="22"/>
          <w:lang w:val="en-GB"/>
        </w:rPr>
        <w:t>facilitate the spread of CGMMV in greenhouse grown cucurbit crops. Therefore,</w:t>
      </w:r>
      <w:r w:rsidR="007C75B0">
        <w:rPr>
          <w:rFonts w:ascii="Cambria" w:hAnsi="Cambria"/>
          <w:szCs w:val="22"/>
          <w:lang w:val="en-GB"/>
        </w:rPr>
        <w:t xml:space="preserve"> greenhouse</w:t>
      </w:r>
      <w:r>
        <w:rPr>
          <w:rFonts w:ascii="Cambria" w:hAnsi="Cambria"/>
          <w:szCs w:val="22"/>
          <w:lang w:val="en-GB"/>
        </w:rPr>
        <w:t xml:space="preserve"> grown cucurbit crops </w:t>
      </w:r>
      <w:r w:rsidR="007C75B0">
        <w:rPr>
          <w:rFonts w:ascii="Cambria" w:hAnsi="Cambria"/>
          <w:szCs w:val="22"/>
          <w:lang w:val="en-GB"/>
        </w:rPr>
        <w:t>may be even more</w:t>
      </w:r>
      <w:r>
        <w:rPr>
          <w:rFonts w:ascii="Cambria" w:hAnsi="Cambria"/>
          <w:szCs w:val="22"/>
          <w:lang w:val="en-GB"/>
        </w:rPr>
        <w:t xml:space="preserve"> vulnerable to </w:t>
      </w:r>
      <w:r w:rsidR="007C75B0">
        <w:rPr>
          <w:rFonts w:ascii="Cambria" w:hAnsi="Cambria"/>
          <w:szCs w:val="22"/>
          <w:lang w:val="en-GB"/>
        </w:rPr>
        <w:t xml:space="preserve">this </w:t>
      </w:r>
      <w:r>
        <w:rPr>
          <w:rFonts w:ascii="Cambria" w:hAnsi="Cambria"/>
          <w:szCs w:val="22"/>
          <w:lang w:val="en-GB"/>
        </w:rPr>
        <w:t>mechanically transmitted virus.</w:t>
      </w:r>
    </w:p>
    <w:p w14:paraId="7A058149" w14:textId="1FDABA20"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cs="Arial"/>
        </w:rPr>
      </w:pPr>
      <w:r>
        <w:rPr>
          <w:rFonts w:ascii="Cambria" w:hAnsi="Cambria" w:cs="Arial"/>
        </w:rPr>
        <w:t xml:space="preserve">CGMMV is </w:t>
      </w:r>
      <w:r>
        <w:rPr>
          <w:rFonts w:ascii="Cambria" w:hAnsi="Cambria"/>
          <w:szCs w:val="22"/>
          <w:lang w:val="en-GB"/>
        </w:rPr>
        <w:t>very</w:t>
      </w:r>
      <w:r>
        <w:rPr>
          <w:rFonts w:ascii="Cambria" w:hAnsi="Cambria" w:cs="Arial"/>
        </w:rPr>
        <w:t xml:space="preserve"> stable and can survive for long periods on equipment and on tools (ASTA 2014). The virus </w:t>
      </w:r>
      <w:r w:rsidR="007C75B0">
        <w:rPr>
          <w:rFonts w:ascii="Cambria" w:hAnsi="Cambria" w:cs="Arial"/>
        </w:rPr>
        <w:t xml:space="preserve">can </w:t>
      </w:r>
      <w:r>
        <w:rPr>
          <w:rFonts w:ascii="Cambria" w:hAnsi="Cambria" w:cs="Arial"/>
        </w:rPr>
        <w:t xml:space="preserve">be spread through standard cultivation practices and harvesting </w:t>
      </w:r>
      <w:r>
        <w:rPr>
          <w:rFonts w:ascii="Cambria" w:hAnsi="Cambria"/>
        </w:rPr>
        <w:t>(</w:t>
      </w:r>
      <w:proofErr w:type="spellStart"/>
      <w:r>
        <w:rPr>
          <w:rFonts w:ascii="Cambria" w:hAnsi="Cambria"/>
        </w:rPr>
        <w:t>Lecoq</w:t>
      </w:r>
      <w:proofErr w:type="spellEnd"/>
      <w:r>
        <w:rPr>
          <w:rFonts w:ascii="Cambria" w:hAnsi="Cambria"/>
        </w:rPr>
        <w:t xml:space="preserve"> &amp; </w:t>
      </w:r>
      <w:proofErr w:type="spellStart"/>
      <w:r>
        <w:rPr>
          <w:rFonts w:ascii="Cambria" w:hAnsi="Cambria"/>
        </w:rPr>
        <w:t>Desbiez</w:t>
      </w:r>
      <w:proofErr w:type="spellEnd"/>
      <w:r>
        <w:rPr>
          <w:rFonts w:ascii="Cambria" w:hAnsi="Cambria"/>
        </w:rPr>
        <w:t xml:space="preserve"> 2012)</w:t>
      </w:r>
      <w:r>
        <w:rPr>
          <w:rFonts w:ascii="Cambria" w:hAnsi="Cambria" w:cs="Arial"/>
        </w:rPr>
        <w:t xml:space="preserve">, </w:t>
      </w:r>
      <w:r>
        <w:rPr>
          <w:rFonts w:ascii="Cambria" w:hAnsi="Cambria"/>
          <w:bCs/>
          <w:lang w:eastAsia="en-AU"/>
        </w:rPr>
        <w:t xml:space="preserve">when plants are handled by farm personnel, </w:t>
      </w:r>
      <w:r w:rsidR="0040054F">
        <w:rPr>
          <w:rFonts w:ascii="Cambria" w:hAnsi="Cambria"/>
          <w:bCs/>
          <w:lang w:eastAsia="en-AU"/>
        </w:rPr>
        <w:t>and</w:t>
      </w:r>
      <w:r>
        <w:rPr>
          <w:rFonts w:ascii="Cambria" w:hAnsi="Cambria"/>
          <w:bCs/>
          <w:lang w:eastAsia="en-AU"/>
        </w:rPr>
        <w:t xml:space="preserve"> when infected equipment</w:t>
      </w:r>
      <w:r w:rsidR="0040054F">
        <w:rPr>
          <w:rFonts w:ascii="Cambria" w:hAnsi="Cambria"/>
          <w:bCs/>
          <w:lang w:eastAsia="en-AU"/>
        </w:rPr>
        <w:t xml:space="preserve"> or </w:t>
      </w:r>
      <w:r>
        <w:rPr>
          <w:rFonts w:ascii="Cambria" w:hAnsi="Cambria"/>
          <w:bCs/>
          <w:lang w:eastAsia="en-AU"/>
        </w:rPr>
        <w:t>machinery is used (</w:t>
      </w:r>
      <w:proofErr w:type="spellStart"/>
      <w:r>
        <w:rPr>
          <w:rFonts w:ascii="Cambria" w:hAnsi="Cambria"/>
          <w:bCs/>
          <w:lang w:eastAsia="en-AU"/>
        </w:rPr>
        <w:t>Boubourakas</w:t>
      </w:r>
      <w:proofErr w:type="spellEnd"/>
      <w:r>
        <w:rPr>
          <w:rFonts w:ascii="Cambria" w:hAnsi="Cambria"/>
          <w:bCs/>
          <w:lang w:eastAsia="en-AU"/>
        </w:rPr>
        <w:t xml:space="preserve"> et al. 2004; </w:t>
      </w:r>
      <w:proofErr w:type="spellStart"/>
      <w:r>
        <w:rPr>
          <w:rFonts w:ascii="Cambria" w:hAnsi="Cambria" w:cs="Arial"/>
        </w:rPr>
        <w:t>Reingold</w:t>
      </w:r>
      <w:proofErr w:type="spellEnd"/>
      <w:r>
        <w:rPr>
          <w:rFonts w:ascii="Cambria" w:hAnsi="Cambria" w:cs="Arial"/>
        </w:rPr>
        <w:t xml:space="preserve"> et al. 2015</w:t>
      </w:r>
      <w:r>
        <w:rPr>
          <w:rFonts w:ascii="Cambria" w:hAnsi="Cambria"/>
          <w:bCs/>
          <w:lang w:eastAsia="en-AU"/>
        </w:rPr>
        <w:t xml:space="preserve">). </w:t>
      </w:r>
      <w:r>
        <w:rPr>
          <w:rFonts w:ascii="Cambria" w:hAnsi="Cambria"/>
        </w:rPr>
        <w:t xml:space="preserve">The pattern of spread observed is primarily along the same nursery row, which </w:t>
      </w:r>
      <w:r w:rsidR="00B10EEE">
        <w:rPr>
          <w:rFonts w:ascii="Cambria" w:hAnsi="Cambria"/>
        </w:rPr>
        <w:t>indicates that</w:t>
      </w:r>
      <w:r>
        <w:rPr>
          <w:rFonts w:ascii="Cambria" w:hAnsi="Cambria"/>
        </w:rPr>
        <w:t xml:space="preserve"> mechanical transmission plays a major role </w:t>
      </w:r>
      <w:r w:rsidR="007C75B0">
        <w:rPr>
          <w:rFonts w:ascii="Cambria" w:hAnsi="Cambria"/>
        </w:rPr>
        <w:t>in the spread of</w:t>
      </w:r>
      <w:r>
        <w:rPr>
          <w:rFonts w:ascii="Cambria" w:hAnsi="Cambria"/>
        </w:rPr>
        <w:t xml:space="preserve"> CGMMV </w:t>
      </w:r>
      <w:r w:rsidR="007C75B0">
        <w:rPr>
          <w:rFonts w:ascii="Cambria" w:hAnsi="Cambria"/>
        </w:rPr>
        <w:t>to new hosts plants</w:t>
      </w:r>
      <w:r w:rsidR="006831C1">
        <w:rPr>
          <w:rFonts w:ascii="Cambria" w:hAnsi="Cambria"/>
        </w:rPr>
        <w:t xml:space="preserve"> once the virus has been introduced into an area</w:t>
      </w:r>
      <w:r>
        <w:rPr>
          <w:rFonts w:ascii="Cambria" w:hAnsi="Cambria"/>
        </w:rPr>
        <w:t>.</w:t>
      </w:r>
      <w:r w:rsidR="007C75B0">
        <w:rPr>
          <w:rFonts w:ascii="Cambria" w:hAnsi="Cambria"/>
        </w:rPr>
        <w:t xml:space="preserve"> Therefore, crop management practices are likely to be suitable for CGMMV spread.</w:t>
      </w:r>
    </w:p>
    <w:p w14:paraId="403DB61F" w14:textId="622F552E"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bCs/>
          <w:lang w:eastAsia="en-AU"/>
        </w:rPr>
      </w:pPr>
      <w:r>
        <w:rPr>
          <w:rFonts w:ascii="Cambria" w:hAnsi="Cambria"/>
        </w:rPr>
        <w:t>CGMMV</w:t>
      </w:r>
      <w:r>
        <w:rPr>
          <w:rFonts w:ascii="Cambria" w:hAnsi="Cambria" w:cs="Arial"/>
        </w:rPr>
        <w:t xml:space="preserve"> can survive for long periods</w:t>
      </w:r>
      <w:r w:rsidR="007C75B0">
        <w:rPr>
          <w:rFonts w:ascii="Cambria" w:hAnsi="Cambria" w:cs="Arial"/>
        </w:rPr>
        <w:t xml:space="preserve"> of time</w:t>
      </w:r>
      <w:r>
        <w:rPr>
          <w:rFonts w:ascii="Cambria" w:hAnsi="Cambria" w:cs="Arial"/>
        </w:rPr>
        <w:t xml:space="preserve"> on plant debris. </w:t>
      </w:r>
      <w:r>
        <w:rPr>
          <w:rFonts w:ascii="Cambria" w:hAnsi="Cambria"/>
          <w:bCs/>
          <w:lang w:eastAsia="en-AU"/>
        </w:rPr>
        <w:t xml:space="preserve">CGMMV may spread locally through contact via roots in soil contaminated by infected plant debris (Hollings et al. 1975). </w:t>
      </w:r>
    </w:p>
    <w:p w14:paraId="509F5C91" w14:textId="073D514E"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sidRPr="00134546">
        <w:rPr>
          <w:rFonts w:ascii="Cambria" w:hAnsi="Cambria"/>
          <w:szCs w:val="22"/>
        </w:rPr>
        <w:t xml:space="preserve">CGMMV is </w:t>
      </w:r>
      <w:r w:rsidR="00CC0813">
        <w:rPr>
          <w:rFonts w:ascii="Cambria" w:hAnsi="Cambria"/>
          <w:szCs w:val="22"/>
        </w:rPr>
        <w:t>seed-borne</w:t>
      </w:r>
      <w:r w:rsidR="008B13AB">
        <w:rPr>
          <w:rFonts w:ascii="Cambria" w:hAnsi="Cambria"/>
          <w:szCs w:val="22"/>
        </w:rPr>
        <w:t xml:space="preserve"> and seed-</w:t>
      </w:r>
      <w:r w:rsidRPr="00134546">
        <w:rPr>
          <w:rFonts w:ascii="Cambria" w:hAnsi="Cambria"/>
          <w:szCs w:val="22"/>
        </w:rPr>
        <w:t xml:space="preserve">transmissible (Choi 2001; Liu et al. 2014). This </w:t>
      </w:r>
      <w:r w:rsidRPr="00134546">
        <w:rPr>
          <w:rFonts w:ascii="Cambria" w:eastAsia="Calibri" w:hAnsi="Cambria"/>
          <w:szCs w:val="22"/>
        </w:rPr>
        <w:t xml:space="preserve">increases its dispersal potential over time and distance, and is an important aspect of its epidemiology (Liu et al. 2014). CGMMV has </w:t>
      </w:r>
      <w:r w:rsidR="00134546" w:rsidRPr="00C14C3B">
        <w:rPr>
          <w:rFonts w:ascii="Cambria" w:eastAsia="Calibri" w:hAnsi="Cambria"/>
          <w:szCs w:val="22"/>
        </w:rPr>
        <w:t xml:space="preserve">been </w:t>
      </w:r>
      <w:r w:rsidR="008D6C04" w:rsidRPr="00C14C3B">
        <w:rPr>
          <w:rFonts w:ascii="Cambria" w:eastAsia="Calibri" w:hAnsi="Cambria"/>
          <w:szCs w:val="22"/>
        </w:rPr>
        <w:t>reported on contaminated seeds transported between countries</w:t>
      </w:r>
      <w:r w:rsidRPr="00134546">
        <w:rPr>
          <w:rFonts w:ascii="Cambria" w:eastAsia="Calibri" w:hAnsi="Cambria"/>
          <w:szCs w:val="22"/>
        </w:rPr>
        <w:t xml:space="preserve"> (</w:t>
      </w:r>
      <w:proofErr w:type="spellStart"/>
      <w:r w:rsidRPr="00134546">
        <w:rPr>
          <w:rFonts w:ascii="Cambria" w:eastAsia="Calibri" w:hAnsi="Cambria"/>
          <w:szCs w:val="22"/>
        </w:rPr>
        <w:t>Antignus</w:t>
      </w:r>
      <w:proofErr w:type="spellEnd"/>
      <w:r w:rsidRPr="00134546">
        <w:rPr>
          <w:rFonts w:ascii="Cambria" w:eastAsia="Calibri" w:hAnsi="Cambria"/>
          <w:szCs w:val="22"/>
        </w:rPr>
        <w:t xml:space="preserve"> et al. 1990; </w:t>
      </w:r>
      <w:proofErr w:type="spellStart"/>
      <w:r w:rsidRPr="00134546">
        <w:rPr>
          <w:rFonts w:ascii="Cambria" w:eastAsia="Calibri" w:hAnsi="Cambria"/>
          <w:szCs w:val="22"/>
        </w:rPr>
        <w:t>Varveri</w:t>
      </w:r>
      <w:proofErr w:type="spellEnd"/>
      <w:r w:rsidRPr="00134546">
        <w:rPr>
          <w:rFonts w:ascii="Cambria" w:eastAsia="Calibri" w:hAnsi="Cambria"/>
          <w:szCs w:val="22"/>
        </w:rPr>
        <w:t xml:space="preserve"> et al. 2002; Ali et al. 2004).</w:t>
      </w:r>
      <w:r w:rsidR="007C75B0">
        <w:rPr>
          <w:rFonts w:ascii="Cambria" w:eastAsia="Calibri" w:hAnsi="Cambria"/>
          <w:szCs w:val="22"/>
        </w:rPr>
        <w:t xml:space="preserve"> </w:t>
      </w:r>
      <w:r w:rsidR="007C75B0">
        <w:rPr>
          <w:rFonts w:ascii="Cambria" w:hAnsi="Cambria"/>
        </w:rPr>
        <w:t>Seed and seedling trade networks, which are common between Australian nurseries and farmers, will favour a wider spread of CGMMV.</w:t>
      </w:r>
    </w:p>
    <w:p w14:paraId="0CAF1858" w14:textId="73AFBD68"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lang w:val="en-GB"/>
        </w:rPr>
        <w:t>CGMMV</w:t>
      </w:r>
      <w:r>
        <w:rPr>
          <w:rFonts w:ascii="Cambria" w:hAnsi="Cambria"/>
          <w:szCs w:val="22"/>
        </w:rPr>
        <w:t xml:space="preserve"> can also spread through contaminated irrigation water or nutrient solutions</w:t>
      </w:r>
      <w:r w:rsidR="0040054F">
        <w:rPr>
          <w:rFonts w:ascii="Cambria" w:hAnsi="Cambria"/>
          <w:szCs w:val="22"/>
        </w:rPr>
        <w:t xml:space="preserve"> </w:t>
      </w:r>
      <w:r>
        <w:rPr>
          <w:rFonts w:ascii="Cambria" w:hAnsi="Cambria"/>
          <w:szCs w:val="22"/>
        </w:rPr>
        <w:t>(</w:t>
      </w:r>
      <w:proofErr w:type="spellStart"/>
      <w:r>
        <w:rPr>
          <w:rFonts w:ascii="Cambria" w:hAnsi="Cambria"/>
          <w:szCs w:val="22"/>
        </w:rPr>
        <w:t>Dorst</w:t>
      </w:r>
      <w:proofErr w:type="spellEnd"/>
      <w:r>
        <w:rPr>
          <w:rFonts w:ascii="Cambria" w:hAnsi="Cambria"/>
          <w:szCs w:val="22"/>
        </w:rPr>
        <w:t xml:space="preserve"> 1988; </w:t>
      </w:r>
      <w:proofErr w:type="spellStart"/>
      <w:r>
        <w:rPr>
          <w:rFonts w:ascii="Cambria" w:hAnsi="Cambria"/>
          <w:szCs w:val="22"/>
        </w:rPr>
        <w:t>Lecoq</w:t>
      </w:r>
      <w:proofErr w:type="spellEnd"/>
      <w:r>
        <w:rPr>
          <w:rFonts w:ascii="Cambria" w:hAnsi="Cambria"/>
          <w:szCs w:val="22"/>
        </w:rPr>
        <w:t xml:space="preserve"> &amp; </w:t>
      </w:r>
      <w:proofErr w:type="spellStart"/>
      <w:r>
        <w:rPr>
          <w:rFonts w:ascii="Cambria" w:hAnsi="Cambria"/>
          <w:szCs w:val="22"/>
        </w:rPr>
        <w:t>Desbiez</w:t>
      </w:r>
      <w:proofErr w:type="spellEnd"/>
      <w:r>
        <w:rPr>
          <w:rFonts w:ascii="Cambria" w:hAnsi="Cambria"/>
          <w:szCs w:val="22"/>
        </w:rPr>
        <w:t xml:space="preserve"> 2012) in natural and managed environments.</w:t>
      </w:r>
    </w:p>
    <w:p w14:paraId="0396FEA9" w14:textId="77777777" w:rsidR="008163B6" w:rsidRDefault="00F709BD">
      <w:pPr>
        <w:pStyle w:val="Heading5"/>
        <w:spacing w:before="120" w:after="120"/>
        <w:rPr>
          <w:i w:val="0"/>
        </w:rPr>
      </w:pPr>
      <w:r>
        <w:t>Presence of natural barriers</w:t>
      </w:r>
    </w:p>
    <w:p w14:paraId="52B45DF4" w14:textId="0FAD3ECF"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Hosts of CGMMV</w:t>
      </w:r>
      <w:r>
        <w:rPr>
          <w:rFonts w:ascii="Cambria" w:hAnsi="Cambria"/>
          <w:i/>
          <w:szCs w:val="22"/>
          <w:lang w:eastAsia="en-AU"/>
        </w:rPr>
        <w:t xml:space="preserve"> </w:t>
      </w:r>
      <w:r>
        <w:rPr>
          <w:rFonts w:ascii="Cambria" w:hAnsi="Cambria"/>
          <w:szCs w:val="22"/>
        </w:rPr>
        <w:t xml:space="preserve">are present in many parts of Australia. Natural barriers, such as arid areas, mountain ranges, climatic </w:t>
      </w:r>
      <w:r>
        <w:rPr>
          <w:rFonts w:ascii="Cambria" w:eastAsia="Calibri" w:hAnsi="Cambria" w:cs="Times New Roman"/>
        </w:rPr>
        <w:t>differentials</w:t>
      </w:r>
      <w:r>
        <w:rPr>
          <w:rFonts w:ascii="Cambria" w:hAnsi="Cambria"/>
          <w:szCs w:val="22"/>
        </w:rPr>
        <w:t xml:space="preserve"> and possible long distances exist between suitable hosts and may prevent long-range natural spread of this virus.</w:t>
      </w:r>
    </w:p>
    <w:p w14:paraId="0F856244" w14:textId="3BE96592"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szCs w:val="22"/>
        </w:rPr>
        <w:t>Cucurbit crops are grown across Australia</w:t>
      </w:r>
      <w:r w:rsidR="00F9005E">
        <w:rPr>
          <w:rFonts w:ascii="Cambria" w:hAnsi="Cambria"/>
          <w:szCs w:val="22"/>
        </w:rPr>
        <w:t>,</w:t>
      </w:r>
      <w:r>
        <w:rPr>
          <w:rFonts w:ascii="Cambria" w:hAnsi="Cambria"/>
          <w:szCs w:val="22"/>
        </w:rPr>
        <w:t xml:space="preserve"> with long distances often separating commercial production fields. This </w:t>
      </w:r>
      <w:r w:rsidR="00576EE7">
        <w:rPr>
          <w:rFonts w:ascii="Cambria" w:hAnsi="Cambria"/>
          <w:szCs w:val="22"/>
        </w:rPr>
        <w:t xml:space="preserve">would </w:t>
      </w:r>
      <w:r w:rsidR="00174C19">
        <w:rPr>
          <w:rFonts w:ascii="Cambria" w:hAnsi="Cambria"/>
          <w:szCs w:val="22"/>
        </w:rPr>
        <w:t xml:space="preserve">be likely to </w:t>
      </w:r>
      <w:r>
        <w:rPr>
          <w:rFonts w:ascii="Cambria" w:hAnsi="Cambria"/>
          <w:szCs w:val="22"/>
        </w:rPr>
        <w:t>aid in the containment of CGMMV if establishment occurs in an isolated cucurbit growing region.</w:t>
      </w:r>
    </w:p>
    <w:p w14:paraId="0B1779C3" w14:textId="0A4C0CCA" w:rsidR="00174C19" w:rsidRDefault="00174C19"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iCs/>
          <w:szCs w:val="22"/>
        </w:rPr>
        <w:t>Alternative hosts include weed species (</w:t>
      </w:r>
      <w:proofErr w:type="spellStart"/>
      <w:r>
        <w:rPr>
          <w:rFonts w:ascii="Cambria" w:hAnsi="Cambria"/>
          <w:szCs w:val="18"/>
        </w:rPr>
        <w:t>Boubourakas</w:t>
      </w:r>
      <w:proofErr w:type="spellEnd"/>
      <w:r>
        <w:rPr>
          <w:rFonts w:ascii="Cambria" w:hAnsi="Cambria"/>
          <w:szCs w:val="18"/>
        </w:rPr>
        <w:t xml:space="preserve"> et al. 2004), some of which </w:t>
      </w:r>
      <w:r>
        <w:rPr>
          <w:rFonts w:ascii="Cambria" w:hAnsi="Cambria"/>
          <w:iCs/>
          <w:szCs w:val="22"/>
        </w:rPr>
        <w:t>are widely distributed in Australia. Consequently, weed hosts may help to spread CGMMV from cucurbit production areas to other parts of Australia.</w:t>
      </w:r>
    </w:p>
    <w:p w14:paraId="03862D72" w14:textId="50D06D4D" w:rsidR="008163B6" w:rsidRDefault="00F709BD" w:rsidP="009B2C61">
      <w:pPr>
        <w:pStyle w:val="AQISNum"/>
        <w:numPr>
          <w:ilvl w:val="0"/>
          <w:numId w:val="33"/>
        </w:numPr>
        <w:tabs>
          <w:tab w:val="clear" w:pos="360"/>
          <w:tab w:val="num" w:pos="284"/>
        </w:tabs>
        <w:spacing w:before="120" w:after="120" w:line="276" w:lineRule="auto"/>
        <w:ind w:left="284" w:hanging="284"/>
        <w:contextualSpacing/>
      </w:pPr>
      <w:r>
        <w:rPr>
          <w:rFonts w:asciiTheme="majorHAnsi" w:eastAsia="Calibri" w:hAnsiTheme="majorHAnsi"/>
        </w:rPr>
        <w:t xml:space="preserve">While </w:t>
      </w:r>
      <w:r>
        <w:rPr>
          <w:rFonts w:ascii="Cambria" w:hAnsi="Cambria"/>
          <w:bCs/>
          <w:lang w:eastAsia="en-AU"/>
        </w:rPr>
        <w:t xml:space="preserve">pollen transmission </w:t>
      </w:r>
      <w:r w:rsidR="00576EE7">
        <w:rPr>
          <w:rFonts w:ascii="Cambria" w:hAnsi="Cambria"/>
          <w:bCs/>
          <w:lang w:eastAsia="en-AU"/>
        </w:rPr>
        <w:t xml:space="preserve">may </w:t>
      </w:r>
      <w:r>
        <w:rPr>
          <w:rFonts w:ascii="Cambria" w:hAnsi="Cambria"/>
          <w:bCs/>
          <w:lang w:eastAsia="en-AU"/>
        </w:rPr>
        <w:t xml:space="preserve">play a role in the spread of CGMMV (Liu et al. 2014), there is no confirmed report that CGMMV can spread naturally via pollen. </w:t>
      </w:r>
      <w:r>
        <w:rPr>
          <w:rFonts w:ascii="Cambria" w:hAnsi="Cambria"/>
        </w:rPr>
        <w:t xml:space="preserve">Under experimental conditions, </w:t>
      </w:r>
      <w:r>
        <w:rPr>
          <w:rFonts w:ascii="Cambria" w:hAnsi="Cambria"/>
          <w:bCs/>
          <w:lang w:eastAsia="en-AU"/>
        </w:rPr>
        <w:t xml:space="preserve">artificial pollination of cucumber flowers with pollen infected with CGMMV resulted in up to 51.2 percent </w:t>
      </w:r>
      <w:r w:rsidR="00576EE7">
        <w:rPr>
          <w:rFonts w:ascii="Cambria" w:hAnsi="Cambria"/>
          <w:bCs/>
          <w:lang w:eastAsia="en-AU"/>
        </w:rPr>
        <w:t xml:space="preserve">fruit </w:t>
      </w:r>
      <w:r>
        <w:rPr>
          <w:rFonts w:ascii="Cambria" w:hAnsi="Cambria"/>
          <w:bCs/>
          <w:lang w:eastAsia="en-AU"/>
        </w:rPr>
        <w:t>infect</w:t>
      </w:r>
      <w:r w:rsidR="00576EE7">
        <w:rPr>
          <w:rFonts w:ascii="Cambria" w:hAnsi="Cambria"/>
          <w:bCs/>
          <w:lang w:eastAsia="en-AU"/>
        </w:rPr>
        <w:t>ion</w:t>
      </w:r>
      <w:r>
        <w:rPr>
          <w:rFonts w:ascii="Cambria" w:hAnsi="Cambria"/>
          <w:bCs/>
          <w:lang w:eastAsia="en-AU"/>
        </w:rPr>
        <w:t>. Seed samples from infected fruit also tested positive for the virus (Liu et al</w:t>
      </w:r>
      <w:r>
        <w:rPr>
          <w:rFonts w:ascii="Cambria" w:hAnsi="Cambria"/>
          <w:bCs/>
          <w:i/>
          <w:lang w:eastAsia="en-AU"/>
        </w:rPr>
        <w:t>.</w:t>
      </w:r>
      <w:r>
        <w:rPr>
          <w:rFonts w:ascii="Cambria" w:hAnsi="Cambria"/>
          <w:bCs/>
          <w:lang w:eastAsia="en-AU"/>
        </w:rPr>
        <w:t xml:space="preserve"> 2014).</w:t>
      </w:r>
      <w:r w:rsidR="00174C19">
        <w:rPr>
          <w:rFonts w:ascii="Cambria" w:hAnsi="Cambria"/>
          <w:bCs/>
          <w:lang w:eastAsia="en-AU"/>
        </w:rPr>
        <w:t xml:space="preserve"> Therefore, pollen may play a role in spreading CGMMV to other areas. </w:t>
      </w:r>
    </w:p>
    <w:p w14:paraId="4D8A2689" w14:textId="793CC9DC"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szCs w:val="22"/>
        </w:rPr>
      </w:pPr>
      <w:r>
        <w:rPr>
          <w:rFonts w:ascii="Cambria" w:hAnsi="Cambria"/>
          <w:bCs/>
          <w:lang w:eastAsia="en-AU"/>
        </w:rPr>
        <w:t xml:space="preserve">CGMMV has spread </w:t>
      </w:r>
      <w:r>
        <w:rPr>
          <w:rFonts w:ascii="Cambria" w:hAnsi="Cambria"/>
          <w:szCs w:val="22"/>
        </w:rPr>
        <w:t>from its initial detection in the UK (</w:t>
      </w:r>
      <w:r>
        <w:rPr>
          <w:rFonts w:ascii="Cambria" w:hAnsi="Cambria"/>
        </w:rPr>
        <w:t xml:space="preserve">Ainsworth 1935; </w:t>
      </w:r>
      <w:proofErr w:type="spellStart"/>
      <w:r>
        <w:rPr>
          <w:rFonts w:ascii="Cambria" w:hAnsi="Cambria"/>
        </w:rPr>
        <w:t>Ugaki</w:t>
      </w:r>
      <w:proofErr w:type="spellEnd"/>
      <w:r>
        <w:rPr>
          <w:rFonts w:ascii="Cambria" w:hAnsi="Cambria"/>
        </w:rPr>
        <w:t xml:space="preserve"> et al. 1991</w:t>
      </w:r>
      <w:r>
        <w:rPr>
          <w:rFonts w:ascii="Cambria" w:hAnsi="Cambria"/>
          <w:szCs w:val="22"/>
        </w:rPr>
        <w:t xml:space="preserve">) </w:t>
      </w:r>
      <w:r>
        <w:rPr>
          <w:rFonts w:ascii="Cambria" w:hAnsi="Cambria"/>
          <w:szCs w:val="22"/>
          <w:lang w:eastAsia="en-AU"/>
        </w:rPr>
        <w:t xml:space="preserve">to Asia, Europe, </w:t>
      </w:r>
      <w:r w:rsidR="00AA5AA2">
        <w:rPr>
          <w:rFonts w:ascii="Cambria" w:hAnsi="Cambria"/>
          <w:szCs w:val="22"/>
          <w:lang w:eastAsia="en-AU"/>
        </w:rPr>
        <w:t xml:space="preserve">the </w:t>
      </w:r>
      <w:r>
        <w:rPr>
          <w:rFonts w:ascii="Cambria" w:hAnsi="Cambria"/>
          <w:szCs w:val="22"/>
          <w:lang w:eastAsia="en-AU"/>
        </w:rPr>
        <w:t>Mediterranean region and North America (</w:t>
      </w:r>
      <w:r>
        <w:rPr>
          <w:rFonts w:asciiTheme="majorHAnsi" w:eastAsia="Calibri" w:hAnsiTheme="majorHAnsi"/>
          <w:szCs w:val="22"/>
        </w:rPr>
        <w:t>Tian et al. 2014; Ling et al. 2014; CABI 2015</w:t>
      </w:r>
      <w:r w:rsidR="00AA5AA2">
        <w:rPr>
          <w:rFonts w:asciiTheme="majorHAnsi" w:eastAsia="Calibri" w:hAnsiTheme="majorHAnsi"/>
          <w:szCs w:val="22"/>
        </w:rPr>
        <w:t>; See Appendix B</w:t>
      </w:r>
      <w:r>
        <w:rPr>
          <w:rFonts w:asciiTheme="majorHAnsi" w:eastAsia="Calibri" w:hAnsiTheme="majorHAnsi"/>
          <w:szCs w:val="22"/>
        </w:rPr>
        <w:t xml:space="preserve">). </w:t>
      </w:r>
      <w:r>
        <w:rPr>
          <w:rFonts w:ascii="Cambria" w:hAnsi="Cambria"/>
          <w:szCs w:val="22"/>
          <w:lang w:eastAsia="en-AU"/>
        </w:rPr>
        <w:t>This suggests that the virus is capable of overcoming natural barriers</w:t>
      </w:r>
      <w:r w:rsidR="00291A76">
        <w:rPr>
          <w:rFonts w:ascii="Cambria" w:hAnsi="Cambria"/>
          <w:szCs w:val="22"/>
          <w:lang w:eastAsia="en-AU"/>
        </w:rPr>
        <w:t xml:space="preserve"> through other means of dispersal such as human-mediated transport of infected seeds</w:t>
      </w:r>
      <w:r>
        <w:rPr>
          <w:rFonts w:ascii="Cambria" w:hAnsi="Cambria"/>
          <w:szCs w:val="22"/>
          <w:lang w:eastAsia="en-AU"/>
        </w:rPr>
        <w:t>.</w:t>
      </w:r>
    </w:p>
    <w:p w14:paraId="2478221D" w14:textId="3B1740CB" w:rsidR="008163B6" w:rsidRPr="00C14C3B" w:rsidRDefault="00174C19" w:rsidP="009B2C61">
      <w:pPr>
        <w:pStyle w:val="AQISNum"/>
        <w:numPr>
          <w:ilvl w:val="0"/>
          <w:numId w:val="33"/>
        </w:numPr>
        <w:tabs>
          <w:tab w:val="clear" w:pos="360"/>
          <w:tab w:val="num" w:pos="284"/>
        </w:tabs>
        <w:spacing w:before="120" w:after="120" w:line="276" w:lineRule="auto"/>
        <w:ind w:left="284" w:hanging="284"/>
        <w:contextualSpacing/>
        <w:rPr>
          <w:rFonts w:ascii="Cambria" w:hAnsi="Cambria"/>
          <w:bCs/>
          <w:lang w:eastAsia="en-AU"/>
        </w:rPr>
      </w:pPr>
      <w:r w:rsidRPr="00C14C3B">
        <w:rPr>
          <w:rFonts w:ascii="Cambria" w:hAnsi="Cambria"/>
          <w:bCs/>
          <w:lang w:eastAsia="en-AU"/>
        </w:rPr>
        <w:t xml:space="preserve">It is unknown if insect vectors would assist in the distribution of CGMMV across Australia. </w:t>
      </w:r>
      <w:r w:rsidR="00F709BD" w:rsidRPr="00C14C3B">
        <w:rPr>
          <w:rFonts w:ascii="Cambria" w:hAnsi="Cambria"/>
          <w:bCs/>
          <w:lang w:eastAsia="en-AU"/>
        </w:rPr>
        <w:t>Cucumber leaf beetles (</w:t>
      </w:r>
      <w:proofErr w:type="spellStart"/>
      <w:r w:rsidR="00F709BD" w:rsidRPr="00C14C3B">
        <w:rPr>
          <w:rFonts w:ascii="Cambria" w:hAnsi="Cambria"/>
          <w:bCs/>
          <w:i/>
          <w:lang w:eastAsia="en-AU"/>
        </w:rPr>
        <w:t>Aulacophora</w:t>
      </w:r>
      <w:proofErr w:type="spellEnd"/>
      <w:r w:rsidR="00F709BD" w:rsidRPr="00C14C3B">
        <w:rPr>
          <w:rFonts w:ascii="Cambria" w:hAnsi="Cambria"/>
          <w:bCs/>
          <w:i/>
          <w:lang w:eastAsia="en-AU"/>
        </w:rPr>
        <w:t xml:space="preserve"> </w:t>
      </w:r>
      <w:proofErr w:type="spellStart"/>
      <w:r w:rsidR="00F709BD" w:rsidRPr="00C14C3B">
        <w:rPr>
          <w:rFonts w:ascii="Cambria" w:hAnsi="Cambria"/>
          <w:bCs/>
          <w:i/>
          <w:lang w:eastAsia="en-AU"/>
        </w:rPr>
        <w:t>femoralis</w:t>
      </w:r>
      <w:proofErr w:type="spellEnd"/>
      <w:r w:rsidR="00F709BD" w:rsidRPr="00C14C3B">
        <w:rPr>
          <w:rFonts w:ascii="Cambria" w:hAnsi="Cambria"/>
          <w:bCs/>
          <w:lang w:eastAsia="en-AU"/>
        </w:rPr>
        <w:t xml:space="preserve">) are probable vectors of CGMMV, as they transmitted CGMMV directly to 10 percent of tested plants and their regurgitated fluid and excreta contained infective virus particles (Rao &amp; </w:t>
      </w:r>
      <w:proofErr w:type="spellStart"/>
      <w:r w:rsidR="00F709BD" w:rsidRPr="00C14C3B">
        <w:rPr>
          <w:rFonts w:ascii="Cambria" w:hAnsi="Cambria"/>
          <w:bCs/>
          <w:lang w:eastAsia="en-AU"/>
        </w:rPr>
        <w:t>Verma</w:t>
      </w:r>
      <w:proofErr w:type="spellEnd"/>
      <w:r w:rsidR="00F709BD" w:rsidRPr="00C14C3B">
        <w:rPr>
          <w:rFonts w:ascii="Cambria" w:hAnsi="Cambria"/>
          <w:bCs/>
          <w:lang w:eastAsia="en-AU"/>
        </w:rPr>
        <w:t xml:space="preserve"> 1984). Therefore</w:t>
      </w:r>
      <w:r w:rsidRPr="00C14C3B">
        <w:rPr>
          <w:rFonts w:ascii="Cambria" w:hAnsi="Cambria"/>
          <w:bCs/>
          <w:lang w:eastAsia="en-AU"/>
        </w:rPr>
        <w:t>,</w:t>
      </w:r>
      <w:r w:rsidR="00F709BD" w:rsidRPr="00C14C3B">
        <w:rPr>
          <w:rFonts w:ascii="Cambria" w:hAnsi="Cambria"/>
          <w:bCs/>
          <w:lang w:eastAsia="en-AU"/>
        </w:rPr>
        <w:t xml:space="preserve"> </w:t>
      </w:r>
      <w:r w:rsidRPr="00C14C3B">
        <w:rPr>
          <w:rFonts w:ascii="Cambria" w:hAnsi="Cambria"/>
          <w:bCs/>
          <w:i/>
          <w:lang w:eastAsia="en-AU"/>
        </w:rPr>
        <w:t>A</w:t>
      </w:r>
      <w:r w:rsidR="00107A29">
        <w:rPr>
          <w:rFonts w:ascii="Cambria" w:hAnsi="Cambria"/>
          <w:bCs/>
          <w:i/>
          <w:lang w:eastAsia="en-AU"/>
        </w:rPr>
        <w:t>. </w:t>
      </w:r>
      <w:proofErr w:type="spellStart"/>
      <w:r w:rsidRPr="00C14C3B">
        <w:rPr>
          <w:rFonts w:ascii="Cambria" w:hAnsi="Cambria"/>
          <w:bCs/>
          <w:i/>
          <w:lang w:eastAsia="en-AU"/>
        </w:rPr>
        <w:t>femoralis</w:t>
      </w:r>
      <w:proofErr w:type="spellEnd"/>
      <w:r w:rsidRPr="00C14C3B">
        <w:rPr>
          <w:rFonts w:ascii="Cambria" w:hAnsi="Cambria"/>
          <w:bCs/>
          <w:lang w:eastAsia="en-AU"/>
        </w:rPr>
        <w:t xml:space="preserve"> </w:t>
      </w:r>
      <w:r w:rsidR="00F709BD" w:rsidRPr="00C14C3B">
        <w:rPr>
          <w:rFonts w:ascii="Cambria" w:hAnsi="Cambria"/>
          <w:bCs/>
          <w:lang w:eastAsia="en-AU"/>
        </w:rPr>
        <w:t xml:space="preserve">may act as a potential vector for spreading CGMMV (Rao &amp; </w:t>
      </w:r>
      <w:proofErr w:type="spellStart"/>
      <w:r w:rsidR="00F709BD" w:rsidRPr="00C14C3B">
        <w:rPr>
          <w:rFonts w:ascii="Cambria" w:hAnsi="Cambria"/>
          <w:bCs/>
          <w:lang w:eastAsia="en-AU"/>
        </w:rPr>
        <w:t>Verma</w:t>
      </w:r>
      <w:proofErr w:type="spellEnd"/>
      <w:r w:rsidR="00F709BD" w:rsidRPr="00C14C3B">
        <w:rPr>
          <w:rFonts w:ascii="Cambria" w:hAnsi="Cambria"/>
          <w:bCs/>
          <w:lang w:eastAsia="en-AU"/>
        </w:rPr>
        <w:t xml:space="preserve"> 1984)</w:t>
      </w:r>
      <w:r w:rsidRPr="00C14C3B">
        <w:rPr>
          <w:rFonts w:ascii="Cambria" w:hAnsi="Cambria"/>
          <w:bCs/>
          <w:lang w:eastAsia="en-AU"/>
        </w:rPr>
        <w:t xml:space="preserve">.  </w:t>
      </w:r>
      <w:proofErr w:type="spellStart"/>
      <w:r w:rsidRPr="00C14C3B">
        <w:rPr>
          <w:rFonts w:ascii="Cambria" w:hAnsi="Cambria"/>
          <w:bCs/>
          <w:i/>
          <w:lang w:eastAsia="en-AU"/>
        </w:rPr>
        <w:t>A</w:t>
      </w:r>
      <w:r w:rsidR="00F709BD" w:rsidRPr="00C14C3B">
        <w:rPr>
          <w:rFonts w:ascii="Cambria" w:hAnsi="Cambria"/>
          <w:bCs/>
          <w:i/>
          <w:lang w:eastAsia="en-AU"/>
        </w:rPr>
        <w:t>ulacophora</w:t>
      </w:r>
      <w:proofErr w:type="spellEnd"/>
      <w:r w:rsidR="00F709BD" w:rsidRPr="00C14C3B">
        <w:rPr>
          <w:rFonts w:ascii="Cambria" w:hAnsi="Cambria"/>
          <w:bCs/>
          <w:i/>
          <w:lang w:eastAsia="en-AU"/>
        </w:rPr>
        <w:t xml:space="preserve"> </w:t>
      </w:r>
      <w:proofErr w:type="spellStart"/>
      <w:r w:rsidR="00F709BD" w:rsidRPr="00C14C3B">
        <w:rPr>
          <w:rFonts w:ascii="Cambria" w:hAnsi="Cambria"/>
          <w:bCs/>
          <w:i/>
          <w:lang w:eastAsia="en-AU"/>
        </w:rPr>
        <w:t>femoralis</w:t>
      </w:r>
      <w:proofErr w:type="spellEnd"/>
      <w:r w:rsidR="00F709BD" w:rsidRPr="00C14C3B">
        <w:rPr>
          <w:rFonts w:ascii="Cambria" w:hAnsi="Cambria"/>
          <w:bCs/>
          <w:lang w:eastAsia="en-AU"/>
        </w:rPr>
        <w:t xml:space="preserve"> is not recorded in Australia; however, two species of </w:t>
      </w:r>
      <w:proofErr w:type="spellStart"/>
      <w:r w:rsidR="00F709BD" w:rsidRPr="00C14C3B">
        <w:rPr>
          <w:rFonts w:ascii="Cambria" w:hAnsi="Cambria"/>
          <w:bCs/>
          <w:i/>
          <w:lang w:eastAsia="en-AU"/>
        </w:rPr>
        <w:t>Aulacophora</w:t>
      </w:r>
      <w:proofErr w:type="spellEnd"/>
      <w:r w:rsidR="00F709BD" w:rsidRPr="00C14C3B">
        <w:rPr>
          <w:rFonts w:ascii="Cambria" w:hAnsi="Cambria"/>
          <w:bCs/>
          <w:i/>
          <w:lang w:eastAsia="en-AU"/>
        </w:rPr>
        <w:t xml:space="preserve"> </w:t>
      </w:r>
      <w:r w:rsidR="00F709BD" w:rsidRPr="00C14C3B">
        <w:rPr>
          <w:rFonts w:ascii="Cambria" w:hAnsi="Cambria"/>
          <w:bCs/>
          <w:lang w:eastAsia="en-AU"/>
        </w:rPr>
        <w:t>(</w:t>
      </w:r>
      <w:r w:rsidR="00107A29" w:rsidRPr="00C14C3B">
        <w:rPr>
          <w:rFonts w:ascii="Cambria" w:hAnsi="Cambria"/>
          <w:bCs/>
          <w:i/>
          <w:lang w:eastAsia="en-AU"/>
        </w:rPr>
        <w:t>A</w:t>
      </w:r>
      <w:r w:rsidR="00107A29">
        <w:rPr>
          <w:rFonts w:ascii="Cambria" w:hAnsi="Cambria"/>
          <w:bCs/>
          <w:i/>
          <w:lang w:eastAsia="en-AU"/>
        </w:rPr>
        <w:t>. </w:t>
      </w:r>
      <w:proofErr w:type="spellStart"/>
      <w:r w:rsidR="00107A29" w:rsidRPr="00C14C3B">
        <w:rPr>
          <w:rFonts w:ascii="Cambria" w:hAnsi="Cambria"/>
          <w:bCs/>
          <w:i/>
          <w:lang w:eastAsia="en-AU"/>
        </w:rPr>
        <w:t>abdominalis</w:t>
      </w:r>
      <w:proofErr w:type="spellEnd"/>
      <w:r w:rsidR="00107A29" w:rsidRPr="00C14C3B">
        <w:rPr>
          <w:rFonts w:ascii="Cambria" w:hAnsi="Cambria"/>
          <w:bCs/>
          <w:i/>
          <w:lang w:eastAsia="en-AU"/>
        </w:rPr>
        <w:t xml:space="preserve"> </w:t>
      </w:r>
      <w:r w:rsidR="00107A29">
        <w:rPr>
          <w:rFonts w:ascii="Cambria" w:hAnsi="Cambria"/>
          <w:bCs/>
          <w:lang w:eastAsia="en-AU"/>
        </w:rPr>
        <w:t xml:space="preserve">and </w:t>
      </w:r>
      <w:r w:rsidR="00F709BD" w:rsidRPr="00C14C3B">
        <w:rPr>
          <w:rFonts w:ascii="Cambria" w:hAnsi="Cambria"/>
          <w:bCs/>
          <w:i/>
          <w:lang w:eastAsia="en-AU"/>
        </w:rPr>
        <w:t>A</w:t>
      </w:r>
      <w:r w:rsidR="00107A29">
        <w:rPr>
          <w:rFonts w:ascii="Cambria" w:hAnsi="Cambria"/>
          <w:bCs/>
          <w:i/>
          <w:lang w:eastAsia="en-AU"/>
        </w:rPr>
        <w:t>. </w:t>
      </w:r>
      <w:proofErr w:type="spellStart"/>
      <w:r w:rsidR="00F709BD" w:rsidRPr="00C14C3B">
        <w:rPr>
          <w:rFonts w:ascii="Cambria" w:hAnsi="Cambria"/>
          <w:bCs/>
          <w:i/>
          <w:lang w:eastAsia="en-AU"/>
        </w:rPr>
        <w:t>hilaris</w:t>
      </w:r>
      <w:proofErr w:type="spellEnd"/>
      <w:r w:rsidR="00F709BD" w:rsidRPr="00C14C3B">
        <w:rPr>
          <w:rFonts w:ascii="Cambria" w:hAnsi="Cambria"/>
          <w:bCs/>
          <w:lang w:eastAsia="en-AU"/>
        </w:rPr>
        <w:t>) have been recorded feeding on commercial cucurbit crops in Australia (Napier 2009). Therefore, these beetles may be potential vector</w:t>
      </w:r>
      <w:r w:rsidRPr="00C14C3B">
        <w:rPr>
          <w:rFonts w:ascii="Cambria" w:hAnsi="Cambria"/>
          <w:bCs/>
          <w:lang w:eastAsia="en-AU"/>
        </w:rPr>
        <w:t>s</w:t>
      </w:r>
      <w:r w:rsidR="00F709BD" w:rsidRPr="00C14C3B">
        <w:rPr>
          <w:rFonts w:ascii="Cambria" w:hAnsi="Cambria"/>
          <w:bCs/>
          <w:lang w:eastAsia="en-AU"/>
        </w:rPr>
        <w:t xml:space="preserve"> </w:t>
      </w:r>
      <w:r w:rsidR="00576EE7" w:rsidRPr="00C14C3B">
        <w:rPr>
          <w:rFonts w:ascii="Cambria" w:hAnsi="Cambria"/>
          <w:bCs/>
          <w:lang w:eastAsia="en-AU"/>
        </w:rPr>
        <w:t xml:space="preserve">of </w:t>
      </w:r>
      <w:r w:rsidR="00F709BD" w:rsidRPr="00C14C3B">
        <w:rPr>
          <w:rFonts w:ascii="Cambria" w:hAnsi="Cambria"/>
          <w:bCs/>
          <w:lang w:eastAsia="en-AU"/>
        </w:rPr>
        <w:t>CGMMV.</w:t>
      </w:r>
    </w:p>
    <w:p w14:paraId="2FC171A0" w14:textId="77777777" w:rsidR="008163B6" w:rsidRDefault="00F709BD">
      <w:pPr>
        <w:pStyle w:val="Heading5"/>
        <w:spacing w:before="120" w:after="120"/>
      </w:pPr>
      <w:r>
        <w:t>Potential for movement with commodities or conveyances</w:t>
      </w:r>
    </w:p>
    <w:p w14:paraId="2B30DEB8" w14:textId="6D943BFC"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Spread of CGMMV via human-mediated means will be rapid, and is significant through the commercial movement of infected seeds or seedlings for planting (Kobayashi 1990; </w:t>
      </w:r>
      <w:proofErr w:type="spellStart"/>
      <w:r>
        <w:rPr>
          <w:rFonts w:ascii="Cambria" w:hAnsi="Cambria"/>
        </w:rPr>
        <w:t>Lecoq</w:t>
      </w:r>
      <w:proofErr w:type="spellEnd"/>
      <w:r>
        <w:rPr>
          <w:rFonts w:ascii="Cambria" w:hAnsi="Cambria"/>
        </w:rPr>
        <w:t xml:space="preserve"> &amp; </w:t>
      </w:r>
      <w:proofErr w:type="spellStart"/>
      <w:r>
        <w:rPr>
          <w:rFonts w:ascii="Cambria" w:hAnsi="Cambria"/>
        </w:rPr>
        <w:t>Katis</w:t>
      </w:r>
      <w:proofErr w:type="spellEnd"/>
      <w:r>
        <w:rPr>
          <w:rFonts w:ascii="Cambria" w:hAnsi="Cambria"/>
        </w:rPr>
        <w:t xml:space="preserve"> 2014; Liu et al. 2014). Other possible pathways for spread through human-mediated means include soil</w:t>
      </w:r>
      <w:r w:rsidR="005B2B5A">
        <w:rPr>
          <w:rFonts w:ascii="Cambria" w:hAnsi="Cambria"/>
        </w:rPr>
        <w:t xml:space="preserve"> and </w:t>
      </w:r>
      <w:r>
        <w:rPr>
          <w:rFonts w:ascii="Cambria" w:hAnsi="Cambria"/>
        </w:rPr>
        <w:t>debris contaminating the seeds (</w:t>
      </w:r>
      <w:proofErr w:type="spellStart"/>
      <w:r>
        <w:rPr>
          <w:rFonts w:ascii="Cambria" w:hAnsi="Cambria"/>
        </w:rPr>
        <w:t>Lecoq</w:t>
      </w:r>
      <w:proofErr w:type="spellEnd"/>
      <w:r>
        <w:rPr>
          <w:rFonts w:ascii="Cambria" w:hAnsi="Cambria"/>
        </w:rPr>
        <w:t xml:space="preserve"> &amp; </w:t>
      </w:r>
      <w:proofErr w:type="spellStart"/>
      <w:r>
        <w:rPr>
          <w:rFonts w:ascii="Cambria" w:hAnsi="Cambria"/>
        </w:rPr>
        <w:t>Katis</w:t>
      </w:r>
      <w:proofErr w:type="spellEnd"/>
      <w:r>
        <w:rPr>
          <w:rFonts w:ascii="Cambria" w:hAnsi="Cambria"/>
        </w:rPr>
        <w:t xml:space="preserve"> 2014).</w:t>
      </w:r>
    </w:p>
    <w:p w14:paraId="0CDCF949" w14:textId="4074404F"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Human-mediated movement of plants and plant products is considered the primary mode for the introduction of plant pathogens. </w:t>
      </w:r>
      <w:r>
        <w:rPr>
          <w:rFonts w:ascii="Cambria" w:hAnsi="Cambria"/>
          <w:bCs/>
        </w:rPr>
        <w:t xml:space="preserve">CGMMV infects cucurbits systemically (Moreno et al. 2004). Therefore, </w:t>
      </w:r>
      <w:r>
        <w:rPr>
          <w:rFonts w:ascii="Cambria" w:hAnsi="Cambria"/>
        </w:rPr>
        <w:t>m</w:t>
      </w:r>
      <w:r>
        <w:rPr>
          <w:rFonts w:ascii="Cambria" w:hAnsi="Cambria"/>
          <w:bCs/>
          <w:lang w:eastAsia="en-AU"/>
        </w:rPr>
        <w:t xml:space="preserve">ultiplication and marketing of infected </w:t>
      </w:r>
      <w:r w:rsidR="00F9005E">
        <w:rPr>
          <w:rFonts w:ascii="Cambria" w:hAnsi="Cambria"/>
          <w:bCs/>
          <w:lang w:eastAsia="en-AU"/>
        </w:rPr>
        <w:t xml:space="preserve">host </w:t>
      </w:r>
      <w:r>
        <w:rPr>
          <w:rFonts w:ascii="Cambria" w:hAnsi="Cambria"/>
          <w:bCs/>
          <w:lang w:eastAsia="en-AU"/>
        </w:rPr>
        <w:t>seedlings will facilitate the spread of this virus.</w:t>
      </w:r>
    </w:p>
    <w:p w14:paraId="14542117" w14:textId="7777777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 xml:space="preserve">As visual symptoms of CGMMV may not be present, and in the absence of specific testing regimes, infected propagative material could easily be moved into new areas. The introduction of infected planting material establishes the pathogen in new areas and unregulated movement will accelerate the spread of CGMMV. </w:t>
      </w:r>
    </w:p>
    <w:p w14:paraId="7A863257" w14:textId="39EF80F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iCs/>
          <w:shd w:val="clear" w:color="auto" w:fill="FFFFFF"/>
        </w:rPr>
      </w:pPr>
      <w:r>
        <w:rPr>
          <w:rFonts w:ascii="Cambria" w:hAnsi="Cambria"/>
        </w:rPr>
        <w:t>Increased trade in seed within and between countries has led to new opportunities for plant pathogens to be moved to new areas or countries (</w:t>
      </w:r>
      <w:proofErr w:type="spellStart"/>
      <w:r>
        <w:rPr>
          <w:rFonts w:ascii="Cambria" w:hAnsi="Cambria"/>
        </w:rPr>
        <w:t>Dehnen</w:t>
      </w:r>
      <w:proofErr w:type="spellEnd"/>
      <w:r>
        <w:rPr>
          <w:rFonts w:ascii="Cambria" w:hAnsi="Cambria"/>
        </w:rPr>
        <w:t xml:space="preserve">-Schmutz </w:t>
      </w:r>
      <w:r>
        <w:rPr>
          <w:rFonts w:ascii="Cambria" w:hAnsi="Cambria"/>
          <w:iCs/>
        </w:rPr>
        <w:t>et al</w:t>
      </w:r>
      <w:r>
        <w:rPr>
          <w:rFonts w:ascii="Cambria" w:hAnsi="Cambria"/>
        </w:rPr>
        <w:t xml:space="preserve">. 2010; Wingfield </w:t>
      </w:r>
      <w:r>
        <w:rPr>
          <w:rFonts w:ascii="Cambria" w:hAnsi="Cambria"/>
          <w:iCs/>
        </w:rPr>
        <w:t>et al</w:t>
      </w:r>
      <w:r>
        <w:rPr>
          <w:rFonts w:ascii="Cambria" w:hAnsi="Cambria"/>
        </w:rPr>
        <w:t xml:space="preserve">. 2010; </w:t>
      </w:r>
      <w:proofErr w:type="spellStart"/>
      <w:r>
        <w:rPr>
          <w:rFonts w:ascii="Cambria" w:hAnsi="Cambria"/>
        </w:rPr>
        <w:t>Stenlid</w:t>
      </w:r>
      <w:proofErr w:type="spellEnd"/>
      <w:r>
        <w:rPr>
          <w:rFonts w:ascii="Cambria" w:hAnsi="Cambria"/>
        </w:rPr>
        <w:t xml:space="preserve"> </w:t>
      </w:r>
      <w:r>
        <w:rPr>
          <w:rFonts w:ascii="Cambria" w:hAnsi="Cambria"/>
          <w:iCs/>
        </w:rPr>
        <w:t>et al</w:t>
      </w:r>
      <w:r>
        <w:rPr>
          <w:rFonts w:ascii="Cambria" w:hAnsi="Cambria"/>
        </w:rPr>
        <w:t xml:space="preserve">. 2011). Since its description in the 1930s from the UK, </w:t>
      </w:r>
      <w:r>
        <w:rPr>
          <w:rFonts w:ascii="Cambria" w:hAnsi="Cambria"/>
          <w:shd w:val="clear" w:color="auto" w:fill="FFFFFF"/>
        </w:rPr>
        <w:t xml:space="preserve">CGMMV has spread </w:t>
      </w:r>
      <w:proofErr w:type="gramStart"/>
      <w:r>
        <w:rPr>
          <w:rFonts w:ascii="Cambria" w:hAnsi="Cambria"/>
          <w:shd w:val="clear" w:color="auto" w:fill="FFFFFF"/>
        </w:rPr>
        <w:t>to</w:t>
      </w:r>
      <w:proofErr w:type="gramEnd"/>
      <w:r>
        <w:rPr>
          <w:rFonts w:ascii="Cambria" w:hAnsi="Cambria"/>
          <w:shd w:val="clear" w:color="auto" w:fill="FFFFFF"/>
        </w:rPr>
        <w:t xml:space="preserve"> many countries, potentially through the cucurbit seed trade</w:t>
      </w:r>
      <w:r>
        <w:rPr>
          <w:rFonts w:ascii="Cambria" w:hAnsi="Cambria"/>
          <w:i/>
          <w:iCs/>
          <w:shd w:val="clear" w:color="auto" w:fill="FFFFFF"/>
        </w:rPr>
        <w:t xml:space="preserve">. </w:t>
      </w:r>
      <w:r w:rsidR="00AF00A2">
        <w:rPr>
          <w:rFonts w:ascii="Cambria" w:hAnsi="Cambria"/>
          <w:szCs w:val="22"/>
        </w:rPr>
        <w:t>CGMMV i</w:t>
      </w:r>
      <w:r>
        <w:rPr>
          <w:rFonts w:ascii="Cambria" w:hAnsi="Cambria"/>
          <w:szCs w:val="22"/>
        </w:rPr>
        <w:t xml:space="preserve">s thought to have been introduced to Japan through </w:t>
      </w:r>
      <w:r>
        <w:rPr>
          <w:rFonts w:ascii="Cambria" w:hAnsi="Cambria"/>
          <w:i/>
          <w:szCs w:val="22"/>
        </w:rPr>
        <w:t>Lagenaria siceraria</w:t>
      </w:r>
      <w:r>
        <w:rPr>
          <w:rFonts w:ascii="Cambria" w:hAnsi="Cambria"/>
          <w:szCs w:val="22"/>
        </w:rPr>
        <w:t xml:space="preserve"> seeds imported from India (</w:t>
      </w:r>
      <w:proofErr w:type="spellStart"/>
      <w:r>
        <w:rPr>
          <w:rFonts w:ascii="Cambria" w:hAnsi="Cambria"/>
          <w:szCs w:val="22"/>
        </w:rPr>
        <w:t>Tochihara</w:t>
      </w:r>
      <w:proofErr w:type="spellEnd"/>
      <w:r>
        <w:rPr>
          <w:rFonts w:ascii="Cambria" w:hAnsi="Cambria"/>
          <w:szCs w:val="22"/>
        </w:rPr>
        <w:t xml:space="preserve"> &amp; </w:t>
      </w:r>
      <w:proofErr w:type="spellStart"/>
      <w:r>
        <w:rPr>
          <w:rFonts w:ascii="Cambria" w:hAnsi="Cambria"/>
          <w:szCs w:val="22"/>
        </w:rPr>
        <w:t>Komuro</w:t>
      </w:r>
      <w:proofErr w:type="spellEnd"/>
      <w:r>
        <w:rPr>
          <w:rFonts w:ascii="Cambria" w:hAnsi="Cambria"/>
          <w:szCs w:val="22"/>
        </w:rPr>
        <w:t xml:space="preserve"> 1974; Kobayashi 1990).</w:t>
      </w:r>
    </w:p>
    <w:p w14:paraId="09461C49" w14:textId="229358FB"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CGMMV could spread with the movement and trade of infected host plant material including seed</w:t>
      </w:r>
      <w:r w:rsidR="00A72845">
        <w:rPr>
          <w:rFonts w:ascii="Cambria" w:hAnsi="Cambria"/>
        </w:rPr>
        <w:t>s</w:t>
      </w:r>
      <w:r>
        <w:rPr>
          <w:rFonts w:ascii="Cambria" w:hAnsi="Cambria"/>
        </w:rPr>
        <w:t>. Seed</w:t>
      </w:r>
      <w:r w:rsidR="00A72845">
        <w:rPr>
          <w:rFonts w:ascii="Cambria" w:hAnsi="Cambria"/>
        </w:rPr>
        <w:t>s</w:t>
      </w:r>
      <w:r>
        <w:rPr>
          <w:rFonts w:ascii="Cambria" w:hAnsi="Cambria"/>
        </w:rPr>
        <w:t xml:space="preserve"> present a higher probability of spread. Spread of the CGMMV </w:t>
      </w:r>
      <w:r w:rsidR="00BD3270">
        <w:rPr>
          <w:rFonts w:ascii="Cambria" w:hAnsi="Cambria"/>
        </w:rPr>
        <w:t xml:space="preserve">through </w:t>
      </w:r>
      <w:r>
        <w:rPr>
          <w:rFonts w:ascii="Cambria" w:hAnsi="Cambria"/>
        </w:rPr>
        <w:t>movement of infected seed</w:t>
      </w:r>
      <w:r w:rsidR="00A72845">
        <w:rPr>
          <w:rFonts w:ascii="Cambria" w:hAnsi="Cambria"/>
        </w:rPr>
        <w:t>s</w:t>
      </w:r>
      <w:r>
        <w:rPr>
          <w:rFonts w:ascii="Cambria" w:hAnsi="Cambria"/>
        </w:rPr>
        <w:t xml:space="preserve"> will result in </w:t>
      </w:r>
      <w:r w:rsidR="00A72845">
        <w:rPr>
          <w:rFonts w:ascii="Cambria" w:hAnsi="Cambria"/>
        </w:rPr>
        <w:t xml:space="preserve">the </w:t>
      </w:r>
      <w:r>
        <w:rPr>
          <w:rFonts w:ascii="Cambria" w:hAnsi="Cambria"/>
        </w:rPr>
        <w:t>establishment of new foci and further spread may occur through sap transmission or mechanical transmission.</w:t>
      </w:r>
    </w:p>
    <w:p w14:paraId="61B7C68D" w14:textId="04C05962"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hAnsi="Cambria"/>
        </w:rPr>
      </w:pPr>
      <w:r>
        <w:rPr>
          <w:rFonts w:ascii="Cambria" w:hAnsi="Cambria"/>
        </w:rPr>
        <w:t>In the absence of statutory control</w:t>
      </w:r>
      <w:r w:rsidR="008340AB">
        <w:rPr>
          <w:rFonts w:ascii="Cambria" w:hAnsi="Cambria"/>
        </w:rPr>
        <w:t>,</w:t>
      </w:r>
      <w:r>
        <w:rPr>
          <w:rFonts w:ascii="Cambria" w:hAnsi="Cambria"/>
        </w:rPr>
        <w:t xml:space="preserve"> there is a high probability that CGMMV will spread quickly in Australia through the trade of </w:t>
      </w:r>
      <w:r w:rsidR="008340AB">
        <w:rPr>
          <w:rFonts w:ascii="Cambria" w:hAnsi="Cambria"/>
        </w:rPr>
        <w:t xml:space="preserve">host </w:t>
      </w:r>
      <w:r>
        <w:rPr>
          <w:rFonts w:ascii="Cambria" w:hAnsi="Cambria"/>
        </w:rPr>
        <w:t>cucurbit</w:t>
      </w:r>
      <w:r w:rsidR="008340AB">
        <w:rPr>
          <w:rFonts w:ascii="Cambria" w:hAnsi="Cambria"/>
        </w:rPr>
        <w:t xml:space="preserve"> </w:t>
      </w:r>
      <w:r>
        <w:rPr>
          <w:rFonts w:ascii="Cambria" w:hAnsi="Cambria"/>
        </w:rPr>
        <w:t>s</w:t>
      </w:r>
      <w:r w:rsidR="008340AB">
        <w:rPr>
          <w:rFonts w:ascii="Cambria" w:hAnsi="Cambria"/>
        </w:rPr>
        <w:t>eeds</w:t>
      </w:r>
      <w:r>
        <w:rPr>
          <w:rFonts w:ascii="Cambria" w:hAnsi="Cambria"/>
        </w:rPr>
        <w:t xml:space="preserve"> for planting. Planting of infected seed</w:t>
      </w:r>
      <w:r w:rsidR="008340AB">
        <w:rPr>
          <w:rFonts w:ascii="Cambria" w:hAnsi="Cambria"/>
        </w:rPr>
        <w:t>s</w:t>
      </w:r>
      <w:r>
        <w:rPr>
          <w:rFonts w:ascii="Cambria" w:hAnsi="Cambria"/>
        </w:rPr>
        <w:t xml:space="preserve"> will bring CGMMV into the environment. Climatic conditions, such as those found in </w:t>
      </w:r>
      <w:r w:rsidR="008340AB">
        <w:rPr>
          <w:rFonts w:ascii="Cambria" w:hAnsi="Cambria"/>
        </w:rPr>
        <w:t xml:space="preserve">the field and in </w:t>
      </w:r>
      <w:r>
        <w:rPr>
          <w:rFonts w:ascii="Cambria" w:hAnsi="Cambria"/>
        </w:rPr>
        <w:t xml:space="preserve">propagation houses, </w:t>
      </w:r>
      <w:r w:rsidR="008340AB">
        <w:rPr>
          <w:rFonts w:ascii="Cambria" w:hAnsi="Cambria"/>
        </w:rPr>
        <w:t xml:space="preserve">are likely to </w:t>
      </w:r>
      <w:r>
        <w:rPr>
          <w:rFonts w:ascii="Cambria" w:hAnsi="Cambria"/>
        </w:rPr>
        <w:t>be sufficient for its survival and spread.</w:t>
      </w:r>
    </w:p>
    <w:p w14:paraId="62490B9A" w14:textId="77777777" w:rsidR="008163B6" w:rsidRDefault="00F709BD">
      <w:pPr>
        <w:pStyle w:val="Heading5"/>
        <w:spacing w:before="120" w:after="120"/>
      </w:pPr>
      <w:r>
        <w:t>Potential natural enemies</w:t>
      </w:r>
    </w:p>
    <w:p w14:paraId="274F00DE" w14:textId="6C40FAB7" w:rsidR="008163B6" w:rsidRDefault="00F709BD" w:rsidP="009B2C61">
      <w:pPr>
        <w:pStyle w:val="AQISNum"/>
        <w:numPr>
          <w:ilvl w:val="0"/>
          <w:numId w:val="33"/>
        </w:numPr>
        <w:tabs>
          <w:tab w:val="clear" w:pos="360"/>
          <w:tab w:val="num" w:pos="284"/>
        </w:tabs>
        <w:spacing w:before="120" w:after="120" w:line="276" w:lineRule="auto"/>
        <w:ind w:left="284" w:hanging="284"/>
        <w:contextualSpacing/>
        <w:rPr>
          <w:rFonts w:ascii="Cambria" w:eastAsia="Calibri" w:hAnsi="Cambria" w:cs="Times New Roman"/>
        </w:rPr>
      </w:pPr>
      <w:r>
        <w:rPr>
          <w:rFonts w:ascii="Cambria" w:eastAsia="Calibri" w:hAnsi="Cambria"/>
          <w:szCs w:val="22"/>
        </w:rPr>
        <w:t xml:space="preserve">CGMMV </w:t>
      </w:r>
      <w:r w:rsidR="00927646">
        <w:rPr>
          <w:rFonts w:ascii="Cambria" w:eastAsia="Calibri" w:hAnsi="Cambria"/>
          <w:szCs w:val="22"/>
        </w:rPr>
        <w:t>is</w:t>
      </w:r>
      <w:r>
        <w:rPr>
          <w:rFonts w:ascii="Cambria" w:eastAsia="Calibri" w:hAnsi="Cambria"/>
          <w:szCs w:val="22"/>
        </w:rPr>
        <w:t xml:space="preserve"> not known to have any natural enemies that could hamper </w:t>
      </w:r>
      <w:r w:rsidR="00927646">
        <w:rPr>
          <w:rFonts w:ascii="Cambria" w:eastAsia="Calibri" w:hAnsi="Cambria"/>
          <w:szCs w:val="22"/>
        </w:rPr>
        <w:t xml:space="preserve">its </w:t>
      </w:r>
      <w:r>
        <w:rPr>
          <w:rFonts w:ascii="Cambria" w:eastAsia="Calibri" w:hAnsi="Cambria"/>
          <w:szCs w:val="22"/>
        </w:rPr>
        <w:t>spread.</w:t>
      </w:r>
    </w:p>
    <w:p w14:paraId="1CE10A09" w14:textId="77777777" w:rsidR="008163B6" w:rsidRPr="00BC2587" w:rsidRDefault="00F709BD" w:rsidP="00BC2587">
      <w:pPr>
        <w:pStyle w:val="Heading3"/>
        <w:keepLines/>
        <w:numPr>
          <w:ilvl w:val="2"/>
          <w:numId w:val="21"/>
        </w:numPr>
        <w:tabs>
          <w:tab w:val="clear" w:pos="720"/>
        </w:tabs>
        <w:spacing w:after="200"/>
        <w:ind w:left="357" w:hanging="357"/>
        <w:rPr>
          <w:rFonts w:ascii="Calibri" w:hAnsi="Calibri" w:cstheme="minorBidi"/>
          <w:sz w:val="24"/>
          <w:szCs w:val="22"/>
        </w:rPr>
      </w:pPr>
      <w:bookmarkStart w:id="252" w:name="_Toc447540802"/>
      <w:r>
        <w:rPr>
          <w:rFonts w:ascii="Calibri" w:hAnsi="Calibri" w:cstheme="minorBidi"/>
          <w:sz w:val="24"/>
          <w:szCs w:val="22"/>
        </w:rPr>
        <w:t>Overall likelihood of entry, establishment and spread</w:t>
      </w:r>
      <w:bookmarkEnd w:id="252"/>
    </w:p>
    <w:p w14:paraId="004AB664" w14:textId="77777777" w:rsidR="008163B6" w:rsidRDefault="00F709BD" w:rsidP="009B2C61">
      <w:pPr>
        <w:spacing w:before="120" w:after="120" w:line="276" w:lineRule="auto"/>
        <w:contextualSpacing/>
        <w:rPr>
          <w:rFonts w:ascii="Cambria" w:hAnsi="Cambria"/>
        </w:rPr>
      </w:pPr>
      <w:r>
        <w:rPr>
          <w:rFonts w:ascii="Cambria" w:hAnsi="Cambria"/>
        </w:rPr>
        <w:t>The overall likelihood of entry, establishment and spread is determined by combining the likelihoods of entry, establishment and spread using the matrix of ‘rules’ for combining qualitative likelihoods shown in Table 2.</w:t>
      </w:r>
    </w:p>
    <w:p w14:paraId="4D43D9DE" w14:textId="5B6E9746" w:rsidR="008163B6" w:rsidRDefault="00F709BD" w:rsidP="009B2C61">
      <w:pPr>
        <w:pStyle w:val="ListBullet"/>
        <w:tabs>
          <w:tab w:val="clear" w:pos="360"/>
          <w:tab w:val="num" w:pos="284"/>
        </w:tabs>
        <w:spacing w:line="276" w:lineRule="auto"/>
        <w:ind w:left="284" w:hanging="284"/>
        <w:contextualSpacing/>
        <w:rPr>
          <w:rFonts w:ascii="Cambria" w:hAnsi="Cambria"/>
          <w:b/>
        </w:rPr>
      </w:pPr>
      <w:r>
        <w:rPr>
          <w:rFonts w:ascii="Cambria" w:hAnsi="Cambria"/>
          <w:color w:val="000000"/>
        </w:rPr>
        <w:t xml:space="preserve">The likelihood that CGMMV will enter Australia </w:t>
      </w:r>
      <w:r>
        <w:rPr>
          <w:rFonts w:ascii="Cambria" w:hAnsi="Cambria"/>
        </w:rPr>
        <w:t xml:space="preserve">on </w:t>
      </w:r>
      <w:r w:rsidR="00CF373F">
        <w:rPr>
          <w:rFonts w:ascii="Cambria" w:hAnsi="Cambria"/>
        </w:rPr>
        <w:t xml:space="preserve">host </w:t>
      </w:r>
      <w:r>
        <w:rPr>
          <w:rFonts w:ascii="Cambria" w:hAnsi="Cambria"/>
        </w:rPr>
        <w:t>cucurbit seeds, be distributed in a viable state to susceptible hosts, establish in that area and subsequently spread within Australia</w:t>
      </w:r>
      <w:r>
        <w:rPr>
          <w:rFonts w:ascii="Cambria" w:hAnsi="Cambria"/>
          <w:color w:val="000000"/>
        </w:rPr>
        <w:t xml:space="preserve"> is </w:t>
      </w:r>
      <w:r w:rsidRPr="003755CB">
        <w:rPr>
          <w:rFonts w:ascii="Cambria" w:hAnsi="Cambria"/>
          <w:b/>
          <w:color w:val="000000"/>
        </w:rPr>
        <w:t>LOW</w:t>
      </w:r>
      <w:r w:rsidRPr="003755CB">
        <w:rPr>
          <w:rFonts w:ascii="Cambria" w:hAnsi="Cambria"/>
          <w:color w:val="000000"/>
        </w:rPr>
        <w:t>.</w:t>
      </w:r>
    </w:p>
    <w:p w14:paraId="3F09F4B0" w14:textId="77777777" w:rsidR="008163B6" w:rsidRDefault="00F709BD">
      <w:pPr>
        <w:pStyle w:val="Heading3"/>
        <w:keepLines/>
        <w:numPr>
          <w:ilvl w:val="2"/>
          <w:numId w:val="21"/>
        </w:numPr>
        <w:tabs>
          <w:tab w:val="clear" w:pos="720"/>
        </w:tabs>
        <w:spacing w:after="200"/>
        <w:ind w:left="357" w:hanging="357"/>
        <w:rPr>
          <w:rFonts w:ascii="Calibri" w:hAnsi="Calibri" w:cstheme="minorBidi"/>
          <w:sz w:val="24"/>
          <w:szCs w:val="22"/>
        </w:rPr>
      </w:pPr>
      <w:bookmarkStart w:id="253" w:name="_Toc447540803"/>
      <w:r>
        <w:rPr>
          <w:rFonts w:ascii="Calibri" w:hAnsi="Calibri" w:cstheme="minorBidi"/>
          <w:sz w:val="24"/>
          <w:szCs w:val="22"/>
        </w:rPr>
        <w:t>Consequences</w:t>
      </w:r>
      <w:bookmarkEnd w:id="253"/>
    </w:p>
    <w:p w14:paraId="7BFCE065" w14:textId="77777777" w:rsidR="008163B6" w:rsidRDefault="00F709BD" w:rsidP="009B2C61">
      <w:pPr>
        <w:spacing w:before="120" w:after="120" w:line="276" w:lineRule="auto"/>
        <w:contextualSpacing/>
        <w:rPr>
          <w:rFonts w:ascii="Cambria" w:hAnsi="Cambria"/>
        </w:rPr>
      </w:pPr>
      <w:r>
        <w:rPr>
          <w:rFonts w:ascii="Cambria" w:hAnsi="Cambria"/>
        </w:rPr>
        <w:t>The potential consequences of the introduction and spread of CGMMV in Australia have been estimated according to the methods described in Table 3. In assessing the potential impact of CGMMV in Australia, the economic losses caused by this pathogen overseas were considered.</w:t>
      </w:r>
    </w:p>
    <w:p w14:paraId="2F398871" w14:textId="77777777" w:rsidR="008163B6" w:rsidRDefault="00F709BD" w:rsidP="009B2C61">
      <w:pPr>
        <w:spacing w:before="120" w:after="120" w:line="276" w:lineRule="auto"/>
        <w:contextualSpacing/>
        <w:rPr>
          <w:rFonts w:ascii="Cambria" w:hAnsi="Cambria"/>
        </w:rPr>
      </w:pPr>
      <w:r>
        <w:rPr>
          <w:rFonts w:ascii="Cambria" w:hAnsi="Cambria"/>
        </w:rPr>
        <w:t>Reasoning for these ratings is provided below:</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8163B6" w:rsidRPr="00BC2587" w14:paraId="31A44AF8" w14:textId="77777777">
        <w:trPr>
          <w:tblHeader/>
        </w:trPr>
        <w:tc>
          <w:tcPr>
            <w:tcW w:w="953" w:type="pct"/>
          </w:tcPr>
          <w:p w14:paraId="4D34135E" w14:textId="77777777" w:rsidR="008163B6" w:rsidRDefault="00F709BD">
            <w:pPr>
              <w:pStyle w:val="TableHeading"/>
              <w:rPr>
                <w:rFonts w:ascii="Cambria" w:hAnsi="Cambria"/>
              </w:rPr>
            </w:pPr>
            <w:r>
              <w:rPr>
                <w:rFonts w:ascii="Cambria" w:hAnsi="Cambria"/>
              </w:rPr>
              <w:t>Criterion</w:t>
            </w:r>
          </w:p>
        </w:tc>
        <w:tc>
          <w:tcPr>
            <w:tcW w:w="4047" w:type="pct"/>
          </w:tcPr>
          <w:p w14:paraId="61D7DF74" w14:textId="77777777" w:rsidR="008163B6" w:rsidRDefault="00F709BD">
            <w:pPr>
              <w:pStyle w:val="TableHeading"/>
              <w:rPr>
                <w:rFonts w:ascii="Cambria" w:hAnsi="Cambria"/>
              </w:rPr>
            </w:pPr>
            <w:r>
              <w:rPr>
                <w:rFonts w:ascii="Cambria" w:hAnsi="Cambria"/>
              </w:rPr>
              <w:t>Estimate and rationale</w:t>
            </w:r>
          </w:p>
        </w:tc>
      </w:tr>
      <w:tr w:rsidR="008163B6" w:rsidRPr="00BC2587" w14:paraId="62907D74" w14:textId="77777777">
        <w:tc>
          <w:tcPr>
            <w:tcW w:w="5000" w:type="pct"/>
            <w:gridSpan w:val="2"/>
          </w:tcPr>
          <w:p w14:paraId="06DCE02B" w14:textId="77777777" w:rsidR="008163B6" w:rsidRPr="00A72845" w:rsidRDefault="00F709BD">
            <w:pPr>
              <w:pStyle w:val="TableText"/>
              <w:rPr>
                <w:rFonts w:ascii="Cambria" w:hAnsi="Cambria"/>
                <w:b/>
              </w:rPr>
            </w:pPr>
            <w:r w:rsidRPr="00A72845">
              <w:rPr>
                <w:rFonts w:ascii="Cambria" w:hAnsi="Cambria"/>
                <w:b/>
              </w:rPr>
              <w:t>Direct</w:t>
            </w:r>
          </w:p>
        </w:tc>
      </w:tr>
      <w:tr w:rsidR="008163B6" w:rsidRPr="00BC2587" w14:paraId="3FCCC7EF" w14:textId="77777777">
        <w:tc>
          <w:tcPr>
            <w:tcW w:w="953" w:type="pct"/>
          </w:tcPr>
          <w:p w14:paraId="5C29AEF2" w14:textId="77777777" w:rsidR="008163B6" w:rsidRDefault="00F709BD">
            <w:pPr>
              <w:pStyle w:val="TableText"/>
              <w:rPr>
                <w:rFonts w:ascii="Cambria" w:hAnsi="Cambria" w:cs="Helvetica"/>
                <w:iCs/>
                <w:szCs w:val="18"/>
              </w:rPr>
            </w:pPr>
            <w:r>
              <w:rPr>
                <w:rFonts w:ascii="Cambria" w:hAnsi="Cambria" w:cs="Helvetica"/>
                <w:iCs/>
                <w:szCs w:val="18"/>
              </w:rPr>
              <w:t>Plant life or health</w:t>
            </w:r>
          </w:p>
        </w:tc>
        <w:tc>
          <w:tcPr>
            <w:tcW w:w="4047" w:type="pct"/>
          </w:tcPr>
          <w:p w14:paraId="462951A8" w14:textId="77777777" w:rsidR="008163B6" w:rsidRDefault="00F709BD">
            <w:pPr>
              <w:pStyle w:val="TableText"/>
              <w:rPr>
                <w:rFonts w:ascii="Cambria" w:hAnsi="Cambria"/>
              </w:rPr>
            </w:pPr>
            <w:r>
              <w:rPr>
                <w:rFonts w:ascii="Cambria" w:hAnsi="Cambria"/>
              </w:rPr>
              <w:t>E – Significant at the regional level</w:t>
            </w:r>
          </w:p>
          <w:p w14:paraId="6135F8F8" w14:textId="78275CA9" w:rsidR="005D021D" w:rsidRDefault="00F709BD">
            <w:pPr>
              <w:pStyle w:val="TableText"/>
              <w:rPr>
                <w:rFonts w:ascii="Cambria" w:hAnsi="Cambria"/>
                <w:szCs w:val="24"/>
              </w:rPr>
            </w:pPr>
            <w:r>
              <w:rPr>
                <w:rFonts w:ascii="Cambria" w:hAnsi="Cambria" w:cs="Helvetica"/>
                <w:i/>
                <w:iCs/>
                <w:szCs w:val="18"/>
              </w:rPr>
              <w:t>Cucumber green mottle mosaic virus</w:t>
            </w:r>
            <w:r>
              <w:rPr>
                <w:rFonts w:ascii="Cambria" w:hAnsi="Cambria" w:cs="Helvetica"/>
                <w:szCs w:val="18"/>
              </w:rPr>
              <w:t xml:space="preserve"> </w:t>
            </w:r>
            <w:r>
              <w:rPr>
                <w:rFonts w:ascii="Cambria" w:hAnsi="Cambria" w:cs="Helvetica"/>
                <w:iCs/>
                <w:szCs w:val="18"/>
              </w:rPr>
              <w:t xml:space="preserve">(CGMMV) has a significant effect on the health, life and yield of </w:t>
            </w:r>
            <w:r>
              <w:rPr>
                <w:rFonts w:ascii="Cambria" w:hAnsi="Cambria" w:cs="Helvetica"/>
                <w:szCs w:val="18"/>
              </w:rPr>
              <w:t xml:space="preserve">economically important cucurbit species, such as watermelon, melon, cucumber, zucchini and pumpkin (Vani &amp; Varma 1993; Liu et al. 2014; </w:t>
            </w:r>
            <w:proofErr w:type="spellStart"/>
            <w:r>
              <w:rPr>
                <w:rFonts w:ascii="Cambria" w:hAnsi="Cambria" w:cs="Helvetica"/>
                <w:szCs w:val="18"/>
              </w:rPr>
              <w:t>Reingold</w:t>
            </w:r>
            <w:proofErr w:type="spellEnd"/>
            <w:r>
              <w:rPr>
                <w:rFonts w:ascii="Cambria" w:hAnsi="Cambria" w:cs="Helvetica"/>
                <w:szCs w:val="18"/>
              </w:rPr>
              <w:t xml:space="preserve"> et al. 2015). </w:t>
            </w:r>
            <w:r>
              <w:rPr>
                <w:rFonts w:ascii="Cambria" w:hAnsi="Cambria"/>
              </w:rPr>
              <w:t>A variety of CGMMV symptoms are described in the literature, including light-yellow to green leaf spots, vein clearing</w:t>
            </w:r>
            <w:r w:rsidR="00BD3270">
              <w:rPr>
                <w:rFonts w:ascii="Cambria" w:hAnsi="Cambria"/>
              </w:rPr>
              <w:t xml:space="preserve">, </w:t>
            </w:r>
            <w:r>
              <w:rPr>
                <w:rFonts w:ascii="Cambria" w:hAnsi="Cambria"/>
              </w:rPr>
              <w:t>deformation of young leaves</w:t>
            </w:r>
            <w:r w:rsidR="00BD3270">
              <w:rPr>
                <w:rFonts w:ascii="Cambria" w:hAnsi="Cambria"/>
              </w:rPr>
              <w:t xml:space="preserve">, </w:t>
            </w:r>
            <w:r>
              <w:rPr>
                <w:rFonts w:ascii="Cambria" w:hAnsi="Cambria"/>
              </w:rPr>
              <w:t>leaf-bleaching, chlorotic mottling, stunted growth</w:t>
            </w:r>
            <w:r w:rsidR="00AF00A2">
              <w:rPr>
                <w:rFonts w:ascii="Cambria" w:hAnsi="Cambria"/>
              </w:rPr>
              <w:t>,</w:t>
            </w:r>
            <w:r>
              <w:rPr>
                <w:rFonts w:ascii="Cambria" w:hAnsi="Cambria"/>
              </w:rPr>
              <w:t xml:space="preserve"> necrosis</w:t>
            </w:r>
            <w:r w:rsidR="00BD3270">
              <w:rPr>
                <w:rFonts w:ascii="Cambria" w:hAnsi="Cambria"/>
              </w:rPr>
              <w:t xml:space="preserve">, </w:t>
            </w:r>
            <w:r w:rsidR="00920260">
              <w:rPr>
                <w:rFonts w:ascii="Cambria" w:hAnsi="Cambria"/>
              </w:rPr>
              <w:t xml:space="preserve">fruit mottling and </w:t>
            </w:r>
            <w:r w:rsidR="00BD3270">
              <w:rPr>
                <w:rFonts w:ascii="Cambria" w:hAnsi="Cambria"/>
              </w:rPr>
              <w:t xml:space="preserve">fruit </w:t>
            </w:r>
            <w:r w:rsidR="00920260">
              <w:rPr>
                <w:rFonts w:ascii="Cambria" w:hAnsi="Cambria"/>
              </w:rPr>
              <w:t xml:space="preserve">distortion </w:t>
            </w:r>
            <w:r>
              <w:rPr>
                <w:rFonts w:ascii="Cambria" w:hAnsi="Cambria"/>
              </w:rPr>
              <w:t xml:space="preserve">(Hollings et al. 1975; </w:t>
            </w:r>
            <w:proofErr w:type="spellStart"/>
            <w:r>
              <w:rPr>
                <w:rFonts w:ascii="Cambria" w:hAnsi="Cambria"/>
              </w:rPr>
              <w:t>Boubourakas</w:t>
            </w:r>
            <w:proofErr w:type="spellEnd"/>
            <w:r>
              <w:rPr>
                <w:rFonts w:ascii="Cambria" w:hAnsi="Cambria"/>
              </w:rPr>
              <w:t xml:space="preserve"> et al. 2004; ASTA 2014; Ling et al. 2014; AMA 2015</w:t>
            </w:r>
            <w:r w:rsidR="00920260">
              <w:rPr>
                <w:rFonts w:ascii="Cambria" w:hAnsi="Cambria"/>
              </w:rPr>
              <w:t xml:space="preserve">; </w:t>
            </w:r>
            <w:proofErr w:type="spellStart"/>
            <w:r w:rsidR="00920260">
              <w:rPr>
                <w:rFonts w:ascii="Cambria" w:hAnsi="Cambria"/>
              </w:rPr>
              <w:t>Reingold</w:t>
            </w:r>
            <w:proofErr w:type="spellEnd"/>
            <w:r w:rsidR="00920260">
              <w:rPr>
                <w:rFonts w:ascii="Cambria" w:hAnsi="Cambria"/>
              </w:rPr>
              <w:t xml:space="preserve"> et al. 2015</w:t>
            </w:r>
            <w:r>
              <w:rPr>
                <w:rFonts w:ascii="Cambria" w:hAnsi="Cambria"/>
              </w:rPr>
              <w:t>).</w:t>
            </w:r>
            <w:r w:rsidR="005D021D">
              <w:rPr>
                <w:rFonts w:ascii="Cambria" w:hAnsi="Cambria"/>
              </w:rPr>
              <w:t xml:space="preserve"> </w:t>
            </w:r>
            <w:r w:rsidR="005D021D">
              <w:rPr>
                <w:rFonts w:ascii="Cambria" w:hAnsi="Cambria" w:cs="Arial"/>
                <w:szCs w:val="28"/>
              </w:rPr>
              <w:t xml:space="preserve">CGMMV </w:t>
            </w:r>
            <w:r w:rsidR="005D021D">
              <w:rPr>
                <w:rFonts w:ascii="Cambria" w:hAnsi="Cambria"/>
                <w:szCs w:val="24"/>
              </w:rPr>
              <w:t xml:space="preserve">is generally reported to cause yield losses of 15 percent in cucurbit crops </w:t>
            </w:r>
            <w:r w:rsidR="005D021D" w:rsidRPr="00473C1A">
              <w:rPr>
                <w:rFonts w:ascii="Cambria" w:hAnsi="Cambria"/>
                <w:szCs w:val="24"/>
              </w:rPr>
              <w:t xml:space="preserve">(Shang </w:t>
            </w:r>
            <w:r w:rsidR="005D021D" w:rsidRPr="00C14C3B">
              <w:rPr>
                <w:rFonts w:ascii="Cambria" w:hAnsi="Cambria"/>
                <w:szCs w:val="24"/>
              </w:rPr>
              <w:t>et al</w:t>
            </w:r>
            <w:r w:rsidR="005D021D" w:rsidRPr="00473C1A">
              <w:rPr>
                <w:rFonts w:ascii="Cambria" w:hAnsi="Cambria"/>
                <w:szCs w:val="24"/>
              </w:rPr>
              <w:t xml:space="preserve">. 2011); however, </w:t>
            </w:r>
            <w:r w:rsidR="00920260">
              <w:rPr>
                <w:rFonts w:ascii="Cambria" w:hAnsi="Cambria"/>
                <w:szCs w:val="24"/>
              </w:rPr>
              <w:t xml:space="preserve">significantly higher yield losses are reported in some crops </w:t>
            </w:r>
            <w:r w:rsidR="005D021D" w:rsidRPr="00473C1A">
              <w:rPr>
                <w:rFonts w:ascii="Cambria" w:hAnsi="Cambria"/>
                <w:szCs w:val="24"/>
              </w:rPr>
              <w:t xml:space="preserve">(Zhou </w:t>
            </w:r>
            <w:r w:rsidR="005D021D" w:rsidRPr="00C14C3B">
              <w:rPr>
                <w:rFonts w:ascii="Cambria" w:hAnsi="Cambria"/>
                <w:szCs w:val="24"/>
              </w:rPr>
              <w:t>et al</w:t>
            </w:r>
            <w:r w:rsidR="005D021D" w:rsidRPr="00473C1A">
              <w:rPr>
                <w:rFonts w:ascii="Cambria" w:hAnsi="Cambria"/>
                <w:szCs w:val="24"/>
              </w:rPr>
              <w:t>. 2008).</w:t>
            </w:r>
            <w:r w:rsidR="005D021D">
              <w:rPr>
                <w:rFonts w:ascii="Cambria" w:hAnsi="Cambria"/>
                <w:szCs w:val="24"/>
              </w:rPr>
              <w:t xml:space="preserve"> </w:t>
            </w:r>
          </w:p>
          <w:p w14:paraId="0582DDAE" w14:textId="5508467E" w:rsidR="00920260" w:rsidRDefault="00F709BD" w:rsidP="00473C1A">
            <w:pPr>
              <w:pStyle w:val="TableBullet"/>
              <w:ind w:left="284" w:hanging="284"/>
              <w:rPr>
                <w:rFonts w:ascii="Cambria" w:hAnsi="Cambria" w:cs="Helvetica"/>
                <w:szCs w:val="18"/>
              </w:rPr>
            </w:pPr>
            <w:r>
              <w:rPr>
                <w:rFonts w:ascii="Cambria" w:hAnsi="Cambria" w:cs="Helvetica"/>
                <w:szCs w:val="18"/>
              </w:rPr>
              <w:t xml:space="preserve">In cucumber, CGMMV infection </w:t>
            </w:r>
            <w:r w:rsidR="00920260">
              <w:rPr>
                <w:rFonts w:ascii="Cambria" w:hAnsi="Cambria" w:cs="Helvetica"/>
                <w:szCs w:val="18"/>
              </w:rPr>
              <w:t xml:space="preserve">is reported to cause 15 percent </w:t>
            </w:r>
            <w:r>
              <w:rPr>
                <w:rFonts w:ascii="Cambria" w:hAnsi="Cambria" w:cs="Helvetica"/>
                <w:szCs w:val="18"/>
              </w:rPr>
              <w:t>yield reduction</w:t>
            </w:r>
            <w:r w:rsidR="00920260">
              <w:rPr>
                <w:rFonts w:ascii="Cambria" w:hAnsi="Cambria" w:cs="Helvetica"/>
                <w:szCs w:val="18"/>
              </w:rPr>
              <w:t xml:space="preserve"> (</w:t>
            </w:r>
            <w:proofErr w:type="spellStart"/>
            <w:r w:rsidR="00920260">
              <w:rPr>
                <w:rFonts w:ascii="Cambria" w:hAnsi="Cambria" w:cs="Helvetica"/>
                <w:szCs w:val="18"/>
              </w:rPr>
              <w:t>Reingold</w:t>
            </w:r>
            <w:proofErr w:type="spellEnd"/>
            <w:r w:rsidR="00920260">
              <w:rPr>
                <w:rFonts w:ascii="Cambria" w:hAnsi="Cambria" w:cs="Helvetica"/>
                <w:szCs w:val="18"/>
              </w:rPr>
              <w:t xml:space="preserve"> et al. 2015)</w:t>
            </w:r>
            <w:r>
              <w:rPr>
                <w:rFonts w:ascii="Cambria" w:hAnsi="Cambria" w:cs="Helvetica"/>
                <w:szCs w:val="18"/>
              </w:rPr>
              <w:t xml:space="preserve">. </w:t>
            </w:r>
            <w:r w:rsidR="00920260">
              <w:rPr>
                <w:rFonts w:ascii="Cambria" w:hAnsi="Cambria" w:cs="Helvetica"/>
                <w:szCs w:val="18"/>
              </w:rPr>
              <w:t xml:space="preserve">Nilsson (1977) reported a higher crop loss of up to 33 percent of first grade cucumber fruits. </w:t>
            </w:r>
            <w:r>
              <w:rPr>
                <w:rFonts w:ascii="Cambria" w:hAnsi="Cambria" w:cs="Helvetica"/>
                <w:szCs w:val="18"/>
              </w:rPr>
              <w:t xml:space="preserve">Fruit quality </w:t>
            </w:r>
            <w:r w:rsidR="00920260">
              <w:rPr>
                <w:rFonts w:ascii="Cambria" w:hAnsi="Cambria" w:cs="Helvetica"/>
                <w:szCs w:val="18"/>
              </w:rPr>
              <w:t>can</w:t>
            </w:r>
            <w:r>
              <w:rPr>
                <w:rFonts w:ascii="Cambria" w:hAnsi="Cambria" w:cs="Helvetica"/>
                <w:szCs w:val="18"/>
              </w:rPr>
              <w:t xml:space="preserve"> also </w:t>
            </w:r>
            <w:r w:rsidR="00920260">
              <w:rPr>
                <w:rFonts w:ascii="Cambria" w:hAnsi="Cambria" w:cs="Helvetica"/>
                <w:szCs w:val="18"/>
              </w:rPr>
              <w:t xml:space="preserve">be </w:t>
            </w:r>
            <w:r>
              <w:rPr>
                <w:rFonts w:ascii="Cambria" w:hAnsi="Cambria" w:cs="Helvetica"/>
                <w:szCs w:val="18"/>
              </w:rPr>
              <w:t xml:space="preserve">severely affected and the associated financial loss </w:t>
            </w:r>
            <w:r w:rsidR="00920260">
              <w:rPr>
                <w:rFonts w:ascii="Cambria" w:hAnsi="Cambria" w:cs="Helvetica"/>
                <w:szCs w:val="18"/>
              </w:rPr>
              <w:t>h</w:t>
            </w:r>
            <w:r>
              <w:rPr>
                <w:rFonts w:ascii="Cambria" w:hAnsi="Cambria" w:cs="Helvetica"/>
                <w:szCs w:val="18"/>
              </w:rPr>
              <w:t xml:space="preserve">as </w:t>
            </w:r>
            <w:r w:rsidR="00920260">
              <w:rPr>
                <w:rFonts w:ascii="Cambria" w:hAnsi="Cambria" w:cs="Helvetica"/>
                <w:szCs w:val="18"/>
              </w:rPr>
              <w:t xml:space="preserve">been </w:t>
            </w:r>
            <w:r>
              <w:rPr>
                <w:rFonts w:ascii="Cambria" w:hAnsi="Cambria" w:cs="Helvetica"/>
                <w:szCs w:val="18"/>
              </w:rPr>
              <w:t>calculated to be in the range of 2</w:t>
            </w:r>
            <w:r w:rsidR="00BC1538">
              <w:rPr>
                <w:rFonts w:ascii="Cambria" w:hAnsi="Cambria" w:cs="Helvetica"/>
                <w:szCs w:val="18"/>
              </w:rPr>
              <w:t xml:space="preserve"> to </w:t>
            </w:r>
            <w:r>
              <w:rPr>
                <w:rFonts w:ascii="Cambria" w:hAnsi="Cambria" w:cs="Helvetica"/>
                <w:szCs w:val="18"/>
              </w:rPr>
              <w:t xml:space="preserve">24 percent (Nilsson 1977; </w:t>
            </w:r>
            <w:proofErr w:type="spellStart"/>
            <w:r>
              <w:rPr>
                <w:rFonts w:ascii="Cambria" w:hAnsi="Cambria" w:cs="Helvetica"/>
                <w:szCs w:val="18"/>
              </w:rPr>
              <w:t>Reingold</w:t>
            </w:r>
            <w:proofErr w:type="spellEnd"/>
            <w:r>
              <w:rPr>
                <w:rFonts w:ascii="Cambria" w:hAnsi="Cambria" w:cs="Helvetica"/>
                <w:szCs w:val="18"/>
              </w:rPr>
              <w:t xml:space="preserve"> et al. 2015). </w:t>
            </w:r>
          </w:p>
          <w:p w14:paraId="3624E0B1" w14:textId="3C63905C" w:rsidR="008163B6" w:rsidRDefault="00920260" w:rsidP="00473C1A">
            <w:pPr>
              <w:pStyle w:val="TableBullet"/>
              <w:ind w:left="284" w:hanging="284"/>
              <w:rPr>
                <w:rFonts w:ascii="Cambria" w:hAnsi="Cambria" w:cs="Helvetica"/>
                <w:szCs w:val="18"/>
              </w:rPr>
            </w:pPr>
            <w:r>
              <w:rPr>
                <w:rFonts w:ascii="Cambria" w:hAnsi="Cambria" w:cs="Helvetica"/>
                <w:szCs w:val="18"/>
              </w:rPr>
              <w:t xml:space="preserve">Watermelon yield losses of up to 48 percent have been reported </w:t>
            </w:r>
            <w:r w:rsidRPr="00E40215">
              <w:rPr>
                <w:rFonts w:ascii="Cambria" w:hAnsi="Cambria"/>
                <w:szCs w:val="24"/>
              </w:rPr>
              <w:t>(Zhou et al. 2008)</w:t>
            </w:r>
            <w:r>
              <w:rPr>
                <w:rFonts w:ascii="Cambria" w:hAnsi="Cambria" w:cs="Helvetica"/>
                <w:szCs w:val="18"/>
              </w:rPr>
              <w:t xml:space="preserve">. </w:t>
            </w:r>
            <w:r w:rsidRPr="00E40215">
              <w:rPr>
                <w:rFonts w:ascii="Cambria" w:hAnsi="Cambria" w:cs="Helvetica"/>
                <w:szCs w:val="18"/>
              </w:rPr>
              <w:t xml:space="preserve">Watermelon fruit symptoms can occur simultaneously with necrotic spots on the peduncle, but </w:t>
            </w:r>
            <w:r>
              <w:rPr>
                <w:rFonts w:ascii="Cambria" w:hAnsi="Cambria" w:cs="Helvetica"/>
                <w:szCs w:val="18"/>
              </w:rPr>
              <w:t>obvious</w:t>
            </w:r>
            <w:r w:rsidRPr="00E40215">
              <w:rPr>
                <w:rFonts w:ascii="Cambria" w:hAnsi="Cambria" w:cs="Helvetica"/>
                <w:szCs w:val="18"/>
              </w:rPr>
              <w:t xml:space="preserve"> symptoms are </w:t>
            </w:r>
            <w:r>
              <w:rPr>
                <w:rFonts w:ascii="Cambria" w:hAnsi="Cambria" w:cs="Helvetica"/>
                <w:szCs w:val="18"/>
              </w:rPr>
              <w:t xml:space="preserve">often </w:t>
            </w:r>
            <w:r w:rsidRPr="00E40215">
              <w:rPr>
                <w:rFonts w:ascii="Cambria" w:hAnsi="Cambria" w:cs="Helvetica"/>
                <w:szCs w:val="18"/>
              </w:rPr>
              <w:t>only revealed after harvest (</w:t>
            </w:r>
            <w:proofErr w:type="spellStart"/>
            <w:r w:rsidRPr="00E40215">
              <w:rPr>
                <w:rFonts w:ascii="Cambria" w:hAnsi="Cambria" w:cs="Helvetica"/>
                <w:szCs w:val="18"/>
              </w:rPr>
              <w:t>Reingold</w:t>
            </w:r>
            <w:proofErr w:type="spellEnd"/>
            <w:r w:rsidRPr="00E40215">
              <w:rPr>
                <w:rFonts w:ascii="Cambria" w:hAnsi="Cambria" w:cs="Helvetica"/>
                <w:szCs w:val="18"/>
              </w:rPr>
              <w:t xml:space="preserve"> et al. 2013). Symptoms on watermelon fruit include </w:t>
            </w:r>
            <w:proofErr w:type="spellStart"/>
            <w:r w:rsidRPr="00E40215">
              <w:rPr>
                <w:rFonts w:ascii="Cambria" w:hAnsi="Cambria" w:cs="Helvetica"/>
                <w:szCs w:val="18"/>
              </w:rPr>
              <w:t>exocarp</w:t>
            </w:r>
            <w:proofErr w:type="spellEnd"/>
            <w:r w:rsidRPr="00E40215">
              <w:rPr>
                <w:rFonts w:ascii="Cambria" w:hAnsi="Cambria" w:cs="Helvetica"/>
                <w:szCs w:val="18"/>
              </w:rPr>
              <w:t xml:space="preserve"> deterioration and </w:t>
            </w:r>
            <w:proofErr w:type="spellStart"/>
            <w:r w:rsidRPr="00E40215">
              <w:rPr>
                <w:rFonts w:ascii="Cambria" w:hAnsi="Cambria" w:cs="Helvetica"/>
                <w:szCs w:val="18"/>
              </w:rPr>
              <w:t>mesocarp</w:t>
            </w:r>
            <w:proofErr w:type="spellEnd"/>
            <w:r w:rsidRPr="00E40215">
              <w:rPr>
                <w:rFonts w:ascii="Cambria" w:hAnsi="Cambria" w:cs="Helvetica"/>
                <w:szCs w:val="18"/>
              </w:rPr>
              <w:t xml:space="preserve"> rotting and yellowing, while the inner pulp can be water soaked and without dietary value (Zhou et al. 2008; </w:t>
            </w:r>
            <w:proofErr w:type="spellStart"/>
            <w:r w:rsidRPr="00E40215">
              <w:rPr>
                <w:rFonts w:ascii="Cambria" w:hAnsi="Cambria" w:cs="Helvetica"/>
                <w:szCs w:val="18"/>
              </w:rPr>
              <w:t>Reingold</w:t>
            </w:r>
            <w:proofErr w:type="spellEnd"/>
            <w:r w:rsidRPr="00E40215">
              <w:rPr>
                <w:rFonts w:ascii="Cambria" w:hAnsi="Cambria" w:cs="Helvetica"/>
                <w:szCs w:val="18"/>
              </w:rPr>
              <w:t xml:space="preserve"> et al. 2013). This renders the fruit unmarketable and can cause severe economic losses to growers (</w:t>
            </w:r>
            <w:proofErr w:type="spellStart"/>
            <w:r w:rsidRPr="00E40215">
              <w:rPr>
                <w:rFonts w:ascii="Cambria" w:hAnsi="Cambria" w:cs="Helvetica"/>
                <w:szCs w:val="18"/>
              </w:rPr>
              <w:t>Reingold</w:t>
            </w:r>
            <w:proofErr w:type="spellEnd"/>
            <w:r w:rsidRPr="00E40215">
              <w:rPr>
                <w:rFonts w:ascii="Cambria" w:hAnsi="Cambria" w:cs="Helvetica"/>
                <w:szCs w:val="18"/>
              </w:rPr>
              <w:t xml:space="preserve"> et al. 2013).  </w:t>
            </w:r>
          </w:p>
        </w:tc>
      </w:tr>
      <w:tr w:rsidR="008163B6" w:rsidRPr="00BC2587" w14:paraId="4613FBB2" w14:textId="77777777">
        <w:tc>
          <w:tcPr>
            <w:tcW w:w="953" w:type="pct"/>
          </w:tcPr>
          <w:p w14:paraId="2E1EE94D" w14:textId="77777777" w:rsidR="008163B6" w:rsidRDefault="00F709BD">
            <w:pPr>
              <w:pStyle w:val="TableText"/>
              <w:rPr>
                <w:rFonts w:ascii="Cambria" w:hAnsi="Cambria"/>
              </w:rPr>
            </w:pPr>
            <w:r>
              <w:rPr>
                <w:rFonts w:ascii="Cambria" w:hAnsi="Cambria"/>
              </w:rPr>
              <w:t>Other aspects of the environment</w:t>
            </w:r>
          </w:p>
        </w:tc>
        <w:tc>
          <w:tcPr>
            <w:tcW w:w="4047" w:type="pct"/>
          </w:tcPr>
          <w:p w14:paraId="72E901C4" w14:textId="77777777" w:rsidR="008163B6" w:rsidRDefault="00F709BD">
            <w:pPr>
              <w:pStyle w:val="TableText"/>
              <w:rPr>
                <w:rFonts w:ascii="Cambria" w:hAnsi="Cambria"/>
              </w:rPr>
            </w:pPr>
            <w:r>
              <w:rPr>
                <w:rFonts w:ascii="Cambria" w:hAnsi="Cambria"/>
              </w:rPr>
              <w:t>B – Minor significance at the local level</w:t>
            </w:r>
          </w:p>
          <w:p w14:paraId="6FF5B163" w14:textId="77777777" w:rsidR="008163B6" w:rsidRDefault="00F709BD">
            <w:pPr>
              <w:pStyle w:val="TableText"/>
              <w:rPr>
                <w:rFonts w:ascii="Cambria" w:hAnsi="Cambria" w:cs="Helvetica"/>
                <w:szCs w:val="18"/>
              </w:rPr>
            </w:pPr>
            <w:r>
              <w:rPr>
                <w:rFonts w:ascii="Cambria" w:hAnsi="Cambria" w:cs="Helvetica"/>
                <w:szCs w:val="18"/>
              </w:rPr>
              <w:t>There may be some impact on insect or vertebrate animal species that feed on host plants due to the reduced availability or vigour of these host plants.</w:t>
            </w:r>
          </w:p>
          <w:p w14:paraId="3FA32677" w14:textId="152AE91F" w:rsidR="008163B6" w:rsidRDefault="00F709BD">
            <w:pPr>
              <w:pStyle w:val="TableBullet"/>
              <w:ind w:left="284" w:hanging="284"/>
              <w:rPr>
                <w:rFonts w:ascii="Cambria" w:eastAsia="Cambria" w:hAnsi="Cambria" w:cs="Times-Roman"/>
                <w:lang w:eastAsia="en-AU"/>
              </w:rPr>
            </w:pPr>
            <w:r>
              <w:rPr>
                <w:rFonts w:ascii="Cambria" w:eastAsia="Cambria" w:hAnsi="Cambria" w:cs="Times-Roman"/>
                <w:lang w:eastAsia="en-AU"/>
              </w:rPr>
              <w:t xml:space="preserve">In general, newly established species may affect the environment in a number of ways. Introduced species may reduce biodiversity, disrupt ecosystem function, jeopardize endangered or threatened plants, degrade critical habitat or stimulate the use of chemicals or biological controls. </w:t>
            </w:r>
          </w:p>
          <w:p w14:paraId="710774AD" w14:textId="2A3E0143" w:rsidR="008163B6" w:rsidRDefault="00F709BD" w:rsidP="003755CB">
            <w:pPr>
              <w:pStyle w:val="TableBullet"/>
              <w:numPr>
                <w:ilvl w:val="1"/>
                <w:numId w:val="37"/>
              </w:numPr>
              <w:ind w:left="601" w:hanging="283"/>
              <w:rPr>
                <w:rFonts w:ascii="Cambria" w:eastAsia="Cambria" w:hAnsi="Cambria" w:cs="Times-Roman"/>
                <w:lang w:eastAsia="en-AU"/>
              </w:rPr>
            </w:pPr>
            <w:r>
              <w:rPr>
                <w:rFonts w:ascii="Cambria" w:eastAsia="Cambria" w:hAnsi="Cambria" w:cs="Times-Roman"/>
              </w:rPr>
              <w:t xml:space="preserve">CGMMV associated with cucurbits is unlikely to affect the environment in these ways, as the virus is </w:t>
            </w:r>
            <w:r w:rsidR="003755CB">
              <w:rPr>
                <w:rFonts w:ascii="Cambria" w:eastAsia="Cambria" w:hAnsi="Cambria" w:cs="Times-Roman"/>
              </w:rPr>
              <w:t xml:space="preserve">mainly </w:t>
            </w:r>
            <w:r>
              <w:rPr>
                <w:rFonts w:ascii="Cambria" w:eastAsia="Cambria" w:hAnsi="Cambria" w:cs="Times-Roman"/>
              </w:rPr>
              <w:t>reported to infect and multiply in cucurbit crops. Some weed species are reported as alternate hosts of the virus. However</w:t>
            </w:r>
            <w:r w:rsidR="003755CB">
              <w:rPr>
                <w:rFonts w:ascii="Cambria" w:eastAsia="Cambria" w:hAnsi="Cambria" w:cs="Times-Roman"/>
              </w:rPr>
              <w:t>,</w:t>
            </w:r>
            <w:r>
              <w:rPr>
                <w:rFonts w:ascii="Cambria" w:eastAsia="Cambria" w:hAnsi="Cambria" w:cs="Times-Roman"/>
              </w:rPr>
              <w:t xml:space="preserve"> the impact of the virus on weed species is not clear.</w:t>
            </w:r>
          </w:p>
        </w:tc>
      </w:tr>
      <w:tr w:rsidR="008163B6" w:rsidRPr="00BC2587" w14:paraId="618165FB" w14:textId="77777777">
        <w:tc>
          <w:tcPr>
            <w:tcW w:w="5000" w:type="pct"/>
            <w:gridSpan w:val="2"/>
          </w:tcPr>
          <w:p w14:paraId="07ABB668" w14:textId="77777777" w:rsidR="008163B6" w:rsidRDefault="00F709BD">
            <w:pPr>
              <w:pStyle w:val="TableHeading"/>
              <w:rPr>
                <w:rFonts w:ascii="Cambria" w:hAnsi="Cambria"/>
              </w:rPr>
            </w:pPr>
            <w:r>
              <w:rPr>
                <w:rFonts w:ascii="Cambria" w:hAnsi="Cambria"/>
              </w:rPr>
              <w:t>Indirect</w:t>
            </w:r>
          </w:p>
        </w:tc>
      </w:tr>
      <w:tr w:rsidR="008163B6" w:rsidRPr="00BC2587" w14:paraId="02ACD855" w14:textId="77777777">
        <w:tc>
          <w:tcPr>
            <w:tcW w:w="953" w:type="pct"/>
          </w:tcPr>
          <w:p w14:paraId="3C3242D9" w14:textId="77777777" w:rsidR="008163B6" w:rsidRDefault="00F709BD">
            <w:pPr>
              <w:pStyle w:val="TableText"/>
              <w:rPr>
                <w:rFonts w:ascii="Cambria" w:hAnsi="Cambria"/>
              </w:rPr>
            </w:pPr>
            <w:r>
              <w:rPr>
                <w:rFonts w:ascii="Cambria" w:hAnsi="Cambria"/>
              </w:rPr>
              <w:t>Eradication, control, etc.</w:t>
            </w:r>
          </w:p>
        </w:tc>
        <w:tc>
          <w:tcPr>
            <w:tcW w:w="4047" w:type="pct"/>
          </w:tcPr>
          <w:p w14:paraId="6F3B518D" w14:textId="77777777" w:rsidR="008163B6" w:rsidRDefault="00F709BD">
            <w:pPr>
              <w:pStyle w:val="TableText"/>
              <w:rPr>
                <w:rFonts w:ascii="Cambria" w:hAnsi="Cambria"/>
              </w:rPr>
            </w:pPr>
            <w:r>
              <w:rPr>
                <w:rFonts w:ascii="Cambria" w:hAnsi="Cambria"/>
              </w:rPr>
              <w:t>F – Major significance at the regional level</w:t>
            </w:r>
          </w:p>
          <w:p w14:paraId="51B47C71" w14:textId="61CDE0F5" w:rsidR="008163B6" w:rsidRDefault="00F709BD">
            <w:pPr>
              <w:pStyle w:val="TableText"/>
              <w:rPr>
                <w:rFonts w:ascii="Cambria" w:hAnsi="Cambria" w:cs="Helvetica"/>
                <w:szCs w:val="18"/>
              </w:rPr>
            </w:pPr>
            <w:r>
              <w:rPr>
                <w:rFonts w:ascii="Cambria" w:hAnsi="Cambria" w:cs="Helvetica"/>
                <w:szCs w:val="18"/>
              </w:rPr>
              <w:t xml:space="preserve">The </w:t>
            </w:r>
            <w:r w:rsidR="005739F1">
              <w:rPr>
                <w:rFonts w:ascii="Cambria" w:hAnsi="Cambria" w:cs="Helvetica"/>
                <w:szCs w:val="18"/>
              </w:rPr>
              <w:t xml:space="preserve">ability of CGMMV to survive for </w:t>
            </w:r>
            <w:r>
              <w:rPr>
                <w:rFonts w:ascii="Cambria" w:eastAsia="Times New Roman" w:hAnsi="Cambria" w:cs="Times New Roman"/>
                <w:bCs/>
                <w:lang w:eastAsia="en-AU"/>
              </w:rPr>
              <w:t>long periods in plant debris and soil without a living host (</w:t>
            </w:r>
            <w:proofErr w:type="spellStart"/>
            <w:r>
              <w:rPr>
                <w:rFonts w:ascii="Cambria" w:eastAsia="Times New Roman" w:hAnsi="Cambria" w:cs="Times New Roman"/>
                <w:bCs/>
                <w:lang w:eastAsia="en-AU"/>
              </w:rPr>
              <w:t>Reingold</w:t>
            </w:r>
            <w:proofErr w:type="spellEnd"/>
            <w:r>
              <w:rPr>
                <w:rFonts w:ascii="Cambria" w:eastAsia="Times New Roman" w:hAnsi="Cambria" w:cs="Times New Roman"/>
                <w:bCs/>
                <w:lang w:eastAsia="en-AU"/>
              </w:rPr>
              <w:t xml:space="preserve"> et al. 2015)</w:t>
            </w:r>
            <w:r w:rsidR="005739F1">
              <w:rPr>
                <w:rFonts w:ascii="Cambria" w:eastAsia="Times New Roman" w:hAnsi="Cambria" w:cs="Times New Roman"/>
                <w:bCs/>
                <w:lang w:eastAsia="en-AU"/>
              </w:rPr>
              <w:t>, combined with</w:t>
            </w:r>
            <w:r w:rsidR="005739F1">
              <w:rPr>
                <w:rFonts w:ascii="Cambria" w:hAnsi="Cambria" w:cs="Helvetica"/>
                <w:szCs w:val="18"/>
              </w:rPr>
              <w:t xml:space="preserve"> its</w:t>
            </w:r>
            <w:r>
              <w:rPr>
                <w:rFonts w:ascii="Cambria" w:hAnsi="Cambria" w:cs="Helvetica"/>
                <w:szCs w:val="18"/>
              </w:rPr>
              <w:t xml:space="preserve"> potential human-mediated spread (trade in propagative material)</w:t>
            </w:r>
            <w:r w:rsidR="008517A8">
              <w:rPr>
                <w:rFonts w:ascii="Cambria" w:hAnsi="Cambria" w:cs="Helvetica"/>
                <w:szCs w:val="18"/>
              </w:rPr>
              <w:t>, are</w:t>
            </w:r>
            <w:r w:rsidR="005739F1">
              <w:rPr>
                <w:rFonts w:ascii="Cambria" w:hAnsi="Cambria" w:cs="Helvetica"/>
                <w:szCs w:val="18"/>
              </w:rPr>
              <w:t xml:space="preserve"> likely to</w:t>
            </w:r>
            <w:r>
              <w:rPr>
                <w:rFonts w:ascii="Cambria" w:hAnsi="Cambria" w:cs="Helvetica"/>
                <w:szCs w:val="18"/>
              </w:rPr>
              <w:t xml:space="preserve"> make this a difficult pathogen to eradicate.</w:t>
            </w:r>
          </w:p>
          <w:p w14:paraId="1416DC63" w14:textId="09C9667C" w:rsidR="008163B6" w:rsidRDefault="00F709BD">
            <w:pPr>
              <w:pStyle w:val="TableBullet"/>
              <w:ind w:left="284" w:hanging="284"/>
              <w:rPr>
                <w:rFonts w:ascii="Cambria" w:hAnsi="Cambria" w:cs="Helvetica"/>
                <w:szCs w:val="18"/>
              </w:rPr>
            </w:pPr>
            <w:r>
              <w:rPr>
                <w:rFonts w:ascii="Cambria" w:hAnsi="Cambria" w:cs="Helvetica"/>
                <w:szCs w:val="18"/>
              </w:rPr>
              <w:t xml:space="preserve">There are no effective </w:t>
            </w:r>
            <w:proofErr w:type="spellStart"/>
            <w:r>
              <w:rPr>
                <w:rFonts w:ascii="Cambria" w:hAnsi="Cambria" w:cs="Helvetica"/>
                <w:szCs w:val="18"/>
              </w:rPr>
              <w:t>agri</w:t>
            </w:r>
            <w:proofErr w:type="spellEnd"/>
            <w:r>
              <w:rPr>
                <w:rFonts w:ascii="Cambria" w:hAnsi="Cambria" w:cs="Helvetica"/>
                <w:szCs w:val="18"/>
              </w:rPr>
              <w:t xml:space="preserve">-chemicals available for the control </w:t>
            </w:r>
            <w:r w:rsidR="00B73BB5">
              <w:rPr>
                <w:rFonts w:ascii="Cambria" w:hAnsi="Cambria" w:cs="Helvetica"/>
                <w:szCs w:val="18"/>
              </w:rPr>
              <w:t xml:space="preserve">of </w:t>
            </w:r>
            <w:r>
              <w:rPr>
                <w:rFonts w:ascii="Cambria" w:hAnsi="Cambria" w:cs="Helvetica"/>
                <w:szCs w:val="18"/>
              </w:rPr>
              <w:t>CGMMV in host crops. O</w:t>
            </w:r>
            <w:r w:rsidR="00AF00A2">
              <w:rPr>
                <w:rFonts w:ascii="Cambria" w:hAnsi="Cambria" w:cs="Helvetica"/>
                <w:szCs w:val="18"/>
              </w:rPr>
              <w:t>nce the virus is established, CGMMV</w:t>
            </w:r>
            <w:r>
              <w:rPr>
                <w:rFonts w:ascii="Cambria" w:hAnsi="Cambria" w:cs="Helvetica"/>
                <w:szCs w:val="18"/>
              </w:rPr>
              <w:t xml:space="preserve"> is difficult to eradicate as </w:t>
            </w:r>
            <w:r w:rsidR="00AF00A2">
              <w:rPr>
                <w:rFonts w:ascii="Cambria" w:hAnsi="Cambria" w:cs="Helvetica"/>
                <w:szCs w:val="18"/>
              </w:rPr>
              <w:t>it</w:t>
            </w:r>
            <w:r>
              <w:rPr>
                <w:rFonts w:ascii="Cambria" w:hAnsi="Cambria" w:cs="Helvetica"/>
                <w:szCs w:val="18"/>
              </w:rPr>
              <w:t xml:space="preserve"> can survive for long periods on plant debris in the soil. It can also survive on alternate hosts</w:t>
            </w:r>
            <w:r w:rsidR="005739F1">
              <w:rPr>
                <w:rFonts w:ascii="Cambria" w:hAnsi="Cambria" w:cs="Helvetica"/>
                <w:szCs w:val="18"/>
              </w:rPr>
              <w:t>, including various cucurbit and non-cucurbit weeds</w:t>
            </w:r>
            <w:r>
              <w:rPr>
                <w:rFonts w:ascii="Cambria" w:hAnsi="Cambria" w:cs="Helvetica"/>
                <w:szCs w:val="18"/>
              </w:rPr>
              <w:t>.</w:t>
            </w:r>
          </w:p>
          <w:p w14:paraId="4C117391" w14:textId="5FE200C9" w:rsidR="008163B6" w:rsidRDefault="00F709BD">
            <w:pPr>
              <w:pStyle w:val="TableBullet"/>
              <w:ind w:left="284" w:hanging="284"/>
              <w:rPr>
                <w:rFonts w:ascii="Cambria" w:hAnsi="Cambria" w:cs="Helvetica"/>
                <w:szCs w:val="18"/>
              </w:rPr>
            </w:pPr>
            <w:r>
              <w:rPr>
                <w:rFonts w:ascii="Cambria" w:hAnsi="Cambria" w:cs="Helvetica"/>
                <w:szCs w:val="18"/>
              </w:rPr>
              <w:t xml:space="preserve">Removal and destruction of all infected hosts may help in the management of the disease. However, this </w:t>
            </w:r>
            <w:r w:rsidR="005739F1">
              <w:rPr>
                <w:rFonts w:ascii="Cambria" w:hAnsi="Cambria" w:cs="Helvetica"/>
                <w:szCs w:val="18"/>
              </w:rPr>
              <w:t xml:space="preserve">is likely to </w:t>
            </w:r>
            <w:r>
              <w:rPr>
                <w:rFonts w:ascii="Cambria" w:hAnsi="Cambria" w:cs="Helvetica"/>
                <w:szCs w:val="18"/>
              </w:rPr>
              <w:t>be labour intensive and increase production costs.</w:t>
            </w:r>
            <w:r w:rsidR="005739F1">
              <w:rPr>
                <w:rFonts w:ascii="Cambria" w:hAnsi="Cambria" w:cs="Helvetica"/>
                <w:szCs w:val="18"/>
              </w:rPr>
              <w:t xml:space="preserve"> Furthermore, CGMMV can survive in soil and debris, so removal of the host plants may not eliminate CGMMV from the growing area.</w:t>
            </w:r>
          </w:p>
          <w:p w14:paraId="548B64F4" w14:textId="1C816495" w:rsidR="008163B6" w:rsidRDefault="00F709BD" w:rsidP="005739F1">
            <w:pPr>
              <w:pStyle w:val="TableBullet"/>
              <w:ind w:left="284" w:hanging="284"/>
              <w:rPr>
                <w:rFonts w:ascii="Cambria" w:hAnsi="Cambria" w:cs="Helvetica"/>
                <w:szCs w:val="18"/>
              </w:rPr>
            </w:pPr>
            <w:r>
              <w:rPr>
                <w:rFonts w:ascii="Cambria" w:hAnsi="Cambria" w:cs="Helvetica"/>
                <w:szCs w:val="18"/>
              </w:rPr>
              <w:t>CGMMV can spread through mechanical transmission (</w:t>
            </w:r>
            <w:proofErr w:type="spellStart"/>
            <w:r>
              <w:rPr>
                <w:rFonts w:ascii="Cambria" w:hAnsi="Cambria" w:cs="Helvetica"/>
                <w:szCs w:val="18"/>
              </w:rPr>
              <w:t>Lecoq</w:t>
            </w:r>
            <w:proofErr w:type="spellEnd"/>
            <w:r>
              <w:rPr>
                <w:rFonts w:ascii="Cambria" w:hAnsi="Cambria" w:cs="Helvetica"/>
                <w:szCs w:val="18"/>
              </w:rPr>
              <w:t xml:space="preserve"> &amp; </w:t>
            </w:r>
            <w:proofErr w:type="spellStart"/>
            <w:r>
              <w:rPr>
                <w:rFonts w:ascii="Cambria" w:hAnsi="Cambria" w:cs="Helvetica"/>
                <w:szCs w:val="18"/>
              </w:rPr>
              <w:t>Desbiez</w:t>
            </w:r>
            <w:proofErr w:type="spellEnd"/>
            <w:r>
              <w:rPr>
                <w:rFonts w:ascii="Cambria" w:hAnsi="Cambria" w:cs="Helvetica"/>
                <w:szCs w:val="18"/>
              </w:rPr>
              <w:t xml:space="preserve"> 2012). Therefore</w:t>
            </w:r>
            <w:r w:rsidR="005739F1">
              <w:rPr>
                <w:rFonts w:ascii="Cambria" w:hAnsi="Cambria" w:cs="Helvetica"/>
                <w:szCs w:val="18"/>
              </w:rPr>
              <w:t>,</w:t>
            </w:r>
            <w:r>
              <w:rPr>
                <w:rFonts w:ascii="Cambria" w:hAnsi="Cambria" w:cs="Helvetica"/>
                <w:szCs w:val="18"/>
              </w:rPr>
              <w:t xml:space="preserve"> strict controls for the movement of potentially </w:t>
            </w:r>
            <w:r w:rsidR="005739F1">
              <w:rPr>
                <w:rFonts w:ascii="Cambria" w:hAnsi="Cambria" w:cs="Helvetica"/>
                <w:szCs w:val="18"/>
              </w:rPr>
              <w:t xml:space="preserve">contaminated </w:t>
            </w:r>
            <w:r>
              <w:rPr>
                <w:rFonts w:ascii="Cambria" w:hAnsi="Cambria" w:cs="Helvetica"/>
                <w:szCs w:val="18"/>
              </w:rPr>
              <w:t>equipment and people from affected farms, and increased use of labour and consumables for washing and disinfection</w:t>
            </w:r>
            <w:r w:rsidR="005739F1">
              <w:rPr>
                <w:rFonts w:ascii="Cambria" w:hAnsi="Cambria" w:cs="Helvetica"/>
                <w:szCs w:val="18"/>
              </w:rPr>
              <w:t>, are likely</w:t>
            </w:r>
            <w:r>
              <w:rPr>
                <w:rFonts w:ascii="Cambria" w:hAnsi="Cambria" w:cs="Helvetica"/>
                <w:szCs w:val="18"/>
              </w:rPr>
              <w:t xml:space="preserve"> </w:t>
            </w:r>
            <w:r w:rsidR="005739F1">
              <w:rPr>
                <w:rFonts w:ascii="Cambria" w:hAnsi="Cambria" w:cs="Helvetica"/>
                <w:szCs w:val="18"/>
              </w:rPr>
              <w:t>to</w:t>
            </w:r>
            <w:r>
              <w:rPr>
                <w:rFonts w:ascii="Cambria" w:hAnsi="Cambria" w:cs="Helvetica"/>
                <w:szCs w:val="18"/>
              </w:rPr>
              <w:t xml:space="preserve"> be required to manage the spread of the virus, which would increase production costs.</w:t>
            </w:r>
          </w:p>
        </w:tc>
      </w:tr>
      <w:tr w:rsidR="008163B6" w:rsidRPr="00BC2587" w14:paraId="3605C808" w14:textId="77777777">
        <w:tc>
          <w:tcPr>
            <w:tcW w:w="953" w:type="pct"/>
          </w:tcPr>
          <w:p w14:paraId="3BF3F9BD" w14:textId="77777777" w:rsidR="008163B6" w:rsidRDefault="00F709BD">
            <w:pPr>
              <w:pStyle w:val="TableText"/>
              <w:rPr>
                <w:rFonts w:ascii="Cambria" w:hAnsi="Cambria"/>
              </w:rPr>
            </w:pPr>
            <w:r>
              <w:rPr>
                <w:rFonts w:ascii="Cambria" w:hAnsi="Cambria"/>
              </w:rPr>
              <w:t>Domestic trade</w:t>
            </w:r>
          </w:p>
        </w:tc>
        <w:tc>
          <w:tcPr>
            <w:tcW w:w="4047" w:type="pct"/>
          </w:tcPr>
          <w:p w14:paraId="19C09EBB" w14:textId="77777777" w:rsidR="008163B6" w:rsidRDefault="00F709BD">
            <w:pPr>
              <w:pStyle w:val="TableText"/>
              <w:rPr>
                <w:rFonts w:ascii="Cambria" w:hAnsi="Cambria"/>
              </w:rPr>
            </w:pPr>
            <w:r>
              <w:rPr>
                <w:rFonts w:ascii="Cambria" w:hAnsi="Cambria"/>
              </w:rPr>
              <w:t>D – Significant at the district level</w:t>
            </w:r>
          </w:p>
          <w:p w14:paraId="0D9638F7" w14:textId="323BF198" w:rsidR="008163B6" w:rsidRDefault="00F709BD">
            <w:pPr>
              <w:pStyle w:val="TableBullet"/>
              <w:ind w:left="284" w:hanging="284"/>
              <w:rPr>
                <w:rFonts w:ascii="Cambria" w:hAnsi="Cambria" w:cs="Helvetica"/>
                <w:szCs w:val="18"/>
              </w:rPr>
            </w:pPr>
            <w:r>
              <w:rPr>
                <w:rFonts w:ascii="Cambria" w:hAnsi="Cambria" w:cs="Helvetica"/>
                <w:szCs w:val="18"/>
              </w:rPr>
              <w:t>The presence of CGMMV is likely to result in domestic movement restrictions for cucurbit propagative material. Interstate restrictions on seed</w:t>
            </w:r>
            <w:r w:rsidR="008517A8">
              <w:rPr>
                <w:rFonts w:ascii="Cambria" w:hAnsi="Cambria" w:cs="Helvetica"/>
                <w:szCs w:val="18"/>
              </w:rPr>
              <w:t>s</w:t>
            </w:r>
            <w:r w:rsidR="005739F1">
              <w:rPr>
                <w:rFonts w:ascii="Cambria" w:hAnsi="Cambria" w:cs="Helvetica"/>
                <w:szCs w:val="18"/>
              </w:rPr>
              <w:t>,</w:t>
            </w:r>
            <w:r>
              <w:rPr>
                <w:rFonts w:ascii="Cambria" w:hAnsi="Cambria" w:cs="Helvetica"/>
                <w:szCs w:val="18"/>
              </w:rPr>
              <w:t xml:space="preserve"> nursery stock</w:t>
            </w:r>
            <w:r w:rsidR="005739F1">
              <w:rPr>
                <w:rFonts w:ascii="Cambria" w:hAnsi="Cambria" w:cs="Helvetica"/>
                <w:szCs w:val="18"/>
              </w:rPr>
              <w:t xml:space="preserve"> and other plant products</w:t>
            </w:r>
            <w:r>
              <w:rPr>
                <w:rFonts w:ascii="Cambria" w:hAnsi="Cambria" w:cs="Helvetica"/>
                <w:szCs w:val="18"/>
              </w:rPr>
              <w:t xml:space="preserve"> may lead to a loss of markets, which would be likely to require industry adjustment.</w:t>
            </w:r>
          </w:p>
          <w:p w14:paraId="571404B7" w14:textId="6ACA585A" w:rsidR="008163B6" w:rsidRDefault="00F709BD" w:rsidP="008517A8">
            <w:pPr>
              <w:pStyle w:val="TableBullet"/>
              <w:ind w:left="284" w:hanging="284"/>
              <w:rPr>
                <w:rFonts w:ascii="Cambria" w:hAnsi="Cambria"/>
              </w:rPr>
            </w:pPr>
            <w:r>
              <w:rPr>
                <w:rFonts w:ascii="Cambria" w:hAnsi="Cambria" w:cs="Helvetica"/>
                <w:szCs w:val="18"/>
              </w:rPr>
              <w:t xml:space="preserve">Stringent controls on domestic trade </w:t>
            </w:r>
            <w:r w:rsidR="008517A8">
              <w:rPr>
                <w:rFonts w:ascii="Cambria" w:hAnsi="Cambria" w:cs="Helvetica"/>
                <w:szCs w:val="18"/>
              </w:rPr>
              <w:t xml:space="preserve">may </w:t>
            </w:r>
            <w:r>
              <w:rPr>
                <w:rFonts w:ascii="Cambria" w:hAnsi="Cambria" w:cs="Helvetica"/>
                <w:szCs w:val="18"/>
              </w:rPr>
              <w:t>be required if CGMMV became established in Australia. Restrictions might apply to domestic trade in seeds, tissue cultures and seedlings.</w:t>
            </w:r>
          </w:p>
        </w:tc>
      </w:tr>
      <w:tr w:rsidR="008163B6" w:rsidRPr="00BC2587" w14:paraId="69325E3E" w14:textId="77777777">
        <w:tc>
          <w:tcPr>
            <w:tcW w:w="953" w:type="pct"/>
          </w:tcPr>
          <w:p w14:paraId="16D7B5CC" w14:textId="77777777" w:rsidR="008163B6" w:rsidRDefault="00F709BD">
            <w:pPr>
              <w:pStyle w:val="TableText"/>
              <w:rPr>
                <w:rFonts w:ascii="Cambria" w:hAnsi="Cambria"/>
              </w:rPr>
            </w:pPr>
            <w:r>
              <w:rPr>
                <w:rFonts w:ascii="Cambria" w:hAnsi="Cambria"/>
              </w:rPr>
              <w:t>International trade</w:t>
            </w:r>
          </w:p>
        </w:tc>
        <w:tc>
          <w:tcPr>
            <w:tcW w:w="4047" w:type="pct"/>
          </w:tcPr>
          <w:p w14:paraId="6C66133F" w14:textId="7D9FE122" w:rsidR="008163B6" w:rsidRDefault="00E930B4">
            <w:pPr>
              <w:pStyle w:val="TableText"/>
              <w:rPr>
                <w:rFonts w:ascii="Cambria" w:hAnsi="Cambria"/>
              </w:rPr>
            </w:pPr>
            <w:r>
              <w:rPr>
                <w:rFonts w:ascii="Cambria" w:hAnsi="Cambria"/>
              </w:rPr>
              <w:t>E</w:t>
            </w:r>
            <w:r w:rsidR="00F709BD">
              <w:rPr>
                <w:rFonts w:ascii="Cambria" w:hAnsi="Cambria"/>
              </w:rPr>
              <w:t xml:space="preserve"> – Significant at the </w:t>
            </w:r>
            <w:r>
              <w:rPr>
                <w:rFonts w:ascii="Cambria" w:hAnsi="Cambria"/>
              </w:rPr>
              <w:t xml:space="preserve">regional </w:t>
            </w:r>
            <w:r w:rsidR="00F709BD">
              <w:rPr>
                <w:rFonts w:ascii="Cambria" w:hAnsi="Cambria"/>
              </w:rPr>
              <w:t>level</w:t>
            </w:r>
          </w:p>
          <w:p w14:paraId="22FD444F" w14:textId="1EC8B4FC" w:rsidR="008163B6" w:rsidRDefault="00F709BD" w:rsidP="00D72D30">
            <w:pPr>
              <w:pStyle w:val="TableBullet"/>
              <w:ind w:left="284" w:hanging="284"/>
              <w:rPr>
                <w:rFonts w:ascii="Cambria" w:hAnsi="Cambria"/>
              </w:rPr>
            </w:pPr>
            <w:r>
              <w:rPr>
                <w:rFonts w:ascii="Cambria" w:hAnsi="Cambria" w:cs="Helvetica"/>
                <w:szCs w:val="18"/>
              </w:rPr>
              <w:t>If CGMMV bec</w:t>
            </w:r>
            <w:r w:rsidR="00D72D30">
              <w:rPr>
                <w:rFonts w:ascii="Cambria" w:hAnsi="Cambria" w:cs="Helvetica"/>
                <w:szCs w:val="18"/>
              </w:rPr>
              <w:t>a</w:t>
            </w:r>
            <w:r>
              <w:rPr>
                <w:rFonts w:ascii="Cambria" w:hAnsi="Cambria" w:cs="Helvetica"/>
                <w:szCs w:val="18"/>
              </w:rPr>
              <w:t>m</w:t>
            </w:r>
            <w:r w:rsidR="00D72D30">
              <w:rPr>
                <w:rFonts w:ascii="Cambria" w:hAnsi="Cambria" w:cs="Helvetica"/>
                <w:szCs w:val="18"/>
              </w:rPr>
              <w:t>e</w:t>
            </w:r>
            <w:r>
              <w:rPr>
                <w:rFonts w:ascii="Cambria" w:hAnsi="Cambria" w:cs="Helvetica"/>
                <w:szCs w:val="18"/>
              </w:rPr>
              <w:t xml:space="preserve"> </w:t>
            </w:r>
            <w:r>
              <w:rPr>
                <w:rFonts w:ascii="Cambria" w:hAnsi="Cambria" w:cs="Helvetica"/>
                <w:iCs/>
                <w:szCs w:val="18"/>
              </w:rPr>
              <w:t xml:space="preserve">established </w:t>
            </w:r>
            <w:r w:rsidR="00D72D30">
              <w:rPr>
                <w:rFonts w:ascii="Cambria" w:hAnsi="Cambria" w:cs="Helvetica"/>
                <w:iCs/>
                <w:szCs w:val="18"/>
              </w:rPr>
              <w:t xml:space="preserve">and widespread </w:t>
            </w:r>
            <w:r>
              <w:rPr>
                <w:rFonts w:ascii="Cambria" w:hAnsi="Cambria" w:cs="Helvetica"/>
                <w:iCs/>
                <w:szCs w:val="18"/>
              </w:rPr>
              <w:t xml:space="preserve">in </w:t>
            </w:r>
            <w:r>
              <w:rPr>
                <w:rFonts w:ascii="Cambria" w:hAnsi="Cambria" w:cs="Helvetica"/>
                <w:szCs w:val="18"/>
              </w:rPr>
              <w:t>Australia</w:t>
            </w:r>
            <w:r>
              <w:rPr>
                <w:rFonts w:ascii="Cambria" w:hAnsi="Cambria" w:cs="Helvetica"/>
                <w:iCs/>
                <w:szCs w:val="18"/>
              </w:rPr>
              <w:t>,</w:t>
            </w:r>
            <w:r>
              <w:rPr>
                <w:rFonts w:ascii="Cambria" w:hAnsi="Cambria" w:cs="Helvetica"/>
                <w:i/>
                <w:iCs/>
                <w:szCs w:val="18"/>
              </w:rPr>
              <w:t xml:space="preserve"> </w:t>
            </w:r>
            <w:r>
              <w:rPr>
                <w:rFonts w:ascii="Cambria" w:hAnsi="Cambria" w:cs="Helvetica"/>
                <w:iCs/>
                <w:szCs w:val="18"/>
              </w:rPr>
              <w:t>r</w:t>
            </w:r>
            <w:r>
              <w:rPr>
                <w:rFonts w:ascii="Cambria" w:hAnsi="Cambria" w:cs="Helvetica"/>
                <w:szCs w:val="18"/>
              </w:rPr>
              <w:t xml:space="preserve">estrictions on Australian exports of </w:t>
            </w:r>
            <w:r w:rsidR="00473C1A">
              <w:rPr>
                <w:rFonts w:ascii="Cambria" w:hAnsi="Cambria" w:cs="Helvetica"/>
                <w:szCs w:val="18"/>
              </w:rPr>
              <w:t xml:space="preserve">host </w:t>
            </w:r>
            <w:r>
              <w:rPr>
                <w:rFonts w:ascii="Cambria" w:hAnsi="Cambria" w:cs="Helvetica"/>
                <w:szCs w:val="18"/>
              </w:rPr>
              <w:t xml:space="preserve">cucurbit seed </w:t>
            </w:r>
            <w:r w:rsidR="005739F1">
              <w:rPr>
                <w:rFonts w:ascii="Cambria" w:hAnsi="Cambria" w:cs="Helvetica"/>
                <w:szCs w:val="18"/>
              </w:rPr>
              <w:t>may occur</w:t>
            </w:r>
            <w:r>
              <w:rPr>
                <w:rFonts w:ascii="Cambria" w:hAnsi="Cambria" w:cs="Helvetica"/>
                <w:szCs w:val="18"/>
              </w:rPr>
              <w:t>. Several countries have established quarantine policies and protocols against plant material from areas known to have CGMMV. The establishment of CGMMV in Australia may therefore reduce access to international markets and result in additional requirements to achieve phytosanitary conformity, which will impose a cost burden.</w:t>
            </w:r>
          </w:p>
        </w:tc>
      </w:tr>
      <w:tr w:rsidR="008163B6" w:rsidRPr="00BC2587" w14:paraId="470F0832" w14:textId="77777777">
        <w:tc>
          <w:tcPr>
            <w:tcW w:w="953" w:type="pct"/>
          </w:tcPr>
          <w:p w14:paraId="4C565EAB" w14:textId="77777777" w:rsidR="008163B6" w:rsidRDefault="00F709BD">
            <w:pPr>
              <w:pStyle w:val="TableText"/>
              <w:rPr>
                <w:rFonts w:ascii="Cambria" w:hAnsi="Cambria"/>
              </w:rPr>
            </w:pPr>
            <w:r>
              <w:rPr>
                <w:rFonts w:ascii="Cambria" w:hAnsi="Cambria"/>
              </w:rPr>
              <w:t>Environmental and non-commercial</w:t>
            </w:r>
          </w:p>
        </w:tc>
        <w:tc>
          <w:tcPr>
            <w:tcW w:w="4047" w:type="pct"/>
          </w:tcPr>
          <w:p w14:paraId="287AA069" w14:textId="77777777" w:rsidR="008163B6" w:rsidRDefault="00F709BD">
            <w:pPr>
              <w:pStyle w:val="TableText"/>
              <w:rPr>
                <w:rFonts w:ascii="Cambria" w:hAnsi="Cambria"/>
              </w:rPr>
            </w:pPr>
            <w:r>
              <w:rPr>
                <w:rFonts w:ascii="Cambria" w:hAnsi="Cambria"/>
              </w:rPr>
              <w:t>B – Minor significance at the local level</w:t>
            </w:r>
            <w:r>
              <w:rPr>
                <w:rFonts w:ascii="Cambria" w:eastAsia="Calibri" w:hAnsi="Cambria" w:cs="Times New Roman"/>
              </w:rPr>
              <w:t>.</w:t>
            </w:r>
          </w:p>
          <w:p w14:paraId="62653E5D" w14:textId="441C0CEF" w:rsidR="008163B6" w:rsidRPr="00FA7223" w:rsidRDefault="00F709BD">
            <w:pPr>
              <w:pStyle w:val="TableBullet"/>
              <w:ind w:left="284" w:hanging="284"/>
              <w:rPr>
                <w:rFonts w:ascii="Cambria" w:hAnsi="Cambria"/>
              </w:rPr>
            </w:pPr>
            <w:r>
              <w:rPr>
                <w:rFonts w:ascii="Cambria" w:hAnsi="Cambria" w:cs="Helvetica"/>
                <w:szCs w:val="18"/>
              </w:rPr>
              <w:t xml:space="preserve">Increased use of consumables for washing and disinfection of infected equipment, tools and machinery may be required to manage the spread of the virus, which </w:t>
            </w:r>
            <w:r>
              <w:rPr>
                <w:rFonts w:ascii="Cambria" w:eastAsia="WarnockPro-Regular" w:hAnsi="Cambria" w:cs="WarnockPro-Regular"/>
              </w:rPr>
              <w:t xml:space="preserve">may have some </w:t>
            </w:r>
            <w:r w:rsidR="00D72D30">
              <w:rPr>
                <w:rFonts w:ascii="Cambria" w:eastAsia="WarnockPro-Regular" w:hAnsi="Cambria" w:cs="WarnockPro-Regular"/>
              </w:rPr>
              <w:t xml:space="preserve">negative </w:t>
            </w:r>
            <w:r>
              <w:rPr>
                <w:rFonts w:ascii="Cambria" w:eastAsia="WarnockPro-Regular" w:hAnsi="Cambria" w:cs="WarnockPro-Regular"/>
              </w:rPr>
              <w:t>impacts on the environment</w:t>
            </w:r>
            <w:r w:rsidR="00D72D30">
              <w:rPr>
                <w:rFonts w:ascii="Cambria" w:eastAsia="WarnockPro-Regular" w:hAnsi="Cambria" w:cs="WarnockPro-Regular"/>
              </w:rPr>
              <w:t>.</w:t>
            </w:r>
          </w:p>
          <w:p w14:paraId="61166C9F" w14:textId="00FA48C9" w:rsidR="00D72D30" w:rsidRPr="00FA7223" w:rsidRDefault="00D72D30">
            <w:pPr>
              <w:pStyle w:val="TableBullet"/>
              <w:ind w:left="284" w:hanging="284"/>
              <w:rPr>
                <w:rFonts w:ascii="Cambria" w:hAnsi="Cambria"/>
              </w:rPr>
            </w:pPr>
            <w:r>
              <w:rPr>
                <w:rFonts w:ascii="Cambria" w:eastAsia="WarnockPro-Regular" w:hAnsi="Cambria" w:cs="WarnockPro-Regular"/>
              </w:rPr>
              <w:t>The potential use of herbicides to control alternate weed hosts</w:t>
            </w:r>
            <w:r w:rsidR="00AF00A2">
              <w:rPr>
                <w:rFonts w:ascii="Cambria" w:eastAsia="WarnockPro-Regular" w:hAnsi="Cambria" w:cs="WarnockPro-Regular"/>
              </w:rPr>
              <w:t xml:space="preserve"> may have a negative impact on</w:t>
            </w:r>
            <w:r>
              <w:rPr>
                <w:rFonts w:ascii="Cambria" w:eastAsia="WarnockPro-Regular" w:hAnsi="Cambria" w:cs="WarnockPro-Regular"/>
              </w:rPr>
              <w:t xml:space="preserve"> native plants.</w:t>
            </w:r>
          </w:p>
          <w:p w14:paraId="45F4452F" w14:textId="346DB2F9" w:rsidR="00D72D30" w:rsidRDefault="00D72D30" w:rsidP="00D72D30">
            <w:pPr>
              <w:pStyle w:val="TableBullet"/>
              <w:ind w:left="284" w:hanging="284"/>
              <w:rPr>
                <w:rFonts w:ascii="Cambria" w:hAnsi="Cambria"/>
              </w:rPr>
            </w:pPr>
            <w:r>
              <w:rPr>
                <w:rFonts w:ascii="Cambria" w:eastAsia="WarnockPro-Regular" w:hAnsi="Cambria" w:cs="WarnockPro-Regular"/>
              </w:rPr>
              <w:t>Any broad-scale chemical treatments directed against a possible insect vector may have some negative impacts on native insects.</w:t>
            </w:r>
          </w:p>
        </w:tc>
      </w:tr>
    </w:tbl>
    <w:p w14:paraId="26BA4420" w14:textId="77777777" w:rsidR="008163B6" w:rsidRDefault="00F709BD" w:rsidP="006279EB">
      <w:pPr>
        <w:spacing w:before="120" w:after="120" w:line="276" w:lineRule="auto"/>
        <w:rPr>
          <w:rFonts w:ascii="Cambria" w:hAnsi="Cambria"/>
        </w:rPr>
      </w:pPr>
      <w:r>
        <w:rPr>
          <w:rFonts w:ascii="Cambria" w:hAnsi="Cambria"/>
        </w:rPr>
        <w:t xml:space="preserve">Based on the decision rules described in Table 4, that is, where the potential consequences of a pest with respect to one or more criteria have an impact of ‘F’, the overall consequences are estimated to be </w:t>
      </w:r>
      <w:r>
        <w:rPr>
          <w:rFonts w:ascii="Cambria" w:hAnsi="Cambria"/>
          <w:b/>
        </w:rPr>
        <w:t>HIGH</w:t>
      </w:r>
      <w:r>
        <w:rPr>
          <w:rFonts w:ascii="Cambria" w:hAnsi="Cambria"/>
        </w:rPr>
        <w:t xml:space="preserve">. </w:t>
      </w:r>
    </w:p>
    <w:p w14:paraId="52D450EC" w14:textId="77777777" w:rsidR="008163B6" w:rsidRDefault="00F709BD">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254" w:name="_Toc447540804"/>
      <w:r>
        <w:rPr>
          <w:rFonts w:ascii="Calibri" w:hAnsi="Calibri" w:cstheme="minorBidi"/>
          <w:sz w:val="24"/>
          <w:szCs w:val="22"/>
        </w:rPr>
        <w:t>Unrestricted risk estimate</w:t>
      </w:r>
      <w:bookmarkEnd w:id="254"/>
    </w:p>
    <w:p w14:paraId="36314AA5" w14:textId="2C1EAE87" w:rsidR="008163B6" w:rsidRDefault="00F709BD" w:rsidP="006279EB">
      <w:pPr>
        <w:spacing w:before="120" w:after="120" w:line="276" w:lineRule="auto"/>
        <w:rPr>
          <w:rFonts w:ascii="Cambria" w:hAnsi="Cambria"/>
        </w:rPr>
      </w:pPr>
      <w:r>
        <w:rPr>
          <w:rFonts w:ascii="Cambria" w:hAnsi="Cambria"/>
        </w:rPr>
        <w:t xml:space="preserve">Unrestricted risk is the result of combining the likelihoods of entry, establishment and spread with the outcome of overall consequences. Likelihood and consequences are combined using the risk estimation matrix (Table 5) and results are shown in Table </w:t>
      </w:r>
      <w:r w:rsidR="008802E8">
        <w:rPr>
          <w:rFonts w:ascii="Cambria" w:hAnsi="Cambria"/>
        </w:rPr>
        <w:t>7</w:t>
      </w:r>
      <w:r>
        <w:rPr>
          <w:rFonts w:ascii="Cambria" w:hAnsi="Cambria"/>
        </w:rPr>
        <w:t>.</w:t>
      </w:r>
    </w:p>
    <w:p w14:paraId="1C097EC6" w14:textId="77777777" w:rsidR="008163B6" w:rsidRDefault="00F709BD">
      <w:pPr>
        <w:pStyle w:val="Caption"/>
        <w:keepNext w:val="0"/>
        <w:rPr>
          <w:rFonts w:asciiTheme="majorHAnsi" w:eastAsiaTheme="majorEastAsia" w:hAnsiTheme="majorHAnsi" w:cstheme="majorBidi"/>
          <w:color w:val="595959" w:themeColor="text1" w:themeTint="A6"/>
          <w:sz w:val="20"/>
        </w:rPr>
      </w:pPr>
      <w:bookmarkStart w:id="255" w:name="_Toc418712927"/>
      <w:bookmarkStart w:id="256" w:name="_Toc432187261"/>
      <w:bookmarkStart w:id="257" w:name="_Toc432187299"/>
      <w:bookmarkStart w:id="258" w:name="_Toc434315840"/>
      <w:bookmarkStart w:id="259" w:name="_Toc438132880"/>
      <w:bookmarkStart w:id="260" w:name="_Toc438202165"/>
      <w:bookmarkStart w:id="261" w:name="_Toc438549549"/>
      <w:bookmarkStart w:id="262" w:name="_Toc439661115"/>
      <w:bookmarkStart w:id="263" w:name="_Toc447541253"/>
      <w:bookmarkStart w:id="264" w:name="_Toc447541272"/>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7</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w:t>
      </w:r>
      <w:r>
        <w:rPr>
          <w:rFonts w:ascii="Cambria" w:eastAsia="Times New Roman" w:hAnsi="Cambria" w:cs="Times New Roman"/>
          <w:color w:val="595959"/>
          <w:sz w:val="20"/>
        </w:rPr>
        <w:t>Unrestricted risk estimates of CGMMV for seed pathway</w:t>
      </w:r>
      <w:bookmarkEnd w:id="255"/>
      <w:bookmarkEnd w:id="256"/>
      <w:bookmarkEnd w:id="257"/>
      <w:bookmarkEnd w:id="258"/>
      <w:bookmarkEnd w:id="259"/>
      <w:bookmarkEnd w:id="260"/>
      <w:bookmarkEnd w:id="261"/>
      <w:bookmarkEnd w:id="262"/>
      <w:bookmarkEnd w:id="263"/>
      <w:bookmarkEnd w:id="264"/>
    </w:p>
    <w:tbl>
      <w:tblPr>
        <w:tblW w:w="4809" w:type="pct"/>
        <w:tblInd w:w="108" w:type="dxa"/>
        <w:tblBorders>
          <w:top w:val="single" w:sz="4" w:space="0" w:color="auto"/>
          <w:bottom w:val="single" w:sz="4" w:space="0" w:color="auto"/>
        </w:tblBorders>
        <w:tblLook w:val="04A0" w:firstRow="1" w:lastRow="0" w:firstColumn="1" w:lastColumn="0" w:noHBand="0" w:noVBand="1"/>
      </w:tblPr>
      <w:tblGrid>
        <w:gridCol w:w="6114"/>
        <w:gridCol w:w="2610"/>
      </w:tblGrid>
      <w:tr w:rsidR="008163B6" w14:paraId="45FE60D7" w14:textId="77777777">
        <w:trPr>
          <w:trHeight w:val="227"/>
        </w:trPr>
        <w:tc>
          <w:tcPr>
            <w:tcW w:w="3504" w:type="pct"/>
          </w:tcPr>
          <w:p w14:paraId="33513BCF" w14:textId="77777777" w:rsidR="008163B6" w:rsidRDefault="00F709BD">
            <w:pPr>
              <w:pStyle w:val="TableText"/>
              <w:rPr>
                <w:rFonts w:ascii="Cambria" w:hAnsi="Cambria"/>
              </w:rPr>
            </w:pPr>
            <w:r>
              <w:rPr>
                <w:rFonts w:ascii="Cambria" w:hAnsi="Cambria"/>
              </w:rPr>
              <w:t>Overall likelihood of entry, establishment and spread</w:t>
            </w:r>
          </w:p>
        </w:tc>
        <w:tc>
          <w:tcPr>
            <w:tcW w:w="1496" w:type="pct"/>
          </w:tcPr>
          <w:p w14:paraId="4E7051C9" w14:textId="431CD260" w:rsidR="008163B6" w:rsidRDefault="00F709BD">
            <w:pPr>
              <w:pStyle w:val="TableText"/>
              <w:rPr>
                <w:rFonts w:ascii="Cambria" w:hAnsi="Cambria"/>
              </w:rPr>
            </w:pPr>
            <w:r>
              <w:rPr>
                <w:rFonts w:ascii="Cambria" w:hAnsi="Cambria"/>
              </w:rPr>
              <w:t>LOW</w:t>
            </w:r>
          </w:p>
        </w:tc>
      </w:tr>
      <w:tr w:rsidR="008163B6" w14:paraId="5B141B4F" w14:textId="77777777">
        <w:trPr>
          <w:trHeight w:val="227"/>
        </w:trPr>
        <w:tc>
          <w:tcPr>
            <w:tcW w:w="3504" w:type="pct"/>
          </w:tcPr>
          <w:p w14:paraId="4AD5E342" w14:textId="77777777" w:rsidR="008163B6" w:rsidRDefault="00F709BD">
            <w:pPr>
              <w:pStyle w:val="TableText"/>
              <w:rPr>
                <w:rFonts w:ascii="Cambria" w:hAnsi="Cambria"/>
              </w:rPr>
            </w:pPr>
            <w:r>
              <w:rPr>
                <w:rFonts w:ascii="Cambria" w:hAnsi="Cambria"/>
              </w:rPr>
              <w:t>Consequences</w:t>
            </w:r>
          </w:p>
        </w:tc>
        <w:tc>
          <w:tcPr>
            <w:tcW w:w="1496" w:type="pct"/>
          </w:tcPr>
          <w:p w14:paraId="0A7C3BF0" w14:textId="77777777" w:rsidR="008163B6" w:rsidRDefault="00F709BD">
            <w:pPr>
              <w:pStyle w:val="TableText"/>
              <w:rPr>
                <w:rFonts w:ascii="Cambria" w:hAnsi="Cambria"/>
              </w:rPr>
            </w:pPr>
            <w:r>
              <w:rPr>
                <w:rFonts w:ascii="Cambria" w:hAnsi="Cambria"/>
              </w:rPr>
              <w:t>HIGH</w:t>
            </w:r>
          </w:p>
        </w:tc>
      </w:tr>
      <w:tr w:rsidR="008163B6" w14:paraId="394B7062" w14:textId="77777777">
        <w:trPr>
          <w:trHeight w:val="227"/>
        </w:trPr>
        <w:tc>
          <w:tcPr>
            <w:tcW w:w="3504" w:type="pct"/>
          </w:tcPr>
          <w:p w14:paraId="2D689D96" w14:textId="77777777" w:rsidR="008163B6" w:rsidRDefault="00F709BD">
            <w:pPr>
              <w:pStyle w:val="TableText"/>
              <w:rPr>
                <w:rFonts w:ascii="Cambria" w:hAnsi="Cambria"/>
              </w:rPr>
            </w:pPr>
            <w:r>
              <w:rPr>
                <w:rFonts w:ascii="Cambria" w:hAnsi="Cambria"/>
              </w:rPr>
              <w:t>Unrestricted risk</w:t>
            </w:r>
          </w:p>
        </w:tc>
        <w:tc>
          <w:tcPr>
            <w:tcW w:w="1496" w:type="pct"/>
          </w:tcPr>
          <w:p w14:paraId="21724EF2" w14:textId="43BF8238" w:rsidR="008163B6" w:rsidRDefault="00F709BD">
            <w:pPr>
              <w:pStyle w:val="TableText"/>
              <w:rPr>
                <w:rFonts w:ascii="Cambria" w:hAnsi="Cambria"/>
              </w:rPr>
            </w:pPr>
            <w:r>
              <w:rPr>
                <w:rFonts w:ascii="Cambria" w:hAnsi="Cambria"/>
              </w:rPr>
              <w:t>MODERATE</w:t>
            </w:r>
          </w:p>
        </w:tc>
      </w:tr>
    </w:tbl>
    <w:p w14:paraId="1E232A9B" w14:textId="2AB29C1F" w:rsidR="008163B6" w:rsidRDefault="00F709BD" w:rsidP="004F6FE7">
      <w:pPr>
        <w:spacing w:before="200" w:after="200" w:line="276" w:lineRule="auto"/>
        <w:rPr>
          <w:rFonts w:ascii="Cambria" w:hAnsi="Cambria"/>
        </w:rPr>
      </w:pPr>
      <w:r>
        <w:rPr>
          <w:rFonts w:ascii="Cambria" w:hAnsi="Cambria"/>
        </w:rPr>
        <w:t xml:space="preserve">The unrestricted risk estimate for CGMMV has been assessed as ‘moderate’, which is above Australia’s ALOP. Therefore, risk management measures against CGMMV are </w:t>
      </w:r>
      <w:r w:rsidR="00142CA3">
        <w:rPr>
          <w:rFonts w:ascii="Cambria" w:hAnsi="Cambria"/>
        </w:rPr>
        <w:t>required to meet Australia’s ALOP</w:t>
      </w:r>
      <w:r>
        <w:rPr>
          <w:rFonts w:ascii="Cambria" w:hAnsi="Cambria"/>
        </w:rPr>
        <w:t>.</w:t>
      </w:r>
      <w:bookmarkStart w:id="265" w:name="_Toc384197753"/>
      <w:bookmarkStart w:id="266" w:name="_Toc384209841"/>
      <w:bookmarkStart w:id="267" w:name="_Toc384275085"/>
      <w:bookmarkStart w:id="268" w:name="_Toc385508245"/>
      <w:bookmarkStart w:id="269" w:name="_Toc388949928"/>
    </w:p>
    <w:p w14:paraId="5F342C7E" w14:textId="77777777" w:rsidR="004F6FE7" w:rsidRDefault="004F6FE7" w:rsidP="006279EB">
      <w:pPr>
        <w:spacing w:before="120" w:after="120" w:line="276" w:lineRule="auto"/>
        <w:rPr>
          <w:rFonts w:ascii="Cambria" w:eastAsia="Cambria" w:hAnsi="Cambria" w:cs="Times-Roman"/>
          <w:lang w:eastAsia="en-AU"/>
        </w:rPr>
      </w:pPr>
    </w:p>
    <w:p w14:paraId="46264F54" w14:textId="77777777" w:rsidR="008163B6" w:rsidRDefault="008163B6">
      <w:pPr>
        <w:pStyle w:val="Caption"/>
        <w:rPr>
          <w:rFonts w:ascii="Cambria" w:hAnsi="Cambria"/>
          <w:szCs w:val="22"/>
        </w:rPr>
        <w:sectPr w:rsidR="008163B6">
          <w:headerReference w:type="default" r:id="rId40"/>
          <w:pgSz w:w="11906" w:h="16838"/>
          <w:pgMar w:top="1418" w:right="1418" w:bottom="1418" w:left="1418" w:header="567" w:footer="283" w:gutter="0"/>
          <w:cols w:space="708"/>
          <w:docGrid w:linePitch="360"/>
        </w:sectPr>
      </w:pPr>
    </w:p>
    <w:p w14:paraId="46BE2D3F" w14:textId="77777777" w:rsidR="008163B6" w:rsidRDefault="00F709BD">
      <w:pPr>
        <w:pStyle w:val="Heading1"/>
        <w:pageBreakBefore w:val="0"/>
        <w:numPr>
          <w:ilvl w:val="0"/>
          <w:numId w:val="21"/>
        </w:numPr>
        <w:tabs>
          <w:tab w:val="clear" w:pos="432"/>
        </w:tabs>
        <w:spacing w:before="480" w:after="120"/>
        <w:ind w:left="709" w:hanging="709"/>
        <w:rPr>
          <w:rFonts w:eastAsiaTheme="majorEastAsia" w:cstheme="majorBidi"/>
          <w:b/>
          <w:color w:val="D52B1E"/>
          <w:sz w:val="34"/>
        </w:rPr>
      </w:pPr>
      <w:bookmarkStart w:id="270" w:name="_Toc447540805"/>
      <w:bookmarkEnd w:id="265"/>
      <w:bookmarkEnd w:id="266"/>
      <w:bookmarkEnd w:id="267"/>
      <w:bookmarkEnd w:id="268"/>
      <w:bookmarkEnd w:id="269"/>
      <w:r>
        <w:rPr>
          <w:rFonts w:eastAsiaTheme="majorEastAsia" w:cstheme="majorBidi"/>
          <w:b/>
          <w:color w:val="D52B1E"/>
          <w:sz w:val="34"/>
        </w:rPr>
        <w:t>Pest risk management</w:t>
      </w:r>
      <w:bookmarkEnd w:id="270"/>
    </w:p>
    <w:p w14:paraId="08DA9AAA" w14:textId="211C0903" w:rsidR="008163B6" w:rsidRDefault="00F709BD" w:rsidP="006279EB">
      <w:pPr>
        <w:spacing w:before="120" w:after="120" w:line="276" w:lineRule="auto"/>
        <w:rPr>
          <w:rFonts w:ascii="Cambria" w:hAnsi="Cambria"/>
        </w:rPr>
      </w:pPr>
      <w:r>
        <w:rPr>
          <w:rFonts w:ascii="Cambria" w:hAnsi="Cambria"/>
        </w:rPr>
        <w:t>The IPPC and the WTO recognise the phytosanitary concerns associated with expanding world trade in plant propagative material, including seeds</w:t>
      </w:r>
      <w:r w:rsidR="00142CA3">
        <w:rPr>
          <w:rFonts w:ascii="Cambria" w:hAnsi="Cambria"/>
        </w:rPr>
        <w:t xml:space="preserve"> for sowing</w:t>
      </w:r>
      <w:r>
        <w:rPr>
          <w:rFonts w:ascii="Cambria" w:hAnsi="Cambria"/>
        </w:rPr>
        <w:t xml:space="preserve">. Consequently, international standards have been developed for the safe movement of plants and plant products. The aim of these standards is to reduce the likelihood of the accidental introduction of pests associated with </w:t>
      </w:r>
      <w:r w:rsidR="00142CA3">
        <w:rPr>
          <w:rFonts w:ascii="Cambria" w:hAnsi="Cambria"/>
        </w:rPr>
        <w:t xml:space="preserve">plant </w:t>
      </w:r>
      <w:r>
        <w:rPr>
          <w:rFonts w:ascii="Cambria" w:hAnsi="Cambria"/>
        </w:rPr>
        <w:t>material into new areas through the application of phytosanitary measures. Measures may be applied only where necessary to prevent the introduction and/or spread of quarantine pests. Phytosanitary measures should be applied in a transparent and non-discriminatory manner, and phytosanitary restrictions used only where technically justified and not in lieu of barriers to protect an industry from competition.</w:t>
      </w:r>
    </w:p>
    <w:p w14:paraId="456C17E4" w14:textId="77777777" w:rsidR="008163B6" w:rsidRDefault="00F709BD" w:rsidP="006279EB">
      <w:pPr>
        <w:spacing w:before="120" w:after="120" w:line="276" w:lineRule="auto"/>
        <w:rPr>
          <w:rFonts w:ascii="Cambria" w:hAnsi="Cambria"/>
        </w:rPr>
      </w:pPr>
      <w:r>
        <w:rPr>
          <w:rFonts w:ascii="Cambria" w:hAnsi="Cambria"/>
        </w:rPr>
        <w:t xml:space="preserve">The ultimate goal of the phytosanitary measures proposed in this review is to protect Australian agriculture, the economy and environment from the introduction of CGMMV associated with </w:t>
      </w:r>
      <w:r w:rsidR="00142CA3">
        <w:rPr>
          <w:rFonts w:ascii="Cambria" w:hAnsi="Cambria"/>
        </w:rPr>
        <w:t xml:space="preserve">host </w:t>
      </w:r>
      <w:r>
        <w:rPr>
          <w:rFonts w:ascii="Cambria" w:hAnsi="Cambria"/>
        </w:rPr>
        <w:t xml:space="preserve">cucurbit propagative material. To effectively prevent the introduction of CGMMV associated with </w:t>
      </w:r>
      <w:r w:rsidR="00142CA3">
        <w:rPr>
          <w:rFonts w:ascii="Cambria" w:hAnsi="Cambria"/>
        </w:rPr>
        <w:t xml:space="preserve">host </w:t>
      </w:r>
      <w:r>
        <w:rPr>
          <w:rFonts w:ascii="Cambria" w:hAnsi="Cambria"/>
        </w:rPr>
        <w:t>cucurbit propagative material, a series of important safeguards, conditions or phytosanitary measures must be in place.</w:t>
      </w:r>
    </w:p>
    <w:p w14:paraId="5EDD5F24" w14:textId="3338C391" w:rsidR="008163B6" w:rsidRDefault="00F709BD" w:rsidP="006279EB">
      <w:pPr>
        <w:spacing w:before="120" w:after="120" w:line="276" w:lineRule="auto"/>
        <w:rPr>
          <w:rFonts w:ascii="Cambria" w:hAnsi="Cambria"/>
          <w:bCs/>
        </w:rPr>
      </w:pPr>
      <w:r>
        <w:rPr>
          <w:rFonts w:ascii="Cambria" w:hAnsi="Cambria"/>
          <w:bCs/>
        </w:rPr>
        <w:t>Australia has had emergency measures in place to protect the Australian cucurbit industr</w:t>
      </w:r>
      <w:r w:rsidR="00BC56A4">
        <w:rPr>
          <w:rFonts w:ascii="Cambria" w:hAnsi="Cambria"/>
          <w:bCs/>
        </w:rPr>
        <w:t>y</w:t>
      </w:r>
      <w:r>
        <w:rPr>
          <w:rFonts w:ascii="Cambria" w:hAnsi="Cambria"/>
          <w:bCs/>
        </w:rPr>
        <w:t xml:space="preserve"> from CGMMV since October 2014.</w:t>
      </w:r>
      <w:r w:rsidR="00EF4900">
        <w:rPr>
          <w:rFonts w:ascii="Cambria" w:hAnsi="Cambria"/>
          <w:bCs/>
        </w:rPr>
        <w:t xml:space="preserve"> These measures were amended in December 2015 to regulate the seeds of additional hosts.</w:t>
      </w:r>
      <w:r>
        <w:rPr>
          <w:rFonts w:ascii="Cambria" w:hAnsi="Cambria"/>
          <w:bCs/>
        </w:rPr>
        <w:t xml:space="preserve"> This PRA </w:t>
      </w:r>
      <w:r w:rsidR="008467A2">
        <w:rPr>
          <w:rFonts w:ascii="Cambria" w:hAnsi="Cambria"/>
          <w:bCs/>
        </w:rPr>
        <w:t xml:space="preserve">identifies the unrestricted risk of CGMMV as moderate which is above Australia’s ALOP and as such </w:t>
      </w:r>
      <w:r>
        <w:rPr>
          <w:rFonts w:ascii="Cambria" w:hAnsi="Cambria"/>
          <w:bCs/>
        </w:rPr>
        <w:t xml:space="preserve">reviews the appropriateness of the existing emergency measures, in accordance with ISPM No. </w:t>
      </w:r>
      <w:r w:rsidR="00142CA3">
        <w:rPr>
          <w:rFonts w:ascii="Cambria" w:hAnsi="Cambria"/>
          <w:bCs/>
        </w:rPr>
        <w:t xml:space="preserve">1: </w:t>
      </w:r>
      <w:r w:rsidR="00142CA3">
        <w:rPr>
          <w:rFonts w:ascii="Cambria" w:hAnsi="Cambria"/>
          <w:i/>
          <w:iCs/>
        </w:rPr>
        <w:t>Phytosanitary principles for the protection of plants and the application of phytosanitary measures in international trade</w:t>
      </w:r>
      <w:r w:rsidR="00142CA3">
        <w:rPr>
          <w:rFonts w:ascii="Cambria" w:hAnsi="Cambria"/>
          <w:bCs/>
        </w:rPr>
        <w:t xml:space="preserve"> (FAO 201</w:t>
      </w:r>
      <w:r w:rsidR="00BA0653">
        <w:rPr>
          <w:rFonts w:ascii="Cambria" w:hAnsi="Cambria"/>
          <w:bCs/>
        </w:rPr>
        <w:t>6d</w:t>
      </w:r>
      <w:r w:rsidR="00142CA3">
        <w:rPr>
          <w:rFonts w:ascii="Cambria" w:hAnsi="Cambria"/>
          <w:bCs/>
        </w:rPr>
        <w:t>)</w:t>
      </w:r>
      <w:r>
        <w:rPr>
          <w:rFonts w:ascii="Cambria" w:hAnsi="Cambria"/>
          <w:bCs/>
        </w:rPr>
        <w:t>.</w:t>
      </w:r>
    </w:p>
    <w:p w14:paraId="6D97D5B2"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271" w:name="_Toc447540806"/>
      <w:r>
        <w:rPr>
          <w:rFonts w:eastAsiaTheme="majorEastAsia" w:cstheme="majorBidi"/>
          <w:color w:val="773141"/>
          <w:sz w:val="28"/>
        </w:rPr>
        <w:t>Introduction of emergency measures</w:t>
      </w:r>
      <w:bookmarkEnd w:id="271"/>
    </w:p>
    <w:p w14:paraId="74EE03E6" w14:textId="0FAD4858" w:rsidR="008163B6" w:rsidRDefault="00F709BD" w:rsidP="006279EB">
      <w:pPr>
        <w:spacing w:before="120" w:after="120" w:line="276" w:lineRule="auto"/>
        <w:rPr>
          <w:rFonts w:ascii="Cambria" w:eastAsia="Cambria" w:hAnsi="Cambria" w:cs="Times-Roman"/>
        </w:rPr>
      </w:pPr>
      <w:r>
        <w:rPr>
          <w:rFonts w:ascii="Cambria" w:hAnsi="Cambria"/>
        </w:rPr>
        <w:t>The introduction of emergency measures by Australia is consistent with ISPM No. 1 (FAO 201</w:t>
      </w:r>
      <w:r w:rsidR="00BA0653">
        <w:rPr>
          <w:rFonts w:ascii="Cambria" w:hAnsi="Cambria"/>
        </w:rPr>
        <w:t>6d</w:t>
      </w:r>
      <w:r>
        <w:rPr>
          <w:rFonts w:ascii="Cambria" w:hAnsi="Cambria"/>
        </w:rPr>
        <w:t xml:space="preserve">) and IPPC article VII.6 (FAO </w:t>
      </w:r>
      <w:r w:rsidR="003E619C">
        <w:rPr>
          <w:rFonts w:ascii="Cambria" w:hAnsi="Cambria"/>
        </w:rPr>
        <w:t>1997</w:t>
      </w:r>
      <w:r>
        <w:rPr>
          <w:rFonts w:ascii="Cambria" w:hAnsi="Cambria"/>
        </w:rPr>
        <w:t xml:space="preserve">). </w:t>
      </w:r>
      <w:r w:rsidR="00724790">
        <w:rPr>
          <w:rFonts w:ascii="Cambria" w:hAnsi="Cambria"/>
        </w:rPr>
        <w:t xml:space="preserve">ISPM </w:t>
      </w:r>
      <w:r w:rsidR="003B1EF1">
        <w:rPr>
          <w:rFonts w:ascii="Cambria" w:hAnsi="Cambria"/>
        </w:rPr>
        <w:t xml:space="preserve">No. </w:t>
      </w:r>
      <w:r w:rsidR="00724790">
        <w:rPr>
          <w:rFonts w:ascii="Cambria" w:hAnsi="Cambria"/>
        </w:rPr>
        <w:t>1</w:t>
      </w:r>
      <w:r w:rsidR="00CB461D">
        <w:rPr>
          <w:rFonts w:ascii="Cambria" w:hAnsi="Cambria"/>
        </w:rPr>
        <w:t xml:space="preserve"> </w:t>
      </w:r>
      <w:r w:rsidR="00724790">
        <w:rPr>
          <w:rFonts w:ascii="Cambria" w:hAnsi="Cambria"/>
        </w:rPr>
        <w:t xml:space="preserve">states that ‘contracting parties may adopt and/or implement emergency actions, </w:t>
      </w:r>
      <w:r w:rsidR="00724790">
        <w:rPr>
          <w:rFonts w:ascii="Cambria" w:hAnsi="Cambria"/>
          <w:bCs/>
        </w:rPr>
        <w:t>including</w:t>
      </w:r>
      <w:r w:rsidR="00724790">
        <w:rPr>
          <w:rFonts w:ascii="Cambria" w:hAnsi="Cambria"/>
        </w:rPr>
        <w:t xml:space="preserve"> emergency measures, when a new or unexpected phytosanitary risk is identified</w:t>
      </w:r>
      <w:r w:rsidR="00CB461D">
        <w:rPr>
          <w:rFonts w:ascii="Cambria" w:hAnsi="Cambria"/>
        </w:rPr>
        <w:t xml:space="preserve"> (FAO 201</w:t>
      </w:r>
      <w:r w:rsidR="00BA0653">
        <w:rPr>
          <w:rFonts w:ascii="Cambria" w:hAnsi="Cambria"/>
        </w:rPr>
        <w:t>6a</w:t>
      </w:r>
      <w:r w:rsidR="00CB461D">
        <w:rPr>
          <w:rFonts w:ascii="Cambria" w:hAnsi="Cambria"/>
        </w:rPr>
        <w:t>)</w:t>
      </w:r>
      <w:r w:rsidR="00724790">
        <w:rPr>
          <w:rFonts w:ascii="Cambria" w:hAnsi="Cambria"/>
        </w:rPr>
        <w:t>. Emergency measures should be temporary in their application. The continuance of the measures should be evaluated by pest risk analysis or other comparable examination as soon as possible, to ensure that the continuance of the measure is technically justified’</w:t>
      </w:r>
      <w:r>
        <w:rPr>
          <w:rFonts w:ascii="Cambria" w:hAnsi="Cambria"/>
        </w:rPr>
        <w:t xml:space="preserve">. ISPM No. 5 defines an emergency measure as </w:t>
      </w:r>
      <w:r>
        <w:rPr>
          <w:rFonts w:ascii="Cambria" w:eastAsia="Cambria" w:hAnsi="Cambria" w:cs="Times-Roman"/>
        </w:rPr>
        <w:t xml:space="preserve">a </w:t>
      </w:r>
      <w:r>
        <w:rPr>
          <w:rFonts w:ascii="Cambria" w:eastAsia="Cambria" w:hAnsi="Cambria" w:cs="Times-Bold"/>
          <w:bCs/>
        </w:rPr>
        <w:t>phytosanitary measure</w:t>
      </w:r>
      <w:r>
        <w:rPr>
          <w:rFonts w:ascii="Cambria" w:eastAsia="Cambria" w:hAnsi="Cambria" w:cs="Times-Bold"/>
          <w:b/>
          <w:bCs/>
        </w:rPr>
        <w:t xml:space="preserve"> </w:t>
      </w:r>
      <w:r>
        <w:rPr>
          <w:rFonts w:ascii="Cambria" w:eastAsia="Cambria" w:hAnsi="Cambria" w:cs="Times-Roman"/>
        </w:rPr>
        <w:t xml:space="preserve">established as a matter of urgency in a new or unexpected phytosanitary situation </w:t>
      </w:r>
      <w:r>
        <w:rPr>
          <w:rFonts w:ascii="Cambria" w:hAnsi="Cambria"/>
        </w:rPr>
        <w:t>(FAO 201</w:t>
      </w:r>
      <w:r w:rsidR="00BA0653">
        <w:rPr>
          <w:rFonts w:ascii="Cambria" w:hAnsi="Cambria"/>
        </w:rPr>
        <w:t>6c</w:t>
      </w:r>
      <w:r>
        <w:rPr>
          <w:rFonts w:ascii="Cambria" w:hAnsi="Cambria"/>
        </w:rPr>
        <w:t>)</w:t>
      </w:r>
      <w:r>
        <w:rPr>
          <w:rFonts w:ascii="Cambria" w:eastAsia="Cambria" w:hAnsi="Cambria" w:cs="Times-Roman"/>
        </w:rPr>
        <w:t xml:space="preserve">. An emergency measure may or may not be a </w:t>
      </w:r>
      <w:r>
        <w:rPr>
          <w:rFonts w:ascii="Cambria" w:eastAsia="Cambria" w:hAnsi="Cambria" w:cs="Times-Bold"/>
          <w:bCs/>
        </w:rPr>
        <w:t>provisional measure</w:t>
      </w:r>
      <w:r>
        <w:rPr>
          <w:rFonts w:ascii="Cambria" w:eastAsia="Cambria" w:hAnsi="Cambria" w:cs="Times-Roman"/>
        </w:rPr>
        <w:t>.</w:t>
      </w:r>
    </w:p>
    <w:p w14:paraId="6A1880AB" w14:textId="51E54BE0" w:rsidR="008163B6" w:rsidRDefault="00F709BD" w:rsidP="006279EB">
      <w:pPr>
        <w:spacing w:before="120" w:after="120" w:line="276" w:lineRule="auto"/>
        <w:rPr>
          <w:rFonts w:ascii="Cambria" w:eastAsia="Cambria" w:hAnsi="Cambria" w:cs="Times-Roman"/>
        </w:rPr>
      </w:pPr>
      <w:r>
        <w:rPr>
          <w:rFonts w:ascii="Cambria" w:eastAsia="Cambria" w:hAnsi="Cambria" w:cs="Times-Roman"/>
        </w:rPr>
        <w:t xml:space="preserve">CGMMV is </w:t>
      </w:r>
      <w:r w:rsidR="00CC0813">
        <w:rPr>
          <w:rFonts w:ascii="Cambria" w:eastAsia="Cambria" w:hAnsi="Cambria" w:cs="Times-Roman"/>
        </w:rPr>
        <w:t>seed-borne</w:t>
      </w:r>
      <w:r>
        <w:rPr>
          <w:rFonts w:ascii="Cambria" w:eastAsia="Cambria" w:hAnsi="Cambria" w:cs="Times-Roman"/>
        </w:rPr>
        <w:t xml:space="preserve"> and seed-transmissible in several cucurbit seeds (Yoon et al. 2008; Liu et al. 2014; </w:t>
      </w:r>
      <w:proofErr w:type="spellStart"/>
      <w:r>
        <w:rPr>
          <w:rFonts w:ascii="Cambria" w:eastAsia="Cambria" w:hAnsi="Cambria" w:cs="Times-Roman"/>
        </w:rPr>
        <w:t>Reingold</w:t>
      </w:r>
      <w:proofErr w:type="spellEnd"/>
      <w:r>
        <w:rPr>
          <w:rFonts w:ascii="Cambria" w:eastAsia="Cambria" w:hAnsi="Cambria" w:cs="Times-Roman"/>
        </w:rPr>
        <w:t xml:space="preserve"> et al. 2015), infects host plants systemically (Moreno et al. 2004), is an economically important pathogen (</w:t>
      </w:r>
      <w:r>
        <w:rPr>
          <w:rFonts w:ascii="Cambria" w:hAnsi="Cambria" w:cs="Arial"/>
        </w:rPr>
        <w:t xml:space="preserve">Nilsson 1977; </w:t>
      </w:r>
      <w:proofErr w:type="spellStart"/>
      <w:r>
        <w:rPr>
          <w:rFonts w:ascii="Cambria" w:hAnsi="Cambria" w:cs="Arial"/>
        </w:rPr>
        <w:t>Reingold</w:t>
      </w:r>
      <w:proofErr w:type="spellEnd"/>
      <w:r>
        <w:rPr>
          <w:rFonts w:ascii="Cambria" w:hAnsi="Cambria" w:cs="Arial"/>
        </w:rPr>
        <w:t xml:space="preserve"> et al. 2015) and </w:t>
      </w:r>
      <w:r>
        <w:rPr>
          <w:rFonts w:ascii="Cambria" w:eastAsia="Cambria" w:hAnsi="Cambria" w:cs="Times-Roman"/>
        </w:rPr>
        <w:t xml:space="preserve">was </w:t>
      </w:r>
      <w:r w:rsidR="00CB461D">
        <w:rPr>
          <w:rFonts w:ascii="Cambria" w:hAnsi="Cambria" w:cstheme="minorHAnsi"/>
        </w:rPr>
        <w:t xml:space="preserve">confirmed to occur </w:t>
      </w:r>
      <w:r>
        <w:rPr>
          <w:rFonts w:ascii="Cambria" w:hAnsi="Cambria" w:cstheme="minorHAnsi"/>
        </w:rPr>
        <w:t>in commercial watermelon farms near Katherine and Darwin, in the Northern Territory,</w:t>
      </w:r>
      <w:r>
        <w:rPr>
          <w:rFonts w:ascii="Cambria" w:eastAsia="Cambria" w:hAnsi="Cambria" w:cs="Times-Roman"/>
        </w:rPr>
        <w:t xml:space="preserve"> Australia in </w:t>
      </w:r>
      <w:r w:rsidR="00CB461D" w:rsidRPr="00CB461D">
        <w:rPr>
          <w:rFonts w:ascii="Cambria" w:eastAsia="Cambria" w:hAnsi="Cambria" w:cs="Times-Roman"/>
        </w:rPr>
        <w:t>September</w:t>
      </w:r>
      <w:r w:rsidR="00CB461D">
        <w:rPr>
          <w:rFonts w:ascii="Cambria" w:eastAsia="Cambria" w:hAnsi="Cambria" w:cs="Times-Roman"/>
        </w:rPr>
        <w:t xml:space="preserve"> </w:t>
      </w:r>
      <w:r>
        <w:rPr>
          <w:rFonts w:ascii="Cambria" w:eastAsia="Cambria" w:hAnsi="Cambria" w:cs="Times-Roman"/>
        </w:rPr>
        <w:t xml:space="preserve">2014. The introduction of this exotic virus into Australia </w:t>
      </w:r>
      <w:r w:rsidR="00CB461D">
        <w:rPr>
          <w:rFonts w:ascii="Cambria" w:eastAsia="Cambria" w:hAnsi="Cambria" w:cs="Times-Roman"/>
        </w:rPr>
        <w:t>wa</w:t>
      </w:r>
      <w:r>
        <w:rPr>
          <w:rFonts w:ascii="Cambria" w:eastAsia="Cambria" w:hAnsi="Cambria" w:cs="Times-Roman"/>
        </w:rPr>
        <w:t>s a new phytosanitary situation.</w:t>
      </w:r>
    </w:p>
    <w:p w14:paraId="490D1289" w14:textId="182E8780" w:rsidR="008163B6" w:rsidRDefault="00F709BD" w:rsidP="006279EB">
      <w:pPr>
        <w:spacing w:before="120" w:after="120" w:line="276" w:lineRule="auto"/>
        <w:rPr>
          <w:rFonts w:ascii="Cambria" w:eastAsia="Cambria" w:hAnsi="Cambria" w:cs="Times-Roman"/>
        </w:rPr>
      </w:pPr>
      <w:r>
        <w:rPr>
          <w:rFonts w:ascii="Cambria" w:hAnsi="Cambria"/>
        </w:rPr>
        <w:t xml:space="preserve">CGMMV </w:t>
      </w:r>
      <w:r w:rsidR="00FA7223">
        <w:rPr>
          <w:rFonts w:ascii="Cambria" w:hAnsi="Cambria"/>
        </w:rPr>
        <w:t xml:space="preserve">has been </w:t>
      </w:r>
      <w:r w:rsidR="00CB461D">
        <w:rPr>
          <w:rFonts w:ascii="Cambria" w:hAnsi="Cambria"/>
        </w:rPr>
        <w:t>reported to be</w:t>
      </w:r>
      <w:r>
        <w:rPr>
          <w:rFonts w:ascii="Cambria" w:hAnsi="Cambria"/>
        </w:rPr>
        <w:t xml:space="preserve"> </w:t>
      </w:r>
      <w:r w:rsidR="00CC0813">
        <w:rPr>
          <w:rFonts w:ascii="Cambria" w:hAnsi="Cambria"/>
        </w:rPr>
        <w:t>seed-borne</w:t>
      </w:r>
      <w:r>
        <w:rPr>
          <w:rFonts w:ascii="Cambria" w:hAnsi="Cambria"/>
        </w:rPr>
        <w:t xml:space="preserve"> in </w:t>
      </w:r>
      <w:r>
        <w:rPr>
          <w:rFonts w:ascii="Cambria" w:hAnsi="Cambria"/>
          <w:i/>
        </w:rPr>
        <w:t xml:space="preserve">Citrullus lanatus </w:t>
      </w:r>
      <w:r>
        <w:rPr>
          <w:rFonts w:ascii="Cambria" w:hAnsi="Cambria"/>
        </w:rPr>
        <w:t>(</w:t>
      </w:r>
      <w:r>
        <w:rPr>
          <w:rFonts w:ascii="Cambria" w:hAnsi="Cambria"/>
          <w:iCs/>
        </w:rPr>
        <w:t>Yoon et al. 2008</w:t>
      </w:r>
      <w:r>
        <w:rPr>
          <w:rFonts w:ascii="Cambria" w:hAnsi="Cambria"/>
        </w:rPr>
        <w:t>)</w:t>
      </w:r>
      <w:r>
        <w:rPr>
          <w:rFonts w:ascii="Cambria" w:hAnsi="Cambria"/>
          <w:i/>
        </w:rPr>
        <w:t xml:space="preserve">, </w:t>
      </w:r>
      <w:r w:rsidR="00EF4900">
        <w:rPr>
          <w:rFonts w:ascii="Cambria" w:hAnsi="Cambria"/>
          <w:i/>
        </w:rPr>
        <w:t xml:space="preserve">Cucumis melo </w:t>
      </w:r>
      <w:r w:rsidR="00EF4900">
        <w:rPr>
          <w:rFonts w:ascii="Cambria" w:hAnsi="Cambria"/>
        </w:rPr>
        <w:t>(</w:t>
      </w:r>
      <w:proofErr w:type="spellStart"/>
      <w:r w:rsidR="00EF4900">
        <w:rPr>
          <w:rFonts w:ascii="Cambria" w:hAnsi="Cambria"/>
          <w:iCs/>
        </w:rPr>
        <w:t>Reingold</w:t>
      </w:r>
      <w:proofErr w:type="spellEnd"/>
      <w:r w:rsidR="00EF4900">
        <w:rPr>
          <w:rFonts w:ascii="Cambria" w:hAnsi="Cambria"/>
          <w:iCs/>
        </w:rPr>
        <w:t xml:space="preserve"> et al. 2015</w:t>
      </w:r>
      <w:r w:rsidR="00EF4900">
        <w:rPr>
          <w:rFonts w:ascii="Cambria" w:hAnsi="Cambria"/>
        </w:rPr>
        <w:t>)</w:t>
      </w:r>
      <w:r w:rsidR="00EF4900">
        <w:rPr>
          <w:rFonts w:ascii="Cambria" w:hAnsi="Cambria"/>
          <w:i/>
        </w:rPr>
        <w:t xml:space="preserve">, </w:t>
      </w:r>
      <w:r>
        <w:rPr>
          <w:rFonts w:ascii="Cambria" w:hAnsi="Cambria"/>
          <w:i/>
        </w:rPr>
        <w:t xml:space="preserve">Cucumis sativus </w:t>
      </w:r>
      <w:r>
        <w:rPr>
          <w:rFonts w:ascii="Cambria" w:hAnsi="Cambria"/>
        </w:rPr>
        <w:t>(</w:t>
      </w:r>
      <w:r>
        <w:rPr>
          <w:rFonts w:ascii="Cambria" w:hAnsi="Cambria"/>
          <w:iCs/>
        </w:rPr>
        <w:t>Liu et al. 2014</w:t>
      </w:r>
      <w:r>
        <w:rPr>
          <w:rFonts w:ascii="Cambria" w:hAnsi="Cambria"/>
        </w:rPr>
        <w:t>)</w:t>
      </w:r>
      <w:r>
        <w:rPr>
          <w:rFonts w:ascii="Cambria" w:hAnsi="Cambria"/>
          <w:i/>
        </w:rPr>
        <w:t xml:space="preserve">, </w:t>
      </w:r>
      <w:r w:rsidR="00FA7223">
        <w:rPr>
          <w:rFonts w:ascii="Cambria" w:hAnsi="Cambria"/>
          <w:i/>
        </w:rPr>
        <w:t xml:space="preserve">Cucurbita maxima, Cucurbita maxima </w:t>
      </w:r>
      <w:r w:rsidR="00FA7223">
        <w:rPr>
          <w:rFonts w:ascii="Cambria" w:hAnsi="Cambria"/>
        </w:rPr>
        <w:t xml:space="preserve">x </w:t>
      </w:r>
      <w:r w:rsidR="00FA7223">
        <w:rPr>
          <w:rFonts w:ascii="Cambria" w:hAnsi="Cambria"/>
          <w:i/>
        </w:rPr>
        <w:t>Cucurbita moschata</w:t>
      </w:r>
      <w:r w:rsidR="00BC4D0C">
        <w:rPr>
          <w:rFonts w:ascii="Cambria" w:hAnsi="Cambria"/>
          <w:i/>
        </w:rPr>
        <w:t>, Cucurbita moschata</w:t>
      </w:r>
      <w:r w:rsidR="00FA7223">
        <w:rPr>
          <w:rFonts w:ascii="Cambria" w:hAnsi="Cambria"/>
          <w:i/>
        </w:rPr>
        <w:t xml:space="preserve"> </w:t>
      </w:r>
      <w:r w:rsidR="00FA7223">
        <w:rPr>
          <w:rFonts w:ascii="Cambria" w:hAnsi="Cambria"/>
        </w:rPr>
        <w:t>(</w:t>
      </w:r>
      <w:r w:rsidR="00FA7223">
        <w:rPr>
          <w:rFonts w:asciiTheme="majorHAnsi" w:hAnsiTheme="majorHAnsi"/>
          <w:iCs/>
          <w:szCs w:val="18"/>
        </w:rPr>
        <w:t>Fiona Constable [</w:t>
      </w:r>
      <w:r w:rsidR="00FA7223" w:rsidRPr="0070635C">
        <w:rPr>
          <w:rFonts w:asciiTheme="majorHAnsi" w:hAnsiTheme="majorHAnsi"/>
          <w:iCs/>
          <w:szCs w:val="18"/>
        </w:rPr>
        <w:t>D</w:t>
      </w:r>
      <w:r w:rsidR="00326368">
        <w:rPr>
          <w:rFonts w:asciiTheme="majorHAnsi" w:hAnsiTheme="majorHAnsi"/>
          <w:iCs/>
          <w:szCs w:val="18"/>
        </w:rPr>
        <w:t>EDJTR</w:t>
      </w:r>
      <w:r w:rsidR="00FA7223">
        <w:rPr>
          <w:rFonts w:asciiTheme="majorHAnsi" w:hAnsiTheme="majorHAnsi"/>
          <w:iCs/>
          <w:szCs w:val="18"/>
        </w:rPr>
        <w:t>] 2015, pers. comm., 2 December</w:t>
      </w:r>
      <w:r w:rsidR="00FA7223">
        <w:rPr>
          <w:rFonts w:ascii="Cambria" w:hAnsi="Cambria"/>
        </w:rPr>
        <w:t>)</w:t>
      </w:r>
      <w:r w:rsidR="00FA7223">
        <w:rPr>
          <w:rFonts w:ascii="Cambria" w:hAnsi="Cambria"/>
          <w:i/>
        </w:rPr>
        <w:t xml:space="preserve">, </w:t>
      </w:r>
      <w:r>
        <w:rPr>
          <w:rFonts w:ascii="Cambria" w:hAnsi="Cambria"/>
          <w:i/>
        </w:rPr>
        <w:t xml:space="preserve">Cucurbita pepo </w:t>
      </w:r>
      <w:r>
        <w:rPr>
          <w:rFonts w:ascii="Cambria" w:hAnsi="Cambria"/>
        </w:rPr>
        <w:t>(</w:t>
      </w:r>
      <w:r>
        <w:rPr>
          <w:rFonts w:ascii="Cambria" w:hAnsi="Cambria"/>
          <w:iCs/>
        </w:rPr>
        <w:t>Kwon et al. 2014</w:t>
      </w:r>
      <w:r>
        <w:rPr>
          <w:rFonts w:ascii="Cambria" w:hAnsi="Cambria"/>
        </w:rPr>
        <w:t>)</w:t>
      </w:r>
      <w:r>
        <w:rPr>
          <w:rFonts w:ascii="Cambria" w:hAnsi="Cambria"/>
          <w:i/>
        </w:rPr>
        <w:t xml:space="preserve">, Lagenaria siceraria </w:t>
      </w:r>
      <w:r>
        <w:rPr>
          <w:rFonts w:ascii="Cambria" w:hAnsi="Cambria"/>
        </w:rPr>
        <w:t>(</w:t>
      </w:r>
      <w:proofErr w:type="spellStart"/>
      <w:r>
        <w:rPr>
          <w:rFonts w:ascii="Cambria" w:hAnsi="Cambria"/>
        </w:rPr>
        <w:t>Boubourakas</w:t>
      </w:r>
      <w:proofErr w:type="spellEnd"/>
      <w:r>
        <w:rPr>
          <w:rFonts w:ascii="Cambria" w:hAnsi="Cambria"/>
        </w:rPr>
        <w:t xml:space="preserve"> et al. 2004)</w:t>
      </w:r>
      <w:r>
        <w:rPr>
          <w:rFonts w:ascii="Cambria" w:hAnsi="Cambria"/>
          <w:i/>
        </w:rPr>
        <w:t xml:space="preserve"> </w:t>
      </w:r>
      <w:r>
        <w:rPr>
          <w:rFonts w:ascii="Cambria" w:hAnsi="Cambria"/>
        </w:rPr>
        <w:t>and</w:t>
      </w:r>
      <w:r>
        <w:rPr>
          <w:rFonts w:ascii="Cambria" w:hAnsi="Cambria"/>
          <w:i/>
        </w:rPr>
        <w:t xml:space="preserve"> Trichosanthes cucumerina </w:t>
      </w:r>
      <w:r>
        <w:rPr>
          <w:rFonts w:ascii="Cambria" w:hAnsi="Cambria"/>
        </w:rPr>
        <w:t>(</w:t>
      </w:r>
      <w:proofErr w:type="spellStart"/>
      <w:r>
        <w:rPr>
          <w:rFonts w:ascii="Cambria" w:hAnsi="Cambria"/>
        </w:rPr>
        <w:t>Ariyaratne</w:t>
      </w:r>
      <w:proofErr w:type="spellEnd"/>
      <w:r>
        <w:rPr>
          <w:rFonts w:ascii="Cambria" w:hAnsi="Cambria"/>
        </w:rPr>
        <w:t xml:space="preserve"> et al. 2005)</w:t>
      </w:r>
      <w:r>
        <w:rPr>
          <w:rFonts w:ascii="Cambria" w:hAnsi="Cambria"/>
          <w:i/>
        </w:rPr>
        <w:t>.</w:t>
      </w:r>
      <w:r>
        <w:rPr>
          <w:rFonts w:ascii="Cambria" w:hAnsi="Cambria"/>
          <w:lang w:eastAsia="en-AU"/>
        </w:rPr>
        <w:t xml:space="preserve"> Therefore, </w:t>
      </w:r>
      <w:r w:rsidR="00CB461D">
        <w:rPr>
          <w:rFonts w:ascii="Cambria" w:hAnsi="Cambria"/>
          <w:lang w:eastAsia="en-AU"/>
        </w:rPr>
        <w:t xml:space="preserve">the </w:t>
      </w:r>
      <w:r>
        <w:rPr>
          <w:rFonts w:ascii="Cambria" w:eastAsia="Cambria" w:hAnsi="Cambria" w:cs="Times-Roman"/>
        </w:rPr>
        <w:t>seed</w:t>
      </w:r>
      <w:r w:rsidR="00CB461D">
        <w:rPr>
          <w:rFonts w:ascii="Cambria" w:eastAsia="Cambria" w:hAnsi="Cambria" w:cs="Times-Roman"/>
        </w:rPr>
        <w:t>s of these hosts</w:t>
      </w:r>
      <w:r>
        <w:rPr>
          <w:rFonts w:ascii="Cambria" w:eastAsia="Cambria" w:hAnsi="Cambria" w:cs="Times-Roman"/>
        </w:rPr>
        <w:t xml:space="preserve"> provide a pathway for </w:t>
      </w:r>
      <w:r w:rsidR="00CB461D">
        <w:rPr>
          <w:rFonts w:ascii="Cambria" w:eastAsia="Cambria" w:hAnsi="Cambria" w:cs="Times-Roman"/>
        </w:rPr>
        <w:t xml:space="preserve">the introduction of </w:t>
      </w:r>
      <w:r>
        <w:rPr>
          <w:rFonts w:ascii="Cambria" w:eastAsia="Cambria" w:hAnsi="Cambria" w:cs="Times-Roman"/>
        </w:rPr>
        <w:t>this virus</w:t>
      </w:r>
      <w:r w:rsidR="00CB461D">
        <w:rPr>
          <w:rFonts w:ascii="Cambria" w:eastAsia="Cambria" w:hAnsi="Cambria" w:cs="Times-Roman"/>
        </w:rPr>
        <w:t xml:space="preserve"> into Australia</w:t>
      </w:r>
      <w:r>
        <w:rPr>
          <w:rFonts w:ascii="Cambria" w:eastAsia="Cambria" w:hAnsi="Cambria" w:cs="Times-Roman"/>
        </w:rPr>
        <w:t xml:space="preserve">. </w:t>
      </w:r>
      <w:r>
        <w:rPr>
          <w:rFonts w:ascii="Cambria" w:eastAsia="Calibri" w:hAnsi="Cambria" w:cs="Times New Roman"/>
        </w:rPr>
        <w:t xml:space="preserve">This pathway is direct as the end-use is </w:t>
      </w:r>
      <w:r w:rsidR="00CB461D">
        <w:rPr>
          <w:rFonts w:ascii="Cambria" w:eastAsia="Calibri" w:hAnsi="Cambria" w:cs="Times New Roman"/>
        </w:rPr>
        <w:t>sowing</w:t>
      </w:r>
      <w:r>
        <w:rPr>
          <w:rFonts w:ascii="Cambria" w:eastAsia="Calibri" w:hAnsi="Cambria" w:cs="Times New Roman"/>
        </w:rPr>
        <w:t>.</w:t>
      </w:r>
      <w:r>
        <w:rPr>
          <w:rFonts w:ascii="Calibri" w:eastAsia="Calibri" w:hAnsi="Calibri" w:cs="Times New Roman"/>
          <w:sz w:val="24"/>
          <w:szCs w:val="24"/>
        </w:rPr>
        <w:t xml:space="preserve"> </w:t>
      </w:r>
      <w:r>
        <w:rPr>
          <w:rFonts w:ascii="Cambria" w:eastAsia="Cambria" w:hAnsi="Cambria" w:cs="Times-Roman"/>
        </w:rPr>
        <w:t>Consequently, Australia introduced emergency measures to prevent the further introduction of CGMMV through the seed pathway.</w:t>
      </w:r>
    </w:p>
    <w:p w14:paraId="158CF9A0" w14:textId="44962915" w:rsidR="008163B6" w:rsidRDefault="00F709BD">
      <w:pPr>
        <w:pStyle w:val="Heading3"/>
        <w:keepLines/>
        <w:numPr>
          <w:ilvl w:val="2"/>
          <w:numId w:val="21"/>
        </w:numPr>
        <w:tabs>
          <w:tab w:val="clear" w:pos="720"/>
        </w:tabs>
        <w:spacing w:before="120" w:after="200"/>
        <w:ind w:left="357" w:hanging="357"/>
        <w:rPr>
          <w:rFonts w:ascii="Calibri" w:hAnsi="Calibri" w:cstheme="minorBidi"/>
          <w:sz w:val="24"/>
          <w:szCs w:val="22"/>
        </w:rPr>
      </w:pPr>
      <w:bookmarkStart w:id="272" w:name="_Toc447540807"/>
      <w:r>
        <w:rPr>
          <w:rFonts w:ascii="Calibri" w:hAnsi="Calibri" w:cstheme="minorBidi"/>
          <w:sz w:val="24"/>
          <w:szCs w:val="22"/>
        </w:rPr>
        <w:t xml:space="preserve">Emergency measures for </w:t>
      </w:r>
      <w:r w:rsidR="00473C1A">
        <w:rPr>
          <w:rFonts w:ascii="Calibri" w:hAnsi="Calibri" w:cstheme="minorBidi"/>
          <w:sz w:val="24"/>
          <w:szCs w:val="22"/>
        </w:rPr>
        <w:t xml:space="preserve">host </w:t>
      </w:r>
      <w:r>
        <w:rPr>
          <w:rFonts w:ascii="Calibri" w:hAnsi="Calibri" w:cstheme="minorBidi"/>
          <w:sz w:val="24"/>
          <w:szCs w:val="22"/>
        </w:rPr>
        <w:t>seeds for sowing</w:t>
      </w:r>
      <w:bookmarkEnd w:id="272"/>
    </w:p>
    <w:p w14:paraId="5C511929" w14:textId="59BC57A6" w:rsidR="008163B6" w:rsidRDefault="00F709BD" w:rsidP="006279EB">
      <w:pPr>
        <w:spacing w:before="120" w:after="120" w:line="276" w:lineRule="auto"/>
        <w:rPr>
          <w:rFonts w:ascii="Cambria" w:hAnsi="Cambria"/>
        </w:rPr>
      </w:pPr>
      <w:r>
        <w:rPr>
          <w:rFonts w:ascii="Cambria" w:hAnsi="Cambria" w:cs="Arial"/>
        </w:rPr>
        <w:t xml:space="preserve">The introduced emergency measures require that seeds </w:t>
      </w:r>
      <w:r w:rsidR="00722E96">
        <w:rPr>
          <w:rFonts w:ascii="Cambria" w:hAnsi="Cambria" w:cs="Arial"/>
        </w:rPr>
        <w:t xml:space="preserve">for sowing </w:t>
      </w:r>
      <w:r>
        <w:rPr>
          <w:rFonts w:ascii="Cambria" w:hAnsi="Cambria" w:cs="Arial"/>
        </w:rPr>
        <w:t xml:space="preserve">of </w:t>
      </w:r>
      <w:r>
        <w:rPr>
          <w:rFonts w:ascii="Cambria" w:hAnsi="Cambria" w:cs="Arial"/>
          <w:i/>
        </w:rPr>
        <w:t>Cucumis sativus</w:t>
      </w:r>
      <w:r>
        <w:rPr>
          <w:rFonts w:ascii="Cambria" w:hAnsi="Cambria" w:cs="Arial"/>
        </w:rPr>
        <w:t xml:space="preserve">, </w:t>
      </w:r>
      <w:r>
        <w:rPr>
          <w:rFonts w:ascii="Cambria" w:hAnsi="Cambria" w:cs="Arial"/>
          <w:i/>
        </w:rPr>
        <w:t>Cucumis melo</w:t>
      </w:r>
      <w:r>
        <w:rPr>
          <w:rFonts w:ascii="Cambria" w:hAnsi="Cambria" w:cs="Arial"/>
        </w:rPr>
        <w:t xml:space="preserve">, </w:t>
      </w:r>
      <w:r w:rsidR="00722E96">
        <w:rPr>
          <w:rFonts w:ascii="Cambria" w:hAnsi="Cambria"/>
          <w:i/>
        </w:rPr>
        <w:t>Cucurbita maxima, Cucurbita moschata</w:t>
      </w:r>
      <w:r w:rsidR="00722E96">
        <w:rPr>
          <w:rFonts w:ascii="Cambria" w:hAnsi="Cambria"/>
        </w:rPr>
        <w:t>,</w:t>
      </w:r>
      <w:r w:rsidR="00722E96">
        <w:rPr>
          <w:rFonts w:ascii="Cambria" w:hAnsi="Cambria" w:cs="Arial"/>
          <w:i/>
        </w:rPr>
        <w:t xml:space="preserve"> </w:t>
      </w:r>
      <w:r>
        <w:rPr>
          <w:rFonts w:ascii="Cambria" w:hAnsi="Cambria" w:cs="Arial"/>
          <w:i/>
        </w:rPr>
        <w:t>Cucurbita pepo</w:t>
      </w:r>
      <w:r>
        <w:rPr>
          <w:rFonts w:ascii="Cambria" w:hAnsi="Cambria" w:cs="Arial"/>
        </w:rPr>
        <w:t xml:space="preserve">, </w:t>
      </w:r>
      <w:r>
        <w:rPr>
          <w:rFonts w:ascii="Cambria" w:hAnsi="Cambria" w:cs="Arial"/>
          <w:i/>
        </w:rPr>
        <w:t>Citrullus lanatus</w:t>
      </w:r>
      <w:r>
        <w:rPr>
          <w:rFonts w:ascii="Cambria" w:hAnsi="Cambria" w:cs="Arial"/>
        </w:rPr>
        <w:t xml:space="preserve">, </w:t>
      </w:r>
      <w:r>
        <w:rPr>
          <w:rFonts w:ascii="Cambria" w:hAnsi="Cambria" w:cs="Arial"/>
          <w:i/>
        </w:rPr>
        <w:t>Lagenaria siceraria</w:t>
      </w:r>
      <w:r w:rsidR="00722E96">
        <w:rPr>
          <w:rFonts w:ascii="Cambria" w:hAnsi="Cambria" w:cs="Arial"/>
        </w:rPr>
        <w:t>,</w:t>
      </w:r>
      <w:r>
        <w:rPr>
          <w:rFonts w:ascii="Cambria" w:hAnsi="Cambria" w:cs="Arial"/>
        </w:rPr>
        <w:t xml:space="preserve"> </w:t>
      </w:r>
      <w:r>
        <w:rPr>
          <w:rFonts w:ascii="Cambria" w:hAnsi="Cambria" w:cs="Arial"/>
          <w:i/>
        </w:rPr>
        <w:t>Trichosanthes cucumerina</w:t>
      </w:r>
      <w:r>
        <w:rPr>
          <w:rFonts w:ascii="Cambria" w:hAnsi="Cambria" w:cs="Arial"/>
        </w:rPr>
        <w:t xml:space="preserve"> </w:t>
      </w:r>
      <w:r w:rsidR="00722E96">
        <w:rPr>
          <w:rFonts w:ascii="Cambria" w:hAnsi="Cambria" w:cs="Arial"/>
        </w:rPr>
        <w:t xml:space="preserve">and any hybrid of these species </w:t>
      </w:r>
      <w:r>
        <w:rPr>
          <w:rFonts w:ascii="Cambria" w:hAnsi="Cambria"/>
        </w:rPr>
        <w:t>from all sources should be subject to</w:t>
      </w:r>
      <w:r w:rsidR="00170B69">
        <w:rPr>
          <w:rFonts w:ascii="Cambria" w:hAnsi="Cambria"/>
        </w:rPr>
        <w:t xml:space="preserve"> the</w:t>
      </w:r>
      <w:r>
        <w:rPr>
          <w:rFonts w:ascii="Cambria" w:hAnsi="Cambria"/>
        </w:rPr>
        <w:t xml:space="preserve"> following conditions.</w:t>
      </w:r>
    </w:p>
    <w:p w14:paraId="2E3F0FEA" w14:textId="77777777" w:rsidR="008163B6" w:rsidRPr="00F847CC" w:rsidRDefault="00F709BD">
      <w:pPr>
        <w:pStyle w:val="Heading4"/>
        <w:spacing w:before="200"/>
      </w:pPr>
      <w:r w:rsidRPr="00F847CC">
        <w:t>Commercial seed lots</w:t>
      </w:r>
    </w:p>
    <w:p w14:paraId="44524B90" w14:textId="67C529CE" w:rsidR="008163B6" w:rsidRDefault="00F709BD" w:rsidP="006279EB">
      <w:pPr>
        <w:pStyle w:val="AQISNum"/>
        <w:widowControl w:val="0"/>
        <w:adjustRightInd w:val="0"/>
        <w:spacing w:before="120" w:after="120" w:line="276" w:lineRule="auto"/>
        <w:contextualSpacing/>
        <w:textAlignment w:val="baseline"/>
        <w:rPr>
          <w:rFonts w:ascii="Cambria" w:hAnsi="Cambria"/>
          <w:szCs w:val="22"/>
        </w:rPr>
      </w:pPr>
      <w:r>
        <w:rPr>
          <w:rFonts w:ascii="Cambria" w:hAnsi="Cambria"/>
          <w:szCs w:val="22"/>
        </w:rPr>
        <w:t>Commercial seed lots of natural</w:t>
      </w:r>
      <w:r w:rsidR="00CB461D">
        <w:rPr>
          <w:rFonts w:ascii="Cambria" w:hAnsi="Cambria"/>
          <w:szCs w:val="22"/>
        </w:rPr>
        <w:t xml:space="preserve"> </w:t>
      </w:r>
      <w:r w:rsidR="00CC0813">
        <w:rPr>
          <w:rFonts w:ascii="Cambria" w:hAnsi="Cambria"/>
          <w:szCs w:val="22"/>
        </w:rPr>
        <w:t>seed-borne</w:t>
      </w:r>
      <w:r>
        <w:rPr>
          <w:rFonts w:ascii="Cambria" w:hAnsi="Cambria"/>
          <w:szCs w:val="22"/>
        </w:rPr>
        <w:t xml:space="preserve"> hosts of CGMMV (</w:t>
      </w:r>
      <w:r w:rsidR="00CB461D">
        <w:rPr>
          <w:rFonts w:ascii="Cambria" w:hAnsi="Cambria" w:cs="Arial"/>
          <w:i/>
        </w:rPr>
        <w:t>Cucumis sativus</w:t>
      </w:r>
      <w:r w:rsidR="00CB461D">
        <w:rPr>
          <w:rFonts w:ascii="Cambria" w:hAnsi="Cambria" w:cs="Arial"/>
        </w:rPr>
        <w:t xml:space="preserve">, </w:t>
      </w:r>
      <w:r w:rsidR="00CB461D">
        <w:rPr>
          <w:rFonts w:ascii="Cambria" w:hAnsi="Cambria" w:cs="Arial"/>
          <w:i/>
        </w:rPr>
        <w:t>Cucumis melo</w:t>
      </w:r>
      <w:r w:rsidR="00CB461D">
        <w:rPr>
          <w:rFonts w:ascii="Cambria" w:hAnsi="Cambria" w:cs="Arial"/>
        </w:rPr>
        <w:t xml:space="preserve">, </w:t>
      </w:r>
      <w:r w:rsidR="00DD6194">
        <w:rPr>
          <w:rFonts w:ascii="Cambria" w:hAnsi="Cambria"/>
          <w:i/>
        </w:rPr>
        <w:t>Cucurbita maxima, Cucurbita moschata</w:t>
      </w:r>
      <w:r w:rsidR="00DD6194">
        <w:rPr>
          <w:rFonts w:ascii="Cambria" w:hAnsi="Cambria"/>
        </w:rPr>
        <w:t>,</w:t>
      </w:r>
      <w:r w:rsidR="00DD6194">
        <w:rPr>
          <w:rFonts w:ascii="Cambria" w:hAnsi="Cambria" w:cs="Arial"/>
          <w:i/>
        </w:rPr>
        <w:t xml:space="preserve"> </w:t>
      </w:r>
      <w:r w:rsidR="00CB461D">
        <w:rPr>
          <w:rFonts w:ascii="Cambria" w:hAnsi="Cambria" w:cs="Arial"/>
          <w:i/>
        </w:rPr>
        <w:t>Cucurbita pepo</w:t>
      </w:r>
      <w:r w:rsidR="00CB461D">
        <w:rPr>
          <w:rFonts w:ascii="Cambria" w:hAnsi="Cambria" w:cs="Arial"/>
        </w:rPr>
        <w:t xml:space="preserve">, </w:t>
      </w:r>
      <w:r w:rsidR="00CB461D">
        <w:rPr>
          <w:rFonts w:ascii="Cambria" w:hAnsi="Cambria" w:cs="Arial"/>
          <w:i/>
        </w:rPr>
        <w:t>Citrullus lanatus</w:t>
      </w:r>
      <w:r w:rsidR="00CB461D">
        <w:rPr>
          <w:rFonts w:ascii="Cambria" w:hAnsi="Cambria" w:cs="Arial"/>
        </w:rPr>
        <w:t xml:space="preserve">, </w:t>
      </w:r>
      <w:r w:rsidR="00CB461D">
        <w:rPr>
          <w:rFonts w:ascii="Cambria" w:hAnsi="Cambria" w:cs="Arial"/>
          <w:i/>
        </w:rPr>
        <w:t>Lagenaria siceraria</w:t>
      </w:r>
      <w:r w:rsidR="00722E96">
        <w:rPr>
          <w:rFonts w:ascii="Cambria" w:hAnsi="Cambria" w:cs="Arial"/>
        </w:rPr>
        <w:t>,</w:t>
      </w:r>
      <w:r w:rsidR="00CB461D">
        <w:rPr>
          <w:rFonts w:ascii="Cambria" w:hAnsi="Cambria" w:cs="Arial"/>
        </w:rPr>
        <w:t xml:space="preserve"> </w:t>
      </w:r>
      <w:r w:rsidR="00CB461D">
        <w:rPr>
          <w:rFonts w:ascii="Cambria" w:hAnsi="Cambria" w:cs="Arial"/>
          <w:i/>
        </w:rPr>
        <w:t>Trichosanthes cucumerina</w:t>
      </w:r>
      <w:r w:rsidR="00DD6194">
        <w:rPr>
          <w:rFonts w:ascii="Cambria" w:hAnsi="Cambria" w:cs="Arial"/>
          <w:i/>
        </w:rPr>
        <w:t xml:space="preserve"> </w:t>
      </w:r>
      <w:r w:rsidR="00DD6194">
        <w:rPr>
          <w:rFonts w:ascii="Cambria" w:hAnsi="Cambria" w:cs="Arial"/>
        </w:rPr>
        <w:t>and any hybrid of these species</w:t>
      </w:r>
      <w:r>
        <w:rPr>
          <w:rFonts w:ascii="Cambria" w:hAnsi="Cambria"/>
          <w:szCs w:val="22"/>
        </w:rPr>
        <w:t xml:space="preserve">) must be subject to </w:t>
      </w:r>
      <w:r w:rsidR="00BC56A4">
        <w:rPr>
          <w:rFonts w:ascii="Cambria" w:hAnsi="Cambria"/>
          <w:szCs w:val="22"/>
        </w:rPr>
        <w:t xml:space="preserve">the </w:t>
      </w:r>
      <w:r>
        <w:rPr>
          <w:rFonts w:ascii="Cambria" w:hAnsi="Cambria"/>
          <w:szCs w:val="22"/>
        </w:rPr>
        <w:t>following conditions</w:t>
      </w:r>
      <w:r w:rsidR="00CB461D">
        <w:rPr>
          <w:rFonts w:ascii="Cambria" w:hAnsi="Cambria"/>
          <w:szCs w:val="22"/>
        </w:rPr>
        <w:t>:</w:t>
      </w:r>
    </w:p>
    <w:p w14:paraId="2429BF10" w14:textId="0E6D5999"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szCs w:val="22"/>
        </w:rPr>
      </w:pPr>
      <w:r>
        <w:rPr>
          <w:rFonts w:ascii="Cambria" w:hAnsi="Cambria"/>
          <w:b/>
          <w:bCs/>
          <w:szCs w:val="22"/>
        </w:rPr>
        <w:t>Testing</w:t>
      </w:r>
      <w:r>
        <w:rPr>
          <w:rFonts w:ascii="Cambria" w:hAnsi="Cambria"/>
          <w:bCs/>
          <w:szCs w:val="22"/>
        </w:rPr>
        <w:t xml:space="preserve">—mandatory testing by Enzyme-Linked Immunosorbent Assay (ELISA) using a sample size of 9,400 seeds following the protocol of </w:t>
      </w:r>
      <w:r>
        <w:rPr>
          <w:rFonts w:asciiTheme="majorHAnsi" w:hAnsiTheme="majorHAnsi" w:cstheme="minorHAnsi"/>
          <w:szCs w:val="22"/>
        </w:rPr>
        <w:t>the International Seed Testing Associat</w:t>
      </w:r>
      <w:r w:rsidR="00190B18">
        <w:rPr>
          <w:rFonts w:asciiTheme="majorHAnsi" w:hAnsiTheme="majorHAnsi" w:cstheme="minorHAnsi"/>
          <w:szCs w:val="22"/>
        </w:rPr>
        <w:t xml:space="preserve">ion (ISTA) ‘7-026 Detection of </w:t>
      </w:r>
      <w:r w:rsidR="00190B18" w:rsidRPr="00190B18">
        <w:rPr>
          <w:rFonts w:asciiTheme="majorHAnsi" w:hAnsiTheme="majorHAnsi" w:cstheme="minorHAnsi"/>
          <w:i/>
          <w:szCs w:val="22"/>
        </w:rPr>
        <w:t>S</w:t>
      </w:r>
      <w:r w:rsidRPr="00190B18">
        <w:rPr>
          <w:rFonts w:asciiTheme="majorHAnsi" w:hAnsiTheme="majorHAnsi" w:cstheme="minorHAnsi"/>
          <w:i/>
          <w:szCs w:val="22"/>
        </w:rPr>
        <w:t>quash mosaic virus</w:t>
      </w:r>
      <w:r>
        <w:rPr>
          <w:rFonts w:asciiTheme="majorHAnsi" w:hAnsiTheme="majorHAnsi" w:cstheme="minorHAnsi"/>
          <w:szCs w:val="22"/>
        </w:rPr>
        <w:t xml:space="preserve">, </w:t>
      </w:r>
      <w:r>
        <w:rPr>
          <w:rFonts w:asciiTheme="majorHAnsi" w:hAnsiTheme="majorHAnsi" w:cstheme="minorHAnsi"/>
          <w:i/>
          <w:szCs w:val="22"/>
        </w:rPr>
        <w:t>Cucumber green mottle mosaic virus</w:t>
      </w:r>
      <w:r>
        <w:rPr>
          <w:rFonts w:asciiTheme="majorHAnsi" w:hAnsiTheme="majorHAnsi" w:cstheme="minorHAnsi"/>
          <w:szCs w:val="22"/>
        </w:rPr>
        <w:t xml:space="preserve"> and </w:t>
      </w:r>
      <w:r>
        <w:rPr>
          <w:rFonts w:asciiTheme="majorHAnsi" w:hAnsiTheme="majorHAnsi" w:cstheme="minorHAnsi"/>
          <w:i/>
          <w:szCs w:val="22"/>
        </w:rPr>
        <w:t>Melon necrotic spot virus</w:t>
      </w:r>
      <w:r>
        <w:rPr>
          <w:rFonts w:asciiTheme="majorHAnsi" w:hAnsiTheme="majorHAnsi" w:cstheme="minorHAnsi"/>
          <w:szCs w:val="22"/>
        </w:rPr>
        <w:t xml:space="preserve"> in cucurbits’. The testing for commercial lots of the seeds may be conducted off</w:t>
      </w:r>
      <w:r w:rsidR="00B73BB5">
        <w:rPr>
          <w:rFonts w:asciiTheme="majorHAnsi" w:hAnsiTheme="majorHAnsi" w:cstheme="minorHAnsi"/>
          <w:szCs w:val="22"/>
        </w:rPr>
        <w:t>-</w:t>
      </w:r>
      <w:r>
        <w:rPr>
          <w:rFonts w:asciiTheme="majorHAnsi" w:hAnsiTheme="majorHAnsi" w:cstheme="minorHAnsi"/>
          <w:szCs w:val="22"/>
        </w:rPr>
        <w:t xml:space="preserve">shore or onshore; </w:t>
      </w:r>
      <w:r>
        <w:rPr>
          <w:rFonts w:ascii="Cambria" w:hAnsi="Cambria"/>
          <w:bCs/>
          <w:szCs w:val="22"/>
        </w:rPr>
        <w:t>and</w:t>
      </w:r>
    </w:p>
    <w:p w14:paraId="709383EE" w14:textId="77777777" w:rsidR="008163B6" w:rsidRDefault="00F709BD" w:rsidP="00474049">
      <w:pPr>
        <w:pStyle w:val="AQISNum"/>
        <w:widowControl w:val="0"/>
        <w:numPr>
          <w:ilvl w:val="0"/>
          <w:numId w:val="34"/>
        </w:numPr>
        <w:adjustRightInd w:val="0"/>
        <w:spacing w:before="160" w:after="120" w:line="276" w:lineRule="auto"/>
        <w:ind w:left="357" w:hanging="357"/>
        <w:contextualSpacing/>
        <w:textAlignment w:val="baseline"/>
        <w:rPr>
          <w:rFonts w:ascii="Cambria" w:hAnsi="Cambria"/>
          <w:bCs/>
          <w:szCs w:val="22"/>
        </w:rPr>
      </w:pPr>
      <w:r>
        <w:rPr>
          <w:rFonts w:ascii="Cambria" w:hAnsi="Cambria"/>
          <w:b/>
          <w:bCs/>
          <w:szCs w:val="22"/>
        </w:rPr>
        <w:t>Certification</w:t>
      </w:r>
      <w:r>
        <w:rPr>
          <w:rFonts w:ascii="Cambria" w:hAnsi="Cambria"/>
          <w:bCs/>
          <w:szCs w:val="22"/>
        </w:rPr>
        <w:t xml:space="preserve">—commercial seed lots tested off-shore must be </w:t>
      </w:r>
      <w:r>
        <w:rPr>
          <w:rFonts w:ascii="Cambria" w:hAnsi="Cambria" w:cstheme="minorHAnsi"/>
          <w:szCs w:val="22"/>
        </w:rPr>
        <w:t>accompanied by an official government Phytosanitary Certificate endorsed with the following additional declaration:</w:t>
      </w:r>
    </w:p>
    <w:p w14:paraId="6639275D" w14:textId="77777777" w:rsidR="008163B6" w:rsidRDefault="00F709BD" w:rsidP="006279EB">
      <w:pPr>
        <w:pStyle w:val="BodyText2"/>
        <w:spacing w:before="120" w:after="120" w:line="276" w:lineRule="auto"/>
        <w:ind w:left="851"/>
        <w:contextualSpacing/>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using a sample size of 9,400 seeds</w:t>
      </w:r>
      <w:r>
        <w:rPr>
          <w:rFonts w:ascii="Cambria" w:hAnsi="Cambria" w:cstheme="minorHAnsi"/>
          <w:szCs w:val="22"/>
        </w:rPr>
        <w:t xml:space="preserve"> </w:t>
      </w:r>
      <w:r>
        <w:rPr>
          <w:rFonts w:ascii="Cambria" w:hAnsi="Cambria"/>
          <w:bCs/>
          <w:szCs w:val="22"/>
        </w:rPr>
        <w:t xml:space="preserve">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w:t>
      </w:r>
    </w:p>
    <w:p w14:paraId="39A7F5D3" w14:textId="1A71CDE6"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bCs/>
          <w:szCs w:val="22"/>
        </w:rPr>
        <w:t>On-arrival inspection</w:t>
      </w:r>
      <w:r>
        <w:rPr>
          <w:rFonts w:ascii="Cambria" w:hAnsi="Cambria"/>
          <w:bCs/>
          <w:szCs w:val="22"/>
        </w:rPr>
        <w:t xml:space="preserve">—commercial seed lots must be subject to on-arrival inspection to </w:t>
      </w:r>
      <w:r>
        <w:rPr>
          <w:rFonts w:ascii="Cambria" w:hAnsi="Cambria"/>
        </w:rPr>
        <w:t>verify freedom from live insects, soil, disease symptoms, prohibited seeds, other plant material (e.g. leaf, stem material, fruit pulp, pod material), animal material (e.g. animal faeces, feathers) and any other extraneous contamination of quarantine concern.</w:t>
      </w:r>
    </w:p>
    <w:p w14:paraId="7B8E6DB9" w14:textId="77777777" w:rsidR="008163B6" w:rsidRPr="00F847CC" w:rsidRDefault="00F709BD">
      <w:pPr>
        <w:pStyle w:val="Heading4"/>
        <w:spacing w:before="200"/>
      </w:pPr>
      <w:r w:rsidRPr="00F847CC">
        <w:t>Small seed lots</w:t>
      </w:r>
    </w:p>
    <w:p w14:paraId="22145CC0" w14:textId="038D0BAB" w:rsidR="008163B6" w:rsidRDefault="00F709BD" w:rsidP="006279EB">
      <w:pPr>
        <w:pStyle w:val="AQISNum"/>
        <w:widowControl w:val="0"/>
        <w:adjustRightInd w:val="0"/>
        <w:spacing w:before="120" w:after="120" w:line="276" w:lineRule="auto"/>
        <w:textAlignment w:val="baseline"/>
        <w:rPr>
          <w:rFonts w:ascii="Cambria" w:hAnsi="Cambria"/>
          <w:szCs w:val="22"/>
        </w:rPr>
      </w:pPr>
      <w:r>
        <w:rPr>
          <w:rFonts w:ascii="Cambria" w:hAnsi="Cambria"/>
          <w:szCs w:val="22"/>
        </w:rPr>
        <w:t>Small seed lots of natural</w:t>
      </w:r>
      <w:r w:rsidR="00CB461D">
        <w:rPr>
          <w:rFonts w:ascii="Cambria" w:hAnsi="Cambria"/>
          <w:szCs w:val="22"/>
        </w:rPr>
        <w:t xml:space="preserve"> </w:t>
      </w:r>
      <w:r w:rsidR="00CC0813">
        <w:rPr>
          <w:rFonts w:ascii="Cambria" w:hAnsi="Cambria"/>
          <w:szCs w:val="22"/>
        </w:rPr>
        <w:t>seed-borne</w:t>
      </w:r>
      <w:r>
        <w:rPr>
          <w:rFonts w:ascii="Cambria" w:hAnsi="Cambria"/>
          <w:szCs w:val="22"/>
        </w:rPr>
        <w:t xml:space="preserve"> hosts of CGMMV (</w:t>
      </w:r>
      <w:r w:rsidR="00DD6194">
        <w:rPr>
          <w:rFonts w:ascii="Cambria" w:hAnsi="Cambria" w:cs="Arial"/>
          <w:i/>
        </w:rPr>
        <w:t>Cucumis sativus</w:t>
      </w:r>
      <w:r w:rsidR="00DD6194">
        <w:rPr>
          <w:rFonts w:ascii="Cambria" w:hAnsi="Cambria" w:cs="Arial"/>
        </w:rPr>
        <w:t xml:space="preserve">, </w:t>
      </w:r>
      <w:r w:rsidR="00DD6194">
        <w:rPr>
          <w:rFonts w:ascii="Cambria" w:hAnsi="Cambria" w:cs="Arial"/>
          <w:i/>
        </w:rPr>
        <w:t>Cucumis melo</w:t>
      </w:r>
      <w:r w:rsidR="00DD6194">
        <w:rPr>
          <w:rFonts w:ascii="Cambria" w:hAnsi="Cambria" w:cs="Arial"/>
        </w:rPr>
        <w:t xml:space="preserve">, </w:t>
      </w:r>
      <w:r w:rsidR="00DD6194">
        <w:rPr>
          <w:rFonts w:ascii="Cambria" w:hAnsi="Cambria"/>
          <w:i/>
        </w:rPr>
        <w:t>Cucurbita maxima, Cucurbita moschata</w:t>
      </w:r>
      <w:r w:rsidR="00DD6194">
        <w:rPr>
          <w:rFonts w:ascii="Cambria" w:hAnsi="Cambria"/>
        </w:rPr>
        <w:t>,</w:t>
      </w:r>
      <w:r w:rsidR="00DD6194">
        <w:rPr>
          <w:rFonts w:ascii="Cambria" w:hAnsi="Cambria" w:cs="Arial"/>
          <w:i/>
        </w:rPr>
        <w:t xml:space="preserve"> Cucurbita pepo</w:t>
      </w:r>
      <w:r w:rsidR="00DD6194">
        <w:rPr>
          <w:rFonts w:ascii="Cambria" w:hAnsi="Cambria" w:cs="Arial"/>
        </w:rPr>
        <w:t xml:space="preserve">, </w:t>
      </w:r>
      <w:r w:rsidR="00DD6194">
        <w:rPr>
          <w:rFonts w:ascii="Cambria" w:hAnsi="Cambria" w:cs="Arial"/>
          <w:i/>
        </w:rPr>
        <w:t>Citrullus lanatus</w:t>
      </w:r>
      <w:r w:rsidR="00DD6194">
        <w:rPr>
          <w:rFonts w:ascii="Cambria" w:hAnsi="Cambria" w:cs="Arial"/>
        </w:rPr>
        <w:t xml:space="preserve">, </w:t>
      </w:r>
      <w:r w:rsidR="00DD6194">
        <w:rPr>
          <w:rFonts w:ascii="Cambria" w:hAnsi="Cambria" w:cs="Arial"/>
          <w:i/>
        </w:rPr>
        <w:t>Lagenaria siceraria</w:t>
      </w:r>
      <w:r w:rsidR="006D606B">
        <w:rPr>
          <w:rFonts w:ascii="Cambria" w:hAnsi="Cambria" w:cs="Arial"/>
        </w:rPr>
        <w:t>,</w:t>
      </w:r>
      <w:r w:rsidR="00DD6194">
        <w:rPr>
          <w:rFonts w:ascii="Cambria" w:hAnsi="Cambria" w:cs="Arial"/>
        </w:rPr>
        <w:t xml:space="preserve"> </w:t>
      </w:r>
      <w:r w:rsidR="00DD6194">
        <w:rPr>
          <w:rFonts w:ascii="Cambria" w:hAnsi="Cambria" w:cs="Arial"/>
          <w:i/>
        </w:rPr>
        <w:t xml:space="preserve">Trichosanthes cucumerina </w:t>
      </w:r>
      <w:r w:rsidR="00DD6194">
        <w:rPr>
          <w:rFonts w:ascii="Cambria" w:hAnsi="Cambria" w:cs="Arial"/>
        </w:rPr>
        <w:t>and any hybrid of these species</w:t>
      </w:r>
      <w:r>
        <w:rPr>
          <w:rFonts w:ascii="Cambria" w:hAnsi="Cambria"/>
          <w:szCs w:val="22"/>
        </w:rPr>
        <w:t>)</w:t>
      </w:r>
      <w:r w:rsidR="005850E0">
        <w:rPr>
          <w:rFonts w:ascii="Cambria" w:hAnsi="Cambria"/>
          <w:szCs w:val="22"/>
        </w:rPr>
        <w:t xml:space="preserve"> are defined by seed lot weight (Table 8)</w:t>
      </w:r>
      <w:r w:rsidR="00CB461D">
        <w:rPr>
          <w:rFonts w:ascii="Cambria" w:hAnsi="Cambria"/>
          <w:szCs w:val="22"/>
        </w:rPr>
        <w:t xml:space="preserve"> and must be subject to the following conditions:</w:t>
      </w:r>
    </w:p>
    <w:p w14:paraId="0237060C" w14:textId="72D3849A" w:rsidR="008163B6" w:rsidRDefault="00F709BD" w:rsidP="006279EB">
      <w:pPr>
        <w:pStyle w:val="AQISNum"/>
        <w:widowControl w:val="0"/>
        <w:numPr>
          <w:ilvl w:val="0"/>
          <w:numId w:val="34"/>
        </w:numPr>
        <w:adjustRightInd w:val="0"/>
        <w:spacing w:before="120" w:after="120" w:line="276" w:lineRule="auto"/>
        <w:ind w:left="357" w:hanging="357"/>
        <w:textAlignment w:val="baseline"/>
      </w:pPr>
      <w:r>
        <w:rPr>
          <w:rFonts w:ascii="Cambria" w:hAnsi="Cambria"/>
          <w:b/>
          <w:bCs/>
          <w:szCs w:val="22"/>
        </w:rPr>
        <w:t>On-arrival inspection</w:t>
      </w:r>
      <w:r>
        <w:rPr>
          <w:rFonts w:ascii="Cambria" w:hAnsi="Cambria"/>
          <w:bCs/>
          <w:szCs w:val="22"/>
        </w:rPr>
        <w:t xml:space="preserve">—small seed lots must be subject to on-arrival inspection to </w:t>
      </w:r>
      <w:r>
        <w:rPr>
          <w:rFonts w:ascii="Cambria" w:hAnsi="Cambria"/>
        </w:rPr>
        <w:t>verify freedom from live insects, soil, disease symptoms, prohibited seeds, other plant material (e.g. leaf, stem material, fruit pulp, pod material), animal material (e.g. animal faeces, feathers) and any other extraneous contamination of quarantine concern.</w:t>
      </w:r>
    </w:p>
    <w:p w14:paraId="13EFBB1A" w14:textId="58094807" w:rsidR="008163B6" w:rsidRDefault="00F709BD" w:rsidP="006279EB">
      <w:pPr>
        <w:pStyle w:val="AQISNum"/>
        <w:widowControl w:val="0"/>
        <w:numPr>
          <w:ilvl w:val="0"/>
          <w:numId w:val="34"/>
        </w:numPr>
        <w:adjustRightInd w:val="0"/>
        <w:spacing w:before="120" w:after="120" w:line="276" w:lineRule="auto"/>
        <w:ind w:left="357" w:hanging="357"/>
        <w:textAlignment w:val="baseline"/>
        <w:rPr>
          <w:rFonts w:asciiTheme="majorHAnsi" w:hAnsiTheme="majorHAnsi" w:cstheme="minorHAnsi"/>
          <w:szCs w:val="22"/>
        </w:rPr>
      </w:pPr>
      <w:r>
        <w:rPr>
          <w:rFonts w:ascii="Cambria" w:hAnsi="Cambria"/>
          <w:b/>
          <w:bCs/>
          <w:szCs w:val="22"/>
        </w:rPr>
        <w:t>Testing</w:t>
      </w:r>
      <w:r>
        <w:rPr>
          <w:rFonts w:ascii="Cambria" w:hAnsi="Cambria"/>
          <w:bCs/>
          <w:szCs w:val="22"/>
        </w:rPr>
        <w:t xml:space="preserve">—mandatory </w:t>
      </w:r>
      <w:r w:rsidR="00CB461D">
        <w:rPr>
          <w:rFonts w:ascii="Cambria" w:hAnsi="Cambria"/>
          <w:bCs/>
          <w:szCs w:val="22"/>
        </w:rPr>
        <w:t xml:space="preserve">on-shore </w:t>
      </w:r>
      <w:r>
        <w:rPr>
          <w:rFonts w:ascii="Cambria" w:hAnsi="Cambria"/>
          <w:bCs/>
          <w:szCs w:val="22"/>
        </w:rPr>
        <w:t xml:space="preserve">testing by ELISA using a sample size of 20 percent of the seed lots weight </w:t>
      </w:r>
      <w:r>
        <w:rPr>
          <w:rFonts w:ascii="Cambria" w:hAnsi="Cambria"/>
          <w:szCs w:val="22"/>
        </w:rPr>
        <w:t>or 9,400 seed</w:t>
      </w:r>
      <w:r w:rsidR="00BA0000">
        <w:rPr>
          <w:rFonts w:ascii="Cambria" w:hAnsi="Cambria"/>
          <w:szCs w:val="22"/>
        </w:rPr>
        <w:t xml:space="preserve">s </w:t>
      </w:r>
      <w:r w:rsidR="00BA0000">
        <w:rPr>
          <w:rFonts w:ascii="Cambria" w:hAnsi="Cambria"/>
          <w:bCs/>
          <w:szCs w:val="22"/>
        </w:rPr>
        <w:t xml:space="preserve">following the protocol of </w:t>
      </w:r>
      <w:r w:rsidR="00BA0000">
        <w:rPr>
          <w:rFonts w:asciiTheme="majorHAnsi" w:hAnsiTheme="majorHAnsi" w:cstheme="minorHAnsi"/>
          <w:szCs w:val="22"/>
        </w:rPr>
        <w:t xml:space="preserve">the International Seed Testing Association (ISTA) ‘7-026 Detection of squash mosaic virus, </w:t>
      </w:r>
      <w:r w:rsidR="00BA0000">
        <w:rPr>
          <w:rFonts w:asciiTheme="majorHAnsi" w:hAnsiTheme="majorHAnsi" w:cstheme="minorHAnsi"/>
          <w:i/>
          <w:szCs w:val="22"/>
        </w:rPr>
        <w:t>Cucumber green mottle mosaic virus</w:t>
      </w:r>
      <w:r w:rsidR="00BA0000">
        <w:rPr>
          <w:rFonts w:asciiTheme="majorHAnsi" w:hAnsiTheme="majorHAnsi" w:cstheme="minorHAnsi"/>
          <w:szCs w:val="22"/>
        </w:rPr>
        <w:t xml:space="preserve"> and </w:t>
      </w:r>
      <w:r w:rsidR="00BA0000">
        <w:rPr>
          <w:rFonts w:asciiTheme="majorHAnsi" w:hAnsiTheme="majorHAnsi" w:cstheme="minorHAnsi"/>
          <w:i/>
          <w:szCs w:val="22"/>
        </w:rPr>
        <w:t>Melon necrotic spot virus</w:t>
      </w:r>
      <w:r w:rsidR="00BA0000">
        <w:rPr>
          <w:rFonts w:asciiTheme="majorHAnsi" w:hAnsiTheme="majorHAnsi" w:cstheme="minorHAnsi"/>
          <w:szCs w:val="22"/>
        </w:rPr>
        <w:t xml:space="preserve"> in cucurbits’.</w:t>
      </w:r>
    </w:p>
    <w:p w14:paraId="6EE98586" w14:textId="5F7E5C2B" w:rsidR="008163B6" w:rsidRDefault="00F709BD" w:rsidP="006279EB">
      <w:pPr>
        <w:pStyle w:val="Caption"/>
        <w:spacing w:before="120"/>
        <w:ind w:left="357"/>
        <w:rPr>
          <w:rFonts w:asciiTheme="majorHAnsi" w:eastAsiaTheme="majorEastAsia" w:hAnsiTheme="majorHAnsi" w:cstheme="majorBidi"/>
          <w:color w:val="595959" w:themeColor="text1" w:themeTint="A6"/>
          <w:sz w:val="20"/>
        </w:rPr>
      </w:pPr>
      <w:bookmarkStart w:id="273" w:name="_Toc434315841"/>
      <w:bookmarkStart w:id="274" w:name="_Toc438132881"/>
      <w:bookmarkStart w:id="275" w:name="_Toc438202166"/>
      <w:bookmarkStart w:id="276" w:name="_Toc438549550"/>
      <w:bookmarkStart w:id="277" w:name="_Toc439661116"/>
      <w:bookmarkStart w:id="278" w:name="_Toc447541254"/>
      <w:bookmarkStart w:id="279" w:name="_Toc447541273"/>
      <w:r>
        <w:rPr>
          <w:rFonts w:asciiTheme="majorHAnsi" w:eastAsiaTheme="majorEastAsia" w:hAnsiTheme="majorHAnsi" w:cstheme="majorBidi"/>
          <w:color w:val="595959" w:themeColor="text1" w:themeTint="A6"/>
          <w:sz w:val="20"/>
        </w:rPr>
        <w:t xml:space="preserve">Table </w:t>
      </w:r>
      <w:r w:rsidR="008D6C04">
        <w:rPr>
          <w:rFonts w:asciiTheme="majorHAnsi" w:eastAsiaTheme="majorEastAsia" w:hAnsiTheme="majorHAnsi" w:cstheme="majorBidi"/>
          <w:color w:val="595959" w:themeColor="text1" w:themeTint="A6"/>
          <w:sz w:val="20"/>
        </w:rPr>
        <w:fldChar w:fldCharType="begin"/>
      </w:r>
      <w:r>
        <w:rPr>
          <w:rFonts w:asciiTheme="majorHAnsi" w:eastAsiaTheme="majorEastAsia" w:hAnsiTheme="majorHAnsi" w:cstheme="majorBidi"/>
          <w:color w:val="595959" w:themeColor="text1" w:themeTint="A6"/>
          <w:sz w:val="20"/>
        </w:rPr>
        <w:instrText xml:space="preserve"> SEQ Table \* ARABIC </w:instrText>
      </w:r>
      <w:r w:rsidR="008D6C04">
        <w:rPr>
          <w:rFonts w:asciiTheme="majorHAnsi" w:eastAsiaTheme="majorEastAsia" w:hAnsiTheme="majorHAnsi" w:cstheme="majorBidi"/>
          <w:color w:val="595959" w:themeColor="text1" w:themeTint="A6"/>
          <w:sz w:val="20"/>
        </w:rPr>
        <w:fldChar w:fldCharType="separate"/>
      </w:r>
      <w:r w:rsidR="00536806">
        <w:rPr>
          <w:rFonts w:asciiTheme="majorHAnsi" w:eastAsiaTheme="majorEastAsia" w:hAnsiTheme="majorHAnsi" w:cstheme="majorBidi"/>
          <w:noProof/>
          <w:color w:val="595959" w:themeColor="text1" w:themeTint="A6"/>
          <w:sz w:val="20"/>
        </w:rPr>
        <w:t>8</w:t>
      </w:r>
      <w:r w:rsidR="008D6C04">
        <w:rPr>
          <w:rFonts w:asciiTheme="majorHAnsi" w:eastAsiaTheme="majorEastAsia" w:hAnsiTheme="majorHAnsi" w:cstheme="majorBidi"/>
          <w:color w:val="595959" w:themeColor="text1" w:themeTint="A6"/>
          <w:sz w:val="20"/>
        </w:rPr>
        <w:fldChar w:fldCharType="end"/>
      </w:r>
      <w:r>
        <w:rPr>
          <w:rFonts w:asciiTheme="majorHAnsi" w:eastAsiaTheme="majorEastAsia" w:hAnsiTheme="majorHAnsi" w:cstheme="majorBidi"/>
          <w:color w:val="595959" w:themeColor="text1" w:themeTint="A6"/>
          <w:sz w:val="20"/>
        </w:rPr>
        <w:t xml:space="preserve"> Small seed lot weights for </w:t>
      </w:r>
      <w:r w:rsidR="00473C1A">
        <w:rPr>
          <w:rFonts w:asciiTheme="majorHAnsi" w:eastAsiaTheme="majorEastAsia" w:hAnsiTheme="majorHAnsi" w:cstheme="majorBidi"/>
          <w:color w:val="595959" w:themeColor="text1" w:themeTint="A6"/>
          <w:sz w:val="20"/>
        </w:rPr>
        <w:t xml:space="preserve">host </w:t>
      </w:r>
      <w:r>
        <w:rPr>
          <w:rFonts w:asciiTheme="majorHAnsi" w:eastAsiaTheme="majorEastAsia" w:hAnsiTheme="majorHAnsi" w:cstheme="majorBidi"/>
          <w:color w:val="595959" w:themeColor="text1" w:themeTint="A6"/>
          <w:sz w:val="20"/>
        </w:rPr>
        <w:t>cucurbit seeds</w:t>
      </w:r>
      <w:bookmarkEnd w:id="273"/>
      <w:r w:rsidR="005850E0">
        <w:rPr>
          <w:rFonts w:asciiTheme="majorHAnsi" w:eastAsiaTheme="majorEastAsia" w:hAnsiTheme="majorHAnsi" w:cstheme="majorBidi"/>
          <w:color w:val="595959" w:themeColor="text1" w:themeTint="A6"/>
          <w:sz w:val="20"/>
        </w:rPr>
        <w:t xml:space="preserve"> under the emergency measures</w:t>
      </w:r>
      <w:bookmarkEnd w:id="274"/>
      <w:bookmarkEnd w:id="275"/>
      <w:bookmarkEnd w:id="276"/>
      <w:bookmarkEnd w:id="277"/>
      <w:bookmarkEnd w:id="278"/>
      <w:bookmarkEnd w:id="279"/>
    </w:p>
    <w:tbl>
      <w:tblPr>
        <w:tblW w:w="4427" w:type="pct"/>
        <w:tblInd w:w="465" w:type="dxa"/>
        <w:tblBorders>
          <w:top w:val="single" w:sz="4" w:space="0" w:color="auto"/>
          <w:bottom w:val="single" w:sz="4" w:space="0" w:color="auto"/>
        </w:tblBorders>
        <w:tblLook w:val="04A0" w:firstRow="1" w:lastRow="0" w:firstColumn="1" w:lastColumn="0" w:noHBand="0" w:noVBand="1"/>
      </w:tblPr>
      <w:tblGrid>
        <w:gridCol w:w="2769"/>
        <w:gridCol w:w="3047"/>
        <w:gridCol w:w="2215"/>
      </w:tblGrid>
      <w:tr w:rsidR="008163B6" w14:paraId="44DBE6B4" w14:textId="77777777">
        <w:trPr>
          <w:trHeight w:val="227"/>
        </w:trPr>
        <w:tc>
          <w:tcPr>
            <w:tcW w:w="1724" w:type="pct"/>
          </w:tcPr>
          <w:p w14:paraId="0FB4558D" w14:textId="77777777" w:rsidR="008163B6" w:rsidRDefault="00F709BD">
            <w:pPr>
              <w:pStyle w:val="TableText"/>
              <w:rPr>
                <w:rFonts w:ascii="Cambria" w:hAnsi="Cambria"/>
                <w:b/>
              </w:rPr>
            </w:pPr>
            <w:r>
              <w:rPr>
                <w:rFonts w:ascii="Cambria" w:hAnsi="Cambria"/>
                <w:b/>
              </w:rPr>
              <w:t>Scientific name</w:t>
            </w:r>
          </w:p>
        </w:tc>
        <w:tc>
          <w:tcPr>
            <w:tcW w:w="1897" w:type="pct"/>
          </w:tcPr>
          <w:p w14:paraId="1442BD0B" w14:textId="77777777" w:rsidR="008163B6" w:rsidRDefault="00F709BD">
            <w:pPr>
              <w:pStyle w:val="TableText"/>
              <w:rPr>
                <w:rFonts w:ascii="Cambria" w:hAnsi="Cambria"/>
                <w:b/>
              </w:rPr>
            </w:pPr>
            <w:r>
              <w:rPr>
                <w:rFonts w:ascii="Cambria" w:hAnsi="Cambria"/>
                <w:b/>
              </w:rPr>
              <w:t xml:space="preserve">Common name </w:t>
            </w:r>
          </w:p>
        </w:tc>
        <w:tc>
          <w:tcPr>
            <w:tcW w:w="1379" w:type="pct"/>
          </w:tcPr>
          <w:p w14:paraId="5F5B1906" w14:textId="77777777" w:rsidR="008163B6" w:rsidRDefault="00F709BD">
            <w:pPr>
              <w:pStyle w:val="TableText"/>
              <w:jc w:val="center"/>
              <w:rPr>
                <w:rFonts w:ascii="Cambria" w:hAnsi="Cambria"/>
                <w:b/>
              </w:rPr>
            </w:pPr>
            <w:r>
              <w:rPr>
                <w:rFonts w:ascii="Cambria" w:hAnsi="Cambria"/>
                <w:b/>
              </w:rPr>
              <w:t>Seed lot weight</w:t>
            </w:r>
          </w:p>
        </w:tc>
      </w:tr>
      <w:tr w:rsidR="008163B6" w14:paraId="01E8C5DE" w14:textId="77777777">
        <w:trPr>
          <w:trHeight w:val="227"/>
        </w:trPr>
        <w:tc>
          <w:tcPr>
            <w:tcW w:w="1724" w:type="pct"/>
          </w:tcPr>
          <w:p w14:paraId="432E53F8" w14:textId="77777777" w:rsidR="008163B6" w:rsidRDefault="00F709BD">
            <w:pPr>
              <w:pStyle w:val="TableText"/>
              <w:rPr>
                <w:rFonts w:ascii="Cambria" w:hAnsi="Cambria"/>
                <w:i/>
                <w:szCs w:val="18"/>
              </w:rPr>
            </w:pPr>
            <w:r>
              <w:rPr>
                <w:rFonts w:ascii="Cambria" w:hAnsi="Cambria"/>
                <w:i/>
                <w:szCs w:val="18"/>
              </w:rPr>
              <w:t>Cucumis sativus</w:t>
            </w:r>
          </w:p>
        </w:tc>
        <w:tc>
          <w:tcPr>
            <w:tcW w:w="1897" w:type="pct"/>
          </w:tcPr>
          <w:p w14:paraId="63581CFF" w14:textId="77777777" w:rsidR="008163B6" w:rsidRDefault="00F709BD">
            <w:pPr>
              <w:pStyle w:val="TableText"/>
              <w:rPr>
                <w:rFonts w:ascii="Cambria" w:hAnsi="Cambria"/>
                <w:szCs w:val="18"/>
              </w:rPr>
            </w:pPr>
            <w:r>
              <w:rPr>
                <w:rFonts w:ascii="Cambria" w:hAnsi="Cambria"/>
                <w:szCs w:val="18"/>
              </w:rPr>
              <w:t>Cucumber</w:t>
            </w:r>
          </w:p>
        </w:tc>
        <w:tc>
          <w:tcPr>
            <w:tcW w:w="1379" w:type="pct"/>
          </w:tcPr>
          <w:p w14:paraId="465D3C8D" w14:textId="771D2455" w:rsidR="00AC3586" w:rsidRDefault="00F709BD" w:rsidP="00DD6194">
            <w:pPr>
              <w:pStyle w:val="TableText"/>
              <w:jc w:val="center"/>
              <w:rPr>
                <w:rFonts w:ascii="Cambria" w:hAnsi="Cambria"/>
                <w:bCs/>
                <w:color w:val="000000"/>
                <w:szCs w:val="18"/>
              </w:rPr>
            </w:pPr>
            <w:r>
              <w:rPr>
                <w:rFonts w:ascii="Cambria" w:hAnsi="Cambria"/>
                <w:szCs w:val="18"/>
              </w:rPr>
              <w:t xml:space="preserve">2 </w:t>
            </w:r>
            <w:r w:rsidR="002D10CB">
              <w:rPr>
                <w:rFonts w:ascii="Cambria" w:hAnsi="Cambria"/>
                <w:szCs w:val="18"/>
              </w:rPr>
              <w:t>k</w:t>
            </w:r>
            <w:r>
              <w:rPr>
                <w:rFonts w:ascii="Cambria" w:hAnsi="Cambria"/>
                <w:szCs w:val="18"/>
              </w:rPr>
              <w:t>g or less</w:t>
            </w:r>
          </w:p>
        </w:tc>
      </w:tr>
      <w:tr w:rsidR="008163B6" w14:paraId="5ADB4527" w14:textId="77777777">
        <w:trPr>
          <w:trHeight w:val="227"/>
        </w:trPr>
        <w:tc>
          <w:tcPr>
            <w:tcW w:w="1724" w:type="pct"/>
          </w:tcPr>
          <w:p w14:paraId="59FB848D" w14:textId="77777777" w:rsidR="008163B6" w:rsidRDefault="00F709BD">
            <w:pPr>
              <w:pStyle w:val="TableText"/>
              <w:rPr>
                <w:rFonts w:ascii="Cambria" w:hAnsi="Cambria"/>
                <w:i/>
                <w:szCs w:val="18"/>
              </w:rPr>
            </w:pPr>
            <w:r>
              <w:rPr>
                <w:rFonts w:ascii="Cambria" w:hAnsi="Cambria"/>
                <w:i/>
                <w:szCs w:val="18"/>
              </w:rPr>
              <w:t>Cucumis melo</w:t>
            </w:r>
          </w:p>
        </w:tc>
        <w:tc>
          <w:tcPr>
            <w:tcW w:w="1897" w:type="pct"/>
          </w:tcPr>
          <w:p w14:paraId="21190A31" w14:textId="77777777" w:rsidR="008163B6" w:rsidRDefault="00F709BD">
            <w:pPr>
              <w:pStyle w:val="TableText"/>
              <w:rPr>
                <w:rFonts w:ascii="Cambria" w:hAnsi="Cambria"/>
                <w:szCs w:val="18"/>
              </w:rPr>
            </w:pPr>
            <w:r>
              <w:rPr>
                <w:rFonts w:ascii="Cambria" w:hAnsi="Cambria"/>
                <w:szCs w:val="18"/>
              </w:rPr>
              <w:t>Melon (Rockmelon &amp; Honeydew)</w:t>
            </w:r>
          </w:p>
        </w:tc>
        <w:tc>
          <w:tcPr>
            <w:tcW w:w="1379" w:type="pct"/>
          </w:tcPr>
          <w:p w14:paraId="58A8B2AC" w14:textId="3407D162" w:rsidR="008163B6" w:rsidRDefault="00F709BD">
            <w:pPr>
              <w:pStyle w:val="TableText"/>
              <w:jc w:val="center"/>
              <w:rPr>
                <w:rFonts w:ascii="Cambria" w:hAnsi="Cambria"/>
                <w:szCs w:val="18"/>
              </w:rPr>
            </w:pPr>
            <w:r>
              <w:rPr>
                <w:rFonts w:ascii="Cambria" w:hAnsi="Cambria"/>
                <w:szCs w:val="18"/>
              </w:rPr>
              <w:t xml:space="preserve">2 </w:t>
            </w:r>
            <w:r w:rsidR="002D10CB">
              <w:rPr>
                <w:rFonts w:ascii="Cambria" w:hAnsi="Cambria"/>
                <w:szCs w:val="18"/>
              </w:rPr>
              <w:t>k</w:t>
            </w:r>
            <w:r>
              <w:rPr>
                <w:rFonts w:ascii="Cambria" w:hAnsi="Cambria"/>
                <w:szCs w:val="18"/>
              </w:rPr>
              <w:t>g or less</w:t>
            </w:r>
          </w:p>
        </w:tc>
      </w:tr>
      <w:tr w:rsidR="008163B6" w14:paraId="7AC95512" w14:textId="77777777">
        <w:trPr>
          <w:trHeight w:val="227"/>
        </w:trPr>
        <w:tc>
          <w:tcPr>
            <w:tcW w:w="1724" w:type="pct"/>
          </w:tcPr>
          <w:p w14:paraId="28F8CCC0" w14:textId="77777777" w:rsidR="008163B6" w:rsidRDefault="00F709BD">
            <w:pPr>
              <w:pStyle w:val="TableText"/>
              <w:rPr>
                <w:rFonts w:ascii="Cambria" w:hAnsi="Cambria"/>
                <w:i/>
                <w:szCs w:val="18"/>
              </w:rPr>
            </w:pPr>
            <w:r>
              <w:rPr>
                <w:rFonts w:ascii="Cambria" w:hAnsi="Cambria"/>
                <w:i/>
                <w:szCs w:val="18"/>
              </w:rPr>
              <w:t>Citrullus lanatus</w:t>
            </w:r>
          </w:p>
        </w:tc>
        <w:tc>
          <w:tcPr>
            <w:tcW w:w="1897" w:type="pct"/>
          </w:tcPr>
          <w:p w14:paraId="6BD3A495" w14:textId="77777777" w:rsidR="008163B6" w:rsidRDefault="00F709BD">
            <w:pPr>
              <w:pStyle w:val="TableText"/>
              <w:rPr>
                <w:rFonts w:ascii="Cambria" w:hAnsi="Cambria"/>
                <w:szCs w:val="18"/>
              </w:rPr>
            </w:pPr>
            <w:r>
              <w:rPr>
                <w:rFonts w:ascii="Cambria" w:hAnsi="Cambria"/>
                <w:szCs w:val="18"/>
              </w:rPr>
              <w:t>Watermelon</w:t>
            </w:r>
          </w:p>
        </w:tc>
        <w:tc>
          <w:tcPr>
            <w:tcW w:w="1379" w:type="pct"/>
          </w:tcPr>
          <w:p w14:paraId="315DE93B" w14:textId="2AF863DC" w:rsidR="008163B6" w:rsidRDefault="00F709BD">
            <w:pPr>
              <w:pStyle w:val="TableText"/>
              <w:jc w:val="center"/>
              <w:rPr>
                <w:rFonts w:ascii="Cambria" w:hAnsi="Cambria"/>
                <w:szCs w:val="18"/>
              </w:rPr>
            </w:pPr>
            <w:r>
              <w:rPr>
                <w:rFonts w:ascii="Cambria" w:hAnsi="Cambria"/>
                <w:szCs w:val="18"/>
              </w:rPr>
              <w:t xml:space="preserve">3 </w:t>
            </w:r>
            <w:r w:rsidR="002D10CB">
              <w:rPr>
                <w:rFonts w:ascii="Cambria" w:hAnsi="Cambria"/>
                <w:szCs w:val="18"/>
              </w:rPr>
              <w:t>k</w:t>
            </w:r>
            <w:r>
              <w:rPr>
                <w:rFonts w:ascii="Cambria" w:hAnsi="Cambria"/>
                <w:szCs w:val="18"/>
              </w:rPr>
              <w:t>g or less</w:t>
            </w:r>
          </w:p>
        </w:tc>
      </w:tr>
      <w:tr w:rsidR="00746090" w14:paraId="1EDC9723" w14:textId="77777777">
        <w:trPr>
          <w:trHeight w:val="227"/>
        </w:trPr>
        <w:tc>
          <w:tcPr>
            <w:tcW w:w="1724" w:type="pct"/>
          </w:tcPr>
          <w:p w14:paraId="4D1A5FBD" w14:textId="4E485B9C" w:rsidR="00746090" w:rsidRDefault="00746090">
            <w:pPr>
              <w:pStyle w:val="TableText"/>
              <w:rPr>
                <w:rFonts w:ascii="Cambria" w:hAnsi="Cambria"/>
                <w:i/>
                <w:szCs w:val="18"/>
              </w:rPr>
            </w:pPr>
            <w:r>
              <w:rPr>
                <w:rFonts w:ascii="Cambria" w:hAnsi="Cambria"/>
                <w:i/>
                <w:szCs w:val="18"/>
              </w:rPr>
              <w:t>Cucurbita maxima</w:t>
            </w:r>
          </w:p>
        </w:tc>
        <w:tc>
          <w:tcPr>
            <w:tcW w:w="1897" w:type="pct"/>
          </w:tcPr>
          <w:p w14:paraId="07D7C648" w14:textId="5DC96BD5" w:rsidR="00746090" w:rsidRDefault="00746090">
            <w:pPr>
              <w:pStyle w:val="TableText"/>
              <w:rPr>
                <w:rFonts w:ascii="Cambria" w:hAnsi="Cambria"/>
                <w:szCs w:val="18"/>
              </w:rPr>
            </w:pPr>
            <w:r>
              <w:rPr>
                <w:rFonts w:ascii="Cambria" w:hAnsi="Cambria"/>
                <w:szCs w:val="18"/>
              </w:rPr>
              <w:t>Pumpkin</w:t>
            </w:r>
          </w:p>
        </w:tc>
        <w:tc>
          <w:tcPr>
            <w:tcW w:w="1379" w:type="pct"/>
          </w:tcPr>
          <w:p w14:paraId="7BDE6BDA" w14:textId="64F0A1F2" w:rsidR="00746090" w:rsidRDefault="00746090">
            <w:pPr>
              <w:pStyle w:val="TableText"/>
              <w:jc w:val="center"/>
              <w:rPr>
                <w:rFonts w:ascii="Cambria" w:hAnsi="Cambria"/>
                <w:szCs w:val="18"/>
              </w:rPr>
            </w:pPr>
            <w:r>
              <w:rPr>
                <w:rFonts w:ascii="Cambria" w:hAnsi="Cambria"/>
                <w:szCs w:val="18"/>
              </w:rPr>
              <w:t>10 kg or less</w:t>
            </w:r>
          </w:p>
        </w:tc>
      </w:tr>
      <w:tr w:rsidR="00746090" w14:paraId="237F8A7F" w14:textId="77777777">
        <w:trPr>
          <w:trHeight w:val="227"/>
        </w:trPr>
        <w:tc>
          <w:tcPr>
            <w:tcW w:w="1724" w:type="pct"/>
          </w:tcPr>
          <w:p w14:paraId="5DB5C38B" w14:textId="30370804" w:rsidR="00746090" w:rsidRDefault="00746090">
            <w:pPr>
              <w:pStyle w:val="TableText"/>
              <w:rPr>
                <w:rFonts w:ascii="Cambria" w:hAnsi="Cambria"/>
                <w:i/>
                <w:szCs w:val="18"/>
              </w:rPr>
            </w:pPr>
            <w:r>
              <w:rPr>
                <w:rFonts w:ascii="Cambria" w:hAnsi="Cambria"/>
                <w:i/>
                <w:szCs w:val="18"/>
              </w:rPr>
              <w:t>Cucurbita moschata</w:t>
            </w:r>
          </w:p>
        </w:tc>
        <w:tc>
          <w:tcPr>
            <w:tcW w:w="1897" w:type="pct"/>
          </w:tcPr>
          <w:p w14:paraId="211B8E2E" w14:textId="187E5251" w:rsidR="00746090" w:rsidRDefault="00746090">
            <w:pPr>
              <w:pStyle w:val="TableText"/>
              <w:rPr>
                <w:rFonts w:ascii="Cambria" w:hAnsi="Cambria"/>
                <w:szCs w:val="18"/>
              </w:rPr>
            </w:pPr>
            <w:r>
              <w:rPr>
                <w:rFonts w:ascii="Cambria" w:hAnsi="Cambria"/>
                <w:szCs w:val="18"/>
              </w:rPr>
              <w:t>Pumpkin</w:t>
            </w:r>
          </w:p>
        </w:tc>
        <w:tc>
          <w:tcPr>
            <w:tcW w:w="1379" w:type="pct"/>
          </w:tcPr>
          <w:p w14:paraId="392A36A8" w14:textId="2E2BE215" w:rsidR="00746090" w:rsidRDefault="00746090">
            <w:pPr>
              <w:pStyle w:val="TableText"/>
              <w:jc w:val="center"/>
              <w:rPr>
                <w:rFonts w:ascii="Cambria" w:hAnsi="Cambria"/>
                <w:szCs w:val="18"/>
              </w:rPr>
            </w:pPr>
            <w:r>
              <w:rPr>
                <w:rFonts w:ascii="Cambria" w:hAnsi="Cambria"/>
                <w:szCs w:val="18"/>
              </w:rPr>
              <w:t>10 kg or less</w:t>
            </w:r>
          </w:p>
        </w:tc>
      </w:tr>
      <w:tr w:rsidR="008163B6" w14:paraId="4EA945B9" w14:textId="77777777">
        <w:trPr>
          <w:trHeight w:val="227"/>
        </w:trPr>
        <w:tc>
          <w:tcPr>
            <w:tcW w:w="1724" w:type="pct"/>
          </w:tcPr>
          <w:p w14:paraId="18D18F2C" w14:textId="77777777" w:rsidR="008163B6" w:rsidRDefault="00F709BD">
            <w:pPr>
              <w:pStyle w:val="TableText"/>
              <w:rPr>
                <w:rFonts w:ascii="Cambria" w:hAnsi="Cambria"/>
                <w:i/>
                <w:szCs w:val="18"/>
              </w:rPr>
            </w:pPr>
            <w:r>
              <w:rPr>
                <w:rFonts w:ascii="Cambria" w:hAnsi="Cambria"/>
                <w:i/>
                <w:szCs w:val="18"/>
              </w:rPr>
              <w:t>Cucurbita pepo</w:t>
            </w:r>
          </w:p>
        </w:tc>
        <w:tc>
          <w:tcPr>
            <w:tcW w:w="1897" w:type="pct"/>
          </w:tcPr>
          <w:p w14:paraId="3A6E59BC" w14:textId="41649C28" w:rsidR="008163B6" w:rsidRDefault="003566C6">
            <w:pPr>
              <w:pStyle w:val="TableText"/>
              <w:rPr>
                <w:rFonts w:ascii="Cambria" w:hAnsi="Cambria"/>
                <w:szCs w:val="18"/>
              </w:rPr>
            </w:pPr>
            <w:r>
              <w:rPr>
                <w:rFonts w:ascii="Cambria" w:hAnsi="Cambria"/>
                <w:szCs w:val="18"/>
              </w:rPr>
              <w:t>Zucchini, Squash, P</w:t>
            </w:r>
            <w:r w:rsidR="00F709BD">
              <w:rPr>
                <w:rFonts w:ascii="Cambria" w:hAnsi="Cambria"/>
                <w:szCs w:val="18"/>
              </w:rPr>
              <w:t>umpkin</w:t>
            </w:r>
          </w:p>
        </w:tc>
        <w:tc>
          <w:tcPr>
            <w:tcW w:w="1379" w:type="pct"/>
          </w:tcPr>
          <w:p w14:paraId="36755777" w14:textId="161BBECC" w:rsidR="008163B6" w:rsidRDefault="00F709BD">
            <w:pPr>
              <w:pStyle w:val="TableText"/>
              <w:jc w:val="center"/>
              <w:rPr>
                <w:rFonts w:ascii="Cambria" w:hAnsi="Cambria"/>
                <w:szCs w:val="18"/>
              </w:rPr>
            </w:pPr>
            <w:r>
              <w:rPr>
                <w:rFonts w:ascii="Cambria" w:hAnsi="Cambria"/>
                <w:szCs w:val="18"/>
              </w:rPr>
              <w:t xml:space="preserve">10 </w:t>
            </w:r>
            <w:r w:rsidR="002D10CB">
              <w:rPr>
                <w:rFonts w:ascii="Cambria" w:hAnsi="Cambria"/>
                <w:szCs w:val="18"/>
              </w:rPr>
              <w:t>k</w:t>
            </w:r>
            <w:r>
              <w:rPr>
                <w:rFonts w:ascii="Cambria" w:hAnsi="Cambria"/>
                <w:szCs w:val="18"/>
              </w:rPr>
              <w:t>g or less</w:t>
            </w:r>
          </w:p>
        </w:tc>
      </w:tr>
      <w:tr w:rsidR="008163B6" w14:paraId="702639FD" w14:textId="77777777">
        <w:trPr>
          <w:trHeight w:val="227"/>
        </w:trPr>
        <w:tc>
          <w:tcPr>
            <w:tcW w:w="1724" w:type="pct"/>
          </w:tcPr>
          <w:p w14:paraId="4EE4ADB6" w14:textId="77777777" w:rsidR="008163B6" w:rsidRDefault="00F709BD">
            <w:pPr>
              <w:pStyle w:val="TableText"/>
              <w:rPr>
                <w:rFonts w:ascii="Cambria" w:hAnsi="Cambria"/>
                <w:i/>
                <w:szCs w:val="18"/>
              </w:rPr>
            </w:pPr>
            <w:r>
              <w:rPr>
                <w:rFonts w:ascii="Cambria" w:hAnsi="Cambria"/>
                <w:i/>
                <w:szCs w:val="18"/>
              </w:rPr>
              <w:t>Lagenaria siceraria</w:t>
            </w:r>
          </w:p>
        </w:tc>
        <w:tc>
          <w:tcPr>
            <w:tcW w:w="1897" w:type="pct"/>
          </w:tcPr>
          <w:p w14:paraId="35E90159" w14:textId="77777777" w:rsidR="008163B6" w:rsidRDefault="00F709BD">
            <w:pPr>
              <w:pStyle w:val="TableText"/>
              <w:rPr>
                <w:rFonts w:ascii="Cambria" w:hAnsi="Cambria"/>
                <w:szCs w:val="18"/>
              </w:rPr>
            </w:pPr>
            <w:r>
              <w:rPr>
                <w:rFonts w:ascii="Cambria" w:hAnsi="Cambria"/>
                <w:szCs w:val="18"/>
              </w:rPr>
              <w:t>Bottle gourd</w:t>
            </w:r>
          </w:p>
        </w:tc>
        <w:tc>
          <w:tcPr>
            <w:tcW w:w="1379" w:type="pct"/>
          </w:tcPr>
          <w:p w14:paraId="46E59231" w14:textId="417363B6" w:rsidR="008163B6" w:rsidRDefault="00F709BD">
            <w:pPr>
              <w:pStyle w:val="TableText"/>
              <w:jc w:val="center"/>
              <w:rPr>
                <w:rFonts w:ascii="Cambria" w:hAnsi="Cambria"/>
                <w:szCs w:val="18"/>
              </w:rPr>
            </w:pPr>
            <w:r>
              <w:rPr>
                <w:rFonts w:ascii="Cambria" w:hAnsi="Cambria"/>
                <w:szCs w:val="18"/>
              </w:rPr>
              <w:t>5</w:t>
            </w:r>
            <w:r w:rsidR="002D10CB">
              <w:rPr>
                <w:rFonts w:ascii="Cambria" w:hAnsi="Cambria"/>
                <w:szCs w:val="18"/>
              </w:rPr>
              <w:t xml:space="preserve"> k</w:t>
            </w:r>
            <w:r>
              <w:rPr>
                <w:rFonts w:ascii="Cambria" w:hAnsi="Cambria"/>
                <w:szCs w:val="18"/>
              </w:rPr>
              <w:t>g or less</w:t>
            </w:r>
          </w:p>
        </w:tc>
      </w:tr>
      <w:tr w:rsidR="008163B6" w14:paraId="26377979" w14:textId="77777777">
        <w:trPr>
          <w:trHeight w:val="227"/>
        </w:trPr>
        <w:tc>
          <w:tcPr>
            <w:tcW w:w="1724" w:type="pct"/>
          </w:tcPr>
          <w:p w14:paraId="058B9719" w14:textId="77777777" w:rsidR="008163B6" w:rsidRDefault="00F709BD">
            <w:pPr>
              <w:pStyle w:val="TableText"/>
              <w:rPr>
                <w:rFonts w:ascii="Cambria" w:hAnsi="Cambria"/>
                <w:i/>
                <w:szCs w:val="18"/>
              </w:rPr>
            </w:pPr>
            <w:r>
              <w:rPr>
                <w:rFonts w:ascii="Cambria" w:hAnsi="Cambria"/>
                <w:i/>
                <w:szCs w:val="18"/>
              </w:rPr>
              <w:t>Trichosanthes cucumerina</w:t>
            </w:r>
          </w:p>
        </w:tc>
        <w:tc>
          <w:tcPr>
            <w:tcW w:w="1897" w:type="pct"/>
          </w:tcPr>
          <w:p w14:paraId="57305B0B" w14:textId="77777777" w:rsidR="008163B6" w:rsidRDefault="00F709BD">
            <w:pPr>
              <w:pStyle w:val="TableText"/>
              <w:rPr>
                <w:rFonts w:ascii="Cambria" w:hAnsi="Cambria"/>
                <w:szCs w:val="18"/>
              </w:rPr>
            </w:pPr>
            <w:r>
              <w:rPr>
                <w:rFonts w:ascii="Cambria" w:hAnsi="Cambria"/>
                <w:szCs w:val="18"/>
              </w:rPr>
              <w:t>Serpent gourd</w:t>
            </w:r>
          </w:p>
        </w:tc>
        <w:tc>
          <w:tcPr>
            <w:tcW w:w="1379" w:type="pct"/>
          </w:tcPr>
          <w:p w14:paraId="7521A157" w14:textId="02C52186" w:rsidR="00AC3586" w:rsidRDefault="00F709BD" w:rsidP="00DD6194">
            <w:pPr>
              <w:pStyle w:val="TableText"/>
              <w:jc w:val="center"/>
              <w:rPr>
                <w:rFonts w:ascii="Cambria" w:hAnsi="Cambria"/>
                <w:bCs/>
                <w:color w:val="000000"/>
                <w:szCs w:val="18"/>
              </w:rPr>
            </w:pPr>
            <w:r>
              <w:rPr>
                <w:rFonts w:ascii="Cambria" w:hAnsi="Cambria"/>
                <w:szCs w:val="18"/>
              </w:rPr>
              <w:t>5</w:t>
            </w:r>
            <w:r w:rsidR="002D10CB">
              <w:rPr>
                <w:rFonts w:ascii="Cambria" w:hAnsi="Cambria"/>
                <w:szCs w:val="18"/>
              </w:rPr>
              <w:t xml:space="preserve"> k</w:t>
            </w:r>
            <w:r>
              <w:rPr>
                <w:rFonts w:ascii="Cambria" w:hAnsi="Cambria"/>
                <w:szCs w:val="18"/>
              </w:rPr>
              <w:t>g or less</w:t>
            </w:r>
          </w:p>
        </w:tc>
      </w:tr>
    </w:tbl>
    <w:p w14:paraId="6A683B70"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280" w:name="_Toc432885892"/>
      <w:bookmarkStart w:id="281" w:name="_Toc447540808"/>
      <w:r>
        <w:rPr>
          <w:rFonts w:eastAsiaTheme="majorEastAsia" w:cstheme="majorBidi"/>
          <w:color w:val="773141"/>
          <w:sz w:val="28"/>
        </w:rPr>
        <w:t>Evaluation of emergency measures</w:t>
      </w:r>
      <w:bookmarkEnd w:id="280"/>
      <w:bookmarkEnd w:id="281"/>
    </w:p>
    <w:p w14:paraId="3BBD3737" w14:textId="12339650" w:rsidR="008163B6" w:rsidRDefault="00F709BD" w:rsidP="006279EB">
      <w:pPr>
        <w:tabs>
          <w:tab w:val="left" w:pos="2268"/>
        </w:tabs>
        <w:spacing w:before="120" w:after="120" w:line="276" w:lineRule="auto"/>
        <w:contextualSpacing/>
        <w:rPr>
          <w:rFonts w:ascii="Cambria" w:hAnsi="Cambria"/>
        </w:rPr>
      </w:pPr>
      <w:r>
        <w:rPr>
          <w:rFonts w:ascii="Cambria" w:hAnsi="Cambria" w:cs="Arial"/>
        </w:rPr>
        <w:t xml:space="preserve">Under the IPPC and WTO SPS Agreement, phytosanitary measures against the introduction of new pests must be technically justified. </w:t>
      </w:r>
      <w:r>
        <w:rPr>
          <w:rFonts w:ascii="Cambria" w:hAnsi="Cambria"/>
          <w:iCs/>
        </w:rPr>
        <w:t xml:space="preserve">ISPM </w:t>
      </w:r>
      <w:r w:rsidR="003B1EF1">
        <w:rPr>
          <w:rFonts w:ascii="Cambria" w:hAnsi="Cambria"/>
          <w:iCs/>
        </w:rPr>
        <w:t xml:space="preserve">No. </w:t>
      </w:r>
      <w:r w:rsidR="00142CA3">
        <w:rPr>
          <w:rFonts w:ascii="Cambria" w:hAnsi="Cambria"/>
          <w:iCs/>
        </w:rPr>
        <w:t xml:space="preserve">1 </w:t>
      </w:r>
      <w:r>
        <w:rPr>
          <w:rFonts w:ascii="Cambria" w:hAnsi="Cambria" w:cs="Arial"/>
        </w:rPr>
        <w:t xml:space="preserve">states that countries may take appropriate emergency action on a pest posing a potential threat to its territories; however, </w:t>
      </w:r>
      <w:r>
        <w:rPr>
          <w:rFonts w:ascii="Cambria" w:hAnsi="Cambria"/>
        </w:rPr>
        <w:t>continuance of the measures should be evaluated by pest risk analysis or other comparable examination as soon as possible, to ensure that the continuance of the measure is technically justified (FAO 201</w:t>
      </w:r>
      <w:r w:rsidR="00BA0653">
        <w:rPr>
          <w:rFonts w:ascii="Cambria" w:hAnsi="Cambria"/>
        </w:rPr>
        <w:t>6d</w:t>
      </w:r>
      <w:r>
        <w:rPr>
          <w:rFonts w:ascii="Cambria" w:hAnsi="Cambria"/>
        </w:rPr>
        <w:t>)</w:t>
      </w:r>
      <w:r>
        <w:rPr>
          <w:rFonts w:ascii="Cambria" w:hAnsi="Cambria" w:cs="Arial"/>
        </w:rPr>
        <w:t xml:space="preserve">. </w:t>
      </w:r>
      <w:r>
        <w:rPr>
          <w:rFonts w:ascii="Cambria" w:hAnsi="Cambria"/>
        </w:rPr>
        <w:t xml:space="preserve">As part of this PRA, the department </w:t>
      </w:r>
      <w:r w:rsidR="008467A2">
        <w:rPr>
          <w:rFonts w:ascii="Cambria" w:hAnsi="Cambria"/>
        </w:rPr>
        <w:t xml:space="preserve">has </w:t>
      </w:r>
      <w:r>
        <w:rPr>
          <w:rFonts w:ascii="Cambria" w:hAnsi="Cambria"/>
        </w:rPr>
        <w:t xml:space="preserve">evaluated the appropriateness of the emergency measures to determine if alternative or additional measures are required for cucurbit propagative material. </w:t>
      </w:r>
    </w:p>
    <w:p w14:paraId="64FC18A9" w14:textId="3C167175" w:rsidR="008163B6" w:rsidRDefault="00473C1A">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282" w:name="_Toc432885893"/>
      <w:bookmarkStart w:id="283" w:name="_Toc447540809"/>
      <w:r>
        <w:rPr>
          <w:rFonts w:ascii="Calibri" w:hAnsi="Calibri" w:cstheme="minorBidi"/>
          <w:sz w:val="24"/>
          <w:szCs w:val="22"/>
        </w:rPr>
        <w:t>S</w:t>
      </w:r>
      <w:r w:rsidR="00F709BD">
        <w:rPr>
          <w:rFonts w:ascii="Calibri" w:hAnsi="Calibri" w:cstheme="minorBidi"/>
          <w:sz w:val="24"/>
          <w:szCs w:val="22"/>
        </w:rPr>
        <w:t>eeds for sowing from all sources (commercial or small lots)</w:t>
      </w:r>
      <w:bookmarkEnd w:id="282"/>
      <w:bookmarkEnd w:id="283"/>
    </w:p>
    <w:p w14:paraId="364B09E0" w14:textId="440B757D" w:rsidR="008163B6" w:rsidRDefault="00F709BD">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rPr>
        <w:t>Testing</w:t>
      </w:r>
      <w:r>
        <w:rPr>
          <w:rFonts w:ascii="Cambria" w:hAnsi="Cambria"/>
          <w:bCs/>
          <w:szCs w:val="22"/>
        </w:rPr>
        <w:t>—t</w:t>
      </w:r>
      <w:r>
        <w:rPr>
          <w:rFonts w:ascii="Cambria" w:hAnsi="Cambria"/>
        </w:rPr>
        <w:t xml:space="preserve">he existing requirements </w:t>
      </w:r>
      <w:r>
        <w:rPr>
          <w:rFonts w:ascii="Cambria" w:hAnsi="Cambria"/>
          <w:szCs w:val="22"/>
        </w:rPr>
        <w:t xml:space="preserve">for </w:t>
      </w:r>
      <w:r>
        <w:rPr>
          <w:rFonts w:ascii="Cambria" w:hAnsi="Cambria"/>
        </w:rPr>
        <w:t>mandatory testing by ELISA (</w:t>
      </w:r>
      <w:r>
        <w:rPr>
          <w:rFonts w:ascii="Cambria" w:hAnsi="Cambria"/>
          <w:bCs/>
          <w:szCs w:val="22"/>
        </w:rPr>
        <w:t xml:space="preserve">using a sample size of 20 percent of the seed lots weight </w:t>
      </w:r>
      <w:r>
        <w:rPr>
          <w:rFonts w:ascii="Cambria" w:hAnsi="Cambria"/>
          <w:szCs w:val="22"/>
        </w:rPr>
        <w:t>or a 9,400 seed sample</w:t>
      </w:r>
      <w:r>
        <w:rPr>
          <w:rFonts w:ascii="Cambria" w:hAnsi="Cambria"/>
        </w:rPr>
        <w:t xml:space="preserve">) is an </w:t>
      </w:r>
      <w:r>
        <w:rPr>
          <w:rFonts w:ascii="Cambria" w:hAnsi="Cambria"/>
          <w:szCs w:val="22"/>
        </w:rPr>
        <w:t xml:space="preserve">appropriate phytosanitary measure for the safe introduction of </w:t>
      </w:r>
      <w:r w:rsidR="00473C1A">
        <w:rPr>
          <w:rFonts w:ascii="Cambria" w:hAnsi="Cambria"/>
          <w:szCs w:val="22"/>
        </w:rPr>
        <w:t xml:space="preserve">host </w:t>
      </w:r>
      <w:r>
        <w:rPr>
          <w:rFonts w:ascii="Cambria" w:hAnsi="Cambria"/>
        </w:rPr>
        <w:t>seeds. The ultimate goal of testing or treatment is to manage the risk of introducing CGMMV through trade in seed and to achieve Australia’s ALOP. Therefore, the existing requirement for mandatory testing is supported.</w:t>
      </w:r>
    </w:p>
    <w:p w14:paraId="77C6A13A" w14:textId="696772EB" w:rsidR="008163B6" w:rsidRDefault="00F709BD">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rPr>
        <w:t>Certification</w:t>
      </w:r>
      <w:r>
        <w:rPr>
          <w:rFonts w:ascii="Cambria" w:hAnsi="Cambria"/>
          <w:bCs/>
          <w:szCs w:val="22"/>
        </w:rPr>
        <w:t>—c</w:t>
      </w:r>
      <w:r>
        <w:rPr>
          <w:rFonts w:ascii="Cambria" w:hAnsi="Cambria"/>
        </w:rPr>
        <w:t>onsistent with ISPM</w:t>
      </w:r>
      <w:r w:rsidR="003566C6">
        <w:rPr>
          <w:rFonts w:ascii="Cambria" w:hAnsi="Cambria"/>
        </w:rPr>
        <w:t xml:space="preserve"> </w:t>
      </w:r>
      <w:r w:rsidR="003B1EF1">
        <w:rPr>
          <w:rFonts w:ascii="Cambria" w:hAnsi="Cambria"/>
        </w:rPr>
        <w:t xml:space="preserve">No. </w:t>
      </w:r>
      <w:r>
        <w:rPr>
          <w:rFonts w:ascii="Cambria" w:hAnsi="Cambria"/>
        </w:rPr>
        <w:t xml:space="preserve">7 and 12, Australia requires that if seed testing is performed off-shore, the exporting country should certify that each consignment has been tested and found free of CGMMV. Phytosanitary certification is used to attest that consignments meet the phytosanitary requirements of the importing country and are conducted in accordance with ISPM </w:t>
      </w:r>
      <w:r w:rsidR="003B1EF1">
        <w:rPr>
          <w:rFonts w:ascii="Cambria" w:hAnsi="Cambria"/>
        </w:rPr>
        <w:t xml:space="preserve">No. </w:t>
      </w:r>
      <w:r>
        <w:rPr>
          <w:rFonts w:ascii="Cambria" w:hAnsi="Cambria"/>
        </w:rPr>
        <w:t xml:space="preserve">12: </w:t>
      </w:r>
      <w:r>
        <w:rPr>
          <w:rFonts w:ascii="Cambria" w:hAnsi="Cambria"/>
          <w:i/>
          <w:iCs/>
        </w:rPr>
        <w:t>Phytosanitary Certificates.</w:t>
      </w:r>
      <w:r>
        <w:rPr>
          <w:rFonts w:ascii="Cambria" w:hAnsi="Cambria"/>
        </w:rPr>
        <w:t xml:space="preserve"> Phytosanitary certification facilitates safe international trade in plants, plant products and other regulated articles by providing internationally agreed documentation and procedures. Therefore, the existing requirement of certification is supported.</w:t>
      </w:r>
    </w:p>
    <w:p w14:paraId="1A241985" w14:textId="77777777" w:rsidR="008163B6" w:rsidRDefault="00F709BD">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bCs/>
          <w:szCs w:val="22"/>
        </w:rPr>
        <w:t>On-arrival inspection</w:t>
      </w:r>
      <w:r>
        <w:rPr>
          <w:rFonts w:ascii="Cambria" w:hAnsi="Cambria"/>
          <w:bCs/>
          <w:szCs w:val="22"/>
        </w:rPr>
        <w:t xml:space="preserve">—the existing requirement of on-arrival inspection for seeds for sowing to </w:t>
      </w:r>
      <w:r>
        <w:rPr>
          <w:rFonts w:ascii="Cambria" w:hAnsi="Cambria"/>
        </w:rPr>
        <w:t>verify freedom from live insects, soil, disease symptoms, prohibited seeds, other plant material, animal material and any other extraneous contamination of quarantine concern is supported.</w:t>
      </w:r>
    </w:p>
    <w:p w14:paraId="5CD196C8" w14:textId="77777777" w:rsidR="008163B6" w:rsidRDefault="00F709BD">
      <w:pPr>
        <w:pStyle w:val="Heading2"/>
        <w:numPr>
          <w:ilvl w:val="1"/>
          <w:numId w:val="21"/>
        </w:numPr>
        <w:tabs>
          <w:tab w:val="clear" w:pos="576"/>
        </w:tabs>
        <w:spacing w:before="200" w:after="120"/>
        <w:ind w:left="357" w:hanging="357"/>
        <w:rPr>
          <w:rFonts w:eastAsiaTheme="majorEastAsia" w:cstheme="majorBidi"/>
          <w:color w:val="773141"/>
          <w:sz w:val="28"/>
        </w:rPr>
      </w:pPr>
      <w:bookmarkStart w:id="284" w:name="_Toc447540810"/>
      <w:r>
        <w:rPr>
          <w:rFonts w:eastAsiaTheme="majorEastAsia" w:cstheme="majorBidi"/>
          <w:color w:val="773141"/>
          <w:sz w:val="28"/>
        </w:rPr>
        <w:t>Proposed risk mitigation measures</w:t>
      </w:r>
      <w:bookmarkEnd w:id="284"/>
    </w:p>
    <w:p w14:paraId="6F92513E" w14:textId="4C8BDBB7" w:rsidR="00FA350D" w:rsidRDefault="00F709BD" w:rsidP="006279EB">
      <w:pPr>
        <w:spacing w:before="120" w:after="120" w:line="276" w:lineRule="auto"/>
        <w:rPr>
          <w:rFonts w:ascii="Cambria" w:eastAsia="Cambria" w:hAnsi="Cambria" w:cs="LucidaBright"/>
        </w:rPr>
      </w:pPr>
      <w:r>
        <w:rPr>
          <w:rFonts w:ascii="Cambria" w:hAnsi="Cambria"/>
        </w:rPr>
        <w:t>Australia considers that the emergency measures, introduced in October 2014</w:t>
      </w:r>
      <w:r w:rsidR="00336515">
        <w:rPr>
          <w:rFonts w:ascii="Cambria" w:hAnsi="Cambria"/>
        </w:rPr>
        <w:t xml:space="preserve"> and amended in December 2015</w:t>
      </w:r>
      <w:r>
        <w:rPr>
          <w:rFonts w:ascii="Cambria" w:hAnsi="Cambria"/>
        </w:rPr>
        <w:t xml:space="preserve">, are </w:t>
      </w:r>
      <w:r>
        <w:rPr>
          <w:rFonts w:ascii="Cambria" w:hAnsi="Cambria"/>
          <w:szCs w:val="24"/>
        </w:rPr>
        <w:t>adequate</w:t>
      </w:r>
      <w:r>
        <w:rPr>
          <w:rFonts w:ascii="Cambria" w:hAnsi="Cambria"/>
        </w:rPr>
        <w:t xml:space="preserve"> to mitigate the risk posed by CGMMV. Therefore, these emergency measures will become standard conditions to import</w:t>
      </w:r>
      <w:r w:rsidR="00FA350D">
        <w:rPr>
          <w:rFonts w:ascii="Cambria" w:hAnsi="Cambria"/>
        </w:rPr>
        <w:t xml:space="preserve"> host</w:t>
      </w:r>
      <w:r>
        <w:rPr>
          <w:rFonts w:ascii="Cambria" w:hAnsi="Cambria"/>
        </w:rPr>
        <w:t xml:space="preserve"> cucurbit seeds</w:t>
      </w:r>
      <w:r w:rsidR="00BA0000">
        <w:rPr>
          <w:rFonts w:ascii="Cambria" w:hAnsi="Cambria"/>
        </w:rPr>
        <w:t xml:space="preserve"> for sowing</w:t>
      </w:r>
      <w:r>
        <w:rPr>
          <w:rFonts w:ascii="Cambria" w:hAnsi="Cambria"/>
        </w:rPr>
        <w:t xml:space="preserve"> into Australia from all sources.</w:t>
      </w:r>
      <w:r w:rsidR="00336515">
        <w:rPr>
          <w:rFonts w:ascii="Cambria" w:eastAsia="Cambria" w:hAnsi="Cambria" w:cs="LucidaBright"/>
        </w:rPr>
        <w:t xml:space="preserve"> The only proposed change is to allow </w:t>
      </w:r>
      <w:r w:rsidR="00FA350D">
        <w:rPr>
          <w:rFonts w:ascii="Cambria" w:eastAsia="Cambria" w:hAnsi="Cambria" w:cs="LucidaBright"/>
        </w:rPr>
        <w:t>the option for small seed lots to be tested off-shore for freedom from CGMMV.</w:t>
      </w:r>
    </w:p>
    <w:p w14:paraId="5B43A884" w14:textId="4652FF5E" w:rsidR="008163B6" w:rsidRPr="00BA0000" w:rsidRDefault="00FA350D" w:rsidP="006279EB">
      <w:pPr>
        <w:spacing w:before="120" w:after="120" w:line="276" w:lineRule="auto"/>
        <w:rPr>
          <w:rFonts w:ascii="Cambria" w:hAnsi="Cambria"/>
        </w:rPr>
      </w:pPr>
      <w:r>
        <w:rPr>
          <w:rFonts w:ascii="Cambria" w:eastAsia="Cambria" w:hAnsi="Cambria" w:cs="LucidaBright"/>
        </w:rPr>
        <w:t xml:space="preserve">The proposed import conditions for </w:t>
      </w:r>
      <w:r w:rsidR="00CC0813">
        <w:rPr>
          <w:rFonts w:ascii="Cambria" w:eastAsia="Cambria" w:hAnsi="Cambria" w:cs="LucidaBright"/>
        </w:rPr>
        <w:t>seed-borne</w:t>
      </w:r>
      <w:r>
        <w:rPr>
          <w:rFonts w:ascii="Cambria" w:eastAsia="Cambria" w:hAnsi="Cambria" w:cs="LucidaBright"/>
        </w:rPr>
        <w:t xml:space="preserve"> hosts of CGMMV (</w:t>
      </w:r>
      <w:r>
        <w:rPr>
          <w:rFonts w:ascii="Cambria" w:hAnsi="Cambria" w:cs="Arial"/>
          <w:i/>
        </w:rPr>
        <w:t>Cucumis sativus</w:t>
      </w:r>
      <w:r>
        <w:rPr>
          <w:rFonts w:ascii="Cambria" w:hAnsi="Cambria" w:cs="Arial"/>
        </w:rPr>
        <w:t xml:space="preserve">, </w:t>
      </w:r>
      <w:r>
        <w:rPr>
          <w:rFonts w:ascii="Cambria" w:hAnsi="Cambria" w:cs="Arial"/>
          <w:i/>
        </w:rPr>
        <w:t>Cucumis melo</w:t>
      </w:r>
      <w:r>
        <w:rPr>
          <w:rFonts w:ascii="Cambria" w:hAnsi="Cambria" w:cs="Arial"/>
        </w:rPr>
        <w:t xml:space="preserve">, </w:t>
      </w:r>
      <w:r>
        <w:rPr>
          <w:rFonts w:ascii="Cambria" w:eastAsia="Cambria" w:hAnsi="Cambria" w:cs="LucidaBright"/>
          <w:i/>
        </w:rPr>
        <w:t>Cucurbita maxima</w:t>
      </w:r>
      <w:r>
        <w:rPr>
          <w:rFonts w:ascii="Cambria" w:eastAsia="Cambria" w:hAnsi="Cambria" w:cs="LucidaBright"/>
        </w:rPr>
        <w:t>,</w:t>
      </w:r>
      <w:r>
        <w:rPr>
          <w:rFonts w:ascii="Cambria" w:eastAsia="Cambria" w:hAnsi="Cambria" w:cs="LucidaBright"/>
          <w:i/>
        </w:rPr>
        <w:t xml:space="preserve"> Cucurbita moschata</w:t>
      </w:r>
      <w:r>
        <w:rPr>
          <w:rFonts w:ascii="Cambria" w:eastAsia="Cambria" w:hAnsi="Cambria" w:cs="LucidaBright"/>
        </w:rPr>
        <w:t>,</w:t>
      </w:r>
      <w:r>
        <w:rPr>
          <w:rFonts w:ascii="Cambria" w:eastAsia="Cambria" w:hAnsi="Cambria" w:cs="LucidaBright"/>
          <w:i/>
        </w:rPr>
        <w:t xml:space="preserve"> </w:t>
      </w:r>
      <w:r>
        <w:rPr>
          <w:rFonts w:ascii="Cambria" w:hAnsi="Cambria" w:cs="Arial"/>
          <w:i/>
        </w:rPr>
        <w:t>Cucurbita pepo</w:t>
      </w:r>
      <w:r>
        <w:rPr>
          <w:rFonts w:ascii="Cambria" w:hAnsi="Cambria" w:cs="Arial"/>
        </w:rPr>
        <w:t xml:space="preserve">, </w:t>
      </w:r>
      <w:r>
        <w:rPr>
          <w:rFonts w:ascii="Cambria" w:hAnsi="Cambria" w:cs="Arial"/>
          <w:i/>
        </w:rPr>
        <w:t>Citrullus lanatus</w:t>
      </w:r>
      <w:r>
        <w:rPr>
          <w:rFonts w:ascii="Cambria" w:hAnsi="Cambria" w:cs="Arial"/>
        </w:rPr>
        <w:t xml:space="preserve">, </w:t>
      </w:r>
      <w:r>
        <w:rPr>
          <w:rFonts w:ascii="Cambria" w:hAnsi="Cambria" w:cs="Arial"/>
          <w:i/>
        </w:rPr>
        <w:t>Lagenaria siceraria</w:t>
      </w:r>
      <w:r w:rsidR="006D606B">
        <w:rPr>
          <w:rFonts w:ascii="Cambria" w:hAnsi="Cambria" w:cs="Arial"/>
        </w:rPr>
        <w:t>,</w:t>
      </w:r>
      <w:r>
        <w:rPr>
          <w:rFonts w:ascii="Cambria" w:hAnsi="Cambria" w:cs="Arial"/>
        </w:rPr>
        <w:t xml:space="preserve"> </w:t>
      </w:r>
      <w:r>
        <w:rPr>
          <w:rFonts w:ascii="Cambria" w:hAnsi="Cambria" w:cs="Arial"/>
          <w:i/>
        </w:rPr>
        <w:t>Trichosanthes cucumerina</w:t>
      </w:r>
      <w:r w:rsidR="00DD6194">
        <w:rPr>
          <w:rFonts w:ascii="Cambria" w:hAnsi="Cambria" w:cs="Arial"/>
          <w:i/>
        </w:rPr>
        <w:t xml:space="preserve"> </w:t>
      </w:r>
      <w:r w:rsidR="00DD6194">
        <w:rPr>
          <w:rFonts w:ascii="Cambria" w:hAnsi="Cambria" w:cs="Arial"/>
        </w:rPr>
        <w:t>and any hybrid of these species</w:t>
      </w:r>
      <w:r>
        <w:rPr>
          <w:rFonts w:ascii="Cambria" w:eastAsia="Cambria" w:hAnsi="Cambria" w:cs="LucidaBright"/>
        </w:rPr>
        <w:t>) are detailed below.</w:t>
      </w:r>
    </w:p>
    <w:p w14:paraId="4DA4A67F" w14:textId="17D7A86F" w:rsidR="008163B6" w:rsidRDefault="00473C1A">
      <w:pPr>
        <w:pStyle w:val="Heading3"/>
        <w:keepLines/>
        <w:numPr>
          <w:ilvl w:val="2"/>
          <w:numId w:val="21"/>
        </w:numPr>
        <w:tabs>
          <w:tab w:val="clear" w:pos="720"/>
        </w:tabs>
        <w:spacing w:before="200" w:after="200"/>
        <w:ind w:left="357" w:hanging="357"/>
        <w:rPr>
          <w:rFonts w:ascii="Calibri" w:hAnsi="Calibri" w:cstheme="minorBidi"/>
          <w:sz w:val="24"/>
          <w:szCs w:val="22"/>
        </w:rPr>
      </w:pPr>
      <w:bookmarkStart w:id="285" w:name="_Toc447540811"/>
      <w:r>
        <w:rPr>
          <w:rFonts w:ascii="Calibri" w:hAnsi="Calibri" w:cstheme="minorBidi"/>
          <w:sz w:val="24"/>
          <w:szCs w:val="22"/>
        </w:rPr>
        <w:t>S</w:t>
      </w:r>
      <w:r w:rsidR="00F709BD">
        <w:rPr>
          <w:rFonts w:ascii="Calibri" w:hAnsi="Calibri" w:cstheme="minorBidi"/>
          <w:sz w:val="24"/>
          <w:szCs w:val="22"/>
        </w:rPr>
        <w:t>eeds for sowing from all countries</w:t>
      </w:r>
      <w:bookmarkEnd w:id="285"/>
    </w:p>
    <w:p w14:paraId="4094281C" w14:textId="77B98435" w:rsidR="008163B6" w:rsidRPr="003566C6" w:rsidRDefault="00F709BD">
      <w:pPr>
        <w:pStyle w:val="Heading4"/>
        <w:spacing w:before="200"/>
      </w:pPr>
      <w:r w:rsidRPr="003566C6">
        <w:t>Commercial seed lot testing (off-shore or on-shore)</w:t>
      </w:r>
    </w:p>
    <w:p w14:paraId="54F218C8" w14:textId="1412FF0D" w:rsidR="008163B6" w:rsidRDefault="00F709BD" w:rsidP="00474049">
      <w:pPr>
        <w:pStyle w:val="AQISNum"/>
        <w:widowControl w:val="0"/>
        <w:adjustRightInd w:val="0"/>
        <w:spacing w:before="240" w:after="200" w:line="276" w:lineRule="auto"/>
        <w:contextualSpacing/>
        <w:textAlignment w:val="baseline"/>
        <w:rPr>
          <w:rFonts w:ascii="Cambria" w:hAnsi="Cambria"/>
          <w:szCs w:val="22"/>
        </w:rPr>
      </w:pPr>
      <w:r>
        <w:rPr>
          <w:rFonts w:ascii="Cambria" w:hAnsi="Cambria"/>
          <w:szCs w:val="22"/>
        </w:rPr>
        <w:t xml:space="preserve">Commercial seed lots of natural hosts of CGMMV (where the virus is </w:t>
      </w:r>
      <w:r w:rsidR="00CC0813">
        <w:rPr>
          <w:rFonts w:ascii="Cambria" w:hAnsi="Cambria"/>
          <w:szCs w:val="22"/>
        </w:rPr>
        <w:t>seed-borne</w:t>
      </w:r>
      <w:r>
        <w:rPr>
          <w:rFonts w:ascii="Cambria" w:hAnsi="Cambria"/>
          <w:szCs w:val="22"/>
        </w:rPr>
        <w:t xml:space="preserve">) </w:t>
      </w:r>
      <w:r w:rsidR="006736C2">
        <w:rPr>
          <w:rFonts w:ascii="Cambria" w:hAnsi="Cambria"/>
          <w:szCs w:val="22"/>
        </w:rPr>
        <w:t>are proposed to</w:t>
      </w:r>
      <w:r>
        <w:rPr>
          <w:rFonts w:ascii="Cambria" w:hAnsi="Cambria"/>
          <w:szCs w:val="22"/>
        </w:rPr>
        <w:t xml:space="preserve"> be subject to </w:t>
      </w:r>
      <w:r w:rsidR="00B73BB5">
        <w:rPr>
          <w:rFonts w:ascii="Cambria" w:hAnsi="Cambria"/>
          <w:szCs w:val="22"/>
        </w:rPr>
        <w:t xml:space="preserve">the </w:t>
      </w:r>
      <w:r>
        <w:rPr>
          <w:rFonts w:ascii="Cambria" w:hAnsi="Cambria"/>
          <w:szCs w:val="22"/>
        </w:rPr>
        <w:t>following conditions.</w:t>
      </w:r>
    </w:p>
    <w:p w14:paraId="66ADA4F1" w14:textId="77777777"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szCs w:val="22"/>
        </w:rPr>
      </w:pPr>
      <w:r>
        <w:rPr>
          <w:rFonts w:ascii="Cambria" w:hAnsi="Cambria"/>
          <w:b/>
          <w:bCs/>
          <w:szCs w:val="22"/>
        </w:rPr>
        <w:t>Testing</w:t>
      </w:r>
      <w:r>
        <w:rPr>
          <w:rFonts w:ascii="Cambria" w:hAnsi="Cambria"/>
          <w:bCs/>
          <w:szCs w:val="22"/>
        </w:rPr>
        <w:t xml:space="preserve">—mandatory testing by ELISA using a sample size of 9,400 seeds following the protocol of </w:t>
      </w:r>
      <w:r>
        <w:rPr>
          <w:rFonts w:asciiTheme="majorHAnsi" w:hAnsiTheme="majorHAnsi" w:cstheme="minorHAnsi"/>
          <w:szCs w:val="22"/>
        </w:rPr>
        <w:t xml:space="preserve">the ISTA ‘7-026 Detection of </w:t>
      </w:r>
      <w:r>
        <w:rPr>
          <w:rFonts w:asciiTheme="majorHAnsi" w:hAnsiTheme="majorHAnsi" w:cstheme="minorHAnsi"/>
          <w:i/>
          <w:szCs w:val="22"/>
        </w:rPr>
        <w:t>Squash mosaic virus</w:t>
      </w:r>
      <w:r>
        <w:rPr>
          <w:rFonts w:asciiTheme="majorHAnsi" w:hAnsiTheme="majorHAnsi" w:cstheme="minorHAnsi"/>
          <w:szCs w:val="22"/>
        </w:rPr>
        <w:t xml:space="preserve">, </w:t>
      </w:r>
      <w:r>
        <w:rPr>
          <w:rFonts w:asciiTheme="majorHAnsi" w:hAnsiTheme="majorHAnsi" w:cstheme="minorHAnsi"/>
          <w:i/>
          <w:szCs w:val="22"/>
        </w:rPr>
        <w:t xml:space="preserve">Cucumber green mottle mosaic virus </w:t>
      </w:r>
      <w:r>
        <w:rPr>
          <w:rFonts w:asciiTheme="majorHAnsi" w:hAnsiTheme="majorHAnsi" w:cstheme="minorHAnsi"/>
          <w:szCs w:val="22"/>
        </w:rPr>
        <w:t xml:space="preserve">and </w:t>
      </w:r>
      <w:r>
        <w:rPr>
          <w:rFonts w:asciiTheme="majorHAnsi" w:hAnsiTheme="majorHAnsi" w:cstheme="minorHAnsi"/>
          <w:i/>
          <w:szCs w:val="22"/>
        </w:rPr>
        <w:t>Melon necrotic spot virus</w:t>
      </w:r>
      <w:r>
        <w:rPr>
          <w:rFonts w:asciiTheme="majorHAnsi" w:hAnsiTheme="majorHAnsi" w:cstheme="minorHAnsi"/>
          <w:szCs w:val="22"/>
        </w:rPr>
        <w:t xml:space="preserve"> in cucurbits’; </w:t>
      </w:r>
      <w:r>
        <w:rPr>
          <w:rFonts w:ascii="Cambria" w:hAnsi="Cambria"/>
          <w:bCs/>
          <w:szCs w:val="22"/>
        </w:rPr>
        <w:t>and</w:t>
      </w:r>
    </w:p>
    <w:p w14:paraId="2E9DAE28" w14:textId="77777777"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bCs/>
          <w:szCs w:val="22"/>
        </w:rPr>
      </w:pPr>
      <w:r>
        <w:rPr>
          <w:rFonts w:ascii="Cambria" w:hAnsi="Cambria"/>
          <w:b/>
          <w:bCs/>
          <w:szCs w:val="22"/>
        </w:rPr>
        <w:t>Certification</w:t>
      </w:r>
      <w:r>
        <w:rPr>
          <w:rFonts w:ascii="Cambria" w:hAnsi="Cambria"/>
          <w:bCs/>
          <w:szCs w:val="22"/>
        </w:rPr>
        <w:t xml:space="preserve">—commercial seed lots tested off-shore must be </w:t>
      </w:r>
      <w:r>
        <w:rPr>
          <w:rFonts w:ascii="Cambria" w:hAnsi="Cambria" w:cstheme="minorHAnsi"/>
          <w:szCs w:val="22"/>
        </w:rPr>
        <w:t>accompanied by an official government Phytosanitary Certificate endorsed with the following additional declaration:</w:t>
      </w:r>
    </w:p>
    <w:p w14:paraId="722F10FD" w14:textId="77777777" w:rsidR="008163B6" w:rsidRDefault="00F709BD" w:rsidP="006279EB">
      <w:pPr>
        <w:pStyle w:val="BodyText2"/>
        <w:spacing w:before="120" w:after="120" w:line="276" w:lineRule="auto"/>
        <w:ind w:left="851"/>
        <w:contextualSpacing/>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using a sample size of 9,400 seeds</w:t>
      </w:r>
      <w:r>
        <w:rPr>
          <w:rFonts w:ascii="Cambria" w:hAnsi="Cambria" w:cstheme="minorHAnsi"/>
          <w:szCs w:val="22"/>
        </w:rPr>
        <w:t xml:space="preserve"> </w:t>
      </w:r>
      <w:r>
        <w:rPr>
          <w:rFonts w:ascii="Cambria" w:hAnsi="Cambria"/>
          <w:bCs/>
          <w:szCs w:val="22"/>
        </w:rPr>
        <w:t xml:space="preserve">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w:t>
      </w:r>
    </w:p>
    <w:p w14:paraId="12ABBFA9" w14:textId="484E2ADD"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bCs/>
          <w:szCs w:val="22"/>
        </w:rPr>
        <w:t>On-arrival inspection</w:t>
      </w:r>
      <w:r>
        <w:rPr>
          <w:rFonts w:ascii="Cambria" w:hAnsi="Cambria"/>
          <w:bCs/>
          <w:szCs w:val="22"/>
        </w:rPr>
        <w:t xml:space="preserve">—commercial seed lots must be subject to on-arrival inspection to </w:t>
      </w:r>
      <w:r>
        <w:rPr>
          <w:rFonts w:ascii="Cambria" w:hAnsi="Cambria"/>
        </w:rPr>
        <w:t>verify freedom from live insects, soil, disease symptoms, prohibited seeds, other plant material (e.g. leaf, stem material, fruit pulp, pod material), animal material (e.g. animal faeces, feathers) and any other extraneous contamination of quarantine concern.</w:t>
      </w:r>
    </w:p>
    <w:p w14:paraId="61E472B6" w14:textId="3B866B56" w:rsidR="008163B6" w:rsidRPr="003566C6" w:rsidRDefault="00F709BD">
      <w:pPr>
        <w:pStyle w:val="Heading4"/>
        <w:spacing w:before="200"/>
      </w:pPr>
      <w:r w:rsidRPr="003566C6">
        <w:t>Small seed lots testing (off-shore</w:t>
      </w:r>
      <w:r w:rsidR="001B0223" w:rsidRPr="003566C6">
        <w:t xml:space="preserve"> or on-shore</w:t>
      </w:r>
      <w:r w:rsidRPr="003566C6">
        <w:t>)</w:t>
      </w:r>
    </w:p>
    <w:p w14:paraId="4DE935FF" w14:textId="62293992" w:rsidR="00EF4900" w:rsidRDefault="00EF4900" w:rsidP="00EF4900">
      <w:pPr>
        <w:pStyle w:val="AQISNum"/>
        <w:widowControl w:val="0"/>
        <w:adjustRightInd w:val="0"/>
        <w:spacing w:before="120" w:after="120" w:line="276" w:lineRule="auto"/>
        <w:textAlignment w:val="baseline"/>
        <w:rPr>
          <w:rFonts w:ascii="Cambria" w:hAnsi="Cambria"/>
          <w:szCs w:val="22"/>
        </w:rPr>
      </w:pPr>
      <w:r>
        <w:rPr>
          <w:rFonts w:ascii="Cambria" w:hAnsi="Cambria"/>
          <w:szCs w:val="22"/>
        </w:rPr>
        <w:t xml:space="preserve">It is proposed that small seed lots continue to be defined by weight (Table </w:t>
      </w:r>
      <w:r w:rsidR="001B0223">
        <w:rPr>
          <w:rFonts w:ascii="Cambria" w:hAnsi="Cambria"/>
          <w:szCs w:val="22"/>
        </w:rPr>
        <w:t>8</w:t>
      </w:r>
      <w:r>
        <w:rPr>
          <w:rFonts w:ascii="Cambria" w:hAnsi="Cambria"/>
          <w:szCs w:val="22"/>
        </w:rPr>
        <w:t xml:space="preserve">). </w:t>
      </w:r>
    </w:p>
    <w:p w14:paraId="1411926D" w14:textId="671DA07C" w:rsidR="008163B6" w:rsidRDefault="00F709BD" w:rsidP="006279EB">
      <w:pPr>
        <w:pStyle w:val="AQISNum"/>
        <w:widowControl w:val="0"/>
        <w:adjustRightInd w:val="0"/>
        <w:spacing w:before="120" w:after="120" w:line="276" w:lineRule="auto"/>
        <w:textAlignment w:val="baseline"/>
        <w:rPr>
          <w:rFonts w:ascii="Cambria" w:hAnsi="Cambria"/>
          <w:szCs w:val="22"/>
        </w:rPr>
      </w:pPr>
      <w:r>
        <w:rPr>
          <w:rFonts w:ascii="Cambria" w:hAnsi="Cambria"/>
          <w:szCs w:val="22"/>
        </w:rPr>
        <w:t xml:space="preserve">Small seed lots of natural hosts of CGMMV (where the virus is </w:t>
      </w:r>
      <w:r w:rsidR="00CC0813">
        <w:rPr>
          <w:rFonts w:ascii="Cambria" w:hAnsi="Cambria"/>
          <w:szCs w:val="22"/>
        </w:rPr>
        <w:t>seed-borne</w:t>
      </w:r>
      <w:r>
        <w:rPr>
          <w:rFonts w:ascii="Cambria" w:hAnsi="Cambria"/>
          <w:szCs w:val="22"/>
        </w:rPr>
        <w:t xml:space="preserve">) </w:t>
      </w:r>
      <w:r w:rsidR="00FA350D">
        <w:rPr>
          <w:rFonts w:ascii="Cambria" w:hAnsi="Cambria"/>
          <w:szCs w:val="22"/>
        </w:rPr>
        <w:t xml:space="preserve">are proposed to </w:t>
      </w:r>
      <w:r>
        <w:rPr>
          <w:rFonts w:ascii="Cambria" w:hAnsi="Cambria"/>
          <w:szCs w:val="22"/>
        </w:rPr>
        <w:t xml:space="preserve">be subject to </w:t>
      </w:r>
      <w:r w:rsidR="00B73BB5">
        <w:rPr>
          <w:rFonts w:ascii="Cambria" w:hAnsi="Cambria"/>
          <w:szCs w:val="22"/>
        </w:rPr>
        <w:t xml:space="preserve">the </w:t>
      </w:r>
      <w:r>
        <w:rPr>
          <w:rFonts w:ascii="Cambria" w:hAnsi="Cambria"/>
          <w:szCs w:val="22"/>
        </w:rPr>
        <w:t>following conditions.</w:t>
      </w:r>
    </w:p>
    <w:p w14:paraId="012B1F11" w14:textId="18EE7A93" w:rsidR="008163B6" w:rsidRDefault="00F709BD" w:rsidP="006279EB">
      <w:pPr>
        <w:pStyle w:val="AQISNum"/>
        <w:widowControl w:val="0"/>
        <w:numPr>
          <w:ilvl w:val="0"/>
          <w:numId w:val="34"/>
        </w:numPr>
        <w:adjustRightInd w:val="0"/>
        <w:spacing w:before="120" w:after="120" w:line="276" w:lineRule="auto"/>
        <w:ind w:left="357" w:hanging="357"/>
        <w:textAlignment w:val="baseline"/>
        <w:rPr>
          <w:rFonts w:ascii="Cambria" w:hAnsi="Cambria"/>
          <w:szCs w:val="22"/>
        </w:rPr>
      </w:pPr>
      <w:r>
        <w:rPr>
          <w:rFonts w:ascii="Cambria" w:hAnsi="Cambria"/>
          <w:b/>
          <w:bCs/>
          <w:szCs w:val="22"/>
        </w:rPr>
        <w:t>Testing</w:t>
      </w:r>
      <w:r>
        <w:rPr>
          <w:rFonts w:ascii="Cambria" w:hAnsi="Cambria"/>
          <w:bCs/>
          <w:szCs w:val="22"/>
        </w:rPr>
        <w:t xml:space="preserve">—mandatory testing off-shore or on-shore by ELISA using a sample size of 20 percent of the seed lot weight (Table </w:t>
      </w:r>
      <w:r w:rsidR="00991AA4">
        <w:rPr>
          <w:rFonts w:ascii="Cambria" w:hAnsi="Cambria"/>
          <w:bCs/>
          <w:szCs w:val="22"/>
        </w:rPr>
        <w:t>8</w:t>
      </w:r>
      <w:r>
        <w:rPr>
          <w:rFonts w:ascii="Cambria" w:hAnsi="Cambria"/>
          <w:bCs/>
          <w:szCs w:val="22"/>
        </w:rPr>
        <w:t>)</w:t>
      </w:r>
      <w:r>
        <w:rPr>
          <w:rFonts w:ascii="Cambria" w:hAnsi="Cambria"/>
          <w:szCs w:val="22"/>
        </w:rPr>
        <w:t xml:space="preserve"> or a 9, 400 seed sample.</w:t>
      </w:r>
    </w:p>
    <w:p w14:paraId="6E537CE1" w14:textId="009DE4E3" w:rsidR="008163B6" w:rsidRDefault="00F709BD" w:rsidP="006279EB">
      <w:pPr>
        <w:pStyle w:val="AQISNum"/>
        <w:widowControl w:val="0"/>
        <w:numPr>
          <w:ilvl w:val="0"/>
          <w:numId w:val="34"/>
        </w:numPr>
        <w:adjustRightInd w:val="0"/>
        <w:spacing w:before="120" w:after="120" w:line="276" w:lineRule="auto"/>
        <w:ind w:left="357" w:hanging="357"/>
        <w:textAlignment w:val="baseline"/>
        <w:rPr>
          <w:rFonts w:ascii="Cambria" w:hAnsi="Cambria"/>
          <w:bCs/>
          <w:szCs w:val="22"/>
        </w:rPr>
      </w:pPr>
      <w:r>
        <w:rPr>
          <w:rFonts w:ascii="Cambria" w:hAnsi="Cambria"/>
          <w:b/>
          <w:bCs/>
          <w:szCs w:val="22"/>
        </w:rPr>
        <w:t>Certification</w:t>
      </w:r>
      <w:r>
        <w:rPr>
          <w:rFonts w:ascii="Cambria" w:hAnsi="Cambria"/>
          <w:bCs/>
          <w:szCs w:val="22"/>
        </w:rPr>
        <w:t xml:space="preserve">—small seed lots tested off-shore must be </w:t>
      </w:r>
      <w:r>
        <w:rPr>
          <w:rFonts w:ascii="Cambria" w:hAnsi="Cambria" w:cstheme="minorHAnsi"/>
          <w:szCs w:val="22"/>
        </w:rPr>
        <w:t>accompanied by an official government Phytosanitary Certificate endorsed with</w:t>
      </w:r>
      <w:r w:rsidR="001B0223">
        <w:rPr>
          <w:rFonts w:ascii="Cambria" w:hAnsi="Cambria" w:cstheme="minorHAnsi"/>
          <w:szCs w:val="22"/>
        </w:rPr>
        <w:t xml:space="preserve"> one of</w:t>
      </w:r>
      <w:r>
        <w:rPr>
          <w:rFonts w:ascii="Cambria" w:hAnsi="Cambria" w:cstheme="minorHAnsi"/>
          <w:szCs w:val="22"/>
        </w:rPr>
        <w:t xml:space="preserve"> the following additional declaration</w:t>
      </w:r>
      <w:r w:rsidR="001B0223">
        <w:rPr>
          <w:rFonts w:ascii="Cambria" w:hAnsi="Cambria" w:cstheme="minorHAnsi"/>
          <w:szCs w:val="22"/>
        </w:rPr>
        <w:t>s</w:t>
      </w:r>
      <w:r>
        <w:rPr>
          <w:rFonts w:ascii="Cambria" w:hAnsi="Cambria" w:cstheme="minorHAnsi"/>
          <w:szCs w:val="22"/>
        </w:rPr>
        <w:t>:</w:t>
      </w:r>
    </w:p>
    <w:p w14:paraId="13EABC4D" w14:textId="0FE1230F" w:rsidR="008163B6" w:rsidRDefault="00F709BD" w:rsidP="006279EB">
      <w:pPr>
        <w:pStyle w:val="BodyText2"/>
        <w:spacing w:before="120" w:after="120" w:line="276" w:lineRule="auto"/>
        <w:ind w:left="851"/>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 xml:space="preserve">using a sample size of 20 percent of the seed lot weight 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w:t>
      </w:r>
    </w:p>
    <w:p w14:paraId="25BE4ADA" w14:textId="046A4CB5" w:rsidR="001B0223" w:rsidRDefault="001B0223" w:rsidP="001B0223">
      <w:pPr>
        <w:pStyle w:val="BodyText2"/>
        <w:spacing w:before="120" w:after="120" w:line="276" w:lineRule="auto"/>
        <w:ind w:left="851"/>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 xml:space="preserve">using a sample size of </w:t>
      </w:r>
      <w:r w:rsidR="006736C2">
        <w:rPr>
          <w:rFonts w:ascii="Cambria" w:hAnsi="Cambria"/>
          <w:bCs/>
          <w:szCs w:val="22"/>
        </w:rPr>
        <w:t xml:space="preserve">9,400 seeds </w:t>
      </w:r>
      <w:r>
        <w:rPr>
          <w:rFonts w:ascii="Cambria" w:hAnsi="Cambria"/>
          <w:bCs/>
          <w:szCs w:val="22"/>
        </w:rPr>
        <w:t xml:space="preserve">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w:t>
      </w:r>
    </w:p>
    <w:p w14:paraId="2F469F07" w14:textId="122C7DCE" w:rsidR="008163B6" w:rsidRDefault="00F709BD" w:rsidP="006279EB">
      <w:pPr>
        <w:pStyle w:val="AQISNum"/>
        <w:widowControl w:val="0"/>
        <w:numPr>
          <w:ilvl w:val="0"/>
          <w:numId w:val="34"/>
        </w:numPr>
        <w:adjustRightInd w:val="0"/>
        <w:spacing w:before="120" w:after="120" w:line="276" w:lineRule="auto"/>
        <w:ind w:left="357" w:hanging="357"/>
        <w:textAlignment w:val="baseline"/>
      </w:pPr>
      <w:r>
        <w:rPr>
          <w:rFonts w:ascii="Cambria" w:hAnsi="Cambria"/>
          <w:b/>
          <w:bCs/>
          <w:szCs w:val="22"/>
        </w:rPr>
        <w:t>On-arrival inspection</w:t>
      </w:r>
      <w:r>
        <w:rPr>
          <w:rFonts w:ascii="Cambria" w:hAnsi="Cambria"/>
          <w:bCs/>
          <w:szCs w:val="22"/>
        </w:rPr>
        <w:t xml:space="preserve">—small seed lots must be subject to on-arrival inspection to </w:t>
      </w:r>
      <w:r>
        <w:rPr>
          <w:rFonts w:ascii="Cambria" w:hAnsi="Cambria"/>
        </w:rPr>
        <w:t>verify freedom from live insects, soil, disease symptoms, prohibited seeds, other plant material (e.g. leaf, stem material, fruit pulp, pod material), animal material (e.g. animal faeces, feathers) and any other extraneous contamination of quarantine concern.</w:t>
      </w:r>
    </w:p>
    <w:p w14:paraId="434FAD34" w14:textId="77777777" w:rsidR="008163B6" w:rsidRDefault="008163B6" w:rsidP="006279EB">
      <w:pPr>
        <w:spacing w:before="120" w:after="120" w:line="276" w:lineRule="auto"/>
        <w:sectPr w:rsidR="008163B6">
          <w:headerReference w:type="default" r:id="rId41"/>
          <w:pgSz w:w="11906" w:h="16838"/>
          <w:pgMar w:top="1418" w:right="1418" w:bottom="1418" w:left="1418" w:header="567" w:footer="283" w:gutter="0"/>
          <w:cols w:space="708"/>
          <w:docGrid w:linePitch="360"/>
        </w:sectPr>
      </w:pPr>
    </w:p>
    <w:p w14:paraId="62B47FAD" w14:textId="77777777" w:rsidR="008163B6" w:rsidRDefault="00F709BD">
      <w:pPr>
        <w:pStyle w:val="Heading1"/>
        <w:pageBreakBefore w:val="0"/>
        <w:numPr>
          <w:ilvl w:val="0"/>
          <w:numId w:val="21"/>
        </w:numPr>
        <w:tabs>
          <w:tab w:val="clear" w:pos="432"/>
        </w:tabs>
        <w:spacing w:before="480" w:after="120"/>
        <w:ind w:left="567" w:hanging="567"/>
        <w:rPr>
          <w:rFonts w:eastAsiaTheme="majorEastAsia" w:cstheme="majorBidi"/>
          <w:b/>
          <w:color w:val="D52B1E"/>
          <w:sz w:val="34"/>
        </w:rPr>
      </w:pPr>
      <w:bookmarkStart w:id="286" w:name="_Toc447540812"/>
      <w:r>
        <w:rPr>
          <w:rFonts w:eastAsiaTheme="majorEastAsia" w:cstheme="majorBidi"/>
          <w:b/>
          <w:color w:val="D52B1E"/>
          <w:sz w:val="34"/>
        </w:rPr>
        <w:t>Conclusion</w:t>
      </w:r>
      <w:bookmarkEnd w:id="286"/>
    </w:p>
    <w:p w14:paraId="179F5C4D" w14:textId="6FCFC157" w:rsidR="00B05DBD" w:rsidRDefault="00F709BD" w:rsidP="00474049">
      <w:pPr>
        <w:spacing w:before="120" w:after="120" w:line="276" w:lineRule="auto"/>
        <w:rPr>
          <w:rFonts w:ascii="Cambria" w:hAnsi="Cambria" w:cs="Helvetica"/>
        </w:rPr>
      </w:pPr>
      <w:r>
        <w:rPr>
          <w:rFonts w:ascii="Cambria" w:eastAsia="Calibri" w:hAnsi="Cambria" w:cs="Times New Roman"/>
        </w:rPr>
        <w:t xml:space="preserve">The findings of this pest-initiated risk analysis </w:t>
      </w:r>
      <w:r>
        <w:rPr>
          <w:rFonts w:ascii="Cambria" w:hAnsi="Cambria"/>
        </w:rPr>
        <w:t xml:space="preserve">are </w:t>
      </w:r>
      <w:r>
        <w:rPr>
          <w:rFonts w:ascii="Cambria" w:eastAsia="Calibri" w:hAnsi="Cambria" w:cs="Times New Roman"/>
        </w:rPr>
        <w:t xml:space="preserve">based on a comprehensive analysis of relevant scientific and other appropriate literature on CGMMV. </w:t>
      </w:r>
      <w:r>
        <w:rPr>
          <w:rFonts w:ascii="Cambria" w:hAnsi="Cambria" w:cstheme="minorHAnsi"/>
        </w:rPr>
        <w:t xml:space="preserve">CGMMV meets the IPPC </w:t>
      </w:r>
      <w:r>
        <w:rPr>
          <w:rFonts w:ascii="Cambria" w:hAnsi="Cambria" w:cs="Helvetica"/>
        </w:rPr>
        <w:t>definition of a quarantine pest, that is ‘</w:t>
      </w:r>
      <w:r w:rsidR="003566C6" w:rsidRPr="003566C6">
        <w:rPr>
          <w:rFonts w:ascii="Cambria" w:hAnsi="Cambria" w:cs="Helvetica"/>
          <w:i/>
        </w:rPr>
        <w:t xml:space="preserve">a pest of </w:t>
      </w:r>
      <w:r>
        <w:rPr>
          <w:rFonts w:ascii="Cambria" w:hAnsi="Cambria" w:cs="Helvetica"/>
          <w:i/>
          <w:iCs/>
        </w:rPr>
        <w:t>potential economic importance</w:t>
      </w:r>
      <w:r>
        <w:rPr>
          <w:rFonts w:ascii="Cambria" w:hAnsi="Cambria" w:cs="Helvetica"/>
        </w:rPr>
        <w:t xml:space="preserve"> </w:t>
      </w:r>
      <w:r>
        <w:rPr>
          <w:rFonts w:ascii="Cambria" w:hAnsi="Cambria" w:cs="Helvetica"/>
          <w:i/>
        </w:rPr>
        <w:t>to the area endangered thereby and</w:t>
      </w:r>
      <w:r>
        <w:rPr>
          <w:rFonts w:ascii="Cambria" w:hAnsi="Cambria" w:cs="Helvetica"/>
        </w:rPr>
        <w:t xml:space="preserve"> </w:t>
      </w:r>
      <w:r>
        <w:rPr>
          <w:rFonts w:ascii="Cambria" w:hAnsi="Cambria" w:cs="Helvetica"/>
          <w:i/>
          <w:iCs/>
        </w:rPr>
        <w:t>not yet present there</w:t>
      </w:r>
      <w:r>
        <w:rPr>
          <w:rFonts w:ascii="Cambria" w:hAnsi="Cambria" w:cs="Helvetica"/>
        </w:rPr>
        <w:t xml:space="preserve">, or </w:t>
      </w:r>
      <w:r>
        <w:rPr>
          <w:rFonts w:ascii="Cambria" w:hAnsi="Cambria" w:cs="Helvetica"/>
          <w:i/>
          <w:iCs/>
        </w:rPr>
        <w:t xml:space="preserve">present but not widely distributed and being officially controlled’ </w:t>
      </w:r>
      <w:r>
        <w:rPr>
          <w:rFonts w:ascii="Cambria" w:hAnsi="Cambria" w:cs="Helvetica"/>
          <w:iCs/>
        </w:rPr>
        <w:t>(FAO 201</w:t>
      </w:r>
      <w:r w:rsidR="00BA0653">
        <w:rPr>
          <w:rFonts w:ascii="Cambria" w:hAnsi="Cambria" w:cs="Helvetica"/>
          <w:iCs/>
        </w:rPr>
        <w:t>6c</w:t>
      </w:r>
      <w:r>
        <w:rPr>
          <w:rFonts w:ascii="Cambria" w:hAnsi="Cambria" w:cs="Helvetica"/>
          <w:iCs/>
        </w:rPr>
        <w:t>)</w:t>
      </w:r>
      <w:r>
        <w:rPr>
          <w:rFonts w:ascii="Cambria" w:hAnsi="Cambria" w:cs="Helvetica"/>
        </w:rPr>
        <w:t>.</w:t>
      </w:r>
    </w:p>
    <w:p w14:paraId="727E8541" w14:textId="2C352CA6" w:rsidR="008467A2" w:rsidRDefault="00B05DBD" w:rsidP="00474049">
      <w:pPr>
        <w:spacing w:before="120" w:after="120" w:line="276" w:lineRule="auto"/>
        <w:rPr>
          <w:rFonts w:ascii="Cambria" w:hAnsi="Cambria" w:cs="Helvetica"/>
        </w:rPr>
      </w:pPr>
      <w:r>
        <w:rPr>
          <w:rFonts w:ascii="Cambria" w:hAnsi="Cambria" w:cstheme="minorHAnsi"/>
        </w:rPr>
        <w:t xml:space="preserve">Australia introduced </w:t>
      </w:r>
      <w:r>
        <w:rPr>
          <w:rFonts w:ascii="Cambria" w:hAnsi="Cambria" w:cs="Arial"/>
        </w:rPr>
        <w:t xml:space="preserve">emergency measures in October 2014 to mitigate the risk of further introduction of CGMMV into Australia. </w:t>
      </w:r>
      <w:r>
        <w:rPr>
          <w:rFonts w:ascii="Cambria" w:hAnsi="Cambria"/>
          <w:color w:val="000000"/>
        </w:rPr>
        <w:t xml:space="preserve">In April 2015, </w:t>
      </w:r>
      <w:r>
        <w:rPr>
          <w:rFonts w:ascii="Cambria" w:hAnsi="Cambria"/>
        </w:rPr>
        <w:t>CGMMV</w:t>
      </w:r>
      <w:r w:rsidRPr="00875CF5">
        <w:rPr>
          <w:rFonts w:ascii="Cambria" w:hAnsi="Cambria" w:cstheme="minorHAnsi"/>
        </w:rPr>
        <w:t xml:space="preserve"> was found on </w:t>
      </w:r>
      <w:r>
        <w:rPr>
          <w:rFonts w:ascii="Cambria" w:hAnsi="Cambria" w:cstheme="minorHAnsi"/>
        </w:rPr>
        <w:t xml:space="preserve">a single </w:t>
      </w:r>
      <w:r w:rsidRPr="00875CF5">
        <w:rPr>
          <w:rFonts w:ascii="Cambria" w:hAnsi="Cambria" w:cstheme="minorHAnsi"/>
        </w:rPr>
        <w:t>property near Charters Towers in Queensland</w:t>
      </w:r>
      <w:r>
        <w:rPr>
          <w:rFonts w:ascii="Cambria" w:hAnsi="Cambria" w:cstheme="minorHAnsi"/>
        </w:rPr>
        <w:t xml:space="preserve"> and the infected property </w:t>
      </w:r>
      <w:r w:rsidRPr="00875CF5">
        <w:rPr>
          <w:rFonts w:ascii="Cambria" w:hAnsi="Cambria" w:cstheme="minorHAnsi"/>
        </w:rPr>
        <w:t>remains under quarantine.</w:t>
      </w:r>
      <w:r>
        <w:rPr>
          <w:rFonts w:ascii="Cambria" w:hAnsi="Cambria" w:cstheme="minorHAnsi"/>
        </w:rPr>
        <w:t xml:space="preserve"> The emergency measures were amended in December 2015 to update the host list for CGMMV in response to the detection of this virus in the seeds of additional hosts. </w:t>
      </w:r>
      <w:r>
        <w:rPr>
          <w:rFonts w:ascii="Cambria" w:hAnsi="Cambria"/>
          <w:bCs/>
        </w:rPr>
        <w:t xml:space="preserve">Although, the Northern Territory government formally revoked </w:t>
      </w:r>
      <w:r w:rsidR="00BA0653">
        <w:rPr>
          <w:rFonts w:ascii="Cambria" w:hAnsi="Cambria"/>
          <w:bCs/>
        </w:rPr>
        <w:t xml:space="preserve">the </w:t>
      </w:r>
      <w:r>
        <w:rPr>
          <w:rFonts w:ascii="Cambria" w:hAnsi="Cambria"/>
          <w:bCs/>
        </w:rPr>
        <w:t xml:space="preserve">CGMMV quarantine zone in February 2016, risk management measures have been implemented to contain the spread of this virus. Therefore, the virus is under official control. Consequently, CGMMV remains a </w:t>
      </w:r>
      <w:proofErr w:type="spellStart"/>
      <w:r>
        <w:rPr>
          <w:rFonts w:ascii="Cambria" w:hAnsi="Cambria"/>
          <w:bCs/>
        </w:rPr>
        <w:t>quanatine</w:t>
      </w:r>
      <w:proofErr w:type="spellEnd"/>
      <w:r>
        <w:rPr>
          <w:rFonts w:ascii="Cambria" w:hAnsi="Cambria"/>
          <w:bCs/>
        </w:rPr>
        <w:t xml:space="preserve"> pathogen for Australia.</w:t>
      </w:r>
      <w:r w:rsidR="008467A2">
        <w:rPr>
          <w:rFonts w:ascii="Cambria" w:hAnsi="Cambria"/>
          <w:bCs/>
        </w:rPr>
        <w:t xml:space="preserve"> This PRA identifies the unrestricted risk of CGMMV as moderate which is above Australia’s ALOP. </w:t>
      </w:r>
      <w:r w:rsidR="008467A2">
        <w:rPr>
          <w:rFonts w:ascii="Cambria" w:hAnsi="Cambria"/>
        </w:rPr>
        <w:t>Therefore, risk management measures against CGMMV are required to meet Australia’s ALOP.</w:t>
      </w:r>
      <w:r w:rsidR="008467A2">
        <w:rPr>
          <w:rFonts w:ascii="Cambria" w:hAnsi="Cambria"/>
          <w:bCs/>
        </w:rPr>
        <w:t xml:space="preserve"> </w:t>
      </w:r>
    </w:p>
    <w:p w14:paraId="3F0A14DB" w14:textId="2E8E70BA" w:rsidR="00991AA4" w:rsidRDefault="00F709BD" w:rsidP="00474049">
      <w:pPr>
        <w:spacing w:before="120" w:after="120" w:line="276" w:lineRule="auto"/>
        <w:rPr>
          <w:rFonts w:ascii="Cambria" w:hAnsi="Cambria" w:cs="Arial"/>
        </w:rPr>
      </w:pPr>
      <w:r>
        <w:rPr>
          <w:rFonts w:ascii="Cambria" w:hAnsi="Cambria"/>
        </w:rPr>
        <w:t>Th</w:t>
      </w:r>
      <w:r w:rsidR="00292639">
        <w:rPr>
          <w:rFonts w:ascii="Cambria" w:hAnsi="Cambria"/>
        </w:rPr>
        <w:t>is</w:t>
      </w:r>
      <w:r>
        <w:rPr>
          <w:rFonts w:ascii="Cambria" w:hAnsi="Cambria"/>
        </w:rPr>
        <w:t xml:space="preserve"> PRA provides technical justification </w:t>
      </w:r>
      <w:r>
        <w:rPr>
          <w:rFonts w:ascii="Cambria" w:hAnsi="Cambria" w:cs="Helvetica"/>
        </w:rPr>
        <w:t xml:space="preserve">that the introduction of emergency measures were in accordance with </w:t>
      </w:r>
      <w:r w:rsidR="00292639">
        <w:rPr>
          <w:rFonts w:ascii="Cambria" w:hAnsi="Cambria" w:cs="Helvetica"/>
        </w:rPr>
        <w:t>international standards</w:t>
      </w:r>
      <w:r>
        <w:rPr>
          <w:rFonts w:ascii="Cambria" w:hAnsi="Cambria" w:cs="Helvetica"/>
        </w:rPr>
        <w:t>.</w:t>
      </w:r>
      <w:r w:rsidR="00B05DBD">
        <w:rPr>
          <w:rFonts w:ascii="Cambria" w:hAnsi="Cambria" w:cs="Helvetica"/>
        </w:rPr>
        <w:t xml:space="preserve"> </w:t>
      </w:r>
      <w:r>
        <w:rPr>
          <w:rFonts w:ascii="Cambria" w:hAnsi="Cambria" w:cs="Arial"/>
        </w:rPr>
        <w:t xml:space="preserve">The department considers that the emergency measures are adequate to mitigate the risk posed by CGMMV associated with </w:t>
      </w:r>
      <w:r w:rsidR="00991AA4">
        <w:rPr>
          <w:rFonts w:ascii="Cambria" w:hAnsi="Cambria" w:cs="Arial"/>
        </w:rPr>
        <w:t xml:space="preserve">host </w:t>
      </w:r>
      <w:r>
        <w:rPr>
          <w:rFonts w:ascii="Cambria" w:hAnsi="Cambria" w:cs="Arial"/>
        </w:rPr>
        <w:t xml:space="preserve">cucurbit seeds. </w:t>
      </w:r>
      <w:r w:rsidRPr="00474049">
        <w:rPr>
          <w:rFonts w:ascii="Cambria" w:hAnsi="Cambria"/>
        </w:rPr>
        <w:t>Therefore</w:t>
      </w:r>
      <w:r>
        <w:rPr>
          <w:rFonts w:ascii="Cambria" w:hAnsi="Cambria" w:cs="Arial"/>
        </w:rPr>
        <w:t>, these emergency measures are proposed to become the standard conditions to import</w:t>
      </w:r>
      <w:r w:rsidR="00991AA4">
        <w:rPr>
          <w:rFonts w:ascii="Cambria" w:hAnsi="Cambria" w:cs="Arial"/>
        </w:rPr>
        <w:t xml:space="preserve"> host</w:t>
      </w:r>
      <w:r>
        <w:rPr>
          <w:rFonts w:ascii="Cambria" w:hAnsi="Cambria" w:cs="Arial"/>
        </w:rPr>
        <w:t xml:space="preserve"> cucurbit seeds into Australia. </w:t>
      </w:r>
      <w:r w:rsidR="00991AA4">
        <w:rPr>
          <w:rFonts w:ascii="Cambria" w:hAnsi="Cambria" w:cs="Arial"/>
        </w:rPr>
        <w:t>However,</w:t>
      </w:r>
      <w:r w:rsidR="00336515">
        <w:rPr>
          <w:rFonts w:ascii="Cambria" w:hAnsi="Cambria" w:cs="Arial"/>
        </w:rPr>
        <w:t xml:space="preserve"> it is proposed to allow an option for off-shore testing of small seed lots</w:t>
      </w:r>
      <w:r w:rsidR="00FA350D">
        <w:rPr>
          <w:rFonts w:ascii="Cambria" w:hAnsi="Cambria" w:cs="Arial"/>
        </w:rPr>
        <w:t>.</w:t>
      </w:r>
    </w:p>
    <w:p w14:paraId="00CEED87" w14:textId="2530F950" w:rsidR="008163B6" w:rsidRDefault="00FA350D" w:rsidP="00474049">
      <w:pPr>
        <w:spacing w:before="120" w:after="120" w:line="276" w:lineRule="auto"/>
        <w:rPr>
          <w:rFonts w:ascii="Cambria" w:hAnsi="Cambria" w:cs="Arial"/>
        </w:rPr>
      </w:pPr>
      <w:r>
        <w:rPr>
          <w:rFonts w:ascii="Cambria" w:hAnsi="Cambria" w:cs="Arial"/>
        </w:rPr>
        <w:t>Seeds for sowing</w:t>
      </w:r>
      <w:r w:rsidR="00F709BD">
        <w:rPr>
          <w:rFonts w:ascii="Cambria" w:hAnsi="Cambria" w:cs="Arial"/>
        </w:rPr>
        <w:t xml:space="preserve"> of</w:t>
      </w:r>
      <w:r>
        <w:rPr>
          <w:rFonts w:ascii="Cambria" w:hAnsi="Cambria" w:cs="Arial"/>
        </w:rPr>
        <w:t xml:space="preserve"> </w:t>
      </w:r>
      <w:r w:rsidR="00CC0813">
        <w:rPr>
          <w:rFonts w:ascii="Cambria" w:hAnsi="Cambria" w:cs="Arial"/>
        </w:rPr>
        <w:t>seed-borne</w:t>
      </w:r>
      <w:r>
        <w:rPr>
          <w:rFonts w:ascii="Cambria" w:hAnsi="Cambria" w:cs="Arial"/>
        </w:rPr>
        <w:t xml:space="preserve"> hosts of CGMMV (</w:t>
      </w:r>
      <w:r>
        <w:rPr>
          <w:rFonts w:ascii="Cambria" w:hAnsi="Cambria" w:cs="Arial"/>
          <w:i/>
        </w:rPr>
        <w:t>Cucumis sativus</w:t>
      </w:r>
      <w:r>
        <w:rPr>
          <w:rFonts w:ascii="Cambria" w:hAnsi="Cambria" w:cs="Arial"/>
        </w:rPr>
        <w:t xml:space="preserve">, </w:t>
      </w:r>
      <w:r>
        <w:rPr>
          <w:rFonts w:ascii="Cambria" w:hAnsi="Cambria" w:cs="Arial"/>
          <w:i/>
        </w:rPr>
        <w:t>Cucumis melo</w:t>
      </w:r>
      <w:r>
        <w:rPr>
          <w:rFonts w:ascii="Cambria" w:hAnsi="Cambria" w:cs="Arial"/>
        </w:rPr>
        <w:t xml:space="preserve">, </w:t>
      </w:r>
      <w:r>
        <w:rPr>
          <w:rFonts w:ascii="Cambria" w:eastAsia="Cambria" w:hAnsi="Cambria" w:cs="LucidaBright"/>
          <w:i/>
        </w:rPr>
        <w:t>Cucurbita maxima</w:t>
      </w:r>
      <w:r>
        <w:rPr>
          <w:rFonts w:ascii="Cambria" w:eastAsia="Cambria" w:hAnsi="Cambria" w:cs="LucidaBright"/>
        </w:rPr>
        <w:t>,</w:t>
      </w:r>
      <w:r>
        <w:rPr>
          <w:rFonts w:ascii="Cambria" w:eastAsia="Cambria" w:hAnsi="Cambria" w:cs="LucidaBright"/>
          <w:i/>
        </w:rPr>
        <w:t xml:space="preserve"> Cucurbita moschata</w:t>
      </w:r>
      <w:r>
        <w:rPr>
          <w:rFonts w:ascii="Cambria" w:eastAsia="Cambria" w:hAnsi="Cambria" w:cs="LucidaBright"/>
        </w:rPr>
        <w:t>,</w:t>
      </w:r>
      <w:r>
        <w:rPr>
          <w:rFonts w:ascii="Cambria" w:eastAsia="Cambria" w:hAnsi="Cambria" w:cs="LucidaBright"/>
          <w:i/>
        </w:rPr>
        <w:t xml:space="preserve"> </w:t>
      </w:r>
      <w:r>
        <w:rPr>
          <w:rFonts w:ascii="Cambria" w:hAnsi="Cambria" w:cs="Arial"/>
          <w:i/>
        </w:rPr>
        <w:t>Cucurbita pepo</w:t>
      </w:r>
      <w:r>
        <w:rPr>
          <w:rFonts w:ascii="Cambria" w:hAnsi="Cambria" w:cs="Arial"/>
        </w:rPr>
        <w:t xml:space="preserve">, </w:t>
      </w:r>
      <w:r>
        <w:rPr>
          <w:rFonts w:ascii="Cambria" w:hAnsi="Cambria" w:cs="Arial"/>
          <w:i/>
        </w:rPr>
        <w:t>Citrullus lanatus</w:t>
      </w:r>
      <w:r>
        <w:rPr>
          <w:rFonts w:ascii="Cambria" w:hAnsi="Cambria" w:cs="Arial"/>
        </w:rPr>
        <w:t xml:space="preserve">, </w:t>
      </w:r>
      <w:r>
        <w:rPr>
          <w:rFonts w:ascii="Cambria" w:hAnsi="Cambria" w:cs="Arial"/>
          <w:i/>
        </w:rPr>
        <w:t>Lagenaria siceraria</w:t>
      </w:r>
      <w:r w:rsidR="00746090">
        <w:rPr>
          <w:rFonts w:ascii="Cambria" w:hAnsi="Cambria" w:cs="Arial"/>
          <w:i/>
        </w:rPr>
        <w:t>,</w:t>
      </w:r>
      <w:r>
        <w:rPr>
          <w:rFonts w:ascii="Cambria" w:hAnsi="Cambria" w:cs="Arial"/>
        </w:rPr>
        <w:t xml:space="preserve"> </w:t>
      </w:r>
      <w:r>
        <w:rPr>
          <w:rFonts w:ascii="Cambria" w:hAnsi="Cambria" w:cs="Arial"/>
          <w:i/>
        </w:rPr>
        <w:t>Trichosanthes cucumerina</w:t>
      </w:r>
      <w:r w:rsidR="00746090">
        <w:rPr>
          <w:rFonts w:ascii="Cambria" w:hAnsi="Cambria" w:cs="Arial"/>
          <w:i/>
        </w:rPr>
        <w:t xml:space="preserve"> </w:t>
      </w:r>
      <w:r w:rsidR="00746090">
        <w:rPr>
          <w:rFonts w:ascii="Cambria" w:hAnsi="Cambria" w:cs="Arial"/>
        </w:rPr>
        <w:t>and any hybrid of these species</w:t>
      </w:r>
      <w:r>
        <w:rPr>
          <w:rFonts w:ascii="Cambria" w:hAnsi="Cambria" w:cs="Arial"/>
        </w:rPr>
        <w:t xml:space="preserve">) are </w:t>
      </w:r>
      <w:r w:rsidRPr="00474049">
        <w:rPr>
          <w:rFonts w:ascii="Cambria" w:hAnsi="Cambria"/>
        </w:rPr>
        <w:t>proposed</w:t>
      </w:r>
      <w:r>
        <w:rPr>
          <w:rFonts w:ascii="Cambria" w:hAnsi="Cambria" w:cs="Arial"/>
        </w:rPr>
        <w:t xml:space="preserve"> to be </w:t>
      </w:r>
      <w:r w:rsidR="00F709BD">
        <w:rPr>
          <w:rFonts w:ascii="Cambria" w:hAnsi="Cambria" w:cs="Arial"/>
        </w:rPr>
        <w:t>subject to the following</w:t>
      </w:r>
      <w:r>
        <w:rPr>
          <w:rFonts w:ascii="Cambria" w:hAnsi="Cambria" w:cs="Arial"/>
        </w:rPr>
        <w:t xml:space="preserve"> import</w:t>
      </w:r>
      <w:r w:rsidR="00F709BD">
        <w:rPr>
          <w:rFonts w:ascii="Cambria" w:hAnsi="Cambria" w:cs="Arial"/>
        </w:rPr>
        <w:t xml:space="preserve"> conditions. </w:t>
      </w:r>
    </w:p>
    <w:p w14:paraId="1D7B10F6" w14:textId="42F2C3F5" w:rsidR="008163B6" w:rsidRPr="003566C6" w:rsidRDefault="00F709BD" w:rsidP="006279EB">
      <w:pPr>
        <w:pStyle w:val="Heading4"/>
        <w:spacing w:before="120" w:after="120" w:line="276" w:lineRule="auto"/>
        <w:contextualSpacing/>
      </w:pPr>
      <w:r w:rsidRPr="003566C6">
        <w:t xml:space="preserve">Commercial seed lots </w:t>
      </w:r>
    </w:p>
    <w:p w14:paraId="15467AB3" w14:textId="29875FE5"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szCs w:val="22"/>
        </w:rPr>
      </w:pPr>
      <w:r>
        <w:rPr>
          <w:rFonts w:ascii="Cambria" w:hAnsi="Cambria"/>
          <w:b/>
          <w:bCs/>
          <w:szCs w:val="22"/>
        </w:rPr>
        <w:t>Testing</w:t>
      </w:r>
      <w:r>
        <w:rPr>
          <w:rFonts w:ascii="Cambria" w:hAnsi="Cambria"/>
          <w:bCs/>
          <w:szCs w:val="22"/>
        </w:rPr>
        <w:t xml:space="preserve">—mandatory </w:t>
      </w:r>
      <w:r w:rsidR="006736C2">
        <w:rPr>
          <w:rFonts w:ascii="Cambria" w:hAnsi="Cambria"/>
          <w:bCs/>
          <w:szCs w:val="22"/>
        </w:rPr>
        <w:t xml:space="preserve">off-shore or on-shore </w:t>
      </w:r>
      <w:r>
        <w:rPr>
          <w:rFonts w:ascii="Cambria" w:hAnsi="Cambria"/>
          <w:bCs/>
          <w:szCs w:val="22"/>
        </w:rPr>
        <w:t xml:space="preserve">testing by ELISA </w:t>
      </w:r>
      <w:r w:rsidR="00292639">
        <w:rPr>
          <w:rFonts w:ascii="Cambria" w:hAnsi="Cambria"/>
          <w:bCs/>
          <w:szCs w:val="22"/>
        </w:rPr>
        <w:t xml:space="preserve">for CGMMV </w:t>
      </w:r>
      <w:r>
        <w:rPr>
          <w:rFonts w:ascii="Cambria" w:hAnsi="Cambria"/>
          <w:bCs/>
          <w:szCs w:val="22"/>
        </w:rPr>
        <w:t>using 9,400 seeds</w:t>
      </w:r>
      <w:r>
        <w:rPr>
          <w:rFonts w:asciiTheme="majorHAnsi" w:hAnsiTheme="majorHAnsi" w:cstheme="minorHAnsi"/>
          <w:szCs w:val="22"/>
        </w:rPr>
        <w:t>;</w:t>
      </w:r>
      <w:r w:rsidR="006736C2">
        <w:rPr>
          <w:rFonts w:asciiTheme="majorHAnsi" w:hAnsiTheme="majorHAnsi" w:cstheme="minorHAnsi"/>
          <w:szCs w:val="22"/>
        </w:rPr>
        <w:t xml:space="preserve"> and</w:t>
      </w:r>
    </w:p>
    <w:p w14:paraId="39FC3B9A" w14:textId="76A2940E" w:rsidR="006736C2"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cstheme="minorHAnsi"/>
          <w:szCs w:val="22"/>
        </w:rPr>
      </w:pPr>
      <w:r>
        <w:rPr>
          <w:rFonts w:ascii="Cambria" w:hAnsi="Cambria"/>
          <w:b/>
          <w:bCs/>
          <w:szCs w:val="22"/>
        </w:rPr>
        <w:t>Certification</w:t>
      </w:r>
      <w:r w:rsidR="006736C2">
        <w:rPr>
          <w:rFonts w:ascii="Cambria" w:hAnsi="Cambria"/>
          <w:bCs/>
          <w:szCs w:val="22"/>
        </w:rPr>
        <w:t>—c</w:t>
      </w:r>
      <w:r>
        <w:rPr>
          <w:rFonts w:ascii="Cambria" w:hAnsi="Cambria"/>
          <w:bCs/>
          <w:szCs w:val="22"/>
        </w:rPr>
        <w:t>onsignments</w:t>
      </w:r>
      <w:r w:rsidR="006736C2">
        <w:rPr>
          <w:rFonts w:ascii="Cambria" w:hAnsi="Cambria"/>
          <w:bCs/>
          <w:szCs w:val="22"/>
        </w:rPr>
        <w:t xml:space="preserve"> tested off</w:t>
      </w:r>
      <w:r w:rsidR="00B73BB5">
        <w:rPr>
          <w:rFonts w:ascii="Cambria" w:hAnsi="Cambria"/>
          <w:bCs/>
          <w:szCs w:val="22"/>
        </w:rPr>
        <w:t>-</w:t>
      </w:r>
      <w:r w:rsidR="006736C2">
        <w:rPr>
          <w:rFonts w:ascii="Cambria" w:hAnsi="Cambria"/>
          <w:bCs/>
          <w:szCs w:val="22"/>
        </w:rPr>
        <w:t>shore</w:t>
      </w:r>
      <w:r>
        <w:rPr>
          <w:rFonts w:ascii="Cambria" w:hAnsi="Cambria"/>
          <w:bCs/>
          <w:szCs w:val="22"/>
        </w:rPr>
        <w:t xml:space="preserve"> </w:t>
      </w:r>
      <w:r w:rsidR="00170B69">
        <w:rPr>
          <w:rFonts w:ascii="Cambria" w:hAnsi="Cambria"/>
          <w:bCs/>
          <w:szCs w:val="22"/>
        </w:rPr>
        <w:t xml:space="preserve">must </w:t>
      </w:r>
      <w:r>
        <w:rPr>
          <w:rFonts w:ascii="Cambria" w:hAnsi="Cambria"/>
          <w:bCs/>
          <w:szCs w:val="22"/>
        </w:rPr>
        <w:t xml:space="preserve">be </w:t>
      </w:r>
      <w:r>
        <w:rPr>
          <w:rFonts w:ascii="Cambria" w:hAnsi="Cambria" w:cstheme="minorHAnsi"/>
          <w:szCs w:val="22"/>
        </w:rPr>
        <w:t xml:space="preserve">accompanied by an official government Phytosanitary Certificate </w:t>
      </w:r>
      <w:r w:rsidR="00170B69">
        <w:rPr>
          <w:rFonts w:ascii="Cambria" w:hAnsi="Cambria" w:cstheme="minorHAnsi"/>
          <w:szCs w:val="22"/>
        </w:rPr>
        <w:t>endorsed with the following additional declaration</w:t>
      </w:r>
      <w:r w:rsidR="006736C2">
        <w:rPr>
          <w:rFonts w:ascii="Cambria" w:hAnsi="Cambria" w:cstheme="minorHAnsi"/>
          <w:szCs w:val="22"/>
        </w:rPr>
        <w:t>:</w:t>
      </w:r>
    </w:p>
    <w:p w14:paraId="4BDDCF06" w14:textId="0EF9C877" w:rsidR="008163B6" w:rsidRDefault="00F709BD" w:rsidP="006736C2">
      <w:pPr>
        <w:pStyle w:val="AQISNum"/>
        <w:widowControl w:val="0"/>
        <w:adjustRightInd w:val="0"/>
        <w:spacing w:before="120" w:after="120" w:line="276" w:lineRule="auto"/>
        <w:ind w:left="714"/>
        <w:contextualSpacing/>
        <w:textAlignment w:val="baseline"/>
        <w:rPr>
          <w:rFonts w:ascii="Cambria" w:hAnsi="Cambria" w:cstheme="minorHAnsi"/>
          <w:szCs w:val="22"/>
        </w:rPr>
      </w:pPr>
      <w:r>
        <w:rPr>
          <w:rFonts w:ascii="Cambria" w:hAnsi="Cambria" w:cstheme="minorHAnsi"/>
          <w:szCs w:val="22"/>
        </w:rPr>
        <w:t>‘The consignment of [botanical name (genus/species)] was tested by</w:t>
      </w:r>
      <w:r>
        <w:rPr>
          <w:rFonts w:ascii="Cambria" w:hAnsi="Cambria" w:cstheme="minorHAnsi"/>
          <w:bCs/>
          <w:szCs w:val="22"/>
        </w:rPr>
        <w:t xml:space="preserve"> </w:t>
      </w:r>
      <w:r>
        <w:rPr>
          <w:rFonts w:ascii="Cambria" w:hAnsi="Cambria"/>
          <w:bCs/>
          <w:szCs w:val="22"/>
        </w:rPr>
        <w:t>ELIS</w:t>
      </w:r>
      <w:r>
        <w:rPr>
          <w:rFonts w:ascii="Cambria" w:hAnsi="Cambria" w:cstheme="minorHAnsi"/>
          <w:bCs/>
          <w:szCs w:val="22"/>
        </w:rPr>
        <w:t xml:space="preserve">A </w:t>
      </w:r>
      <w:r>
        <w:rPr>
          <w:rFonts w:ascii="Cambria" w:hAnsi="Cambria"/>
          <w:bCs/>
          <w:szCs w:val="22"/>
        </w:rPr>
        <w:t>using a sample size of 9,400 seed</w:t>
      </w:r>
      <w:r>
        <w:rPr>
          <w:rFonts w:ascii="Cambria" w:hAnsi="Cambria" w:cstheme="minorHAnsi"/>
          <w:bCs/>
          <w:szCs w:val="22"/>
        </w:rPr>
        <w:t xml:space="preserve">s </w:t>
      </w:r>
      <w:r>
        <w:rPr>
          <w:rFonts w:ascii="Cambria" w:hAnsi="Cambria"/>
          <w:bCs/>
          <w:szCs w:val="22"/>
        </w:rPr>
        <w:t>following the protocol of</w:t>
      </w:r>
      <w:r>
        <w:rPr>
          <w:rFonts w:ascii="Cambria" w:hAnsi="Cambria" w:cstheme="minorHAnsi"/>
          <w:bCs/>
          <w:szCs w:val="22"/>
        </w:rPr>
        <w:t xml:space="preserve"> </w:t>
      </w:r>
      <w:r>
        <w:rPr>
          <w:rFonts w:ascii="Cambria" w:hAnsi="Cambria" w:cstheme="minorHAnsi"/>
          <w:szCs w:val="22"/>
        </w:rPr>
        <w:t>the ISTA 7-026 and found free from</w:t>
      </w:r>
      <w:r>
        <w:rPr>
          <w:rFonts w:ascii="Cambria" w:hAnsi="Cambria" w:cstheme="minorHAnsi"/>
          <w:i/>
          <w:szCs w:val="22"/>
        </w:rPr>
        <w:t xml:space="preserve"> Cucumber green mottle mosaic virus</w:t>
      </w:r>
      <w:r>
        <w:rPr>
          <w:rFonts w:ascii="Cambria" w:hAnsi="Cambria" w:cstheme="minorHAnsi"/>
          <w:szCs w:val="22"/>
        </w:rPr>
        <w:t>’; and</w:t>
      </w:r>
    </w:p>
    <w:p w14:paraId="175BFEE6" w14:textId="77777777"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rPr>
      </w:pPr>
      <w:r>
        <w:rPr>
          <w:rFonts w:ascii="Cambria" w:hAnsi="Cambria"/>
          <w:b/>
          <w:bCs/>
          <w:szCs w:val="22"/>
        </w:rPr>
        <w:t>On-arrival inspection</w:t>
      </w:r>
      <w:r>
        <w:rPr>
          <w:rFonts w:ascii="Cambria" w:hAnsi="Cambria"/>
          <w:bCs/>
          <w:szCs w:val="22"/>
        </w:rPr>
        <w:t xml:space="preserve">—to </w:t>
      </w:r>
      <w:r>
        <w:rPr>
          <w:rFonts w:ascii="Cambria" w:hAnsi="Cambria"/>
        </w:rPr>
        <w:t>verify freedom from live insects, soil, disease symptoms, prohibited seeds, other plant material, animal material and any other extraneous contamination of quarantine concern.</w:t>
      </w:r>
    </w:p>
    <w:p w14:paraId="3F4E73F4" w14:textId="76547806" w:rsidR="008163B6" w:rsidRPr="003566C6" w:rsidRDefault="00F709BD" w:rsidP="006279EB">
      <w:pPr>
        <w:pStyle w:val="Heading4"/>
        <w:spacing w:before="120" w:after="120" w:line="276" w:lineRule="auto"/>
        <w:contextualSpacing/>
      </w:pPr>
      <w:r w:rsidRPr="003566C6">
        <w:t xml:space="preserve">Small seed lots </w:t>
      </w:r>
    </w:p>
    <w:p w14:paraId="3FC32C89" w14:textId="4976A33E" w:rsidR="008163B6"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szCs w:val="22"/>
        </w:rPr>
      </w:pPr>
      <w:r>
        <w:rPr>
          <w:rFonts w:ascii="Cambria" w:hAnsi="Cambria"/>
          <w:b/>
          <w:bCs/>
          <w:szCs w:val="22"/>
        </w:rPr>
        <w:t>Testing</w:t>
      </w:r>
      <w:r>
        <w:rPr>
          <w:rFonts w:ascii="Cambria" w:hAnsi="Cambria"/>
          <w:bCs/>
          <w:szCs w:val="22"/>
        </w:rPr>
        <w:t xml:space="preserve">—mandatory </w:t>
      </w:r>
      <w:r w:rsidR="006736C2">
        <w:rPr>
          <w:rFonts w:ascii="Cambria" w:hAnsi="Cambria"/>
          <w:bCs/>
          <w:szCs w:val="22"/>
        </w:rPr>
        <w:t xml:space="preserve">off-shore or on-shore </w:t>
      </w:r>
      <w:r>
        <w:rPr>
          <w:rFonts w:ascii="Cambria" w:hAnsi="Cambria"/>
          <w:bCs/>
          <w:szCs w:val="22"/>
        </w:rPr>
        <w:t xml:space="preserve">testing by ELISA </w:t>
      </w:r>
      <w:r w:rsidR="00292639">
        <w:rPr>
          <w:rFonts w:ascii="Cambria" w:hAnsi="Cambria"/>
          <w:bCs/>
          <w:szCs w:val="22"/>
        </w:rPr>
        <w:t xml:space="preserve">for CGMMV </w:t>
      </w:r>
      <w:r>
        <w:rPr>
          <w:rFonts w:ascii="Cambria" w:hAnsi="Cambria"/>
          <w:bCs/>
          <w:szCs w:val="22"/>
        </w:rPr>
        <w:t>using 20 percent of the seed lo</w:t>
      </w:r>
      <w:r w:rsidR="0061464E">
        <w:rPr>
          <w:rFonts w:ascii="Cambria" w:hAnsi="Cambria"/>
          <w:bCs/>
          <w:szCs w:val="22"/>
        </w:rPr>
        <w:t>t weight or 9,400 seeds</w:t>
      </w:r>
      <w:r>
        <w:rPr>
          <w:rFonts w:ascii="Cambria" w:hAnsi="Cambria"/>
          <w:szCs w:val="22"/>
        </w:rPr>
        <w:t>;</w:t>
      </w:r>
      <w:r w:rsidR="006736C2">
        <w:rPr>
          <w:rFonts w:ascii="Cambria" w:hAnsi="Cambria"/>
          <w:szCs w:val="22"/>
        </w:rPr>
        <w:t xml:space="preserve"> and</w:t>
      </w:r>
    </w:p>
    <w:p w14:paraId="57C33C41" w14:textId="0C407D75" w:rsidR="006736C2"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cstheme="minorHAnsi"/>
          <w:szCs w:val="22"/>
        </w:rPr>
      </w:pPr>
      <w:r>
        <w:rPr>
          <w:rFonts w:ascii="Cambria" w:hAnsi="Cambria"/>
          <w:b/>
          <w:bCs/>
          <w:szCs w:val="22"/>
        </w:rPr>
        <w:t>Certification</w:t>
      </w:r>
      <w:r>
        <w:rPr>
          <w:rFonts w:ascii="Cambria" w:hAnsi="Cambria"/>
          <w:bCs/>
          <w:szCs w:val="22"/>
        </w:rPr>
        <w:t>—consignments</w:t>
      </w:r>
      <w:r w:rsidR="006736C2">
        <w:rPr>
          <w:rFonts w:ascii="Cambria" w:hAnsi="Cambria"/>
          <w:bCs/>
          <w:szCs w:val="22"/>
        </w:rPr>
        <w:t xml:space="preserve"> tested off-shore</w:t>
      </w:r>
      <w:r>
        <w:rPr>
          <w:rFonts w:ascii="Cambria" w:hAnsi="Cambria"/>
          <w:bCs/>
          <w:szCs w:val="22"/>
        </w:rPr>
        <w:t xml:space="preserve"> must be </w:t>
      </w:r>
      <w:r>
        <w:rPr>
          <w:rFonts w:ascii="Cambria" w:hAnsi="Cambria" w:cstheme="minorHAnsi"/>
          <w:szCs w:val="22"/>
        </w:rPr>
        <w:t>accompanied by an official government Phytosanitary Certificate endorsed with</w:t>
      </w:r>
      <w:r w:rsidR="006736C2">
        <w:rPr>
          <w:rFonts w:ascii="Cambria" w:hAnsi="Cambria" w:cstheme="minorHAnsi"/>
          <w:szCs w:val="22"/>
        </w:rPr>
        <w:t xml:space="preserve"> one of the following </w:t>
      </w:r>
      <w:r>
        <w:rPr>
          <w:rFonts w:ascii="Cambria" w:hAnsi="Cambria" w:cstheme="minorHAnsi"/>
          <w:szCs w:val="22"/>
        </w:rPr>
        <w:t>additional declaration</w:t>
      </w:r>
      <w:r w:rsidR="006736C2">
        <w:rPr>
          <w:rFonts w:ascii="Cambria" w:hAnsi="Cambria" w:cstheme="minorHAnsi"/>
          <w:szCs w:val="22"/>
        </w:rPr>
        <w:t>s:</w:t>
      </w:r>
    </w:p>
    <w:p w14:paraId="4C55E600" w14:textId="437D13EB" w:rsidR="006736C2" w:rsidRDefault="006736C2" w:rsidP="006736C2">
      <w:pPr>
        <w:pStyle w:val="BodyText2"/>
        <w:spacing w:before="120" w:after="120" w:line="276" w:lineRule="auto"/>
        <w:ind w:left="717"/>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 xml:space="preserve">using 20 percent of the seed lot weight 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w:t>
      </w:r>
    </w:p>
    <w:p w14:paraId="78881BEC" w14:textId="16656E5C" w:rsidR="006736C2" w:rsidRDefault="006736C2" w:rsidP="006736C2">
      <w:pPr>
        <w:pStyle w:val="BodyText2"/>
        <w:spacing w:before="120" w:after="120" w:line="276" w:lineRule="auto"/>
        <w:ind w:left="717"/>
        <w:jc w:val="left"/>
        <w:rPr>
          <w:rFonts w:ascii="Cambria" w:hAnsi="Cambria" w:cstheme="minorHAnsi"/>
          <w:szCs w:val="22"/>
        </w:rPr>
      </w:pPr>
      <w:r>
        <w:rPr>
          <w:rFonts w:ascii="Cambria" w:hAnsi="Cambria" w:cstheme="minorHAnsi"/>
          <w:szCs w:val="22"/>
        </w:rPr>
        <w:t xml:space="preserve">‘The consignment of [botanical name (genus/species)] was tested by </w:t>
      </w:r>
      <w:r>
        <w:rPr>
          <w:rFonts w:ascii="Cambria" w:hAnsi="Cambria"/>
          <w:bCs/>
          <w:szCs w:val="22"/>
        </w:rPr>
        <w:t>ELISA</w:t>
      </w:r>
      <w:r>
        <w:rPr>
          <w:rFonts w:ascii="Cambria" w:hAnsi="Cambria" w:cstheme="minorHAnsi"/>
          <w:szCs w:val="22"/>
        </w:rPr>
        <w:t xml:space="preserve"> </w:t>
      </w:r>
      <w:r>
        <w:rPr>
          <w:rFonts w:ascii="Cambria" w:hAnsi="Cambria"/>
          <w:bCs/>
          <w:szCs w:val="22"/>
        </w:rPr>
        <w:t xml:space="preserve">using a sample size of 9,400 seeds following the protocol of </w:t>
      </w:r>
      <w:r>
        <w:rPr>
          <w:rFonts w:ascii="Cambria" w:hAnsi="Cambria" w:cstheme="minorHAnsi"/>
          <w:szCs w:val="22"/>
        </w:rPr>
        <w:t xml:space="preserve">the ISTA 7-026 and found free from </w:t>
      </w:r>
      <w:r>
        <w:rPr>
          <w:rFonts w:ascii="Cambria" w:hAnsi="Cambria" w:cstheme="minorHAnsi"/>
          <w:i/>
          <w:szCs w:val="22"/>
        </w:rPr>
        <w:t>Cucumber green mottle mosaic virus</w:t>
      </w:r>
      <w:r>
        <w:rPr>
          <w:rFonts w:ascii="Cambria" w:hAnsi="Cambria" w:cstheme="minorHAnsi"/>
          <w:szCs w:val="22"/>
        </w:rPr>
        <w:t>’; and</w:t>
      </w:r>
    </w:p>
    <w:p w14:paraId="46599D9F" w14:textId="08B77176" w:rsidR="008163B6" w:rsidRPr="00DD6194" w:rsidRDefault="00F709BD" w:rsidP="006279EB">
      <w:pPr>
        <w:pStyle w:val="AQISNum"/>
        <w:widowControl w:val="0"/>
        <w:numPr>
          <w:ilvl w:val="0"/>
          <w:numId w:val="34"/>
        </w:numPr>
        <w:adjustRightInd w:val="0"/>
        <w:spacing w:before="120" w:after="120" w:line="276" w:lineRule="auto"/>
        <w:ind w:left="357" w:hanging="357"/>
        <w:contextualSpacing/>
        <w:textAlignment w:val="baseline"/>
        <w:rPr>
          <w:rFonts w:ascii="Cambria" w:hAnsi="Cambria"/>
          <w:b/>
          <w:bCs/>
        </w:rPr>
      </w:pPr>
      <w:r>
        <w:rPr>
          <w:rFonts w:ascii="Cambria" w:hAnsi="Cambria"/>
          <w:b/>
          <w:bCs/>
          <w:szCs w:val="22"/>
        </w:rPr>
        <w:t>On-arrival inspection</w:t>
      </w:r>
      <w:r>
        <w:rPr>
          <w:rFonts w:ascii="Cambria" w:hAnsi="Cambria"/>
          <w:bCs/>
          <w:szCs w:val="22"/>
        </w:rPr>
        <w:t xml:space="preserve">—to </w:t>
      </w:r>
      <w:r>
        <w:rPr>
          <w:rFonts w:ascii="Cambria" w:hAnsi="Cambria"/>
        </w:rPr>
        <w:t>verify freedom from live insects, soil, disease symptoms, prohibited seeds, other plant material, animal material and any other extraneous contamination of quarantine concern.</w:t>
      </w:r>
    </w:p>
    <w:p w14:paraId="7700AAC2" w14:textId="77777777" w:rsidR="008163B6" w:rsidRPr="00DD6194" w:rsidRDefault="008163B6" w:rsidP="006279EB">
      <w:pPr>
        <w:spacing w:before="120" w:after="120" w:line="276" w:lineRule="auto"/>
        <w:contextualSpacing/>
        <w:rPr>
          <w:rFonts w:ascii="Cambria" w:hAnsi="Cambria"/>
          <w:b/>
          <w:bCs/>
        </w:rPr>
        <w:sectPr w:rsidR="008163B6" w:rsidRPr="00DD6194">
          <w:headerReference w:type="default" r:id="rId42"/>
          <w:pgSz w:w="11906" w:h="16838"/>
          <w:pgMar w:top="1418" w:right="1418" w:bottom="1418" w:left="1418" w:header="567" w:footer="283" w:gutter="0"/>
          <w:cols w:space="708"/>
          <w:docGrid w:linePitch="360"/>
        </w:sectPr>
      </w:pPr>
    </w:p>
    <w:p w14:paraId="6FA3D80C" w14:textId="77777777" w:rsidR="008163B6" w:rsidRPr="00DD6194" w:rsidRDefault="00F709BD">
      <w:pPr>
        <w:pStyle w:val="Heading1nonumbers"/>
        <w:rPr>
          <w:rFonts w:ascii="Cambria" w:hAnsi="Cambria"/>
          <w:lang w:val="en-AU"/>
        </w:rPr>
      </w:pPr>
      <w:bookmarkStart w:id="287" w:name="_Toc447540813"/>
      <w:r w:rsidRPr="00DD6194">
        <w:rPr>
          <w:rFonts w:ascii="Cambria" w:hAnsi="Cambria"/>
          <w:lang w:val="en-AU"/>
        </w:rPr>
        <w:t>Appendix A: Stakeholders comments on emergency measures</w:t>
      </w:r>
      <w:bookmarkEnd w:id="287"/>
    </w:p>
    <w:p w14:paraId="3A0216F9" w14:textId="77777777" w:rsidR="00B21AED" w:rsidRDefault="00F709BD" w:rsidP="006279EB">
      <w:pPr>
        <w:spacing w:before="120" w:after="120" w:line="276" w:lineRule="auto"/>
        <w:rPr>
          <w:rFonts w:ascii="Cambria" w:eastAsia="Calibri" w:hAnsi="Cambria"/>
        </w:rPr>
      </w:pPr>
      <w:r w:rsidRPr="00FA350D">
        <w:rPr>
          <w:rFonts w:ascii="Cambria" w:hAnsi="Cambria"/>
        </w:rPr>
        <w:t>The Department of Agriculture and Water Resources (the department) notified international trading partners on 23 October 2014 that emergency me</w:t>
      </w:r>
      <w:r>
        <w:rPr>
          <w:rFonts w:ascii="Cambria" w:hAnsi="Cambria"/>
        </w:rPr>
        <w:t xml:space="preserve">asures </w:t>
      </w:r>
      <w:r w:rsidR="00164476">
        <w:rPr>
          <w:rFonts w:ascii="Cambria" w:hAnsi="Cambria"/>
        </w:rPr>
        <w:t xml:space="preserve">would be introduced immediately </w:t>
      </w:r>
      <w:r>
        <w:rPr>
          <w:rFonts w:ascii="Cambria" w:hAnsi="Cambria"/>
        </w:rPr>
        <w:t xml:space="preserve">against </w:t>
      </w:r>
      <w:r>
        <w:rPr>
          <w:rFonts w:ascii="Cambria" w:hAnsi="Cambria"/>
          <w:i/>
        </w:rPr>
        <w:t>Cucumber green mottle mosaic virus</w:t>
      </w:r>
      <w:r>
        <w:rPr>
          <w:rFonts w:ascii="Cambria" w:hAnsi="Cambria"/>
        </w:rPr>
        <w:t xml:space="preserve"> associated with </w:t>
      </w:r>
      <w:r w:rsidR="00473C1A">
        <w:rPr>
          <w:rFonts w:ascii="Cambria" w:hAnsi="Cambria"/>
        </w:rPr>
        <w:t xml:space="preserve">host </w:t>
      </w:r>
      <w:r>
        <w:rPr>
          <w:rFonts w:ascii="Cambria" w:hAnsi="Cambria"/>
        </w:rPr>
        <w:t>cucurbit seeds from all countries (</w:t>
      </w:r>
      <w:r>
        <w:rPr>
          <w:rFonts w:ascii="Cambria" w:hAnsi="Cambria"/>
          <w:iCs/>
        </w:rPr>
        <w:t>G/SPS/N/AUS/347</w:t>
      </w:r>
      <w:r>
        <w:rPr>
          <w:rFonts w:ascii="Cambria" w:hAnsi="Cambria"/>
        </w:rPr>
        <w:t>).</w:t>
      </w:r>
      <w:r>
        <w:rPr>
          <w:rFonts w:ascii="Cambria" w:eastAsia="Calibri" w:hAnsi="Cambria"/>
        </w:rPr>
        <w:t xml:space="preserve"> </w:t>
      </w:r>
      <w:r w:rsidR="00B21AED">
        <w:rPr>
          <w:rFonts w:ascii="Cambria" w:eastAsia="Calibri" w:hAnsi="Cambria"/>
        </w:rPr>
        <w:t>These emergency measures were amended in December 2015 to regulate additional hosts in response to new scientific evidence on the seed-borne hosts of CGMMV (</w:t>
      </w:r>
      <w:r w:rsidR="00B21AED">
        <w:rPr>
          <w:rFonts w:ascii="Cambria" w:hAnsi="Cambria"/>
          <w:iCs/>
        </w:rPr>
        <w:t>G/SPS/N/AUS/347/Add.3</w:t>
      </w:r>
      <w:r w:rsidR="00B21AED">
        <w:rPr>
          <w:rFonts w:ascii="Cambria" w:eastAsia="Calibri" w:hAnsi="Cambria"/>
        </w:rPr>
        <w:t xml:space="preserve">). </w:t>
      </w:r>
    </w:p>
    <w:p w14:paraId="67AD9CA5" w14:textId="2F1C4ECB" w:rsidR="008163B6" w:rsidRDefault="00F709BD" w:rsidP="006279EB">
      <w:pPr>
        <w:spacing w:before="120" w:after="120" w:line="276" w:lineRule="auto"/>
        <w:rPr>
          <w:rFonts w:ascii="Cambria" w:hAnsi="Cambria"/>
        </w:rPr>
      </w:pPr>
      <w:r>
        <w:rPr>
          <w:rFonts w:ascii="Cambria" w:hAnsi="Cambria"/>
        </w:rPr>
        <w:t xml:space="preserve">The department </w:t>
      </w:r>
      <w:r>
        <w:rPr>
          <w:rFonts w:ascii="Cambria" w:eastAsia="Calibri" w:hAnsi="Cambria"/>
        </w:rPr>
        <w:t xml:space="preserve">received </w:t>
      </w:r>
      <w:r>
        <w:rPr>
          <w:rFonts w:ascii="Cambria" w:hAnsi="Cambria"/>
        </w:rPr>
        <w:t xml:space="preserve">several </w:t>
      </w:r>
      <w:r>
        <w:rPr>
          <w:rFonts w:ascii="Cambria" w:eastAsia="Calibri" w:hAnsi="Cambria"/>
        </w:rPr>
        <w:t xml:space="preserve">written </w:t>
      </w:r>
      <w:r w:rsidR="00164476">
        <w:rPr>
          <w:rFonts w:ascii="Cambria" w:eastAsia="Calibri" w:hAnsi="Cambria"/>
        </w:rPr>
        <w:t xml:space="preserve">comments on the emergency measures </w:t>
      </w:r>
      <w:r>
        <w:rPr>
          <w:rFonts w:ascii="Cambria" w:eastAsia="Calibri" w:hAnsi="Cambria"/>
        </w:rPr>
        <w:t xml:space="preserve">from stakeholders, including </w:t>
      </w:r>
      <w:r w:rsidR="00263B0B">
        <w:rPr>
          <w:rFonts w:ascii="Cambria" w:hAnsi="Cambria"/>
        </w:rPr>
        <w:t>National P</w:t>
      </w:r>
      <w:r w:rsidR="00292639">
        <w:rPr>
          <w:rFonts w:ascii="Cambria" w:hAnsi="Cambria"/>
        </w:rPr>
        <w:t>lant Protection Organis</w:t>
      </w:r>
      <w:r w:rsidR="00EA158F">
        <w:rPr>
          <w:rFonts w:ascii="Cambria" w:hAnsi="Cambria"/>
        </w:rPr>
        <w:t>ations</w:t>
      </w:r>
      <w:r w:rsidR="00263B0B">
        <w:rPr>
          <w:rFonts w:ascii="Cambria" w:hAnsi="Cambria"/>
        </w:rPr>
        <w:t xml:space="preserve">, </w:t>
      </w:r>
      <w:r>
        <w:rPr>
          <w:rFonts w:ascii="Cambria" w:eastAsia="Calibri" w:hAnsi="Cambria"/>
        </w:rPr>
        <w:t>seed companies</w:t>
      </w:r>
      <w:r w:rsidR="00263B0B">
        <w:rPr>
          <w:rFonts w:ascii="Cambria" w:eastAsia="Calibri" w:hAnsi="Cambria"/>
        </w:rPr>
        <w:t xml:space="preserve"> and </w:t>
      </w:r>
      <w:r>
        <w:rPr>
          <w:rFonts w:ascii="Cambria" w:hAnsi="Cambria"/>
        </w:rPr>
        <w:t>international and domestic seed federations</w:t>
      </w:r>
      <w:r w:rsidR="00263B0B">
        <w:rPr>
          <w:rFonts w:ascii="Cambria" w:hAnsi="Cambria"/>
        </w:rPr>
        <w:t xml:space="preserve">. </w:t>
      </w:r>
      <w:r>
        <w:rPr>
          <w:rFonts w:ascii="Cambria" w:hAnsi="Cambria"/>
        </w:rPr>
        <w:t xml:space="preserve">A summary of </w:t>
      </w:r>
      <w:r w:rsidR="008467A2">
        <w:rPr>
          <w:rFonts w:ascii="Cambria" w:hAnsi="Cambria"/>
        </w:rPr>
        <w:t xml:space="preserve">responses to </w:t>
      </w:r>
      <w:r>
        <w:rPr>
          <w:rFonts w:ascii="Cambria" w:hAnsi="Cambria"/>
        </w:rPr>
        <w:t>issues raised by the stakeholders is provided below</w:t>
      </w:r>
      <w:r w:rsidR="00FA350D">
        <w:rPr>
          <w:rFonts w:ascii="Cambria" w:hAnsi="Cambria"/>
        </w:rPr>
        <w:t>.</w:t>
      </w:r>
    </w:p>
    <w:p w14:paraId="0A5F4C13" w14:textId="77777777" w:rsidR="008163B6" w:rsidRDefault="00F709BD">
      <w:pPr>
        <w:pStyle w:val="Heading2"/>
        <w:numPr>
          <w:ilvl w:val="0"/>
          <w:numId w:val="0"/>
        </w:numPr>
        <w:spacing w:before="200" w:after="120"/>
        <w:ind w:left="357" w:hanging="357"/>
        <w:rPr>
          <w:rFonts w:eastAsiaTheme="majorEastAsia" w:cstheme="majorBidi"/>
          <w:color w:val="773141"/>
          <w:sz w:val="28"/>
        </w:rPr>
      </w:pPr>
      <w:bookmarkStart w:id="288" w:name="_Toc432763600"/>
      <w:bookmarkStart w:id="289" w:name="_Toc447540814"/>
      <w:r>
        <w:rPr>
          <w:rFonts w:eastAsiaTheme="majorEastAsia" w:cstheme="majorBidi"/>
          <w:color w:val="773141"/>
          <w:sz w:val="28"/>
        </w:rPr>
        <w:t>Issues raised by stakeholders in response to the emergency measures</w:t>
      </w:r>
      <w:bookmarkEnd w:id="288"/>
      <w:bookmarkEnd w:id="289"/>
    </w:p>
    <w:p w14:paraId="04F6181F" w14:textId="77777777" w:rsidR="008163B6" w:rsidRDefault="00F709BD">
      <w:pPr>
        <w:pStyle w:val="Heading3"/>
        <w:keepLines/>
        <w:spacing w:before="200" w:after="200"/>
        <w:rPr>
          <w:rFonts w:ascii="Calibri" w:hAnsi="Calibri" w:cstheme="minorBidi"/>
          <w:sz w:val="24"/>
          <w:szCs w:val="22"/>
        </w:rPr>
      </w:pPr>
      <w:bookmarkStart w:id="290" w:name="_Toc432763601"/>
      <w:bookmarkStart w:id="291" w:name="_Toc447540815"/>
      <w:r>
        <w:rPr>
          <w:rFonts w:ascii="Calibri" w:hAnsi="Calibri" w:cstheme="minorBidi"/>
          <w:sz w:val="24"/>
          <w:szCs w:val="22"/>
        </w:rPr>
        <w:t xml:space="preserve">Questions in relation to </w:t>
      </w:r>
      <w:bookmarkEnd w:id="290"/>
      <w:r>
        <w:rPr>
          <w:rFonts w:ascii="Calibri" w:hAnsi="Calibri" w:cstheme="minorBidi"/>
          <w:i/>
          <w:sz w:val="24"/>
          <w:szCs w:val="22"/>
        </w:rPr>
        <w:t>Cucumber green mottle mosaic virus</w:t>
      </w:r>
      <w:bookmarkEnd w:id="291"/>
    </w:p>
    <w:p w14:paraId="70081EF9" w14:textId="0904C1D4" w:rsidR="008163B6" w:rsidRDefault="00F709BD" w:rsidP="008163B6">
      <w:pPr>
        <w:pStyle w:val="Heading4"/>
        <w:numPr>
          <w:ilvl w:val="0"/>
          <w:numId w:val="40"/>
        </w:numPr>
        <w:spacing w:before="160"/>
        <w:rPr>
          <w:sz w:val="21"/>
          <w:szCs w:val="21"/>
        </w:rPr>
      </w:pPr>
      <w:r>
        <w:rPr>
          <w:sz w:val="21"/>
          <w:szCs w:val="21"/>
        </w:rPr>
        <w:t xml:space="preserve">Taxonomy </w:t>
      </w:r>
    </w:p>
    <w:p w14:paraId="02991BC4" w14:textId="32CF240C" w:rsidR="008163B6" w:rsidRDefault="00F709BD" w:rsidP="006279EB">
      <w:pPr>
        <w:spacing w:before="120" w:after="120" w:line="276" w:lineRule="auto"/>
        <w:contextualSpacing/>
        <w:rPr>
          <w:rFonts w:ascii="Cambria" w:eastAsia="Times New Roman" w:hAnsi="Cambria" w:cs="Times New Roman"/>
          <w:bCs/>
          <w:lang w:eastAsia="en-AU"/>
        </w:rPr>
      </w:pPr>
      <w:r>
        <w:rPr>
          <w:rFonts w:ascii="Cambria" w:eastAsia="Times New Roman" w:hAnsi="Cambria" w:cs="Times New Roman"/>
          <w:bCs/>
          <w:i/>
          <w:lang w:eastAsia="en-AU"/>
        </w:rPr>
        <w:t>Cucumber green mottle mosaic virus</w:t>
      </w:r>
      <w:r>
        <w:rPr>
          <w:rFonts w:ascii="Cambria" w:eastAsia="Times New Roman" w:hAnsi="Cambria" w:cs="Times New Roman"/>
          <w:bCs/>
          <w:lang w:eastAsia="en-AU"/>
        </w:rPr>
        <w:t xml:space="preserve"> (CGMMV) belongs to the genus </w:t>
      </w:r>
      <w:proofErr w:type="spellStart"/>
      <w:r>
        <w:rPr>
          <w:rFonts w:ascii="Cambria" w:eastAsia="Times New Roman" w:hAnsi="Cambria" w:cs="Times New Roman"/>
          <w:bCs/>
          <w:i/>
          <w:lang w:eastAsia="en-AU"/>
        </w:rPr>
        <w:t>Tobamovirus</w:t>
      </w:r>
      <w:proofErr w:type="spellEnd"/>
      <w:r>
        <w:rPr>
          <w:rFonts w:ascii="Cambria" w:eastAsia="Times New Roman" w:hAnsi="Cambria" w:cs="Times New Roman"/>
          <w:bCs/>
          <w:i/>
          <w:lang w:eastAsia="en-AU"/>
        </w:rPr>
        <w:t xml:space="preserve"> </w:t>
      </w:r>
      <w:r>
        <w:rPr>
          <w:rFonts w:ascii="Cambria" w:eastAsia="Times New Roman" w:hAnsi="Cambria" w:cs="Times New Roman"/>
          <w:bCs/>
          <w:lang w:eastAsia="en-AU"/>
        </w:rPr>
        <w:t xml:space="preserve">within the family </w:t>
      </w:r>
      <w:proofErr w:type="spellStart"/>
      <w:r w:rsidRPr="00B73BB5">
        <w:rPr>
          <w:rFonts w:ascii="Cambria" w:eastAsia="Times New Roman" w:hAnsi="Cambria" w:cs="Times New Roman"/>
          <w:bCs/>
          <w:i/>
          <w:lang w:eastAsia="en-AU"/>
        </w:rPr>
        <w:t>Virgaviridae</w:t>
      </w:r>
      <w:proofErr w:type="spellEnd"/>
      <w:r>
        <w:rPr>
          <w:rFonts w:ascii="Cambria" w:eastAsia="Times New Roman" w:hAnsi="Cambria" w:cs="Times New Roman"/>
          <w:bCs/>
          <w:lang w:eastAsia="en-AU"/>
        </w:rPr>
        <w:t xml:space="preserve">. Several closely related </w:t>
      </w:r>
      <w:proofErr w:type="spellStart"/>
      <w:r>
        <w:rPr>
          <w:rFonts w:ascii="Cambria" w:eastAsia="Times New Roman" w:hAnsi="Cambria" w:cs="Times New Roman"/>
          <w:bCs/>
          <w:i/>
          <w:lang w:eastAsia="en-AU"/>
        </w:rPr>
        <w:t>Tobamovirus</w:t>
      </w:r>
      <w:proofErr w:type="spellEnd"/>
      <w:r>
        <w:rPr>
          <w:rFonts w:ascii="Cambria" w:eastAsia="Times New Roman" w:hAnsi="Cambria" w:cs="Times New Roman"/>
          <w:bCs/>
          <w:lang w:eastAsia="en-AU"/>
        </w:rPr>
        <w:t xml:space="preserve"> species are reported to infect cucurbits globally, which has caused some taxonomic confusion. </w:t>
      </w:r>
      <w:r w:rsidR="00B21AED">
        <w:rPr>
          <w:rFonts w:ascii="Cambria" w:eastAsia="Times New Roman" w:hAnsi="Cambria" w:cs="Times New Roman"/>
          <w:bCs/>
          <w:lang w:eastAsia="en-AU"/>
        </w:rPr>
        <w:t xml:space="preserve">To date, </w:t>
      </w:r>
      <w:r>
        <w:rPr>
          <w:rFonts w:ascii="Cambria" w:eastAsia="Times New Roman" w:hAnsi="Cambria" w:cs="Times New Roman"/>
          <w:bCs/>
          <w:lang w:eastAsia="en-AU"/>
        </w:rPr>
        <w:t xml:space="preserve">Australia recognises the following cucurbit-infecting </w:t>
      </w:r>
      <w:proofErr w:type="spellStart"/>
      <w:r>
        <w:rPr>
          <w:rFonts w:ascii="Cambria" w:eastAsia="Times New Roman" w:hAnsi="Cambria" w:cs="Times New Roman"/>
          <w:bCs/>
          <w:lang w:eastAsia="en-AU"/>
        </w:rPr>
        <w:t>tobamoviruses</w:t>
      </w:r>
      <w:proofErr w:type="spellEnd"/>
      <w:r>
        <w:rPr>
          <w:rFonts w:ascii="Cambria" w:eastAsia="Times New Roman" w:hAnsi="Cambria" w:cs="Times New Roman"/>
          <w:bCs/>
          <w:lang w:eastAsia="en-AU"/>
        </w:rPr>
        <w:t xml:space="preserve"> as distinct virus species, based on their current acceptance by the International Committee on Taxonomy of Viruses: </w:t>
      </w:r>
    </w:p>
    <w:p w14:paraId="46CAD17F" w14:textId="77777777" w:rsidR="008163B6" w:rsidRDefault="00F709BD" w:rsidP="006279EB">
      <w:pPr>
        <w:numPr>
          <w:ilvl w:val="0"/>
          <w:numId w:val="39"/>
        </w:numPr>
        <w:spacing w:before="120" w:after="120" w:line="276" w:lineRule="auto"/>
        <w:contextualSpacing/>
        <w:rPr>
          <w:rFonts w:ascii="Cambria" w:eastAsia="Times New Roman" w:hAnsi="Cambria" w:cs="Times New Roman"/>
          <w:bCs/>
          <w:lang w:eastAsia="en-AU"/>
        </w:rPr>
      </w:pPr>
      <w:r>
        <w:rPr>
          <w:rFonts w:ascii="Cambria" w:eastAsia="Times New Roman" w:hAnsi="Cambria" w:cs="Times New Roman"/>
          <w:bCs/>
          <w:i/>
          <w:lang w:eastAsia="en-AU"/>
        </w:rPr>
        <w:t xml:space="preserve">Cucumber fruit mottle mosaic virus </w:t>
      </w:r>
      <w:r>
        <w:rPr>
          <w:rFonts w:ascii="Cambria" w:eastAsia="Times New Roman" w:hAnsi="Cambria" w:cs="Times New Roman"/>
          <w:bCs/>
          <w:lang w:eastAsia="en-AU"/>
        </w:rPr>
        <w:t xml:space="preserve">(CFMMV) </w:t>
      </w:r>
    </w:p>
    <w:p w14:paraId="6DD3BDD1" w14:textId="77777777" w:rsidR="008163B6" w:rsidRDefault="00F709BD" w:rsidP="006279EB">
      <w:pPr>
        <w:numPr>
          <w:ilvl w:val="0"/>
          <w:numId w:val="39"/>
        </w:numPr>
        <w:spacing w:before="120" w:after="120" w:line="276" w:lineRule="auto"/>
        <w:contextualSpacing/>
        <w:rPr>
          <w:rFonts w:ascii="Cambria" w:eastAsia="Times New Roman" w:hAnsi="Cambria" w:cs="Times New Roman"/>
          <w:bCs/>
          <w:lang w:eastAsia="en-AU"/>
        </w:rPr>
      </w:pPr>
      <w:r>
        <w:rPr>
          <w:rFonts w:ascii="Cambria" w:eastAsia="Times New Roman" w:hAnsi="Cambria" w:cs="Times New Roman"/>
          <w:bCs/>
          <w:i/>
          <w:lang w:eastAsia="en-AU"/>
        </w:rPr>
        <w:t xml:space="preserve">Cucumber green mottle mosaic virus </w:t>
      </w:r>
      <w:r>
        <w:rPr>
          <w:rFonts w:ascii="Cambria" w:eastAsia="Times New Roman" w:hAnsi="Cambria" w:cs="Times New Roman"/>
          <w:bCs/>
          <w:lang w:eastAsia="en-AU"/>
        </w:rPr>
        <w:t>(CGMMV)</w:t>
      </w:r>
    </w:p>
    <w:p w14:paraId="6F25F31C" w14:textId="77777777" w:rsidR="008163B6" w:rsidRDefault="00F709BD" w:rsidP="006279EB">
      <w:pPr>
        <w:numPr>
          <w:ilvl w:val="0"/>
          <w:numId w:val="39"/>
        </w:numPr>
        <w:spacing w:before="120" w:after="120" w:line="276" w:lineRule="auto"/>
        <w:contextualSpacing/>
        <w:rPr>
          <w:rFonts w:ascii="Cambria" w:eastAsia="Times New Roman" w:hAnsi="Cambria" w:cs="Times New Roman"/>
          <w:bCs/>
          <w:i/>
          <w:lang w:eastAsia="en-AU"/>
        </w:rPr>
      </w:pPr>
      <w:r>
        <w:rPr>
          <w:rFonts w:ascii="Cambria" w:eastAsia="Times New Roman" w:hAnsi="Cambria" w:cs="Times New Roman"/>
          <w:bCs/>
          <w:i/>
          <w:lang w:eastAsia="en-AU"/>
        </w:rPr>
        <w:t xml:space="preserve">Cucumber mottle virus </w:t>
      </w:r>
      <w:r>
        <w:rPr>
          <w:rFonts w:ascii="Cambria" w:eastAsia="Times New Roman" w:hAnsi="Cambria" w:cs="Times New Roman"/>
          <w:bCs/>
          <w:lang w:eastAsia="en-AU"/>
        </w:rPr>
        <w:t>(</w:t>
      </w:r>
      <w:proofErr w:type="spellStart"/>
      <w:r>
        <w:rPr>
          <w:rFonts w:ascii="Cambria" w:eastAsia="Times New Roman" w:hAnsi="Cambria" w:cs="Times New Roman"/>
          <w:bCs/>
          <w:lang w:eastAsia="en-AU"/>
        </w:rPr>
        <w:t>CuMoV</w:t>
      </w:r>
      <w:proofErr w:type="spellEnd"/>
      <w:r>
        <w:rPr>
          <w:rFonts w:ascii="Cambria" w:eastAsia="Times New Roman" w:hAnsi="Cambria" w:cs="Times New Roman"/>
          <w:bCs/>
          <w:lang w:eastAsia="en-AU"/>
        </w:rPr>
        <w:t>)</w:t>
      </w:r>
    </w:p>
    <w:p w14:paraId="1DEC6080" w14:textId="77777777" w:rsidR="008163B6" w:rsidRDefault="00F709BD" w:rsidP="006279EB">
      <w:pPr>
        <w:numPr>
          <w:ilvl w:val="0"/>
          <w:numId w:val="39"/>
        </w:numPr>
        <w:spacing w:before="120" w:after="120" w:line="276" w:lineRule="auto"/>
        <w:contextualSpacing/>
        <w:rPr>
          <w:rFonts w:ascii="Cambria" w:eastAsia="Times New Roman" w:hAnsi="Cambria" w:cs="Times New Roman"/>
          <w:bCs/>
          <w:lang w:eastAsia="en-AU"/>
        </w:rPr>
      </w:pPr>
      <w:proofErr w:type="spellStart"/>
      <w:r>
        <w:rPr>
          <w:rFonts w:ascii="Cambria" w:eastAsia="Times New Roman" w:hAnsi="Cambria" w:cs="Times New Roman"/>
          <w:bCs/>
          <w:i/>
          <w:lang w:eastAsia="en-AU"/>
        </w:rPr>
        <w:t>Kyuri</w:t>
      </w:r>
      <w:proofErr w:type="spellEnd"/>
      <w:r>
        <w:rPr>
          <w:rFonts w:ascii="Cambria" w:eastAsia="Times New Roman" w:hAnsi="Cambria" w:cs="Times New Roman"/>
          <w:bCs/>
          <w:i/>
          <w:lang w:eastAsia="en-AU"/>
        </w:rPr>
        <w:t xml:space="preserve"> green mottle mosaic virus </w:t>
      </w:r>
      <w:r>
        <w:rPr>
          <w:rFonts w:ascii="Cambria" w:eastAsia="Times New Roman" w:hAnsi="Cambria" w:cs="Times New Roman"/>
          <w:bCs/>
          <w:lang w:eastAsia="en-AU"/>
        </w:rPr>
        <w:t>(KGMMV)</w:t>
      </w:r>
    </w:p>
    <w:p w14:paraId="103ED490" w14:textId="77777777" w:rsidR="008163B6" w:rsidRDefault="00F709BD" w:rsidP="006279EB">
      <w:pPr>
        <w:numPr>
          <w:ilvl w:val="0"/>
          <w:numId w:val="39"/>
        </w:numPr>
        <w:spacing w:before="120" w:after="120" w:line="276" w:lineRule="auto"/>
        <w:contextualSpacing/>
        <w:rPr>
          <w:rFonts w:ascii="Cambria" w:eastAsia="Times New Roman" w:hAnsi="Cambria" w:cs="Times New Roman"/>
          <w:bCs/>
          <w:lang w:eastAsia="en-AU"/>
        </w:rPr>
      </w:pPr>
      <w:r>
        <w:rPr>
          <w:rFonts w:ascii="Cambria" w:eastAsia="Times New Roman" w:hAnsi="Cambria" w:cs="Times New Roman"/>
          <w:bCs/>
          <w:i/>
          <w:lang w:eastAsia="en-AU"/>
        </w:rPr>
        <w:t xml:space="preserve">Tobacco mosaic virus </w:t>
      </w:r>
      <w:r>
        <w:rPr>
          <w:rFonts w:ascii="Cambria" w:eastAsia="Times New Roman" w:hAnsi="Cambria" w:cs="Times New Roman"/>
          <w:bCs/>
          <w:lang w:eastAsia="en-AU"/>
        </w:rPr>
        <w:t>(TMV)</w:t>
      </w:r>
    </w:p>
    <w:p w14:paraId="556D456B" w14:textId="77777777" w:rsidR="008163B6" w:rsidRDefault="00F709BD" w:rsidP="006279EB">
      <w:pPr>
        <w:numPr>
          <w:ilvl w:val="0"/>
          <w:numId w:val="39"/>
        </w:numPr>
        <w:spacing w:before="120" w:after="120" w:line="276" w:lineRule="auto"/>
        <w:contextualSpacing/>
        <w:rPr>
          <w:rFonts w:ascii="Cambria" w:eastAsia="Times New Roman" w:hAnsi="Cambria" w:cs="Times New Roman"/>
          <w:bCs/>
          <w:lang w:eastAsia="en-AU"/>
        </w:rPr>
      </w:pPr>
      <w:r>
        <w:rPr>
          <w:rFonts w:ascii="Cambria" w:eastAsia="Times New Roman" w:hAnsi="Cambria" w:cs="Times New Roman"/>
          <w:bCs/>
          <w:i/>
          <w:lang w:eastAsia="en-AU"/>
        </w:rPr>
        <w:t>Zucchini green mottle mosaic virus</w:t>
      </w:r>
      <w:r>
        <w:rPr>
          <w:rFonts w:ascii="Cambria" w:eastAsia="Times New Roman" w:hAnsi="Cambria" w:cs="Times New Roman"/>
          <w:bCs/>
          <w:lang w:eastAsia="en-AU"/>
        </w:rPr>
        <w:t xml:space="preserve"> (ZGMMV).</w:t>
      </w:r>
    </w:p>
    <w:p w14:paraId="79EE07C4" w14:textId="7C86DB1D" w:rsidR="008163B6" w:rsidRDefault="00F709BD" w:rsidP="008163B6">
      <w:pPr>
        <w:pStyle w:val="Heading4"/>
        <w:numPr>
          <w:ilvl w:val="0"/>
          <w:numId w:val="40"/>
        </w:numPr>
        <w:spacing w:before="160"/>
        <w:rPr>
          <w:sz w:val="21"/>
          <w:szCs w:val="21"/>
        </w:rPr>
      </w:pPr>
      <w:r>
        <w:rPr>
          <w:sz w:val="21"/>
          <w:szCs w:val="21"/>
        </w:rPr>
        <w:t xml:space="preserve">Host range </w:t>
      </w:r>
    </w:p>
    <w:p w14:paraId="3BACE550" w14:textId="77777777" w:rsidR="008163B6" w:rsidRDefault="00F709BD" w:rsidP="006279EB">
      <w:pPr>
        <w:spacing w:before="120" w:after="120" w:line="276" w:lineRule="auto"/>
        <w:contextualSpacing/>
        <w:jc w:val="both"/>
        <w:rPr>
          <w:rFonts w:ascii="Cambria" w:eastAsia="Times New Roman" w:hAnsi="Cambria" w:cs="Times New Roman"/>
          <w:lang w:eastAsia="en-AU"/>
        </w:rPr>
      </w:pPr>
      <w:r>
        <w:rPr>
          <w:rFonts w:ascii="Cambria" w:eastAsia="Times New Roman" w:hAnsi="Cambria" w:cs="Arial"/>
          <w:lang w:eastAsia="en-AU"/>
        </w:rPr>
        <w:t xml:space="preserve">Australia’s phytosanitary measures for the importation of CGMMV hosts complies with Australia’s international obligations under the WTO SPS Agreement and the IPPC, for example: </w:t>
      </w:r>
    </w:p>
    <w:p w14:paraId="72E5F252" w14:textId="332B8797" w:rsidR="008163B6"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Under ISPM No. 2, the ‘taxonomic level for organisms considered in PRA is usually the species. The use of a higher or lower taxonomic level should be supported by scientifically sound rationale’ (FAO 20</w:t>
      </w:r>
      <w:r w:rsidR="003E619C">
        <w:rPr>
          <w:rFonts w:ascii="Cambria" w:eastAsia="Times New Roman" w:hAnsi="Cambria" w:cs="Times New Roman"/>
          <w:lang w:eastAsia="en-AU"/>
        </w:rPr>
        <w:t>11b</w:t>
      </w:r>
      <w:r>
        <w:rPr>
          <w:rFonts w:ascii="Cambria" w:eastAsia="Times New Roman" w:hAnsi="Cambria" w:cs="Times New Roman"/>
          <w:lang w:eastAsia="en-AU"/>
        </w:rPr>
        <w:t>). Consequently, Australia is regulating the hosts of CGMMV at the species level.</w:t>
      </w:r>
    </w:p>
    <w:p w14:paraId="7A8E1FD5" w14:textId="77777777" w:rsidR="008163B6"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Under ISPM No. 5, host range is defined as a ‘species capable, under natural conditions, of sustaining a specific pest or other organism’ (FAO 2015). Therefore, Australia is only regulating plant species that are reported to be hosts under natural conditions.</w:t>
      </w:r>
    </w:p>
    <w:p w14:paraId="39682BE2" w14:textId="301AD042" w:rsidR="008163B6"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Under Article 2 of th</w:t>
      </w:r>
      <w:r w:rsidR="00263B0B">
        <w:rPr>
          <w:rFonts w:ascii="Cambria" w:eastAsia="Times New Roman" w:hAnsi="Cambria" w:cs="Times New Roman"/>
          <w:lang w:eastAsia="en-AU"/>
        </w:rPr>
        <w:t>e</w:t>
      </w:r>
      <w:r>
        <w:rPr>
          <w:rFonts w:ascii="Cambria" w:eastAsia="Times New Roman" w:hAnsi="Cambria" w:cs="Times New Roman"/>
          <w:lang w:eastAsia="en-AU"/>
        </w:rPr>
        <w:t xml:space="preserve"> SPS Agreement, phytosanitary measures must be based on scientific principles and not maintained without sufficient scientific evidence. Therefore, Australia’s phytosanitary measures do not regulate a plant species if there is insufficient scientific evidence that it is a host of CGMMV.</w:t>
      </w:r>
    </w:p>
    <w:p w14:paraId="6C686087" w14:textId="14981009" w:rsidR="008163B6" w:rsidRDefault="00746090" w:rsidP="006279EB">
      <w:pPr>
        <w:overflowPunct w:val="0"/>
        <w:autoSpaceDE w:val="0"/>
        <w:autoSpaceDN w:val="0"/>
        <w:adjustRightInd w:val="0"/>
        <w:spacing w:before="120" w:after="120" w:line="276" w:lineRule="auto"/>
        <w:textAlignment w:val="baseline"/>
        <w:rPr>
          <w:rFonts w:ascii="Cambria" w:eastAsia="Times New Roman" w:hAnsi="Cambria" w:cs="Times New Roman"/>
        </w:rPr>
      </w:pPr>
      <w:r>
        <w:rPr>
          <w:rFonts w:ascii="Cambria" w:eastAsia="Times New Roman" w:hAnsi="Cambria" w:cs="Times New Roman"/>
        </w:rPr>
        <w:t xml:space="preserve">The natural hosts of </w:t>
      </w:r>
      <w:r w:rsidR="00F709BD">
        <w:rPr>
          <w:rFonts w:ascii="Cambria" w:eastAsia="Times New Roman" w:hAnsi="Cambria" w:cs="Times New Roman"/>
        </w:rPr>
        <w:t xml:space="preserve">CGMMV </w:t>
      </w:r>
      <w:r>
        <w:rPr>
          <w:rFonts w:ascii="Cambria" w:eastAsia="Times New Roman" w:hAnsi="Cambria" w:cs="Times New Roman"/>
        </w:rPr>
        <w:t>include</w:t>
      </w:r>
      <w:r w:rsidR="00F709BD">
        <w:rPr>
          <w:rFonts w:ascii="Cambria" w:eastAsia="Times New Roman" w:hAnsi="Cambria" w:cs="Times New Roman"/>
        </w:rPr>
        <w:t xml:space="preserve"> </w:t>
      </w:r>
      <w:proofErr w:type="spellStart"/>
      <w:r w:rsidR="00F709BD">
        <w:rPr>
          <w:rFonts w:ascii="Cambria" w:eastAsia="Times New Roman" w:hAnsi="Cambria" w:cs="Times New Roman"/>
          <w:i/>
        </w:rPr>
        <w:t>Benincasa</w:t>
      </w:r>
      <w:proofErr w:type="spellEnd"/>
      <w:r w:rsidR="00F709BD">
        <w:rPr>
          <w:rFonts w:ascii="Cambria" w:eastAsia="Times New Roman" w:hAnsi="Cambria" w:cs="Times New Roman"/>
          <w:i/>
        </w:rPr>
        <w:t xml:space="preserve"> </w:t>
      </w:r>
      <w:proofErr w:type="spellStart"/>
      <w:r w:rsidR="00F709BD">
        <w:rPr>
          <w:rFonts w:ascii="Cambria" w:eastAsia="Times New Roman" w:hAnsi="Cambria" w:cs="Times New Roman"/>
          <w:i/>
        </w:rPr>
        <w:t>hispida</w:t>
      </w:r>
      <w:proofErr w:type="spellEnd"/>
      <w:r w:rsidR="00F709BD">
        <w:rPr>
          <w:rFonts w:ascii="Cambria" w:eastAsia="Times New Roman" w:hAnsi="Cambria" w:cs="Times New Roman"/>
        </w:rPr>
        <w:t xml:space="preserve">, </w:t>
      </w:r>
      <w:r w:rsidR="00F709BD">
        <w:rPr>
          <w:rFonts w:ascii="Cambria" w:eastAsia="Times New Roman" w:hAnsi="Cambria" w:cs="Times New Roman"/>
          <w:i/>
        </w:rPr>
        <w:t>Citrullus lanatus</w:t>
      </w:r>
      <w:r w:rsidR="00F709BD">
        <w:rPr>
          <w:rFonts w:ascii="Cambria" w:eastAsia="Times New Roman" w:hAnsi="Cambria" w:cs="Times New Roman"/>
        </w:rPr>
        <w:t>,</w:t>
      </w:r>
      <w:r w:rsidR="00F709BD">
        <w:rPr>
          <w:rFonts w:ascii="Cambria" w:eastAsia="Times New Roman" w:hAnsi="Cambria" w:cs="Times New Roman"/>
          <w:i/>
        </w:rPr>
        <w:t xml:space="preserve"> Cucumis </w:t>
      </w:r>
      <w:proofErr w:type="spellStart"/>
      <w:r w:rsidR="00F709BD">
        <w:rPr>
          <w:rFonts w:ascii="Cambria" w:eastAsia="Times New Roman" w:hAnsi="Cambria" w:cs="Times New Roman"/>
          <w:i/>
        </w:rPr>
        <w:t>anguria</w:t>
      </w:r>
      <w:proofErr w:type="spellEnd"/>
      <w:r w:rsidR="00F709BD">
        <w:rPr>
          <w:rFonts w:ascii="Cambria" w:eastAsia="Times New Roman" w:hAnsi="Cambria" w:cs="Times New Roman"/>
        </w:rPr>
        <w:t xml:space="preserve">, </w:t>
      </w:r>
      <w:r w:rsidR="00F709BD">
        <w:rPr>
          <w:rFonts w:ascii="Cambria" w:eastAsia="Times New Roman" w:hAnsi="Cambria" w:cs="Times New Roman"/>
          <w:i/>
        </w:rPr>
        <w:t>Cucumis sativus</w:t>
      </w:r>
      <w:r w:rsidR="00F709BD">
        <w:rPr>
          <w:rFonts w:ascii="Cambria" w:eastAsia="Times New Roman" w:hAnsi="Cambria" w:cs="Times New Roman"/>
        </w:rPr>
        <w:t xml:space="preserve">, </w:t>
      </w:r>
      <w:r w:rsidR="00F709BD">
        <w:rPr>
          <w:rFonts w:ascii="Cambria" w:eastAsia="Times New Roman" w:hAnsi="Cambria" w:cs="Times New Roman"/>
          <w:i/>
        </w:rPr>
        <w:t>Cucumis melo</w:t>
      </w:r>
      <w:r w:rsidR="00F709BD">
        <w:rPr>
          <w:rFonts w:ascii="Cambria" w:eastAsia="Times New Roman" w:hAnsi="Cambria" w:cs="Times New Roman"/>
        </w:rPr>
        <w:t xml:space="preserve">, </w:t>
      </w:r>
      <w:r w:rsidR="00E86241">
        <w:rPr>
          <w:rFonts w:ascii="Cambria" w:eastAsia="Times New Roman" w:hAnsi="Cambria" w:cs="Times New Roman"/>
          <w:i/>
        </w:rPr>
        <w:t xml:space="preserve">Cucurbita maxima, </w:t>
      </w:r>
      <w:r>
        <w:rPr>
          <w:rFonts w:ascii="Cambria" w:eastAsia="Times New Roman" w:hAnsi="Cambria" w:cs="Times New Roman"/>
          <w:i/>
        </w:rPr>
        <w:t xml:space="preserve">Cucurbita maxima </w:t>
      </w:r>
      <w:r>
        <w:rPr>
          <w:rFonts w:ascii="Cambria" w:eastAsia="Times New Roman" w:hAnsi="Cambria" w:cs="Times New Roman"/>
        </w:rPr>
        <w:t xml:space="preserve">x </w:t>
      </w:r>
      <w:r>
        <w:rPr>
          <w:rFonts w:ascii="Cambria" w:eastAsia="Times New Roman" w:hAnsi="Cambria" w:cs="Times New Roman"/>
          <w:i/>
        </w:rPr>
        <w:t xml:space="preserve">Cucurbita </w:t>
      </w:r>
      <w:r w:rsidRPr="00746090">
        <w:rPr>
          <w:rFonts w:ascii="Cambria" w:eastAsia="Times New Roman" w:hAnsi="Cambria" w:cs="Times New Roman"/>
          <w:i/>
        </w:rPr>
        <w:t>moschata</w:t>
      </w:r>
      <w:r>
        <w:rPr>
          <w:rFonts w:ascii="Cambria" w:eastAsia="Times New Roman" w:hAnsi="Cambria" w:cs="Times New Roman"/>
        </w:rPr>
        <w:t xml:space="preserve">, </w:t>
      </w:r>
      <w:r w:rsidR="00F709BD" w:rsidRPr="00746090">
        <w:rPr>
          <w:rFonts w:ascii="Cambria" w:eastAsia="Times New Roman" w:hAnsi="Cambria" w:cs="Times New Roman"/>
          <w:i/>
        </w:rPr>
        <w:t>Cucurbita</w:t>
      </w:r>
      <w:r w:rsidR="00F709BD">
        <w:rPr>
          <w:rFonts w:ascii="Cambria" w:eastAsia="Times New Roman" w:hAnsi="Cambria" w:cs="Times New Roman"/>
          <w:i/>
        </w:rPr>
        <w:t xml:space="preserve"> moschata</w:t>
      </w:r>
      <w:r w:rsidR="00F709BD">
        <w:rPr>
          <w:rFonts w:ascii="Cambria" w:eastAsia="Times New Roman" w:hAnsi="Cambria" w:cs="Times New Roman"/>
        </w:rPr>
        <w:t>,</w:t>
      </w:r>
      <w:r>
        <w:rPr>
          <w:rFonts w:ascii="Cambria" w:eastAsia="Times New Roman" w:hAnsi="Cambria" w:cs="Times New Roman"/>
          <w:i/>
        </w:rPr>
        <w:t xml:space="preserve"> </w:t>
      </w:r>
      <w:r w:rsidR="00F709BD">
        <w:rPr>
          <w:rFonts w:ascii="Cambria" w:eastAsia="Times New Roman" w:hAnsi="Cambria" w:cs="Times New Roman"/>
          <w:i/>
        </w:rPr>
        <w:t>Cucurbita pepo</w:t>
      </w:r>
      <w:r w:rsidR="00F709BD">
        <w:rPr>
          <w:rFonts w:ascii="Cambria" w:eastAsia="Times New Roman" w:hAnsi="Cambria" w:cs="Times New Roman"/>
        </w:rPr>
        <w:t xml:space="preserve">, </w:t>
      </w:r>
      <w:r w:rsidR="00F709BD">
        <w:rPr>
          <w:rFonts w:ascii="Cambria" w:eastAsia="Times New Roman" w:hAnsi="Cambria" w:cs="Times New Roman"/>
          <w:i/>
        </w:rPr>
        <w:t>Lagenaria siceraria</w:t>
      </w:r>
      <w:r w:rsidR="00F709BD">
        <w:rPr>
          <w:rFonts w:ascii="Cambria" w:eastAsia="Times New Roman" w:hAnsi="Cambria" w:cs="Times New Roman"/>
        </w:rPr>
        <w:t xml:space="preserve">, </w:t>
      </w:r>
      <w:r w:rsidR="00F709BD">
        <w:rPr>
          <w:rFonts w:ascii="Cambria" w:eastAsia="Times New Roman" w:hAnsi="Cambria" w:cs="Times New Roman"/>
          <w:i/>
        </w:rPr>
        <w:t xml:space="preserve">Luffa </w:t>
      </w:r>
      <w:proofErr w:type="spellStart"/>
      <w:r w:rsidR="00F709BD">
        <w:rPr>
          <w:rFonts w:ascii="Cambria" w:eastAsia="Times New Roman" w:hAnsi="Cambria" w:cs="Times New Roman"/>
          <w:i/>
        </w:rPr>
        <w:t>acutangula</w:t>
      </w:r>
      <w:proofErr w:type="spellEnd"/>
      <w:r w:rsidR="00F709BD">
        <w:rPr>
          <w:rFonts w:ascii="Cambria" w:eastAsia="Times New Roman" w:hAnsi="Cambria" w:cs="Times New Roman"/>
        </w:rPr>
        <w:t xml:space="preserve">, </w:t>
      </w:r>
      <w:r w:rsidR="00F709BD">
        <w:rPr>
          <w:rFonts w:ascii="Cambria" w:eastAsia="Times New Roman" w:hAnsi="Cambria" w:cs="Times New Roman"/>
          <w:i/>
        </w:rPr>
        <w:t xml:space="preserve">Luffa </w:t>
      </w:r>
      <w:proofErr w:type="spellStart"/>
      <w:r w:rsidR="00F709BD">
        <w:rPr>
          <w:rFonts w:ascii="Cambria" w:eastAsia="Times New Roman" w:hAnsi="Cambria" w:cs="Times New Roman"/>
          <w:i/>
        </w:rPr>
        <w:t>cylindrica</w:t>
      </w:r>
      <w:proofErr w:type="spellEnd"/>
      <w:r w:rsidR="00F709BD">
        <w:rPr>
          <w:rFonts w:ascii="Cambria" w:eastAsia="Times New Roman" w:hAnsi="Cambria" w:cs="Times New Roman"/>
        </w:rPr>
        <w:t xml:space="preserve">, </w:t>
      </w:r>
      <w:proofErr w:type="spellStart"/>
      <w:r w:rsidR="00F709BD">
        <w:rPr>
          <w:rFonts w:ascii="Cambria" w:eastAsia="Times New Roman" w:hAnsi="Cambria" w:cs="Times New Roman"/>
          <w:i/>
        </w:rPr>
        <w:t>Momordica</w:t>
      </w:r>
      <w:proofErr w:type="spellEnd"/>
      <w:r w:rsidR="00F709BD">
        <w:rPr>
          <w:rFonts w:ascii="Cambria" w:eastAsia="Times New Roman" w:hAnsi="Cambria" w:cs="Times New Roman"/>
          <w:i/>
        </w:rPr>
        <w:t xml:space="preserve"> </w:t>
      </w:r>
      <w:proofErr w:type="spellStart"/>
      <w:r w:rsidR="00F709BD">
        <w:rPr>
          <w:rFonts w:ascii="Cambria" w:eastAsia="Times New Roman" w:hAnsi="Cambria" w:cs="Times New Roman"/>
          <w:i/>
        </w:rPr>
        <w:t>charantia</w:t>
      </w:r>
      <w:proofErr w:type="spellEnd"/>
      <w:r w:rsidR="00F709BD">
        <w:rPr>
          <w:rFonts w:ascii="Cambria" w:eastAsia="Times New Roman" w:hAnsi="Cambria" w:cs="Times New Roman"/>
          <w:i/>
        </w:rPr>
        <w:t xml:space="preserve"> </w:t>
      </w:r>
      <w:r w:rsidR="00F709BD">
        <w:rPr>
          <w:rFonts w:ascii="Cambria" w:eastAsia="Times New Roman" w:hAnsi="Cambria" w:cs="Times New Roman"/>
        </w:rPr>
        <w:t xml:space="preserve">and </w:t>
      </w:r>
      <w:r w:rsidR="00F709BD">
        <w:rPr>
          <w:rFonts w:ascii="Cambria" w:eastAsia="Times New Roman" w:hAnsi="Cambria" w:cs="Times New Roman"/>
          <w:i/>
        </w:rPr>
        <w:t>Trichosanthes cucumerina</w:t>
      </w:r>
      <w:r w:rsidR="00F709BD">
        <w:rPr>
          <w:rFonts w:ascii="Cambria" w:eastAsia="Times New Roman" w:hAnsi="Cambria" w:cs="Times New Roman"/>
        </w:rPr>
        <w:t xml:space="preserve"> (Noda et al. 1993; Choi 2001; </w:t>
      </w:r>
      <w:proofErr w:type="spellStart"/>
      <w:r w:rsidR="00F709BD">
        <w:rPr>
          <w:rFonts w:ascii="Cambria" w:eastAsia="Times New Roman" w:hAnsi="Cambria" w:cs="Times New Roman"/>
        </w:rPr>
        <w:t>Boubourakis</w:t>
      </w:r>
      <w:proofErr w:type="spellEnd"/>
      <w:r w:rsidR="00F709BD">
        <w:rPr>
          <w:rFonts w:ascii="Cambria" w:eastAsia="Times New Roman" w:hAnsi="Cambria" w:cs="Times New Roman"/>
        </w:rPr>
        <w:t xml:space="preserve"> et al. 2004; </w:t>
      </w:r>
      <w:proofErr w:type="spellStart"/>
      <w:r w:rsidR="00F709BD">
        <w:rPr>
          <w:rFonts w:ascii="Cambria" w:eastAsia="Times New Roman" w:hAnsi="Cambria" w:cs="Times New Roman"/>
        </w:rPr>
        <w:t>Ariyaratne</w:t>
      </w:r>
      <w:proofErr w:type="spellEnd"/>
      <w:r w:rsidR="00F709BD">
        <w:rPr>
          <w:rFonts w:ascii="Cambria" w:eastAsia="Times New Roman" w:hAnsi="Cambria" w:cs="Times New Roman"/>
        </w:rPr>
        <w:t xml:space="preserve"> et al. 2005; Rashmi et al. 2005; Yoon</w:t>
      </w:r>
      <w:r w:rsidR="00F709BD">
        <w:rPr>
          <w:rFonts w:ascii="Cambria" w:eastAsia="Times New Roman" w:hAnsi="Cambria" w:cs="Times New Roman"/>
          <w:i/>
        </w:rPr>
        <w:t xml:space="preserve"> </w:t>
      </w:r>
      <w:r w:rsidR="00F709BD">
        <w:rPr>
          <w:rFonts w:ascii="Cambria" w:eastAsia="Times New Roman" w:hAnsi="Cambria" w:cs="Times New Roman"/>
        </w:rPr>
        <w:t xml:space="preserve">et al. 2008; Kwon et al. 2014; Liu et al. 2014; </w:t>
      </w:r>
      <w:proofErr w:type="spellStart"/>
      <w:r w:rsidR="00F709BD">
        <w:rPr>
          <w:rFonts w:ascii="Cambria" w:eastAsia="Times New Roman" w:hAnsi="Cambria" w:cs="Times New Roman"/>
        </w:rPr>
        <w:t>Reingold</w:t>
      </w:r>
      <w:proofErr w:type="spellEnd"/>
      <w:r w:rsidR="00F709BD">
        <w:rPr>
          <w:rFonts w:ascii="Cambria" w:eastAsia="Times New Roman" w:hAnsi="Cambria" w:cs="Times New Roman"/>
        </w:rPr>
        <w:t xml:space="preserve"> et al. 2015</w:t>
      </w:r>
      <w:r w:rsidR="00E86241">
        <w:rPr>
          <w:rFonts w:ascii="Cambria" w:eastAsia="Times New Roman" w:hAnsi="Cambria" w:cs="Times New Roman"/>
        </w:rPr>
        <w:t xml:space="preserve">; </w:t>
      </w:r>
      <w:r>
        <w:rPr>
          <w:rFonts w:asciiTheme="majorHAnsi" w:hAnsiTheme="majorHAnsi"/>
          <w:iCs/>
          <w:szCs w:val="18"/>
        </w:rPr>
        <w:t>Fiona Constable [</w:t>
      </w:r>
      <w:r w:rsidRPr="0070635C">
        <w:rPr>
          <w:rFonts w:asciiTheme="majorHAnsi" w:hAnsiTheme="majorHAnsi"/>
          <w:iCs/>
          <w:szCs w:val="18"/>
        </w:rPr>
        <w:t>D</w:t>
      </w:r>
      <w:r w:rsidR="00326368">
        <w:rPr>
          <w:rFonts w:asciiTheme="majorHAnsi" w:hAnsiTheme="majorHAnsi"/>
          <w:iCs/>
          <w:szCs w:val="18"/>
        </w:rPr>
        <w:t>EDJTR</w:t>
      </w:r>
      <w:r>
        <w:rPr>
          <w:rFonts w:asciiTheme="majorHAnsi" w:hAnsiTheme="majorHAnsi"/>
          <w:iCs/>
          <w:szCs w:val="18"/>
        </w:rPr>
        <w:t>] 2015, pers. comm., 2 December</w:t>
      </w:r>
      <w:r>
        <w:rPr>
          <w:rFonts w:ascii="Cambria" w:eastAsia="Times New Roman" w:hAnsi="Cambria" w:cs="Times New Roman"/>
        </w:rPr>
        <w:t xml:space="preserve">; </w:t>
      </w:r>
      <w:r w:rsidR="00E86241" w:rsidRPr="002C4AC8">
        <w:rPr>
          <w:rFonts w:ascii="Cambria" w:eastAsia="Times New Roman" w:hAnsi="Cambria" w:cs="Times New Roman"/>
        </w:rPr>
        <w:t>Stephen West [NT D</w:t>
      </w:r>
      <w:r w:rsidR="00326368">
        <w:rPr>
          <w:rFonts w:ascii="Cambria" w:eastAsia="Times New Roman" w:hAnsi="Cambria" w:cs="Times New Roman"/>
        </w:rPr>
        <w:t>PIF</w:t>
      </w:r>
      <w:r w:rsidR="00E86241" w:rsidRPr="002C4AC8">
        <w:rPr>
          <w:rFonts w:ascii="Cambria" w:eastAsia="Times New Roman" w:hAnsi="Cambria" w:cs="Times New Roman"/>
        </w:rPr>
        <w:t>] 2015, pers. comm., 9 September</w:t>
      </w:r>
      <w:r w:rsidR="00F709BD">
        <w:rPr>
          <w:rFonts w:ascii="Cambria" w:eastAsia="Times New Roman" w:hAnsi="Cambria" w:cs="Times New Roman"/>
        </w:rPr>
        <w:t>).</w:t>
      </w:r>
    </w:p>
    <w:p w14:paraId="7B4C1CAA" w14:textId="6C2C5F0F" w:rsidR="008163B6" w:rsidRDefault="00F709BD" w:rsidP="006279EB">
      <w:pPr>
        <w:overflowPunct w:val="0"/>
        <w:autoSpaceDE w:val="0"/>
        <w:autoSpaceDN w:val="0"/>
        <w:adjustRightInd w:val="0"/>
        <w:spacing w:before="120" w:after="120" w:line="276" w:lineRule="auto"/>
        <w:textAlignment w:val="baseline"/>
        <w:rPr>
          <w:rFonts w:ascii="Cambria" w:eastAsia="Times New Roman" w:hAnsi="Cambria" w:cs="Times New Roman"/>
        </w:rPr>
      </w:pPr>
      <w:r>
        <w:rPr>
          <w:rFonts w:ascii="Cambria" w:eastAsia="Times New Roman" w:hAnsi="Cambria" w:cs="Times New Roman"/>
        </w:rPr>
        <w:t xml:space="preserve">While it is well established that CGMMV naturally infects many cucurbit crops, there also is growing evidence that CGMMV also infects non-cucurbit plants. For example, CGMMV was recently reported to naturally infect </w:t>
      </w:r>
      <w:proofErr w:type="spellStart"/>
      <w:r>
        <w:rPr>
          <w:rFonts w:ascii="Cambria" w:eastAsia="Times New Roman" w:hAnsi="Cambria" w:cs="Times New Roman"/>
          <w:i/>
        </w:rPr>
        <w:t>Heracleum</w:t>
      </w:r>
      <w:proofErr w:type="spellEnd"/>
      <w:r>
        <w:rPr>
          <w:rFonts w:ascii="Cambria" w:eastAsia="Times New Roman" w:hAnsi="Cambria" w:cs="Times New Roman"/>
          <w:i/>
        </w:rPr>
        <w:t xml:space="preserve"> </w:t>
      </w:r>
      <w:proofErr w:type="spellStart"/>
      <w:r>
        <w:rPr>
          <w:rFonts w:ascii="Cambria" w:eastAsia="Times New Roman" w:hAnsi="Cambria" w:cs="Times New Roman"/>
          <w:i/>
        </w:rPr>
        <w:t>moellendorffi</w:t>
      </w:r>
      <w:proofErr w:type="spellEnd"/>
      <w:r>
        <w:rPr>
          <w:rFonts w:ascii="Cambria" w:eastAsia="Times New Roman" w:hAnsi="Cambria" w:cs="Times New Roman"/>
          <w:i/>
        </w:rPr>
        <w:t xml:space="preserve"> </w:t>
      </w:r>
      <w:r>
        <w:rPr>
          <w:rFonts w:ascii="Cambria" w:eastAsia="Times New Roman" w:hAnsi="Cambria" w:cs="Times New Roman"/>
        </w:rPr>
        <w:t>(</w:t>
      </w:r>
      <w:proofErr w:type="spellStart"/>
      <w:r>
        <w:rPr>
          <w:rFonts w:ascii="Cambria" w:eastAsia="Times New Roman" w:hAnsi="Cambria" w:cs="Times New Roman"/>
        </w:rPr>
        <w:t>Apiaceae</w:t>
      </w:r>
      <w:proofErr w:type="spellEnd"/>
      <w:r>
        <w:rPr>
          <w:rFonts w:ascii="Cambria" w:eastAsia="Times New Roman" w:hAnsi="Cambria" w:cs="Times New Roman"/>
        </w:rPr>
        <w:t>)</w:t>
      </w:r>
      <w:r>
        <w:rPr>
          <w:rFonts w:ascii="Cambria" w:eastAsia="Times New Roman" w:hAnsi="Cambria" w:cs="Times New Roman"/>
          <w:i/>
        </w:rPr>
        <w:t xml:space="preserve"> </w:t>
      </w:r>
      <w:r>
        <w:rPr>
          <w:rFonts w:ascii="Cambria" w:eastAsia="Times New Roman" w:hAnsi="Cambria" w:cs="Times New Roman"/>
        </w:rPr>
        <w:t xml:space="preserve">(Cho et al. 2015). </w:t>
      </w:r>
      <w:proofErr w:type="spellStart"/>
      <w:r>
        <w:rPr>
          <w:rFonts w:ascii="Cambria" w:eastAsia="Times New Roman" w:hAnsi="Cambria" w:cs="Times New Roman"/>
        </w:rPr>
        <w:t>Boubourakis</w:t>
      </w:r>
      <w:proofErr w:type="spellEnd"/>
      <w:r>
        <w:rPr>
          <w:rFonts w:ascii="Cambria" w:eastAsia="Times New Roman" w:hAnsi="Cambria" w:cs="Times New Roman"/>
        </w:rPr>
        <w:t xml:space="preserve"> et al. (2004) detected the virus in several weeds in Greece, including </w:t>
      </w:r>
      <w:proofErr w:type="spellStart"/>
      <w:r>
        <w:rPr>
          <w:rFonts w:ascii="Cambria" w:eastAsia="Times New Roman" w:hAnsi="Cambria" w:cs="Times New Roman"/>
          <w:i/>
        </w:rPr>
        <w:t>Amaranthus</w:t>
      </w:r>
      <w:proofErr w:type="spellEnd"/>
      <w:r>
        <w:rPr>
          <w:rFonts w:ascii="Cambria" w:eastAsia="Times New Roman" w:hAnsi="Cambria" w:cs="Times New Roman"/>
          <w:i/>
        </w:rPr>
        <w:t xml:space="preserve"> </w:t>
      </w:r>
      <w:proofErr w:type="spellStart"/>
      <w:r>
        <w:rPr>
          <w:rFonts w:ascii="Cambria" w:eastAsia="Times New Roman" w:hAnsi="Cambria" w:cs="Times New Roman"/>
          <w:i/>
        </w:rPr>
        <w:t>retroflexus</w:t>
      </w:r>
      <w:proofErr w:type="spellEnd"/>
      <w:r>
        <w:rPr>
          <w:rFonts w:ascii="Cambria" w:eastAsia="Times New Roman" w:hAnsi="Cambria" w:cs="Times New Roman"/>
          <w:i/>
        </w:rPr>
        <w:t xml:space="preserve"> </w:t>
      </w:r>
      <w:r>
        <w:rPr>
          <w:rFonts w:ascii="Cambria" w:eastAsia="Times New Roman" w:hAnsi="Cambria" w:cs="Times New Roman"/>
        </w:rPr>
        <w:t>(</w:t>
      </w:r>
      <w:proofErr w:type="spellStart"/>
      <w:r>
        <w:rPr>
          <w:rFonts w:ascii="Cambria" w:eastAsia="Times New Roman" w:hAnsi="Cambria" w:cs="Times New Roman"/>
        </w:rPr>
        <w:t>Amaranthaceae</w:t>
      </w:r>
      <w:proofErr w:type="spellEnd"/>
      <w:r>
        <w:rPr>
          <w:rFonts w:ascii="Cambria" w:eastAsia="Times New Roman" w:hAnsi="Cambria" w:cs="Times New Roman"/>
        </w:rPr>
        <w:t xml:space="preserve">), </w:t>
      </w:r>
      <w:r>
        <w:rPr>
          <w:rFonts w:ascii="Cambria" w:eastAsia="Times New Roman" w:hAnsi="Cambria" w:cs="Times New Roman"/>
          <w:i/>
        </w:rPr>
        <w:t xml:space="preserve">A. </w:t>
      </w:r>
      <w:proofErr w:type="spellStart"/>
      <w:r>
        <w:rPr>
          <w:rFonts w:ascii="Cambria" w:eastAsia="Times New Roman" w:hAnsi="Cambria" w:cs="Times New Roman"/>
          <w:i/>
        </w:rPr>
        <w:t>blitoides</w:t>
      </w:r>
      <w:proofErr w:type="spellEnd"/>
      <w:r>
        <w:rPr>
          <w:rFonts w:ascii="Cambria" w:eastAsia="Times New Roman" w:hAnsi="Cambria" w:cs="Times New Roman"/>
        </w:rPr>
        <w:t xml:space="preserve"> (</w:t>
      </w:r>
      <w:proofErr w:type="spellStart"/>
      <w:r>
        <w:rPr>
          <w:rFonts w:ascii="Cambria" w:eastAsia="Times New Roman" w:hAnsi="Cambria" w:cs="Times New Roman"/>
        </w:rPr>
        <w:t>Amaranthaceae</w:t>
      </w:r>
      <w:proofErr w:type="spellEnd"/>
      <w:r>
        <w:rPr>
          <w:rFonts w:ascii="Cambria" w:eastAsia="Times New Roman" w:hAnsi="Cambria" w:cs="Times New Roman"/>
        </w:rPr>
        <w:t xml:space="preserve">), </w:t>
      </w:r>
      <w:proofErr w:type="spellStart"/>
      <w:r>
        <w:rPr>
          <w:rFonts w:ascii="Cambria" w:eastAsia="Times New Roman" w:hAnsi="Cambria" w:cs="Times New Roman"/>
          <w:i/>
        </w:rPr>
        <w:t>Heliotropium</w:t>
      </w:r>
      <w:proofErr w:type="spellEnd"/>
      <w:r>
        <w:rPr>
          <w:rFonts w:ascii="Cambria" w:eastAsia="Times New Roman" w:hAnsi="Cambria" w:cs="Times New Roman"/>
          <w:i/>
        </w:rPr>
        <w:t xml:space="preserve"> </w:t>
      </w:r>
      <w:proofErr w:type="spellStart"/>
      <w:r>
        <w:rPr>
          <w:rFonts w:ascii="Cambria" w:eastAsia="Times New Roman" w:hAnsi="Cambria" w:cs="Times New Roman"/>
          <w:i/>
        </w:rPr>
        <w:t>europaeum</w:t>
      </w:r>
      <w:proofErr w:type="spellEnd"/>
      <w:r>
        <w:rPr>
          <w:rFonts w:ascii="Cambria" w:eastAsia="Times New Roman" w:hAnsi="Cambria" w:cs="Times New Roman"/>
        </w:rPr>
        <w:t xml:space="preserve"> (</w:t>
      </w:r>
      <w:proofErr w:type="spellStart"/>
      <w:r>
        <w:rPr>
          <w:rFonts w:ascii="Cambria" w:eastAsia="Times New Roman" w:hAnsi="Cambria" w:cs="Times New Roman"/>
        </w:rPr>
        <w:t>Boraginaceae</w:t>
      </w:r>
      <w:proofErr w:type="spellEnd"/>
      <w:r>
        <w:rPr>
          <w:rFonts w:ascii="Cambria" w:eastAsia="Times New Roman" w:hAnsi="Cambria" w:cs="Times New Roman"/>
        </w:rPr>
        <w:t xml:space="preserve">), </w:t>
      </w:r>
      <w:proofErr w:type="spellStart"/>
      <w:r>
        <w:rPr>
          <w:rFonts w:ascii="Cambria" w:eastAsia="Times New Roman" w:hAnsi="Cambria" w:cs="Times New Roman"/>
          <w:i/>
        </w:rPr>
        <w:t>Chenopodium</w:t>
      </w:r>
      <w:proofErr w:type="spellEnd"/>
      <w:r>
        <w:rPr>
          <w:rFonts w:ascii="Cambria" w:eastAsia="Times New Roman" w:hAnsi="Cambria" w:cs="Times New Roman"/>
          <w:i/>
        </w:rPr>
        <w:t xml:space="preserve"> album</w:t>
      </w:r>
      <w:r>
        <w:rPr>
          <w:rFonts w:ascii="Cambria" w:eastAsia="Times New Roman" w:hAnsi="Cambria" w:cs="Times New Roman"/>
        </w:rPr>
        <w:t xml:space="preserve"> (</w:t>
      </w:r>
      <w:proofErr w:type="spellStart"/>
      <w:r>
        <w:rPr>
          <w:rFonts w:ascii="Cambria" w:eastAsia="Times New Roman" w:hAnsi="Cambria" w:cs="Times New Roman"/>
        </w:rPr>
        <w:t>Chenopodiaceae</w:t>
      </w:r>
      <w:proofErr w:type="spellEnd"/>
      <w:r>
        <w:rPr>
          <w:rFonts w:ascii="Cambria" w:eastAsia="Times New Roman" w:hAnsi="Cambria" w:cs="Times New Roman"/>
        </w:rPr>
        <w:t xml:space="preserve">), </w:t>
      </w:r>
      <w:r>
        <w:rPr>
          <w:rFonts w:ascii="Cambria" w:eastAsia="Times New Roman" w:hAnsi="Cambria" w:cs="Times New Roman"/>
          <w:i/>
        </w:rPr>
        <w:t xml:space="preserve">Portulaca </w:t>
      </w:r>
      <w:proofErr w:type="spellStart"/>
      <w:r>
        <w:rPr>
          <w:rFonts w:ascii="Cambria" w:eastAsia="Times New Roman" w:hAnsi="Cambria" w:cs="Times New Roman"/>
          <w:i/>
        </w:rPr>
        <w:t>oleracea</w:t>
      </w:r>
      <w:proofErr w:type="spellEnd"/>
      <w:r>
        <w:rPr>
          <w:rFonts w:ascii="Cambria" w:eastAsia="Times New Roman" w:hAnsi="Cambria" w:cs="Times New Roman"/>
          <w:i/>
        </w:rPr>
        <w:t xml:space="preserve"> </w:t>
      </w:r>
      <w:r>
        <w:rPr>
          <w:rFonts w:ascii="Cambria" w:eastAsia="Times New Roman" w:hAnsi="Cambria" w:cs="Times New Roman"/>
        </w:rPr>
        <w:t>(</w:t>
      </w:r>
      <w:proofErr w:type="spellStart"/>
      <w:r>
        <w:rPr>
          <w:rFonts w:ascii="Cambria" w:eastAsia="Times New Roman" w:hAnsi="Cambria" w:cs="Times New Roman"/>
        </w:rPr>
        <w:t>Portulacaceae</w:t>
      </w:r>
      <w:proofErr w:type="spellEnd"/>
      <w:r>
        <w:rPr>
          <w:rFonts w:ascii="Cambria" w:eastAsia="Times New Roman" w:hAnsi="Cambria" w:cs="Times New Roman"/>
        </w:rPr>
        <w:t>) and</w:t>
      </w:r>
      <w:r>
        <w:rPr>
          <w:rFonts w:ascii="Cambria" w:eastAsia="Times New Roman" w:hAnsi="Cambria" w:cs="Times New Roman"/>
          <w:i/>
        </w:rPr>
        <w:t xml:space="preserve"> Solanum </w:t>
      </w:r>
      <w:proofErr w:type="spellStart"/>
      <w:r>
        <w:rPr>
          <w:rFonts w:ascii="Cambria" w:eastAsia="Times New Roman" w:hAnsi="Cambria" w:cs="Times New Roman"/>
          <w:i/>
        </w:rPr>
        <w:t>nigrum</w:t>
      </w:r>
      <w:proofErr w:type="spellEnd"/>
      <w:r>
        <w:rPr>
          <w:rFonts w:ascii="Cambria" w:eastAsia="Times New Roman" w:hAnsi="Cambria" w:cs="Times New Roman"/>
        </w:rPr>
        <w:t xml:space="preserve"> (</w:t>
      </w:r>
      <w:proofErr w:type="spellStart"/>
      <w:r>
        <w:rPr>
          <w:rFonts w:ascii="Cambria" w:eastAsia="Times New Roman" w:hAnsi="Cambria" w:cs="Times New Roman"/>
        </w:rPr>
        <w:t>Solanaceae</w:t>
      </w:r>
      <w:proofErr w:type="spellEnd"/>
      <w:r>
        <w:rPr>
          <w:rFonts w:ascii="Cambria" w:eastAsia="Times New Roman" w:hAnsi="Cambria" w:cs="Times New Roman"/>
        </w:rPr>
        <w:t xml:space="preserve">). Four of these weed species have subsequently been found to be naturally infected with CGMMV during recent surveillance activities in the Northern Territory, including </w:t>
      </w:r>
      <w:r>
        <w:rPr>
          <w:rFonts w:ascii="Cambria" w:eastAsia="Times New Roman" w:hAnsi="Cambria" w:cs="Times New Roman"/>
          <w:i/>
        </w:rPr>
        <w:t xml:space="preserve">A. </w:t>
      </w:r>
      <w:proofErr w:type="spellStart"/>
      <w:r>
        <w:rPr>
          <w:rFonts w:ascii="Cambria" w:eastAsia="Times New Roman" w:hAnsi="Cambria" w:cs="Times New Roman"/>
          <w:i/>
        </w:rPr>
        <w:t>retroflexus</w:t>
      </w:r>
      <w:proofErr w:type="spellEnd"/>
      <w:r>
        <w:rPr>
          <w:rFonts w:ascii="Cambria" w:eastAsia="Times New Roman" w:hAnsi="Cambria" w:cs="Times New Roman"/>
        </w:rPr>
        <w:t xml:space="preserve">, </w:t>
      </w:r>
      <w:r>
        <w:rPr>
          <w:rFonts w:ascii="Cambria" w:eastAsia="Times New Roman" w:hAnsi="Cambria" w:cs="Times New Roman"/>
          <w:i/>
        </w:rPr>
        <w:t xml:space="preserve">C. album, P. </w:t>
      </w:r>
      <w:proofErr w:type="spellStart"/>
      <w:r>
        <w:rPr>
          <w:rFonts w:ascii="Cambria" w:eastAsia="Times New Roman" w:hAnsi="Cambria" w:cs="Times New Roman"/>
          <w:i/>
        </w:rPr>
        <w:t>oleracea</w:t>
      </w:r>
      <w:proofErr w:type="spellEnd"/>
      <w:r>
        <w:rPr>
          <w:rFonts w:ascii="Cambria" w:eastAsia="Times New Roman" w:hAnsi="Cambria" w:cs="Times New Roman"/>
          <w:i/>
        </w:rPr>
        <w:t xml:space="preserve"> </w:t>
      </w:r>
      <w:r>
        <w:rPr>
          <w:rFonts w:ascii="Cambria" w:eastAsia="Times New Roman" w:hAnsi="Cambria" w:cs="Times New Roman"/>
        </w:rPr>
        <w:t xml:space="preserve">and </w:t>
      </w:r>
      <w:r>
        <w:rPr>
          <w:rFonts w:ascii="Cambria" w:eastAsia="Times New Roman" w:hAnsi="Cambria" w:cs="Times New Roman"/>
          <w:i/>
        </w:rPr>
        <w:t xml:space="preserve">S. </w:t>
      </w:r>
      <w:proofErr w:type="spellStart"/>
      <w:r>
        <w:rPr>
          <w:rFonts w:ascii="Cambria" w:eastAsia="Times New Roman" w:hAnsi="Cambria" w:cs="Times New Roman"/>
          <w:i/>
        </w:rPr>
        <w:t>nigrum</w:t>
      </w:r>
      <w:proofErr w:type="spellEnd"/>
      <w:r>
        <w:rPr>
          <w:rFonts w:ascii="Cambria" w:eastAsia="Times New Roman" w:hAnsi="Cambria" w:cs="Times New Roman"/>
          <w:i/>
        </w:rPr>
        <w:t xml:space="preserve"> </w:t>
      </w:r>
      <w:r w:rsidR="002C4AC8">
        <w:rPr>
          <w:rFonts w:ascii="Cambria" w:eastAsia="Times New Roman" w:hAnsi="Cambria" w:cs="Times New Roman"/>
        </w:rPr>
        <w:t>(</w:t>
      </w:r>
      <w:r w:rsidR="002C4AC8" w:rsidRPr="002C4AC8">
        <w:rPr>
          <w:rFonts w:ascii="Cambria" w:eastAsia="Times New Roman" w:hAnsi="Cambria" w:cs="Times New Roman"/>
        </w:rPr>
        <w:t>Stephen West [NT D</w:t>
      </w:r>
      <w:r w:rsidR="00326368">
        <w:rPr>
          <w:rFonts w:ascii="Cambria" w:eastAsia="Times New Roman" w:hAnsi="Cambria" w:cs="Times New Roman"/>
        </w:rPr>
        <w:t>PIF</w:t>
      </w:r>
      <w:r w:rsidR="002C4AC8" w:rsidRPr="002C4AC8">
        <w:rPr>
          <w:rFonts w:ascii="Cambria" w:eastAsia="Times New Roman" w:hAnsi="Cambria" w:cs="Times New Roman"/>
        </w:rPr>
        <w:t>] 2015, pers. comm., 9 September</w:t>
      </w:r>
      <w:r w:rsidR="00ED2894">
        <w:rPr>
          <w:rFonts w:ascii="Cambria" w:eastAsia="Times New Roman" w:hAnsi="Cambria" w:cs="Times New Roman"/>
        </w:rPr>
        <w:t xml:space="preserve"> 2015</w:t>
      </w:r>
      <w:r w:rsidR="002C4AC8" w:rsidRPr="002C4AC8">
        <w:rPr>
          <w:rFonts w:ascii="Cambria" w:eastAsia="Times New Roman" w:hAnsi="Cambria" w:cs="Times New Roman"/>
        </w:rPr>
        <w:t>)</w:t>
      </w:r>
      <w:r>
        <w:rPr>
          <w:rFonts w:ascii="Cambria" w:eastAsia="Times New Roman" w:hAnsi="Cambria" w:cs="Times New Roman"/>
        </w:rPr>
        <w:t xml:space="preserve">. In addition, CGMMV has been detected for the first time on </w:t>
      </w:r>
      <w:r>
        <w:rPr>
          <w:rFonts w:ascii="Cambria" w:eastAsia="Times New Roman" w:hAnsi="Cambria" w:cs="Times New Roman"/>
          <w:i/>
        </w:rPr>
        <w:t xml:space="preserve">A. </w:t>
      </w:r>
      <w:proofErr w:type="spellStart"/>
      <w:r>
        <w:rPr>
          <w:rFonts w:ascii="Cambria" w:eastAsia="Times New Roman" w:hAnsi="Cambria" w:cs="Times New Roman"/>
          <w:i/>
        </w:rPr>
        <w:t>viridis</w:t>
      </w:r>
      <w:proofErr w:type="spellEnd"/>
      <w:r w:rsidR="00E86241">
        <w:rPr>
          <w:rFonts w:ascii="Cambria" w:eastAsia="Times New Roman" w:hAnsi="Cambria" w:cs="Times New Roman"/>
          <w:i/>
        </w:rPr>
        <w:t xml:space="preserve"> </w:t>
      </w:r>
      <w:r w:rsidR="00E86241">
        <w:rPr>
          <w:rFonts w:ascii="Cambria" w:eastAsia="Times New Roman" w:hAnsi="Cambria" w:cs="Times New Roman"/>
        </w:rPr>
        <w:t>(</w:t>
      </w:r>
      <w:proofErr w:type="spellStart"/>
      <w:r w:rsidR="00E86241">
        <w:rPr>
          <w:rFonts w:ascii="Cambria" w:eastAsia="Times New Roman" w:hAnsi="Cambria" w:cs="Times New Roman"/>
        </w:rPr>
        <w:t>Amaranthaceae</w:t>
      </w:r>
      <w:proofErr w:type="spellEnd"/>
      <w:r w:rsidR="00E86241">
        <w:rPr>
          <w:rFonts w:ascii="Cambria" w:eastAsia="Times New Roman" w:hAnsi="Cambria" w:cs="Times New Roman"/>
        </w:rPr>
        <w:t>)</w:t>
      </w:r>
      <w:r>
        <w:rPr>
          <w:rFonts w:ascii="Cambria" w:eastAsia="Times New Roman" w:hAnsi="Cambria" w:cs="Times New Roman"/>
          <w:i/>
        </w:rPr>
        <w:t xml:space="preserve"> </w:t>
      </w:r>
      <w:r w:rsidR="002C4AC8">
        <w:rPr>
          <w:rFonts w:ascii="Cambria" w:eastAsia="Times New Roman" w:hAnsi="Cambria" w:cs="Times New Roman"/>
        </w:rPr>
        <w:t>in the Northern Territory (</w:t>
      </w:r>
      <w:r w:rsidR="002C4AC8" w:rsidRPr="002C4AC8">
        <w:rPr>
          <w:rFonts w:ascii="Cambria" w:eastAsia="Times New Roman" w:hAnsi="Cambria" w:cs="Times New Roman"/>
        </w:rPr>
        <w:t>Stephen West [NT D</w:t>
      </w:r>
      <w:r w:rsidR="00326368">
        <w:rPr>
          <w:rFonts w:ascii="Cambria" w:eastAsia="Times New Roman" w:hAnsi="Cambria" w:cs="Times New Roman"/>
        </w:rPr>
        <w:t>PIF</w:t>
      </w:r>
      <w:r w:rsidR="002C4AC8" w:rsidRPr="002C4AC8">
        <w:rPr>
          <w:rFonts w:ascii="Cambria" w:eastAsia="Times New Roman" w:hAnsi="Cambria" w:cs="Times New Roman"/>
        </w:rPr>
        <w:t>] 2015, pers. comm., 9 September</w:t>
      </w:r>
      <w:r w:rsidR="00ED2894">
        <w:rPr>
          <w:rFonts w:ascii="Cambria" w:eastAsia="Times New Roman" w:hAnsi="Cambria" w:cs="Times New Roman"/>
        </w:rPr>
        <w:t xml:space="preserve"> 2015</w:t>
      </w:r>
      <w:r w:rsidR="002C4AC8" w:rsidRPr="002C4AC8">
        <w:rPr>
          <w:rFonts w:ascii="Cambria" w:eastAsia="Times New Roman" w:hAnsi="Cambria" w:cs="Times New Roman"/>
        </w:rPr>
        <w:t>)</w:t>
      </w:r>
      <w:r>
        <w:rPr>
          <w:rFonts w:ascii="Cambria" w:eastAsia="Times New Roman" w:hAnsi="Cambria" w:cs="Times New Roman"/>
        </w:rPr>
        <w:t xml:space="preserve">. </w:t>
      </w:r>
    </w:p>
    <w:p w14:paraId="31F4AF41" w14:textId="612E4DBF" w:rsidR="008163B6" w:rsidRDefault="00F709BD" w:rsidP="006279EB">
      <w:pPr>
        <w:overflowPunct w:val="0"/>
        <w:autoSpaceDE w:val="0"/>
        <w:autoSpaceDN w:val="0"/>
        <w:adjustRightInd w:val="0"/>
        <w:spacing w:before="120" w:after="120" w:line="276" w:lineRule="auto"/>
        <w:textAlignment w:val="baseline"/>
        <w:rPr>
          <w:rFonts w:ascii="Cambria" w:eastAsia="Times New Roman" w:hAnsi="Cambria" w:cs="Times New Roman"/>
        </w:rPr>
      </w:pPr>
      <w:r>
        <w:rPr>
          <w:rFonts w:ascii="Cambria" w:eastAsia="Times New Roman" w:hAnsi="Cambria" w:cs="Times New Roman"/>
        </w:rPr>
        <w:t xml:space="preserve">Australia considers that the evidence of CGMMV infecting some plant species is insufficient. For example, </w:t>
      </w:r>
      <w:proofErr w:type="spellStart"/>
      <w:r>
        <w:rPr>
          <w:rFonts w:ascii="Cambria" w:eastAsia="Times New Roman" w:hAnsi="Cambria" w:cs="Times New Roman"/>
        </w:rPr>
        <w:t>Polischuk</w:t>
      </w:r>
      <w:proofErr w:type="spellEnd"/>
      <w:r>
        <w:rPr>
          <w:rFonts w:ascii="Cambria" w:eastAsia="Times New Roman" w:hAnsi="Cambria" w:cs="Times New Roman"/>
          <w:i/>
        </w:rPr>
        <w:t xml:space="preserve"> </w:t>
      </w:r>
      <w:r>
        <w:rPr>
          <w:rFonts w:ascii="Cambria" w:eastAsia="Times New Roman" w:hAnsi="Cambria" w:cs="Times New Roman"/>
        </w:rPr>
        <w:t>et al. (2007) detected a CGMMV-like virus in mosses (</w:t>
      </w:r>
      <w:proofErr w:type="spellStart"/>
      <w:r>
        <w:rPr>
          <w:rFonts w:ascii="Cambria" w:eastAsia="Times New Roman" w:hAnsi="Cambria" w:cs="Times New Roman"/>
          <w:i/>
        </w:rPr>
        <w:t>Polytrichum</w:t>
      </w:r>
      <w:proofErr w:type="spellEnd"/>
      <w:r>
        <w:rPr>
          <w:rFonts w:ascii="Cambria" w:eastAsia="Times New Roman" w:hAnsi="Cambria" w:cs="Times New Roman"/>
        </w:rPr>
        <w:t xml:space="preserve"> species) in Antarctica. There is also a historic record of CGMMV infecting apricot and peach seedlings (</w:t>
      </w:r>
      <w:r>
        <w:rPr>
          <w:rFonts w:ascii="Cambria" w:eastAsia="Times New Roman" w:hAnsi="Cambria" w:cs="Times New Roman"/>
          <w:i/>
        </w:rPr>
        <w:t>Prunus</w:t>
      </w:r>
      <w:r>
        <w:rPr>
          <w:rFonts w:ascii="Cambria" w:eastAsia="Times New Roman" w:hAnsi="Cambria" w:cs="Times New Roman"/>
        </w:rPr>
        <w:t xml:space="preserve"> species) (</w:t>
      </w:r>
      <w:proofErr w:type="spellStart"/>
      <w:r>
        <w:rPr>
          <w:rFonts w:ascii="Cambria" w:eastAsia="Times New Roman" w:hAnsi="Cambria" w:cs="Times New Roman"/>
        </w:rPr>
        <w:t>Blattný</w:t>
      </w:r>
      <w:proofErr w:type="spellEnd"/>
      <w:r>
        <w:rPr>
          <w:rFonts w:ascii="Cambria" w:eastAsia="Times New Roman" w:hAnsi="Cambria" w:cs="Times New Roman"/>
        </w:rPr>
        <w:t xml:space="preserve"> &amp; </w:t>
      </w:r>
      <w:proofErr w:type="spellStart"/>
      <w:r>
        <w:rPr>
          <w:rFonts w:ascii="Cambria" w:eastAsia="Times New Roman" w:hAnsi="Cambria" w:cs="Times New Roman"/>
        </w:rPr>
        <w:t>Janecková</w:t>
      </w:r>
      <w:proofErr w:type="spellEnd"/>
      <w:r>
        <w:rPr>
          <w:rFonts w:ascii="Cambria" w:eastAsia="Times New Roman" w:hAnsi="Cambria" w:cs="Times New Roman"/>
        </w:rPr>
        <w:t xml:space="preserve"> 1981); however, there have been no recent reports of the virus infecting these hosts. Additionally, several cucurbit species are only reported to be experimental hosts of the virus, such as </w:t>
      </w:r>
      <w:r>
        <w:rPr>
          <w:rFonts w:ascii="Cambria" w:eastAsia="Times New Roman" w:hAnsi="Cambria" w:cs="Times New Roman"/>
          <w:i/>
        </w:rPr>
        <w:t xml:space="preserve">Citrullus </w:t>
      </w:r>
      <w:proofErr w:type="spellStart"/>
      <w:r>
        <w:rPr>
          <w:rFonts w:ascii="Cambria" w:eastAsia="Times New Roman" w:hAnsi="Cambria" w:cs="Times New Roman"/>
          <w:i/>
        </w:rPr>
        <w:t>colocynthis</w:t>
      </w:r>
      <w:proofErr w:type="spellEnd"/>
      <w:r>
        <w:rPr>
          <w:rFonts w:ascii="Cambria" w:eastAsia="Times New Roman" w:hAnsi="Cambria" w:cs="Times New Roman"/>
        </w:rPr>
        <w:t xml:space="preserve"> (</w:t>
      </w:r>
      <w:proofErr w:type="spellStart"/>
      <w:r>
        <w:rPr>
          <w:rFonts w:ascii="Cambria" w:eastAsia="Times New Roman" w:hAnsi="Cambria" w:cs="Times New Roman"/>
        </w:rPr>
        <w:t>Horváth</w:t>
      </w:r>
      <w:proofErr w:type="spellEnd"/>
      <w:r>
        <w:rPr>
          <w:rFonts w:ascii="Cambria" w:eastAsia="Times New Roman" w:hAnsi="Cambria" w:cs="Times New Roman"/>
        </w:rPr>
        <w:t xml:space="preserve"> 1985). </w:t>
      </w:r>
    </w:p>
    <w:p w14:paraId="12F41015" w14:textId="1204D916" w:rsidR="008163B6" w:rsidRDefault="00F709BD" w:rsidP="006279EB">
      <w:pPr>
        <w:spacing w:before="120" w:after="120" w:line="276" w:lineRule="auto"/>
        <w:rPr>
          <w:rFonts w:ascii="Cambria" w:hAnsi="Cambria"/>
        </w:rPr>
      </w:pPr>
      <w:r>
        <w:rPr>
          <w:rFonts w:ascii="Cambria" w:eastAsia="Times New Roman" w:hAnsi="Cambria" w:cs="Times New Roman"/>
          <w:lang w:eastAsia="en-AU"/>
        </w:rPr>
        <w:t>Australia’s phytosanitary measures do not apply to cucurbit species that are not reported to be natural hosts of CGMMV. However, the department will review the host list as new scientific evidence becomes available.</w:t>
      </w:r>
    </w:p>
    <w:p w14:paraId="3819A356" w14:textId="3FAA2EFF" w:rsidR="008163B6" w:rsidRDefault="00CC0813" w:rsidP="008163B6">
      <w:pPr>
        <w:pStyle w:val="Heading4"/>
        <w:numPr>
          <w:ilvl w:val="0"/>
          <w:numId w:val="40"/>
        </w:numPr>
        <w:spacing w:before="160"/>
        <w:rPr>
          <w:sz w:val="21"/>
          <w:szCs w:val="21"/>
        </w:rPr>
      </w:pPr>
      <w:r>
        <w:rPr>
          <w:sz w:val="21"/>
          <w:szCs w:val="21"/>
        </w:rPr>
        <w:t>Seed-borne</w:t>
      </w:r>
      <w:r w:rsidR="00F709BD">
        <w:rPr>
          <w:sz w:val="21"/>
          <w:szCs w:val="21"/>
        </w:rPr>
        <w:t xml:space="preserve"> hosts </w:t>
      </w:r>
    </w:p>
    <w:p w14:paraId="4A9BEC70" w14:textId="00A92A23" w:rsidR="008163B6" w:rsidRDefault="00F709BD" w:rsidP="006279EB">
      <w:pPr>
        <w:spacing w:before="120" w:after="120" w:line="276" w:lineRule="auto"/>
        <w:contextualSpacing/>
        <w:jc w:val="both"/>
        <w:rPr>
          <w:rFonts w:ascii="Cambria" w:eastAsia="Times New Roman" w:hAnsi="Cambria" w:cs="Times New Roman"/>
          <w:lang w:eastAsia="en-AU"/>
        </w:rPr>
      </w:pPr>
      <w:r>
        <w:rPr>
          <w:rFonts w:ascii="Cambria" w:eastAsia="Times New Roman" w:hAnsi="Cambria" w:cs="Arial"/>
          <w:lang w:eastAsia="en-AU"/>
        </w:rPr>
        <w:t xml:space="preserve">Australia’s emergency measures regulate the importation of seeds of all hosts for which CGMMV is reported to be </w:t>
      </w:r>
      <w:r w:rsidR="00CC0813">
        <w:rPr>
          <w:rFonts w:ascii="Cambria" w:eastAsia="Times New Roman" w:hAnsi="Cambria" w:cs="Arial"/>
          <w:lang w:eastAsia="en-AU"/>
        </w:rPr>
        <w:t>seed-borne</w:t>
      </w:r>
      <w:r>
        <w:rPr>
          <w:rFonts w:ascii="Cambria" w:eastAsia="Times New Roman" w:hAnsi="Cambria" w:cs="Arial"/>
          <w:lang w:eastAsia="en-AU"/>
        </w:rPr>
        <w:t xml:space="preserve">. Equally, if there is no evidence that the seed of a plant species carries CGMMV, then the seed of that plant species is not subject to phytosanitary measures against this virus. Australia’s phytosanitary measures comply with Australia’s international obligations under the WTO SPS Agreement and the IPPC, for example: </w:t>
      </w:r>
    </w:p>
    <w:p w14:paraId="5ACA687E" w14:textId="398DE093" w:rsidR="008163B6"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Under ISPM No. 2, the ‘taxonomic level for organisms considered in PRA is usually the species. The use of a higher or lower taxonomic level should be supported by scientifically sound rationale’ (FAO 20</w:t>
      </w:r>
      <w:r w:rsidR="003E619C">
        <w:rPr>
          <w:rFonts w:ascii="Cambria" w:eastAsia="Times New Roman" w:hAnsi="Cambria" w:cs="Times New Roman"/>
          <w:lang w:eastAsia="en-AU"/>
        </w:rPr>
        <w:t>11b</w:t>
      </w:r>
      <w:r>
        <w:rPr>
          <w:rFonts w:ascii="Cambria" w:eastAsia="Times New Roman" w:hAnsi="Cambria" w:cs="Times New Roman"/>
          <w:lang w:eastAsia="en-AU"/>
        </w:rPr>
        <w:t xml:space="preserve">). Consequently, Australia is regulating the </w:t>
      </w:r>
      <w:r w:rsidR="00CC0813">
        <w:rPr>
          <w:rFonts w:ascii="Cambria" w:eastAsia="Times New Roman" w:hAnsi="Cambria" w:cs="Times New Roman"/>
          <w:lang w:eastAsia="en-AU"/>
        </w:rPr>
        <w:t>seed-borne</w:t>
      </w:r>
      <w:r>
        <w:rPr>
          <w:rFonts w:ascii="Cambria" w:eastAsia="Times New Roman" w:hAnsi="Cambria" w:cs="Times New Roman"/>
          <w:lang w:eastAsia="en-AU"/>
        </w:rPr>
        <w:t xml:space="preserve"> hosts of CGMMV at the species level.</w:t>
      </w:r>
    </w:p>
    <w:p w14:paraId="19B0BAEF" w14:textId="731FC48E" w:rsidR="007A0C6A"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 xml:space="preserve">Under ISPM No. 5, pathway is defined as ‘any means that allow the entry or spread of a pest’ (FAO 2015) and ISPM No. 11 (FAO 2013) </w:t>
      </w:r>
      <w:r w:rsidR="0039342A">
        <w:rPr>
          <w:rFonts w:ascii="Cambria" w:eastAsia="Times New Roman" w:hAnsi="Cambria" w:cs="Times New Roman"/>
          <w:lang w:eastAsia="en-AU"/>
        </w:rPr>
        <w:t>requires</w:t>
      </w:r>
      <w:r>
        <w:rPr>
          <w:rFonts w:ascii="Cambria" w:eastAsia="Times New Roman" w:hAnsi="Cambria" w:cs="Times New Roman"/>
          <w:lang w:eastAsia="en-AU"/>
        </w:rPr>
        <w:t xml:space="preserve"> that to assess the probability of entry, an association of the pest with the import pathway is required. Australia has therefore defined the pathway as seed </w:t>
      </w:r>
      <w:r w:rsidR="007A0C6A">
        <w:rPr>
          <w:rFonts w:ascii="Cambria" w:eastAsia="Times New Roman" w:hAnsi="Cambria" w:cs="Times New Roman"/>
          <w:lang w:eastAsia="en-AU"/>
        </w:rPr>
        <w:t xml:space="preserve">of a species which has been shown to be a host of CGMMV and the virus is </w:t>
      </w:r>
      <w:proofErr w:type="spellStart"/>
      <w:r w:rsidR="007A0C6A">
        <w:rPr>
          <w:rFonts w:ascii="Cambria" w:eastAsia="Times New Roman" w:hAnsi="Cambria" w:cs="Times New Roman"/>
          <w:lang w:eastAsia="en-AU"/>
        </w:rPr>
        <w:t>know</w:t>
      </w:r>
      <w:proofErr w:type="spellEnd"/>
      <w:r w:rsidR="007A0C6A">
        <w:rPr>
          <w:rFonts w:ascii="Cambria" w:eastAsia="Times New Roman" w:hAnsi="Cambria" w:cs="Times New Roman"/>
          <w:lang w:eastAsia="en-AU"/>
        </w:rPr>
        <w:t xml:space="preserve"> to be seed-borne in that species.</w:t>
      </w:r>
    </w:p>
    <w:p w14:paraId="7AD07353" w14:textId="6AE46554" w:rsidR="008163B6" w:rsidRDefault="00F709BD" w:rsidP="006279EB">
      <w:pPr>
        <w:pStyle w:val="ListBullet"/>
        <w:tabs>
          <w:tab w:val="clear" w:pos="360"/>
          <w:tab w:val="num" w:pos="284"/>
        </w:tabs>
        <w:spacing w:line="276" w:lineRule="auto"/>
        <w:ind w:left="284" w:hanging="284"/>
        <w:contextualSpacing/>
        <w:rPr>
          <w:rFonts w:ascii="Cambria" w:eastAsia="Times New Roman" w:hAnsi="Cambria" w:cs="Times New Roman"/>
          <w:lang w:eastAsia="en-AU"/>
        </w:rPr>
      </w:pPr>
      <w:r>
        <w:rPr>
          <w:rFonts w:ascii="Cambria" w:eastAsia="Times New Roman" w:hAnsi="Cambria" w:cs="Times New Roman"/>
          <w:lang w:eastAsia="en-AU"/>
        </w:rPr>
        <w:t>Under Article 2 of th</w:t>
      </w:r>
      <w:r w:rsidR="0013590E">
        <w:rPr>
          <w:rFonts w:ascii="Cambria" w:eastAsia="Times New Roman" w:hAnsi="Cambria" w:cs="Times New Roman"/>
          <w:lang w:eastAsia="en-AU"/>
        </w:rPr>
        <w:t>e</w:t>
      </w:r>
      <w:r>
        <w:rPr>
          <w:rFonts w:ascii="Cambria" w:eastAsia="Times New Roman" w:hAnsi="Cambria" w:cs="Times New Roman"/>
          <w:lang w:eastAsia="en-AU"/>
        </w:rPr>
        <w:t xml:space="preserve"> SPS Agreement, phytosanitary measures must be based on scientific principles and not maintained without sufficient scientific evidence. Therefore, Australia’s phytosanitary measures do not regulate seeds </w:t>
      </w:r>
      <w:r w:rsidR="00577FCB">
        <w:rPr>
          <w:rFonts w:ascii="Cambria" w:eastAsia="Times New Roman" w:hAnsi="Cambria" w:cs="Times New Roman"/>
          <w:lang w:eastAsia="en-AU"/>
        </w:rPr>
        <w:t xml:space="preserve">of a plant species </w:t>
      </w:r>
      <w:r>
        <w:rPr>
          <w:rFonts w:ascii="Cambria" w:eastAsia="Times New Roman" w:hAnsi="Cambria" w:cs="Times New Roman"/>
          <w:lang w:eastAsia="en-AU"/>
        </w:rPr>
        <w:t>for which there is insufficient scientific evidence that it may carry CGMMV.</w:t>
      </w:r>
    </w:p>
    <w:p w14:paraId="29E53735" w14:textId="01D61108" w:rsidR="008163B6" w:rsidRDefault="00F709BD" w:rsidP="006279EB">
      <w:pPr>
        <w:spacing w:before="120" w:after="120" w:line="276" w:lineRule="auto"/>
        <w:rPr>
          <w:rFonts w:ascii="Cambria" w:eastAsia="Times New Roman" w:hAnsi="Cambria" w:cs="Times New Roman"/>
          <w:lang w:eastAsia="en-AU"/>
        </w:rPr>
      </w:pPr>
      <w:r>
        <w:rPr>
          <w:rFonts w:ascii="Cambria" w:eastAsia="Times New Roman" w:hAnsi="Cambria" w:cs="Times New Roman"/>
          <w:i/>
          <w:lang w:eastAsia="en-AU"/>
        </w:rPr>
        <w:t xml:space="preserve">Cucumber green mottle mosaic virus </w:t>
      </w:r>
      <w:r>
        <w:rPr>
          <w:rFonts w:ascii="Cambria" w:eastAsia="Times New Roman" w:hAnsi="Cambria" w:cs="Times New Roman"/>
          <w:lang w:eastAsia="en-AU"/>
        </w:rPr>
        <w:t>mainly occurs externally on the seed (</w:t>
      </w:r>
      <w:proofErr w:type="spellStart"/>
      <w:r>
        <w:rPr>
          <w:rFonts w:ascii="Cambria" w:eastAsia="Times New Roman" w:hAnsi="Cambria" w:cs="Times New Roman"/>
          <w:lang w:eastAsia="en-AU"/>
        </w:rPr>
        <w:t>Lecoq</w:t>
      </w:r>
      <w:proofErr w:type="spellEnd"/>
      <w:r>
        <w:rPr>
          <w:rFonts w:ascii="Cambria" w:eastAsia="Times New Roman" w:hAnsi="Cambria" w:cs="Times New Roman"/>
          <w:lang w:eastAsia="en-AU"/>
        </w:rPr>
        <w:t xml:space="preserve"> &amp; </w:t>
      </w:r>
      <w:proofErr w:type="spellStart"/>
      <w:r>
        <w:rPr>
          <w:rFonts w:ascii="Cambria" w:eastAsia="Times New Roman" w:hAnsi="Cambria" w:cs="Times New Roman"/>
          <w:lang w:eastAsia="en-AU"/>
        </w:rPr>
        <w:t>Desbiez</w:t>
      </w:r>
      <w:proofErr w:type="spellEnd"/>
      <w:r>
        <w:rPr>
          <w:rFonts w:ascii="Cambria" w:eastAsia="Times New Roman" w:hAnsi="Cambria" w:cs="Times New Roman"/>
          <w:lang w:eastAsia="en-AU"/>
        </w:rPr>
        <w:t xml:space="preserve"> 2012); however, it has also been detected in the inner tissues of cucurbit seeds (</w:t>
      </w:r>
      <w:proofErr w:type="spellStart"/>
      <w:r>
        <w:rPr>
          <w:rFonts w:ascii="Cambria" w:eastAsia="Times New Roman" w:hAnsi="Cambria" w:cs="Times New Roman"/>
          <w:lang w:eastAsia="en-AU"/>
        </w:rPr>
        <w:t>Reingold</w:t>
      </w:r>
      <w:proofErr w:type="spellEnd"/>
      <w:r>
        <w:rPr>
          <w:rFonts w:ascii="Cambria" w:eastAsia="Times New Roman" w:hAnsi="Cambria" w:cs="Times New Roman"/>
          <w:lang w:eastAsia="en-AU"/>
        </w:rPr>
        <w:t xml:space="preserve"> et al. 2015). </w:t>
      </w:r>
      <w:r w:rsidR="00056C3D">
        <w:rPr>
          <w:rFonts w:ascii="Cambria" w:eastAsia="Times New Roman" w:hAnsi="Cambria" w:cs="Times New Roman"/>
          <w:lang w:eastAsia="en-AU"/>
        </w:rPr>
        <w:t>When the emergency measures were introduced</w:t>
      </w:r>
      <w:r w:rsidR="002508FE">
        <w:rPr>
          <w:rFonts w:ascii="Cambria" w:eastAsia="Times New Roman" w:hAnsi="Cambria" w:cs="Times New Roman"/>
          <w:lang w:eastAsia="en-AU"/>
        </w:rPr>
        <w:t xml:space="preserve"> in October 2014</w:t>
      </w:r>
      <w:r w:rsidR="00056C3D">
        <w:rPr>
          <w:rFonts w:ascii="Cambria" w:eastAsia="Times New Roman" w:hAnsi="Cambria" w:cs="Times New Roman"/>
          <w:lang w:eastAsia="en-AU"/>
        </w:rPr>
        <w:t xml:space="preserve">, </w:t>
      </w:r>
      <w:r>
        <w:rPr>
          <w:rFonts w:ascii="Cambria" w:eastAsia="Times New Roman" w:hAnsi="Cambria" w:cs="Arial"/>
          <w:lang w:eastAsia="en-AU"/>
        </w:rPr>
        <w:t xml:space="preserve">CGMMV </w:t>
      </w:r>
      <w:r w:rsidR="00056C3D">
        <w:rPr>
          <w:rFonts w:ascii="Cambria" w:eastAsia="Times New Roman" w:hAnsi="Cambria" w:cs="Arial"/>
          <w:lang w:eastAsia="en-AU"/>
        </w:rPr>
        <w:t>wa</w:t>
      </w:r>
      <w:r>
        <w:rPr>
          <w:rFonts w:ascii="Cambria" w:eastAsia="Times New Roman" w:hAnsi="Cambria" w:cs="Arial"/>
          <w:lang w:eastAsia="en-AU"/>
        </w:rPr>
        <w:t xml:space="preserve">s reported to be </w:t>
      </w:r>
      <w:r w:rsidR="00CC0813">
        <w:rPr>
          <w:rFonts w:ascii="Cambria" w:eastAsia="Times New Roman" w:hAnsi="Cambria" w:cs="Arial"/>
          <w:lang w:eastAsia="en-AU"/>
        </w:rPr>
        <w:t>seed-borne</w:t>
      </w:r>
      <w:r>
        <w:rPr>
          <w:rFonts w:ascii="Cambria" w:eastAsia="Times New Roman" w:hAnsi="Cambria" w:cs="Arial"/>
          <w:lang w:eastAsia="en-AU"/>
        </w:rPr>
        <w:t xml:space="preserve"> in </w:t>
      </w:r>
      <w:r>
        <w:rPr>
          <w:rFonts w:ascii="Cambria" w:eastAsia="Times New Roman" w:hAnsi="Cambria" w:cs="Times New Roman"/>
          <w:lang w:eastAsia="en-AU"/>
        </w:rPr>
        <w:t xml:space="preserve">several cucurbit hosts, including </w:t>
      </w:r>
      <w:r>
        <w:rPr>
          <w:rFonts w:ascii="Cambria" w:eastAsia="Times New Roman" w:hAnsi="Cambria" w:cs="Times New Roman"/>
          <w:i/>
          <w:lang w:eastAsia="en-AU"/>
        </w:rPr>
        <w:t>Citrullus lanatus</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(watermelon</w:t>
      </w:r>
      <w:r>
        <w:rPr>
          <w:rFonts w:ascii="Cambria" w:eastAsia="Times New Roman" w:hAnsi="Cambria" w:cs="Times New Roman"/>
          <w:lang w:eastAsia="en-AU"/>
        </w:rPr>
        <w:t xml:space="preserve">), </w:t>
      </w:r>
      <w:r>
        <w:rPr>
          <w:rFonts w:ascii="Cambria" w:eastAsia="Times New Roman" w:hAnsi="Cambria" w:cs="Times New Roman"/>
          <w:i/>
          <w:lang w:eastAsia="en-AU"/>
        </w:rPr>
        <w:t>Cucumis sativus</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(cucumber</w:t>
      </w:r>
      <w:r>
        <w:rPr>
          <w:rFonts w:ascii="Cambria" w:eastAsia="Times New Roman" w:hAnsi="Cambria" w:cs="Times New Roman"/>
          <w:lang w:eastAsia="en-AU"/>
        </w:rPr>
        <w:t>),</w:t>
      </w:r>
      <w:r>
        <w:rPr>
          <w:rFonts w:ascii="Cambria" w:eastAsia="Times New Roman" w:hAnsi="Cambria" w:cs="Times New Roman"/>
          <w:i/>
          <w:lang w:eastAsia="en-AU"/>
        </w:rPr>
        <w:t xml:space="preserve"> Cucumis melo</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(muskmelon</w:t>
      </w:r>
      <w:r>
        <w:rPr>
          <w:rFonts w:ascii="Cambria" w:eastAsia="Times New Roman" w:hAnsi="Cambria" w:cs="Times New Roman"/>
          <w:lang w:eastAsia="en-AU"/>
        </w:rPr>
        <w:t>)</w:t>
      </w:r>
      <w:r>
        <w:rPr>
          <w:rFonts w:ascii="Cambria" w:eastAsia="Times New Roman" w:hAnsi="Cambria" w:cs="Times New Roman"/>
          <w:i/>
          <w:lang w:eastAsia="en-AU"/>
        </w:rPr>
        <w:t>,</w:t>
      </w:r>
      <w:r w:rsidR="00056C3D">
        <w:rPr>
          <w:rFonts w:ascii="Cambria" w:eastAsia="Times New Roman" w:hAnsi="Cambria" w:cs="Times New Roman"/>
          <w:lang w:eastAsia="en-AU"/>
        </w:rPr>
        <w:t xml:space="preserve"> </w:t>
      </w:r>
      <w:r>
        <w:rPr>
          <w:rFonts w:ascii="Cambria" w:eastAsia="Times New Roman" w:hAnsi="Cambria" w:cs="Times New Roman"/>
          <w:i/>
          <w:lang w:eastAsia="en-AU"/>
        </w:rPr>
        <w:t>Cucurbita pepo</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(zucchini, squash and pumpkin</w:t>
      </w:r>
      <w:r>
        <w:rPr>
          <w:rFonts w:ascii="Cambria" w:eastAsia="Times New Roman" w:hAnsi="Cambria" w:cs="Times New Roman"/>
          <w:lang w:eastAsia="en-AU"/>
        </w:rPr>
        <w:t>),</w:t>
      </w:r>
      <w:r>
        <w:rPr>
          <w:rFonts w:ascii="Cambria" w:eastAsia="Times New Roman" w:hAnsi="Cambria" w:cs="Times New Roman"/>
          <w:i/>
          <w:lang w:eastAsia="en-AU"/>
        </w:rPr>
        <w:t xml:space="preserve"> Lagenaria siceraria</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(bottle gourd</w:t>
      </w:r>
      <w:r>
        <w:rPr>
          <w:rFonts w:ascii="Cambria" w:eastAsia="Times New Roman" w:hAnsi="Cambria" w:cs="Times New Roman"/>
          <w:lang w:eastAsia="en-AU"/>
        </w:rPr>
        <w:t>)</w:t>
      </w:r>
      <w:r>
        <w:rPr>
          <w:rFonts w:ascii="Cambria" w:eastAsia="Times New Roman" w:hAnsi="Cambria" w:cs="Times New Roman"/>
          <w:i/>
          <w:lang w:eastAsia="en-AU"/>
        </w:rPr>
        <w:t xml:space="preserve"> </w:t>
      </w:r>
      <w:r>
        <w:rPr>
          <w:rFonts w:ascii="Cambria" w:eastAsia="Times New Roman" w:hAnsi="Cambria" w:cs="Times New Roman"/>
          <w:lang w:eastAsia="en-AU"/>
        </w:rPr>
        <w:t xml:space="preserve">and </w:t>
      </w:r>
      <w:r>
        <w:rPr>
          <w:rFonts w:ascii="Cambria" w:eastAsia="Times New Roman" w:hAnsi="Cambria" w:cs="Times New Roman"/>
          <w:i/>
          <w:lang w:eastAsia="en-AU"/>
        </w:rPr>
        <w:t>Trichosanthes cucumerina</w:t>
      </w:r>
      <w:r w:rsidR="00056C3D">
        <w:rPr>
          <w:rFonts w:ascii="Cambria" w:eastAsia="Times New Roman" w:hAnsi="Cambria" w:cs="Times New Roman"/>
          <w:i/>
          <w:lang w:eastAsia="en-AU"/>
        </w:rPr>
        <w:t xml:space="preserve"> </w:t>
      </w:r>
      <w:r w:rsidR="00056C3D">
        <w:rPr>
          <w:rFonts w:ascii="Cambria" w:eastAsia="Times New Roman" w:hAnsi="Cambria" w:cs="Times New Roman"/>
          <w:lang w:eastAsia="en-AU"/>
        </w:rPr>
        <w:t>(serpent gourd</w:t>
      </w:r>
      <w:r>
        <w:rPr>
          <w:rFonts w:ascii="Cambria" w:eastAsia="Times New Roman" w:hAnsi="Cambria" w:cs="Times New Roman"/>
          <w:lang w:eastAsia="en-AU"/>
        </w:rPr>
        <w:t xml:space="preserve">) (Choi 2001; </w:t>
      </w:r>
      <w:proofErr w:type="spellStart"/>
      <w:r>
        <w:rPr>
          <w:rFonts w:ascii="Cambria" w:eastAsia="Times New Roman" w:hAnsi="Cambria" w:cs="Times New Roman"/>
          <w:lang w:eastAsia="en-AU"/>
        </w:rPr>
        <w:t>Ariyaratne</w:t>
      </w:r>
      <w:proofErr w:type="spellEnd"/>
      <w:r>
        <w:rPr>
          <w:rFonts w:ascii="Cambria" w:eastAsia="Times New Roman" w:hAnsi="Cambria" w:cs="Times New Roman"/>
          <w:lang w:eastAsia="en-AU"/>
        </w:rPr>
        <w:t xml:space="preserve"> et al. 2005; Yoon et al. 2008; Al-</w:t>
      </w:r>
      <w:proofErr w:type="spellStart"/>
      <w:r>
        <w:rPr>
          <w:rFonts w:ascii="Cambria" w:eastAsia="Times New Roman" w:hAnsi="Cambria" w:cs="Times New Roman"/>
          <w:lang w:eastAsia="en-AU"/>
        </w:rPr>
        <w:t>Tamimi</w:t>
      </w:r>
      <w:proofErr w:type="spellEnd"/>
      <w:r>
        <w:rPr>
          <w:rFonts w:ascii="Cambria" w:eastAsia="Times New Roman" w:hAnsi="Cambria" w:cs="Times New Roman"/>
          <w:lang w:eastAsia="en-AU"/>
        </w:rPr>
        <w:t xml:space="preserve"> et al. 2009; </w:t>
      </w:r>
      <w:proofErr w:type="spellStart"/>
      <w:r>
        <w:rPr>
          <w:rFonts w:ascii="Cambria" w:eastAsia="Times New Roman" w:hAnsi="Cambria" w:cs="Times New Roman"/>
          <w:lang w:eastAsia="en-AU"/>
        </w:rPr>
        <w:t>Baderinwa</w:t>
      </w:r>
      <w:proofErr w:type="spellEnd"/>
      <w:r>
        <w:rPr>
          <w:rFonts w:ascii="Cambria" w:eastAsia="Times New Roman" w:hAnsi="Cambria" w:cs="Times New Roman"/>
          <w:lang w:eastAsia="en-AU"/>
        </w:rPr>
        <w:t xml:space="preserve"> 2012; Kwon et al. 2014; Liu et al. 2014; Tian et al. 2014</w:t>
      </w:r>
      <w:r w:rsidR="00746090">
        <w:rPr>
          <w:rFonts w:ascii="Cambria" w:eastAsia="Times New Roman" w:hAnsi="Cambria" w:cs="Times New Roman"/>
          <w:lang w:eastAsia="en-AU"/>
        </w:rPr>
        <w:t xml:space="preserve">; </w:t>
      </w:r>
      <w:proofErr w:type="spellStart"/>
      <w:r w:rsidR="00746090">
        <w:rPr>
          <w:rFonts w:ascii="Cambria" w:eastAsia="Times New Roman" w:hAnsi="Cambria" w:cs="Times New Roman"/>
          <w:lang w:eastAsia="en-AU"/>
        </w:rPr>
        <w:t>Reingold</w:t>
      </w:r>
      <w:proofErr w:type="spellEnd"/>
      <w:r w:rsidR="00746090">
        <w:rPr>
          <w:rFonts w:ascii="Cambria" w:eastAsia="Times New Roman" w:hAnsi="Cambria" w:cs="Times New Roman"/>
          <w:lang w:eastAsia="en-AU"/>
        </w:rPr>
        <w:t xml:space="preserve"> et al. 2015</w:t>
      </w:r>
      <w:r>
        <w:rPr>
          <w:rFonts w:ascii="Cambria" w:eastAsia="Times New Roman" w:hAnsi="Cambria" w:cs="Times New Roman"/>
          <w:lang w:eastAsia="en-AU"/>
        </w:rPr>
        <w:t xml:space="preserve">). Consequently, the seeds of these species </w:t>
      </w:r>
      <w:r w:rsidR="00292639">
        <w:rPr>
          <w:rFonts w:ascii="Cambria" w:eastAsia="Times New Roman" w:hAnsi="Cambria" w:cs="Times New Roman"/>
          <w:lang w:eastAsia="en-AU"/>
        </w:rPr>
        <w:t>were</w:t>
      </w:r>
      <w:r>
        <w:rPr>
          <w:rFonts w:ascii="Cambria" w:eastAsia="Times New Roman" w:hAnsi="Cambria" w:cs="Times New Roman"/>
          <w:lang w:eastAsia="en-AU"/>
        </w:rPr>
        <w:t xml:space="preserve"> subject to </w:t>
      </w:r>
      <w:r w:rsidR="00056C3D">
        <w:rPr>
          <w:rFonts w:ascii="Cambria" w:eastAsia="Times New Roman" w:hAnsi="Cambria" w:cs="Times New Roman"/>
          <w:lang w:eastAsia="en-AU"/>
        </w:rPr>
        <w:t xml:space="preserve">the emergency </w:t>
      </w:r>
      <w:r>
        <w:rPr>
          <w:rFonts w:ascii="Cambria" w:eastAsia="Times New Roman" w:hAnsi="Cambria" w:cs="Times New Roman"/>
          <w:lang w:eastAsia="en-AU"/>
        </w:rPr>
        <w:t>measures to prevent the further introduction of CGMMV into Australia.</w:t>
      </w:r>
      <w:r w:rsidR="00E86241">
        <w:rPr>
          <w:rFonts w:ascii="Cambria" w:eastAsia="Times New Roman" w:hAnsi="Cambria" w:cs="Times New Roman"/>
          <w:lang w:eastAsia="en-AU"/>
        </w:rPr>
        <w:t xml:space="preserve"> Since the introduction of the emergency measures, two additional pumpkin species (</w:t>
      </w:r>
      <w:r w:rsidR="00E86241">
        <w:rPr>
          <w:rFonts w:ascii="Cambria" w:eastAsia="Times New Roman" w:hAnsi="Cambria" w:cs="Times New Roman"/>
          <w:i/>
          <w:lang w:eastAsia="en-AU"/>
        </w:rPr>
        <w:t xml:space="preserve">Cucurbita maxima </w:t>
      </w:r>
      <w:r w:rsidR="00E86241">
        <w:rPr>
          <w:rFonts w:ascii="Cambria" w:eastAsia="Times New Roman" w:hAnsi="Cambria" w:cs="Times New Roman"/>
          <w:lang w:eastAsia="en-AU"/>
        </w:rPr>
        <w:t xml:space="preserve">and </w:t>
      </w:r>
      <w:r w:rsidR="00E86241">
        <w:rPr>
          <w:rFonts w:ascii="Cambria" w:eastAsia="Times New Roman" w:hAnsi="Cambria" w:cs="Times New Roman"/>
          <w:i/>
          <w:lang w:eastAsia="en-AU"/>
        </w:rPr>
        <w:t>Cucurbita moschata</w:t>
      </w:r>
      <w:r w:rsidR="00E86241">
        <w:rPr>
          <w:rFonts w:ascii="Cambria" w:eastAsia="Times New Roman" w:hAnsi="Cambria" w:cs="Times New Roman"/>
          <w:lang w:eastAsia="en-AU"/>
        </w:rPr>
        <w:t xml:space="preserve">) have been identified as </w:t>
      </w:r>
      <w:r w:rsidR="00CC0813">
        <w:rPr>
          <w:rFonts w:ascii="Cambria" w:eastAsia="Times New Roman" w:hAnsi="Cambria" w:cs="Times New Roman"/>
          <w:lang w:eastAsia="en-AU"/>
        </w:rPr>
        <w:t>seed-borne</w:t>
      </w:r>
      <w:r w:rsidR="00E86241">
        <w:rPr>
          <w:rFonts w:ascii="Cambria" w:eastAsia="Times New Roman" w:hAnsi="Cambria" w:cs="Times New Roman"/>
          <w:lang w:eastAsia="en-AU"/>
        </w:rPr>
        <w:t xml:space="preserve"> hosts of CGMMV (</w:t>
      </w:r>
      <w:r w:rsidR="00E86241">
        <w:rPr>
          <w:rFonts w:asciiTheme="majorHAnsi" w:hAnsiTheme="majorHAnsi"/>
          <w:iCs/>
          <w:szCs w:val="18"/>
        </w:rPr>
        <w:t>Fiona Constable [</w:t>
      </w:r>
      <w:r w:rsidR="00E86241" w:rsidRPr="0070635C">
        <w:rPr>
          <w:rFonts w:asciiTheme="majorHAnsi" w:hAnsiTheme="majorHAnsi"/>
          <w:iCs/>
          <w:szCs w:val="18"/>
        </w:rPr>
        <w:t>D</w:t>
      </w:r>
      <w:r w:rsidR="00326368">
        <w:rPr>
          <w:rFonts w:asciiTheme="majorHAnsi" w:hAnsiTheme="majorHAnsi"/>
          <w:iCs/>
          <w:szCs w:val="18"/>
        </w:rPr>
        <w:t>EDJTR</w:t>
      </w:r>
      <w:r w:rsidR="00E86241" w:rsidRPr="00C918ED">
        <w:rPr>
          <w:rFonts w:asciiTheme="majorHAnsi" w:hAnsiTheme="majorHAnsi"/>
          <w:iCs/>
          <w:szCs w:val="18"/>
        </w:rPr>
        <w:t>] 2015, pers. comm., 2 December</w:t>
      </w:r>
      <w:r w:rsidR="00E86241" w:rsidRPr="00521491">
        <w:rPr>
          <w:rFonts w:ascii="Cambria" w:eastAsia="Times New Roman" w:hAnsi="Cambria" w:cs="Times New Roman"/>
          <w:lang w:eastAsia="en-AU"/>
        </w:rPr>
        <w:t xml:space="preserve">). Therefore, the </w:t>
      </w:r>
      <w:r w:rsidR="002508FE" w:rsidRPr="00521491">
        <w:rPr>
          <w:rFonts w:ascii="Cambria" w:eastAsia="Times New Roman" w:hAnsi="Cambria" w:cs="Times New Roman"/>
          <w:lang w:eastAsia="en-AU"/>
        </w:rPr>
        <w:t>emergency measures were amended on 1</w:t>
      </w:r>
      <w:r w:rsidR="006D6047">
        <w:rPr>
          <w:rFonts w:ascii="Cambria" w:eastAsia="Times New Roman" w:hAnsi="Cambria" w:cs="Times New Roman"/>
          <w:lang w:eastAsia="en-AU"/>
        </w:rPr>
        <w:t>8</w:t>
      </w:r>
      <w:r w:rsidR="002508FE" w:rsidRPr="00521491">
        <w:rPr>
          <w:rFonts w:ascii="Cambria" w:eastAsia="Times New Roman" w:hAnsi="Cambria" w:cs="Times New Roman"/>
          <w:lang w:eastAsia="en-AU"/>
        </w:rPr>
        <w:t xml:space="preserve"> December 2015 (G/SPS/N/AUS/347/Add.3) to regulate </w:t>
      </w:r>
      <w:r w:rsidR="00E86241" w:rsidRPr="00C14C3B">
        <w:rPr>
          <w:rFonts w:ascii="Cambria" w:eastAsia="Times New Roman" w:hAnsi="Cambria" w:cs="Times New Roman"/>
          <w:lang w:eastAsia="en-AU"/>
        </w:rPr>
        <w:t>these pumpkin species.</w:t>
      </w:r>
      <w:r w:rsidR="002508FE" w:rsidRPr="00C14C3B">
        <w:rPr>
          <w:rFonts w:ascii="Cambria" w:eastAsia="Times New Roman" w:hAnsi="Cambria" w:cs="Times New Roman"/>
          <w:lang w:eastAsia="en-AU"/>
        </w:rPr>
        <w:t xml:space="preserve"> In addition,</w:t>
      </w:r>
      <w:r w:rsidR="00820259" w:rsidRPr="00DD6194">
        <w:rPr>
          <w:rFonts w:ascii="Cambria" w:eastAsia="Times New Roman" w:hAnsi="Cambria" w:cs="Times New Roman"/>
          <w:lang w:eastAsia="en-AU"/>
        </w:rPr>
        <w:t xml:space="preserve"> the seeds of</w:t>
      </w:r>
      <w:r w:rsidR="002508FE" w:rsidRPr="00C918ED">
        <w:rPr>
          <w:rFonts w:ascii="Cambria" w:eastAsia="Times New Roman" w:hAnsi="Cambria" w:cs="Times New Roman"/>
          <w:lang w:eastAsia="en-AU"/>
        </w:rPr>
        <w:t xml:space="preserve"> </w:t>
      </w:r>
      <w:r w:rsidR="00820259" w:rsidRPr="00DD6194">
        <w:rPr>
          <w:rFonts w:ascii="Cambria" w:eastAsia="Times New Roman" w:hAnsi="Cambria" w:cs="Times New Roman"/>
          <w:lang w:eastAsia="en-AU"/>
        </w:rPr>
        <w:t>any</w:t>
      </w:r>
      <w:r w:rsidR="002508FE" w:rsidRPr="00C918ED">
        <w:rPr>
          <w:rFonts w:ascii="Cambria" w:eastAsia="Times New Roman" w:hAnsi="Cambria" w:cs="Times New Roman"/>
          <w:lang w:eastAsia="en-AU"/>
        </w:rPr>
        <w:t xml:space="preserve"> hybrid that </w:t>
      </w:r>
      <w:r w:rsidR="00820259" w:rsidRPr="00DD6194">
        <w:rPr>
          <w:rFonts w:ascii="Cambria" w:eastAsia="Times New Roman" w:hAnsi="Cambria" w:cs="Times New Roman"/>
          <w:lang w:eastAsia="en-AU"/>
        </w:rPr>
        <w:t>has</w:t>
      </w:r>
      <w:r w:rsidR="002508FE" w:rsidRPr="00521491">
        <w:rPr>
          <w:rFonts w:ascii="Cambria" w:eastAsia="Times New Roman" w:hAnsi="Cambria" w:cs="Times New Roman"/>
          <w:lang w:eastAsia="en-AU"/>
        </w:rPr>
        <w:t xml:space="preserve"> a parent that is a host of CGMMV</w:t>
      </w:r>
      <w:r w:rsidR="00820259" w:rsidRPr="00521491">
        <w:rPr>
          <w:rFonts w:ascii="Cambria" w:eastAsia="Times New Roman" w:hAnsi="Cambria" w:cs="Times New Roman"/>
          <w:lang w:eastAsia="en-AU"/>
        </w:rPr>
        <w:t xml:space="preserve"> is subject to the emergency measures against CGMMV.</w:t>
      </w:r>
      <w:r w:rsidR="002508FE">
        <w:rPr>
          <w:rFonts w:ascii="Cambria" w:eastAsia="Times New Roman" w:hAnsi="Cambria" w:cs="Times New Roman"/>
          <w:lang w:eastAsia="en-AU"/>
        </w:rPr>
        <w:t xml:space="preserve"> </w:t>
      </w:r>
    </w:p>
    <w:p w14:paraId="5983B010" w14:textId="57103788" w:rsidR="008163B6" w:rsidRDefault="00F709BD" w:rsidP="006279EB">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Australia is not regulating the seeds of CGMMV host species if there is no evidence of this virus being associated with the seed</w:t>
      </w:r>
      <w:r w:rsidR="0013590E">
        <w:rPr>
          <w:rFonts w:ascii="Cambria" w:eastAsia="Times New Roman" w:hAnsi="Cambria" w:cs="Times New Roman"/>
          <w:lang w:eastAsia="en-AU"/>
        </w:rPr>
        <w:t>s</w:t>
      </w:r>
      <w:r>
        <w:rPr>
          <w:rFonts w:ascii="Cambria" w:eastAsia="Times New Roman" w:hAnsi="Cambria" w:cs="Times New Roman"/>
          <w:lang w:eastAsia="en-AU"/>
        </w:rPr>
        <w:t xml:space="preserve"> of that species. However, the department will review the </w:t>
      </w:r>
      <w:r w:rsidR="00CC0813">
        <w:rPr>
          <w:rFonts w:ascii="Cambria" w:eastAsia="Times New Roman" w:hAnsi="Cambria" w:cs="Times New Roman"/>
          <w:lang w:eastAsia="en-AU"/>
        </w:rPr>
        <w:t>seed-borne</w:t>
      </w:r>
      <w:r>
        <w:rPr>
          <w:rFonts w:ascii="Cambria" w:eastAsia="Times New Roman" w:hAnsi="Cambria" w:cs="Times New Roman"/>
          <w:lang w:eastAsia="en-AU"/>
        </w:rPr>
        <w:t xml:space="preserve"> host list as new scientific evidence becomes available.</w:t>
      </w:r>
    </w:p>
    <w:p w14:paraId="2C063E6A" w14:textId="4FD15885" w:rsidR="008163B6" w:rsidRDefault="00B6034B" w:rsidP="008163B6">
      <w:pPr>
        <w:pStyle w:val="Heading4"/>
        <w:numPr>
          <w:ilvl w:val="0"/>
          <w:numId w:val="40"/>
        </w:numPr>
        <w:spacing w:before="160"/>
        <w:rPr>
          <w:sz w:val="21"/>
          <w:szCs w:val="21"/>
        </w:rPr>
      </w:pPr>
      <w:r>
        <w:rPr>
          <w:sz w:val="21"/>
          <w:szCs w:val="21"/>
        </w:rPr>
        <w:t>S</w:t>
      </w:r>
      <w:r w:rsidR="00F709BD">
        <w:rPr>
          <w:sz w:val="21"/>
          <w:szCs w:val="21"/>
        </w:rPr>
        <w:t xml:space="preserve">eed transmission </w:t>
      </w:r>
    </w:p>
    <w:p w14:paraId="069531DE" w14:textId="242F4B87" w:rsidR="008163B6" w:rsidRDefault="00F709BD" w:rsidP="006279EB">
      <w:pPr>
        <w:spacing w:before="120" w:after="120" w:line="276" w:lineRule="auto"/>
        <w:rPr>
          <w:rFonts w:ascii="Cambria" w:eastAsia="Times New Roman" w:hAnsi="Cambria" w:cs="Times New Roman"/>
          <w:lang w:eastAsia="en-AU"/>
        </w:rPr>
      </w:pPr>
      <w:r>
        <w:rPr>
          <w:rFonts w:ascii="Cambria" w:eastAsia="Times New Roman" w:hAnsi="Cambria" w:cs="Times New Roman"/>
          <w:i/>
          <w:lang w:eastAsia="en-AU"/>
        </w:rPr>
        <w:t xml:space="preserve">Cucumber green mottle mosaic virus </w:t>
      </w:r>
      <w:r>
        <w:rPr>
          <w:rFonts w:ascii="Cambria" w:eastAsia="Times New Roman" w:hAnsi="Cambria" w:cs="Times New Roman"/>
          <w:lang w:eastAsia="en-AU"/>
        </w:rPr>
        <w:t xml:space="preserve">has been demonstrated to be seed transmitted in several cucurbit hosts. There are conflicting reports in the literature regarding the rates of CGMMV transmission in cucurbit seeds. While some reports show low rates of transmission from seed to seedlings in bottle gourd (2.0 percent), watermelon (2.25 percent), muskmelon (2.83 percent) and cucumber (3.0 percent) (Choi 2001; Wu et al. 2011), a recent study found high rates of transmission from seeds to seedlings in cucumber (76.7 percent) (Liu et al. 2014). Even low levels of infection and transmission may lead to the introduction of the virus into new areas. Therefore, </w:t>
      </w:r>
      <w:r w:rsidR="0013590E">
        <w:rPr>
          <w:rFonts w:ascii="Cambria" w:eastAsia="Times New Roman" w:hAnsi="Cambria" w:cs="Times New Roman"/>
          <w:lang w:eastAsia="en-AU"/>
        </w:rPr>
        <w:t xml:space="preserve">the </w:t>
      </w:r>
      <w:r>
        <w:rPr>
          <w:rFonts w:ascii="Cambria" w:eastAsia="Times New Roman" w:hAnsi="Cambria" w:cs="Times New Roman"/>
          <w:lang w:eastAsia="en-AU"/>
        </w:rPr>
        <w:t>regulation of host seeds is justified to prevent further incursions of CGMMV into Australia.</w:t>
      </w:r>
    </w:p>
    <w:p w14:paraId="24A6BE75" w14:textId="45713BD4" w:rsidR="008163B6" w:rsidRDefault="00F709BD" w:rsidP="008163B6">
      <w:pPr>
        <w:pStyle w:val="Heading4"/>
        <w:numPr>
          <w:ilvl w:val="0"/>
          <w:numId w:val="40"/>
        </w:numPr>
        <w:spacing w:before="160"/>
        <w:rPr>
          <w:sz w:val="21"/>
          <w:szCs w:val="21"/>
        </w:rPr>
      </w:pPr>
      <w:r>
        <w:rPr>
          <w:sz w:val="21"/>
          <w:szCs w:val="21"/>
        </w:rPr>
        <w:t>Role of seed</w:t>
      </w:r>
      <w:r w:rsidR="0013590E">
        <w:rPr>
          <w:sz w:val="21"/>
          <w:szCs w:val="21"/>
        </w:rPr>
        <w:t>s</w:t>
      </w:r>
      <w:r>
        <w:rPr>
          <w:sz w:val="21"/>
          <w:szCs w:val="21"/>
        </w:rPr>
        <w:t xml:space="preserve"> in spreading CGMMV</w:t>
      </w:r>
    </w:p>
    <w:p w14:paraId="2BE559CF" w14:textId="2411204A"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Infected seeds are likely to play an important role in the long-distance spread of CGMMV to new areas and countries. The association of CGMMV with seed</w:t>
      </w:r>
      <w:r w:rsidR="0013590E">
        <w:rPr>
          <w:rFonts w:ascii="Cambria" w:eastAsia="Times New Roman" w:hAnsi="Cambria" w:cs="Times New Roman"/>
          <w:lang w:eastAsia="en-AU"/>
        </w:rPr>
        <w:t>s</w:t>
      </w:r>
      <w:r>
        <w:rPr>
          <w:rFonts w:ascii="Cambria" w:eastAsia="Times New Roman" w:hAnsi="Cambria" w:cs="Times New Roman"/>
          <w:lang w:eastAsia="en-AU"/>
        </w:rPr>
        <w:t xml:space="preserve"> can increase its potential to disperse over greater time periods and distances (Liu et al. 2014). For instance, </w:t>
      </w:r>
      <w:proofErr w:type="spellStart"/>
      <w:r>
        <w:rPr>
          <w:rFonts w:ascii="Cambria" w:eastAsia="Times New Roman" w:hAnsi="Cambria" w:cs="Times New Roman"/>
          <w:lang w:eastAsia="en-AU"/>
        </w:rPr>
        <w:t>tobamoviruses</w:t>
      </w:r>
      <w:proofErr w:type="spellEnd"/>
      <w:r>
        <w:rPr>
          <w:rFonts w:ascii="Cambria" w:eastAsia="Times New Roman" w:hAnsi="Cambria" w:cs="Times New Roman"/>
          <w:lang w:eastAsia="en-AU"/>
        </w:rPr>
        <w:t xml:space="preserve"> can survive in an infective state on the surface of seeds for several months to a few years (</w:t>
      </w:r>
      <w:proofErr w:type="spellStart"/>
      <w:r>
        <w:rPr>
          <w:rFonts w:ascii="Cambria" w:eastAsia="Times New Roman" w:hAnsi="Cambria" w:cs="Times New Roman"/>
          <w:lang w:eastAsia="en-AU"/>
        </w:rPr>
        <w:t>Reingold</w:t>
      </w:r>
      <w:proofErr w:type="spellEnd"/>
      <w:r>
        <w:rPr>
          <w:rFonts w:ascii="Cambria" w:eastAsia="Times New Roman" w:hAnsi="Cambria" w:cs="Times New Roman"/>
          <w:lang w:eastAsia="en-AU"/>
        </w:rPr>
        <w:t xml:space="preserve"> et al. 2015). This increases the likelihood that CGMMV on seeds will remain infectious throughout transport and storage; therefore, it is likely to be infectious at the time of sowing. </w:t>
      </w:r>
    </w:p>
    <w:p w14:paraId="18B322BC" w14:textId="306FA58F"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 xml:space="preserve">It is likely that the </w:t>
      </w:r>
      <w:r w:rsidR="00CC0813">
        <w:rPr>
          <w:rFonts w:ascii="Cambria" w:eastAsia="Times New Roman" w:hAnsi="Cambria" w:cs="Times New Roman"/>
          <w:lang w:eastAsia="en-AU"/>
        </w:rPr>
        <w:t>seed-borne</w:t>
      </w:r>
      <w:r>
        <w:rPr>
          <w:rFonts w:ascii="Cambria" w:eastAsia="Times New Roman" w:hAnsi="Cambria" w:cs="Times New Roman"/>
          <w:lang w:eastAsia="en-AU"/>
        </w:rPr>
        <w:t xml:space="preserve"> nature of CGMMV has contributed to its rapid spread to many countries</w:t>
      </w:r>
      <w:r w:rsidR="0039342A">
        <w:rPr>
          <w:rFonts w:ascii="Cambria" w:eastAsia="Times New Roman" w:hAnsi="Cambria" w:cs="Times New Roman"/>
          <w:lang w:eastAsia="en-AU"/>
        </w:rPr>
        <w:t>. CGMMV</w:t>
      </w:r>
      <w:r>
        <w:rPr>
          <w:rFonts w:ascii="Cambria" w:eastAsia="Times New Roman" w:hAnsi="Cambria" w:cs="Times New Roman"/>
          <w:lang w:eastAsia="en-AU"/>
        </w:rPr>
        <w:t xml:space="preserve"> was thought to be introduced through </w:t>
      </w:r>
      <w:r>
        <w:rPr>
          <w:rFonts w:ascii="Cambria" w:eastAsia="Times New Roman" w:hAnsi="Cambria" w:cs="Times New Roman"/>
          <w:i/>
          <w:lang w:eastAsia="en-AU"/>
        </w:rPr>
        <w:t>Lagenaria siceraria</w:t>
      </w:r>
      <w:r>
        <w:rPr>
          <w:rFonts w:ascii="Cambria" w:eastAsia="Times New Roman" w:hAnsi="Cambria" w:cs="Times New Roman"/>
          <w:lang w:eastAsia="en-AU"/>
        </w:rPr>
        <w:t xml:space="preserve"> seed imported from India to Japan (</w:t>
      </w:r>
      <w:proofErr w:type="spellStart"/>
      <w:r>
        <w:rPr>
          <w:rFonts w:ascii="Cambria" w:eastAsia="Times New Roman" w:hAnsi="Cambria" w:cs="Times New Roman"/>
          <w:lang w:eastAsia="en-AU"/>
        </w:rPr>
        <w:t>Tochihara</w:t>
      </w:r>
      <w:proofErr w:type="spellEnd"/>
      <w:r>
        <w:rPr>
          <w:rFonts w:ascii="Cambria" w:eastAsia="Times New Roman" w:hAnsi="Cambria" w:cs="Times New Roman"/>
          <w:lang w:eastAsia="en-AU"/>
        </w:rPr>
        <w:t xml:space="preserve"> &amp; </w:t>
      </w:r>
      <w:proofErr w:type="spellStart"/>
      <w:r>
        <w:rPr>
          <w:rFonts w:ascii="Cambria" w:eastAsia="Times New Roman" w:hAnsi="Cambria" w:cs="Times New Roman"/>
          <w:lang w:eastAsia="en-AU"/>
        </w:rPr>
        <w:t>Komuro</w:t>
      </w:r>
      <w:proofErr w:type="spellEnd"/>
      <w:r>
        <w:rPr>
          <w:rFonts w:ascii="Cambria" w:eastAsia="Times New Roman" w:hAnsi="Cambria" w:cs="Times New Roman"/>
          <w:lang w:eastAsia="en-AU"/>
        </w:rPr>
        <w:t xml:space="preserve"> 1974). In commercial greenhouses, CGMMV has been detected in plants </w:t>
      </w:r>
      <w:r w:rsidR="0039342A">
        <w:rPr>
          <w:rFonts w:ascii="Cambria" w:eastAsia="Times New Roman" w:hAnsi="Cambria" w:cs="Times New Roman"/>
          <w:lang w:eastAsia="en-AU"/>
        </w:rPr>
        <w:t xml:space="preserve">grown from seeds </w:t>
      </w:r>
      <w:r>
        <w:rPr>
          <w:rFonts w:ascii="Cambria" w:eastAsia="Times New Roman" w:hAnsi="Cambria" w:cs="Times New Roman"/>
          <w:lang w:eastAsia="en-AU"/>
        </w:rPr>
        <w:t>during the first cycle of growing cucurbits, indicating that seeds were a primary source of inoculum (</w:t>
      </w:r>
      <w:proofErr w:type="spellStart"/>
      <w:r>
        <w:rPr>
          <w:rFonts w:ascii="Cambria" w:eastAsia="Times New Roman" w:hAnsi="Cambria" w:cs="Times New Roman"/>
          <w:lang w:eastAsia="en-AU"/>
        </w:rPr>
        <w:t>Reingold</w:t>
      </w:r>
      <w:proofErr w:type="spellEnd"/>
      <w:r>
        <w:rPr>
          <w:rFonts w:ascii="Cambria" w:eastAsia="Times New Roman" w:hAnsi="Cambria" w:cs="Times New Roman"/>
          <w:lang w:eastAsia="en-AU"/>
        </w:rPr>
        <w:t xml:space="preserve"> et al. 2015). In addition, since Australia introduced emergency measures in October 2014, Australia has detected CGMMV in imported seed lots through on-arrival ELISA testing. Therefore, risk mitigation measures for the seed pathway are justified to address the risk of CGMMV.</w:t>
      </w:r>
    </w:p>
    <w:p w14:paraId="2B48332E" w14:textId="77777777" w:rsidR="008163B6" w:rsidRDefault="00F709BD">
      <w:pPr>
        <w:pStyle w:val="Heading3"/>
        <w:keepLines/>
        <w:spacing w:before="200" w:after="200"/>
        <w:rPr>
          <w:rFonts w:ascii="Calibri" w:hAnsi="Calibri" w:cstheme="minorBidi"/>
          <w:sz w:val="24"/>
          <w:szCs w:val="22"/>
        </w:rPr>
      </w:pPr>
      <w:bookmarkStart w:id="292" w:name="_Toc432763602"/>
      <w:bookmarkStart w:id="293" w:name="_Toc447540816"/>
      <w:r>
        <w:rPr>
          <w:rFonts w:ascii="Calibri" w:hAnsi="Calibri" w:cstheme="minorBidi"/>
          <w:sz w:val="24"/>
          <w:szCs w:val="22"/>
        </w:rPr>
        <w:t>Questions in relation to emergency measures</w:t>
      </w:r>
      <w:bookmarkEnd w:id="292"/>
      <w:bookmarkEnd w:id="293"/>
    </w:p>
    <w:p w14:paraId="0BE03DFC" w14:textId="1F979A65" w:rsidR="008163B6" w:rsidRDefault="00F709BD" w:rsidP="008163B6">
      <w:pPr>
        <w:pStyle w:val="Heading4"/>
        <w:numPr>
          <w:ilvl w:val="0"/>
          <w:numId w:val="41"/>
        </w:numPr>
        <w:spacing w:before="160"/>
        <w:rPr>
          <w:sz w:val="21"/>
          <w:szCs w:val="21"/>
        </w:rPr>
      </w:pPr>
      <w:r>
        <w:rPr>
          <w:sz w:val="21"/>
          <w:szCs w:val="21"/>
        </w:rPr>
        <w:t>Molecular</w:t>
      </w:r>
      <w:r w:rsidR="00B6034B">
        <w:rPr>
          <w:sz w:val="21"/>
          <w:szCs w:val="21"/>
        </w:rPr>
        <w:t xml:space="preserve"> </w:t>
      </w:r>
      <w:r>
        <w:rPr>
          <w:sz w:val="21"/>
          <w:szCs w:val="21"/>
        </w:rPr>
        <w:t xml:space="preserve">testing methods </w:t>
      </w:r>
      <w:r w:rsidR="00995B26">
        <w:rPr>
          <w:sz w:val="21"/>
          <w:szCs w:val="21"/>
        </w:rPr>
        <w:t>for seeds</w:t>
      </w:r>
    </w:p>
    <w:p w14:paraId="34B6B0F5" w14:textId="2053FF05"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Arial"/>
          <w:lang w:eastAsia="en-AU"/>
        </w:rPr>
        <w:t>Australia’s emergency measures require that host seed c</w:t>
      </w:r>
      <w:r>
        <w:rPr>
          <w:rFonts w:ascii="Cambria" w:eastAsia="Times New Roman" w:hAnsi="Cambria" w:cs="Times New Roman"/>
          <w:iCs/>
          <w:lang w:eastAsia="en-AU"/>
        </w:rPr>
        <w:t>onsignments must be</w:t>
      </w:r>
      <w:r>
        <w:rPr>
          <w:rFonts w:ascii="Cambria" w:eastAsia="Times New Roman" w:hAnsi="Cambria" w:cs="Times New Roman"/>
          <w:lang w:eastAsia="en-AU"/>
        </w:rPr>
        <w:t xml:space="preserve"> ELISA tested</w:t>
      </w:r>
      <w:r>
        <w:rPr>
          <w:rFonts w:ascii="Cambria" w:eastAsia="Times New Roman" w:hAnsi="Cambria" w:cs="Times New Roman"/>
          <w:iCs/>
          <w:lang w:eastAsia="en-AU"/>
        </w:rPr>
        <w:t xml:space="preserve"> with a sample size of 9,400 seeds using the protocol of the International Seed Testing Association (ISTA) </w:t>
      </w:r>
      <w:r w:rsidRPr="0013590E">
        <w:rPr>
          <w:rFonts w:ascii="Cambria" w:eastAsia="Times New Roman" w:hAnsi="Cambria" w:cs="Times New Roman"/>
          <w:iCs/>
          <w:lang w:eastAsia="en-AU"/>
        </w:rPr>
        <w:t xml:space="preserve">7-026 Detection of </w:t>
      </w:r>
      <w:r w:rsidR="00056C3D" w:rsidRPr="0013590E">
        <w:rPr>
          <w:rFonts w:ascii="Cambria" w:eastAsia="Times New Roman" w:hAnsi="Cambria" w:cs="Times New Roman"/>
          <w:i/>
          <w:iCs/>
          <w:lang w:eastAsia="en-AU"/>
        </w:rPr>
        <w:t>S</w:t>
      </w:r>
      <w:r w:rsidRPr="0013590E">
        <w:rPr>
          <w:rFonts w:ascii="Cambria" w:eastAsia="Times New Roman" w:hAnsi="Cambria" w:cs="Times New Roman"/>
          <w:i/>
          <w:iCs/>
          <w:lang w:eastAsia="en-AU"/>
        </w:rPr>
        <w:t>quash mosaic virus</w:t>
      </w:r>
      <w:r w:rsidRPr="0013590E">
        <w:rPr>
          <w:rFonts w:ascii="Cambria" w:eastAsia="Times New Roman" w:hAnsi="Cambria" w:cs="Times New Roman"/>
          <w:iCs/>
          <w:lang w:eastAsia="en-AU"/>
        </w:rPr>
        <w:t xml:space="preserve">, </w:t>
      </w:r>
      <w:r w:rsidRPr="0013590E">
        <w:rPr>
          <w:rFonts w:ascii="Cambria" w:eastAsia="Times New Roman" w:hAnsi="Cambria" w:cs="Times New Roman"/>
          <w:i/>
          <w:iCs/>
          <w:lang w:eastAsia="en-AU"/>
        </w:rPr>
        <w:t>Cucumber green mottle mosaic virus</w:t>
      </w:r>
      <w:r w:rsidRPr="0013590E">
        <w:rPr>
          <w:rFonts w:ascii="Cambria" w:eastAsia="Times New Roman" w:hAnsi="Cambria" w:cs="Times New Roman"/>
          <w:iCs/>
          <w:lang w:eastAsia="en-AU"/>
        </w:rPr>
        <w:t xml:space="preserve"> and </w:t>
      </w:r>
      <w:r w:rsidRPr="0013590E">
        <w:rPr>
          <w:rFonts w:ascii="Cambria" w:eastAsia="Times New Roman" w:hAnsi="Cambria" w:cs="Times New Roman"/>
          <w:i/>
          <w:iCs/>
          <w:lang w:eastAsia="en-AU"/>
        </w:rPr>
        <w:t>Melon necrotic spot virus</w:t>
      </w:r>
      <w:r w:rsidRPr="0013590E">
        <w:rPr>
          <w:rFonts w:ascii="Cambria" w:eastAsia="Times New Roman" w:hAnsi="Cambria" w:cs="Times New Roman"/>
          <w:iCs/>
          <w:lang w:eastAsia="en-AU"/>
        </w:rPr>
        <w:t xml:space="preserve"> in cucurbits</w:t>
      </w:r>
      <w:r>
        <w:rPr>
          <w:rFonts w:ascii="Cambria" w:eastAsia="Times New Roman" w:hAnsi="Cambria" w:cs="Times New Roman"/>
          <w:i/>
          <w:iCs/>
          <w:lang w:eastAsia="en-AU"/>
        </w:rPr>
        <w:t xml:space="preserve"> </w:t>
      </w:r>
      <w:r>
        <w:rPr>
          <w:rFonts w:ascii="Cambria" w:eastAsia="Times New Roman" w:hAnsi="Cambria" w:cs="Times New Roman"/>
          <w:iCs/>
          <w:lang w:eastAsia="en-AU"/>
        </w:rPr>
        <w:t>(ISTA 2014)</w:t>
      </w:r>
      <w:r>
        <w:rPr>
          <w:rFonts w:ascii="Cambria" w:eastAsia="Times New Roman" w:hAnsi="Cambria" w:cs="Times New Roman"/>
          <w:i/>
          <w:iCs/>
          <w:lang w:eastAsia="en-AU"/>
        </w:rPr>
        <w:t>.</w:t>
      </w:r>
      <w:r>
        <w:rPr>
          <w:rFonts w:ascii="Cambria" w:eastAsia="Times New Roman" w:hAnsi="Cambria" w:cs="Times New Roman"/>
          <w:iCs/>
          <w:lang w:eastAsia="en-AU"/>
        </w:rPr>
        <w:t xml:space="preserve"> T</w:t>
      </w:r>
      <w:r>
        <w:rPr>
          <w:rFonts w:ascii="Cambria" w:eastAsia="Times New Roman" w:hAnsi="Cambria" w:cs="Times New Roman"/>
          <w:lang w:eastAsia="en-AU"/>
        </w:rPr>
        <w:t xml:space="preserve">esting of </w:t>
      </w:r>
      <w:r w:rsidR="0039342A">
        <w:rPr>
          <w:rFonts w:ascii="Cambria" w:eastAsia="Times New Roman" w:hAnsi="Cambria" w:cs="Times New Roman"/>
          <w:lang w:eastAsia="en-AU"/>
        </w:rPr>
        <w:t>commercial consignments of</w:t>
      </w:r>
      <w:r>
        <w:rPr>
          <w:rFonts w:ascii="Cambria" w:eastAsia="Times New Roman" w:hAnsi="Cambria" w:cs="Times New Roman"/>
          <w:lang w:eastAsia="en-AU"/>
        </w:rPr>
        <w:t xml:space="preserve"> seeds may be conducted off</w:t>
      </w:r>
      <w:r w:rsidR="00E86241">
        <w:rPr>
          <w:rFonts w:ascii="Cambria" w:eastAsia="Times New Roman" w:hAnsi="Cambria" w:cs="Times New Roman"/>
          <w:lang w:eastAsia="en-AU"/>
        </w:rPr>
        <w:t>-</w:t>
      </w:r>
      <w:r>
        <w:rPr>
          <w:rFonts w:ascii="Cambria" w:eastAsia="Times New Roman" w:hAnsi="Cambria" w:cs="Times New Roman"/>
          <w:lang w:eastAsia="en-AU"/>
        </w:rPr>
        <w:t>shore or on</w:t>
      </w:r>
      <w:r w:rsidR="00E86241">
        <w:rPr>
          <w:rFonts w:ascii="Cambria" w:eastAsia="Times New Roman" w:hAnsi="Cambria" w:cs="Times New Roman"/>
          <w:lang w:eastAsia="en-AU"/>
        </w:rPr>
        <w:t>-</w:t>
      </w:r>
      <w:r>
        <w:rPr>
          <w:rFonts w:ascii="Cambria" w:eastAsia="Times New Roman" w:hAnsi="Cambria" w:cs="Times New Roman"/>
          <w:lang w:eastAsia="en-AU"/>
        </w:rPr>
        <w:t>shore. The department specified that this protocol be used as it is an internationally accepted method for detecting CGMMV.</w:t>
      </w:r>
    </w:p>
    <w:p w14:paraId="5FAF7A9F" w14:textId="77777777" w:rsidR="008163B6" w:rsidRDefault="00F709BD" w:rsidP="003911DD">
      <w:pPr>
        <w:autoSpaceDE w:val="0"/>
        <w:autoSpaceDN w:val="0"/>
        <w:adjustRightInd w:val="0"/>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Australia also notified trading partners that it was developing a PCR testing protocol that would eventually replace ELISA testing for CGMMV in seeds (</w:t>
      </w:r>
      <w:r>
        <w:rPr>
          <w:rFonts w:ascii="Cambria" w:eastAsia="Times New Roman" w:hAnsi="Cambria" w:cs="Times New Roman"/>
          <w:iCs/>
          <w:lang w:eastAsia="en-AU"/>
        </w:rPr>
        <w:t>G/SPS/N/AUS/347</w:t>
      </w:r>
      <w:r>
        <w:rPr>
          <w:rFonts w:ascii="Cambria" w:eastAsia="Times New Roman" w:hAnsi="Cambria" w:cs="Times New Roman"/>
          <w:lang w:eastAsia="en-AU"/>
        </w:rPr>
        <w:t xml:space="preserve">), but this would not be implemented until further notice (G/SPS/N/AUS/347/Add.2). </w:t>
      </w:r>
    </w:p>
    <w:p w14:paraId="6A001ADF" w14:textId="77777777" w:rsidR="008163B6" w:rsidRDefault="00F709BD" w:rsidP="003911DD">
      <w:pPr>
        <w:autoSpaceDE w:val="0"/>
        <w:autoSpaceDN w:val="0"/>
        <w:adjustRightInd w:val="0"/>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Australia proposes to continue to use the ISTA 7-026 ELISA testing protocol on 9,400 seeds as it is an internationally accepted method for detecting CGMMV in seeds and to date has been adequate in detecting CGMMV in seed lots imported into Australia. As further scientific information becomes available, Australia may review this testing method and propose an alternative method such as PCR, if appropriate. If this were to occur, trading partners would be notified through an SPS notification and a transition period would apply to minimise trade disruption.</w:t>
      </w:r>
    </w:p>
    <w:p w14:paraId="2113D98B" w14:textId="7F5D414E" w:rsidR="008163B6" w:rsidRDefault="00F709BD" w:rsidP="008163B6">
      <w:pPr>
        <w:pStyle w:val="Heading4"/>
        <w:numPr>
          <w:ilvl w:val="0"/>
          <w:numId w:val="41"/>
        </w:numPr>
        <w:spacing w:before="160"/>
        <w:rPr>
          <w:sz w:val="21"/>
          <w:szCs w:val="21"/>
        </w:rPr>
      </w:pPr>
      <w:r>
        <w:rPr>
          <w:sz w:val="21"/>
          <w:szCs w:val="21"/>
        </w:rPr>
        <w:t xml:space="preserve">Sample size of 9,400 seeds </w:t>
      </w:r>
      <w:r w:rsidR="00995B26">
        <w:rPr>
          <w:sz w:val="21"/>
          <w:szCs w:val="21"/>
        </w:rPr>
        <w:t>for commercial seed lots</w:t>
      </w:r>
    </w:p>
    <w:p w14:paraId="7C4D9369" w14:textId="5F70E7BC"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 xml:space="preserve">The emergency measures require a 9,400 seed sample for CGMMV testing using the ISTA 7-026 protocol. This sample size is consistent with the ISTA protocol, which recommends that a </w:t>
      </w:r>
      <w:r>
        <w:rPr>
          <w:rFonts w:ascii="Cambria" w:eastAsia="Times New Roman" w:hAnsi="Cambria" w:cs="Times New Roman"/>
          <w:b/>
          <w:lang w:eastAsia="en-AU"/>
        </w:rPr>
        <w:t>minimum</w:t>
      </w:r>
      <w:r>
        <w:rPr>
          <w:rFonts w:ascii="Cambria" w:eastAsia="Times New Roman" w:hAnsi="Cambria" w:cs="Times New Roman"/>
          <w:lang w:eastAsia="en-AU"/>
        </w:rPr>
        <w:t xml:space="preserve"> of 2,000 seeds be sampled for testing and does not specify an upper limit for the sample size. </w:t>
      </w:r>
      <w:r>
        <w:rPr>
          <w:rFonts w:ascii="Cambria" w:eastAsia="Times New Roman" w:hAnsi="Cambria" w:cs="Times New Roman"/>
          <w:color w:val="000000"/>
          <w:lang w:eastAsia="en-AU"/>
        </w:rPr>
        <w:t>To detect infected seeds in seed lots that are contaminated at very low levels, large numbers of seed</w:t>
      </w:r>
      <w:r w:rsidR="002B7E41">
        <w:rPr>
          <w:rFonts w:ascii="Cambria" w:eastAsia="Times New Roman" w:hAnsi="Cambria" w:cs="Times New Roman"/>
          <w:color w:val="000000"/>
          <w:lang w:eastAsia="en-AU"/>
        </w:rPr>
        <w:t>s</w:t>
      </w:r>
      <w:r>
        <w:rPr>
          <w:rFonts w:ascii="Cambria" w:eastAsia="Times New Roman" w:hAnsi="Cambria" w:cs="Times New Roman"/>
          <w:color w:val="000000"/>
          <w:lang w:eastAsia="en-AU"/>
        </w:rPr>
        <w:t xml:space="preserve"> need to be tested. Any infected seed has the potential to cause an outbreak. </w:t>
      </w:r>
      <w:r>
        <w:rPr>
          <w:rFonts w:ascii="Cambria" w:eastAsia="Times New Roman" w:hAnsi="Cambria" w:cs="Times New Roman"/>
          <w:lang w:eastAsia="en-AU"/>
        </w:rPr>
        <w:t xml:space="preserve">The ISTA 7-026 protocol uses a minimum 2,000 seed sample size and achieves a 95 percent level of confidence for detecting infected seeds, if the infected seeds make up at least 0.15 percent of a seed lot. However, departmental specialists have </w:t>
      </w:r>
      <w:r w:rsidR="00577FCB">
        <w:rPr>
          <w:rFonts w:ascii="Cambria" w:eastAsia="Times New Roman" w:hAnsi="Cambria" w:cs="Times New Roman"/>
          <w:lang w:eastAsia="en-AU"/>
        </w:rPr>
        <w:t xml:space="preserve">examined </w:t>
      </w:r>
      <w:r>
        <w:rPr>
          <w:rFonts w:ascii="Cambria" w:eastAsia="Times New Roman" w:hAnsi="Cambria" w:cs="Times New Roman"/>
          <w:lang w:eastAsia="en-AU"/>
        </w:rPr>
        <w:t>the statistical level of confidence for a 2,000 seed sample and found that it reduces appreciably if the level of contamination is much smaller than 0.15 percent.</w:t>
      </w:r>
    </w:p>
    <w:p w14:paraId="471D2BBD" w14:textId="192F7C46"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The 9,400 seed sample was chosen for several reasons, including empirical findings and statistical and operation</w:t>
      </w:r>
      <w:r w:rsidR="009B71B3">
        <w:rPr>
          <w:rFonts w:ascii="Cambria" w:eastAsia="Times New Roman" w:hAnsi="Cambria" w:cs="Times New Roman"/>
          <w:lang w:eastAsia="en-AU"/>
        </w:rPr>
        <w:t>al</w:t>
      </w:r>
      <w:r>
        <w:rPr>
          <w:rFonts w:ascii="Cambria" w:eastAsia="Times New Roman" w:hAnsi="Cambria" w:cs="Times New Roman"/>
          <w:lang w:eastAsia="en-AU"/>
        </w:rPr>
        <w:t xml:space="preserve"> reasons, consistent with ISPM </w:t>
      </w:r>
      <w:r w:rsidR="003B1EF1">
        <w:rPr>
          <w:rFonts w:ascii="Cambria" w:eastAsia="Times New Roman" w:hAnsi="Cambria" w:cs="Times New Roman"/>
          <w:lang w:eastAsia="en-AU"/>
        </w:rPr>
        <w:t xml:space="preserve">No. </w:t>
      </w:r>
      <w:r>
        <w:rPr>
          <w:rFonts w:ascii="Cambria" w:eastAsia="Times New Roman" w:hAnsi="Cambria" w:cs="Times New Roman"/>
          <w:lang w:eastAsia="en-AU"/>
        </w:rPr>
        <w:t>31 (FAO 20</w:t>
      </w:r>
      <w:r w:rsidR="003E619C">
        <w:rPr>
          <w:rFonts w:ascii="Cambria" w:eastAsia="Times New Roman" w:hAnsi="Cambria" w:cs="Times New Roman"/>
          <w:lang w:eastAsia="en-AU"/>
        </w:rPr>
        <w:t>11c</w:t>
      </w:r>
      <w:r>
        <w:rPr>
          <w:rFonts w:ascii="Cambria" w:eastAsia="Times New Roman" w:hAnsi="Cambria" w:cs="Times New Roman"/>
          <w:lang w:eastAsia="en-AU"/>
        </w:rPr>
        <w:t xml:space="preserve">). ISPM </w:t>
      </w:r>
      <w:r w:rsidR="003B1EF1">
        <w:rPr>
          <w:rFonts w:ascii="Cambria" w:eastAsia="Times New Roman" w:hAnsi="Cambria" w:cs="Times New Roman"/>
          <w:lang w:eastAsia="en-AU"/>
        </w:rPr>
        <w:t>No. </w:t>
      </w:r>
      <w:r>
        <w:rPr>
          <w:rFonts w:ascii="Cambria" w:eastAsia="Times New Roman" w:hAnsi="Cambria" w:cs="Times New Roman"/>
          <w:lang w:eastAsia="en-AU"/>
        </w:rPr>
        <w:t>31 indicates that statistical estimation is appropriate using a hypergeometric distribution. Using a hypergeometric distribution and a seed lot of 100,000 seeds, when 9,400 seeds are tested, there is a 99 percent confidence level for the detection of an i</w:t>
      </w:r>
      <w:r w:rsidR="002B7E41">
        <w:rPr>
          <w:rFonts w:ascii="Cambria" w:eastAsia="Times New Roman" w:hAnsi="Cambria" w:cs="Times New Roman"/>
          <w:lang w:eastAsia="en-AU"/>
        </w:rPr>
        <w:t>nfection rate of 0.05 percent (one</w:t>
      </w:r>
      <w:r>
        <w:rPr>
          <w:rFonts w:ascii="Cambria" w:eastAsia="Times New Roman" w:hAnsi="Cambria" w:cs="Times New Roman"/>
          <w:lang w:eastAsia="en-AU"/>
        </w:rPr>
        <w:t xml:space="preserve"> infected seed in 2,000 seeds). When 2,000 seeds of a 100,000 seed lot are tested, this confidence level drops to 63 percent for the detection of an infecti</w:t>
      </w:r>
      <w:r w:rsidR="002A0C1F">
        <w:rPr>
          <w:rFonts w:ascii="Cambria" w:eastAsia="Times New Roman" w:hAnsi="Cambria" w:cs="Times New Roman"/>
          <w:lang w:eastAsia="en-AU"/>
        </w:rPr>
        <w:t>on rate of 0.05 percent. Table 9</w:t>
      </w:r>
      <w:r>
        <w:rPr>
          <w:rFonts w:ascii="Cambria" w:eastAsia="Times New Roman" w:hAnsi="Cambria" w:cs="Times New Roman"/>
          <w:lang w:eastAsia="en-AU"/>
        </w:rPr>
        <w:t xml:space="preserve"> illustrates the additional reliability achieved by sampling 9,400 seeds. The figures in the tables were calculated statistically</w:t>
      </w:r>
      <w:r w:rsidR="002B7E41">
        <w:rPr>
          <w:rFonts w:ascii="Cambria" w:eastAsia="Times New Roman" w:hAnsi="Cambria" w:cs="Times New Roman"/>
          <w:lang w:eastAsia="en-AU"/>
        </w:rPr>
        <w:t>. R</w:t>
      </w:r>
      <w:r>
        <w:rPr>
          <w:rFonts w:ascii="Cambria" w:eastAsia="Times New Roman" w:hAnsi="Cambria" w:cs="Times New Roman"/>
          <w:lang w:eastAsia="en-AU"/>
        </w:rPr>
        <w:t>eliability is equated with the detection o</w:t>
      </w:r>
      <w:r w:rsidR="0039342A">
        <w:rPr>
          <w:rFonts w:ascii="Cambria" w:eastAsia="Times New Roman" w:hAnsi="Cambria" w:cs="Times New Roman"/>
          <w:lang w:eastAsia="en-AU"/>
        </w:rPr>
        <w:t>f lower levels of contamination;</w:t>
      </w:r>
      <w:r>
        <w:rPr>
          <w:rFonts w:ascii="Cambria" w:eastAsia="Times New Roman" w:hAnsi="Cambria" w:cs="Times New Roman"/>
          <w:lang w:eastAsia="en-AU"/>
        </w:rPr>
        <w:t xml:space="preserve"> that is</w:t>
      </w:r>
      <w:r w:rsidR="0039342A">
        <w:rPr>
          <w:rFonts w:ascii="Cambria" w:eastAsia="Times New Roman" w:hAnsi="Cambria" w:cs="Times New Roman"/>
          <w:lang w:eastAsia="en-AU"/>
        </w:rPr>
        <w:t>,</w:t>
      </w:r>
      <w:r>
        <w:rPr>
          <w:rFonts w:ascii="Cambria" w:eastAsia="Times New Roman" w:hAnsi="Cambria" w:cs="Times New Roman"/>
          <w:lang w:eastAsia="en-AU"/>
        </w:rPr>
        <w:t xml:space="preserve"> fewer infected seeds in a lot. </w:t>
      </w:r>
    </w:p>
    <w:p w14:paraId="4523D098" w14:textId="7758FA88" w:rsidR="008163B6" w:rsidRDefault="00F709BD" w:rsidP="00DD6194">
      <w:pPr>
        <w:pStyle w:val="Caption"/>
        <w:ind w:left="357"/>
        <w:rPr>
          <w:rFonts w:asciiTheme="majorHAnsi" w:eastAsiaTheme="majorEastAsia" w:hAnsiTheme="majorHAnsi" w:cstheme="majorBidi"/>
          <w:color w:val="595959" w:themeColor="text1" w:themeTint="A6"/>
          <w:sz w:val="20"/>
        </w:rPr>
      </w:pPr>
      <w:bookmarkStart w:id="294" w:name="_Toc434315842"/>
      <w:bookmarkStart w:id="295" w:name="_Toc438132883"/>
      <w:bookmarkStart w:id="296" w:name="_Toc438202168"/>
      <w:bookmarkStart w:id="297" w:name="_Toc438549551"/>
      <w:bookmarkStart w:id="298" w:name="_Toc439661117"/>
      <w:bookmarkStart w:id="299" w:name="_Toc447541255"/>
      <w:bookmarkStart w:id="300" w:name="_Toc447541274"/>
      <w:r>
        <w:rPr>
          <w:rFonts w:asciiTheme="majorHAnsi" w:eastAsiaTheme="majorEastAsia" w:hAnsiTheme="majorHAnsi" w:cstheme="majorBidi"/>
          <w:color w:val="595959" w:themeColor="text1" w:themeTint="A6"/>
          <w:sz w:val="20"/>
        </w:rPr>
        <w:t xml:space="preserve">Table </w:t>
      </w:r>
      <w:r w:rsidR="002A0C1F">
        <w:rPr>
          <w:rFonts w:asciiTheme="majorHAnsi" w:eastAsiaTheme="majorEastAsia" w:hAnsiTheme="majorHAnsi" w:cstheme="majorBidi"/>
          <w:color w:val="595959" w:themeColor="text1" w:themeTint="A6"/>
          <w:sz w:val="20"/>
        </w:rPr>
        <w:t>9</w:t>
      </w:r>
      <w:r>
        <w:rPr>
          <w:rFonts w:asciiTheme="majorHAnsi" w:eastAsiaTheme="majorEastAsia" w:hAnsiTheme="majorHAnsi" w:cstheme="majorBidi"/>
          <w:color w:val="595959" w:themeColor="text1" w:themeTint="A6"/>
          <w:sz w:val="20"/>
        </w:rPr>
        <w:t xml:space="preserve"> Effect of seed sample size on the confidence level in detecting infected seeds</w:t>
      </w:r>
      <w:bookmarkEnd w:id="294"/>
      <w:bookmarkEnd w:id="295"/>
      <w:bookmarkEnd w:id="296"/>
      <w:bookmarkEnd w:id="297"/>
      <w:bookmarkEnd w:id="298"/>
      <w:bookmarkEnd w:id="299"/>
      <w:bookmarkEnd w:id="300"/>
    </w:p>
    <w:tbl>
      <w:tblPr>
        <w:tblStyle w:val="TableGrid10"/>
        <w:tblW w:w="8863"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3221"/>
        <w:gridCol w:w="3193"/>
      </w:tblGrid>
      <w:tr w:rsidR="008163B6" w14:paraId="6C27274A" w14:textId="77777777" w:rsidTr="002B7E41">
        <w:trPr>
          <w:trHeight w:val="300"/>
          <w:jc w:val="center"/>
        </w:trPr>
        <w:tc>
          <w:tcPr>
            <w:tcW w:w="2449" w:type="dxa"/>
            <w:tcBorders>
              <w:top w:val="single" w:sz="4" w:space="0" w:color="auto"/>
              <w:bottom w:val="single" w:sz="4" w:space="0" w:color="auto"/>
            </w:tcBorders>
            <w:noWrap/>
            <w:hideMark/>
          </w:tcPr>
          <w:p w14:paraId="0A063662" w14:textId="77777777" w:rsidR="008163B6" w:rsidRDefault="00F709BD">
            <w:pPr>
              <w:keepNext/>
              <w:spacing w:after="0" w:line="240" w:lineRule="auto"/>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Number of infected seeds in 100,000 seed lot</w:t>
            </w:r>
          </w:p>
        </w:tc>
        <w:tc>
          <w:tcPr>
            <w:tcW w:w="3221" w:type="dxa"/>
            <w:tcBorders>
              <w:top w:val="single" w:sz="4" w:space="0" w:color="auto"/>
              <w:bottom w:val="single" w:sz="4" w:space="0" w:color="auto"/>
            </w:tcBorders>
            <w:noWrap/>
            <w:hideMark/>
          </w:tcPr>
          <w:p w14:paraId="2B60F4F1" w14:textId="77777777" w:rsidR="008163B6" w:rsidRDefault="00F709BD">
            <w:pPr>
              <w:keepNext/>
              <w:spacing w:after="0" w:line="240" w:lineRule="auto"/>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 xml:space="preserve">Confidence level to detect in 100,000 using a 2,000 seed sample </w:t>
            </w:r>
          </w:p>
        </w:tc>
        <w:tc>
          <w:tcPr>
            <w:tcW w:w="3193" w:type="dxa"/>
            <w:tcBorders>
              <w:top w:val="single" w:sz="4" w:space="0" w:color="auto"/>
              <w:bottom w:val="single" w:sz="4" w:space="0" w:color="auto"/>
            </w:tcBorders>
            <w:noWrap/>
            <w:hideMark/>
          </w:tcPr>
          <w:p w14:paraId="41A182E3" w14:textId="77777777" w:rsidR="008163B6" w:rsidRDefault="00F709BD">
            <w:pPr>
              <w:keepNext/>
              <w:spacing w:after="0" w:line="240" w:lineRule="auto"/>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Confidence level to detect in 100,000 using a 9,400 seed sample</w:t>
            </w:r>
          </w:p>
        </w:tc>
      </w:tr>
      <w:tr w:rsidR="008163B6" w14:paraId="31FB9E1C" w14:textId="77777777" w:rsidTr="002B7E41">
        <w:trPr>
          <w:trHeight w:val="300"/>
          <w:jc w:val="center"/>
        </w:trPr>
        <w:tc>
          <w:tcPr>
            <w:tcW w:w="2449" w:type="dxa"/>
            <w:tcBorders>
              <w:top w:val="single" w:sz="4" w:space="0" w:color="auto"/>
            </w:tcBorders>
            <w:noWrap/>
            <w:hideMark/>
          </w:tcPr>
          <w:p w14:paraId="351B202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150</w:t>
            </w:r>
          </w:p>
        </w:tc>
        <w:tc>
          <w:tcPr>
            <w:tcW w:w="3221" w:type="dxa"/>
            <w:tcBorders>
              <w:top w:val="single" w:sz="4" w:space="0" w:color="auto"/>
            </w:tcBorders>
            <w:noWrap/>
            <w:hideMark/>
          </w:tcPr>
          <w:p w14:paraId="6CACF26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0.951814</w:t>
            </w:r>
          </w:p>
        </w:tc>
        <w:tc>
          <w:tcPr>
            <w:tcW w:w="3193" w:type="dxa"/>
            <w:tcBorders>
              <w:top w:val="single" w:sz="4" w:space="0" w:color="auto"/>
            </w:tcBorders>
            <w:noWrap/>
            <w:hideMark/>
          </w:tcPr>
          <w:p w14:paraId="41DC0D6B"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w:t>
            </w:r>
          </w:p>
        </w:tc>
      </w:tr>
      <w:tr w:rsidR="008163B6" w14:paraId="603F9417" w14:textId="77777777" w:rsidTr="002B7E41">
        <w:trPr>
          <w:trHeight w:val="300"/>
          <w:jc w:val="center"/>
        </w:trPr>
        <w:tc>
          <w:tcPr>
            <w:tcW w:w="2449" w:type="dxa"/>
            <w:noWrap/>
            <w:hideMark/>
          </w:tcPr>
          <w:p w14:paraId="1CED62A7"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140</w:t>
            </w:r>
          </w:p>
        </w:tc>
        <w:tc>
          <w:tcPr>
            <w:tcW w:w="3221" w:type="dxa"/>
            <w:noWrap/>
            <w:hideMark/>
          </w:tcPr>
          <w:p w14:paraId="59EE6946"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0.941009</w:t>
            </w:r>
          </w:p>
        </w:tc>
        <w:tc>
          <w:tcPr>
            <w:tcW w:w="3193" w:type="dxa"/>
            <w:noWrap/>
            <w:hideMark/>
          </w:tcPr>
          <w:p w14:paraId="2A497CA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0.999999</w:t>
            </w:r>
          </w:p>
        </w:tc>
      </w:tr>
      <w:tr w:rsidR="008163B6" w14:paraId="608C126B" w14:textId="77777777" w:rsidTr="002B7E41">
        <w:trPr>
          <w:trHeight w:val="300"/>
          <w:jc w:val="center"/>
        </w:trPr>
        <w:tc>
          <w:tcPr>
            <w:tcW w:w="2449" w:type="dxa"/>
            <w:noWrap/>
            <w:hideMark/>
          </w:tcPr>
          <w:p w14:paraId="02212182"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130</w:t>
            </w:r>
          </w:p>
        </w:tc>
        <w:tc>
          <w:tcPr>
            <w:tcW w:w="3221" w:type="dxa"/>
            <w:noWrap/>
            <w:hideMark/>
          </w:tcPr>
          <w:p w14:paraId="4C0F21F6"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0.927782</w:t>
            </w:r>
          </w:p>
        </w:tc>
        <w:tc>
          <w:tcPr>
            <w:tcW w:w="3193" w:type="dxa"/>
            <w:noWrap/>
            <w:hideMark/>
          </w:tcPr>
          <w:p w14:paraId="7B96BAE0"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0.999997</w:t>
            </w:r>
          </w:p>
        </w:tc>
      </w:tr>
      <w:tr w:rsidR="008163B6" w14:paraId="0A4B9F2D" w14:textId="77777777" w:rsidTr="002B7E41">
        <w:trPr>
          <w:trHeight w:val="300"/>
          <w:jc w:val="center"/>
        </w:trPr>
        <w:tc>
          <w:tcPr>
            <w:tcW w:w="2449" w:type="dxa"/>
            <w:noWrap/>
            <w:hideMark/>
          </w:tcPr>
          <w:p w14:paraId="78AB7433"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120</w:t>
            </w:r>
          </w:p>
        </w:tc>
        <w:tc>
          <w:tcPr>
            <w:tcW w:w="3221" w:type="dxa"/>
            <w:noWrap/>
            <w:hideMark/>
          </w:tcPr>
          <w:p w14:paraId="6495C6DB"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0.911591</w:t>
            </w:r>
          </w:p>
        </w:tc>
        <w:tc>
          <w:tcPr>
            <w:tcW w:w="3193" w:type="dxa"/>
            <w:noWrap/>
            <w:hideMark/>
          </w:tcPr>
          <w:p w14:paraId="60FAA2FD"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0.999993</w:t>
            </w:r>
          </w:p>
        </w:tc>
      </w:tr>
      <w:tr w:rsidR="008163B6" w14:paraId="0A785476" w14:textId="77777777" w:rsidTr="002B7E41">
        <w:trPr>
          <w:trHeight w:val="300"/>
          <w:jc w:val="center"/>
        </w:trPr>
        <w:tc>
          <w:tcPr>
            <w:tcW w:w="2449" w:type="dxa"/>
            <w:noWrap/>
            <w:hideMark/>
          </w:tcPr>
          <w:p w14:paraId="12263DF8"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110</w:t>
            </w:r>
          </w:p>
        </w:tc>
        <w:tc>
          <w:tcPr>
            <w:tcW w:w="3221" w:type="dxa"/>
            <w:noWrap/>
            <w:hideMark/>
          </w:tcPr>
          <w:p w14:paraId="6024048B"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0.891773</w:t>
            </w:r>
          </w:p>
        </w:tc>
        <w:tc>
          <w:tcPr>
            <w:tcW w:w="3193" w:type="dxa"/>
            <w:noWrap/>
            <w:hideMark/>
          </w:tcPr>
          <w:p w14:paraId="60CF4433"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0.999981</w:t>
            </w:r>
          </w:p>
        </w:tc>
      </w:tr>
      <w:tr w:rsidR="008163B6" w14:paraId="1B580856" w14:textId="77777777" w:rsidTr="002B7E41">
        <w:trPr>
          <w:trHeight w:val="300"/>
          <w:jc w:val="center"/>
        </w:trPr>
        <w:tc>
          <w:tcPr>
            <w:tcW w:w="2449" w:type="dxa"/>
            <w:noWrap/>
            <w:hideMark/>
          </w:tcPr>
          <w:p w14:paraId="454CF6F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100</w:t>
            </w:r>
          </w:p>
        </w:tc>
        <w:tc>
          <w:tcPr>
            <w:tcW w:w="3221" w:type="dxa"/>
            <w:noWrap/>
            <w:hideMark/>
          </w:tcPr>
          <w:p w14:paraId="34ABB2EE"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0.867514</w:t>
            </w:r>
          </w:p>
        </w:tc>
        <w:tc>
          <w:tcPr>
            <w:tcW w:w="3193" w:type="dxa"/>
            <w:noWrap/>
            <w:hideMark/>
          </w:tcPr>
          <w:p w14:paraId="39FC33B2"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0.999949</w:t>
            </w:r>
          </w:p>
        </w:tc>
      </w:tr>
      <w:tr w:rsidR="008163B6" w14:paraId="1FEC2F8E" w14:textId="77777777" w:rsidTr="002B7E41">
        <w:trPr>
          <w:trHeight w:val="300"/>
          <w:jc w:val="center"/>
        </w:trPr>
        <w:tc>
          <w:tcPr>
            <w:tcW w:w="2449" w:type="dxa"/>
            <w:noWrap/>
            <w:hideMark/>
          </w:tcPr>
          <w:p w14:paraId="1B448876"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90</w:t>
            </w:r>
          </w:p>
        </w:tc>
        <w:tc>
          <w:tcPr>
            <w:tcW w:w="3221" w:type="dxa"/>
            <w:noWrap/>
            <w:hideMark/>
          </w:tcPr>
          <w:p w14:paraId="2F33D9B4"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0.837822</w:t>
            </w:r>
          </w:p>
        </w:tc>
        <w:tc>
          <w:tcPr>
            <w:tcW w:w="3193" w:type="dxa"/>
            <w:noWrap/>
            <w:hideMark/>
          </w:tcPr>
          <w:p w14:paraId="7333A920"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0.999862</w:t>
            </w:r>
          </w:p>
        </w:tc>
      </w:tr>
      <w:tr w:rsidR="008163B6" w14:paraId="3237CAE9" w14:textId="77777777" w:rsidTr="002B7E41">
        <w:trPr>
          <w:trHeight w:val="300"/>
          <w:jc w:val="center"/>
        </w:trPr>
        <w:tc>
          <w:tcPr>
            <w:tcW w:w="2449" w:type="dxa"/>
            <w:noWrap/>
            <w:hideMark/>
          </w:tcPr>
          <w:p w14:paraId="42E92909"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80</w:t>
            </w:r>
          </w:p>
        </w:tc>
        <w:tc>
          <w:tcPr>
            <w:tcW w:w="3221" w:type="dxa"/>
            <w:noWrap/>
            <w:hideMark/>
          </w:tcPr>
          <w:p w14:paraId="05D81EEE"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0.801479</w:t>
            </w:r>
          </w:p>
        </w:tc>
        <w:tc>
          <w:tcPr>
            <w:tcW w:w="3193" w:type="dxa"/>
            <w:noWrap/>
            <w:hideMark/>
          </w:tcPr>
          <w:p w14:paraId="4F275013"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0.999629</w:t>
            </w:r>
          </w:p>
        </w:tc>
      </w:tr>
      <w:tr w:rsidR="008163B6" w14:paraId="68707109" w14:textId="77777777" w:rsidTr="002B7E41">
        <w:trPr>
          <w:trHeight w:val="300"/>
          <w:jc w:val="center"/>
        </w:trPr>
        <w:tc>
          <w:tcPr>
            <w:tcW w:w="2449" w:type="dxa"/>
            <w:noWrap/>
            <w:hideMark/>
          </w:tcPr>
          <w:p w14:paraId="2170169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70</w:t>
            </w:r>
          </w:p>
        </w:tc>
        <w:tc>
          <w:tcPr>
            <w:tcW w:w="3221" w:type="dxa"/>
            <w:noWrap/>
            <w:hideMark/>
          </w:tcPr>
          <w:p w14:paraId="641FD022"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0.756997</w:t>
            </w:r>
          </w:p>
        </w:tc>
        <w:tc>
          <w:tcPr>
            <w:tcW w:w="3193" w:type="dxa"/>
            <w:noWrap/>
            <w:hideMark/>
          </w:tcPr>
          <w:p w14:paraId="33809F6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0.999005</w:t>
            </w:r>
          </w:p>
        </w:tc>
      </w:tr>
      <w:tr w:rsidR="008163B6" w14:paraId="250865E2" w14:textId="77777777" w:rsidTr="002B7E41">
        <w:trPr>
          <w:trHeight w:val="300"/>
          <w:jc w:val="center"/>
        </w:trPr>
        <w:tc>
          <w:tcPr>
            <w:tcW w:w="2449" w:type="dxa"/>
            <w:noWrap/>
            <w:hideMark/>
          </w:tcPr>
          <w:p w14:paraId="3CAD43B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60</w:t>
            </w:r>
          </w:p>
        </w:tc>
        <w:tc>
          <w:tcPr>
            <w:tcW w:w="3221" w:type="dxa"/>
            <w:noWrap/>
            <w:hideMark/>
          </w:tcPr>
          <w:p w14:paraId="5E0B3DA2"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0.702554</w:t>
            </w:r>
          </w:p>
        </w:tc>
        <w:tc>
          <w:tcPr>
            <w:tcW w:w="3193" w:type="dxa"/>
            <w:noWrap/>
            <w:hideMark/>
          </w:tcPr>
          <w:p w14:paraId="7048699B"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0.997328</w:t>
            </w:r>
          </w:p>
        </w:tc>
      </w:tr>
      <w:tr w:rsidR="008163B6" w14:paraId="67DF8002" w14:textId="77777777" w:rsidTr="002B7E41">
        <w:trPr>
          <w:trHeight w:val="300"/>
          <w:jc w:val="center"/>
        </w:trPr>
        <w:tc>
          <w:tcPr>
            <w:tcW w:w="2449" w:type="dxa"/>
            <w:noWrap/>
            <w:hideMark/>
          </w:tcPr>
          <w:p w14:paraId="4E394B4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50</w:t>
            </w:r>
          </w:p>
        </w:tc>
        <w:tc>
          <w:tcPr>
            <w:tcW w:w="3221" w:type="dxa"/>
            <w:noWrap/>
            <w:hideMark/>
          </w:tcPr>
          <w:p w14:paraId="07096A71"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0.635921</w:t>
            </w:r>
          </w:p>
        </w:tc>
        <w:tc>
          <w:tcPr>
            <w:tcW w:w="3193" w:type="dxa"/>
            <w:noWrap/>
            <w:hideMark/>
          </w:tcPr>
          <w:p w14:paraId="0F451266"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0.992824</w:t>
            </w:r>
          </w:p>
        </w:tc>
      </w:tr>
      <w:tr w:rsidR="008163B6" w14:paraId="7148AAB3" w14:textId="77777777" w:rsidTr="002B7E41">
        <w:trPr>
          <w:trHeight w:val="300"/>
          <w:jc w:val="center"/>
        </w:trPr>
        <w:tc>
          <w:tcPr>
            <w:tcW w:w="2449" w:type="dxa"/>
            <w:noWrap/>
            <w:hideMark/>
          </w:tcPr>
          <w:p w14:paraId="043ECC5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40</w:t>
            </w:r>
          </w:p>
        </w:tc>
        <w:tc>
          <w:tcPr>
            <w:tcW w:w="3221" w:type="dxa"/>
            <w:noWrap/>
            <w:hideMark/>
          </w:tcPr>
          <w:p w14:paraId="7831992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0.554371</w:t>
            </w:r>
          </w:p>
        </w:tc>
        <w:tc>
          <w:tcPr>
            <w:tcW w:w="3193" w:type="dxa"/>
            <w:noWrap/>
            <w:hideMark/>
          </w:tcPr>
          <w:p w14:paraId="21CDDA9E"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0.980735</w:t>
            </w:r>
          </w:p>
        </w:tc>
      </w:tr>
      <w:tr w:rsidR="008163B6" w14:paraId="5777DEEA" w14:textId="77777777" w:rsidTr="002B7E41">
        <w:trPr>
          <w:trHeight w:val="300"/>
          <w:jc w:val="center"/>
        </w:trPr>
        <w:tc>
          <w:tcPr>
            <w:tcW w:w="2449" w:type="dxa"/>
            <w:noWrap/>
            <w:hideMark/>
          </w:tcPr>
          <w:p w14:paraId="0BC983ED"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30</w:t>
            </w:r>
          </w:p>
        </w:tc>
        <w:tc>
          <w:tcPr>
            <w:tcW w:w="3221" w:type="dxa"/>
            <w:noWrap/>
            <w:hideMark/>
          </w:tcPr>
          <w:p w14:paraId="4CD6C7FB"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0.454564</w:t>
            </w:r>
          </w:p>
        </w:tc>
        <w:tc>
          <w:tcPr>
            <w:tcW w:w="3193" w:type="dxa"/>
            <w:noWrap/>
            <w:hideMark/>
          </w:tcPr>
          <w:p w14:paraId="66C2BA74"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0.948281</w:t>
            </w:r>
          </w:p>
        </w:tc>
      </w:tr>
      <w:tr w:rsidR="008163B6" w14:paraId="5BE19702" w14:textId="77777777" w:rsidTr="002B7E41">
        <w:trPr>
          <w:trHeight w:val="300"/>
          <w:jc w:val="center"/>
        </w:trPr>
        <w:tc>
          <w:tcPr>
            <w:tcW w:w="2449" w:type="dxa"/>
            <w:noWrap/>
            <w:hideMark/>
          </w:tcPr>
          <w:p w14:paraId="2CAF8AA1"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20</w:t>
            </w:r>
          </w:p>
        </w:tc>
        <w:tc>
          <w:tcPr>
            <w:tcW w:w="3221" w:type="dxa"/>
            <w:noWrap/>
            <w:hideMark/>
          </w:tcPr>
          <w:p w14:paraId="6566113C"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0.332418</w:t>
            </w:r>
          </w:p>
        </w:tc>
        <w:tc>
          <w:tcPr>
            <w:tcW w:w="3193" w:type="dxa"/>
            <w:noWrap/>
            <w:hideMark/>
          </w:tcPr>
          <w:p w14:paraId="17B02755"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0.861172</w:t>
            </w:r>
          </w:p>
        </w:tc>
      </w:tr>
      <w:tr w:rsidR="008163B6" w14:paraId="0977D577" w14:textId="77777777" w:rsidTr="002B7E41">
        <w:trPr>
          <w:trHeight w:val="300"/>
          <w:jc w:val="center"/>
        </w:trPr>
        <w:tc>
          <w:tcPr>
            <w:tcW w:w="2449" w:type="dxa"/>
            <w:noWrap/>
            <w:hideMark/>
          </w:tcPr>
          <w:p w14:paraId="786B0B3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10</w:t>
            </w:r>
          </w:p>
        </w:tc>
        <w:tc>
          <w:tcPr>
            <w:tcW w:w="3221" w:type="dxa"/>
            <w:noWrap/>
            <w:hideMark/>
          </w:tcPr>
          <w:p w14:paraId="3D9AB8AA"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0.182935</w:t>
            </w:r>
          </w:p>
        </w:tc>
        <w:tc>
          <w:tcPr>
            <w:tcW w:w="3193" w:type="dxa"/>
            <w:noWrap/>
            <w:hideMark/>
          </w:tcPr>
          <w:p w14:paraId="73AB30B0" w14:textId="77777777" w:rsidR="008163B6" w:rsidRDefault="00F709BD">
            <w:pPr>
              <w:spacing w:after="0" w:line="240" w:lineRule="auto"/>
              <w:jc w:val="center"/>
              <w:rPr>
                <w:rFonts w:ascii="Cambria" w:eastAsia="Times New Roman" w:hAnsi="Cambria" w:cs="Times New Roman"/>
                <w:color w:val="000000"/>
                <w:sz w:val="20"/>
                <w:szCs w:val="20"/>
                <w:lang w:eastAsia="en-AU"/>
              </w:rPr>
            </w:pPr>
            <w:r>
              <w:rPr>
                <w:rFonts w:ascii="Cambria" w:eastAsia="Times New Roman" w:hAnsi="Cambria" w:cs="Times New Roman"/>
                <w:color w:val="000000"/>
                <w:sz w:val="20"/>
                <w:szCs w:val="20"/>
                <w:lang w:eastAsia="en-AU"/>
              </w:rPr>
              <w:t>0.627384</w:t>
            </w:r>
          </w:p>
        </w:tc>
      </w:tr>
    </w:tbl>
    <w:p w14:paraId="5544DDB7" w14:textId="5616C336"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color w:val="000000"/>
          <w:lang w:eastAsia="en-AU"/>
        </w:rPr>
        <w:t xml:space="preserve">Tests for other </w:t>
      </w:r>
      <w:r w:rsidR="00CC0813">
        <w:rPr>
          <w:rFonts w:ascii="Cambria" w:eastAsia="Times New Roman" w:hAnsi="Cambria" w:cs="Times New Roman"/>
          <w:color w:val="000000"/>
          <w:lang w:eastAsia="en-AU"/>
        </w:rPr>
        <w:t>seed-borne</w:t>
      </w:r>
      <w:r>
        <w:rPr>
          <w:rFonts w:ascii="Cambria" w:eastAsia="Times New Roman" w:hAnsi="Cambria" w:cs="Times New Roman"/>
          <w:color w:val="000000"/>
          <w:lang w:eastAsia="en-AU"/>
        </w:rPr>
        <w:t xml:space="preserve"> pathogens are </w:t>
      </w:r>
      <w:r w:rsidR="002B7E41">
        <w:rPr>
          <w:rFonts w:ascii="Cambria" w:eastAsia="Times New Roman" w:hAnsi="Cambria" w:cs="Times New Roman"/>
          <w:color w:val="000000"/>
          <w:lang w:eastAsia="en-AU"/>
        </w:rPr>
        <w:t xml:space="preserve">conducted </w:t>
      </w:r>
      <w:r>
        <w:rPr>
          <w:rFonts w:ascii="Cambria" w:eastAsia="Times New Roman" w:hAnsi="Cambria" w:cs="Times New Roman"/>
          <w:color w:val="000000"/>
          <w:lang w:eastAsia="en-AU"/>
        </w:rPr>
        <w:t xml:space="preserve">on samples </w:t>
      </w:r>
      <w:r w:rsidR="00F969F4">
        <w:rPr>
          <w:rFonts w:ascii="Cambria" w:eastAsia="Times New Roman" w:hAnsi="Cambria" w:cs="Times New Roman"/>
          <w:color w:val="000000"/>
          <w:lang w:eastAsia="en-AU"/>
        </w:rPr>
        <w:t xml:space="preserve">of </w:t>
      </w:r>
      <w:r>
        <w:rPr>
          <w:rFonts w:ascii="Cambria" w:eastAsia="Times New Roman" w:hAnsi="Cambria" w:cs="Times New Roman"/>
          <w:color w:val="000000"/>
          <w:lang w:eastAsia="en-AU"/>
        </w:rPr>
        <w:t xml:space="preserve">between 10,000 and 50,000 seeds to detect low levels of infection. For example, testing samples of 30,000 crucifer seeds is the industry standard for detecting </w:t>
      </w:r>
      <w:proofErr w:type="spellStart"/>
      <w:r>
        <w:rPr>
          <w:rFonts w:ascii="Cambria" w:eastAsia="Times New Roman" w:hAnsi="Cambria" w:cs="Times New Roman"/>
          <w:i/>
          <w:color w:val="000000"/>
          <w:lang w:eastAsia="en-AU"/>
        </w:rPr>
        <w:t>Xanthomonas</w:t>
      </w:r>
      <w:proofErr w:type="spellEnd"/>
      <w:r>
        <w:rPr>
          <w:rFonts w:ascii="Cambria" w:eastAsia="Times New Roman" w:hAnsi="Cambria" w:cs="Times New Roman"/>
          <w:i/>
          <w:color w:val="000000"/>
          <w:lang w:eastAsia="en-AU"/>
        </w:rPr>
        <w:t xml:space="preserve"> </w:t>
      </w:r>
      <w:proofErr w:type="spellStart"/>
      <w:r>
        <w:rPr>
          <w:rFonts w:ascii="Cambria" w:eastAsia="Times New Roman" w:hAnsi="Cambria" w:cs="Times New Roman"/>
          <w:i/>
          <w:color w:val="000000"/>
          <w:lang w:eastAsia="en-AU"/>
        </w:rPr>
        <w:t>campestris</w:t>
      </w:r>
      <w:proofErr w:type="spellEnd"/>
      <w:r>
        <w:rPr>
          <w:rFonts w:ascii="Cambria" w:eastAsia="Times New Roman" w:hAnsi="Cambria" w:cs="Times New Roman"/>
          <w:color w:val="000000"/>
          <w:lang w:eastAsia="en-AU"/>
        </w:rPr>
        <w:t xml:space="preserve"> </w:t>
      </w:r>
      <w:proofErr w:type="spellStart"/>
      <w:proofErr w:type="gramStart"/>
      <w:r>
        <w:rPr>
          <w:rFonts w:ascii="Cambria" w:eastAsia="Times New Roman" w:hAnsi="Cambria" w:cs="Times New Roman"/>
          <w:color w:val="000000"/>
          <w:lang w:eastAsia="en-AU"/>
        </w:rPr>
        <w:t>pv</w:t>
      </w:r>
      <w:proofErr w:type="spellEnd"/>
      <w:proofErr w:type="gramEnd"/>
      <w:r>
        <w:rPr>
          <w:rFonts w:ascii="Cambria" w:eastAsia="Times New Roman" w:hAnsi="Cambria" w:cs="Times New Roman"/>
          <w:color w:val="000000"/>
          <w:lang w:eastAsia="en-AU"/>
        </w:rPr>
        <w:t>.</w:t>
      </w:r>
      <w:r>
        <w:rPr>
          <w:rFonts w:ascii="Cambria" w:eastAsia="Times New Roman" w:hAnsi="Cambria" w:cs="Times New Roman"/>
          <w:i/>
          <w:color w:val="000000"/>
          <w:lang w:eastAsia="en-AU"/>
        </w:rPr>
        <w:t xml:space="preserve"> </w:t>
      </w:r>
      <w:proofErr w:type="spellStart"/>
      <w:proofErr w:type="gramStart"/>
      <w:r>
        <w:rPr>
          <w:rFonts w:ascii="Cambria" w:eastAsia="Times New Roman" w:hAnsi="Cambria" w:cs="Times New Roman"/>
          <w:i/>
          <w:color w:val="000000"/>
          <w:lang w:eastAsia="en-AU"/>
        </w:rPr>
        <w:t>campestris</w:t>
      </w:r>
      <w:proofErr w:type="spellEnd"/>
      <w:proofErr w:type="gramEnd"/>
      <w:r>
        <w:rPr>
          <w:rFonts w:ascii="Cambria" w:eastAsia="Times New Roman" w:hAnsi="Cambria" w:cs="Times New Roman"/>
          <w:color w:val="000000"/>
          <w:lang w:eastAsia="en-AU"/>
        </w:rPr>
        <w:t xml:space="preserve">, and 10,000 to 20,000 carrot seeds for detecting </w:t>
      </w:r>
      <w:proofErr w:type="spellStart"/>
      <w:r>
        <w:rPr>
          <w:rFonts w:ascii="Cambria" w:eastAsia="Times New Roman" w:hAnsi="Cambria" w:cs="Times New Roman"/>
          <w:i/>
          <w:color w:val="000000"/>
          <w:lang w:eastAsia="en-AU"/>
        </w:rPr>
        <w:t>Xanthomonas</w:t>
      </w:r>
      <w:proofErr w:type="spellEnd"/>
      <w:r>
        <w:rPr>
          <w:rFonts w:ascii="Cambria" w:eastAsia="Times New Roman" w:hAnsi="Cambria" w:cs="Times New Roman"/>
          <w:i/>
          <w:color w:val="000000"/>
          <w:lang w:eastAsia="en-AU"/>
        </w:rPr>
        <w:t xml:space="preserve"> </w:t>
      </w:r>
      <w:proofErr w:type="spellStart"/>
      <w:r>
        <w:rPr>
          <w:rFonts w:ascii="Cambria" w:eastAsia="Times New Roman" w:hAnsi="Cambria" w:cs="Times New Roman"/>
          <w:i/>
          <w:color w:val="000000"/>
          <w:lang w:eastAsia="en-AU"/>
        </w:rPr>
        <w:t>campestris</w:t>
      </w:r>
      <w:proofErr w:type="spellEnd"/>
      <w:r>
        <w:rPr>
          <w:rFonts w:ascii="Cambria" w:eastAsia="Times New Roman" w:hAnsi="Cambria" w:cs="Times New Roman"/>
          <w:color w:val="000000"/>
          <w:lang w:eastAsia="en-AU"/>
        </w:rPr>
        <w:t xml:space="preserve"> </w:t>
      </w:r>
      <w:proofErr w:type="spellStart"/>
      <w:r>
        <w:rPr>
          <w:rFonts w:ascii="Cambria" w:eastAsia="Times New Roman" w:hAnsi="Cambria" w:cs="Times New Roman"/>
          <w:color w:val="000000"/>
          <w:lang w:eastAsia="en-AU"/>
        </w:rPr>
        <w:t>pv</w:t>
      </w:r>
      <w:proofErr w:type="spellEnd"/>
      <w:r>
        <w:rPr>
          <w:rFonts w:ascii="Cambria" w:eastAsia="Times New Roman" w:hAnsi="Cambria" w:cs="Times New Roman"/>
          <w:color w:val="000000"/>
          <w:lang w:eastAsia="en-AU"/>
        </w:rPr>
        <w:t xml:space="preserve">. </w:t>
      </w:r>
      <w:proofErr w:type="spellStart"/>
      <w:proofErr w:type="gramStart"/>
      <w:r>
        <w:rPr>
          <w:rFonts w:ascii="Cambria" w:eastAsia="Times New Roman" w:hAnsi="Cambria" w:cs="Times New Roman"/>
          <w:i/>
          <w:color w:val="000000"/>
          <w:lang w:eastAsia="en-AU"/>
        </w:rPr>
        <w:t>carotae</w:t>
      </w:r>
      <w:proofErr w:type="spellEnd"/>
      <w:proofErr w:type="gramEnd"/>
      <w:r>
        <w:rPr>
          <w:rFonts w:ascii="Cambria" w:eastAsia="Times New Roman" w:hAnsi="Cambria" w:cs="Times New Roman"/>
          <w:color w:val="000000"/>
          <w:lang w:eastAsia="en-AU"/>
        </w:rPr>
        <w:t xml:space="preserve"> (APHIS 2001; De Boer et al. 2007). Testing samples of 20,000 bean seeds is the standard for detecting </w:t>
      </w:r>
      <w:r>
        <w:rPr>
          <w:rFonts w:ascii="Cambria" w:eastAsia="Times New Roman" w:hAnsi="Cambria" w:cs="Times New Roman"/>
          <w:i/>
          <w:color w:val="000000"/>
          <w:lang w:eastAsia="en-AU"/>
        </w:rPr>
        <w:t>Pseudomonas syringae</w:t>
      </w:r>
      <w:r>
        <w:rPr>
          <w:rFonts w:ascii="Cambria" w:eastAsia="Times New Roman" w:hAnsi="Cambria" w:cs="Times New Roman"/>
          <w:color w:val="000000"/>
          <w:lang w:eastAsia="en-AU"/>
        </w:rPr>
        <w:t xml:space="preserve"> </w:t>
      </w:r>
      <w:proofErr w:type="gramStart"/>
      <w:r>
        <w:rPr>
          <w:rFonts w:ascii="Cambria" w:eastAsia="Times New Roman" w:hAnsi="Cambria" w:cs="Times New Roman"/>
          <w:color w:val="000000"/>
          <w:lang w:eastAsia="en-AU"/>
        </w:rPr>
        <w:t>pv</w:t>
      </w:r>
      <w:proofErr w:type="gramEnd"/>
      <w:r>
        <w:rPr>
          <w:rFonts w:ascii="Cambria" w:eastAsia="Times New Roman" w:hAnsi="Cambria" w:cs="Times New Roman"/>
          <w:color w:val="000000"/>
          <w:lang w:eastAsia="en-AU"/>
        </w:rPr>
        <w:t xml:space="preserve">. </w:t>
      </w:r>
      <w:proofErr w:type="spellStart"/>
      <w:proofErr w:type="gramStart"/>
      <w:r>
        <w:rPr>
          <w:rFonts w:ascii="Cambria" w:eastAsia="Times New Roman" w:hAnsi="Cambria" w:cs="Times New Roman"/>
          <w:i/>
          <w:color w:val="000000"/>
          <w:lang w:eastAsia="en-AU"/>
        </w:rPr>
        <w:t>phaseolicola</w:t>
      </w:r>
      <w:proofErr w:type="spellEnd"/>
      <w:proofErr w:type="gramEnd"/>
      <w:r>
        <w:rPr>
          <w:rFonts w:ascii="Cambria" w:eastAsia="Times New Roman" w:hAnsi="Cambria" w:cs="Times New Roman"/>
          <w:i/>
          <w:color w:val="000000"/>
          <w:lang w:eastAsia="en-AU"/>
        </w:rPr>
        <w:t xml:space="preserve"> </w:t>
      </w:r>
      <w:r>
        <w:rPr>
          <w:rFonts w:ascii="Cambria" w:eastAsia="Times New Roman" w:hAnsi="Cambria" w:cs="Times New Roman"/>
          <w:color w:val="000000"/>
          <w:lang w:eastAsia="en-AU"/>
        </w:rPr>
        <w:t xml:space="preserve">(Agarwal &amp; Sinclair 1996). A test of 10,000 to 50,000 tomato seeds is used to detect </w:t>
      </w:r>
      <w:proofErr w:type="spellStart"/>
      <w:r>
        <w:rPr>
          <w:rFonts w:ascii="Cambria" w:eastAsia="Times New Roman" w:hAnsi="Cambria" w:cs="Times New Roman"/>
          <w:i/>
          <w:color w:val="000000"/>
          <w:lang w:eastAsia="en-AU"/>
        </w:rPr>
        <w:t>Clavibacter</w:t>
      </w:r>
      <w:proofErr w:type="spellEnd"/>
      <w:r>
        <w:rPr>
          <w:rFonts w:ascii="Cambria" w:eastAsia="Times New Roman" w:hAnsi="Cambria" w:cs="Times New Roman"/>
          <w:i/>
          <w:color w:val="000000"/>
          <w:lang w:eastAsia="en-AU"/>
        </w:rPr>
        <w:t xml:space="preserve"> </w:t>
      </w:r>
      <w:proofErr w:type="spellStart"/>
      <w:r>
        <w:rPr>
          <w:rFonts w:ascii="Cambria" w:eastAsia="Times New Roman" w:hAnsi="Cambria" w:cs="Times New Roman"/>
          <w:i/>
          <w:color w:val="000000"/>
          <w:lang w:eastAsia="en-AU"/>
        </w:rPr>
        <w:t>michiganensis</w:t>
      </w:r>
      <w:proofErr w:type="spellEnd"/>
      <w:r>
        <w:rPr>
          <w:rFonts w:ascii="Cambria" w:eastAsia="Times New Roman" w:hAnsi="Cambria" w:cs="Times New Roman"/>
          <w:i/>
          <w:color w:val="000000"/>
          <w:lang w:eastAsia="en-AU"/>
        </w:rPr>
        <w:t xml:space="preserve"> </w:t>
      </w:r>
      <w:r>
        <w:rPr>
          <w:rFonts w:ascii="Cambria" w:eastAsia="Times New Roman" w:hAnsi="Cambria" w:cs="Times New Roman"/>
          <w:color w:val="000000"/>
          <w:lang w:eastAsia="en-AU"/>
        </w:rPr>
        <w:t>subsp</w:t>
      </w:r>
      <w:r>
        <w:rPr>
          <w:rFonts w:ascii="Cambria" w:eastAsia="Times New Roman" w:hAnsi="Cambria" w:cs="Times New Roman"/>
          <w:i/>
          <w:color w:val="000000"/>
          <w:lang w:eastAsia="en-AU"/>
        </w:rPr>
        <w:t xml:space="preserve">. </w:t>
      </w:r>
      <w:proofErr w:type="spellStart"/>
      <w:r>
        <w:rPr>
          <w:rFonts w:ascii="Cambria" w:eastAsia="Times New Roman" w:hAnsi="Cambria" w:cs="Times New Roman"/>
          <w:i/>
          <w:color w:val="000000"/>
          <w:lang w:eastAsia="en-AU"/>
        </w:rPr>
        <w:t>michiganensis</w:t>
      </w:r>
      <w:proofErr w:type="spellEnd"/>
      <w:r>
        <w:rPr>
          <w:rFonts w:ascii="Cambria" w:eastAsia="Times New Roman" w:hAnsi="Cambria" w:cs="Times New Roman"/>
          <w:color w:val="000000"/>
          <w:lang w:eastAsia="en-AU"/>
        </w:rPr>
        <w:t xml:space="preserve"> (van </w:t>
      </w:r>
      <w:proofErr w:type="spellStart"/>
      <w:r>
        <w:rPr>
          <w:rFonts w:ascii="Cambria" w:eastAsia="Times New Roman" w:hAnsi="Cambria" w:cs="Times New Roman"/>
          <w:color w:val="000000"/>
          <w:lang w:eastAsia="en-AU"/>
        </w:rPr>
        <w:t>Vaerenbergh</w:t>
      </w:r>
      <w:proofErr w:type="spellEnd"/>
      <w:r>
        <w:rPr>
          <w:rFonts w:ascii="Cambria" w:eastAsia="Times New Roman" w:hAnsi="Cambria" w:cs="Times New Roman"/>
          <w:color w:val="000000"/>
          <w:lang w:eastAsia="en-AU"/>
        </w:rPr>
        <w:t xml:space="preserve"> </w:t>
      </w:r>
      <w:r w:rsidR="005D2682">
        <w:rPr>
          <w:rFonts w:ascii="Cambria" w:eastAsia="Times New Roman" w:hAnsi="Cambria" w:cs="Times New Roman"/>
          <w:color w:val="000000"/>
          <w:lang w:eastAsia="en-AU"/>
        </w:rPr>
        <w:t xml:space="preserve">et al. </w:t>
      </w:r>
      <w:r>
        <w:rPr>
          <w:rFonts w:ascii="Cambria" w:eastAsia="Times New Roman" w:hAnsi="Cambria" w:cs="Times New Roman"/>
          <w:color w:val="000000"/>
          <w:lang w:eastAsia="en-AU"/>
        </w:rPr>
        <w:t xml:space="preserve">2013). A test of 30,000 lettuce seeds is used to detect </w:t>
      </w:r>
      <w:r>
        <w:rPr>
          <w:rFonts w:ascii="Cambria" w:eastAsia="Times New Roman" w:hAnsi="Cambria" w:cs="Times New Roman"/>
          <w:i/>
          <w:color w:val="000000"/>
          <w:lang w:eastAsia="en-AU"/>
        </w:rPr>
        <w:t>Lettuce mosaic virus</w:t>
      </w:r>
      <w:r>
        <w:rPr>
          <w:rFonts w:ascii="Cambria" w:eastAsia="Times New Roman" w:hAnsi="Cambria" w:cs="Times New Roman"/>
          <w:color w:val="000000"/>
          <w:lang w:eastAsia="en-AU"/>
        </w:rPr>
        <w:t xml:space="preserve"> (APHIS 2001). Australian laboratories test tomato and capsicum seed</w:t>
      </w:r>
      <w:r w:rsidR="00F969F4">
        <w:rPr>
          <w:rFonts w:ascii="Cambria" w:eastAsia="Times New Roman" w:hAnsi="Cambria" w:cs="Times New Roman"/>
          <w:color w:val="000000"/>
          <w:lang w:eastAsia="en-AU"/>
        </w:rPr>
        <w:t>s</w:t>
      </w:r>
      <w:r>
        <w:rPr>
          <w:rFonts w:ascii="Cambria" w:eastAsia="Times New Roman" w:hAnsi="Cambria" w:cs="Times New Roman"/>
          <w:color w:val="000000"/>
          <w:lang w:eastAsia="en-AU"/>
        </w:rPr>
        <w:t xml:space="preserve"> for viroids using samples of 20,000 seeds. Samples of 20,000 seeds are also used by Australian laboratories to detect ‘</w:t>
      </w:r>
      <w:r>
        <w:rPr>
          <w:rFonts w:ascii="Cambria" w:eastAsia="Times New Roman" w:hAnsi="Cambria" w:cs="Times New Roman"/>
          <w:i/>
          <w:color w:val="000000"/>
          <w:lang w:eastAsia="en-AU"/>
        </w:rPr>
        <w:t xml:space="preserve">Candidatus </w:t>
      </w:r>
      <w:r>
        <w:rPr>
          <w:rFonts w:ascii="Cambria" w:eastAsia="Times New Roman" w:hAnsi="Cambria" w:cs="Times New Roman"/>
          <w:color w:val="000000"/>
          <w:lang w:eastAsia="en-AU"/>
        </w:rPr>
        <w:t>Liberibacter solanacearum’ in carrot seeds.</w:t>
      </w:r>
    </w:p>
    <w:p w14:paraId="4DFAAB1E" w14:textId="0C32CE78" w:rsidR="008163B6" w:rsidRDefault="00F709BD" w:rsidP="003911DD">
      <w:pPr>
        <w:spacing w:before="120" w:after="120" w:line="276" w:lineRule="auto"/>
        <w:rPr>
          <w:rFonts w:ascii="Times New Roman" w:eastAsia="Times New Roman" w:hAnsi="Times New Roman" w:cs="Times New Roman"/>
          <w:sz w:val="24"/>
          <w:szCs w:val="24"/>
          <w:lang w:eastAsia="en-AU"/>
        </w:rPr>
      </w:pPr>
      <w:r>
        <w:rPr>
          <w:rFonts w:ascii="Cambria" w:eastAsia="Times New Roman" w:hAnsi="Cambria" w:cs="Times New Roman"/>
          <w:lang w:eastAsia="en-AU"/>
        </w:rPr>
        <w:t>Seed lots with very low levels of infection have been detected on</w:t>
      </w:r>
      <w:r w:rsidR="004B455C">
        <w:rPr>
          <w:rFonts w:ascii="Cambria" w:eastAsia="Times New Roman" w:hAnsi="Cambria" w:cs="Times New Roman"/>
          <w:lang w:eastAsia="en-AU"/>
        </w:rPr>
        <w:t>-</w:t>
      </w:r>
      <w:r>
        <w:rPr>
          <w:rFonts w:ascii="Cambria" w:eastAsia="Times New Roman" w:hAnsi="Cambria" w:cs="Times New Roman"/>
          <w:lang w:eastAsia="en-AU"/>
        </w:rPr>
        <w:t>shore by Australia’s emergency measures. It is unlikely that a sample size of 2,000 seeds would have been sufficient to detect these low levels of infection; therefore, a sample size of 9,400 seeds is necessary to reduce the risk of CGMMV to a very low level as required to meet Australia’s Appropriate level of protection (ALOP). Therefore, Australia considers that a sample size of 9,400 seeds continues to be an appropriate measure to protect Australia from further incursions of CGMMV through infected seed.</w:t>
      </w:r>
    </w:p>
    <w:p w14:paraId="24837E7C" w14:textId="77777777" w:rsidR="008163B6" w:rsidRDefault="00F709BD" w:rsidP="008163B6">
      <w:pPr>
        <w:pStyle w:val="Heading4"/>
        <w:numPr>
          <w:ilvl w:val="0"/>
          <w:numId w:val="41"/>
        </w:numPr>
        <w:spacing w:before="160"/>
        <w:rPr>
          <w:sz w:val="21"/>
          <w:szCs w:val="21"/>
        </w:rPr>
      </w:pPr>
      <w:r>
        <w:rPr>
          <w:sz w:val="21"/>
          <w:szCs w:val="21"/>
        </w:rPr>
        <w:t>Small seed lots</w:t>
      </w:r>
    </w:p>
    <w:p w14:paraId="48D6EA36" w14:textId="77777777" w:rsidR="000F2DF2"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 xml:space="preserve">The department has developed separate import conditions for small seeds lots, as requested by industry. The definition of a small seed lot is based on the lot weight and varies between cucurbit species (Table </w:t>
      </w:r>
      <w:r w:rsidR="008802E8">
        <w:rPr>
          <w:rFonts w:ascii="Cambria" w:eastAsia="Times New Roman" w:hAnsi="Cambria" w:cs="Times New Roman"/>
          <w:lang w:eastAsia="en-AU"/>
        </w:rPr>
        <w:t>8</w:t>
      </w:r>
      <w:r>
        <w:rPr>
          <w:rFonts w:ascii="Cambria" w:eastAsia="Times New Roman" w:hAnsi="Cambria" w:cs="Times New Roman"/>
          <w:lang w:eastAsia="en-AU"/>
        </w:rPr>
        <w:t xml:space="preserve">). If the small seed lots definition is met, the importer has the option to test a 20 percent sample per small seed lot or to test 9,400 seeds per small seed lot. The 20 percent sample is generally calculated by weight; however, it can be calculated from the number of seeds if the lot is very small (less than 200 seeds). </w:t>
      </w:r>
    </w:p>
    <w:p w14:paraId="59E98AAE" w14:textId="77E3F5C7" w:rsidR="00577FCB" w:rsidRDefault="00577FCB"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lastRenderedPageBreak/>
        <w:t>Please refer to Section 5 (Pest risk management) of this PRA for the full import conditions for small seed lots.</w:t>
      </w:r>
    </w:p>
    <w:p w14:paraId="3781D236" w14:textId="4D66FBD0" w:rsidR="008163B6" w:rsidRDefault="00F709BD" w:rsidP="008163B6">
      <w:pPr>
        <w:pStyle w:val="Heading4"/>
        <w:numPr>
          <w:ilvl w:val="0"/>
          <w:numId w:val="41"/>
        </w:numPr>
        <w:spacing w:before="160"/>
        <w:rPr>
          <w:sz w:val="21"/>
          <w:szCs w:val="21"/>
        </w:rPr>
      </w:pPr>
      <w:r>
        <w:rPr>
          <w:sz w:val="21"/>
          <w:szCs w:val="21"/>
        </w:rPr>
        <w:t xml:space="preserve">On-shore and off-shore </w:t>
      </w:r>
      <w:r w:rsidR="00B6034B">
        <w:rPr>
          <w:sz w:val="21"/>
          <w:szCs w:val="21"/>
        </w:rPr>
        <w:t xml:space="preserve">seed </w:t>
      </w:r>
      <w:r>
        <w:rPr>
          <w:sz w:val="21"/>
          <w:szCs w:val="21"/>
        </w:rPr>
        <w:t xml:space="preserve">testing </w:t>
      </w:r>
    </w:p>
    <w:p w14:paraId="0A6A20A3" w14:textId="10D3E488" w:rsidR="008163B6" w:rsidRDefault="00F709BD"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The department currently allows</w:t>
      </w:r>
      <w:r w:rsidR="00A071D0">
        <w:rPr>
          <w:rFonts w:ascii="Cambria" w:eastAsia="Times New Roman" w:hAnsi="Cambria" w:cs="Times New Roman"/>
          <w:lang w:eastAsia="en-AU"/>
        </w:rPr>
        <w:t xml:space="preserve"> commercial</w:t>
      </w:r>
      <w:r>
        <w:rPr>
          <w:rFonts w:ascii="Cambria" w:eastAsia="Times New Roman" w:hAnsi="Cambria" w:cs="Times New Roman"/>
          <w:lang w:eastAsia="en-AU"/>
        </w:rPr>
        <w:t xml:space="preserve"> seed consignments to be tested on-shore or off-shore for CGMMV. If seed consignments undergo off-shore testing and the requirements of the Phytosanitary Certificate are met, then the consignment may be imported into Australia without requiring testing on-shore.</w:t>
      </w:r>
    </w:p>
    <w:p w14:paraId="2472B77A" w14:textId="7E15458C" w:rsidR="008163B6" w:rsidRDefault="00F709BD" w:rsidP="003911DD">
      <w:pPr>
        <w:spacing w:before="120" w:after="120" w:line="276" w:lineRule="auto"/>
        <w:rPr>
          <w:rFonts w:ascii="Cambria" w:eastAsia="Times New Roman" w:hAnsi="Cambria" w:cs="Times New Roman"/>
          <w:color w:val="000000"/>
          <w:lang w:eastAsia="en-AU"/>
        </w:rPr>
      </w:pPr>
      <w:r>
        <w:rPr>
          <w:rFonts w:ascii="Cambria" w:eastAsia="Times New Roman" w:hAnsi="Cambria" w:cs="Times New Roman"/>
          <w:lang w:eastAsia="en-AU"/>
        </w:rPr>
        <w:t xml:space="preserve">The emergency measures require that small seed lots to be </w:t>
      </w:r>
      <w:r>
        <w:rPr>
          <w:rFonts w:ascii="Cambria" w:eastAsia="Times New Roman" w:hAnsi="Cambria" w:cs="Times New Roman"/>
          <w:color w:val="000000"/>
          <w:lang w:eastAsia="en-AU"/>
        </w:rPr>
        <w:t xml:space="preserve">tested on-shore only. Australia considers that providing the accepted ELISA testing method is used (20 percent or 9,400 seeds using the ISTA 7-026 protocol), then off-shore testing for CGMMV provides an acceptable level of protection against this virus. Australia is therefore proposing that small seed lots may be tested off-shore or on-shore. </w:t>
      </w:r>
    </w:p>
    <w:p w14:paraId="424C3738" w14:textId="720DBD09" w:rsidR="00C01D32" w:rsidRDefault="00C01D32" w:rsidP="003911DD">
      <w:pPr>
        <w:spacing w:before="120" w:after="120" w:line="276" w:lineRule="auto"/>
        <w:rPr>
          <w:rFonts w:ascii="Cambria" w:eastAsia="Times New Roman" w:hAnsi="Cambria" w:cs="Times New Roman"/>
          <w:lang w:eastAsia="en-AU"/>
        </w:rPr>
      </w:pPr>
      <w:r>
        <w:rPr>
          <w:rFonts w:ascii="Cambria" w:eastAsia="Times New Roman" w:hAnsi="Cambria" w:cs="Times New Roman"/>
          <w:lang w:eastAsia="en-AU"/>
        </w:rPr>
        <w:t>Please refer to Section 5 (Pest risk management) of this PRA for further information on on-shore off-shore testing for cucurbit seeds.</w:t>
      </w:r>
    </w:p>
    <w:p w14:paraId="5FF587E1" w14:textId="46D4E415" w:rsidR="008163B6" w:rsidRDefault="00DD6194" w:rsidP="008163B6">
      <w:pPr>
        <w:pStyle w:val="Heading4"/>
        <w:numPr>
          <w:ilvl w:val="0"/>
          <w:numId w:val="41"/>
        </w:numPr>
        <w:spacing w:before="160"/>
        <w:rPr>
          <w:sz w:val="21"/>
          <w:szCs w:val="21"/>
        </w:rPr>
      </w:pPr>
      <w:r>
        <w:rPr>
          <w:sz w:val="21"/>
          <w:szCs w:val="21"/>
        </w:rPr>
        <w:t>T</w:t>
      </w:r>
      <w:r w:rsidR="00F709BD">
        <w:rPr>
          <w:sz w:val="21"/>
          <w:szCs w:val="21"/>
        </w:rPr>
        <w:t xml:space="preserve">reatment options </w:t>
      </w:r>
    </w:p>
    <w:p w14:paraId="696AA44B" w14:textId="17357AE0" w:rsidR="008163B6" w:rsidRDefault="00F709BD" w:rsidP="003911DD">
      <w:pPr>
        <w:spacing w:before="120" w:after="120" w:line="276" w:lineRule="auto"/>
        <w:rPr>
          <w:rFonts w:ascii="Cambria" w:eastAsia="Times New Roman" w:hAnsi="Cambria" w:cs="Times New Roman"/>
          <w:bCs/>
          <w:iCs/>
          <w:lang w:eastAsia="en-AU"/>
        </w:rPr>
      </w:pPr>
      <w:r>
        <w:rPr>
          <w:rFonts w:ascii="Cambria" w:eastAsia="Times New Roman" w:hAnsi="Cambria" w:cs="Times New Roman"/>
          <w:bCs/>
          <w:iCs/>
          <w:lang w:eastAsia="en-AU"/>
        </w:rPr>
        <w:t xml:space="preserve">Seed disinfection treatments can reduce the supply of primary CGMMV inoculum in seeds; however, the effectiveness of these treatments is variable. For instance, a study by </w:t>
      </w:r>
      <w:proofErr w:type="spellStart"/>
      <w:r>
        <w:rPr>
          <w:rFonts w:ascii="Cambria" w:eastAsia="Times New Roman" w:hAnsi="Cambria" w:cs="Times New Roman"/>
          <w:bCs/>
          <w:iCs/>
          <w:lang w:eastAsia="en-AU"/>
        </w:rPr>
        <w:t>Reingold</w:t>
      </w:r>
      <w:proofErr w:type="spellEnd"/>
      <w:r>
        <w:rPr>
          <w:rFonts w:ascii="Cambria" w:eastAsia="Times New Roman" w:hAnsi="Cambria" w:cs="Times New Roman"/>
          <w:bCs/>
          <w:iCs/>
          <w:lang w:eastAsia="en-AU"/>
        </w:rPr>
        <w:t xml:space="preserve"> et al. (2015) found that all </w:t>
      </w:r>
      <w:r>
        <w:rPr>
          <w:rFonts w:ascii="Cambria" w:eastAsia="Times New Roman" w:hAnsi="Cambria" w:cs="Times New Roman"/>
          <w:color w:val="000000"/>
          <w:lang w:eastAsia="en-AU"/>
        </w:rPr>
        <w:t>infected</w:t>
      </w:r>
      <w:r>
        <w:rPr>
          <w:rFonts w:ascii="Cambria" w:eastAsia="Times New Roman" w:hAnsi="Cambria" w:cs="Times New Roman"/>
          <w:bCs/>
          <w:iCs/>
          <w:lang w:eastAsia="en-AU"/>
        </w:rPr>
        <w:t xml:space="preserve"> seeds treated with 10 percent </w:t>
      </w:r>
      <w:proofErr w:type="spellStart"/>
      <w:r>
        <w:rPr>
          <w:rFonts w:ascii="Cambria" w:eastAsia="Times New Roman" w:hAnsi="Cambria" w:cs="Times New Roman"/>
          <w:bCs/>
          <w:iCs/>
          <w:lang w:eastAsia="en-AU"/>
        </w:rPr>
        <w:t>trisodium</w:t>
      </w:r>
      <w:proofErr w:type="spellEnd"/>
      <w:r>
        <w:rPr>
          <w:rFonts w:ascii="Cambria" w:eastAsia="Times New Roman" w:hAnsi="Cambria" w:cs="Times New Roman"/>
          <w:bCs/>
          <w:iCs/>
          <w:lang w:eastAsia="en-AU"/>
        </w:rPr>
        <w:t xml:space="preserve"> phosphate (TSP) still contained the entire viral genome after treatment and had an infectivity rate of 83.3 percent after treatment. In addition, heat treatment of seeds at 72 °C for 72 hours did not eliminate the virus from seeds, which had an infectivity rate of 66.6 percent after treatment (</w:t>
      </w:r>
      <w:proofErr w:type="spellStart"/>
      <w:r>
        <w:rPr>
          <w:rFonts w:ascii="Cambria" w:eastAsia="Times New Roman" w:hAnsi="Cambria" w:cs="Times New Roman"/>
          <w:bCs/>
          <w:iCs/>
          <w:lang w:eastAsia="en-AU"/>
        </w:rPr>
        <w:t>Reingold</w:t>
      </w:r>
      <w:proofErr w:type="spellEnd"/>
      <w:r>
        <w:rPr>
          <w:rFonts w:ascii="Cambria" w:eastAsia="Times New Roman" w:hAnsi="Cambria" w:cs="Times New Roman"/>
          <w:bCs/>
          <w:iCs/>
          <w:lang w:eastAsia="en-AU"/>
        </w:rPr>
        <w:t xml:space="preserve"> et al. 2015). </w:t>
      </w:r>
      <w:proofErr w:type="spellStart"/>
      <w:r>
        <w:rPr>
          <w:rFonts w:ascii="Cambria" w:eastAsia="Times New Roman" w:hAnsi="Cambria" w:cs="Times New Roman"/>
          <w:bCs/>
          <w:iCs/>
          <w:lang w:eastAsia="en-AU"/>
        </w:rPr>
        <w:t>Reingold</w:t>
      </w:r>
      <w:proofErr w:type="spellEnd"/>
      <w:r>
        <w:rPr>
          <w:rFonts w:ascii="Cambria" w:eastAsia="Times New Roman" w:hAnsi="Cambria" w:cs="Times New Roman"/>
          <w:bCs/>
          <w:iCs/>
          <w:lang w:eastAsia="en-AU"/>
        </w:rPr>
        <w:t xml:space="preserve"> et al. (2015) found that the combination of treating seeds with 10 percent TSP then heat treatment was more effective in disinfecting seeds from this virus</w:t>
      </w:r>
      <w:r w:rsidR="00C01D32">
        <w:rPr>
          <w:rFonts w:ascii="Cambria" w:eastAsia="Times New Roman" w:hAnsi="Cambria" w:cs="Times New Roman"/>
          <w:bCs/>
          <w:iCs/>
          <w:lang w:eastAsia="en-AU"/>
        </w:rPr>
        <w:t xml:space="preserve"> than either individual treatment</w:t>
      </w:r>
      <w:r>
        <w:rPr>
          <w:rFonts w:ascii="Cambria" w:eastAsia="Times New Roman" w:hAnsi="Cambria" w:cs="Times New Roman"/>
          <w:bCs/>
          <w:iCs/>
          <w:lang w:eastAsia="en-AU"/>
        </w:rPr>
        <w:t xml:space="preserve">, but </w:t>
      </w:r>
      <w:r w:rsidR="00C01D32">
        <w:rPr>
          <w:rFonts w:ascii="Cambria" w:eastAsia="Times New Roman" w:hAnsi="Cambria" w:cs="Times New Roman"/>
          <w:bCs/>
          <w:iCs/>
          <w:lang w:eastAsia="en-AU"/>
        </w:rPr>
        <w:t xml:space="preserve">still had </w:t>
      </w:r>
      <w:r>
        <w:rPr>
          <w:rFonts w:ascii="Cambria" w:eastAsia="Times New Roman" w:hAnsi="Cambria" w:cs="Times New Roman"/>
          <w:bCs/>
          <w:iCs/>
          <w:lang w:eastAsia="en-AU"/>
        </w:rPr>
        <w:t xml:space="preserve">an infectivity rate of 31.5 percent after treatment. </w:t>
      </w:r>
      <w:r>
        <w:rPr>
          <w:rFonts w:ascii="Cambria" w:eastAsia="Times New Roman" w:hAnsi="Cambria" w:cs="Times New Roman"/>
          <w:bCs/>
          <w:iCs/>
          <w:color w:val="000000"/>
          <w:lang w:eastAsia="en-AU"/>
        </w:rPr>
        <w:t>Any infected seed has the potential to cause an outbreak.</w:t>
      </w:r>
      <w:r>
        <w:rPr>
          <w:rFonts w:ascii="Cambria" w:eastAsia="Times New Roman" w:hAnsi="Cambria" w:cs="Times New Roman"/>
          <w:bCs/>
          <w:iCs/>
          <w:lang w:eastAsia="en-AU"/>
        </w:rPr>
        <w:t xml:space="preserve"> Therefore, the department considers that seed treatments are not </w:t>
      </w:r>
      <w:r w:rsidR="00E25946">
        <w:rPr>
          <w:rFonts w:ascii="Cambria" w:eastAsia="Times New Roman" w:hAnsi="Cambria" w:cs="Times New Roman"/>
          <w:bCs/>
          <w:iCs/>
          <w:lang w:eastAsia="en-AU"/>
        </w:rPr>
        <w:t xml:space="preserve">currently </w:t>
      </w:r>
      <w:r>
        <w:rPr>
          <w:rFonts w:ascii="Cambria" w:eastAsia="Times New Roman" w:hAnsi="Cambria" w:cs="Times New Roman"/>
          <w:bCs/>
          <w:iCs/>
          <w:lang w:eastAsia="en-AU"/>
        </w:rPr>
        <w:t>a suitable phytosanitary measure against CGMMV in cucurbit host seed imports.</w:t>
      </w:r>
    </w:p>
    <w:p w14:paraId="3B2DBE1E" w14:textId="77777777" w:rsidR="008163B6" w:rsidRDefault="00F709BD" w:rsidP="008163B6">
      <w:pPr>
        <w:pStyle w:val="Heading4"/>
        <w:numPr>
          <w:ilvl w:val="0"/>
          <w:numId w:val="41"/>
        </w:numPr>
        <w:spacing w:before="160"/>
        <w:rPr>
          <w:sz w:val="21"/>
          <w:szCs w:val="21"/>
        </w:rPr>
      </w:pPr>
      <w:r>
        <w:rPr>
          <w:sz w:val="21"/>
          <w:szCs w:val="21"/>
        </w:rPr>
        <w:t>Detection and differentiation of infectious and non-infectious viral particles</w:t>
      </w:r>
    </w:p>
    <w:p w14:paraId="64E35BD0" w14:textId="27B161EF" w:rsidR="008163B6" w:rsidRDefault="00F709BD" w:rsidP="003911DD">
      <w:pPr>
        <w:spacing w:before="120" w:after="120" w:line="276" w:lineRule="auto"/>
        <w:rPr>
          <w:rFonts w:ascii="Cambria" w:eastAsia="Cambria" w:hAnsi="Cambria" w:cs="AdvPSSAB-R"/>
          <w:lang w:eastAsia="en-AU"/>
        </w:rPr>
      </w:pPr>
      <w:r w:rsidRPr="00473C1A">
        <w:rPr>
          <w:rFonts w:ascii="Cambria" w:eastAsia="Cambria" w:hAnsi="Cambria" w:cs="AdvPSSAB-R"/>
          <w:lang w:eastAsia="en-AU"/>
        </w:rPr>
        <w:t xml:space="preserve">Australia acknowledges that ELISA can detect and quantify the viral genome but does not differentiate between infectious or non-infectious viral particles. </w:t>
      </w:r>
      <w:r w:rsidRPr="00164476">
        <w:rPr>
          <w:rFonts w:ascii="Cambria" w:eastAsia="Times New Roman" w:hAnsi="Cambria" w:cs="Times New Roman"/>
          <w:lang w:eastAsia="en-AU"/>
        </w:rPr>
        <w:t xml:space="preserve">However, the detection of non-infectious particles in a seed lot may indicate that infectious particles may be present. For example, a </w:t>
      </w:r>
      <w:r w:rsidRPr="00164476">
        <w:rPr>
          <w:rFonts w:ascii="Cambria" w:eastAsia="Cambria" w:hAnsi="Cambria" w:cs="AdvPSSAB-R"/>
          <w:lang w:eastAsia="en-AU"/>
        </w:rPr>
        <w:t xml:space="preserve">study by </w:t>
      </w:r>
      <w:proofErr w:type="spellStart"/>
      <w:r w:rsidRPr="00164476">
        <w:rPr>
          <w:rFonts w:ascii="Cambria" w:eastAsia="Cambria" w:hAnsi="Cambria" w:cs="AdvPSSAB-R"/>
          <w:lang w:eastAsia="en-AU"/>
        </w:rPr>
        <w:t>Reingold</w:t>
      </w:r>
      <w:proofErr w:type="spellEnd"/>
      <w:r w:rsidRPr="00164476">
        <w:rPr>
          <w:rFonts w:ascii="Cambria" w:eastAsia="Cambria" w:hAnsi="Cambria" w:cs="AdvPSSAB-R"/>
          <w:lang w:eastAsia="en-AU"/>
        </w:rPr>
        <w:t xml:space="preserve"> et al. (2015) found that</w:t>
      </w:r>
      <w:r w:rsidR="006676B0" w:rsidRPr="00DD6194">
        <w:rPr>
          <w:rFonts w:ascii="Cambria" w:eastAsia="Cambria" w:hAnsi="Cambria" w:cs="AdvPSSAB-R"/>
          <w:lang w:eastAsia="en-AU"/>
        </w:rPr>
        <w:t xml:space="preserve"> all</w:t>
      </w:r>
      <w:r w:rsidRPr="00473C1A">
        <w:rPr>
          <w:rFonts w:ascii="Cambria" w:eastAsia="Cambria" w:hAnsi="Cambria" w:cs="AdvPSSAB-R"/>
          <w:lang w:eastAsia="en-AU"/>
        </w:rPr>
        <w:t xml:space="preserve"> infected seeds that had undergone heat </w:t>
      </w:r>
      <w:r w:rsidR="00B32CF1" w:rsidRPr="00DD6194">
        <w:rPr>
          <w:rFonts w:ascii="Cambria" w:eastAsia="Cambria" w:hAnsi="Cambria" w:cs="AdvPSSAB-R"/>
          <w:lang w:eastAsia="en-AU"/>
        </w:rPr>
        <w:t>treatment (</w:t>
      </w:r>
      <w:r w:rsidR="00B32CF1" w:rsidRPr="00473C1A">
        <w:rPr>
          <w:rFonts w:ascii="Cambria" w:eastAsia="Times New Roman" w:hAnsi="Cambria" w:cs="Times New Roman"/>
          <w:bCs/>
          <w:iCs/>
          <w:lang w:eastAsia="en-AU"/>
        </w:rPr>
        <w:t>72 °C for 72 hours</w:t>
      </w:r>
      <w:r w:rsidR="00B32CF1" w:rsidRPr="00DD6194">
        <w:rPr>
          <w:rFonts w:ascii="Cambria" w:eastAsia="Cambria" w:hAnsi="Cambria" w:cs="AdvPSSAB-R"/>
          <w:lang w:eastAsia="en-AU"/>
        </w:rPr>
        <w:t xml:space="preserve">) </w:t>
      </w:r>
      <w:r w:rsidR="006676B0" w:rsidRPr="00DD6194">
        <w:rPr>
          <w:rFonts w:ascii="Cambria" w:eastAsia="Cambria" w:hAnsi="Cambria" w:cs="AdvPSSAB-R"/>
          <w:lang w:eastAsia="en-AU"/>
        </w:rPr>
        <w:t xml:space="preserve">or </w:t>
      </w:r>
      <w:r w:rsidRPr="00473C1A">
        <w:rPr>
          <w:rFonts w:ascii="Cambria" w:eastAsia="Cambria" w:hAnsi="Cambria" w:cs="AdvPSSAB-R"/>
          <w:lang w:eastAsia="en-AU"/>
        </w:rPr>
        <w:t>chemical disinfection</w:t>
      </w:r>
      <w:r w:rsidR="00B32CF1" w:rsidRPr="00DD6194">
        <w:rPr>
          <w:rFonts w:ascii="Cambria" w:eastAsia="Cambria" w:hAnsi="Cambria" w:cs="AdvPSSAB-R"/>
          <w:lang w:eastAsia="en-AU"/>
        </w:rPr>
        <w:t xml:space="preserve"> treatment </w:t>
      </w:r>
      <w:r w:rsidR="00B32CF1" w:rsidRPr="00473C1A">
        <w:rPr>
          <w:rFonts w:ascii="Cambria" w:eastAsia="Times New Roman" w:hAnsi="Cambria" w:cs="Times New Roman"/>
          <w:bCs/>
          <w:iCs/>
          <w:lang w:eastAsia="en-AU"/>
        </w:rPr>
        <w:t>(10 percent T</w:t>
      </w:r>
      <w:r w:rsidR="00B32CF1" w:rsidRPr="00164476">
        <w:rPr>
          <w:rFonts w:ascii="Cambria" w:eastAsia="Times New Roman" w:hAnsi="Cambria" w:cs="Times New Roman"/>
          <w:bCs/>
          <w:iCs/>
          <w:lang w:eastAsia="en-AU"/>
        </w:rPr>
        <w:t xml:space="preserve">SP) had </w:t>
      </w:r>
      <w:r w:rsidR="006676B0" w:rsidRPr="00DD6194">
        <w:rPr>
          <w:rFonts w:ascii="Cambria" w:eastAsia="Cambria" w:hAnsi="Cambria" w:cs="AdvPSSAB-R"/>
          <w:lang w:eastAsia="en-AU"/>
        </w:rPr>
        <w:t>the entire viral genome after treatmen</w:t>
      </w:r>
      <w:r w:rsidR="00B32CF1" w:rsidRPr="00DD6194">
        <w:rPr>
          <w:rFonts w:ascii="Cambria" w:eastAsia="Cambria" w:hAnsi="Cambria" w:cs="AdvPSSAB-R"/>
          <w:lang w:eastAsia="en-AU"/>
        </w:rPr>
        <w:t>t. Although the genome was present in all seeds after treatment, i</w:t>
      </w:r>
      <w:r w:rsidR="006676B0" w:rsidRPr="00DD6194">
        <w:rPr>
          <w:rFonts w:ascii="Cambria" w:eastAsia="Cambria" w:hAnsi="Cambria" w:cs="AdvPSSAB-R"/>
          <w:lang w:eastAsia="en-AU"/>
        </w:rPr>
        <w:t xml:space="preserve">nfectivity </w:t>
      </w:r>
      <w:r w:rsidR="00B32CF1" w:rsidRPr="00DD6194">
        <w:rPr>
          <w:rFonts w:ascii="Cambria" w:eastAsia="Cambria" w:hAnsi="Cambria" w:cs="AdvPSSAB-R"/>
          <w:lang w:eastAsia="en-AU"/>
        </w:rPr>
        <w:t xml:space="preserve">was </w:t>
      </w:r>
      <w:r w:rsidR="00B32CF1" w:rsidRPr="00473C1A">
        <w:rPr>
          <w:rFonts w:ascii="Cambria" w:eastAsia="Times New Roman" w:hAnsi="Cambria" w:cs="Times New Roman"/>
          <w:bCs/>
          <w:iCs/>
          <w:lang w:eastAsia="en-AU"/>
        </w:rPr>
        <w:t>83.3 percent af</w:t>
      </w:r>
      <w:r w:rsidR="00B32CF1" w:rsidRPr="00164476">
        <w:rPr>
          <w:rFonts w:ascii="Cambria" w:eastAsia="Times New Roman" w:hAnsi="Cambria" w:cs="Times New Roman"/>
          <w:bCs/>
          <w:iCs/>
          <w:lang w:eastAsia="en-AU"/>
        </w:rPr>
        <w:t>ter chemical treatment and 66.6 percent after heat treatment (</w:t>
      </w:r>
      <w:proofErr w:type="spellStart"/>
      <w:r w:rsidR="00B32CF1" w:rsidRPr="00164476">
        <w:rPr>
          <w:rFonts w:ascii="Cambria" w:eastAsia="Times New Roman" w:hAnsi="Cambria" w:cs="Times New Roman"/>
          <w:bCs/>
          <w:iCs/>
          <w:lang w:eastAsia="en-AU"/>
        </w:rPr>
        <w:t>Reingold</w:t>
      </w:r>
      <w:proofErr w:type="spellEnd"/>
      <w:r w:rsidR="00B32CF1" w:rsidRPr="00164476">
        <w:rPr>
          <w:rFonts w:ascii="Cambria" w:eastAsia="Times New Roman" w:hAnsi="Cambria" w:cs="Times New Roman"/>
          <w:bCs/>
          <w:iCs/>
          <w:lang w:eastAsia="en-AU"/>
        </w:rPr>
        <w:t xml:space="preserve"> et al. 2015). </w:t>
      </w:r>
      <w:r w:rsidR="00B32CF1" w:rsidRPr="00DD6194">
        <w:rPr>
          <w:rFonts w:ascii="Cambria" w:eastAsia="Cambria" w:hAnsi="Cambria" w:cs="AdvPSSAB-R"/>
          <w:lang w:eastAsia="en-AU"/>
        </w:rPr>
        <w:t xml:space="preserve">This indicates that infectious and non-infectious particles can be present in the same seed lot. </w:t>
      </w:r>
      <w:r w:rsidRPr="00164476">
        <w:rPr>
          <w:rFonts w:ascii="Cambria" w:eastAsia="Cambria" w:hAnsi="Cambria" w:cs="AdvPSSAB-R"/>
          <w:lang w:eastAsia="en-AU"/>
        </w:rPr>
        <w:t>Therefore, Australia considers that it is not appropriate to differentiate between infectious and non-infectious particles when testing for the presence of CGMMV in host seeds.</w:t>
      </w:r>
    </w:p>
    <w:p w14:paraId="01462F61" w14:textId="5B06C68B" w:rsidR="008163B6" w:rsidRDefault="00F709BD" w:rsidP="008163B6">
      <w:pPr>
        <w:pStyle w:val="Heading4"/>
        <w:numPr>
          <w:ilvl w:val="0"/>
          <w:numId w:val="41"/>
        </w:numPr>
        <w:spacing w:before="160"/>
        <w:rPr>
          <w:sz w:val="21"/>
          <w:szCs w:val="21"/>
        </w:rPr>
      </w:pPr>
      <w:r>
        <w:rPr>
          <w:sz w:val="21"/>
          <w:szCs w:val="21"/>
        </w:rPr>
        <w:t>Emergency measures to cover seeds from all countries</w:t>
      </w:r>
    </w:p>
    <w:p w14:paraId="676A329E" w14:textId="14277B2F" w:rsidR="00393C9D" w:rsidRDefault="00C01D32" w:rsidP="003911DD">
      <w:pPr>
        <w:autoSpaceDE w:val="0"/>
        <w:autoSpaceDN w:val="0"/>
        <w:adjustRightInd w:val="0"/>
        <w:spacing w:before="120" w:after="120" w:line="276" w:lineRule="auto"/>
        <w:rPr>
          <w:rFonts w:ascii="Cambria" w:hAnsi="Cambria"/>
        </w:rPr>
      </w:pPr>
      <w:r>
        <w:rPr>
          <w:rFonts w:ascii="Cambria" w:hAnsi="Cambria"/>
        </w:rPr>
        <w:t xml:space="preserve">CGMMV is an important </w:t>
      </w:r>
      <w:r w:rsidR="00CC0813">
        <w:rPr>
          <w:rFonts w:ascii="Cambria" w:hAnsi="Cambria"/>
        </w:rPr>
        <w:t>seed-borne</w:t>
      </w:r>
      <w:r>
        <w:rPr>
          <w:rFonts w:ascii="Cambria" w:hAnsi="Cambria"/>
        </w:rPr>
        <w:t xml:space="preserve"> virus and is responsible for devastating losses of cucurbit crops worldwide (Yoon et al. 2008; Zhang et al. 2009; </w:t>
      </w:r>
      <w:proofErr w:type="spellStart"/>
      <w:r>
        <w:rPr>
          <w:rFonts w:ascii="Cambria" w:hAnsi="Cambria"/>
        </w:rPr>
        <w:t>Reingold</w:t>
      </w:r>
      <w:proofErr w:type="spellEnd"/>
      <w:r>
        <w:rPr>
          <w:rFonts w:ascii="Cambria" w:hAnsi="Cambria"/>
        </w:rPr>
        <w:t xml:space="preserve"> et al. 2015). </w:t>
      </w:r>
      <w:r w:rsidR="00F709BD">
        <w:rPr>
          <w:rFonts w:ascii="Cambria" w:hAnsi="Cambria" w:cstheme="minorHAnsi"/>
        </w:rPr>
        <w:t xml:space="preserve">The association of </w:t>
      </w:r>
      <w:r w:rsidR="00F709BD">
        <w:rPr>
          <w:rFonts w:ascii="Cambria" w:hAnsi="Cambria" w:cstheme="minorHAnsi"/>
        </w:rPr>
        <w:lastRenderedPageBreak/>
        <w:t xml:space="preserve">CGMMV with cucurbit crops was first reported in the 1930s in the UK </w:t>
      </w:r>
      <w:r w:rsidR="00F709BD">
        <w:rPr>
          <w:rFonts w:ascii="Cambria" w:hAnsi="Cambria"/>
        </w:rPr>
        <w:t xml:space="preserve">(Ainsworth 1935; </w:t>
      </w:r>
      <w:proofErr w:type="spellStart"/>
      <w:r w:rsidR="00F709BD">
        <w:rPr>
          <w:rFonts w:ascii="Cambria" w:hAnsi="Cambria"/>
        </w:rPr>
        <w:t>Ugaki</w:t>
      </w:r>
      <w:proofErr w:type="spellEnd"/>
      <w:r w:rsidR="00F709BD">
        <w:rPr>
          <w:rFonts w:ascii="Cambria" w:hAnsi="Cambria"/>
        </w:rPr>
        <w:t xml:space="preserve"> et al. 1991) and s</w:t>
      </w:r>
      <w:r w:rsidR="00F709BD">
        <w:rPr>
          <w:rFonts w:ascii="Cambria" w:hAnsi="Cambria"/>
          <w:color w:val="000000"/>
        </w:rPr>
        <w:t>ince</w:t>
      </w:r>
      <w:r w:rsidR="00F709BD">
        <w:rPr>
          <w:rFonts w:ascii="Cambria" w:hAnsi="Cambria"/>
        </w:rPr>
        <w:t xml:space="preserve"> then the virus has spread </w:t>
      </w:r>
      <w:r w:rsidR="004B455C">
        <w:rPr>
          <w:rFonts w:ascii="Cambria" w:hAnsi="Cambria"/>
        </w:rPr>
        <w:t xml:space="preserve">and </w:t>
      </w:r>
      <w:r w:rsidR="00677C7B" w:rsidRPr="00F709BD">
        <w:rPr>
          <w:rFonts w:ascii="Cambria" w:hAnsi="Cambria"/>
          <w:bCs/>
        </w:rPr>
        <w:t xml:space="preserve">is reported to occur in most continents and </w:t>
      </w:r>
      <w:r w:rsidR="003B1EF1">
        <w:rPr>
          <w:rFonts w:ascii="Cambria" w:hAnsi="Cambria"/>
          <w:bCs/>
        </w:rPr>
        <w:t xml:space="preserve">in </w:t>
      </w:r>
      <w:r w:rsidR="00677C7B" w:rsidRPr="00F709BD">
        <w:rPr>
          <w:rFonts w:ascii="Cambria" w:hAnsi="Cambria"/>
          <w:bCs/>
        </w:rPr>
        <w:t>over 30 countries</w:t>
      </w:r>
      <w:r w:rsidR="00F709BD">
        <w:rPr>
          <w:rFonts w:ascii="Cambria" w:hAnsi="Cambria"/>
        </w:rPr>
        <w:t xml:space="preserve">. </w:t>
      </w:r>
    </w:p>
    <w:p w14:paraId="190CD095" w14:textId="4D5462B4" w:rsidR="008163B6" w:rsidRDefault="006676B0" w:rsidP="003911DD">
      <w:pPr>
        <w:pStyle w:val="SPStalkingpoint"/>
        <w:rPr>
          <w:rFonts w:eastAsia="SimSun"/>
        </w:rPr>
      </w:pPr>
      <w:r>
        <w:rPr>
          <w:rFonts w:eastAsia="SimSun"/>
        </w:rPr>
        <w:t>In recent years</w:t>
      </w:r>
      <w:r w:rsidR="00F709BD">
        <w:rPr>
          <w:rFonts w:eastAsia="SimSun"/>
        </w:rPr>
        <w:t xml:space="preserve">, seed production (breeding, testing, multiplication and counter seasonal multiplication) </w:t>
      </w:r>
      <w:r>
        <w:rPr>
          <w:rFonts w:eastAsia="SimSun"/>
        </w:rPr>
        <w:t xml:space="preserve">frequently </w:t>
      </w:r>
      <w:r w:rsidR="00F709BD">
        <w:rPr>
          <w:rFonts w:eastAsia="SimSun"/>
        </w:rPr>
        <w:t>occurs at multiple locations,</w:t>
      </w:r>
      <w:r>
        <w:rPr>
          <w:rFonts w:eastAsia="SimSun"/>
        </w:rPr>
        <w:t xml:space="preserve"> rather than a single country of origin</w:t>
      </w:r>
      <w:r w:rsidR="00F709BD">
        <w:rPr>
          <w:rFonts w:eastAsia="SimSun"/>
        </w:rPr>
        <w:t xml:space="preserve">. Global trade in seeds </w:t>
      </w:r>
      <w:r w:rsidR="00677C7B">
        <w:rPr>
          <w:rFonts w:eastAsia="SimSun"/>
        </w:rPr>
        <w:t>has</w:t>
      </w:r>
      <w:r w:rsidR="00F709BD">
        <w:rPr>
          <w:rFonts w:eastAsia="SimSun"/>
        </w:rPr>
        <w:t xml:space="preserve"> the potential for the introduction of pathogens </w:t>
      </w:r>
      <w:r w:rsidR="00677C7B">
        <w:rPr>
          <w:rFonts w:eastAsia="SimSun"/>
        </w:rPr>
        <w:t>to new locations</w:t>
      </w:r>
      <w:r w:rsidR="00F709BD">
        <w:rPr>
          <w:rFonts w:eastAsia="SimSun"/>
        </w:rPr>
        <w:t xml:space="preserve">. The movement of seeds between countries may result in the unintentional spread of CGMMV, particularly if other countries do not have phytosanitary measures in place to address this virus. Therefore, applying </w:t>
      </w:r>
      <w:r w:rsidR="00FD2AD0">
        <w:rPr>
          <w:rFonts w:eastAsia="SimSun"/>
        </w:rPr>
        <w:t xml:space="preserve">risk mitigation </w:t>
      </w:r>
      <w:r w:rsidR="00F709BD">
        <w:rPr>
          <w:rFonts w:eastAsia="SimSun"/>
        </w:rPr>
        <w:t>measures</w:t>
      </w:r>
      <w:r>
        <w:rPr>
          <w:rFonts w:eastAsia="SimSun"/>
        </w:rPr>
        <w:t xml:space="preserve"> against CGMMV</w:t>
      </w:r>
      <w:r w:rsidR="00F709BD">
        <w:rPr>
          <w:rFonts w:eastAsia="SimSun"/>
        </w:rPr>
        <w:t xml:space="preserve"> for</w:t>
      </w:r>
      <w:r w:rsidR="00393C9D">
        <w:rPr>
          <w:rFonts w:eastAsia="SimSun"/>
        </w:rPr>
        <w:t xml:space="preserve"> seeds f</w:t>
      </w:r>
      <w:r w:rsidR="00FD2AD0">
        <w:rPr>
          <w:rFonts w:eastAsia="SimSun"/>
        </w:rPr>
        <w:t>or</w:t>
      </w:r>
      <w:r w:rsidR="00393C9D">
        <w:rPr>
          <w:rFonts w:eastAsia="SimSun"/>
        </w:rPr>
        <w:t xml:space="preserve"> sowing from</w:t>
      </w:r>
      <w:r w:rsidR="00F709BD">
        <w:rPr>
          <w:rFonts w:eastAsia="SimSun"/>
        </w:rPr>
        <w:t xml:space="preserve"> all countries is considered justified.</w:t>
      </w:r>
    </w:p>
    <w:p w14:paraId="1BAAAFBC" w14:textId="77777777" w:rsidR="008163B6" w:rsidRDefault="008163B6">
      <w:pPr>
        <w:spacing w:before="200"/>
        <w:rPr>
          <w:rFonts w:ascii="Cambria" w:hAnsi="Cambria"/>
        </w:rPr>
      </w:pPr>
    </w:p>
    <w:p w14:paraId="7E247D56" w14:textId="77777777" w:rsidR="008163B6" w:rsidRDefault="008163B6">
      <w:pPr>
        <w:rPr>
          <w:rFonts w:ascii="Cambria" w:hAnsi="Cambria"/>
        </w:rPr>
        <w:sectPr w:rsidR="008163B6">
          <w:headerReference w:type="default" r:id="rId43"/>
          <w:pgSz w:w="11906" w:h="16838"/>
          <w:pgMar w:top="1418" w:right="1418" w:bottom="1418" w:left="1418" w:header="567" w:footer="283" w:gutter="0"/>
          <w:cols w:space="708"/>
          <w:docGrid w:linePitch="360"/>
        </w:sectPr>
      </w:pPr>
    </w:p>
    <w:p w14:paraId="58E9355E" w14:textId="77777777" w:rsidR="008163B6" w:rsidRDefault="00F709BD">
      <w:pPr>
        <w:pStyle w:val="Heading1nonumbers"/>
        <w:rPr>
          <w:lang w:val="en-AU"/>
        </w:rPr>
      </w:pPr>
      <w:bookmarkStart w:id="301" w:name="_Toc392488736"/>
      <w:bookmarkStart w:id="302" w:name="_Toc447540817"/>
      <w:r>
        <w:rPr>
          <w:lang w:val="en-AU"/>
        </w:rPr>
        <w:lastRenderedPageBreak/>
        <w:t>Appendix B: Additional quarantine pest data</w:t>
      </w:r>
      <w:bookmarkEnd w:id="301"/>
      <w:bookmarkEnd w:id="302"/>
    </w:p>
    <w:tbl>
      <w:tblPr>
        <w:tblW w:w="5000" w:type="pct"/>
        <w:tblBorders>
          <w:top w:val="single" w:sz="4" w:space="0" w:color="auto"/>
          <w:bottom w:val="single" w:sz="4" w:space="0" w:color="auto"/>
        </w:tblBorders>
        <w:tblLook w:val="04A0" w:firstRow="1" w:lastRow="0" w:firstColumn="1" w:lastColumn="0" w:noHBand="0" w:noVBand="1"/>
      </w:tblPr>
      <w:tblGrid>
        <w:gridCol w:w="1941"/>
        <w:gridCol w:w="7129"/>
      </w:tblGrid>
      <w:tr w:rsidR="008163B6" w14:paraId="26E0B544" w14:textId="77777777">
        <w:tc>
          <w:tcPr>
            <w:tcW w:w="1070" w:type="pct"/>
            <w:tcBorders>
              <w:top w:val="single" w:sz="4" w:space="0" w:color="D9D9D9" w:themeColor="background1" w:themeShade="D9"/>
              <w:bottom w:val="nil"/>
            </w:tcBorders>
          </w:tcPr>
          <w:p w14:paraId="05B12AFF" w14:textId="77777777" w:rsidR="008163B6" w:rsidRPr="00F969F4" w:rsidRDefault="00F709BD">
            <w:pPr>
              <w:pStyle w:val="TableHeading"/>
              <w:rPr>
                <w:rFonts w:ascii="Cambria" w:hAnsi="Cambria"/>
                <w:sz w:val="20"/>
                <w:szCs w:val="20"/>
              </w:rPr>
            </w:pPr>
            <w:r w:rsidRPr="00F969F4">
              <w:rPr>
                <w:rFonts w:ascii="Cambria" w:hAnsi="Cambria"/>
                <w:sz w:val="20"/>
                <w:szCs w:val="20"/>
              </w:rPr>
              <w:t>Quarantine pest</w:t>
            </w:r>
          </w:p>
        </w:tc>
        <w:tc>
          <w:tcPr>
            <w:tcW w:w="3930" w:type="pct"/>
            <w:tcBorders>
              <w:top w:val="single" w:sz="4" w:space="0" w:color="D9D9D9" w:themeColor="background1" w:themeShade="D9"/>
              <w:bottom w:val="nil"/>
            </w:tcBorders>
            <w:vAlign w:val="center"/>
          </w:tcPr>
          <w:p w14:paraId="78CB35ED" w14:textId="77777777" w:rsidR="008163B6" w:rsidRPr="00F969F4" w:rsidRDefault="00F709BD">
            <w:pPr>
              <w:pStyle w:val="TableText0"/>
              <w:keepNext w:val="0"/>
              <w:rPr>
                <w:rFonts w:ascii="Cambria" w:hAnsi="Cambria"/>
                <w:bCs/>
                <w:color w:val="auto"/>
                <w:sz w:val="20"/>
              </w:rPr>
            </w:pPr>
            <w:bookmarkStart w:id="303" w:name="_Toc431480139"/>
            <w:r w:rsidRPr="00F969F4">
              <w:rPr>
                <w:rFonts w:ascii="Cambria" w:hAnsi="Cambria"/>
                <w:bCs/>
                <w:i/>
                <w:color w:val="auto"/>
                <w:sz w:val="20"/>
              </w:rPr>
              <w:t>Cucumber green mottle mosaic virus</w:t>
            </w:r>
            <w:r w:rsidRPr="00F969F4">
              <w:rPr>
                <w:rFonts w:ascii="Cambria" w:hAnsi="Cambria"/>
                <w:bCs/>
                <w:color w:val="auto"/>
                <w:sz w:val="20"/>
              </w:rPr>
              <w:t xml:space="preserve"> (CGMMV)</w:t>
            </w:r>
            <w:bookmarkEnd w:id="303"/>
          </w:p>
        </w:tc>
      </w:tr>
      <w:tr w:rsidR="008163B6" w14:paraId="19A79C9B" w14:textId="77777777">
        <w:tc>
          <w:tcPr>
            <w:tcW w:w="1070" w:type="pct"/>
            <w:tcBorders>
              <w:top w:val="nil"/>
            </w:tcBorders>
          </w:tcPr>
          <w:p w14:paraId="1596C866" w14:textId="77777777" w:rsidR="008163B6" w:rsidRPr="00F969F4" w:rsidRDefault="00F709BD">
            <w:pPr>
              <w:pStyle w:val="TableText"/>
              <w:rPr>
                <w:rFonts w:ascii="Cambria" w:hAnsi="Cambria"/>
                <w:sz w:val="20"/>
                <w:szCs w:val="20"/>
              </w:rPr>
            </w:pPr>
            <w:r w:rsidRPr="00F969F4">
              <w:rPr>
                <w:rFonts w:ascii="Cambria" w:hAnsi="Cambria"/>
                <w:sz w:val="20"/>
                <w:szCs w:val="20"/>
              </w:rPr>
              <w:t>Synonyms</w:t>
            </w:r>
          </w:p>
        </w:tc>
        <w:tc>
          <w:tcPr>
            <w:tcW w:w="3930" w:type="pct"/>
            <w:tcBorders>
              <w:top w:val="nil"/>
            </w:tcBorders>
            <w:vAlign w:val="center"/>
          </w:tcPr>
          <w:p w14:paraId="5492AA99" w14:textId="2385F046" w:rsidR="008163B6" w:rsidRPr="00F969F4" w:rsidRDefault="001F3DAF" w:rsidP="001F3DAF">
            <w:pPr>
              <w:pStyle w:val="TableText"/>
              <w:rPr>
                <w:rFonts w:ascii="Cambria" w:hAnsi="Cambria"/>
                <w:sz w:val="20"/>
                <w:szCs w:val="20"/>
              </w:rPr>
            </w:pPr>
            <w:proofErr w:type="spellStart"/>
            <w:r w:rsidRPr="00F969F4">
              <w:rPr>
                <w:rFonts w:asciiTheme="majorHAnsi" w:eastAsia="Times New Roman" w:hAnsiTheme="majorHAnsi" w:cs="Arial"/>
                <w:i/>
                <w:sz w:val="20"/>
                <w:szCs w:val="20"/>
                <w:lang w:eastAsia="en-AU"/>
              </w:rPr>
              <w:t>Bottlegourd</w:t>
            </w:r>
            <w:proofErr w:type="spellEnd"/>
            <w:r w:rsidRPr="00F969F4">
              <w:rPr>
                <w:rFonts w:asciiTheme="majorHAnsi" w:eastAsia="Times New Roman" w:hAnsiTheme="majorHAnsi" w:cs="Arial"/>
                <w:i/>
                <w:sz w:val="20"/>
                <w:szCs w:val="20"/>
                <w:lang w:eastAsia="en-AU"/>
              </w:rPr>
              <w:t xml:space="preserve"> Indian mosaic virus</w:t>
            </w:r>
            <w:r w:rsidR="00F709BD" w:rsidRPr="00F969F4">
              <w:rPr>
                <w:rFonts w:asciiTheme="majorHAnsi" w:eastAsia="Times New Roman" w:hAnsiTheme="majorHAnsi" w:cs="Arial"/>
                <w:sz w:val="20"/>
                <w:szCs w:val="20"/>
                <w:lang w:eastAsia="en-AU"/>
              </w:rPr>
              <w:t xml:space="preserve">; </w:t>
            </w:r>
            <w:r w:rsidR="00F709BD" w:rsidRPr="00F969F4">
              <w:rPr>
                <w:rFonts w:asciiTheme="majorHAnsi" w:eastAsia="Times New Roman" w:hAnsiTheme="majorHAnsi" w:cs="Arial"/>
                <w:i/>
                <w:sz w:val="20"/>
                <w:szCs w:val="20"/>
                <w:lang w:eastAsia="en-AU"/>
              </w:rPr>
              <w:t>Cucumber mottle virus</w:t>
            </w:r>
            <w:r w:rsidR="00F709BD" w:rsidRPr="00F969F4">
              <w:rPr>
                <w:rFonts w:asciiTheme="majorHAnsi" w:eastAsia="Times New Roman" w:hAnsiTheme="majorHAnsi" w:cs="Arial"/>
                <w:sz w:val="20"/>
                <w:szCs w:val="20"/>
                <w:lang w:eastAsia="en-AU"/>
              </w:rPr>
              <w:t xml:space="preserve">; </w:t>
            </w:r>
            <w:r w:rsidR="00F709BD" w:rsidRPr="00F969F4">
              <w:rPr>
                <w:rFonts w:asciiTheme="majorHAnsi" w:eastAsia="Times New Roman" w:hAnsiTheme="majorHAnsi" w:cs="Arial"/>
                <w:i/>
                <w:sz w:val="20"/>
                <w:szCs w:val="20"/>
                <w:lang w:eastAsia="en-AU"/>
              </w:rPr>
              <w:t>Cucumber virus 2</w:t>
            </w:r>
            <w:r w:rsidR="00F709BD" w:rsidRPr="00F969F4">
              <w:rPr>
                <w:rFonts w:asciiTheme="majorHAnsi" w:eastAsia="Times New Roman" w:hAnsiTheme="majorHAnsi" w:cs="Arial"/>
                <w:sz w:val="20"/>
                <w:szCs w:val="20"/>
                <w:lang w:eastAsia="en-AU"/>
              </w:rPr>
              <w:t xml:space="preserve">; </w:t>
            </w:r>
            <w:r w:rsidR="00F709BD" w:rsidRPr="00F969F4">
              <w:rPr>
                <w:rFonts w:asciiTheme="majorHAnsi" w:eastAsia="Times New Roman" w:hAnsiTheme="majorHAnsi" w:cs="Arial"/>
                <w:i/>
                <w:sz w:val="20"/>
                <w:szCs w:val="20"/>
                <w:lang w:eastAsia="en-AU"/>
              </w:rPr>
              <w:t>Cucumber virus 3</w:t>
            </w:r>
            <w:r w:rsidR="00F709BD" w:rsidRPr="00F969F4">
              <w:rPr>
                <w:rFonts w:asciiTheme="majorHAnsi" w:eastAsia="Times New Roman" w:hAnsiTheme="majorHAnsi" w:cs="Arial"/>
                <w:sz w:val="20"/>
                <w:szCs w:val="20"/>
                <w:lang w:eastAsia="en-AU"/>
              </w:rPr>
              <w:t>;</w:t>
            </w:r>
            <w:r w:rsidR="00F709BD" w:rsidRPr="00F969F4">
              <w:rPr>
                <w:rFonts w:asciiTheme="majorHAnsi" w:eastAsia="Times New Roman" w:hAnsiTheme="majorHAnsi" w:cs="Arial"/>
                <w:i/>
                <w:sz w:val="20"/>
                <w:szCs w:val="20"/>
                <w:lang w:eastAsia="en-AU"/>
              </w:rPr>
              <w:t xml:space="preserve"> Cucumber virus 4</w:t>
            </w:r>
            <w:r w:rsidR="00F709BD" w:rsidRPr="00F969F4">
              <w:rPr>
                <w:rFonts w:asciiTheme="majorHAnsi" w:eastAsia="Times New Roman" w:hAnsiTheme="majorHAnsi" w:cs="Arial"/>
                <w:sz w:val="20"/>
                <w:szCs w:val="20"/>
                <w:lang w:eastAsia="en-AU"/>
              </w:rPr>
              <w:t xml:space="preserve">; </w:t>
            </w:r>
            <w:r w:rsidR="00F709BD" w:rsidRPr="00F969F4">
              <w:rPr>
                <w:rFonts w:asciiTheme="majorHAnsi" w:eastAsia="Times New Roman" w:hAnsiTheme="majorHAnsi" w:cs="Arial"/>
                <w:i/>
                <w:sz w:val="20"/>
                <w:szCs w:val="20"/>
                <w:lang w:eastAsia="en-AU"/>
              </w:rPr>
              <w:t>Cucumis virus 2</w:t>
            </w:r>
            <w:r w:rsidR="00F709BD" w:rsidRPr="00F969F4">
              <w:rPr>
                <w:rFonts w:asciiTheme="majorHAnsi" w:eastAsia="Times New Roman" w:hAnsiTheme="majorHAnsi" w:cs="Arial"/>
                <w:sz w:val="20"/>
                <w:szCs w:val="20"/>
                <w:lang w:eastAsia="en-AU"/>
              </w:rPr>
              <w:t>;</w:t>
            </w:r>
            <w:r w:rsidR="00F709BD" w:rsidRPr="00F969F4">
              <w:rPr>
                <w:rFonts w:asciiTheme="majorHAnsi" w:eastAsia="Times New Roman" w:hAnsiTheme="majorHAnsi" w:cs="Arial"/>
                <w:i/>
                <w:sz w:val="20"/>
                <w:szCs w:val="20"/>
                <w:lang w:eastAsia="en-AU"/>
              </w:rPr>
              <w:t xml:space="preserve"> Tobacco mosaic virus </w:t>
            </w:r>
            <w:r w:rsidRPr="00F969F4">
              <w:rPr>
                <w:rFonts w:asciiTheme="majorHAnsi" w:eastAsia="Times New Roman" w:hAnsiTheme="majorHAnsi" w:cs="Arial"/>
                <w:sz w:val="20"/>
                <w:szCs w:val="20"/>
                <w:lang w:eastAsia="en-AU"/>
              </w:rPr>
              <w:t>W</w:t>
            </w:r>
            <w:r w:rsidR="00F709BD" w:rsidRPr="00F969F4">
              <w:rPr>
                <w:rFonts w:asciiTheme="majorHAnsi" w:eastAsia="Times New Roman" w:hAnsiTheme="majorHAnsi" w:cs="Arial"/>
                <w:sz w:val="20"/>
                <w:szCs w:val="20"/>
                <w:lang w:eastAsia="en-AU"/>
              </w:rPr>
              <w:t>atermelon strain</w:t>
            </w:r>
            <w:r w:rsidRPr="00F969F4">
              <w:rPr>
                <w:rFonts w:asciiTheme="majorHAnsi" w:eastAsia="Times New Roman" w:hAnsiTheme="majorHAnsi" w:cs="Arial"/>
                <w:sz w:val="20"/>
                <w:szCs w:val="20"/>
                <w:lang w:eastAsia="en-AU"/>
              </w:rPr>
              <w:t>-</w:t>
            </w:r>
            <w:r w:rsidR="00F709BD" w:rsidRPr="00F969F4">
              <w:rPr>
                <w:rFonts w:asciiTheme="majorHAnsi" w:eastAsia="Times New Roman" w:hAnsiTheme="majorHAnsi" w:cs="Arial"/>
                <w:sz w:val="20"/>
                <w:szCs w:val="20"/>
                <w:lang w:eastAsia="en-AU"/>
              </w:rPr>
              <w:t>W</w:t>
            </w:r>
          </w:p>
        </w:tc>
      </w:tr>
      <w:tr w:rsidR="008163B6" w14:paraId="5A237E9E" w14:textId="77777777">
        <w:tc>
          <w:tcPr>
            <w:tcW w:w="1070" w:type="pct"/>
          </w:tcPr>
          <w:p w14:paraId="4E2FA4CC" w14:textId="77777777" w:rsidR="008163B6" w:rsidRPr="00F969F4" w:rsidRDefault="00F709BD">
            <w:pPr>
              <w:pStyle w:val="TableText"/>
              <w:rPr>
                <w:rFonts w:ascii="Cambria" w:hAnsi="Cambria"/>
                <w:sz w:val="20"/>
                <w:szCs w:val="20"/>
              </w:rPr>
            </w:pPr>
            <w:r w:rsidRPr="00F969F4">
              <w:rPr>
                <w:rFonts w:ascii="Cambria" w:hAnsi="Cambria"/>
                <w:sz w:val="20"/>
                <w:szCs w:val="20"/>
              </w:rPr>
              <w:t>Common name(s)</w:t>
            </w:r>
          </w:p>
        </w:tc>
        <w:tc>
          <w:tcPr>
            <w:tcW w:w="3930" w:type="pct"/>
            <w:vAlign w:val="center"/>
          </w:tcPr>
          <w:p w14:paraId="14D212AF" w14:textId="5EEEA603" w:rsidR="008163B6" w:rsidRPr="00F969F4" w:rsidRDefault="003B1EF1" w:rsidP="00346A06">
            <w:pPr>
              <w:pStyle w:val="TableText"/>
              <w:rPr>
                <w:rFonts w:ascii="Cambria" w:hAnsi="Cambria"/>
                <w:sz w:val="20"/>
                <w:szCs w:val="20"/>
              </w:rPr>
            </w:pPr>
            <w:r w:rsidRPr="00F969F4">
              <w:rPr>
                <w:rFonts w:ascii="Cambria" w:hAnsi="Cambria"/>
                <w:sz w:val="20"/>
                <w:szCs w:val="20"/>
              </w:rPr>
              <w:t>Cucumber green mottle mosaic</w:t>
            </w:r>
            <w:r>
              <w:rPr>
                <w:rFonts w:ascii="Cambria" w:hAnsi="Cambria"/>
                <w:sz w:val="20"/>
                <w:szCs w:val="20"/>
              </w:rPr>
              <w:t>;</w:t>
            </w:r>
            <w:r w:rsidRPr="00F969F4">
              <w:rPr>
                <w:rFonts w:ascii="Cambria" w:hAnsi="Cambria"/>
                <w:sz w:val="20"/>
                <w:szCs w:val="20"/>
              </w:rPr>
              <w:t xml:space="preserve"> </w:t>
            </w:r>
            <w:r w:rsidR="00F709BD" w:rsidRPr="00F969F4">
              <w:rPr>
                <w:rFonts w:ascii="Cambria" w:hAnsi="Cambria"/>
                <w:sz w:val="20"/>
                <w:szCs w:val="20"/>
              </w:rPr>
              <w:t xml:space="preserve">White break mosaic </w:t>
            </w:r>
          </w:p>
        </w:tc>
      </w:tr>
      <w:tr w:rsidR="008163B6" w14:paraId="39C3B395" w14:textId="77777777">
        <w:tc>
          <w:tcPr>
            <w:tcW w:w="1070" w:type="pct"/>
          </w:tcPr>
          <w:p w14:paraId="1EBD5256" w14:textId="77777777" w:rsidR="008163B6" w:rsidRPr="00F969F4" w:rsidRDefault="00F709BD">
            <w:pPr>
              <w:pStyle w:val="TableText"/>
              <w:rPr>
                <w:rFonts w:ascii="Cambria" w:hAnsi="Cambria"/>
                <w:sz w:val="20"/>
                <w:szCs w:val="20"/>
              </w:rPr>
            </w:pPr>
            <w:r w:rsidRPr="00F969F4">
              <w:rPr>
                <w:rFonts w:ascii="Cambria" w:hAnsi="Cambria"/>
                <w:sz w:val="20"/>
                <w:szCs w:val="20"/>
              </w:rPr>
              <w:t>Main hosts</w:t>
            </w:r>
          </w:p>
        </w:tc>
        <w:tc>
          <w:tcPr>
            <w:tcW w:w="3930" w:type="pct"/>
            <w:vAlign w:val="center"/>
          </w:tcPr>
          <w:p w14:paraId="600C6609" w14:textId="7263E663" w:rsidR="008163B6" w:rsidRPr="00F969F4" w:rsidRDefault="00F709BD">
            <w:pPr>
              <w:pStyle w:val="TableText"/>
              <w:rPr>
                <w:rFonts w:ascii="Cambria" w:hAnsi="Cambria"/>
                <w:color w:val="FF0000"/>
                <w:sz w:val="20"/>
                <w:szCs w:val="20"/>
              </w:rPr>
            </w:pPr>
            <w:r w:rsidRPr="00F969F4">
              <w:rPr>
                <w:rFonts w:ascii="Cambria" w:hAnsi="Cambria"/>
                <w:b/>
                <w:sz w:val="20"/>
                <w:szCs w:val="20"/>
              </w:rPr>
              <w:t>Cucurbit host</w:t>
            </w:r>
            <w:r w:rsidR="00892465">
              <w:rPr>
                <w:rFonts w:ascii="Cambria" w:hAnsi="Cambria"/>
                <w:b/>
                <w:sz w:val="20"/>
                <w:szCs w:val="20"/>
              </w:rPr>
              <w:t>s</w:t>
            </w:r>
            <w:r w:rsidRPr="00F969F4">
              <w:rPr>
                <w:rFonts w:ascii="Cambria" w:hAnsi="Cambria"/>
                <w:b/>
                <w:sz w:val="20"/>
                <w:szCs w:val="20"/>
              </w:rPr>
              <w:t>:</w:t>
            </w:r>
            <w:r w:rsidRPr="00F969F4">
              <w:rPr>
                <w:rFonts w:ascii="Cambria" w:hAnsi="Cambria"/>
                <w:sz w:val="20"/>
                <w:szCs w:val="20"/>
              </w:rPr>
              <w:t xml:space="preserve"> </w:t>
            </w:r>
            <w:proofErr w:type="spellStart"/>
            <w:r w:rsidRPr="00F969F4">
              <w:rPr>
                <w:rFonts w:ascii="Cambria" w:hAnsi="Cambria"/>
                <w:i/>
                <w:sz w:val="20"/>
                <w:szCs w:val="20"/>
              </w:rPr>
              <w:t>Benincasa</w:t>
            </w:r>
            <w:proofErr w:type="spellEnd"/>
            <w:r w:rsidRPr="00F969F4">
              <w:rPr>
                <w:rFonts w:ascii="Cambria" w:hAnsi="Cambria"/>
                <w:i/>
                <w:sz w:val="20"/>
                <w:szCs w:val="20"/>
              </w:rPr>
              <w:t xml:space="preserve"> </w:t>
            </w:r>
            <w:proofErr w:type="spellStart"/>
            <w:r w:rsidRPr="00F969F4">
              <w:rPr>
                <w:rFonts w:ascii="Cambria" w:hAnsi="Cambria"/>
                <w:i/>
                <w:sz w:val="20"/>
                <w:szCs w:val="20"/>
              </w:rPr>
              <w:t>hispida</w:t>
            </w:r>
            <w:proofErr w:type="spellEnd"/>
            <w:r w:rsidRPr="00F969F4">
              <w:rPr>
                <w:rFonts w:ascii="Cambria" w:hAnsi="Cambria"/>
                <w:i/>
                <w:sz w:val="20"/>
                <w:szCs w:val="20"/>
              </w:rPr>
              <w:t xml:space="preserve"> </w:t>
            </w:r>
            <w:r w:rsidRPr="00F969F4">
              <w:rPr>
                <w:rFonts w:ascii="Cambria" w:hAnsi="Cambria"/>
                <w:sz w:val="20"/>
                <w:szCs w:val="20"/>
              </w:rPr>
              <w:t>(</w:t>
            </w:r>
            <w:r w:rsidRPr="00F969F4">
              <w:rPr>
                <w:rFonts w:ascii="Cambria" w:hAnsi="Cambria"/>
                <w:iCs/>
                <w:sz w:val="20"/>
                <w:szCs w:val="20"/>
              </w:rPr>
              <w:t>Noda et al. 1993</w:t>
            </w:r>
            <w:r w:rsidRPr="00F969F4">
              <w:rPr>
                <w:rFonts w:ascii="Cambria" w:hAnsi="Cambria"/>
                <w:sz w:val="20"/>
                <w:szCs w:val="20"/>
              </w:rPr>
              <w:t xml:space="preserve">), </w:t>
            </w:r>
            <w:r w:rsidRPr="00F969F4">
              <w:rPr>
                <w:rFonts w:ascii="Cambria" w:hAnsi="Cambria"/>
                <w:i/>
                <w:sz w:val="20"/>
                <w:szCs w:val="20"/>
              </w:rPr>
              <w:t xml:space="preserve">Citrullus lanatus </w:t>
            </w:r>
            <w:r w:rsidRPr="00F969F4">
              <w:rPr>
                <w:rFonts w:ascii="Cambria" w:hAnsi="Cambria"/>
                <w:sz w:val="20"/>
                <w:szCs w:val="20"/>
              </w:rPr>
              <w:t>(</w:t>
            </w:r>
            <w:r w:rsidRPr="00F969F4">
              <w:rPr>
                <w:rFonts w:ascii="Cambria" w:hAnsi="Cambria"/>
                <w:iCs/>
                <w:sz w:val="20"/>
                <w:szCs w:val="20"/>
              </w:rPr>
              <w:t xml:space="preserve">Lee et al. 1990; Yoon et al. 2008; </w:t>
            </w:r>
            <w:proofErr w:type="spellStart"/>
            <w:r w:rsidRPr="00F969F4">
              <w:rPr>
                <w:rFonts w:ascii="Cambria" w:hAnsi="Cambria"/>
                <w:iCs/>
                <w:sz w:val="20"/>
                <w:szCs w:val="20"/>
              </w:rPr>
              <w:t>Reingold</w:t>
            </w:r>
            <w:proofErr w:type="spellEnd"/>
            <w:r w:rsidRPr="00F969F4">
              <w:rPr>
                <w:rFonts w:ascii="Cambria" w:hAnsi="Cambria"/>
                <w:iCs/>
                <w:sz w:val="20"/>
                <w:szCs w:val="20"/>
              </w:rPr>
              <w:t xml:space="preserve"> et al. 2015)</w:t>
            </w:r>
            <w:r w:rsidRPr="00F969F4">
              <w:rPr>
                <w:rFonts w:ascii="Cambria" w:hAnsi="Cambria"/>
                <w:sz w:val="20"/>
                <w:szCs w:val="20"/>
              </w:rPr>
              <w:t>,</w:t>
            </w:r>
            <w:r w:rsidRPr="00F969F4">
              <w:rPr>
                <w:rFonts w:ascii="Cambria" w:hAnsi="Cambria"/>
                <w:i/>
                <w:sz w:val="20"/>
                <w:szCs w:val="20"/>
              </w:rPr>
              <w:t xml:space="preserve"> Cucumis </w:t>
            </w:r>
            <w:proofErr w:type="spellStart"/>
            <w:r w:rsidRPr="00F969F4">
              <w:rPr>
                <w:rFonts w:ascii="Cambria" w:hAnsi="Cambria"/>
                <w:i/>
                <w:sz w:val="20"/>
                <w:szCs w:val="20"/>
              </w:rPr>
              <w:t>anguria</w:t>
            </w:r>
            <w:proofErr w:type="spellEnd"/>
            <w:r w:rsidRPr="00F969F4">
              <w:rPr>
                <w:rFonts w:ascii="Cambria" w:hAnsi="Cambria"/>
                <w:i/>
                <w:sz w:val="20"/>
                <w:szCs w:val="20"/>
              </w:rPr>
              <w:t xml:space="preserve"> </w:t>
            </w:r>
            <w:r w:rsidRPr="00F969F4">
              <w:rPr>
                <w:rFonts w:ascii="Cambria" w:hAnsi="Cambria"/>
                <w:sz w:val="20"/>
                <w:szCs w:val="20"/>
              </w:rPr>
              <w:t>(</w:t>
            </w:r>
            <w:r w:rsidRPr="00F969F4">
              <w:rPr>
                <w:rFonts w:ascii="Cambria" w:hAnsi="Cambria"/>
                <w:iCs/>
                <w:sz w:val="20"/>
                <w:szCs w:val="20"/>
              </w:rPr>
              <w:t>Rashmi et al. 2005</w:t>
            </w:r>
            <w:r w:rsidRPr="00F969F4">
              <w:rPr>
                <w:rFonts w:ascii="Cambria" w:hAnsi="Cambria"/>
                <w:sz w:val="20"/>
                <w:szCs w:val="20"/>
              </w:rPr>
              <w:t xml:space="preserve">), </w:t>
            </w:r>
            <w:r w:rsidRPr="00F969F4">
              <w:rPr>
                <w:rFonts w:ascii="Cambria" w:hAnsi="Cambria"/>
                <w:i/>
                <w:sz w:val="20"/>
                <w:szCs w:val="20"/>
              </w:rPr>
              <w:t xml:space="preserve">Cucumis sativus </w:t>
            </w:r>
            <w:r w:rsidRPr="00F969F4">
              <w:rPr>
                <w:rFonts w:ascii="Cambria" w:hAnsi="Cambria"/>
                <w:sz w:val="20"/>
                <w:szCs w:val="20"/>
              </w:rPr>
              <w:t>(</w:t>
            </w:r>
            <w:r w:rsidRPr="00F969F4">
              <w:rPr>
                <w:rFonts w:ascii="Cambria" w:hAnsi="Cambria"/>
                <w:iCs/>
                <w:sz w:val="20"/>
                <w:szCs w:val="20"/>
              </w:rPr>
              <w:t>Liu et al. 2014</w:t>
            </w:r>
            <w:r w:rsidRPr="00F969F4">
              <w:rPr>
                <w:rFonts w:ascii="Cambria" w:hAnsi="Cambria"/>
                <w:sz w:val="20"/>
                <w:szCs w:val="20"/>
              </w:rPr>
              <w:t xml:space="preserve">), </w:t>
            </w:r>
            <w:r w:rsidRPr="00F969F4">
              <w:rPr>
                <w:rFonts w:ascii="Cambria" w:hAnsi="Cambria"/>
                <w:i/>
                <w:sz w:val="20"/>
                <w:szCs w:val="20"/>
              </w:rPr>
              <w:t xml:space="preserve">Cucumis melo </w:t>
            </w:r>
            <w:r w:rsidRPr="00F969F4">
              <w:rPr>
                <w:rFonts w:ascii="Cambria" w:hAnsi="Cambria"/>
                <w:sz w:val="20"/>
                <w:szCs w:val="20"/>
              </w:rPr>
              <w:t>(</w:t>
            </w:r>
            <w:r w:rsidRPr="00F969F4">
              <w:rPr>
                <w:rFonts w:ascii="Cambria" w:hAnsi="Cambria"/>
                <w:iCs/>
                <w:sz w:val="20"/>
                <w:szCs w:val="20"/>
              </w:rPr>
              <w:t xml:space="preserve">Sugiyama et al. 2006; Tian et al. 2014; </w:t>
            </w:r>
            <w:proofErr w:type="spellStart"/>
            <w:r w:rsidRPr="00F969F4">
              <w:rPr>
                <w:rFonts w:ascii="Cambria" w:hAnsi="Cambria"/>
                <w:iCs/>
                <w:sz w:val="20"/>
                <w:szCs w:val="20"/>
              </w:rPr>
              <w:t>Reingold</w:t>
            </w:r>
            <w:proofErr w:type="spellEnd"/>
            <w:r w:rsidRPr="00F969F4">
              <w:rPr>
                <w:rFonts w:ascii="Cambria" w:hAnsi="Cambria"/>
                <w:iCs/>
                <w:sz w:val="20"/>
                <w:szCs w:val="20"/>
              </w:rPr>
              <w:t xml:space="preserve"> et al. 2015</w:t>
            </w:r>
            <w:r w:rsidRPr="00F969F4">
              <w:rPr>
                <w:rFonts w:ascii="Cambria" w:hAnsi="Cambria"/>
                <w:sz w:val="20"/>
                <w:szCs w:val="20"/>
              </w:rPr>
              <w:t xml:space="preserve">), </w:t>
            </w:r>
            <w:r w:rsidRPr="00F969F4">
              <w:rPr>
                <w:rFonts w:ascii="Cambria" w:hAnsi="Cambria"/>
                <w:i/>
                <w:sz w:val="20"/>
                <w:szCs w:val="20"/>
              </w:rPr>
              <w:t>Cucurbita maxima</w:t>
            </w:r>
            <w:r w:rsidR="002C4AC8" w:rsidRPr="00F969F4">
              <w:rPr>
                <w:rFonts w:ascii="Cambria" w:hAnsi="Cambria"/>
                <w:i/>
                <w:sz w:val="20"/>
                <w:szCs w:val="20"/>
              </w:rPr>
              <w:t xml:space="preserve"> </w:t>
            </w:r>
            <w:r w:rsidR="002C4AC8" w:rsidRPr="00F969F4">
              <w:rPr>
                <w:rFonts w:ascii="Cambria" w:hAnsi="Cambria"/>
                <w:iCs/>
                <w:sz w:val="20"/>
                <w:szCs w:val="20"/>
              </w:rPr>
              <w:t>(Stephen West [NT D</w:t>
            </w:r>
            <w:r w:rsidR="00326368" w:rsidRPr="00F969F4">
              <w:rPr>
                <w:rFonts w:ascii="Cambria" w:hAnsi="Cambria"/>
                <w:iCs/>
                <w:sz w:val="20"/>
                <w:szCs w:val="20"/>
              </w:rPr>
              <w:t>PIF</w:t>
            </w:r>
            <w:r w:rsidR="002C4AC8" w:rsidRPr="00F969F4">
              <w:rPr>
                <w:rFonts w:ascii="Cambria" w:hAnsi="Cambria"/>
                <w:iCs/>
                <w:sz w:val="20"/>
                <w:szCs w:val="20"/>
              </w:rPr>
              <w:t>] 2015, pers. comm., 9 September)</w:t>
            </w:r>
            <w:r w:rsidRPr="00F969F4">
              <w:rPr>
                <w:rFonts w:ascii="Cambria" w:hAnsi="Cambria"/>
                <w:iCs/>
                <w:sz w:val="20"/>
                <w:szCs w:val="20"/>
              </w:rPr>
              <w:t xml:space="preserve">, </w:t>
            </w:r>
            <w:r w:rsidR="00746090" w:rsidRPr="00F969F4">
              <w:rPr>
                <w:rFonts w:ascii="Cambria" w:hAnsi="Cambria"/>
                <w:i/>
                <w:iCs/>
                <w:sz w:val="20"/>
                <w:szCs w:val="20"/>
              </w:rPr>
              <w:t xml:space="preserve">Cucurbita maxima x Cucurbita moschata </w:t>
            </w:r>
            <w:r w:rsidR="00746090" w:rsidRPr="00F969F4">
              <w:rPr>
                <w:rFonts w:ascii="Cambria" w:hAnsi="Cambria"/>
                <w:iCs/>
                <w:sz w:val="20"/>
                <w:szCs w:val="20"/>
              </w:rPr>
              <w:t>(</w:t>
            </w:r>
            <w:r w:rsidR="00BC4D0C" w:rsidRPr="00F969F4">
              <w:rPr>
                <w:rFonts w:asciiTheme="majorHAnsi" w:hAnsiTheme="majorHAnsi"/>
                <w:iCs/>
                <w:sz w:val="20"/>
                <w:szCs w:val="20"/>
              </w:rPr>
              <w:t>Fiona Constable [D</w:t>
            </w:r>
            <w:r w:rsidR="00326368" w:rsidRPr="00F969F4">
              <w:rPr>
                <w:rFonts w:asciiTheme="majorHAnsi" w:hAnsiTheme="majorHAnsi"/>
                <w:iCs/>
                <w:sz w:val="20"/>
                <w:szCs w:val="20"/>
              </w:rPr>
              <w:t>EDJTR</w:t>
            </w:r>
            <w:r w:rsidR="00BC4D0C" w:rsidRPr="00F969F4">
              <w:rPr>
                <w:rFonts w:asciiTheme="majorHAnsi" w:hAnsiTheme="majorHAnsi"/>
                <w:iCs/>
                <w:sz w:val="20"/>
                <w:szCs w:val="20"/>
              </w:rPr>
              <w:t>] 2015, pers. comm., 2 December</w:t>
            </w:r>
            <w:r w:rsidR="00746090" w:rsidRPr="00F969F4">
              <w:rPr>
                <w:rFonts w:ascii="Cambria" w:hAnsi="Cambria"/>
                <w:iCs/>
                <w:sz w:val="20"/>
                <w:szCs w:val="20"/>
              </w:rPr>
              <w:t xml:space="preserve">), </w:t>
            </w:r>
            <w:r w:rsidRPr="00F969F4">
              <w:rPr>
                <w:rFonts w:ascii="Cambria" w:hAnsi="Cambria"/>
                <w:i/>
                <w:sz w:val="20"/>
                <w:szCs w:val="20"/>
              </w:rPr>
              <w:t xml:space="preserve">Cucurbita moschata </w:t>
            </w:r>
            <w:r w:rsidRPr="00F969F4">
              <w:rPr>
                <w:rFonts w:ascii="Cambria" w:hAnsi="Cambria"/>
                <w:sz w:val="20"/>
                <w:szCs w:val="20"/>
              </w:rPr>
              <w:t>(</w:t>
            </w:r>
            <w:r w:rsidRPr="00F969F4">
              <w:rPr>
                <w:rFonts w:ascii="Cambria" w:hAnsi="Cambria"/>
                <w:iCs/>
                <w:sz w:val="20"/>
                <w:szCs w:val="20"/>
              </w:rPr>
              <w:t>Noda et al. 1993; Zhang et al. 2009</w:t>
            </w:r>
            <w:r w:rsidRPr="00F969F4">
              <w:rPr>
                <w:rFonts w:ascii="Cambria" w:hAnsi="Cambria"/>
                <w:sz w:val="20"/>
                <w:szCs w:val="20"/>
              </w:rPr>
              <w:t>),</w:t>
            </w:r>
            <w:r w:rsidRPr="00F969F4">
              <w:rPr>
                <w:rFonts w:ascii="Cambria" w:hAnsi="Cambria"/>
                <w:i/>
                <w:sz w:val="20"/>
                <w:szCs w:val="20"/>
              </w:rPr>
              <w:t xml:space="preserve"> Cucurbita pepo </w:t>
            </w:r>
            <w:r w:rsidRPr="00F969F4">
              <w:rPr>
                <w:rFonts w:ascii="Cambria" w:hAnsi="Cambria"/>
                <w:sz w:val="20"/>
                <w:szCs w:val="20"/>
              </w:rPr>
              <w:t>(</w:t>
            </w:r>
            <w:r w:rsidR="00163C5B">
              <w:rPr>
                <w:rFonts w:ascii="Cambria" w:hAnsi="Cambria"/>
                <w:iCs/>
                <w:sz w:val="20"/>
                <w:szCs w:val="20"/>
              </w:rPr>
              <w:t>Qin et al. 2005; Al-</w:t>
            </w:r>
            <w:proofErr w:type="spellStart"/>
            <w:r w:rsidR="00163C5B">
              <w:rPr>
                <w:rFonts w:ascii="Cambria" w:hAnsi="Cambria"/>
                <w:iCs/>
                <w:sz w:val="20"/>
                <w:szCs w:val="20"/>
              </w:rPr>
              <w:t>Tamimi</w:t>
            </w:r>
            <w:proofErr w:type="spellEnd"/>
            <w:r w:rsidRPr="00F969F4">
              <w:rPr>
                <w:rFonts w:ascii="Cambria" w:hAnsi="Cambria"/>
                <w:iCs/>
                <w:sz w:val="20"/>
                <w:szCs w:val="20"/>
              </w:rPr>
              <w:t xml:space="preserve"> et al. 2009</w:t>
            </w:r>
            <w:r w:rsidRPr="00F969F4">
              <w:rPr>
                <w:rFonts w:ascii="Cambria" w:hAnsi="Cambria"/>
                <w:sz w:val="20"/>
                <w:szCs w:val="20"/>
              </w:rPr>
              <w:t xml:space="preserve">), </w:t>
            </w:r>
            <w:r w:rsidRPr="00F969F4">
              <w:rPr>
                <w:rFonts w:ascii="Cambria" w:hAnsi="Cambria"/>
                <w:i/>
                <w:sz w:val="20"/>
                <w:szCs w:val="20"/>
              </w:rPr>
              <w:t xml:space="preserve">Lagenaria siceraria </w:t>
            </w:r>
            <w:r w:rsidRPr="00F969F4">
              <w:rPr>
                <w:rFonts w:ascii="Cambria" w:hAnsi="Cambria"/>
                <w:sz w:val="20"/>
                <w:szCs w:val="20"/>
              </w:rPr>
              <w:t>(</w:t>
            </w:r>
            <w:proofErr w:type="spellStart"/>
            <w:r w:rsidRPr="00F969F4">
              <w:rPr>
                <w:rFonts w:ascii="Cambria" w:hAnsi="Cambria"/>
                <w:sz w:val="20"/>
                <w:szCs w:val="20"/>
              </w:rPr>
              <w:t>Boubourakas</w:t>
            </w:r>
            <w:proofErr w:type="spellEnd"/>
            <w:r w:rsidRPr="00F969F4">
              <w:rPr>
                <w:rFonts w:ascii="Cambria" w:hAnsi="Cambria"/>
                <w:sz w:val="20"/>
                <w:szCs w:val="20"/>
              </w:rPr>
              <w:t xml:space="preserve"> et al. 2004; Zhang </w:t>
            </w:r>
            <w:r w:rsidRPr="00F969F4">
              <w:rPr>
                <w:rFonts w:ascii="Cambria" w:hAnsi="Cambria"/>
                <w:iCs/>
                <w:sz w:val="20"/>
                <w:szCs w:val="20"/>
              </w:rPr>
              <w:t>et al</w:t>
            </w:r>
            <w:r w:rsidRPr="00F969F4">
              <w:rPr>
                <w:rFonts w:ascii="Cambria" w:hAnsi="Cambria"/>
                <w:sz w:val="20"/>
                <w:szCs w:val="20"/>
              </w:rPr>
              <w:t xml:space="preserve">. 2009), </w:t>
            </w:r>
            <w:r w:rsidRPr="00F969F4">
              <w:rPr>
                <w:rFonts w:ascii="Cambria" w:hAnsi="Cambria"/>
                <w:i/>
                <w:sz w:val="20"/>
                <w:szCs w:val="20"/>
              </w:rPr>
              <w:t xml:space="preserve">Luffa </w:t>
            </w:r>
            <w:proofErr w:type="spellStart"/>
            <w:r w:rsidRPr="00F969F4">
              <w:rPr>
                <w:rFonts w:ascii="Cambria" w:hAnsi="Cambria"/>
                <w:i/>
                <w:sz w:val="20"/>
                <w:szCs w:val="20"/>
              </w:rPr>
              <w:t>acutangula</w:t>
            </w:r>
            <w:proofErr w:type="spellEnd"/>
            <w:r w:rsidRPr="00F969F4">
              <w:rPr>
                <w:rFonts w:ascii="Cambria" w:hAnsi="Cambria"/>
                <w:i/>
                <w:sz w:val="20"/>
                <w:szCs w:val="20"/>
              </w:rPr>
              <w:t xml:space="preserve"> </w:t>
            </w:r>
            <w:r w:rsidRPr="00F969F4">
              <w:rPr>
                <w:rFonts w:ascii="Cambria" w:hAnsi="Cambria"/>
                <w:sz w:val="20"/>
                <w:szCs w:val="20"/>
              </w:rPr>
              <w:t xml:space="preserve">(Noda et al. 1993; Sharma et al. 2014), </w:t>
            </w:r>
            <w:r w:rsidRPr="00F969F4">
              <w:rPr>
                <w:rFonts w:ascii="Cambria" w:hAnsi="Cambria"/>
                <w:i/>
                <w:sz w:val="20"/>
                <w:szCs w:val="20"/>
              </w:rPr>
              <w:t xml:space="preserve">Luffa </w:t>
            </w:r>
            <w:proofErr w:type="spellStart"/>
            <w:r w:rsidRPr="00F969F4">
              <w:rPr>
                <w:rFonts w:ascii="Cambria" w:hAnsi="Cambria"/>
                <w:i/>
                <w:sz w:val="20"/>
                <w:szCs w:val="20"/>
              </w:rPr>
              <w:t>cylindrica</w:t>
            </w:r>
            <w:proofErr w:type="spellEnd"/>
            <w:r w:rsidRPr="00F969F4">
              <w:rPr>
                <w:rFonts w:ascii="Cambria" w:hAnsi="Cambria"/>
                <w:i/>
                <w:sz w:val="20"/>
                <w:szCs w:val="20"/>
              </w:rPr>
              <w:t xml:space="preserve"> </w:t>
            </w:r>
            <w:r w:rsidRPr="00F969F4">
              <w:rPr>
                <w:rFonts w:ascii="Cambria" w:hAnsi="Cambria"/>
                <w:sz w:val="20"/>
                <w:szCs w:val="20"/>
              </w:rPr>
              <w:t xml:space="preserve">(Noda et al. 1993), </w:t>
            </w:r>
            <w:proofErr w:type="spellStart"/>
            <w:r w:rsidRPr="00F969F4">
              <w:rPr>
                <w:rFonts w:ascii="Cambria" w:hAnsi="Cambria"/>
                <w:i/>
                <w:sz w:val="20"/>
                <w:szCs w:val="20"/>
              </w:rPr>
              <w:t>Momordica</w:t>
            </w:r>
            <w:proofErr w:type="spellEnd"/>
            <w:r w:rsidRPr="00F969F4">
              <w:rPr>
                <w:rFonts w:ascii="Cambria" w:hAnsi="Cambria"/>
                <w:i/>
                <w:sz w:val="20"/>
                <w:szCs w:val="20"/>
              </w:rPr>
              <w:t xml:space="preserve"> </w:t>
            </w:r>
            <w:proofErr w:type="spellStart"/>
            <w:r w:rsidRPr="00F969F4">
              <w:rPr>
                <w:rFonts w:ascii="Cambria" w:hAnsi="Cambria"/>
                <w:i/>
                <w:sz w:val="20"/>
                <w:szCs w:val="20"/>
              </w:rPr>
              <w:t>charantia</w:t>
            </w:r>
            <w:proofErr w:type="spellEnd"/>
            <w:r w:rsidRPr="00F969F4">
              <w:rPr>
                <w:rFonts w:ascii="Cambria" w:hAnsi="Cambria"/>
                <w:i/>
                <w:sz w:val="20"/>
                <w:szCs w:val="20"/>
              </w:rPr>
              <w:t xml:space="preserve"> </w:t>
            </w:r>
            <w:r w:rsidRPr="00F969F4">
              <w:rPr>
                <w:rFonts w:ascii="Cambria" w:hAnsi="Cambria"/>
                <w:sz w:val="20"/>
                <w:szCs w:val="20"/>
              </w:rPr>
              <w:t>(Pandey &amp; Joshi 1989; Noda et al. 1993)</w:t>
            </w:r>
            <w:r w:rsidRPr="00F969F4">
              <w:rPr>
                <w:rFonts w:ascii="Cambria" w:hAnsi="Cambria"/>
                <w:i/>
                <w:sz w:val="20"/>
                <w:szCs w:val="20"/>
              </w:rPr>
              <w:t xml:space="preserve"> </w:t>
            </w:r>
            <w:r w:rsidRPr="00F969F4">
              <w:rPr>
                <w:rFonts w:ascii="Cambria" w:hAnsi="Cambria"/>
                <w:sz w:val="20"/>
                <w:szCs w:val="20"/>
              </w:rPr>
              <w:t xml:space="preserve">and </w:t>
            </w:r>
            <w:r w:rsidRPr="00F969F4">
              <w:rPr>
                <w:rFonts w:ascii="Cambria" w:hAnsi="Cambria"/>
                <w:i/>
                <w:sz w:val="20"/>
                <w:szCs w:val="20"/>
              </w:rPr>
              <w:t xml:space="preserve">Trichosanthes cucumerina </w:t>
            </w:r>
            <w:r w:rsidRPr="00F969F4">
              <w:rPr>
                <w:rFonts w:ascii="Cambria" w:hAnsi="Cambria"/>
                <w:sz w:val="20"/>
                <w:szCs w:val="20"/>
              </w:rPr>
              <w:t>(</w:t>
            </w:r>
            <w:proofErr w:type="spellStart"/>
            <w:r w:rsidRPr="00F969F4">
              <w:rPr>
                <w:rFonts w:ascii="Cambria" w:hAnsi="Cambria"/>
                <w:sz w:val="20"/>
                <w:szCs w:val="20"/>
              </w:rPr>
              <w:t>Ariyaratne</w:t>
            </w:r>
            <w:proofErr w:type="spellEnd"/>
            <w:r w:rsidRPr="00F969F4">
              <w:rPr>
                <w:rFonts w:ascii="Cambria" w:hAnsi="Cambria"/>
                <w:sz w:val="20"/>
                <w:szCs w:val="20"/>
              </w:rPr>
              <w:t xml:space="preserve"> et al. 2005; </w:t>
            </w:r>
            <w:proofErr w:type="spellStart"/>
            <w:r w:rsidRPr="00F969F4">
              <w:rPr>
                <w:rFonts w:ascii="Cambria" w:hAnsi="Cambria"/>
                <w:sz w:val="20"/>
                <w:szCs w:val="20"/>
              </w:rPr>
              <w:t>Nagendran</w:t>
            </w:r>
            <w:proofErr w:type="spellEnd"/>
            <w:r w:rsidRPr="00F969F4">
              <w:rPr>
                <w:rFonts w:ascii="Cambria" w:hAnsi="Cambria"/>
                <w:sz w:val="20"/>
                <w:szCs w:val="20"/>
              </w:rPr>
              <w:t xml:space="preserve"> et al. 2015).</w:t>
            </w:r>
          </w:p>
          <w:p w14:paraId="56B35B55" w14:textId="5E01CB04" w:rsidR="008163B6" w:rsidRPr="00F969F4" w:rsidRDefault="00F709BD" w:rsidP="00163C5B">
            <w:pPr>
              <w:pStyle w:val="TableText"/>
              <w:rPr>
                <w:rFonts w:ascii="Cambria" w:hAnsi="Cambria"/>
                <w:color w:val="FF0000"/>
                <w:sz w:val="20"/>
                <w:szCs w:val="20"/>
              </w:rPr>
            </w:pPr>
            <w:r w:rsidRPr="00F969F4">
              <w:rPr>
                <w:rFonts w:ascii="Cambria" w:hAnsi="Cambria"/>
                <w:b/>
                <w:sz w:val="20"/>
                <w:szCs w:val="20"/>
              </w:rPr>
              <w:t>Weed hosts:</w:t>
            </w:r>
            <w:r w:rsidRPr="00F969F4">
              <w:rPr>
                <w:rFonts w:ascii="Cambria" w:hAnsi="Cambria"/>
                <w:sz w:val="20"/>
                <w:szCs w:val="20"/>
              </w:rPr>
              <w:t xml:space="preserve"> </w:t>
            </w:r>
            <w:proofErr w:type="spellStart"/>
            <w:r w:rsidR="00163C5B">
              <w:rPr>
                <w:rFonts w:ascii="Cambria" w:hAnsi="Cambria"/>
                <w:i/>
                <w:sz w:val="20"/>
                <w:szCs w:val="20"/>
              </w:rPr>
              <w:t>Amaranthus</w:t>
            </w:r>
            <w:proofErr w:type="spellEnd"/>
            <w:r w:rsidR="00163C5B">
              <w:rPr>
                <w:rFonts w:ascii="Cambria" w:hAnsi="Cambria"/>
                <w:i/>
                <w:sz w:val="20"/>
                <w:szCs w:val="20"/>
              </w:rPr>
              <w:t xml:space="preserve"> </w:t>
            </w:r>
            <w:proofErr w:type="spellStart"/>
            <w:r w:rsidR="00163C5B">
              <w:rPr>
                <w:rFonts w:ascii="Cambria" w:hAnsi="Cambria"/>
                <w:i/>
                <w:sz w:val="20"/>
                <w:szCs w:val="20"/>
              </w:rPr>
              <w:t>retroflexus</w:t>
            </w:r>
            <w:proofErr w:type="spellEnd"/>
            <w:r w:rsidRPr="00F969F4">
              <w:rPr>
                <w:rFonts w:ascii="Cambria" w:hAnsi="Cambria"/>
                <w:sz w:val="20"/>
                <w:szCs w:val="20"/>
              </w:rPr>
              <w:t xml:space="preserve">, </w:t>
            </w:r>
            <w:r w:rsidRPr="00F969F4">
              <w:rPr>
                <w:rFonts w:ascii="Cambria" w:hAnsi="Cambria"/>
                <w:i/>
                <w:sz w:val="20"/>
                <w:szCs w:val="20"/>
              </w:rPr>
              <w:t xml:space="preserve">A. </w:t>
            </w:r>
            <w:proofErr w:type="spellStart"/>
            <w:r w:rsidRPr="00F969F4">
              <w:rPr>
                <w:rFonts w:ascii="Cambria" w:hAnsi="Cambria"/>
                <w:i/>
                <w:sz w:val="20"/>
                <w:szCs w:val="20"/>
              </w:rPr>
              <w:t>blitoides</w:t>
            </w:r>
            <w:proofErr w:type="spellEnd"/>
            <w:r w:rsidRPr="00F969F4">
              <w:rPr>
                <w:rFonts w:ascii="Cambria" w:hAnsi="Cambria"/>
                <w:sz w:val="20"/>
                <w:szCs w:val="20"/>
              </w:rPr>
              <w:t xml:space="preserve">, </w:t>
            </w:r>
            <w:r w:rsidRPr="00F969F4">
              <w:rPr>
                <w:rFonts w:ascii="Cambria" w:hAnsi="Cambria"/>
                <w:i/>
                <w:sz w:val="20"/>
                <w:szCs w:val="20"/>
              </w:rPr>
              <w:t xml:space="preserve">A. </w:t>
            </w:r>
            <w:proofErr w:type="spellStart"/>
            <w:r w:rsidRPr="00F969F4">
              <w:rPr>
                <w:rFonts w:ascii="Cambria" w:hAnsi="Cambria"/>
                <w:i/>
                <w:sz w:val="20"/>
                <w:szCs w:val="20"/>
              </w:rPr>
              <w:t>viridis</w:t>
            </w:r>
            <w:proofErr w:type="spellEnd"/>
            <w:r w:rsidRPr="00F969F4">
              <w:rPr>
                <w:rFonts w:ascii="Cambria" w:hAnsi="Cambria"/>
                <w:sz w:val="20"/>
                <w:szCs w:val="20"/>
              </w:rPr>
              <w:t xml:space="preserve">, </w:t>
            </w:r>
            <w:proofErr w:type="spellStart"/>
            <w:r w:rsidRPr="00F969F4">
              <w:rPr>
                <w:rFonts w:ascii="Cambria" w:hAnsi="Cambria"/>
                <w:i/>
                <w:sz w:val="20"/>
                <w:szCs w:val="20"/>
              </w:rPr>
              <w:t>Chenopodium</w:t>
            </w:r>
            <w:proofErr w:type="spellEnd"/>
            <w:r w:rsidRPr="00F969F4">
              <w:rPr>
                <w:rFonts w:ascii="Cambria" w:hAnsi="Cambria"/>
                <w:i/>
                <w:sz w:val="20"/>
                <w:szCs w:val="20"/>
              </w:rPr>
              <w:t xml:space="preserve"> album</w:t>
            </w:r>
            <w:r w:rsidRPr="00F969F4">
              <w:rPr>
                <w:rFonts w:ascii="Cambria" w:hAnsi="Cambria"/>
                <w:sz w:val="20"/>
                <w:szCs w:val="20"/>
              </w:rPr>
              <w:t xml:space="preserve">, </w:t>
            </w:r>
            <w:proofErr w:type="spellStart"/>
            <w:r w:rsidRPr="00F969F4">
              <w:rPr>
                <w:rFonts w:ascii="Cambria" w:hAnsi="Cambria"/>
                <w:i/>
                <w:sz w:val="20"/>
                <w:szCs w:val="20"/>
              </w:rPr>
              <w:t>Heliotropium</w:t>
            </w:r>
            <w:proofErr w:type="spellEnd"/>
            <w:r w:rsidRPr="00F969F4">
              <w:rPr>
                <w:rFonts w:ascii="Cambria" w:hAnsi="Cambria"/>
                <w:i/>
                <w:sz w:val="20"/>
                <w:szCs w:val="20"/>
              </w:rPr>
              <w:t xml:space="preserve"> </w:t>
            </w:r>
            <w:proofErr w:type="spellStart"/>
            <w:r w:rsidRPr="00F969F4">
              <w:rPr>
                <w:rFonts w:ascii="Cambria" w:hAnsi="Cambria"/>
                <w:i/>
                <w:sz w:val="20"/>
                <w:szCs w:val="20"/>
              </w:rPr>
              <w:t>europaeum</w:t>
            </w:r>
            <w:proofErr w:type="spellEnd"/>
            <w:r w:rsidRPr="00F969F4">
              <w:rPr>
                <w:rFonts w:ascii="Cambria" w:hAnsi="Cambria"/>
                <w:sz w:val="20"/>
                <w:szCs w:val="20"/>
              </w:rPr>
              <w:t xml:space="preserve">, </w:t>
            </w:r>
            <w:proofErr w:type="spellStart"/>
            <w:r w:rsidRPr="00F969F4">
              <w:rPr>
                <w:rFonts w:ascii="Cambria" w:hAnsi="Cambria"/>
                <w:i/>
                <w:sz w:val="20"/>
                <w:szCs w:val="20"/>
              </w:rPr>
              <w:t>Heracleum</w:t>
            </w:r>
            <w:proofErr w:type="spellEnd"/>
            <w:r w:rsidRPr="00F969F4">
              <w:rPr>
                <w:rFonts w:ascii="Cambria" w:hAnsi="Cambria"/>
                <w:i/>
                <w:sz w:val="20"/>
                <w:szCs w:val="20"/>
              </w:rPr>
              <w:t xml:space="preserve"> </w:t>
            </w:r>
            <w:proofErr w:type="spellStart"/>
            <w:r w:rsidRPr="00F969F4">
              <w:rPr>
                <w:rFonts w:ascii="Cambria" w:hAnsi="Cambria"/>
                <w:i/>
                <w:sz w:val="20"/>
                <w:szCs w:val="20"/>
              </w:rPr>
              <w:t>moellendorffii</w:t>
            </w:r>
            <w:proofErr w:type="spellEnd"/>
            <w:r w:rsidRPr="00F969F4">
              <w:rPr>
                <w:rFonts w:ascii="Cambria" w:hAnsi="Cambria"/>
                <w:sz w:val="20"/>
                <w:szCs w:val="20"/>
              </w:rPr>
              <w:t xml:space="preserve">, </w:t>
            </w:r>
            <w:r w:rsidRPr="00F969F4">
              <w:rPr>
                <w:rFonts w:ascii="Cambria" w:hAnsi="Cambria"/>
                <w:i/>
                <w:sz w:val="20"/>
                <w:szCs w:val="20"/>
              </w:rPr>
              <w:t xml:space="preserve">Portulaca </w:t>
            </w:r>
            <w:proofErr w:type="spellStart"/>
            <w:r w:rsidRPr="00F969F4">
              <w:rPr>
                <w:rFonts w:ascii="Cambria" w:hAnsi="Cambria"/>
                <w:i/>
                <w:sz w:val="20"/>
                <w:szCs w:val="20"/>
              </w:rPr>
              <w:t>oleracea</w:t>
            </w:r>
            <w:proofErr w:type="spellEnd"/>
            <w:r w:rsidRPr="00F969F4">
              <w:rPr>
                <w:rFonts w:ascii="Cambria" w:hAnsi="Cambria"/>
                <w:sz w:val="20"/>
                <w:szCs w:val="20"/>
              </w:rPr>
              <w:t xml:space="preserve"> and</w:t>
            </w:r>
            <w:r w:rsidRPr="00F969F4">
              <w:rPr>
                <w:rFonts w:ascii="Cambria" w:hAnsi="Cambria"/>
                <w:i/>
                <w:sz w:val="20"/>
                <w:szCs w:val="20"/>
              </w:rPr>
              <w:t xml:space="preserve"> Solanum </w:t>
            </w:r>
            <w:proofErr w:type="spellStart"/>
            <w:r w:rsidRPr="00F969F4">
              <w:rPr>
                <w:rFonts w:ascii="Cambria" w:hAnsi="Cambria"/>
                <w:i/>
                <w:sz w:val="20"/>
                <w:szCs w:val="20"/>
              </w:rPr>
              <w:t>nigrum</w:t>
            </w:r>
            <w:proofErr w:type="spellEnd"/>
            <w:r w:rsidRPr="00F969F4">
              <w:rPr>
                <w:rFonts w:ascii="Cambria" w:hAnsi="Cambria"/>
                <w:sz w:val="20"/>
                <w:szCs w:val="20"/>
              </w:rPr>
              <w:t xml:space="preserve"> (</w:t>
            </w:r>
            <w:proofErr w:type="spellStart"/>
            <w:r w:rsidRPr="00F969F4">
              <w:rPr>
                <w:rFonts w:ascii="Cambria" w:hAnsi="Cambria"/>
                <w:sz w:val="20"/>
                <w:szCs w:val="20"/>
              </w:rPr>
              <w:t>Boubourakis</w:t>
            </w:r>
            <w:proofErr w:type="spellEnd"/>
            <w:r w:rsidRPr="00F969F4">
              <w:rPr>
                <w:rFonts w:ascii="Cambria" w:hAnsi="Cambria"/>
                <w:sz w:val="20"/>
                <w:szCs w:val="20"/>
              </w:rPr>
              <w:t xml:space="preserve"> et al. 2004; Cho et al. 2015;</w:t>
            </w:r>
            <w:r w:rsidR="002C4AC8" w:rsidRPr="00F969F4">
              <w:rPr>
                <w:rFonts w:ascii="Cambria" w:hAnsi="Cambria"/>
                <w:sz w:val="20"/>
                <w:szCs w:val="20"/>
              </w:rPr>
              <w:t xml:space="preserve"> Stephen West [NT D</w:t>
            </w:r>
            <w:r w:rsidR="00326368" w:rsidRPr="00F969F4">
              <w:rPr>
                <w:rFonts w:ascii="Cambria" w:hAnsi="Cambria"/>
                <w:sz w:val="20"/>
                <w:szCs w:val="20"/>
              </w:rPr>
              <w:t>PIF</w:t>
            </w:r>
            <w:r w:rsidR="002C4AC8" w:rsidRPr="00F969F4">
              <w:rPr>
                <w:rFonts w:ascii="Cambria" w:hAnsi="Cambria"/>
                <w:sz w:val="20"/>
                <w:szCs w:val="20"/>
              </w:rPr>
              <w:t>] 2015, pers. comm., 9 September</w:t>
            </w:r>
            <w:r w:rsidRPr="00F969F4">
              <w:rPr>
                <w:rFonts w:ascii="Cambria" w:hAnsi="Cambria"/>
                <w:sz w:val="20"/>
                <w:szCs w:val="20"/>
              </w:rPr>
              <w:t>).</w:t>
            </w:r>
          </w:p>
        </w:tc>
      </w:tr>
      <w:tr w:rsidR="008163B6" w14:paraId="69452DB4" w14:textId="77777777">
        <w:tc>
          <w:tcPr>
            <w:tcW w:w="1070" w:type="pct"/>
            <w:tcBorders>
              <w:bottom w:val="single" w:sz="4" w:space="0" w:color="D9D9D9" w:themeColor="background1" w:themeShade="D9"/>
            </w:tcBorders>
          </w:tcPr>
          <w:p w14:paraId="23CD1D98" w14:textId="77777777" w:rsidR="008163B6" w:rsidRPr="00F969F4" w:rsidRDefault="00F709BD">
            <w:pPr>
              <w:pStyle w:val="TableText"/>
              <w:rPr>
                <w:rFonts w:ascii="Cambria" w:hAnsi="Cambria"/>
                <w:sz w:val="20"/>
                <w:szCs w:val="20"/>
              </w:rPr>
            </w:pPr>
            <w:r w:rsidRPr="00F969F4">
              <w:rPr>
                <w:rFonts w:ascii="Cambria" w:hAnsi="Cambria"/>
                <w:sz w:val="20"/>
                <w:szCs w:val="20"/>
              </w:rPr>
              <w:t>Distribution</w:t>
            </w:r>
          </w:p>
        </w:tc>
        <w:tc>
          <w:tcPr>
            <w:tcW w:w="3930" w:type="pct"/>
            <w:tcBorders>
              <w:bottom w:val="single" w:sz="4" w:space="0" w:color="D9D9D9" w:themeColor="background1" w:themeShade="D9"/>
            </w:tcBorders>
            <w:vAlign w:val="center"/>
          </w:tcPr>
          <w:p w14:paraId="15286397" w14:textId="532516E0" w:rsidR="008163B6" w:rsidRPr="00F969F4" w:rsidRDefault="00F709BD">
            <w:pPr>
              <w:pStyle w:val="TableText0"/>
              <w:keepNext w:val="0"/>
              <w:rPr>
                <w:rFonts w:ascii="Cambria" w:hAnsi="Cambria"/>
                <w:bCs/>
                <w:color w:val="auto"/>
                <w:sz w:val="20"/>
                <w:lang w:eastAsia="en-AU"/>
              </w:rPr>
            </w:pPr>
            <w:r w:rsidRPr="00F969F4">
              <w:rPr>
                <w:rFonts w:ascii="Cambria" w:hAnsi="Cambria"/>
                <w:bCs/>
                <w:color w:val="auto"/>
                <w:sz w:val="20"/>
                <w:lang w:eastAsia="en-AU"/>
              </w:rPr>
              <w:t>Austria, Bulgaria (CABI 2015), Canada (Ling et al. 2014), China (Liu et al. 2009), Czechoslovakia (CABI 2015), Denmark (NSCFS 2008), Finland (NSCFS 2008), Georgia, Germany (CABI 2015), Greece (</w:t>
            </w:r>
            <w:proofErr w:type="spellStart"/>
            <w:r w:rsidRPr="00F969F4">
              <w:rPr>
                <w:rFonts w:ascii="Cambria" w:hAnsi="Cambria"/>
                <w:bCs/>
                <w:color w:val="auto"/>
                <w:sz w:val="20"/>
                <w:lang w:eastAsia="en-AU"/>
              </w:rPr>
              <w:t>Varveri</w:t>
            </w:r>
            <w:proofErr w:type="spellEnd"/>
            <w:r w:rsidRPr="00F969F4">
              <w:rPr>
                <w:rFonts w:ascii="Cambria" w:hAnsi="Cambria"/>
                <w:bCs/>
                <w:color w:val="auto"/>
                <w:sz w:val="20"/>
                <w:lang w:eastAsia="en-AU"/>
              </w:rPr>
              <w:t xml:space="preserve"> et al. 2002), Hungary (CABI 2015), India (Vani &amp; Varma 1993), Indonesia (</w:t>
            </w:r>
            <w:proofErr w:type="spellStart"/>
            <w:r w:rsidRPr="00F969F4">
              <w:rPr>
                <w:rFonts w:ascii="Cambria" w:hAnsi="Cambria"/>
                <w:bCs/>
                <w:color w:val="auto"/>
                <w:sz w:val="20"/>
                <w:lang w:eastAsia="en-AU"/>
              </w:rPr>
              <w:t>Daryono</w:t>
            </w:r>
            <w:proofErr w:type="spellEnd"/>
            <w:r w:rsidRPr="00F969F4">
              <w:rPr>
                <w:rFonts w:ascii="Cambria" w:hAnsi="Cambria"/>
                <w:bCs/>
                <w:color w:val="auto"/>
                <w:sz w:val="20"/>
                <w:lang w:eastAsia="en-AU"/>
              </w:rPr>
              <w:t xml:space="preserve"> et al. 2014), Iran (</w:t>
            </w:r>
            <w:proofErr w:type="spellStart"/>
            <w:r w:rsidRPr="00F969F4">
              <w:rPr>
                <w:rFonts w:ascii="Cambria" w:hAnsi="Cambria"/>
                <w:bCs/>
                <w:color w:val="auto"/>
                <w:sz w:val="20"/>
                <w:lang w:eastAsia="en-AU"/>
              </w:rPr>
              <w:t>Nematollahi</w:t>
            </w:r>
            <w:proofErr w:type="spellEnd"/>
            <w:r w:rsidRPr="00F969F4">
              <w:rPr>
                <w:rFonts w:ascii="Cambria" w:hAnsi="Cambria"/>
                <w:bCs/>
                <w:color w:val="auto"/>
                <w:sz w:val="20"/>
                <w:lang w:eastAsia="en-AU"/>
              </w:rPr>
              <w:t xml:space="preserve"> et al. 2014), Israel (</w:t>
            </w:r>
            <w:proofErr w:type="spellStart"/>
            <w:r w:rsidRPr="00F969F4">
              <w:rPr>
                <w:rFonts w:ascii="Cambria" w:hAnsi="Cambria"/>
                <w:bCs/>
                <w:color w:val="auto"/>
                <w:sz w:val="20"/>
                <w:lang w:eastAsia="en-AU"/>
              </w:rPr>
              <w:t>Reingold</w:t>
            </w:r>
            <w:proofErr w:type="spellEnd"/>
            <w:r w:rsidRPr="00F969F4">
              <w:rPr>
                <w:rFonts w:ascii="Cambria" w:hAnsi="Cambria"/>
                <w:bCs/>
                <w:color w:val="auto"/>
                <w:sz w:val="20"/>
                <w:lang w:eastAsia="en-AU"/>
              </w:rPr>
              <w:t xml:space="preserve"> et al. 2015), Japan (</w:t>
            </w:r>
            <w:proofErr w:type="spellStart"/>
            <w:r w:rsidRPr="00F969F4">
              <w:rPr>
                <w:rFonts w:ascii="Cambria" w:hAnsi="Cambria"/>
                <w:bCs/>
                <w:color w:val="auto"/>
                <w:sz w:val="20"/>
                <w:lang w:eastAsia="en-AU"/>
              </w:rPr>
              <w:t>Ugaki</w:t>
            </w:r>
            <w:proofErr w:type="spellEnd"/>
            <w:r w:rsidRPr="00F969F4">
              <w:rPr>
                <w:rFonts w:ascii="Cambria" w:hAnsi="Cambria"/>
                <w:bCs/>
                <w:color w:val="auto"/>
                <w:sz w:val="20"/>
                <w:lang w:eastAsia="en-AU"/>
              </w:rPr>
              <w:t xml:space="preserve"> et al. 1991), Korea (Kim et al. 2003), Latvia (</w:t>
            </w:r>
            <w:proofErr w:type="spellStart"/>
            <w:r w:rsidRPr="00F969F4">
              <w:rPr>
                <w:rFonts w:ascii="Cambria" w:hAnsi="Cambria"/>
                <w:bCs/>
                <w:color w:val="auto"/>
                <w:sz w:val="20"/>
                <w:lang w:eastAsia="en-AU"/>
              </w:rPr>
              <w:t>Zitikaitė</w:t>
            </w:r>
            <w:proofErr w:type="spellEnd"/>
            <w:r w:rsidRPr="00F969F4">
              <w:rPr>
                <w:rFonts w:ascii="Cambria" w:hAnsi="Cambria"/>
                <w:bCs/>
                <w:color w:val="auto"/>
                <w:sz w:val="20"/>
                <w:lang w:eastAsia="en-AU"/>
              </w:rPr>
              <w:t xml:space="preserve"> 2002), Lebanon (CABI 2015), Lithuania (</w:t>
            </w:r>
            <w:proofErr w:type="spellStart"/>
            <w:r w:rsidRPr="00F969F4">
              <w:rPr>
                <w:rFonts w:ascii="Cambria" w:hAnsi="Cambria"/>
                <w:bCs/>
                <w:color w:val="auto"/>
                <w:sz w:val="20"/>
                <w:lang w:eastAsia="en-AU"/>
              </w:rPr>
              <w:t>Zitikaitė</w:t>
            </w:r>
            <w:proofErr w:type="spellEnd"/>
            <w:r w:rsidRPr="00F969F4">
              <w:rPr>
                <w:rFonts w:ascii="Cambria" w:hAnsi="Cambria"/>
                <w:bCs/>
                <w:color w:val="auto"/>
                <w:sz w:val="20"/>
                <w:lang w:eastAsia="en-AU"/>
              </w:rPr>
              <w:t xml:space="preserve"> 2002), Myanmar (Kim et al. 2010), the Netherlands (CABI 2015), Norway (NSCFS 2008), Pakistan (Ali et al. 2004), Russia (</w:t>
            </w:r>
            <w:proofErr w:type="spellStart"/>
            <w:r w:rsidRPr="00F969F4">
              <w:rPr>
                <w:rFonts w:ascii="Cambria" w:hAnsi="Cambria"/>
                <w:bCs/>
                <w:color w:val="auto"/>
                <w:sz w:val="20"/>
                <w:lang w:eastAsia="en-AU"/>
              </w:rPr>
              <w:t>Slavokhotova</w:t>
            </w:r>
            <w:proofErr w:type="spellEnd"/>
            <w:r w:rsidRPr="00F969F4">
              <w:rPr>
                <w:rFonts w:ascii="Cambria" w:hAnsi="Cambria"/>
                <w:bCs/>
                <w:color w:val="auto"/>
                <w:sz w:val="20"/>
                <w:lang w:eastAsia="en-AU"/>
              </w:rPr>
              <w:t xml:space="preserve"> et al. 2007), Saudi Arabia (Al-</w:t>
            </w:r>
            <w:proofErr w:type="spellStart"/>
            <w:r w:rsidRPr="00F969F4">
              <w:rPr>
                <w:rFonts w:ascii="Cambria" w:hAnsi="Cambria"/>
                <w:bCs/>
                <w:color w:val="auto"/>
                <w:sz w:val="20"/>
                <w:lang w:eastAsia="en-AU"/>
              </w:rPr>
              <w:t>Shahwan</w:t>
            </w:r>
            <w:proofErr w:type="spellEnd"/>
            <w:r w:rsidRPr="00F969F4">
              <w:rPr>
                <w:rFonts w:ascii="Cambria" w:hAnsi="Cambria"/>
                <w:bCs/>
                <w:color w:val="auto"/>
                <w:sz w:val="20"/>
                <w:lang w:eastAsia="en-AU"/>
              </w:rPr>
              <w:t xml:space="preserve"> </w:t>
            </w:r>
            <w:r w:rsidR="002411E8">
              <w:rPr>
                <w:rFonts w:ascii="Cambria" w:hAnsi="Cambria"/>
                <w:bCs/>
                <w:color w:val="auto"/>
                <w:sz w:val="20"/>
                <w:lang w:eastAsia="en-AU"/>
              </w:rPr>
              <w:t>&amp;</w:t>
            </w:r>
            <w:r w:rsidRPr="00F969F4">
              <w:rPr>
                <w:rFonts w:ascii="Cambria" w:hAnsi="Cambria"/>
                <w:bCs/>
                <w:color w:val="auto"/>
                <w:sz w:val="20"/>
                <w:lang w:eastAsia="en-AU"/>
              </w:rPr>
              <w:t xml:space="preserve"> </w:t>
            </w:r>
            <w:proofErr w:type="spellStart"/>
            <w:r w:rsidRPr="00F969F4">
              <w:rPr>
                <w:rFonts w:ascii="Cambria" w:hAnsi="Cambria"/>
                <w:bCs/>
                <w:color w:val="auto"/>
                <w:sz w:val="20"/>
                <w:lang w:eastAsia="en-AU"/>
              </w:rPr>
              <w:t>Abdalla</w:t>
            </w:r>
            <w:proofErr w:type="spellEnd"/>
            <w:r w:rsidRPr="00F969F4">
              <w:rPr>
                <w:rFonts w:ascii="Cambria" w:hAnsi="Cambria"/>
                <w:bCs/>
                <w:color w:val="auto"/>
                <w:sz w:val="20"/>
                <w:lang w:eastAsia="en-AU"/>
              </w:rPr>
              <w:t xml:space="preserve"> 1992), Spain (</w:t>
            </w:r>
            <w:proofErr w:type="spellStart"/>
            <w:r w:rsidRPr="00F969F4">
              <w:rPr>
                <w:rFonts w:ascii="Cambria" w:hAnsi="Cambria"/>
                <w:bCs/>
                <w:color w:val="auto"/>
                <w:sz w:val="20"/>
                <w:lang w:eastAsia="en-AU"/>
              </w:rPr>
              <w:t>Celix</w:t>
            </w:r>
            <w:proofErr w:type="spellEnd"/>
            <w:r w:rsidRPr="00F969F4">
              <w:rPr>
                <w:rFonts w:ascii="Cambria" w:hAnsi="Cambria"/>
                <w:bCs/>
                <w:color w:val="auto"/>
                <w:sz w:val="20"/>
                <w:lang w:eastAsia="en-AU"/>
              </w:rPr>
              <w:t xml:space="preserve"> et al. 1996), Sri Lanka (</w:t>
            </w:r>
            <w:proofErr w:type="spellStart"/>
            <w:r w:rsidRPr="00F969F4">
              <w:rPr>
                <w:rFonts w:ascii="Cambria" w:hAnsi="Cambria"/>
                <w:bCs/>
                <w:color w:val="auto"/>
                <w:sz w:val="20"/>
                <w:lang w:eastAsia="en-AU"/>
              </w:rPr>
              <w:t>Ariyaratne</w:t>
            </w:r>
            <w:proofErr w:type="spellEnd"/>
            <w:r w:rsidRPr="00F969F4">
              <w:rPr>
                <w:rFonts w:ascii="Cambria" w:hAnsi="Cambria"/>
                <w:bCs/>
                <w:color w:val="auto"/>
                <w:sz w:val="20"/>
                <w:lang w:eastAsia="en-AU"/>
              </w:rPr>
              <w:t xml:space="preserve"> et al. 2005), Taiwan (</w:t>
            </w:r>
            <w:proofErr w:type="spellStart"/>
            <w:r w:rsidRPr="00F969F4">
              <w:rPr>
                <w:rFonts w:ascii="Cambria" w:hAnsi="Cambria"/>
                <w:bCs/>
                <w:color w:val="auto"/>
                <w:sz w:val="20"/>
                <w:lang w:eastAsia="en-AU"/>
              </w:rPr>
              <w:t>Hseu</w:t>
            </w:r>
            <w:proofErr w:type="spellEnd"/>
            <w:r w:rsidRPr="00F969F4">
              <w:rPr>
                <w:rFonts w:ascii="Cambria" w:hAnsi="Cambria"/>
                <w:bCs/>
                <w:color w:val="auto"/>
                <w:sz w:val="20"/>
                <w:lang w:eastAsia="en-AU"/>
              </w:rPr>
              <w:t xml:space="preserve"> et al. 1987), Thailand (Noda et al. 1993), Turkey (CABI 2015), Ukraine (</w:t>
            </w:r>
            <w:proofErr w:type="spellStart"/>
            <w:r w:rsidRPr="00F969F4">
              <w:rPr>
                <w:rFonts w:ascii="Cambria" w:hAnsi="Cambria"/>
                <w:bCs/>
                <w:color w:val="auto"/>
                <w:sz w:val="20"/>
                <w:lang w:eastAsia="en-AU"/>
              </w:rPr>
              <w:t>Budzanivska</w:t>
            </w:r>
            <w:proofErr w:type="spellEnd"/>
            <w:r w:rsidRPr="00F969F4">
              <w:rPr>
                <w:rFonts w:ascii="Cambria" w:hAnsi="Cambria"/>
                <w:bCs/>
                <w:color w:val="auto"/>
                <w:sz w:val="20"/>
                <w:lang w:eastAsia="en-AU"/>
              </w:rPr>
              <w:t xml:space="preserve"> et al. 2007), the United Kingdom (Ainsworth 1935), the United States (California) (Tian et al. 2014) and Yugoslavia (CABI 2015)</w:t>
            </w:r>
            <w:r w:rsidR="00E25946" w:rsidRPr="00F969F4">
              <w:rPr>
                <w:rFonts w:ascii="Cambria" w:hAnsi="Cambria"/>
                <w:bCs/>
                <w:color w:val="auto"/>
                <w:sz w:val="20"/>
                <w:lang w:eastAsia="en-AU"/>
              </w:rPr>
              <w:t>.</w:t>
            </w:r>
          </w:p>
          <w:p w14:paraId="0EF5081E" w14:textId="7C8DB12E" w:rsidR="00E25946" w:rsidRPr="00F969F4" w:rsidRDefault="00E25946">
            <w:pPr>
              <w:pStyle w:val="TableText0"/>
              <w:keepNext w:val="0"/>
              <w:rPr>
                <w:rFonts w:ascii="Cambria" w:hAnsi="Cambria" w:cs="Helvetica"/>
                <w:color w:val="auto"/>
                <w:sz w:val="20"/>
              </w:rPr>
            </w:pPr>
            <w:r w:rsidRPr="00F969F4">
              <w:rPr>
                <w:rFonts w:ascii="Cambria" w:hAnsi="Cambria"/>
                <w:bCs/>
                <w:color w:val="auto"/>
                <w:sz w:val="20"/>
                <w:lang w:eastAsia="en-AU"/>
              </w:rPr>
              <w:t>This virus was first reported in Australia in 2014, where it has a restricted distribution and is under official control.</w:t>
            </w:r>
          </w:p>
        </w:tc>
      </w:tr>
    </w:tbl>
    <w:p w14:paraId="7FA8E890" w14:textId="77777777" w:rsidR="002633B6" w:rsidRDefault="002633B6">
      <w:pPr>
        <w:pStyle w:val="Heading1nonumbers"/>
        <w:rPr>
          <w:lang w:val="en-AU"/>
        </w:rPr>
        <w:sectPr w:rsidR="002633B6">
          <w:headerReference w:type="default" r:id="rId44"/>
          <w:pgSz w:w="11906" w:h="16838"/>
          <w:pgMar w:top="1418" w:right="1418" w:bottom="1418" w:left="1418" w:header="567" w:footer="283" w:gutter="0"/>
          <w:cols w:space="708"/>
          <w:docGrid w:linePitch="360"/>
        </w:sectPr>
      </w:pPr>
      <w:bookmarkStart w:id="304" w:name="_Toc387412877"/>
      <w:bookmarkStart w:id="305" w:name="_Toc392488738"/>
    </w:p>
    <w:p w14:paraId="3225DA0B" w14:textId="606F04A5" w:rsidR="008163B6" w:rsidRDefault="00F709BD">
      <w:pPr>
        <w:pStyle w:val="Heading1nonumbers"/>
        <w:rPr>
          <w:lang w:val="en-AU"/>
        </w:rPr>
      </w:pPr>
      <w:bookmarkStart w:id="306" w:name="_Toc447540818"/>
      <w:r>
        <w:rPr>
          <w:lang w:val="en-AU"/>
        </w:rPr>
        <w:lastRenderedPageBreak/>
        <w:t>Glossary</w:t>
      </w:r>
      <w:bookmarkEnd w:id="304"/>
      <w:bookmarkEnd w:id="305"/>
      <w:bookmarkEnd w:id="306"/>
    </w:p>
    <w:tbl>
      <w:tblPr>
        <w:tblW w:w="5000" w:type="pct"/>
        <w:tblBorders>
          <w:top w:val="single" w:sz="4" w:space="0" w:color="auto"/>
          <w:bottom w:val="single" w:sz="4" w:space="0" w:color="auto"/>
        </w:tblBorders>
        <w:tblLook w:val="04A0" w:firstRow="1" w:lastRow="0" w:firstColumn="1" w:lastColumn="0" w:noHBand="0" w:noVBand="1"/>
      </w:tblPr>
      <w:tblGrid>
        <w:gridCol w:w="2552"/>
        <w:gridCol w:w="6518"/>
      </w:tblGrid>
      <w:tr w:rsidR="008163B6" w14:paraId="56034DD1" w14:textId="77777777" w:rsidTr="00ED2894">
        <w:trPr>
          <w:tblHeader/>
        </w:trPr>
        <w:tc>
          <w:tcPr>
            <w:tcW w:w="1407" w:type="pct"/>
          </w:tcPr>
          <w:p w14:paraId="712A93C9" w14:textId="77777777" w:rsidR="008163B6" w:rsidRDefault="00F709BD">
            <w:pPr>
              <w:pStyle w:val="TableHeading"/>
              <w:rPr>
                <w:rFonts w:ascii="Cambria" w:hAnsi="Cambria"/>
                <w:szCs w:val="18"/>
              </w:rPr>
            </w:pPr>
            <w:r>
              <w:rPr>
                <w:rFonts w:ascii="Cambria" w:hAnsi="Cambria"/>
                <w:szCs w:val="18"/>
              </w:rPr>
              <w:t>Term or abbreviation</w:t>
            </w:r>
          </w:p>
        </w:tc>
        <w:tc>
          <w:tcPr>
            <w:tcW w:w="3593" w:type="pct"/>
          </w:tcPr>
          <w:p w14:paraId="09748447" w14:textId="77777777" w:rsidR="008163B6" w:rsidRDefault="00F709BD">
            <w:pPr>
              <w:pStyle w:val="TableHeading"/>
              <w:rPr>
                <w:rFonts w:ascii="Cambria" w:hAnsi="Cambria"/>
                <w:szCs w:val="18"/>
              </w:rPr>
            </w:pPr>
            <w:r>
              <w:rPr>
                <w:rFonts w:ascii="Cambria" w:hAnsi="Cambria"/>
                <w:szCs w:val="18"/>
              </w:rPr>
              <w:t>Definition</w:t>
            </w:r>
          </w:p>
        </w:tc>
      </w:tr>
      <w:tr w:rsidR="008163B6" w14:paraId="4D0D42D7" w14:textId="77777777" w:rsidTr="00ED2894">
        <w:tc>
          <w:tcPr>
            <w:tcW w:w="1407" w:type="pct"/>
          </w:tcPr>
          <w:p w14:paraId="57CD2357" w14:textId="77777777" w:rsidR="008163B6" w:rsidRDefault="00F709BD">
            <w:pPr>
              <w:pStyle w:val="TableText"/>
              <w:rPr>
                <w:rFonts w:ascii="Cambria" w:hAnsi="Cambria"/>
                <w:szCs w:val="18"/>
              </w:rPr>
            </w:pPr>
            <w:r>
              <w:rPr>
                <w:rFonts w:ascii="Cambria" w:hAnsi="Cambria"/>
                <w:szCs w:val="18"/>
              </w:rPr>
              <w:t>Additional declaration</w:t>
            </w:r>
          </w:p>
        </w:tc>
        <w:tc>
          <w:tcPr>
            <w:tcW w:w="3593" w:type="pct"/>
          </w:tcPr>
          <w:p w14:paraId="73D1A754" w14:textId="77777777" w:rsidR="008163B6" w:rsidRDefault="00F709BD">
            <w:pPr>
              <w:pStyle w:val="TableText"/>
              <w:rPr>
                <w:rFonts w:ascii="Cambria" w:hAnsi="Cambria"/>
                <w:szCs w:val="18"/>
              </w:rPr>
            </w:pPr>
            <w:r>
              <w:rPr>
                <w:rFonts w:ascii="Cambria" w:hAnsi="Cambria"/>
                <w:szCs w:val="18"/>
              </w:rPr>
              <w:t xml:space="preserve">A statement that is required by an importing country to be entered on a phytosanitary certificate and which provides specific additional information on a consignment in relation to regulated pests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0B74CB05" w14:textId="77777777" w:rsidTr="00ED2894">
        <w:tc>
          <w:tcPr>
            <w:tcW w:w="1407" w:type="pct"/>
          </w:tcPr>
          <w:p w14:paraId="10CA1FBB" w14:textId="77777777" w:rsidR="008163B6" w:rsidRDefault="00F709BD">
            <w:pPr>
              <w:pStyle w:val="TableText"/>
              <w:rPr>
                <w:rFonts w:ascii="Cambria" w:hAnsi="Cambria"/>
                <w:szCs w:val="18"/>
              </w:rPr>
            </w:pPr>
            <w:r>
              <w:rPr>
                <w:rFonts w:ascii="Cambria" w:hAnsi="Cambria"/>
                <w:szCs w:val="18"/>
              </w:rPr>
              <w:t>Appropriate level of protection (ALOP)</w:t>
            </w:r>
          </w:p>
        </w:tc>
        <w:tc>
          <w:tcPr>
            <w:tcW w:w="3593" w:type="pct"/>
          </w:tcPr>
          <w:p w14:paraId="352FF272" w14:textId="77777777" w:rsidR="008163B6" w:rsidRDefault="00F709BD">
            <w:pPr>
              <w:pStyle w:val="TableText"/>
              <w:rPr>
                <w:rFonts w:ascii="Cambria" w:hAnsi="Cambria"/>
                <w:szCs w:val="18"/>
              </w:rPr>
            </w:pPr>
            <w:r>
              <w:rPr>
                <w:rFonts w:ascii="Cambria" w:hAnsi="Cambria"/>
                <w:szCs w:val="18"/>
              </w:rPr>
              <w:t xml:space="preserve">The level of protection deemed appropriate by the Member establishing a sanitary or phytosanitary measure to protect human, animal or plant life or health within its territory </w:t>
            </w:r>
            <w:r w:rsidR="008D6C04">
              <w:rPr>
                <w:rFonts w:ascii="Cambria" w:hAnsi="Cambria"/>
                <w:szCs w:val="18"/>
              </w:rPr>
              <w:fldChar w:fldCharType="begin"/>
            </w:r>
            <w:r>
              <w:rPr>
                <w:rFonts w:ascii="Cambria" w:hAnsi="Cambria"/>
                <w:szCs w:val="18"/>
              </w:rPr>
              <w:instrText xml:space="preserve"> ADDIN REFMGR.CITE &lt;Refman&gt;&lt;Cite&gt;&lt;Author&gt;WTO&lt;/Author&gt;&lt;Year&gt;1995&lt;/Year&gt;&lt;RecNum&gt;70051&lt;/RecNum&gt;&lt;IDText&gt;Agreement on the application of sanitary and phytosanitary measures&lt;/IDText&gt;&lt;MDL Ref_Type="Generic"&gt;&lt;Ref_Type&gt;Generic&lt;/Ref_Type&gt;&lt;Ref_ID&gt;70051&lt;/Ref_ID&gt;&lt;Title_Primary&gt;Agreement on the application of sanitary and phytosanitary measures&lt;/Title_Primary&gt;&lt;Authors_Primary&gt;WTO&lt;/Authors_Primary&gt;&lt;Date_Primary&gt;1995&lt;/Date_Primary&gt;&lt;Keywords&gt;Phytosanitary&lt;/Keywords&gt;&lt;Keywords&gt;Phytosanitary measures&lt;/Keywords&gt;&lt;Keywords&gt;Measures&lt;/Keywords&gt;&lt;Pub_Place&gt;Geneva&lt;/Pub_Place&gt;&lt;Publisher&gt;World Trade Organization&lt;/Publisher&gt;&lt;User_Def_1&gt;China table grapes sp Mexican avocados Pineapples from Malaysia Drosophila Canadian blueberries European grapevine moth jc PSTVd Unshu mandarins &lt;i&gt;Candidatus&lt;/i&gt; Liberibacter psyllarous sp&lt;/User_Def_1&gt;&lt;Web_URL&gt;&lt;u&gt;http://www.wto.org/english/docs_e/legal_e/15-sps.pdf&lt;/u&gt;&lt;/Web_URL&gt;&lt;Web_URL_Link1&gt;&lt;u&gt;J:\E Library\Plant Catalogue\W&lt;/u&gt;&lt;/Web_URL_Link1&gt;&lt;ZZ_WorkformID&gt;33&lt;/ZZ_WorkformID&gt;&lt;/MDL&gt;&lt;/Cite&gt;&lt;/Refman&gt;</w:instrText>
            </w:r>
            <w:r w:rsidR="008D6C04">
              <w:rPr>
                <w:rFonts w:ascii="Cambria" w:hAnsi="Cambria"/>
                <w:szCs w:val="18"/>
              </w:rPr>
              <w:fldChar w:fldCharType="separate"/>
            </w:r>
            <w:r>
              <w:rPr>
                <w:rFonts w:ascii="Cambria" w:hAnsi="Cambria"/>
                <w:szCs w:val="18"/>
              </w:rPr>
              <w:t>(WTO 1995)</w:t>
            </w:r>
            <w:r w:rsidR="008D6C04">
              <w:rPr>
                <w:rFonts w:ascii="Cambria" w:hAnsi="Cambria"/>
                <w:szCs w:val="18"/>
              </w:rPr>
              <w:fldChar w:fldCharType="end"/>
            </w:r>
            <w:r>
              <w:rPr>
                <w:rFonts w:ascii="Cambria" w:hAnsi="Cambria"/>
                <w:szCs w:val="18"/>
              </w:rPr>
              <w:t>.</w:t>
            </w:r>
          </w:p>
        </w:tc>
      </w:tr>
      <w:tr w:rsidR="008163B6" w14:paraId="031FBB59" w14:textId="77777777" w:rsidTr="00ED2894">
        <w:tc>
          <w:tcPr>
            <w:tcW w:w="1407" w:type="pct"/>
          </w:tcPr>
          <w:p w14:paraId="1A9D3CDC" w14:textId="77777777" w:rsidR="008163B6" w:rsidRDefault="00F709BD">
            <w:pPr>
              <w:pStyle w:val="TableText"/>
              <w:rPr>
                <w:rFonts w:ascii="Cambria" w:hAnsi="Cambria"/>
                <w:szCs w:val="18"/>
              </w:rPr>
            </w:pPr>
            <w:r>
              <w:rPr>
                <w:rFonts w:ascii="Cambria" w:hAnsi="Cambria"/>
                <w:szCs w:val="18"/>
              </w:rPr>
              <w:t>Area</w:t>
            </w:r>
          </w:p>
        </w:tc>
        <w:tc>
          <w:tcPr>
            <w:tcW w:w="3593" w:type="pct"/>
          </w:tcPr>
          <w:p w14:paraId="1D3486AF" w14:textId="77777777" w:rsidR="008163B6" w:rsidRDefault="00F709BD">
            <w:pPr>
              <w:pStyle w:val="TableText"/>
              <w:rPr>
                <w:rFonts w:ascii="Cambria" w:hAnsi="Cambria"/>
                <w:szCs w:val="18"/>
              </w:rPr>
            </w:pPr>
            <w:r>
              <w:rPr>
                <w:rFonts w:ascii="Cambria" w:hAnsi="Cambria"/>
                <w:szCs w:val="18"/>
              </w:rPr>
              <w:t xml:space="preserve">An officially defined country, part of a country or all or parts of several countries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0C1F8954" w14:textId="77777777" w:rsidTr="00ED2894">
        <w:tc>
          <w:tcPr>
            <w:tcW w:w="1407" w:type="pct"/>
          </w:tcPr>
          <w:p w14:paraId="7362FBA7" w14:textId="77777777" w:rsidR="008163B6" w:rsidRDefault="00F709BD">
            <w:pPr>
              <w:pStyle w:val="TableText"/>
              <w:rPr>
                <w:rFonts w:ascii="Cambria" w:hAnsi="Cambria"/>
                <w:szCs w:val="18"/>
              </w:rPr>
            </w:pPr>
            <w:r>
              <w:rPr>
                <w:rFonts w:ascii="Cambria" w:hAnsi="Cambria"/>
                <w:szCs w:val="18"/>
              </w:rPr>
              <w:t>Area of low pest prevalence</w:t>
            </w:r>
          </w:p>
        </w:tc>
        <w:tc>
          <w:tcPr>
            <w:tcW w:w="3593" w:type="pct"/>
          </w:tcPr>
          <w:p w14:paraId="375D29F6" w14:textId="7AEE76CE" w:rsidR="008163B6" w:rsidRDefault="00F709BD">
            <w:pPr>
              <w:pStyle w:val="TableText"/>
              <w:rPr>
                <w:rFonts w:ascii="Cambria" w:hAnsi="Cambria"/>
                <w:szCs w:val="18"/>
              </w:rPr>
            </w:pPr>
            <w:r>
              <w:rPr>
                <w:rFonts w:ascii="Cambria" w:hAnsi="Cambria"/>
                <w:szCs w:val="18"/>
              </w:rPr>
              <w:t xml:space="preserve">An area, whether all of a country, part of a country, or all </w:t>
            </w:r>
            <w:r w:rsidR="00892465">
              <w:rPr>
                <w:rFonts w:ascii="Cambria" w:hAnsi="Cambria"/>
                <w:szCs w:val="18"/>
              </w:rPr>
              <w:t xml:space="preserve">or </w:t>
            </w:r>
            <w:r>
              <w:rPr>
                <w:rFonts w:ascii="Cambria" w:hAnsi="Cambria"/>
                <w:szCs w:val="18"/>
              </w:rPr>
              <w:t xml:space="preserve">parts of several countries, as identified by the competent authorities, in which a specific pest occurs at low levels and which is subject to effective surveillance, control or eradication measures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4164BD8A" w14:textId="77777777" w:rsidTr="00ED2894">
        <w:tc>
          <w:tcPr>
            <w:tcW w:w="1407" w:type="pct"/>
          </w:tcPr>
          <w:p w14:paraId="30E40F84" w14:textId="77777777" w:rsidR="008163B6" w:rsidRDefault="00F709BD">
            <w:pPr>
              <w:pStyle w:val="TableText"/>
              <w:rPr>
                <w:rFonts w:ascii="Cambria" w:hAnsi="Cambria"/>
                <w:szCs w:val="18"/>
              </w:rPr>
            </w:pPr>
            <w:r>
              <w:rPr>
                <w:rFonts w:ascii="Cambria" w:hAnsi="Cambria"/>
                <w:szCs w:val="18"/>
              </w:rPr>
              <w:t>Arthropod</w:t>
            </w:r>
          </w:p>
        </w:tc>
        <w:tc>
          <w:tcPr>
            <w:tcW w:w="3593" w:type="pct"/>
          </w:tcPr>
          <w:p w14:paraId="3834170A" w14:textId="77777777" w:rsidR="008163B6" w:rsidRDefault="00F709BD">
            <w:pPr>
              <w:pStyle w:val="TableText"/>
              <w:rPr>
                <w:rFonts w:ascii="Cambria" w:hAnsi="Cambria"/>
                <w:szCs w:val="18"/>
              </w:rPr>
            </w:pPr>
            <w:r>
              <w:rPr>
                <w:rFonts w:ascii="Cambria" w:hAnsi="Cambria"/>
                <w:szCs w:val="18"/>
              </w:rPr>
              <w:t>The largest phylum of animals, including the insects, arachnids and crustaceans.</w:t>
            </w:r>
          </w:p>
        </w:tc>
      </w:tr>
      <w:tr w:rsidR="008163B6" w14:paraId="3CF6CAC0" w14:textId="77777777" w:rsidTr="00ED2894">
        <w:tc>
          <w:tcPr>
            <w:tcW w:w="1407" w:type="pct"/>
          </w:tcPr>
          <w:p w14:paraId="4DCE2022" w14:textId="77777777" w:rsidR="008163B6" w:rsidRDefault="00F709BD">
            <w:pPr>
              <w:pStyle w:val="TableText"/>
              <w:rPr>
                <w:rFonts w:ascii="Cambria" w:hAnsi="Cambria"/>
                <w:szCs w:val="18"/>
              </w:rPr>
            </w:pPr>
            <w:r>
              <w:rPr>
                <w:rFonts w:ascii="Cambria" w:hAnsi="Cambria"/>
                <w:szCs w:val="18"/>
              </w:rPr>
              <w:t>Consignment</w:t>
            </w:r>
          </w:p>
        </w:tc>
        <w:tc>
          <w:tcPr>
            <w:tcW w:w="3593" w:type="pct"/>
          </w:tcPr>
          <w:p w14:paraId="77B384B3" w14:textId="71CF8816" w:rsidR="008163B6" w:rsidRDefault="00F709BD" w:rsidP="00D87C40">
            <w:pPr>
              <w:pStyle w:val="TableText"/>
              <w:rPr>
                <w:rFonts w:ascii="Cambria" w:hAnsi="Cambria"/>
                <w:szCs w:val="18"/>
              </w:rPr>
            </w:pPr>
            <w:r>
              <w:rPr>
                <w:rFonts w:ascii="Cambria" w:hAnsi="Cambria"/>
                <w:szCs w:val="18"/>
              </w:rPr>
              <w:t>A quantity of plants, plant products or other articles being moved from one country to another and covered, when required, by a single phytosanitary certificate</w:t>
            </w:r>
            <w:r w:rsidR="00D87C40">
              <w:rPr>
                <w:rFonts w:ascii="Cambria" w:hAnsi="Cambria"/>
                <w:szCs w:val="18"/>
              </w:rPr>
              <w:t>. A</w:t>
            </w:r>
            <w:r>
              <w:rPr>
                <w:rFonts w:ascii="Cambria" w:hAnsi="Cambria"/>
                <w:szCs w:val="18"/>
              </w:rPr>
              <w:t xml:space="preserve"> consignment may be composed of one or more commodities or lots</w:t>
            </w:r>
            <w:r w:rsidR="00D87C40">
              <w:rPr>
                <w:rFonts w:ascii="Cambria" w:hAnsi="Cambria"/>
                <w:szCs w:val="18"/>
              </w:rPr>
              <w:t>.</w:t>
            </w:r>
            <w:r>
              <w:rPr>
                <w:rFonts w:ascii="Cambria" w:hAnsi="Cambria"/>
                <w:szCs w:val="18"/>
              </w:rPr>
              <w:t xml:space="preserve">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43D5C510" w14:textId="77777777" w:rsidTr="00ED2894">
        <w:tc>
          <w:tcPr>
            <w:tcW w:w="1407" w:type="pct"/>
          </w:tcPr>
          <w:p w14:paraId="62CD0E2D" w14:textId="77777777" w:rsidR="008163B6" w:rsidRDefault="00F709BD">
            <w:pPr>
              <w:pStyle w:val="TableText"/>
              <w:rPr>
                <w:rFonts w:ascii="Cambria" w:hAnsi="Cambria"/>
                <w:szCs w:val="18"/>
              </w:rPr>
            </w:pPr>
            <w:r>
              <w:rPr>
                <w:rFonts w:ascii="Cambria" w:hAnsi="Cambria"/>
                <w:szCs w:val="18"/>
              </w:rPr>
              <w:t>Control (of a pest)</w:t>
            </w:r>
          </w:p>
        </w:tc>
        <w:tc>
          <w:tcPr>
            <w:tcW w:w="3593" w:type="pct"/>
          </w:tcPr>
          <w:p w14:paraId="6FA5B9CC" w14:textId="77777777" w:rsidR="008163B6" w:rsidRDefault="00F709BD">
            <w:pPr>
              <w:pStyle w:val="TableText"/>
              <w:rPr>
                <w:rFonts w:ascii="Cambria" w:hAnsi="Cambria"/>
                <w:szCs w:val="18"/>
              </w:rPr>
            </w:pPr>
            <w:r>
              <w:rPr>
                <w:rFonts w:ascii="Cambria" w:hAnsi="Cambria"/>
                <w:szCs w:val="18"/>
              </w:rPr>
              <w:t xml:space="preserve">Suppression, containment or eradication of a pest population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3F55A3F8" w14:textId="77777777" w:rsidTr="00ED2894">
        <w:tc>
          <w:tcPr>
            <w:tcW w:w="1407" w:type="pct"/>
          </w:tcPr>
          <w:p w14:paraId="7AF5DDB0" w14:textId="77777777" w:rsidR="008163B6" w:rsidRDefault="00F709BD">
            <w:pPr>
              <w:pStyle w:val="TableText"/>
              <w:rPr>
                <w:rFonts w:ascii="Cambria" w:hAnsi="Cambria"/>
                <w:szCs w:val="18"/>
              </w:rPr>
            </w:pPr>
            <w:r>
              <w:rPr>
                <w:rFonts w:ascii="Cambria" w:hAnsi="Cambria"/>
                <w:szCs w:val="18"/>
              </w:rPr>
              <w:t>Endangered area</w:t>
            </w:r>
          </w:p>
        </w:tc>
        <w:tc>
          <w:tcPr>
            <w:tcW w:w="3593" w:type="pct"/>
          </w:tcPr>
          <w:p w14:paraId="454691D6" w14:textId="77777777" w:rsidR="008163B6" w:rsidRDefault="00F709BD">
            <w:pPr>
              <w:pStyle w:val="TableText"/>
              <w:rPr>
                <w:rFonts w:ascii="Cambria" w:hAnsi="Cambria"/>
                <w:szCs w:val="18"/>
              </w:rPr>
            </w:pPr>
            <w:r>
              <w:rPr>
                <w:rFonts w:ascii="Cambria" w:hAnsi="Cambria"/>
                <w:szCs w:val="18"/>
              </w:rPr>
              <w:t xml:space="preserve">An area where ecological factors favour the establishment of a pest whose presence in the area will result in economically important loss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262C3D55" w14:textId="77777777" w:rsidTr="00ED2894">
        <w:tc>
          <w:tcPr>
            <w:tcW w:w="1407" w:type="pct"/>
          </w:tcPr>
          <w:p w14:paraId="53804A24" w14:textId="77777777" w:rsidR="008163B6" w:rsidRDefault="00F709BD">
            <w:pPr>
              <w:pStyle w:val="TableText"/>
              <w:rPr>
                <w:rFonts w:ascii="Cambria" w:hAnsi="Cambria"/>
                <w:szCs w:val="18"/>
              </w:rPr>
            </w:pPr>
            <w:r>
              <w:rPr>
                <w:rFonts w:ascii="Cambria" w:hAnsi="Cambria"/>
                <w:szCs w:val="18"/>
              </w:rPr>
              <w:t>Endemic</w:t>
            </w:r>
          </w:p>
        </w:tc>
        <w:tc>
          <w:tcPr>
            <w:tcW w:w="3593" w:type="pct"/>
          </w:tcPr>
          <w:p w14:paraId="7BA93A3D" w14:textId="77777777" w:rsidR="008163B6" w:rsidRDefault="00F709BD">
            <w:pPr>
              <w:pStyle w:val="TableText"/>
              <w:rPr>
                <w:rFonts w:ascii="Cambria" w:hAnsi="Cambria"/>
                <w:szCs w:val="18"/>
              </w:rPr>
            </w:pPr>
            <w:r>
              <w:rPr>
                <w:rFonts w:ascii="Cambria" w:hAnsi="Cambria"/>
                <w:szCs w:val="18"/>
              </w:rPr>
              <w:t>Belonging to, native to, or prevalent in a particular geography, area or environment.</w:t>
            </w:r>
          </w:p>
        </w:tc>
      </w:tr>
      <w:tr w:rsidR="008163B6" w14:paraId="7CE31645" w14:textId="77777777" w:rsidTr="00ED2894">
        <w:tc>
          <w:tcPr>
            <w:tcW w:w="1407" w:type="pct"/>
          </w:tcPr>
          <w:p w14:paraId="0A39B36F" w14:textId="77777777" w:rsidR="008163B6" w:rsidRDefault="00F709BD">
            <w:pPr>
              <w:pStyle w:val="TableText"/>
              <w:rPr>
                <w:rFonts w:ascii="Cambria" w:hAnsi="Cambria"/>
                <w:szCs w:val="18"/>
              </w:rPr>
            </w:pPr>
            <w:r>
              <w:rPr>
                <w:rFonts w:ascii="Cambria" w:hAnsi="Cambria"/>
                <w:szCs w:val="18"/>
              </w:rPr>
              <w:t>Entry (of a pest)</w:t>
            </w:r>
          </w:p>
        </w:tc>
        <w:tc>
          <w:tcPr>
            <w:tcW w:w="3593" w:type="pct"/>
          </w:tcPr>
          <w:p w14:paraId="62A55CB9" w14:textId="77777777" w:rsidR="008163B6" w:rsidRDefault="00F709BD">
            <w:pPr>
              <w:pStyle w:val="TableText"/>
              <w:rPr>
                <w:rFonts w:ascii="Cambria" w:hAnsi="Cambria"/>
                <w:szCs w:val="18"/>
              </w:rPr>
            </w:pPr>
            <w:r>
              <w:rPr>
                <w:rFonts w:ascii="Cambria" w:hAnsi="Cambria"/>
                <w:szCs w:val="18"/>
              </w:rPr>
              <w:t xml:space="preserve">Movement of a pest into an area where it is not yet present, or present but not widely distributed and being officially controlled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632AB5B1" w14:textId="77777777" w:rsidTr="00ED2894">
        <w:tc>
          <w:tcPr>
            <w:tcW w:w="1407" w:type="pct"/>
          </w:tcPr>
          <w:p w14:paraId="2EDA58F1" w14:textId="77777777" w:rsidR="008163B6" w:rsidRDefault="00F709BD">
            <w:pPr>
              <w:pStyle w:val="TableText"/>
              <w:rPr>
                <w:rFonts w:ascii="Cambria" w:hAnsi="Cambria"/>
                <w:szCs w:val="18"/>
              </w:rPr>
            </w:pPr>
            <w:r>
              <w:rPr>
                <w:rFonts w:ascii="Cambria" w:hAnsi="Cambria"/>
                <w:szCs w:val="18"/>
              </w:rPr>
              <w:t>Equivalence (of phytosanitary terms)</w:t>
            </w:r>
          </w:p>
        </w:tc>
        <w:tc>
          <w:tcPr>
            <w:tcW w:w="3593" w:type="pct"/>
          </w:tcPr>
          <w:p w14:paraId="0992E368" w14:textId="77777777" w:rsidR="008163B6" w:rsidRDefault="00F709BD">
            <w:pPr>
              <w:pStyle w:val="TableText"/>
              <w:rPr>
                <w:rFonts w:ascii="Cambria" w:hAnsi="Cambria"/>
                <w:szCs w:val="18"/>
              </w:rPr>
            </w:pPr>
            <w:r>
              <w:rPr>
                <w:rFonts w:ascii="Cambria" w:hAnsi="Cambria"/>
                <w:szCs w:val="18"/>
              </w:rPr>
              <w:t>The situation where, for a specified pest, different phytosanitary measures achieve a contracting party’s appropriate level of protection (FAO 2015).</w:t>
            </w:r>
          </w:p>
        </w:tc>
      </w:tr>
      <w:tr w:rsidR="008163B6" w14:paraId="6994604C" w14:textId="77777777" w:rsidTr="00ED2894">
        <w:tc>
          <w:tcPr>
            <w:tcW w:w="1407" w:type="pct"/>
          </w:tcPr>
          <w:p w14:paraId="788927E1" w14:textId="77777777" w:rsidR="008163B6" w:rsidRDefault="00F709BD">
            <w:pPr>
              <w:pStyle w:val="TableText"/>
              <w:rPr>
                <w:rFonts w:ascii="Cambria" w:hAnsi="Cambria"/>
                <w:szCs w:val="18"/>
              </w:rPr>
            </w:pPr>
            <w:r>
              <w:rPr>
                <w:rFonts w:ascii="Cambria" w:hAnsi="Cambria"/>
                <w:szCs w:val="18"/>
              </w:rPr>
              <w:t>Establishment (of a pest)</w:t>
            </w:r>
          </w:p>
        </w:tc>
        <w:tc>
          <w:tcPr>
            <w:tcW w:w="3593" w:type="pct"/>
          </w:tcPr>
          <w:p w14:paraId="40CBE81C" w14:textId="77777777" w:rsidR="008163B6" w:rsidRDefault="00F709BD">
            <w:pPr>
              <w:pStyle w:val="TableText"/>
              <w:rPr>
                <w:rFonts w:ascii="Cambria" w:hAnsi="Cambria"/>
                <w:szCs w:val="18"/>
              </w:rPr>
            </w:pPr>
            <w:r>
              <w:rPr>
                <w:rFonts w:ascii="Cambria" w:hAnsi="Cambria"/>
                <w:szCs w:val="18"/>
              </w:rPr>
              <w:t xml:space="preserve">Perpetuation, for the foreseeable future, of a pest within an area after entry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0AB1E044" w14:textId="77777777" w:rsidTr="00ED2894">
        <w:tc>
          <w:tcPr>
            <w:tcW w:w="1407" w:type="pct"/>
          </w:tcPr>
          <w:p w14:paraId="62339D68" w14:textId="77777777" w:rsidR="008163B6" w:rsidRDefault="00F709BD">
            <w:pPr>
              <w:pStyle w:val="TableText"/>
              <w:rPr>
                <w:rFonts w:ascii="Cambria" w:hAnsi="Cambria"/>
                <w:szCs w:val="18"/>
              </w:rPr>
            </w:pPr>
            <w:r>
              <w:rPr>
                <w:rFonts w:ascii="Cambria" w:hAnsi="Cambria"/>
                <w:szCs w:val="18"/>
              </w:rPr>
              <w:t>Host</w:t>
            </w:r>
          </w:p>
        </w:tc>
        <w:tc>
          <w:tcPr>
            <w:tcW w:w="3593" w:type="pct"/>
          </w:tcPr>
          <w:p w14:paraId="712A9C0F" w14:textId="77777777" w:rsidR="008163B6" w:rsidRDefault="00F709BD">
            <w:pPr>
              <w:pStyle w:val="TableText"/>
              <w:rPr>
                <w:rFonts w:ascii="Cambria" w:hAnsi="Cambria"/>
                <w:szCs w:val="18"/>
              </w:rPr>
            </w:pPr>
            <w:r>
              <w:rPr>
                <w:rFonts w:ascii="Cambria" w:hAnsi="Cambria"/>
                <w:szCs w:val="18"/>
              </w:rPr>
              <w:t>An organism that harbours a parasite, mutual partner, or commensal partner, typically providing nourishment and shelter.</w:t>
            </w:r>
          </w:p>
        </w:tc>
      </w:tr>
      <w:tr w:rsidR="008163B6" w14:paraId="7C81E70E" w14:textId="77777777" w:rsidTr="00ED2894">
        <w:tc>
          <w:tcPr>
            <w:tcW w:w="1407" w:type="pct"/>
          </w:tcPr>
          <w:p w14:paraId="75925326" w14:textId="77777777" w:rsidR="008163B6" w:rsidRDefault="00F709BD">
            <w:pPr>
              <w:pStyle w:val="TableText"/>
              <w:rPr>
                <w:rFonts w:ascii="Cambria" w:hAnsi="Cambria"/>
                <w:szCs w:val="18"/>
              </w:rPr>
            </w:pPr>
            <w:r>
              <w:rPr>
                <w:rFonts w:ascii="Cambria" w:hAnsi="Cambria"/>
                <w:szCs w:val="18"/>
              </w:rPr>
              <w:t>Host range</w:t>
            </w:r>
          </w:p>
        </w:tc>
        <w:tc>
          <w:tcPr>
            <w:tcW w:w="3593" w:type="pct"/>
          </w:tcPr>
          <w:p w14:paraId="098CE034" w14:textId="77777777" w:rsidR="008163B6" w:rsidRDefault="00F709BD">
            <w:pPr>
              <w:pStyle w:val="TableText"/>
              <w:rPr>
                <w:rFonts w:ascii="Cambria" w:hAnsi="Cambria"/>
                <w:szCs w:val="18"/>
              </w:rPr>
            </w:pPr>
            <w:r>
              <w:rPr>
                <w:rFonts w:ascii="Cambria" w:hAnsi="Cambria"/>
                <w:szCs w:val="18"/>
              </w:rPr>
              <w:t xml:space="preserve">Species capable, under natural conditions, of sustaining a specific pest or other organism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68841AB2" w14:textId="77777777" w:rsidTr="00ED2894">
        <w:tc>
          <w:tcPr>
            <w:tcW w:w="1407" w:type="pct"/>
          </w:tcPr>
          <w:p w14:paraId="1E89FED2" w14:textId="77777777" w:rsidR="008163B6" w:rsidRDefault="00F709BD">
            <w:pPr>
              <w:pStyle w:val="TableText"/>
              <w:rPr>
                <w:rFonts w:ascii="Cambria" w:hAnsi="Cambria"/>
                <w:szCs w:val="18"/>
              </w:rPr>
            </w:pPr>
            <w:r>
              <w:rPr>
                <w:rFonts w:ascii="Cambria" w:hAnsi="Cambria"/>
                <w:szCs w:val="18"/>
              </w:rPr>
              <w:t>Import permit</w:t>
            </w:r>
          </w:p>
        </w:tc>
        <w:tc>
          <w:tcPr>
            <w:tcW w:w="3593" w:type="pct"/>
          </w:tcPr>
          <w:p w14:paraId="2F018626" w14:textId="66F1AEC8" w:rsidR="008163B6" w:rsidRDefault="003C295A" w:rsidP="003C295A">
            <w:pPr>
              <w:pStyle w:val="TableText"/>
              <w:rPr>
                <w:rFonts w:ascii="Cambria" w:hAnsi="Cambria"/>
                <w:szCs w:val="18"/>
              </w:rPr>
            </w:pPr>
            <w:r>
              <w:rPr>
                <w:rFonts w:ascii="Cambria" w:hAnsi="Cambria"/>
                <w:szCs w:val="18"/>
              </w:rPr>
              <w:t>An o</w:t>
            </w:r>
            <w:r w:rsidR="00F709BD">
              <w:rPr>
                <w:rFonts w:ascii="Cambria" w:hAnsi="Cambria"/>
                <w:szCs w:val="18"/>
              </w:rPr>
              <w:t xml:space="preserve">fficial document authorising </w:t>
            </w:r>
            <w:r>
              <w:rPr>
                <w:rFonts w:ascii="Cambria" w:hAnsi="Cambria"/>
                <w:szCs w:val="18"/>
              </w:rPr>
              <w:t xml:space="preserve">the </w:t>
            </w:r>
            <w:r w:rsidR="00F709BD">
              <w:rPr>
                <w:rFonts w:ascii="Cambria" w:hAnsi="Cambria"/>
                <w:szCs w:val="18"/>
              </w:rPr>
              <w:t xml:space="preserve">importation of a commodity in accordance with specified phytosanitary import requirements </w:t>
            </w:r>
            <w:r w:rsidR="008D6C04">
              <w:rPr>
                <w:rFonts w:ascii="Cambria" w:hAnsi="Cambria"/>
                <w:szCs w:val="18"/>
              </w:rPr>
              <w:fldChar w:fldCharType="begin"/>
            </w:r>
            <w:r w:rsidR="00F709BD">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sidR="00F709BD">
              <w:rPr>
                <w:rFonts w:ascii="Cambria" w:hAnsi="Cambria"/>
                <w:szCs w:val="18"/>
              </w:rPr>
              <w:t>(FAO 2015)</w:t>
            </w:r>
            <w:r w:rsidR="008D6C04">
              <w:rPr>
                <w:rFonts w:ascii="Cambria" w:hAnsi="Cambria"/>
                <w:szCs w:val="18"/>
              </w:rPr>
              <w:fldChar w:fldCharType="end"/>
            </w:r>
            <w:r w:rsidR="00F709BD">
              <w:rPr>
                <w:rFonts w:ascii="Cambria" w:hAnsi="Cambria"/>
                <w:szCs w:val="18"/>
              </w:rPr>
              <w:t>.</w:t>
            </w:r>
          </w:p>
        </w:tc>
      </w:tr>
      <w:tr w:rsidR="008163B6" w14:paraId="1AACE015" w14:textId="77777777" w:rsidTr="00ED2894">
        <w:tc>
          <w:tcPr>
            <w:tcW w:w="1407" w:type="pct"/>
          </w:tcPr>
          <w:p w14:paraId="2F011607" w14:textId="77777777" w:rsidR="008163B6" w:rsidRDefault="00F709BD">
            <w:pPr>
              <w:pStyle w:val="TableText"/>
              <w:rPr>
                <w:rFonts w:ascii="Cambria" w:hAnsi="Cambria"/>
                <w:szCs w:val="18"/>
              </w:rPr>
            </w:pPr>
            <w:r>
              <w:rPr>
                <w:rFonts w:ascii="Cambria" w:hAnsi="Cambria"/>
                <w:szCs w:val="18"/>
              </w:rPr>
              <w:t>Import risk analysis</w:t>
            </w:r>
          </w:p>
        </w:tc>
        <w:tc>
          <w:tcPr>
            <w:tcW w:w="3593" w:type="pct"/>
          </w:tcPr>
          <w:p w14:paraId="57B6CB94" w14:textId="77777777" w:rsidR="008163B6" w:rsidRDefault="00F709BD">
            <w:pPr>
              <w:pStyle w:val="TableText"/>
              <w:rPr>
                <w:rFonts w:ascii="Cambria" w:hAnsi="Cambria"/>
                <w:szCs w:val="18"/>
              </w:rPr>
            </w:pPr>
            <w:r>
              <w:rPr>
                <w:rFonts w:ascii="Cambria" w:hAnsi="Cambria"/>
                <w:szCs w:val="18"/>
              </w:rPr>
              <w:t>An administrative process through which quarantine policy is developed or reviewed, incorporating risk assessment, risk management and risk communication.</w:t>
            </w:r>
          </w:p>
        </w:tc>
      </w:tr>
      <w:tr w:rsidR="008163B6" w14:paraId="2DD1B9A5" w14:textId="77777777" w:rsidTr="00ED2894">
        <w:tc>
          <w:tcPr>
            <w:tcW w:w="1407" w:type="pct"/>
          </w:tcPr>
          <w:p w14:paraId="751D4E02" w14:textId="77777777" w:rsidR="008163B6" w:rsidRDefault="00F709BD">
            <w:pPr>
              <w:pStyle w:val="TableText"/>
              <w:rPr>
                <w:rFonts w:ascii="Cambria" w:hAnsi="Cambria"/>
                <w:szCs w:val="18"/>
              </w:rPr>
            </w:pPr>
            <w:r>
              <w:rPr>
                <w:rFonts w:ascii="Cambria" w:hAnsi="Cambria"/>
                <w:szCs w:val="18"/>
              </w:rPr>
              <w:t>Infection</w:t>
            </w:r>
          </w:p>
        </w:tc>
        <w:tc>
          <w:tcPr>
            <w:tcW w:w="3593" w:type="pct"/>
          </w:tcPr>
          <w:p w14:paraId="00468E67" w14:textId="77777777" w:rsidR="008163B6" w:rsidRDefault="00F709BD">
            <w:pPr>
              <w:pStyle w:val="TableText"/>
              <w:rPr>
                <w:rFonts w:ascii="Cambria" w:hAnsi="Cambria"/>
                <w:szCs w:val="18"/>
              </w:rPr>
            </w:pPr>
            <w:r>
              <w:rPr>
                <w:rFonts w:ascii="Cambria" w:hAnsi="Cambria"/>
                <w:szCs w:val="18"/>
              </w:rPr>
              <w:t>The internal ‘endophytic’ colonisation of a plant, or plant organ, and is generally associated with the development of disease symptoms as the integrity of cells and/or biological processes are disrupted.</w:t>
            </w:r>
          </w:p>
        </w:tc>
      </w:tr>
      <w:tr w:rsidR="008163B6" w14:paraId="579AC945" w14:textId="77777777" w:rsidTr="00ED2894">
        <w:tc>
          <w:tcPr>
            <w:tcW w:w="1407" w:type="pct"/>
          </w:tcPr>
          <w:p w14:paraId="61CBB992" w14:textId="77777777" w:rsidR="008163B6" w:rsidRDefault="00F709BD">
            <w:pPr>
              <w:pStyle w:val="TableText"/>
              <w:rPr>
                <w:rFonts w:ascii="Cambria" w:hAnsi="Cambria"/>
                <w:szCs w:val="18"/>
              </w:rPr>
            </w:pPr>
            <w:r>
              <w:rPr>
                <w:rFonts w:ascii="Cambria" w:hAnsi="Cambria"/>
                <w:szCs w:val="18"/>
              </w:rPr>
              <w:t>Infestation (of a commodity)</w:t>
            </w:r>
          </w:p>
        </w:tc>
        <w:tc>
          <w:tcPr>
            <w:tcW w:w="3593" w:type="pct"/>
          </w:tcPr>
          <w:p w14:paraId="5F9AFAF7" w14:textId="77777777" w:rsidR="008163B6" w:rsidRDefault="00F709BD">
            <w:pPr>
              <w:pStyle w:val="TableText"/>
              <w:rPr>
                <w:rFonts w:ascii="Cambria" w:hAnsi="Cambria"/>
                <w:szCs w:val="18"/>
              </w:rPr>
            </w:pPr>
            <w:r>
              <w:rPr>
                <w:rFonts w:ascii="Cambria" w:hAnsi="Cambria"/>
                <w:szCs w:val="18"/>
              </w:rPr>
              <w:t xml:space="preserve">Presence in a commodity of a living pest of the plant or plant product concerned. Infestation includes infection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5DF22F00" w14:textId="77777777" w:rsidTr="00ED2894">
        <w:tc>
          <w:tcPr>
            <w:tcW w:w="1407" w:type="pct"/>
          </w:tcPr>
          <w:p w14:paraId="6828395A" w14:textId="77777777" w:rsidR="008163B6" w:rsidRDefault="00F709BD">
            <w:pPr>
              <w:pStyle w:val="TableText"/>
              <w:rPr>
                <w:rFonts w:ascii="Cambria" w:hAnsi="Cambria"/>
                <w:szCs w:val="18"/>
              </w:rPr>
            </w:pPr>
            <w:r>
              <w:rPr>
                <w:rFonts w:ascii="Cambria" w:hAnsi="Cambria"/>
                <w:szCs w:val="18"/>
              </w:rPr>
              <w:t>Inspection</w:t>
            </w:r>
          </w:p>
        </w:tc>
        <w:tc>
          <w:tcPr>
            <w:tcW w:w="3593" w:type="pct"/>
          </w:tcPr>
          <w:p w14:paraId="6A2D1100" w14:textId="77777777" w:rsidR="008163B6" w:rsidRDefault="00F709BD">
            <w:pPr>
              <w:pStyle w:val="TableText"/>
              <w:rPr>
                <w:rFonts w:ascii="Cambria" w:hAnsi="Cambria"/>
                <w:szCs w:val="18"/>
              </w:rPr>
            </w:pPr>
            <w:r>
              <w:rPr>
                <w:rFonts w:ascii="Cambria" w:hAnsi="Cambria"/>
                <w:szCs w:val="18"/>
              </w:rPr>
              <w:t xml:space="preserve">Official visual examination of plants, plant products or other regulated articles to determine if pests are present or to determine compliance with phytosanitary regulations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603C427B" w14:textId="77777777" w:rsidTr="00ED2894">
        <w:tc>
          <w:tcPr>
            <w:tcW w:w="1407" w:type="pct"/>
          </w:tcPr>
          <w:p w14:paraId="2F01F276" w14:textId="77777777" w:rsidR="008163B6" w:rsidRDefault="00F709BD">
            <w:pPr>
              <w:pStyle w:val="TableText"/>
              <w:rPr>
                <w:rFonts w:ascii="Cambria" w:hAnsi="Cambria"/>
                <w:szCs w:val="18"/>
              </w:rPr>
            </w:pPr>
            <w:r>
              <w:rPr>
                <w:rFonts w:ascii="Cambria" w:hAnsi="Cambria"/>
                <w:szCs w:val="18"/>
              </w:rPr>
              <w:lastRenderedPageBreak/>
              <w:t>Intended use</w:t>
            </w:r>
          </w:p>
        </w:tc>
        <w:tc>
          <w:tcPr>
            <w:tcW w:w="3593" w:type="pct"/>
          </w:tcPr>
          <w:p w14:paraId="78BF5C13" w14:textId="77777777" w:rsidR="008163B6" w:rsidRDefault="00F709BD">
            <w:pPr>
              <w:pStyle w:val="TableText"/>
              <w:rPr>
                <w:rFonts w:ascii="Cambria" w:hAnsi="Cambria"/>
                <w:szCs w:val="18"/>
              </w:rPr>
            </w:pPr>
            <w:r>
              <w:rPr>
                <w:rFonts w:ascii="Cambria" w:hAnsi="Cambria"/>
                <w:szCs w:val="18"/>
              </w:rPr>
              <w:t xml:space="preserve">Declared purpose for which plants, plant products, or other regulated articles are imported, produced or used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1329B609" w14:textId="77777777" w:rsidTr="00ED2894">
        <w:tc>
          <w:tcPr>
            <w:tcW w:w="1407" w:type="pct"/>
          </w:tcPr>
          <w:p w14:paraId="02CF5303" w14:textId="77777777" w:rsidR="008163B6" w:rsidRDefault="00F709BD">
            <w:pPr>
              <w:pStyle w:val="TableText"/>
              <w:rPr>
                <w:rFonts w:ascii="Cambria" w:hAnsi="Cambria"/>
                <w:szCs w:val="18"/>
              </w:rPr>
            </w:pPr>
            <w:r>
              <w:rPr>
                <w:rFonts w:ascii="Cambria" w:hAnsi="Cambria"/>
                <w:szCs w:val="18"/>
              </w:rPr>
              <w:t>Interception (of a pest)</w:t>
            </w:r>
          </w:p>
        </w:tc>
        <w:tc>
          <w:tcPr>
            <w:tcW w:w="3593" w:type="pct"/>
          </w:tcPr>
          <w:p w14:paraId="66B043E6" w14:textId="77777777" w:rsidR="008163B6" w:rsidRDefault="00F709BD">
            <w:pPr>
              <w:pStyle w:val="TableText"/>
              <w:rPr>
                <w:rFonts w:ascii="Cambria" w:hAnsi="Cambria"/>
                <w:szCs w:val="18"/>
              </w:rPr>
            </w:pPr>
            <w:r>
              <w:rPr>
                <w:rFonts w:ascii="Cambria" w:hAnsi="Cambria"/>
                <w:szCs w:val="18"/>
              </w:rPr>
              <w:t xml:space="preserve">The detection of a pest during inspection or testing of an imported consignment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5F7D6EE9" w14:textId="77777777" w:rsidTr="00ED2894">
        <w:tc>
          <w:tcPr>
            <w:tcW w:w="1407" w:type="pct"/>
          </w:tcPr>
          <w:p w14:paraId="42393BD4" w14:textId="77777777" w:rsidR="008163B6" w:rsidRDefault="00F709BD">
            <w:pPr>
              <w:pStyle w:val="TableText"/>
              <w:rPr>
                <w:rFonts w:ascii="Cambria" w:hAnsi="Cambria"/>
                <w:szCs w:val="18"/>
              </w:rPr>
            </w:pPr>
            <w:r>
              <w:rPr>
                <w:rFonts w:ascii="Cambria" w:hAnsi="Cambria"/>
                <w:szCs w:val="18"/>
              </w:rPr>
              <w:t>International Standard for Phytosanitary Measures (ISPM)</w:t>
            </w:r>
          </w:p>
        </w:tc>
        <w:tc>
          <w:tcPr>
            <w:tcW w:w="3593" w:type="pct"/>
          </w:tcPr>
          <w:p w14:paraId="28B91593" w14:textId="77777777" w:rsidR="008163B6" w:rsidRDefault="00F709BD">
            <w:pPr>
              <w:pStyle w:val="TableText"/>
              <w:rPr>
                <w:rFonts w:ascii="Cambria" w:hAnsi="Cambria"/>
                <w:szCs w:val="18"/>
              </w:rPr>
            </w:pPr>
            <w:r>
              <w:rPr>
                <w:rFonts w:ascii="Cambria" w:hAnsi="Cambria"/>
                <w:szCs w:val="18"/>
              </w:rPr>
              <w:t xml:space="preserve">An international standard adopted by the Conference of the Food and Agriculture Organization, the Interim Commission on Phytosanitary Measures or the Commission on Phytosanitary Measures, established under the IPCC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2F926280" w14:textId="77777777" w:rsidTr="00ED2894">
        <w:tc>
          <w:tcPr>
            <w:tcW w:w="1407" w:type="pct"/>
          </w:tcPr>
          <w:p w14:paraId="6A14B78F" w14:textId="77777777" w:rsidR="008163B6" w:rsidRDefault="00F709BD">
            <w:pPr>
              <w:pStyle w:val="TableText"/>
              <w:rPr>
                <w:rFonts w:ascii="Cambria" w:hAnsi="Cambria"/>
                <w:szCs w:val="18"/>
              </w:rPr>
            </w:pPr>
            <w:r>
              <w:rPr>
                <w:rFonts w:ascii="Cambria" w:hAnsi="Cambria"/>
                <w:szCs w:val="18"/>
              </w:rPr>
              <w:t>Introduction (of a pest)</w:t>
            </w:r>
          </w:p>
        </w:tc>
        <w:tc>
          <w:tcPr>
            <w:tcW w:w="3593" w:type="pct"/>
          </w:tcPr>
          <w:p w14:paraId="37D2DDC3" w14:textId="77777777" w:rsidR="008163B6" w:rsidRDefault="00F709BD">
            <w:pPr>
              <w:pStyle w:val="TableText"/>
              <w:rPr>
                <w:rFonts w:ascii="Cambria" w:hAnsi="Cambria"/>
                <w:szCs w:val="18"/>
              </w:rPr>
            </w:pPr>
            <w:r>
              <w:rPr>
                <w:rFonts w:ascii="Cambria" w:hAnsi="Cambria"/>
                <w:szCs w:val="18"/>
              </w:rPr>
              <w:t xml:space="preserve">The entry of a pest resulting in its establishment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00337874" w14:textId="77777777" w:rsidTr="00ED2894">
        <w:tc>
          <w:tcPr>
            <w:tcW w:w="1407" w:type="pct"/>
          </w:tcPr>
          <w:p w14:paraId="1DD9881E" w14:textId="77777777" w:rsidR="008163B6" w:rsidRDefault="00F709BD">
            <w:pPr>
              <w:pStyle w:val="TableText"/>
              <w:rPr>
                <w:rFonts w:ascii="Cambria" w:hAnsi="Cambria"/>
                <w:szCs w:val="18"/>
              </w:rPr>
            </w:pPr>
            <w:r>
              <w:rPr>
                <w:rFonts w:ascii="Cambria" w:hAnsi="Cambria"/>
                <w:szCs w:val="18"/>
              </w:rPr>
              <w:t>Life cycle</w:t>
            </w:r>
          </w:p>
        </w:tc>
        <w:tc>
          <w:tcPr>
            <w:tcW w:w="3593" w:type="pct"/>
          </w:tcPr>
          <w:p w14:paraId="3D47A28B" w14:textId="77777777" w:rsidR="008163B6" w:rsidRDefault="00F709BD">
            <w:pPr>
              <w:pStyle w:val="TableText"/>
              <w:rPr>
                <w:rFonts w:ascii="Cambria" w:hAnsi="Cambria"/>
                <w:szCs w:val="18"/>
              </w:rPr>
            </w:pPr>
            <w:r>
              <w:rPr>
                <w:rFonts w:ascii="Cambria" w:hAnsi="Cambria"/>
                <w:szCs w:val="18"/>
              </w:rPr>
              <w:t xml:space="preserve">Cyclical progression of stages in the growth and development of an organism (plant, animal, or pathogen) that occur between the appearance and reappearance of the same stage of the organism (Shurtleff &amp; </w:t>
            </w:r>
            <w:proofErr w:type="spellStart"/>
            <w:r>
              <w:rPr>
                <w:rFonts w:ascii="Cambria" w:hAnsi="Cambria"/>
                <w:szCs w:val="18"/>
              </w:rPr>
              <w:t>Averre</w:t>
            </w:r>
            <w:proofErr w:type="spellEnd"/>
            <w:r>
              <w:rPr>
                <w:rFonts w:ascii="Cambria" w:hAnsi="Cambria"/>
                <w:szCs w:val="18"/>
              </w:rPr>
              <w:t xml:space="preserve"> 1997).</w:t>
            </w:r>
          </w:p>
        </w:tc>
      </w:tr>
      <w:tr w:rsidR="008163B6" w14:paraId="4561B8AE" w14:textId="77777777" w:rsidTr="00ED2894">
        <w:tc>
          <w:tcPr>
            <w:tcW w:w="1407" w:type="pct"/>
          </w:tcPr>
          <w:p w14:paraId="51A0B855" w14:textId="77777777" w:rsidR="008163B6" w:rsidRDefault="00F709BD">
            <w:pPr>
              <w:pStyle w:val="TableText"/>
              <w:rPr>
                <w:rFonts w:ascii="Cambria" w:hAnsi="Cambria"/>
                <w:szCs w:val="18"/>
              </w:rPr>
            </w:pPr>
            <w:r>
              <w:rPr>
                <w:rFonts w:ascii="Cambria" w:hAnsi="Cambria"/>
                <w:szCs w:val="18"/>
              </w:rPr>
              <w:t>National Plant Protection Organization (NPPO)</w:t>
            </w:r>
          </w:p>
        </w:tc>
        <w:tc>
          <w:tcPr>
            <w:tcW w:w="3593" w:type="pct"/>
          </w:tcPr>
          <w:p w14:paraId="1DCC6595" w14:textId="77777777" w:rsidR="008163B6" w:rsidRDefault="00F709BD">
            <w:pPr>
              <w:pStyle w:val="TableText"/>
              <w:rPr>
                <w:rFonts w:ascii="Cambria" w:hAnsi="Cambria"/>
                <w:szCs w:val="18"/>
              </w:rPr>
            </w:pPr>
            <w:r>
              <w:rPr>
                <w:rFonts w:ascii="Cambria" w:hAnsi="Cambria"/>
                <w:szCs w:val="18"/>
              </w:rPr>
              <w:t xml:space="preserve">Official service established by a government to discharge the functions specified by the IPPC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785C3ED4" w14:textId="77777777" w:rsidTr="00ED2894">
        <w:tc>
          <w:tcPr>
            <w:tcW w:w="1407" w:type="pct"/>
          </w:tcPr>
          <w:p w14:paraId="50F6C3DA" w14:textId="77777777" w:rsidR="008163B6" w:rsidRDefault="00F709BD">
            <w:pPr>
              <w:pStyle w:val="TableText"/>
              <w:rPr>
                <w:rFonts w:ascii="Cambria" w:hAnsi="Cambria"/>
                <w:szCs w:val="18"/>
              </w:rPr>
            </w:pPr>
            <w:r>
              <w:rPr>
                <w:rFonts w:ascii="Cambria" w:hAnsi="Cambria"/>
                <w:szCs w:val="18"/>
              </w:rPr>
              <w:t>Official control</w:t>
            </w:r>
          </w:p>
        </w:tc>
        <w:tc>
          <w:tcPr>
            <w:tcW w:w="3593" w:type="pct"/>
          </w:tcPr>
          <w:p w14:paraId="25C45777" w14:textId="77777777" w:rsidR="008163B6" w:rsidRDefault="00F709BD">
            <w:pPr>
              <w:pStyle w:val="TableText"/>
              <w:rPr>
                <w:rFonts w:ascii="Cambria" w:hAnsi="Cambria"/>
                <w:szCs w:val="18"/>
              </w:rPr>
            </w:pPr>
            <w:r>
              <w:rPr>
                <w:rFonts w:ascii="Cambria" w:hAnsi="Cambria"/>
                <w:szCs w:val="18"/>
              </w:rPr>
              <w:t xml:space="preserve">The active enforcement of mandatory phytosanitary regulations and the application of mandatory phytosanitary procedures with the objective of eradication or containment of quarantine pests or for the management of regulated non-quarantine pests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7AC3209D" w14:textId="77777777" w:rsidTr="00ED2894">
        <w:tc>
          <w:tcPr>
            <w:tcW w:w="1407" w:type="pct"/>
          </w:tcPr>
          <w:p w14:paraId="1E7BD432" w14:textId="77777777" w:rsidR="008163B6" w:rsidRDefault="00F709BD">
            <w:pPr>
              <w:pStyle w:val="TableText"/>
              <w:rPr>
                <w:rFonts w:ascii="Cambria" w:hAnsi="Cambria"/>
                <w:szCs w:val="18"/>
              </w:rPr>
            </w:pPr>
            <w:r>
              <w:rPr>
                <w:rFonts w:ascii="Cambria" w:hAnsi="Cambria"/>
                <w:szCs w:val="18"/>
              </w:rPr>
              <w:t>Pathogen</w:t>
            </w:r>
          </w:p>
        </w:tc>
        <w:tc>
          <w:tcPr>
            <w:tcW w:w="3593" w:type="pct"/>
          </w:tcPr>
          <w:p w14:paraId="0F884B72" w14:textId="77777777" w:rsidR="008163B6" w:rsidRDefault="00F709BD">
            <w:pPr>
              <w:pStyle w:val="TableText"/>
              <w:rPr>
                <w:rFonts w:ascii="Cambria" w:hAnsi="Cambria"/>
                <w:szCs w:val="18"/>
              </w:rPr>
            </w:pPr>
            <w:r>
              <w:rPr>
                <w:rFonts w:ascii="Cambria" w:hAnsi="Cambria"/>
                <w:szCs w:val="18"/>
              </w:rPr>
              <w:t>A biological agent that can cause disease to its host.</w:t>
            </w:r>
          </w:p>
        </w:tc>
      </w:tr>
      <w:tr w:rsidR="008163B6" w14:paraId="0B71E5F8" w14:textId="77777777" w:rsidTr="00ED2894">
        <w:tc>
          <w:tcPr>
            <w:tcW w:w="1407" w:type="pct"/>
          </w:tcPr>
          <w:p w14:paraId="2AC71CD3" w14:textId="77777777" w:rsidR="008163B6" w:rsidRDefault="00F709BD">
            <w:pPr>
              <w:pStyle w:val="TableText"/>
              <w:rPr>
                <w:rFonts w:ascii="Cambria" w:hAnsi="Cambria"/>
                <w:szCs w:val="18"/>
              </w:rPr>
            </w:pPr>
            <w:r>
              <w:rPr>
                <w:rFonts w:ascii="Cambria" w:hAnsi="Cambria"/>
                <w:szCs w:val="18"/>
              </w:rPr>
              <w:t>Pathway</w:t>
            </w:r>
          </w:p>
        </w:tc>
        <w:tc>
          <w:tcPr>
            <w:tcW w:w="3593" w:type="pct"/>
          </w:tcPr>
          <w:p w14:paraId="33A992CF" w14:textId="77777777" w:rsidR="008163B6" w:rsidRDefault="00F709BD">
            <w:pPr>
              <w:pStyle w:val="TableText"/>
              <w:rPr>
                <w:rFonts w:ascii="Cambria" w:hAnsi="Cambria"/>
                <w:szCs w:val="18"/>
              </w:rPr>
            </w:pPr>
            <w:r>
              <w:rPr>
                <w:rFonts w:ascii="Cambria" w:hAnsi="Cambria"/>
                <w:szCs w:val="18"/>
              </w:rPr>
              <w:t xml:space="preserve">Any means that allows the entry or spread of a pest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117BC07C" w14:textId="77777777" w:rsidTr="00ED2894">
        <w:tc>
          <w:tcPr>
            <w:tcW w:w="1407" w:type="pct"/>
          </w:tcPr>
          <w:p w14:paraId="2B901B9C" w14:textId="77777777" w:rsidR="008163B6" w:rsidRDefault="00F709BD">
            <w:pPr>
              <w:pStyle w:val="TableText"/>
              <w:rPr>
                <w:rFonts w:ascii="Cambria" w:hAnsi="Cambria"/>
                <w:szCs w:val="18"/>
              </w:rPr>
            </w:pPr>
            <w:r>
              <w:rPr>
                <w:rFonts w:ascii="Cambria" w:hAnsi="Cambria"/>
                <w:szCs w:val="18"/>
              </w:rPr>
              <w:t>Pest</w:t>
            </w:r>
          </w:p>
        </w:tc>
        <w:tc>
          <w:tcPr>
            <w:tcW w:w="3593" w:type="pct"/>
          </w:tcPr>
          <w:p w14:paraId="527FF235" w14:textId="41A4989F" w:rsidR="008163B6" w:rsidRDefault="00F709BD" w:rsidP="00D87C40">
            <w:pPr>
              <w:pStyle w:val="TableText"/>
              <w:rPr>
                <w:rFonts w:ascii="Cambria" w:hAnsi="Cambria"/>
                <w:szCs w:val="18"/>
              </w:rPr>
            </w:pPr>
            <w:r>
              <w:rPr>
                <w:rFonts w:ascii="Cambria" w:hAnsi="Cambria"/>
                <w:szCs w:val="18"/>
              </w:rPr>
              <w:t xml:space="preserve">Any species, strain or biotype of plant, animal or pathogenic agent injurious to plants or plant products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2B2A23E4" w14:textId="77777777" w:rsidTr="00ED2894">
        <w:tc>
          <w:tcPr>
            <w:tcW w:w="1407" w:type="pct"/>
          </w:tcPr>
          <w:p w14:paraId="539417BB" w14:textId="77777777" w:rsidR="008163B6" w:rsidRDefault="00F709BD">
            <w:pPr>
              <w:pStyle w:val="TableText"/>
              <w:rPr>
                <w:rFonts w:ascii="Cambria" w:hAnsi="Cambria"/>
                <w:szCs w:val="18"/>
              </w:rPr>
            </w:pPr>
            <w:r>
              <w:rPr>
                <w:rFonts w:ascii="Cambria" w:hAnsi="Cambria"/>
                <w:szCs w:val="18"/>
              </w:rPr>
              <w:t>Pest categorisation</w:t>
            </w:r>
          </w:p>
        </w:tc>
        <w:tc>
          <w:tcPr>
            <w:tcW w:w="3593" w:type="pct"/>
          </w:tcPr>
          <w:p w14:paraId="735F5418" w14:textId="147FEBBA" w:rsidR="008163B6" w:rsidRDefault="00F709BD" w:rsidP="00D87C40">
            <w:pPr>
              <w:pStyle w:val="TableText"/>
              <w:rPr>
                <w:rFonts w:ascii="Cambria" w:hAnsi="Cambria"/>
                <w:szCs w:val="18"/>
              </w:rPr>
            </w:pPr>
            <w:r>
              <w:rPr>
                <w:rFonts w:ascii="Cambria" w:hAnsi="Cambria"/>
                <w:szCs w:val="18"/>
              </w:rPr>
              <w:t xml:space="preserve">The process for determining whether a pest has the characteristics of a quarantine pest or regulated non-quarantine pest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2DD54F11" w14:textId="77777777" w:rsidTr="00ED2894">
        <w:tc>
          <w:tcPr>
            <w:tcW w:w="1407" w:type="pct"/>
          </w:tcPr>
          <w:p w14:paraId="0AAFAF62" w14:textId="77777777" w:rsidR="008163B6" w:rsidRDefault="00F709BD">
            <w:pPr>
              <w:pStyle w:val="TableText"/>
              <w:rPr>
                <w:rFonts w:ascii="Cambria" w:hAnsi="Cambria"/>
                <w:szCs w:val="18"/>
              </w:rPr>
            </w:pPr>
            <w:r>
              <w:rPr>
                <w:rFonts w:ascii="Cambria" w:hAnsi="Cambria"/>
                <w:szCs w:val="18"/>
              </w:rPr>
              <w:t>Pest free area (PFA)</w:t>
            </w:r>
          </w:p>
        </w:tc>
        <w:tc>
          <w:tcPr>
            <w:tcW w:w="3593" w:type="pct"/>
          </w:tcPr>
          <w:p w14:paraId="10E7F601" w14:textId="77777777" w:rsidR="008163B6" w:rsidRDefault="00F709BD">
            <w:pPr>
              <w:pStyle w:val="TableText"/>
              <w:rPr>
                <w:rFonts w:ascii="Cambria" w:hAnsi="Cambria"/>
                <w:szCs w:val="18"/>
              </w:rPr>
            </w:pPr>
            <w:r>
              <w:rPr>
                <w:rFonts w:ascii="Cambria" w:hAnsi="Cambria"/>
                <w:szCs w:val="18"/>
              </w:rPr>
              <w:t xml:space="preserve">An area in which a specific pest does not occur as demonstrated by scientific evidence and in which, where appropriate, this condition is being officially maintained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679569BB" w14:textId="77777777" w:rsidTr="00ED2894">
        <w:tc>
          <w:tcPr>
            <w:tcW w:w="1407" w:type="pct"/>
          </w:tcPr>
          <w:p w14:paraId="6B471CAF" w14:textId="77777777" w:rsidR="008163B6" w:rsidRDefault="00F709BD">
            <w:pPr>
              <w:pStyle w:val="TableText"/>
              <w:rPr>
                <w:rFonts w:ascii="Cambria" w:hAnsi="Cambria"/>
                <w:szCs w:val="18"/>
              </w:rPr>
            </w:pPr>
            <w:r>
              <w:rPr>
                <w:rFonts w:ascii="Cambria" w:hAnsi="Cambria"/>
                <w:szCs w:val="18"/>
              </w:rPr>
              <w:t>Pest free place of production</w:t>
            </w:r>
          </w:p>
        </w:tc>
        <w:tc>
          <w:tcPr>
            <w:tcW w:w="3593" w:type="pct"/>
          </w:tcPr>
          <w:p w14:paraId="222459CA" w14:textId="77777777" w:rsidR="008163B6" w:rsidRDefault="00F709BD">
            <w:pPr>
              <w:pStyle w:val="TableText"/>
              <w:rPr>
                <w:rFonts w:ascii="Cambria" w:hAnsi="Cambria"/>
                <w:szCs w:val="18"/>
              </w:rPr>
            </w:pPr>
            <w:r>
              <w:rPr>
                <w:rFonts w:ascii="Cambria" w:hAnsi="Cambria"/>
                <w:szCs w:val="18"/>
              </w:rPr>
              <w:t xml:space="preserve">Place of production in which a specific pest does not occur as demonstrated by scientific evidence and in which, where appropriate, this condition is being officially maintained for a defined period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48242C53" w14:textId="77777777" w:rsidTr="00ED2894">
        <w:tc>
          <w:tcPr>
            <w:tcW w:w="1407" w:type="pct"/>
          </w:tcPr>
          <w:p w14:paraId="6A06127B" w14:textId="77777777" w:rsidR="008163B6" w:rsidRDefault="00F709BD">
            <w:pPr>
              <w:pStyle w:val="TableText"/>
              <w:rPr>
                <w:rFonts w:ascii="Cambria" w:hAnsi="Cambria"/>
                <w:szCs w:val="18"/>
              </w:rPr>
            </w:pPr>
            <w:r>
              <w:rPr>
                <w:rFonts w:ascii="Cambria" w:hAnsi="Cambria"/>
                <w:szCs w:val="18"/>
              </w:rPr>
              <w:t>Pest free production site</w:t>
            </w:r>
          </w:p>
        </w:tc>
        <w:tc>
          <w:tcPr>
            <w:tcW w:w="3593" w:type="pct"/>
          </w:tcPr>
          <w:p w14:paraId="05FFF9F0" w14:textId="77777777" w:rsidR="008163B6" w:rsidRDefault="00F709BD">
            <w:pPr>
              <w:pStyle w:val="TableText"/>
              <w:rPr>
                <w:rFonts w:ascii="Cambria" w:hAnsi="Cambria"/>
                <w:szCs w:val="18"/>
              </w:rPr>
            </w:pPr>
            <w:r>
              <w:rPr>
                <w:rFonts w:ascii="Cambria" w:hAnsi="Cambria"/>
                <w:szCs w:val="18"/>
              </w:rPr>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361D9C30" w14:textId="77777777" w:rsidTr="00ED2894">
        <w:tc>
          <w:tcPr>
            <w:tcW w:w="1407" w:type="pct"/>
          </w:tcPr>
          <w:p w14:paraId="2EC55893" w14:textId="77777777" w:rsidR="008163B6" w:rsidRDefault="00F709BD">
            <w:pPr>
              <w:pStyle w:val="TableText"/>
              <w:rPr>
                <w:rFonts w:ascii="Cambria" w:hAnsi="Cambria"/>
                <w:szCs w:val="18"/>
              </w:rPr>
            </w:pPr>
            <w:r>
              <w:rPr>
                <w:rFonts w:ascii="Cambria" w:hAnsi="Cambria"/>
                <w:szCs w:val="18"/>
              </w:rPr>
              <w:t>Pest risk analysis (PRA)</w:t>
            </w:r>
          </w:p>
        </w:tc>
        <w:tc>
          <w:tcPr>
            <w:tcW w:w="3593" w:type="pct"/>
          </w:tcPr>
          <w:p w14:paraId="63E3D2DF" w14:textId="77777777" w:rsidR="008163B6" w:rsidRDefault="00F709BD">
            <w:pPr>
              <w:pStyle w:val="TableText"/>
              <w:rPr>
                <w:rFonts w:ascii="Cambria" w:hAnsi="Cambria"/>
                <w:szCs w:val="18"/>
              </w:rPr>
            </w:pPr>
            <w:r>
              <w:rPr>
                <w:rFonts w:ascii="Cambria" w:hAnsi="Cambria"/>
                <w:szCs w:val="18"/>
              </w:rPr>
              <w:t xml:space="preserve">The process of evaluating biological or other scientific and economic evidence to determine whether an organism is a pest, whether it should be regulated, and the strength of any phytosanitary measures to be taken against it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3D1919F3" w14:textId="77777777" w:rsidTr="00ED2894">
        <w:tc>
          <w:tcPr>
            <w:tcW w:w="1407" w:type="pct"/>
          </w:tcPr>
          <w:p w14:paraId="28FDBBD9" w14:textId="77777777" w:rsidR="008163B6" w:rsidRDefault="00F709BD">
            <w:pPr>
              <w:pStyle w:val="TableText"/>
              <w:rPr>
                <w:rFonts w:ascii="Cambria" w:hAnsi="Cambria"/>
                <w:szCs w:val="18"/>
              </w:rPr>
            </w:pPr>
            <w:r>
              <w:rPr>
                <w:rFonts w:ascii="Cambria" w:hAnsi="Cambria"/>
                <w:szCs w:val="18"/>
              </w:rPr>
              <w:t>Pest risk assessment (for quarantine pests)</w:t>
            </w:r>
          </w:p>
        </w:tc>
        <w:tc>
          <w:tcPr>
            <w:tcW w:w="3593" w:type="pct"/>
          </w:tcPr>
          <w:p w14:paraId="291C4894" w14:textId="77777777" w:rsidR="008163B6" w:rsidRDefault="00F709BD">
            <w:pPr>
              <w:pStyle w:val="TableText"/>
              <w:rPr>
                <w:rFonts w:ascii="Cambria" w:hAnsi="Cambria"/>
                <w:szCs w:val="18"/>
              </w:rPr>
            </w:pPr>
            <w:r>
              <w:rPr>
                <w:rFonts w:ascii="Cambria" w:hAnsi="Cambria"/>
                <w:szCs w:val="18"/>
              </w:rPr>
              <w:t xml:space="preserve">Evaluation of the probability of the introduction and spread of a pest and of the magnitude of the associated potential economic consequences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7C76B706" w14:textId="77777777" w:rsidTr="00ED2894">
        <w:tc>
          <w:tcPr>
            <w:tcW w:w="1407" w:type="pct"/>
          </w:tcPr>
          <w:p w14:paraId="0705645C" w14:textId="77777777" w:rsidR="008163B6" w:rsidRDefault="00F709BD">
            <w:pPr>
              <w:pStyle w:val="TableText"/>
              <w:rPr>
                <w:rFonts w:ascii="Cambria" w:hAnsi="Cambria"/>
                <w:szCs w:val="18"/>
              </w:rPr>
            </w:pPr>
            <w:r>
              <w:rPr>
                <w:rFonts w:ascii="Cambria" w:hAnsi="Cambria"/>
                <w:szCs w:val="18"/>
              </w:rPr>
              <w:t>Pest risk assessment (for regulated non-quarantine pests)</w:t>
            </w:r>
          </w:p>
        </w:tc>
        <w:tc>
          <w:tcPr>
            <w:tcW w:w="3593" w:type="pct"/>
          </w:tcPr>
          <w:p w14:paraId="74E7D22B" w14:textId="027A6D9F" w:rsidR="008163B6" w:rsidRDefault="00F709BD" w:rsidP="00BF3740">
            <w:pPr>
              <w:pStyle w:val="TableText"/>
              <w:rPr>
                <w:rFonts w:ascii="Cambria" w:hAnsi="Cambria"/>
                <w:szCs w:val="18"/>
              </w:rPr>
            </w:pPr>
            <w:r>
              <w:rPr>
                <w:rFonts w:ascii="Cambria" w:hAnsi="Cambria"/>
                <w:szCs w:val="18"/>
              </w:rPr>
              <w:t>Evaluation of the probability that a pest in plants for planting affects the in</w:t>
            </w:r>
            <w:r w:rsidR="00BF3740">
              <w:rPr>
                <w:rFonts w:ascii="Cambria" w:hAnsi="Cambria"/>
                <w:szCs w:val="18"/>
              </w:rPr>
              <w:t>t</w:t>
            </w:r>
            <w:r>
              <w:rPr>
                <w:rFonts w:ascii="Cambria" w:hAnsi="Cambria"/>
                <w:szCs w:val="18"/>
              </w:rPr>
              <w:t>en</w:t>
            </w:r>
            <w:r w:rsidR="00BF3740">
              <w:rPr>
                <w:rFonts w:ascii="Cambria" w:hAnsi="Cambria"/>
                <w:szCs w:val="18"/>
              </w:rPr>
              <w:t>d</w:t>
            </w:r>
            <w:r>
              <w:rPr>
                <w:rFonts w:ascii="Cambria" w:hAnsi="Cambria"/>
                <w:szCs w:val="18"/>
              </w:rPr>
              <w:t xml:space="preserve">ed use of those plants with an economically unacceptable impact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5559FB94" w14:textId="77777777" w:rsidTr="00ED2894">
        <w:tc>
          <w:tcPr>
            <w:tcW w:w="1407" w:type="pct"/>
          </w:tcPr>
          <w:p w14:paraId="715867AC" w14:textId="77777777" w:rsidR="008163B6" w:rsidRDefault="00F709BD">
            <w:pPr>
              <w:pStyle w:val="TableText"/>
              <w:rPr>
                <w:rFonts w:ascii="Cambria" w:hAnsi="Cambria"/>
                <w:szCs w:val="18"/>
              </w:rPr>
            </w:pPr>
            <w:r>
              <w:rPr>
                <w:rFonts w:ascii="Cambria" w:hAnsi="Cambria"/>
                <w:szCs w:val="18"/>
              </w:rPr>
              <w:t>Pest risk management (for quarantine pests)</w:t>
            </w:r>
          </w:p>
        </w:tc>
        <w:tc>
          <w:tcPr>
            <w:tcW w:w="3593" w:type="pct"/>
          </w:tcPr>
          <w:p w14:paraId="678E337C" w14:textId="77777777" w:rsidR="008163B6" w:rsidRDefault="00F709BD">
            <w:pPr>
              <w:pStyle w:val="TableText"/>
              <w:rPr>
                <w:rFonts w:ascii="Cambria" w:hAnsi="Cambria"/>
                <w:szCs w:val="18"/>
              </w:rPr>
            </w:pPr>
            <w:r>
              <w:rPr>
                <w:rFonts w:ascii="Cambria" w:hAnsi="Cambria"/>
                <w:szCs w:val="18"/>
              </w:rPr>
              <w:t xml:space="preserve">Evaluation and selection of options to reduce the risk of introduction and spread of a pest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11C93086" w14:textId="77777777" w:rsidTr="00ED2894">
        <w:tc>
          <w:tcPr>
            <w:tcW w:w="1407" w:type="pct"/>
          </w:tcPr>
          <w:p w14:paraId="78154D4E" w14:textId="77777777" w:rsidR="008163B6" w:rsidRDefault="00F709BD">
            <w:pPr>
              <w:pStyle w:val="TableText"/>
              <w:rPr>
                <w:rFonts w:ascii="Cambria" w:hAnsi="Cambria"/>
                <w:szCs w:val="18"/>
              </w:rPr>
            </w:pPr>
            <w:r>
              <w:rPr>
                <w:rFonts w:ascii="Cambria" w:hAnsi="Cambria"/>
                <w:szCs w:val="18"/>
              </w:rPr>
              <w:t>Pest risk management (for regulated non-quarantine pests)</w:t>
            </w:r>
          </w:p>
        </w:tc>
        <w:tc>
          <w:tcPr>
            <w:tcW w:w="3593" w:type="pct"/>
          </w:tcPr>
          <w:p w14:paraId="6443A2CB" w14:textId="77777777" w:rsidR="008163B6" w:rsidRDefault="00F709BD">
            <w:pPr>
              <w:pStyle w:val="TableText"/>
              <w:rPr>
                <w:rFonts w:ascii="Cambria" w:hAnsi="Cambria"/>
                <w:szCs w:val="18"/>
              </w:rPr>
            </w:pPr>
            <w:r>
              <w:rPr>
                <w:rFonts w:ascii="Cambria" w:hAnsi="Cambria"/>
                <w:szCs w:val="18"/>
              </w:rPr>
              <w:t xml:space="preserve">Evaluation and selection of options to reduce the risk that a pest in plants for planting causes an economically unacceptable impact on the intended use of those plants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49C8D76E" w14:textId="77777777" w:rsidTr="00ED2894">
        <w:tc>
          <w:tcPr>
            <w:tcW w:w="1407" w:type="pct"/>
          </w:tcPr>
          <w:p w14:paraId="6E5731EF" w14:textId="77777777" w:rsidR="008163B6" w:rsidRDefault="00F709BD">
            <w:pPr>
              <w:pStyle w:val="TableText"/>
              <w:rPr>
                <w:rFonts w:ascii="Cambria" w:hAnsi="Cambria"/>
                <w:szCs w:val="18"/>
              </w:rPr>
            </w:pPr>
            <w:r>
              <w:rPr>
                <w:rFonts w:ascii="Cambria" w:hAnsi="Cambria"/>
                <w:szCs w:val="18"/>
              </w:rPr>
              <w:t>Pest status (in an area)</w:t>
            </w:r>
          </w:p>
        </w:tc>
        <w:tc>
          <w:tcPr>
            <w:tcW w:w="3593" w:type="pct"/>
          </w:tcPr>
          <w:p w14:paraId="222392F0" w14:textId="77777777" w:rsidR="008163B6" w:rsidRDefault="00F709BD">
            <w:pPr>
              <w:pStyle w:val="TableText"/>
              <w:rPr>
                <w:rFonts w:ascii="Cambria" w:hAnsi="Cambria"/>
                <w:szCs w:val="18"/>
              </w:rPr>
            </w:pPr>
            <w:r>
              <w:rPr>
                <w:rFonts w:ascii="Cambria" w:hAnsi="Cambria"/>
                <w:szCs w:val="18"/>
              </w:rPr>
              <w:t xml:space="preserve">Presence or absence, at the present time, of a pest in an area, including where appropriate its distribution, as officially determined using expert judgement on the basis of current and historical pest records and other information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6EACF100" w14:textId="77777777" w:rsidTr="00ED2894">
        <w:tc>
          <w:tcPr>
            <w:tcW w:w="1407" w:type="pct"/>
          </w:tcPr>
          <w:p w14:paraId="38FD736C" w14:textId="77777777" w:rsidR="008163B6" w:rsidRDefault="00F709BD">
            <w:pPr>
              <w:pStyle w:val="TableText"/>
              <w:rPr>
                <w:rFonts w:ascii="Cambria" w:hAnsi="Cambria"/>
                <w:szCs w:val="18"/>
              </w:rPr>
            </w:pPr>
            <w:r>
              <w:rPr>
                <w:rFonts w:ascii="Cambria" w:hAnsi="Cambria"/>
                <w:szCs w:val="18"/>
              </w:rPr>
              <w:lastRenderedPageBreak/>
              <w:t>Phytosanitary certificate</w:t>
            </w:r>
          </w:p>
        </w:tc>
        <w:tc>
          <w:tcPr>
            <w:tcW w:w="3593" w:type="pct"/>
          </w:tcPr>
          <w:p w14:paraId="6E41D59E" w14:textId="77777777" w:rsidR="008163B6" w:rsidRDefault="00F709BD">
            <w:pPr>
              <w:pStyle w:val="TableText"/>
              <w:rPr>
                <w:rFonts w:ascii="Cambria" w:hAnsi="Cambria"/>
                <w:szCs w:val="18"/>
              </w:rPr>
            </w:pPr>
            <w:r>
              <w:rPr>
                <w:rFonts w:ascii="Cambria" w:hAnsi="Cambria"/>
                <w:szCs w:val="18"/>
              </w:rPr>
              <w:t xml:space="preserve">An official paper document or its official electronic equivalent, consistent with the model of certificates of the IPPC, attesting that a consignment meets phytosanitary import requirements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5D27F476" w14:textId="77777777" w:rsidTr="00ED2894">
        <w:tc>
          <w:tcPr>
            <w:tcW w:w="1407" w:type="pct"/>
          </w:tcPr>
          <w:p w14:paraId="7BA68EB3" w14:textId="77777777" w:rsidR="008163B6" w:rsidRDefault="00F709BD">
            <w:pPr>
              <w:pStyle w:val="TableText"/>
              <w:rPr>
                <w:rFonts w:ascii="Cambria" w:hAnsi="Cambria"/>
                <w:szCs w:val="18"/>
              </w:rPr>
            </w:pPr>
            <w:r>
              <w:rPr>
                <w:rFonts w:ascii="Cambria" w:hAnsi="Cambria"/>
                <w:szCs w:val="18"/>
              </w:rPr>
              <w:t>Phytosanitary certification</w:t>
            </w:r>
          </w:p>
        </w:tc>
        <w:tc>
          <w:tcPr>
            <w:tcW w:w="3593" w:type="pct"/>
          </w:tcPr>
          <w:p w14:paraId="3FBD530D" w14:textId="77777777" w:rsidR="008163B6" w:rsidRDefault="00F709BD">
            <w:pPr>
              <w:pStyle w:val="TableText"/>
              <w:rPr>
                <w:rFonts w:ascii="Cambria" w:hAnsi="Cambria"/>
                <w:szCs w:val="18"/>
              </w:rPr>
            </w:pPr>
            <w:r>
              <w:rPr>
                <w:rFonts w:ascii="Cambria" w:hAnsi="Cambria"/>
                <w:szCs w:val="18"/>
              </w:rPr>
              <w:t xml:space="preserve">Use of phytosanitary procedures leading to the issue of a phytosanitary certificate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05813FDA" w14:textId="77777777" w:rsidTr="00ED2894">
        <w:tc>
          <w:tcPr>
            <w:tcW w:w="1407" w:type="pct"/>
          </w:tcPr>
          <w:p w14:paraId="60DA2B6E" w14:textId="77777777" w:rsidR="008163B6" w:rsidRDefault="00F709BD">
            <w:pPr>
              <w:pStyle w:val="TableText"/>
              <w:rPr>
                <w:rFonts w:ascii="Cambria" w:hAnsi="Cambria"/>
                <w:szCs w:val="18"/>
              </w:rPr>
            </w:pPr>
            <w:r>
              <w:rPr>
                <w:rFonts w:ascii="Cambria" w:hAnsi="Cambria"/>
                <w:szCs w:val="18"/>
              </w:rPr>
              <w:t>Phytosanitary measure</w:t>
            </w:r>
          </w:p>
        </w:tc>
        <w:tc>
          <w:tcPr>
            <w:tcW w:w="3593" w:type="pct"/>
          </w:tcPr>
          <w:p w14:paraId="2CC10FA0" w14:textId="77777777" w:rsidR="008163B6" w:rsidRDefault="00F709BD">
            <w:pPr>
              <w:pStyle w:val="TableText"/>
              <w:rPr>
                <w:rFonts w:ascii="Cambria" w:hAnsi="Cambria"/>
                <w:szCs w:val="18"/>
              </w:rPr>
            </w:pPr>
            <w:r>
              <w:rPr>
                <w:rFonts w:ascii="Cambria" w:hAnsi="Cambria"/>
                <w:szCs w:val="18"/>
              </w:rPr>
              <w:t xml:space="preserve">Any legislation, regulation or official procedure having the purpose to prevent the introduction and/or spread of quarantine pests, or to limit the economic impact of regulated non-quarantine pests </w:t>
            </w:r>
            <w:r w:rsidR="008D6C04">
              <w:rPr>
                <w:rFonts w:ascii="Cambria" w:hAnsi="Cambria"/>
                <w:szCs w:val="18"/>
              </w:rPr>
              <w:fldChar w:fldCharType="begin"/>
            </w:r>
            <w:r>
              <w:rPr>
                <w:rFonts w:ascii="Cambria" w:hAnsi="Cambria"/>
                <w:szCs w:val="18"/>
              </w:rP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008D6C04">
              <w:rPr>
                <w:rFonts w:ascii="Cambria" w:hAnsi="Cambria"/>
                <w:szCs w:val="18"/>
              </w:rPr>
              <w:fldChar w:fldCharType="separate"/>
            </w:r>
            <w:r>
              <w:rPr>
                <w:rFonts w:ascii="Cambria" w:hAnsi="Cambria"/>
                <w:szCs w:val="18"/>
              </w:rPr>
              <w:t>(FAO 2015)</w:t>
            </w:r>
            <w:r w:rsidR="008D6C04">
              <w:rPr>
                <w:rFonts w:ascii="Cambria" w:hAnsi="Cambria"/>
                <w:szCs w:val="18"/>
              </w:rPr>
              <w:fldChar w:fldCharType="end"/>
            </w:r>
            <w:r>
              <w:rPr>
                <w:rFonts w:ascii="Cambria" w:hAnsi="Cambria"/>
                <w:szCs w:val="18"/>
              </w:rPr>
              <w:t>.</w:t>
            </w:r>
          </w:p>
        </w:tc>
      </w:tr>
      <w:tr w:rsidR="008163B6" w14:paraId="4967D329" w14:textId="77777777" w:rsidTr="00ED2894">
        <w:tc>
          <w:tcPr>
            <w:tcW w:w="1407" w:type="pct"/>
          </w:tcPr>
          <w:p w14:paraId="4A7B2FB0" w14:textId="77777777" w:rsidR="008163B6" w:rsidRDefault="00F709BD">
            <w:pPr>
              <w:pStyle w:val="TableText"/>
              <w:rPr>
                <w:rFonts w:ascii="Cambria" w:hAnsi="Cambria"/>
                <w:szCs w:val="18"/>
              </w:rPr>
            </w:pPr>
            <w:r>
              <w:rPr>
                <w:rFonts w:ascii="Cambria" w:hAnsi="Cambria"/>
                <w:szCs w:val="18"/>
              </w:rPr>
              <w:t>Phytosanitary procedure</w:t>
            </w:r>
          </w:p>
        </w:tc>
        <w:tc>
          <w:tcPr>
            <w:tcW w:w="3593" w:type="pct"/>
          </w:tcPr>
          <w:p w14:paraId="72E15431" w14:textId="77777777" w:rsidR="008163B6" w:rsidRDefault="00F709BD">
            <w:pPr>
              <w:pStyle w:val="TableText"/>
              <w:rPr>
                <w:rFonts w:ascii="Cambria" w:hAnsi="Cambria"/>
                <w:szCs w:val="18"/>
              </w:rPr>
            </w:pPr>
            <w:r>
              <w:rPr>
                <w:rFonts w:ascii="Cambria" w:hAnsi="Cambria"/>
                <w:szCs w:val="18"/>
              </w:rPr>
              <w:t>Any official method for implementing phytosanitary measures including the performance of inspections, tests, surveillance or treatments in connection with regulated pests (FAO 2015).</w:t>
            </w:r>
          </w:p>
        </w:tc>
      </w:tr>
      <w:tr w:rsidR="008163B6" w14:paraId="3301C196" w14:textId="77777777" w:rsidTr="00ED2894">
        <w:tc>
          <w:tcPr>
            <w:tcW w:w="1407" w:type="pct"/>
          </w:tcPr>
          <w:p w14:paraId="2F1CB35F" w14:textId="77777777" w:rsidR="008163B6" w:rsidRDefault="00F709BD">
            <w:pPr>
              <w:pStyle w:val="TableText"/>
              <w:rPr>
                <w:rFonts w:ascii="Cambria" w:hAnsi="Cambria"/>
                <w:szCs w:val="18"/>
              </w:rPr>
            </w:pPr>
            <w:r>
              <w:rPr>
                <w:rFonts w:ascii="Cambria" w:hAnsi="Cambria"/>
                <w:szCs w:val="18"/>
              </w:rPr>
              <w:t>Phytosanitary regulation</w:t>
            </w:r>
          </w:p>
        </w:tc>
        <w:tc>
          <w:tcPr>
            <w:tcW w:w="3593" w:type="pct"/>
          </w:tcPr>
          <w:p w14:paraId="7B1A176E" w14:textId="3F56B0CA" w:rsidR="008163B6" w:rsidRDefault="00AE72FE" w:rsidP="00AE72FE">
            <w:pPr>
              <w:pStyle w:val="TableText"/>
              <w:rPr>
                <w:rFonts w:ascii="Cambria" w:hAnsi="Cambria"/>
                <w:szCs w:val="18"/>
              </w:rPr>
            </w:pPr>
            <w:r>
              <w:rPr>
                <w:rFonts w:ascii="Cambria" w:hAnsi="Cambria"/>
                <w:szCs w:val="18"/>
              </w:rPr>
              <w:t>An o</w:t>
            </w:r>
            <w:r w:rsidR="00F709BD">
              <w:rPr>
                <w:rFonts w:ascii="Cambria" w:hAnsi="Cambria"/>
                <w:szCs w:val="18"/>
              </w:rPr>
              <w:t>fficial rule to prevent the introduction and/or spread of quarantine pests, or to limit the economic impact of regulated non-quarantine pests, including establishment of procedures for phytosanitary certification (FAO 2015).</w:t>
            </w:r>
          </w:p>
        </w:tc>
      </w:tr>
      <w:tr w:rsidR="008163B6" w14:paraId="37B341D8" w14:textId="77777777" w:rsidTr="00ED2894">
        <w:tc>
          <w:tcPr>
            <w:tcW w:w="1407" w:type="pct"/>
          </w:tcPr>
          <w:p w14:paraId="7B00E3EA" w14:textId="77777777" w:rsidR="008163B6" w:rsidRDefault="00F709BD">
            <w:pPr>
              <w:pStyle w:val="TableText"/>
              <w:tabs>
                <w:tab w:val="left" w:pos="1174"/>
              </w:tabs>
              <w:rPr>
                <w:rFonts w:ascii="Cambria" w:hAnsi="Cambria"/>
                <w:szCs w:val="18"/>
              </w:rPr>
            </w:pPr>
            <w:r>
              <w:rPr>
                <w:rFonts w:ascii="Cambria" w:hAnsi="Cambria"/>
                <w:szCs w:val="18"/>
              </w:rPr>
              <w:t>PRA area</w:t>
            </w:r>
          </w:p>
        </w:tc>
        <w:tc>
          <w:tcPr>
            <w:tcW w:w="3593" w:type="pct"/>
          </w:tcPr>
          <w:p w14:paraId="6C349133" w14:textId="77777777" w:rsidR="008163B6" w:rsidRDefault="00F709BD">
            <w:pPr>
              <w:pStyle w:val="TableText"/>
              <w:rPr>
                <w:rFonts w:ascii="Cambria" w:hAnsi="Cambria"/>
                <w:szCs w:val="18"/>
              </w:rPr>
            </w:pPr>
            <w:r>
              <w:rPr>
                <w:rFonts w:ascii="Cambria" w:hAnsi="Cambria"/>
                <w:szCs w:val="18"/>
              </w:rPr>
              <w:t>Area in relation to which a pest risk analysis is conducted (FAO 2015).</w:t>
            </w:r>
          </w:p>
        </w:tc>
      </w:tr>
      <w:tr w:rsidR="008163B6" w14:paraId="58BCEB4E" w14:textId="77777777" w:rsidTr="00ED2894">
        <w:tc>
          <w:tcPr>
            <w:tcW w:w="1407" w:type="pct"/>
          </w:tcPr>
          <w:p w14:paraId="72F1E018" w14:textId="77777777" w:rsidR="008163B6" w:rsidRDefault="00F709BD">
            <w:pPr>
              <w:pStyle w:val="TableText"/>
              <w:rPr>
                <w:rFonts w:ascii="Cambria" w:hAnsi="Cambria"/>
                <w:szCs w:val="18"/>
              </w:rPr>
            </w:pPr>
            <w:r>
              <w:rPr>
                <w:rFonts w:ascii="Cambria" w:hAnsi="Cambria"/>
                <w:szCs w:val="18"/>
              </w:rPr>
              <w:t>Quarantine</w:t>
            </w:r>
          </w:p>
        </w:tc>
        <w:tc>
          <w:tcPr>
            <w:tcW w:w="3593" w:type="pct"/>
          </w:tcPr>
          <w:p w14:paraId="442EF6C0" w14:textId="77777777" w:rsidR="008163B6" w:rsidRDefault="00F709BD">
            <w:pPr>
              <w:pStyle w:val="TableText"/>
              <w:rPr>
                <w:rFonts w:ascii="Cambria" w:hAnsi="Cambria"/>
                <w:szCs w:val="18"/>
              </w:rPr>
            </w:pPr>
            <w:r>
              <w:rPr>
                <w:rFonts w:ascii="Cambria" w:hAnsi="Cambria"/>
                <w:szCs w:val="18"/>
              </w:rPr>
              <w:t>Official confinement of regulated articles for observation and research or for further inspection, testing or treatment (FAO 2015).</w:t>
            </w:r>
          </w:p>
        </w:tc>
      </w:tr>
      <w:tr w:rsidR="008163B6" w14:paraId="2AB4B613" w14:textId="77777777" w:rsidTr="00ED2894">
        <w:tc>
          <w:tcPr>
            <w:tcW w:w="1407" w:type="pct"/>
          </w:tcPr>
          <w:p w14:paraId="629BFB15" w14:textId="77777777" w:rsidR="008163B6" w:rsidRDefault="00F709BD">
            <w:pPr>
              <w:pStyle w:val="TableText"/>
              <w:rPr>
                <w:rFonts w:ascii="Cambria" w:hAnsi="Cambria"/>
                <w:szCs w:val="18"/>
              </w:rPr>
            </w:pPr>
            <w:r>
              <w:rPr>
                <w:rFonts w:ascii="Cambria" w:hAnsi="Cambria"/>
                <w:szCs w:val="18"/>
              </w:rPr>
              <w:t>Quarantine pest</w:t>
            </w:r>
          </w:p>
        </w:tc>
        <w:tc>
          <w:tcPr>
            <w:tcW w:w="3593" w:type="pct"/>
          </w:tcPr>
          <w:p w14:paraId="14FC361D" w14:textId="77777777" w:rsidR="008163B6" w:rsidRDefault="00F709BD">
            <w:pPr>
              <w:pStyle w:val="TableText"/>
              <w:rPr>
                <w:rFonts w:ascii="Cambria" w:hAnsi="Cambria"/>
                <w:szCs w:val="18"/>
              </w:rPr>
            </w:pPr>
            <w:r>
              <w:rPr>
                <w:rFonts w:ascii="Cambria" w:hAnsi="Cambria"/>
                <w:szCs w:val="18"/>
              </w:rPr>
              <w:t>A pest of potential economic importance to the area endangered thereby and not yet present there, or present but not widely distributed and being officially controlled (FAO 2015).</w:t>
            </w:r>
          </w:p>
        </w:tc>
      </w:tr>
      <w:tr w:rsidR="008163B6" w14:paraId="27FE5675" w14:textId="77777777" w:rsidTr="00ED2894">
        <w:tc>
          <w:tcPr>
            <w:tcW w:w="1407" w:type="pct"/>
          </w:tcPr>
          <w:p w14:paraId="71B9D1F0" w14:textId="77777777" w:rsidR="008163B6" w:rsidRDefault="00F709BD">
            <w:pPr>
              <w:pStyle w:val="TableText"/>
              <w:rPr>
                <w:rFonts w:ascii="Cambria" w:hAnsi="Cambria"/>
                <w:szCs w:val="18"/>
              </w:rPr>
            </w:pPr>
            <w:r>
              <w:rPr>
                <w:rFonts w:ascii="Cambria" w:hAnsi="Cambria"/>
                <w:szCs w:val="18"/>
              </w:rPr>
              <w:t>Regulated article</w:t>
            </w:r>
          </w:p>
        </w:tc>
        <w:tc>
          <w:tcPr>
            <w:tcW w:w="3593" w:type="pct"/>
          </w:tcPr>
          <w:p w14:paraId="00B7D8A1" w14:textId="77777777" w:rsidR="008163B6" w:rsidRDefault="00F709BD">
            <w:pPr>
              <w:pStyle w:val="TableText"/>
              <w:rPr>
                <w:rFonts w:ascii="Cambria" w:hAnsi="Cambria"/>
                <w:szCs w:val="18"/>
              </w:rPr>
            </w:pPr>
            <w:r>
              <w:rPr>
                <w:rFonts w:ascii="Cambria" w:hAnsi="Cambria"/>
                <w:szCs w:val="18"/>
              </w:rPr>
              <w:t>Any plant, plant product, storage place, packaging, conveyance, container, soil and any other organism, object or material capable of harbouring or spreading pests, deemed to require phytosanitary measures, particularly where international transportation is involved (FAO 2015).</w:t>
            </w:r>
          </w:p>
        </w:tc>
      </w:tr>
      <w:tr w:rsidR="008163B6" w14:paraId="07248463" w14:textId="77777777" w:rsidTr="00ED2894">
        <w:tc>
          <w:tcPr>
            <w:tcW w:w="1407" w:type="pct"/>
          </w:tcPr>
          <w:p w14:paraId="79106A29" w14:textId="77777777" w:rsidR="008163B6" w:rsidRDefault="00F709BD">
            <w:pPr>
              <w:pStyle w:val="TableText"/>
              <w:rPr>
                <w:rFonts w:ascii="Cambria" w:hAnsi="Cambria"/>
                <w:szCs w:val="18"/>
              </w:rPr>
            </w:pPr>
            <w:r>
              <w:rPr>
                <w:rFonts w:ascii="Cambria" w:hAnsi="Cambria"/>
                <w:szCs w:val="18"/>
              </w:rPr>
              <w:t>Restricted risk</w:t>
            </w:r>
          </w:p>
        </w:tc>
        <w:tc>
          <w:tcPr>
            <w:tcW w:w="3593" w:type="pct"/>
          </w:tcPr>
          <w:p w14:paraId="05C58FA6" w14:textId="77777777" w:rsidR="008163B6" w:rsidRDefault="00F709BD">
            <w:pPr>
              <w:pStyle w:val="TableText"/>
              <w:rPr>
                <w:rFonts w:ascii="Cambria" w:hAnsi="Cambria"/>
                <w:szCs w:val="18"/>
              </w:rPr>
            </w:pPr>
            <w:r>
              <w:rPr>
                <w:rFonts w:ascii="Cambria" w:hAnsi="Cambria"/>
                <w:szCs w:val="18"/>
              </w:rPr>
              <w:t>Risk estimate with phytosanitary measure(s) applied.</w:t>
            </w:r>
          </w:p>
        </w:tc>
      </w:tr>
      <w:tr w:rsidR="008163B6" w14:paraId="107E1705" w14:textId="77777777" w:rsidTr="00ED2894">
        <w:tc>
          <w:tcPr>
            <w:tcW w:w="1407" w:type="pct"/>
          </w:tcPr>
          <w:p w14:paraId="1EF77C78" w14:textId="77777777" w:rsidR="008163B6" w:rsidRDefault="00F709BD">
            <w:pPr>
              <w:pStyle w:val="TableText"/>
              <w:rPr>
                <w:rFonts w:ascii="Cambria" w:hAnsi="Cambria"/>
                <w:szCs w:val="18"/>
              </w:rPr>
            </w:pPr>
            <w:r>
              <w:rPr>
                <w:rFonts w:ascii="Cambria" w:hAnsi="Cambria"/>
                <w:szCs w:val="18"/>
              </w:rPr>
              <w:t>Spread (of a pest)</w:t>
            </w:r>
          </w:p>
        </w:tc>
        <w:tc>
          <w:tcPr>
            <w:tcW w:w="3593" w:type="pct"/>
          </w:tcPr>
          <w:p w14:paraId="176ECB68" w14:textId="77777777" w:rsidR="008163B6" w:rsidRDefault="00F709BD">
            <w:pPr>
              <w:pStyle w:val="TableText"/>
              <w:rPr>
                <w:rFonts w:ascii="Cambria" w:hAnsi="Cambria"/>
                <w:szCs w:val="18"/>
              </w:rPr>
            </w:pPr>
            <w:r>
              <w:rPr>
                <w:rFonts w:ascii="Cambria" w:hAnsi="Cambria"/>
                <w:szCs w:val="18"/>
              </w:rPr>
              <w:t>Expansion of the geographical distribution of a pest within an area (FAO 2015).</w:t>
            </w:r>
          </w:p>
        </w:tc>
      </w:tr>
      <w:tr w:rsidR="008163B6" w14:paraId="0F36ACD6" w14:textId="77777777" w:rsidTr="00ED2894">
        <w:tc>
          <w:tcPr>
            <w:tcW w:w="1407" w:type="pct"/>
          </w:tcPr>
          <w:p w14:paraId="5045E42C" w14:textId="77777777" w:rsidR="008163B6" w:rsidRDefault="00F709BD">
            <w:pPr>
              <w:pStyle w:val="TableText"/>
              <w:rPr>
                <w:rFonts w:ascii="Cambria" w:hAnsi="Cambria"/>
                <w:szCs w:val="18"/>
              </w:rPr>
            </w:pPr>
            <w:r>
              <w:rPr>
                <w:rFonts w:ascii="Cambria" w:hAnsi="Cambria"/>
                <w:szCs w:val="18"/>
              </w:rPr>
              <w:t>SPS Agreement</w:t>
            </w:r>
          </w:p>
        </w:tc>
        <w:tc>
          <w:tcPr>
            <w:tcW w:w="3593" w:type="pct"/>
          </w:tcPr>
          <w:p w14:paraId="244F3F28" w14:textId="77777777" w:rsidR="008163B6" w:rsidRDefault="00F709BD">
            <w:pPr>
              <w:pStyle w:val="TableText"/>
              <w:rPr>
                <w:rFonts w:ascii="Cambria" w:hAnsi="Cambria"/>
                <w:szCs w:val="18"/>
              </w:rPr>
            </w:pPr>
            <w:r>
              <w:rPr>
                <w:rFonts w:ascii="Cambria" w:hAnsi="Cambria"/>
                <w:szCs w:val="18"/>
              </w:rPr>
              <w:t>WTO Agreement on the Application of Sanitary and Phytosanitary Measures.</w:t>
            </w:r>
          </w:p>
        </w:tc>
      </w:tr>
      <w:tr w:rsidR="008163B6" w14:paraId="4819551E" w14:textId="77777777" w:rsidTr="00ED2894">
        <w:tc>
          <w:tcPr>
            <w:tcW w:w="1407" w:type="pct"/>
          </w:tcPr>
          <w:p w14:paraId="3F915646" w14:textId="77777777" w:rsidR="008163B6" w:rsidRDefault="00F709BD">
            <w:pPr>
              <w:pStyle w:val="TableText"/>
              <w:rPr>
                <w:rFonts w:ascii="Cambria" w:hAnsi="Cambria"/>
                <w:szCs w:val="18"/>
              </w:rPr>
            </w:pPr>
            <w:r>
              <w:rPr>
                <w:rFonts w:ascii="Cambria" w:hAnsi="Cambria"/>
                <w:szCs w:val="18"/>
              </w:rPr>
              <w:t>Stakeholders</w:t>
            </w:r>
          </w:p>
        </w:tc>
        <w:tc>
          <w:tcPr>
            <w:tcW w:w="3593" w:type="pct"/>
          </w:tcPr>
          <w:p w14:paraId="45A78EAD" w14:textId="77777777" w:rsidR="008163B6" w:rsidRDefault="00F709BD">
            <w:pPr>
              <w:pStyle w:val="TableText"/>
              <w:rPr>
                <w:rFonts w:ascii="Cambria" w:hAnsi="Cambria"/>
                <w:szCs w:val="18"/>
              </w:rPr>
            </w:pPr>
            <w:r>
              <w:rPr>
                <w:rFonts w:ascii="Cambria" w:hAnsi="Cambria"/>
                <w:szCs w:val="18"/>
              </w:rPr>
              <w:t>Government agencies, individuals, community or industry groups or organizations, whether in Australia or overseas, including the proponent/applicant for a specific proposal, who have an interest in the policy issues.</w:t>
            </w:r>
          </w:p>
        </w:tc>
      </w:tr>
      <w:tr w:rsidR="008163B6" w14:paraId="6709E68E" w14:textId="77777777" w:rsidTr="00ED2894">
        <w:tc>
          <w:tcPr>
            <w:tcW w:w="1407" w:type="pct"/>
          </w:tcPr>
          <w:p w14:paraId="0EE34AAD" w14:textId="77777777" w:rsidR="008163B6" w:rsidRDefault="00F709BD">
            <w:pPr>
              <w:pStyle w:val="TableText"/>
              <w:rPr>
                <w:rFonts w:ascii="Cambria" w:hAnsi="Cambria"/>
                <w:szCs w:val="18"/>
              </w:rPr>
            </w:pPr>
            <w:r>
              <w:rPr>
                <w:rFonts w:ascii="Cambria" w:hAnsi="Cambria"/>
                <w:szCs w:val="18"/>
              </w:rPr>
              <w:t>Surveillance</w:t>
            </w:r>
          </w:p>
        </w:tc>
        <w:tc>
          <w:tcPr>
            <w:tcW w:w="3593" w:type="pct"/>
          </w:tcPr>
          <w:p w14:paraId="40B47C1B" w14:textId="77777777" w:rsidR="008163B6" w:rsidRDefault="00F709BD">
            <w:pPr>
              <w:pStyle w:val="TableText"/>
              <w:rPr>
                <w:rFonts w:ascii="Cambria" w:hAnsi="Cambria"/>
                <w:szCs w:val="18"/>
              </w:rPr>
            </w:pPr>
            <w:r>
              <w:rPr>
                <w:rFonts w:ascii="Cambria" w:hAnsi="Cambria"/>
                <w:szCs w:val="18"/>
              </w:rPr>
              <w:t>An official process which collects and records data on pest occurrence or absence by surveying, monitoring or other procedures (FAO 2015).</w:t>
            </w:r>
          </w:p>
        </w:tc>
      </w:tr>
      <w:tr w:rsidR="008163B6" w14:paraId="29DC45D6" w14:textId="77777777" w:rsidTr="00ED2894">
        <w:tc>
          <w:tcPr>
            <w:tcW w:w="1407" w:type="pct"/>
          </w:tcPr>
          <w:p w14:paraId="01DED21F" w14:textId="77777777" w:rsidR="008163B6" w:rsidRDefault="00F709BD">
            <w:pPr>
              <w:pStyle w:val="TableText"/>
              <w:rPr>
                <w:rFonts w:ascii="Cambria" w:hAnsi="Cambria"/>
                <w:szCs w:val="18"/>
              </w:rPr>
            </w:pPr>
            <w:r>
              <w:rPr>
                <w:rFonts w:ascii="Cambria" w:hAnsi="Cambria"/>
                <w:szCs w:val="18"/>
              </w:rPr>
              <w:t>Systems approach(</w:t>
            </w:r>
            <w:proofErr w:type="spellStart"/>
            <w:r>
              <w:rPr>
                <w:rFonts w:ascii="Cambria" w:hAnsi="Cambria"/>
                <w:szCs w:val="18"/>
              </w:rPr>
              <w:t>es</w:t>
            </w:r>
            <w:proofErr w:type="spellEnd"/>
            <w:r>
              <w:rPr>
                <w:rFonts w:ascii="Cambria" w:hAnsi="Cambria"/>
                <w:szCs w:val="18"/>
              </w:rPr>
              <w:t>)</w:t>
            </w:r>
          </w:p>
        </w:tc>
        <w:tc>
          <w:tcPr>
            <w:tcW w:w="3593" w:type="pct"/>
          </w:tcPr>
          <w:p w14:paraId="5C2F9E64" w14:textId="77777777" w:rsidR="008163B6" w:rsidRDefault="00F709BD">
            <w:pPr>
              <w:pStyle w:val="TableText"/>
              <w:rPr>
                <w:rFonts w:ascii="Cambria" w:hAnsi="Cambria"/>
                <w:szCs w:val="18"/>
              </w:rPr>
            </w:pPr>
            <w:r>
              <w:rPr>
                <w:rFonts w:ascii="Cambria" w:hAnsi="Cambria"/>
                <w:szCs w:val="18"/>
              </w:rPr>
              <w:t>The integration of different risk management measures, at least two of which act independently, and which cumulatively achieve the appropriate level of protection against regulated pests.</w:t>
            </w:r>
          </w:p>
        </w:tc>
      </w:tr>
      <w:tr w:rsidR="008163B6" w14:paraId="39D26709" w14:textId="77777777" w:rsidTr="00ED2894">
        <w:tc>
          <w:tcPr>
            <w:tcW w:w="1407" w:type="pct"/>
          </w:tcPr>
          <w:p w14:paraId="026FF59E" w14:textId="77777777" w:rsidR="008163B6" w:rsidRDefault="00F709BD">
            <w:pPr>
              <w:pStyle w:val="TableText"/>
              <w:rPr>
                <w:rFonts w:ascii="Cambria" w:hAnsi="Cambria"/>
                <w:szCs w:val="18"/>
              </w:rPr>
            </w:pPr>
            <w:r>
              <w:rPr>
                <w:rFonts w:ascii="Cambria" w:hAnsi="Cambria"/>
                <w:szCs w:val="18"/>
              </w:rPr>
              <w:t>The department</w:t>
            </w:r>
          </w:p>
        </w:tc>
        <w:tc>
          <w:tcPr>
            <w:tcW w:w="3593" w:type="pct"/>
          </w:tcPr>
          <w:p w14:paraId="1C2E5DD5" w14:textId="77777777" w:rsidR="008163B6" w:rsidRDefault="00F709BD">
            <w:pPr>
              <w:pStyle w:val="TableText"/>
              <w:rPr>
                <w:rFonts w:ascii="Cambria" w:hAnsi="Cambria"/>
                <w:szCs w:val="18"/>
              </w:rPr>
            </w:pPr>
            <w:r>
              <w:rPr>
                <w:rFonts w:ascii="Cambria" w:hAnsi="Cambria"/>
                <w:szCs w:val="18"/>
              </w:rPr>
              <w:t>The Commonwealth Department of Agriculture and Water Resources.</w:t>
            </w:r>
          </w:p>
        </w:tc>
      </w:tr>
      <w:tr w:rsidR="008163B6" w14:paraId="5016E514" w14:textId="77777777" w:rsidTr="00ED2894">
        <w:tc>
          <w:tcPr>
            <w:tcW w:w="1407" w:type="pct"/>
          </w:tcPr>
          <w:p w14:paraId="57C786A8" w14:textId="77777777" w:rsidR="008163B6" w:rsidRDefault="00F709BD">
            <w:pPr>
              <w:pStyle w:val="TableText"/>
              <w:rPr>
                <w:rFonts w:ascii="Cambria" w:hAnsi="Cambria"/>
                <w:szCs w:val="18"/>
              </w:rPr>
            </w:pPr>
            <w:r>
              <w:rPr>
                <w:rFonts w:ascii="Cambria" w:hAnsi="Cambria"/>
                <w:szCs w:val="18"/>
              </w:rPr>
              <w:t>Tissue culture</w:t>
            </w:r>
          </w:p>
        </w:tc>
        <w:tc>
          <w:tcPr>
            <w:tcW w:w="3593" w:type="pct"/>
          </w:tcPr>
          <w:p w14:paraId="1C85B253" w14:textId="77777777" w:rsidR="008163B6" w:rsidRDefault="00F709BD">
            <w:pPr>
              <w:pStyle w:val="TableText"/>
              <w:rPr>
                <w:rFonts w:ascii="Cambria" w:hAnsi="Cambria"/>
                <w:szCs w:val="18"/>
              </w:rPr>
            </w:pPr>
            <w:r>
              <w:rPr>
                <w:rFonts w:ascii="Cambria" w:hAnsi="Cambria"/>
                <w:szCs w:val="18"/>
              </w:rPr>
              <w:t xml:space="preserve">The products of ‘an in vitro technique of cultivating (propagating) cells, tissues, or organs in a sterile synthetic medium’ (Shurtleff &amp; </w:t>
            </w:r>
            <w:proofErr w:type="spellStart"/>
            <w:r>
              <w:rPr>
                <w:rFonts w:ascii="Cambria" w:hAnsi="Cambria"/>
                <w:szCs w:val="18"/>
              </w:rPr>
              <w:t>Averre</w:t>
            </w:r>
            <w:proofErr w:type="spellEnd"/>
            <w:r>
              <w:rPr>
                <w:rFonts w:ascii="Cambria" w:hAnsi="Cambria"/>
                <w:szCs w:val="18"/>
              </w:rPr>
              <w:t xml:space="preserve"> 1997); comprising plant cells, tissues or organs, sterile synthetic medium, and the vessel in which cells have been propagated.</w:t>
            </w:r>
          </w:p>
        </w:tc>
      </w:tr>
      <w:tr w:rsidR="008163B6" w14:paraId="47461736" w14:textId="77777777" w:rsidTr="00ED2894">
        <w:tc>
          <w:tcPr>
            <w:tcW w:w="1407" w:type="pct"/>
          </w:tcPr>
          <w:p w14:paraId="195F22AF" w14:textId="77777777" w:rsidR="008163B6" w:rsidRDefault="00F709BD">
            <w:pPr>
              <w:pStyle w:val="TableText"/>
              <w:rPr>
                <w:rFonts w:ascii="Cambria" w:hAnsi="Cambria"/>
                <w:szCs w:val="18"/>
              </w:rPr>
            </w:pPr>
            <w:r>
              <w:rPr>
                <w:rFonts w:ascii="Cambria" w:hAnsi="Cambria"/>
                <w:szCs w:val="18"/>
              </w:rPr>
              <w:t>Treatment</w:t>
            </w:r>
          </w:p>
        </w:tc>
        <w:tc>
          <w:tcPr>
            <w:tcW w:w="3593" w:type="pct"/>
          </w:tcPr>
          <w:p w14:paraId="71C2550F" w14:textId="77777777" w:rsidR="008163B6" w:rsidRDefault="00F709BD">
            <w:pPr>
              <w:pStyle w:val="TableText"/>
              <w:rPr>
                <w:rFonts w:ascii="Cambria" w:hAnsi="Cambria"/>
                <w:szCs w:val="18"/>
              </w:rPr>
            </w:pPr>
            <w:r>
              <w:rPr>
                <w:rFonts w:ascii="Cambria" w:hAnsi="Cambria"/>
                <w:szCs w:val="18"/>
              </w:rPr>
              <w:t>Official procedure for the killing, inactivation or removal of pests, or for rendering pests infertile or for devitalisation (FAO 2015).</w:t>
            </w:r>
          </w:p>
        </w:tc>
      </w:tr>
      <w:tr w:rsidR="008163B6" w14:paraId="106A4735" w14:textId="77777777" w:rsidTr="00ED2894">
        <w:tc>
          <w:tcPr>
            <w:tcW w:w="1407" w:type="pct"/>
          </w:tcPr>
          <w:p w14:paraId="66F548B5" w14:textId="77777777" w:rsidR="008163B6" w:rsidRDefault="00F709BD">
            <w:pPr>
              <w:pStyle w:val="TableText"/>
              <w:rPr>
                <w:rFonts w:ascii="Cambria" w:hAnsi="Cambria"/>
                <w:szCs w:val="18"/>
              </w:rPr>
            </w:pPr>
            <w:r>
              <w:rPr>
                <w:rFonts w:ascii="Cambria" w:hAnsi="Cambria"/>
                <w:szCs w:val="18"/>
              </w:rPr>
              <w:t>Unrestricted risk</w:t>
            </w:r>
          </w:p>
        </w:tc>
        <w:tc>
          <w:tcPr>
            <w:tcW w:w="3593" w:type="pct"/>
          </w:tcPr>
          <w:p w14:paraId="6AF33CA4" w14:textId="77777777" w:rsidR="008163B6" w:rsidRDefault="00F709BD">
            <w:pPr>
              <w:pStyle w:val="TableText"/>
              <w:rPr>
                <w:rFonts w:ascii="Cambria" w:hAnsi="Cambria"/>
                <w:szCs w:val="18"/>
              </w:rPr>
            </w:pPr>
            <w:r>
              <w:rPr>
                <w:rFonts w:ascii="Cambria" w:hAnsi="Cambria"/>
                <w:szCs w:val="18"/>
              </w:rPr>
              <w:t>Unrestricted risk estimates apply in the absence of risk mitigation measures.</w:t>
            </w:r>
          </w:p>
        </w:tc>
      </w:tr>
      <w:tr w:rsidR="008163B6" w14:paraId="496D01E4" w14:textId="77777777" w:rsidTr="00ED2894">
        <w:tc>
          <w:tcPr>
            <w:tcW w:w="1407" w:type="pct"/>
          </w:tcPr>
          <w:p w14:paraId="583A77D2" w14:textId="77777777" w:rsidR="008163B6" w:rsidRDefault="00F709BD">
            <w:pPr>
              <w:pStyle w:val="TableText"/>
              <w:tabs>
                <w:tab w:val="center" w:pos="1286"/>
              </w:tabs>
              <w:rPr>
                <w:rFonts w:ascii="Cambria" w:hAnsi="Cambria"/>
                <w:szCs w:val="18"/>
              </w:rPr>
            </w:pPr>
            <w:r>
              <w:rPr>
                <w:rFonts w:ascii="Cambria" w:hAnsi="Cambria"/>
                <w:szCs w:val="18"/>
              </w:rPr>
              <w:t>Viable</w:t>
            </w:r>
          </w:p>
        </w:tc>
        <w:tc>
          <w:tcPr>
            <w:tcW w:w="3593" w:type="pct"/>
          </w:tcPr>
          <w:p w14:paraId="56139CA3" w14:textId="77777777" w:rsidR="008163B6" w:rsidRDefault="00F709BD">
            <w:pPr>
              <w:pStyle w:val="TableText"/>
              <w:rPr>
                <w:rFonts w:ascii="Cambria" w:hAnsi="Cambria"/>
                <w:szCs w:val="18"/>
              </w:rPr>
            </w:pPr>
            <w:r>
              <w:rPr>
                <w:rFonts w:ascii="Cambria" w:hAnsi="Cambria"/>
                <w:szCs w:val="18"/>
              </w:rPr>
              <w:t>Alive, able to germinate or capable of growth.</w:t>
            </w:r>
          </w:p>
        </w:tc>
      </w:tr>
    </w:tbl>
    <w:p w14:paraId="75EE5826" w14:textId="77777777" w:rsidR="008163B6" w:rsidRDefault="008163B6">
      <w:pPr>
        <w:pStyle w:val="TableText"/>
        <w:rPr>
          <w:rFonts w:ascii="Cambria" w:hAnsi="Cambria"/>
          <w:szCs w:val="18"/>
        </w:rPr>
        <w:sectPr w:rsidR="008163B6">
          <w:headerReference w:type="default" r:id="rId45"/>
          <w:pgSz w:w="11906" w:h="16838"/>
          <w:pgMar w:top="1418" w:right="1418" w:bottom="1418" w:left="1418" w:header="567" w:footer="283" w:gutter="0"/>
          <w:cols w:space="708"/>
          <w:docGrid w:linePitch="360"/>
        </w:sectPr>
      </w:pPr>
    </w:p>
    <w:p w14:paraId="53B89F37" w14:textId="77777777" w:rsidR="008163B6" w:rsidRDefault="00F709BD">
      <w:pPr>
        <w:pStyle w:val="Heading1nonumbers"/>
        <w:rPr>
          <w:lang w:val="en-AU"/>
        </w:rPr>
      </w:pPr>
      <w:bookmarkStart w:id="307" w:name="_Toc392488739"/>
      <w:bookmarkStart w:id="308" w:name="_Toc447540819"/>
      <w:r>
        <w:rPr>
          <w:lang w:val="en-AU"/>
        </w:rPr>
        <w:lastRenderedPageBreak/>
        <w:t>References</w:t>
      </w:r>
      <w:bookmarkEnd w:id="307"/>
      <w:bookmarkEnd w:id="308"/>
    </w:p>
    <w:p w14:paraId="6CC0F318" w14:textId="77777777" w:rsidR="008163B6" w:rsidRPr="00EA305A" w:rsidRDefault="00F709BD" w:rsidP="008E43DA">
      <w:pPr>
        <w:spacing w:before="120" w:after="120" w:line="271" w:lineRule="auto"/>
        <w:rPr>
          <w:rFonts w:asciiTheme="majorHAnsi" w:eastAsia="Times New Roman" w:hAnsiTheme="majorHAnsi" w:cs="Times New Roman"/>
          <w:lang w:eastAsia="en-AU"/>
        </w:rPr>
      </w:pPr>
      <w:r w:rsidRPr="00EA305A">
        <w:rPr>
          <w:rFonts w:asciiTheme="majorHAnsi" w:eastAsia="Times New Roman" w:hAnsiTheme="majorHAnsi" w:cs="Times New Roman"/>
          <w:lang w:eastAsia="en-AU"/>
        </w:rPr>
        <w:t xml:space="preserve">Adams, MJ, </w:t>
      </w:r>
      <w:proofErr w:type="spellStart"/>
      <w:r w:rsidRPr="00EA305A">
        <w:rPr>
          <w:rFonts w:asciiTheme="majorHAnsi" w:eastAsia="Times New Roman" w:hAnsiTheme="majorHAnsi" w:cs="Times New Roman"/>
          <w:lang w:eastAsia="en-AU"/>
        </w:rPr>
        <w:t>Antoniw</w:t>
      </w:r>
      <w:proofErr w:type="spellEnd"/>
      <w:r w:rsidRPr="00EA305A">
        <w:rPr>
          <w:rFonts w:asciiTheme="majorHAnsi" w:eastAsia="Times New Roman" w:hAnsiTheme="majorHAnsi" w:cs="Times New Roman"/>
          <w:lang w:eastAsia="en-AU"/>
        </w:rPr>
        <w:t xml:space="preserve">, JF &amp; </w:t>
      </w:r>
      <w:proofErr w:type="spellStart"/>
      <w:r w:rsidRPr="00EA305A">
        <w:rPr>
          <w:rFonts w:asciiTheme="majorHAnsi" w:eastAsia="Times New Roman" w:hAnsiTheme="majorHAnsi" w:cs="Times New Roman"/>
          <w:lang w:eastAsia="en-AU"/>
        </w:rPr>
        <w:t>Kreuze</w:t>
      </w:r>
      <w:proofErr w:type="spellEnd"/>
      <w:r w:rsidRPr="00EA305A">
        <w:rPr>
          <w:rFonts w:asciiTheme="majorHAnsi" w:eastAsia="Times New Roman" w:hAnsiTheme="majorHAnsi" w:cs="Times New Roman"/>
          <w:lang w:eastAsia="en-AU"/>
        </w:rPr>
        <w:t xml:space="preserve">, J </w:t>
      </w:r>
      <w:r w:rsidRPr="00EA305A">
        <w:rPr>
          <w:rFonts w:asciiTheme="majorHAnsi" w:eastAsia="Times New Roman" w:hAnsiTheme="majorHAnsi" w:cs="Times New Roman"/>
          <w:iCs/>
          <w:lang w:eastAsia="en-AU"/>
        </w:rPr>
        <w:t>2009,</w:t>
      </w:r>
      <w:r w:rsidRPr="00EA305A">
        <w:rPr>
          <w:rFonts w:asciiTheme="majorHAnsi" w:eastAsia="Times New Roman" w:hAnsiTheme="majorHAnsi" w:cs="Times New Roman"/>
          <w:i/>
          <w:iCs/>
          <w:lang w:eastAsia="en-AU"/>
        </w:rPr>
        <w:t xml:space="preserve"> ‘</w:t>
      </w:r>
      <w:proofErr w:type="spellStart"/>
      <w:r w:rsidRPr="00EA305A">
        <w:rPr>
          <w:rFonts w:asciiTheme="majorHAnsi" w:eastAsia="Times New Roman" w:hAnsiTheme="majorHAnsi" w:cs="Times New Roman"/>
          <w:i/>
          <w:iCs/>
          <w:lang w:eastAsia="en-AU"/>
        </w:rPr>
        <w:t>Virgaviridae</w:t>
      </w:r>
      <w:proofErr w:type="spellEnd"/>
      <w:r w:rsidRPr="00EA305A">
        <w:rPr>
          <w:rFonts w:asciiTheme="majorHAnsi" w:eastAsia="Times New Roman" w:hAnsiTheme="majorHAnsi" w:cs="Times New Roman"/>
          <w:iCs/>
          <w:lang w:eastAsia="en-AU"/>
        </w:rPr>
        <w:t xml:space="preserve">: a new family of rod-shaped plant viruses’, </w:t>
      </w:r>
      <w:r w:rsidRPr="00EA305A">
        <w:rPr>
          <w:rFonts w:asciiTheme="majorHAnsi" w:eastAsia="Times New Roman" w:hAnsiTheme="majorHAnsi" w:cs="Times New Roman"/>
          <w:i/>
          <w:iCs/>
          <w:lang w:eastAsia="en-AU"/>
        </w:rPr>
        <w:t>Archive of Virology</w:t>
      </w:r>
      <w:r w:rsidRPr="00EA305A">
        <w:rPr>
          <w:rFonts w:asciiTheme="majorHAnsi" w:eastAsia="Times New Roman" w:hAnsiTheme="majorHAnsi" w:cs="Times New Roman"/>
          <w:iCs/>
          <w:lang w:eastAsia="en-AU"/>
        </w:rPr>
        <w:t>, vol. 154, pp. 1967</w:t>
      </w:r>
      <w:r w:rsidRPr="00EA305A">
        <w:rPr>
          <w:rFonts w:asciiTheme="majorHAnsi" w:hAnsiTheme="majorHAnsi"/>
          <w:bCs/>
        </w:rPr>
        <w:t>–</w:t>
      </w:r>
      <w:r w:rsidRPr="00EA305A">
        <w:rPr>
          <w:rFonts w:asciiTheme="majorHAnsi" w:eastAsia="Times New Roman" w:hAnsiTheme="majorHAnsi" w:cs="Times New Roman"/>
          <w:iCs/>
          <w:lang w:eastAsia="en-AU"/>
        </w:rPr>
        <w:t>1972.</w:t>
      </w:r>
    </w:p>
    <w:p w14:paraId="08996A7C" w14:textId="77777777" w:rsidR="008163B6" w:rsidRPr="00EA305A" w:rsidRDefault="00F709BD" w:rsidP="008E43DA">
      <w:pPr>
        <w:autoSpaceDE w:val="0"/>
        <w:autoSpaceDN w:val="0"/>
        <w:adjustRightInd w:val="0"/>
        <w:spacing w:before="120" w:after="120" w:line="271" w:lineRule="auto"/>
        <w:rPr>
          <w:rFonts w:asciiTheme="majorHAnsi" w:hAnsiTheme="majorHAnsi"/>
          <w:bCs/>
        </w:rPr>
      </w:pPr>
      <w:r w:rsidRPr="00EA305A">
        <w:rPr>
          <w:rFonts w:asciiTheme="majorHAnsi" w:hAnsiTheme="majorHAnsi"/>
        </w:rPr>
        <w:t xml:space="preserve">Agarwal, VK &amp; Sinclair, JB 1996, </w:t>
      </w:r>
      <w:r w:rsidRPr="00EA305A">
        <w:rPr>
          <w:rFonts w:asciiTheme="majorHAnsi" w:hAnsiTheme="majorHAnsi"/>
          <w:i/>
          <w:iCs/>
        </w:rPr>
        <w:t>Principles of Seed Pathology 2nd Edition</w:t>
      </w:r>
      <w:r w:rsidRPr="00EA305A">
        <w:rPr>
          <w:rFonts w:asciiTheme="majorHAnsi" w:hAnsiTheme="majorHAnsi"/>
        </w:rPr>
        <w:t>, Lewis Publishers, CRC Press, Boca Raton.</w:t>
      </w:r>
    </w:p>
    <w:p w14:paraId="0096D325" w14:textId="49AD6648" w:rsidR="008163B6" w:rsidRPr="00EA305A" w:rsidRDefault="00F709BD" w:rsidP="008E43DA">
      <w:pPr>
        <w:autoSpaceDE w:val="0"/>
        <w:autoSpaceDN w:val="0"/>
        <w:adjustRightInd w:val="0"/>
        <w:spacing w:before="120" w:after="120" w:line="271" w:lineRule="auto"/>
        <w:rPr>
          <w:rFonts w:asciiTheme="majorHAnsi" w:hAnsiTheme="majorHAnsi"/>
          <w:bCs/>
        </w:rPr>
      </w:pPr>
      <w:r w:rsidRPr="00EA305A">
        <w:rPr>
          <w:rFonts w:asciiTheme="majorHAnsi" w:hAnsiTheme="majorHAnsi"/>
          <w:bCs/>
        </w:rPr>
        <w:t xml:space="preserve">Ainsworth, CG 1935, ‘Mosaic disease of the cucumber’, </w:t>
      </w:r>
      <w:r w:rsidRPr="00EA305A">
        <w:rPr>
          <w:rFonts w:asciiTheme="majorHAnsi" w:hAnsiTheme="majorHAnsi"/>
          <w:bCs/>
          <w:i/>
        </w:rPr>
        <w:t>Annals of Applied Biology</w:t>
      </w:r>
      <w:r w:rsidRPr="00EA305A">
        <w:rPr>
          <w:rFonts w:asciiTheme="majorHAnsi" w:hAnsiTheme="majorHAnsi"/>
          <w:bCs/>
        </w:rPr>
        <w:t>, vol. 22, no.1, pp. 55–67.</w:t>
      </w:r>
    </w:p>
    <w:p w14:paraId="352ED97B"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Ali, A, </w:t>
      </w:r>
      <w:proofErr w:type="spellStart"/>
      <w:r w:rsidRPr="00EA305A">
        <w:rPr>
          <w:rFonts w:asciiTheme="majorHAnsi" w:hAnsiTheme="majorHAnsi"/>
          <w:bCs/>
          <w:sz w:val="22"/>
        </w:rPr>
        <w:t>Natsuaki</w:t>
      </w:r>
      <w:proofErr w:type="spellEnd"/>
      <w:r w:rsidRPr="00EA305A">
        <w:rPr>
          <w:rFonts w:asciiTheme="majorHAnsi" w:hAnsiTheme="majorHAnsi"/>
          <w:bCs/>
          <w:sz w:val="22"/>
        </w:rPr>
        <w:t xml:space="preserve">, T &amp; Okuda, S 2004, ‘Identification and molecular characterization of viruses infecting cucurbits in Pakistan’, </w:t>
      </w:r>
      <w:r w:rsidRPr="00EA305A">
        <w:rPr>
          <w:rFonts w:asciiTheme="majorHAnsi" w:hAnsiTheme="majorHAnsi"/>
          <w:bCs/>
          <w:i/>
          <w:sz w:val="22"/>
        </w:rPr>
        <w:t>Journal of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152, pp. 677–682.</w:t>
      </w:r>
    </w:p>
    <w:p w14:paraId="615A0F83"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Al-</w:t>
      </w:r>
      <w:proofErr w:type="spellStart"/>
      <w:r w:rsidRPr="00EA305A">
        <w:rPr>
          <w:rFonts w:asciiTheme="majorHAnsi" w:hAnsiTheme="majorHAnsi"/>
          <w:bCs/>
          <w:sz w:val="22"/>
        </w:rPr>
        <w:t>Shahwan</w:t>
      </w:r>
      <w:proofErr w:type="spellEnd"/>
      <w:r w:rsidRPr="00EA305A">
        <w:rPr>
          <w:rFonts w:asciiTheme="majorHAnsi" w:hAnsiTheme="majorHAnsi"/>
          <w:bCs/>
          <w:sz w:val="22"/>
        </w:rPr>
        <w:t xml:space="preserve">, IM &amp; </w:t>
      </w:r>
      <w:proofErr w:type="spellStart"/>
      <w:r w:rsidRPr="00EA305A">
        <w:rPr>
          <w:rFonts w:asciiTheme="majorHAnsi" w:hAnsiTheme="majorHAnsi"/>
          <w:bCs/>
          <w:sz w:val="22"/>
        </w:rPr>
        <w:t>Abdalla</w:t>
      </w:r>
      <w:proofErr w:type="spellEnd"/>
      <w:r w:rsidRPr="00EA305A">
        <w:rPr>
          <w:rFonts w:asciiTheme="majorHAnsi" w:hAnsiTheme="majorHAnsi"/>
          <w:bCs/>
          <w:sz w:val="22"/>
        </w:rPr>
        <w:t xml:space="preserve">, OA 1992, ‘A strain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(CGMMV) from </w:t>
      </w:r>
      <w:proofErr w:type="spellStart"/>
      <w:r w:rsidRPr="00EA305A">
        <w:rPr>
          <w:rFonts w:asciiTheme="majorHAnsi" w:hAnsiTheme="majorHAnsi"/>
          <w:bCs/>
          <w:sz w:val="22"/>
        </w:rPr>
        <w:t>bottlegourd</w:t>
      </w:r>
      <w:proofErr w:type="spellEnd"/>
      <w:r w:rsidRPr="00EA305A">
        <w:rPr>
          <w:rFonts w:asciiTheme="majorHAnsi" w:hAnsiTheme="majorHAnsi"/>
          <w:bCs/>
          <w:sz w:val="22"/>
        </w:rPr>
        <w:t xml:space="preserve"> in Saudi Arabia’, </w:t>
      </w:r>
      <w:r w:rsidRPr="00EA305A">
        <w:rPr>
          <w:rFonts w:asciiTheme="majorHAnsi" w:hAnsiTheme="majorHAnsi"/>
          <w:bCs/>
          <w:i/>
          <w:sz w:val="22"/>
        </w:rPr>
        <w:t>Journal of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134, pp. 152–156.</w:t>
      </w:r>
    </w:p>
    <w:p w14:paraId="5711F309"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Al-</w:t>
      </w:r>
      <w:proofErr w:type="spellStart"/>
      <w:r w:rsidRPr="00EA305A">
        <w:rPr>
          <w:rFonts w:asciiTheme="majorHAnsi" w:hAnsiTheme="majorHAnsi"/>
          <w:bCs/>
          <w:sz w:val="22"/>
        </w:rPr>
        <w:t>Tamimi</w:t>
      </w:r>
      <w:proofErr w:type="spellEnd"/>
      <w:r w:rsidRPr="00EA305A">
        <w:rPr>
          <w:rFonts w:asciiTheme="majorHAnsi" w:hAnsiTheme="majorHAnsi"/>
          <w:bCs/>
          <w:sz w:val="22"/>
        </w:rPr>
        <w:t xml:space="preserve">, N, </w:t>
      </w:r>
      <w:proofErr w:type="spellStart"/>
      <w:r w:rsidRPr="00EA305A">
        <w:rPr>
          <w:rFonts w:asciiTheme="majorHAnsi" w:hAnsiTheme="majorHAnsi"/>
          <w:bCs/>
          <w:sz w:val="22"/>
        </w:rPr>
        <w:t>Kawas</w:t>
      </w:r>
      <w:proofErr w:type="spellEnd"/>
      <w:r w:rsidRPr="00EA305A">
        <w:rPr>
          <w:rFonts w:asciiTheme="majorHAnsi" w:hAnsiTheme="majorHAnsi"/>
          <w:bCs/>
          <w:sz w:val="22"/>
        </w:rPr>
        <w:t>, H &amp; Mansour, A 2009, ‘Seed transmission viruses in squash seeds (</w:t>
      </w:r>
      <w:r w:rsidRPr="00EA305A">
        <w:rPr>
          <w:rFonts w:asciiTheme="majorHAnsi" w:hAnsiTheme="majorHAnsi"/>
          <w:bCs/>
          <w:i/>
          <w:sz w:val="22"/>
        </w:rPr>
        <w:t>Cucurbita pepo</w:t>
      </w:r>
      <w:r w:rsidRPr="00EA305A">
        <w:rPr>
          <w:rFonts w:asciiTheme="majorHAnsi" w:hAnsiTheme="majorHAnsi"/>
          <w:bCs/>
          <w:sz w:val="22"/>
        </w:rPr>
        <w:t xml:space="preserve">) in Southern Syria and Jordan Valley’, </w:t>
      </w:r>
      <w:r w:rsidRPr="00EA305A">
        <w:rPr>
          <w:rFonts w:asciiTheme="majorHAnsi" w:hAnsiTheme="majorHAnsi"/>
          <w:bCs/>
          <w:i/>
          <w:sz w:val="22"/>
        </w:rPr>
        <w:t>Jordan Journal of Agricultural Sciences</w:t>
      </w:r>
      <w:r w:rsidRPr="00EA305A">
        <w:rPr>
          <w:rFonts w:asciiTheme="majorHAnsi" w:hAnsiTheme="majorHAnsi"/>
          <w:bCs/>
          <w:sz w:val="22"/>
        </w:rPr>
        <w:t>, vol. 5, no. 4, pp. 497–506.</w:t>
      </w:r>
    </w:p>
    <w:p w14:paraId="66A58BB7" w14:textId="45F124F8" w:rsidR="008163B6" w:rsidRPr="00EA305A" w:rsidRDefault="00F709BD" w:rsidP="008E43DA">
      <w:pPr>
        <w:pStyle w:val="NormalWeb"/>
        <w:spacing w:before="120" w:after="120" w:line="271" w:lineRule="auto"/>
        <w:jc w:val="left"/>
        <w:rPr>
          <w:rFonts w:asciiTheme="majorHAnsi" w:hAnsiTheme="majorHAnsi"/>
          <w:bCs/>
          <w:sz w:val="22"/>
          <w:szCs w:val="22"/>
        </w:rPr>
      </w:pPr>
      <w:r w:rsidRPr="00EA305A">
        <w:rPr>
          <w:rFonts w:asciiTheme="majorHAnsi" w:hAnsiTheme="majorHAnsi"/>
          <w:bCs/>
          <w:sz w:val="22"/>
          <w:szCs w:val="22"/>
        </w:rPr>
        <w:t>AMA (Australian Melon Association) 2015, ‘</w:t>
      </w:r>
      <w:r w:rsidRPr="00EA305A">
        <w:rPr>
          <w:rFonts w:asciiTheme="majorHAnsi" w:hAnsiTheme="majorHAnsi"/>
          <w:bCs/>
          <w:i/>
          <w:sz w:val="22"/>
          <w:szCs w:val="22"/>
        </w:rPr>
        <w:t>Cucumber green mottle mosaic virus</w:t>
      </w:r>
      <w:r w:rsidR="00A21478">
        <w:rPr>
          <w:rFonts w:asciiTheme="majorHAnsi" w:hAnsiTheme="majorHAnsi"/>
          <w:bCs/>
          <w:i/>
          <w:sz w:val="22"/>
          <w:szCs w:val="22"/>
        </w:rPr>
        <w:t xml:space="preserve"> </w:t>
      </w:r>
      <w:r w:rsidRPr="00EA305A">
        <w:rPr>
          <w:rFonts w:asciiTheme="majorHAnsi" w:hAnsiTheme="majorHAnsi"/>
          <w:bCs/>
          <w:sz w:val="22"/>
          <w:szCs w:val="22"/>
        </w:rPr>
        <w:t>–</w:t>
      </w:r>
      <w:r w:rsidR="00A21478">
        <w:rPr>
          <w:rFonts w:asciiTheme="majorHAnsi" w:hAnsiTheme="majorHAnsi"/>
          <w:bCs/>
          <w:sz w:val="22"/>
          <w:szCs w:val="22"/>
        </w:rPr>
        <w:t xml:space="preserve"> </w:t>
      </w:r>
      <w:r w:rsidRPr="00EA305A">
        <w:rPr>
          <w:rFonts w:asciiTheme="majorHAnsi" w:hAnsiTheme="majorHAnsi"/>
          <w:bCs/>
          <w:sz w:val="22"/>
          <w:szCs w:val="22"/>
        </w:rPr>
        <w:t xml:space="preserve">CGMMV signs and symptoms, </w:t>
      </w:r>
      <w:r w:rsidR="00956054">
        <w:rPr>
          <w:rFonts w:asciiTheme="majorHAnsi" w:hAnsiTheme="majorHAnsi"/>
          <w:bCs/>
          <w:sz w:val="22"/>
          <w:szCs w:val="22"/>
        </w:rPr>
        <w:t xml:space="preserve">available at </w:t>
      </w:r>
      <w:r w:rsidRPr="00EA305A">
        <w:rPr>
          <w:rFonts w:asciiTheme="majorHAnsi" w:hAnsiTheme="majorHAnsi"/>
          <w:sz w:val="22"/>
          <w:szCs w:val="22"/>
        </w:rPr>
        <w:t>melonsaustralia.org.au/news/CGMMV-identification</w:t>
      </w:r>
      <w:r w:rsidRPr="00EA305A">
        <w:rPr>
          <w:rFonts w:asciiTheme="majorHAnsi" w:hAnsiTheme="majorHAnsi"/>
          <w:bCs/>
          <w:sz w:val="22"/>
          <w:szCs w:val="22"/>
        </w:rPr>
        <w:t>.</w:t>
      </w:r>
    </w:p>
    <w:p w14:paraId="7A6F4D29"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Antignus</w:t>
      </w:r>
      <w:proofErr w:type="spellEnd"/>
      <w:r w:rsidRPr="00EA305A">
        <w:rPr>
          <w:rFonts w:asciiTheme="majorHAnsi" w:hAnsiTheme="majorHAnsi"/>
          <w:bCs/>
          <w:sz w:val="22"/>
        </w:rPr>
        <w:t xml:space="preserve">, Y, Wang, Y, </w:t>
      </w:r>
      <w:proofErr w:type="spellStart"/>
      <w:r w:rsidRPr="00EA305A">
        <w:rPr>
          <w:rFonts w:asciiTheme="majorHAnsi" w:hAnsiTheme="majorHAnsi"/>
          <w:bCs/>
          <w:sz w:val="22"/>
        </w:rPr>
        <w:t>Pearlsman</w:t>
      </w:r>
      <w:proofErr w:type="spellEnd"/>
      <w:r w:rsidRPr="00EA305A">
        <w:rPr>
          <w:rFonts w:asciiTheme="majorHAnsi" w:hAnsiTheme="majorHAnsi"/>
          <w:bCs/>
          <w:sz w:val="22"/>
        </w:rPr>
        <w:t xml:space="preserve">, M, Lachman, O, </w:t>
      </w:r>
      <w:proofErr w:type="spellStart"/>
      <w:r w:rsidRPr="00EA305A">
        <w:rPr>
          <w:rFonts w:asciiTheme="majorHAnsi" w:hAnsiTheme="majorHAnsi"/>
          <w:bCs/>
          <w:sz w:val="22"/>
        </w:rPr>
        <w:t>Lavi</w:t>
      </w:r>
      <w:proofErr w:type="spellEnd"/>
      <w:r w:rsidRPr="00EA305A">
        <w:rPr>
          <w:rFonts w:asciiTheme="majorHAnsi" w:hAnsiTheme="majorHAnsi"/>
          <w:bCs/>
          <w:sz w:val="22"/>
        </w:rPr>
        <w:t xml:space="preserve">, N &amp; Gal-On, A 2001, ‘Biological and molecular characterization of a new cucurbit-infecting </w:t>
      </w:r>
      <w:proofErr w:type="spellStart"/>
      <w:r w:rsidRPr="00EA305A">
        <w:rPr>
          <w:rFonts w:asciiTheme="majorHAnsi" w:hAnsiTheme="majorHAnsi"/>
          <w:bCs/>
          <w:i/>
          <w:sz w:val="22"/>
        </w:rPr>
        <w:t>Tobamovirus</w:t>
      </w:r>
      <w:proofErr w:type="spellEnd"/>
      <w:r w:rsidRPr="00EA305A">
        <w:rPr>
          <w:rFonts w:asciiTheme="majorHAnsi" w:hAnsiTheme="majorHAnsi"/>
          <w:bCs/>
          <w:sz w:val="22"/>
        </w:rPr>
        <w:t xml:space="preserve">’, </w:t>
      </w:r>
      <w:r w:rsidRPr="00EA305A">
        <w:rPr>
          <w:rFonts w:asciiTheme="majorHAnsi" w:hAnsiTheme="majorHAnsi"/>
          <w:bCs/>
          <w:i/>
          <w:sz w:val="22"/>
        </w:rPr>
        <w:t>Phytopathology</w:t>
      </w:r>
      <w:r w:rsidRPr="00EA305A">
        <w:rPr>
          <w:rFonts w:asciiTheme="majorHAnsi" w:hAnsiTheme="majorHAnsi"/>
          <w:bCs/>
          <w:sz w:val="22"/>
        </w:rPr>
        <w:t>, vol.</w:t>
      </w:r>
      <w:r w:rsidRPr="00EA305A">
        <w:rPr>
          <w:rFonts w:asciiTheme="majorHAnsi" w:hAnsiTheme="majorHAnsi"/>
          <w:bCs/>
          <w:i/>
          <w:sz w:val="22"/>
        </w:rPr>
        <w:t xml:space="preserve"> </w:t>
      </w:r>
      <w:r w:rsidRPr="00EA305A">
        <w:rPr>
          <w:rFonts w:asciiTheme="majorHAnsi" w:hAnsiTheme="majorHAnsi"/>
          <w:bCs/>
          <w:sz w:val="22"/>
        </w:rPr>
        <w:t>91, no. 6, pp. 565–571.</w:t>
      </w:r>
    </w:p>
    <w:p w14:paraId="1AF01DCD" w14:textId="77777777" w:rsidR="008163B6" w:rsidRPr="00EA305A" w:rsidRDefault="00F709BD" w:rsidP="008E43DA">
      <w:pPr>
        <w:autoSpaceDE w:val="0"/>
        <w:autoSpaceDN w:val="0"/>
        <w:adjustRightInd w:val="0"/>
        <w:spacing w:before="120" w:after="120" w:line="271" w:lineRule="auto"/>
        <w:rPr>
          <w:rFonts w:asciiTheme="majorHAnsi" w:hAnsiTheme="majorHAnsi"/>
          <w:bCs/>
        </w:rPr>
      </w:pPr>
      <w:proofErr w:type="spellStart"/>
      <w:r w:rsidRPr="00EA305A">
        <w:rPr>
          <w:rFonts w:asciiTheme="majorHAnsi" w:hAnsiTheme="majorHAnsi"/>
          <w:bCs/>
        </w:rPr>
        <w:t>Antignus</w:t>
      </w:r>
      <w:proofErr w:type="spellEnd"/>
      <w:r w:rsidRPr="00EA305A">
        <w:rPr>
          <w:rFonts w:asciiTheme="majorHAnsi" w:hAnsiTheme="majorHAnsi"/>
          <w:bCs/>
        </w:rPr>
        <w:t xml:space="preserve">, Y, </w:t>
      </w:r>
      <w:proofErr w:type="spellStart"/>
      <w:r w:rsidRPr="00EA305A">
        <w:rPr>
          <w:rFonts w:asciiTheme="majorHAnsi" w:hAnsiTheme="majorHAnsi"/>
          <w:bCs/>
        </w:rPr>
        <w:t>Pearlsman</w:t>
      </w:r>
      <w:proofErr w:type="spellEnd"/>
      <w:r w:rsidRPr="00EA305A">
        <w:rPr>
          <w:rFonts w:asciiTheme="majorHAnsi" w:hAnsiTheme="majorHAnsi"/>
          <w:bCs/>
        </w:rPr>
        <w:t xml:space="preserve">, M, Ben, YR &amp; Cohen, S 1990, ‘Occurrence of a variant of </w:t>
      </w:r>
      <w:r w:rsidRPr="00EA305A">
        <w:rPr>
          <w:rFonts w:asciiTheme="majorHAnsi" w:hAnsiTheme="majorHAnsi"/>
          <w:bCs/>
          <w:i/>
        </w:rPr>
        <w:t>Cucumber green mottle mosaic virus</w:t>
      </w:r>
      <w:r w:rsidRPr="00EA305A">
        <w:rPr>
          <w:rFonts w:asciiTheme="majorHAnsi" w:hAnsiTheme="majorHAnsi"/>
          <w:bCs/>
        </w:rPr>
        <w:t xml:space="preserve"> in Israel’, </w:t>
      </w:r>
      <w:proofErr w:type="spellStart"/>
      <w:r w:rsidRPr="00EA305A">
        <w:rPr>
          <w:rFonts w:asciiTheme="majorHAnsi" w:hAnsiTheme="majorHAnsi"/>
          <w:bCs/>
          <w:i/>
        </w:rPr>
        <w:t>Phytoparasitica</w:t>
      </w:r>
      <w:proofErr w:type="spellEnd"/>
      <w:r w:rsidRPr="00EA305A">
        <w:rPr>
          <w:rFonts w:asciiTheme="majorHAnsi" w:hAnsiTheme="majorHAnsi"/>
          <w:bCs/>
        </w:rPr>
        <w:t>, vol. 18, pp. 50–56.</w:t>
      </w:r>
    </w:p>
    <w:p w14:paraId="08B3F75A" w14:textId="77777777" w:rsidR="008163B6" w:rsidRPr="00EA305A" w:rsidRDefault="00F709BD" w:rsidP="008E43DA">
      <w:pPr>
        <w:autoSpaceDE w:val="0"/>
        <w:autoSpaceDN w:val="0"/>
        <w:spacing w:before="120" w:after="120" w:line="271" w:lineRule="auto"/>
        <w:rPr>
          <w:rFonts w:asciiTheme="majorHAnsi" w:hAnsiTheme="majorHAnsi"/>
        </w:rPr>
      </w:pPr>
      <w:r w:rsidRPr="00EA305A">
        <w:rPr>
          <w:rFonts w:asciiTheme="majorHAnsi" w:hAnsiTheme="majorHAnsi"/>
        </w:rPr>
        <w:t>APHIS (Animal and Plant Health Inspection Service) 2001, ‘</w:t>
      </w:r>
      <w:r w:rsidRPr="00EA305A">
        <w:rPr>
          <w:rFonts w:asciiTheme="majorHAnsi" w:hAnsiTheme="majorHAnsi"/>
          <w:iCs/>
        </w:rPr>
        <w:t>Seed Health Testing and Phytosanitary Field Inspection Methods Manual</w:t>
      </w:r>
      <w:r w:rsidRPr="00EA305A">
        <w:rPr>
          <w:rFonts w:asciiTheme="majorHAnsi" w:hAnsiTheme="majorHAnsi"/>
        </w:rPr>
        <w:t>’, Reference Manual B (RM-B) National Seed Health System, Animal and Plant Health Inspection Service, available at aphis.usda.gov/.</w:t>
      </w:r>
    </w:p>
    <w:p w14:paraId="7B24DBCF"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Ariyaratne</w:t>
      </w:r>
      <w:proofErr w:type="spellEnd"/>
      <w:r w:rsidRPr="00EA305A">
        <w:rPr>
          <w:rFonts w:asciiTheme="majorHAnsi" w:hAnsiTheme="majorHAnsi"/>
          <w:bCs/>
          <w:sz w:val="22"/>
        </w:rPr>
        <w:t xml:space="preserve">, I, </w:t>
      </w:r>
      <w:proofErr w:type="spellStart"/>
      <w:r w:rsidRPr="00EA305A">
        <w:rPr>
          <w:rFonts w:asciiTheme="majorHAnsi" w:hAnsiTheme="majorHAnsi"/>
          <w:bCs/>
          <w:sz w:val="22"/>
        </w:rPr>
        <w:t>Weeraratne</w:t>
      </w:r>
      <w:proofErr w:type="spellEnd"/>
      <w:r w:rsidRPr="00EA305A">
        <w:rPr>
          <w:rFonts w:asciiTheme="majorHAnsi" w:hAnsiTheme="majorHAnsi"/>
          <w:bCs/>
          <w:sz w:val="22"/>
        </w:rPr>
        <w:t xml:space="preserve">, WAPG &amp; </w:t>
      </w:r>
      <w:proofErr w:type="spellStart"/>
      <w:r w:rsidRPr="00EA305A">
        <w:rPr>
          <w:rFonts w:asciiTheme="majorHAnsi" w:hAnsiTheme="majorHAnsi"/>
          <w:bCs/>
          <w:sz w:val="22"/>
        </w:rPr>
        <w:t>Ranatunge</w:t>
      </w:r>
      <w:proofErr w:type="spellEnd"/>
      <w:r w:rsidRPr="00EA305A">
        <w:rPr>
          <w:rFonts w:asciiTheme="majorHAnsi" w:hAnsiTheme="majorHAnsi"/>
          <w:bCs/>
          <w:sz w:val="22"/>
        </w:rPr>
        <w:t xml:space="preserve">, RKR 2005, ‘Identification of a new mosaic virus disease of snake gourd in Sri Lanka’, </w:t>
      </w:r>
      <w:r w:rsidRPr="00EA305A">
        <w:rPr>
          <w:rFonts w:asciiTheme="majorHAnsi" w:hAnsiTheme="majorHAnsi"/>
          <w:bCs/>
          <w:i/>
          <w:sz w:val="22"/>
        </w:rPr>
        <w:t>Annals of the Sri Lanka Department of Agriculture</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7, pp. 13–21.</w:t>
      </w:r>
    </w:p>
    <w:p w14:paraId="5011832B" w14:textId="32868CDE" w:rsidR="008163B6" w:rsidRPr="00EA305A" w:rsidRDefault="00F709BD" w:rsidP="008E43DA">
      <w:pPr>
        <w:shd w:val="clear" w:color="auto" w:fill="FFFFFF"/>
        <w:spacing w:before="120" w:after="120" w:line="271" w:lineRule="auto"/>
        <w:rPr>
          <w:rFonts w:asciiTheme="majorHAnsi" w:hAnsiTheme="majorHAnsi"/>
        </w:rPr>
      </w:pPr>
      <w:r w:rsidRPr="00EA305A">
        <w:rPr>
          <w:rFonts w:asciiTheme="majorHAnsi" w:hAnsiTheme="majorHAnsi"/>
          <w:bCs/>
        </w:rPr>
        <w:t>ASTA (American Seed Trade Association) 2014, ‘</w:t>
      </w:r>
      <w:r w:rsidRPr="00EA305A">
        <w:rPr>
          <w:rFonts w:asciiTheme="majorHAnsi" w:hAnsiTheme="majorHAnsi"/>
          <w:bCs/>
          <w:i/>
        </w:rPr>
        <w:t>Cucumber green mottle mosaic virus</w:t>
      </w:r>
      <w:r w:rsidRPr="00EA305A">
        <w:rPr>
          <w:rFonts w:asciiTheme="majorHAnsi" w:hAnsiTheme="majorHAnsi"/>
          <w:bCs/>
        </w:rPr>
        <w:t xml:space="preserve"> – a seed production and commercial growers guide, available at </w:t>
      </w:r>
      <w:r w:rsidRPr="00EA305A">
        <w:rPr>
          <w:rFonts w:asciiTheme="majorHAnsi" w:hAnsiTheme="majorHAnsi"/>
        </w:rPr>
        <w:t>eurofinsus.com/media/162072/cucumber-green-mottle-mosaic-virus.pdf</w:t>
      </w:r>
      <w:r w:rsidR="00956054">
        <w:rPr>
          <w:rFonts w:asciiTheme="majorHAnsi" w:hAnsiTheme="majorHAnsi"/>
        </w:rPr>
        <w:t>.</w:t>
      </w:r>
    </w:p>
    <w:p w14:paraId="56CAD9C3"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Baderinwa</w:t>
      </w:r>
      <w:proofErr w:type="spellEnd"/>
      <w:r w:rsidRPr="00EA305A">
        <w:rPr>
          <w:rFonts w:asciiTheme="majorHAnsi" w:hAnsiTheme="majorHAnsi"/>
          <w:bCs/>
          <w:sz w:val="22"/>
        </w:rPr>
        <w:t xml:space="preserve">, AO 2012, </w:t>
      </w:r>
      <w:r w:rsidRPr="00EA305A">
        <w:rPr>
          <w:rFonts w:asciiTheme="majorHAnsi" w:hAnsiTheme="majorHAnsi"/>
          <w:bCs/>
          <w:i/>
          <w:sz w:val="22"/>
        </w:rPr>
        <w:t xml:space="preserve">Detection of </w:t>
      </w:r>
      <w:proofErr w:type="spellStart"/>
      <w:r w:rsidRPr="00EA305A">
        <w:rPr>
          <w:rFonts w:asciiTheme="majorHAnsi" w:hAnsiTheme="majorHAnsi"/>
          <w:bCs/>
          <w:i/>
          <w:sz w:val="22"/>
        </w:rPr>
        <w:t>seedborne</w:t>
      </w:r>
      <w:proofErr w:type="spellEnd"/>
      <w:r w:rsidRPr="00EA305A">
        <w:rPr>
          <w:rFonts w:asciiTheme="majorHAnsi" w:hAnsiTheme="majorHAnsi"/>
          <w:bCs/>
          <w:i/>
          <w:sz w:val="22"/>
        </w:rPr>
        <w:t xml:space="preserve"> viruses associated with three watermelon (Citrullus lanatus) varieties grown in Nigeria</w:t>
      </w:r>
      <w:r w:rsidRPr="00EA305A">
        <w:rPr>
          <w:rFonts w:asciiTheme="majorHAnsi" w:hAnsiTheme="majorHAnsi"/>
          <w:bCs/>
          <w:sz w:val="22"/>
        </w:rPr>
        <w:t xml:space="preserve">, Thesis, Federal University of Agriculture, </w:t>
      </w:r>
      <w:proofErr w:type="gramStart"/>
      <w:r w:rsidRPr="00EA305A">
        <w:rPr>
          <w:rFonts w:asciiTheme="majorHAnsi" w:hAnsiTheme="majorHAnsi"/>
          <w:bCs/>
          <w:sz w:val="22"/>
        </w:rPr>
        <w:t>Abeokuta</w:t>
      </w:r>
      <w:proofErr w:type="gramEnd"/>
      <w:r w:rsidRPr="00EA305A">
        <w:rPr>
          <w:rFonts w:asciiTheme="majorHAnsi" w:hAnsiTheme="majorHAnsi"/>
          <w:bCs/>
          <w:sz w:val="22"/>
        </w:rPr>
        <w:t xml:space="preserve">. </w:t>
      </w:r>
    </w:p>
    <w:p w14:paraId="3F10F4DE" w14:textId="77777777" w:rsidR="008163B6" w:rsidRPr="00EA305A" w:rsidRDefault="00F709BD" w:rsidP="008E43DA">
      <w:pPr>
        <w:pStyle w:val="Header"/>
        <w:spacing w:before="120" w:after="120" w:line="271" w:lineRule="auto"/>
        <w:jc w:val="left"/>
        <w:rPr>
          <w:rFonts w:asciiTheme="majorHAnsi" w:hAnsiTheme="majorHAnsi" w:cs="Arial"/>
          <w:sz w:val="22"/>
        </w:rPr>
      </w:pPr>
      <w:proofErr w:type="spellStart"/>
      <w:r w:rsidRPr="00EA305A">
        <w:rPr>
          <w:rFonts w:asciiTheme="majorHAnsi" w:hAnsiTheme="majorHAnsi"/>
          <w:bCs/>
          <w:sz w:val="22"/>
        </w:rPr>
        <w:t>Blattný</w:t>
      </w:r>
      <w:proofErr w:type="spellEnd"/>
      <w:r w:rsidRPr="00EA305A">
        <w:rPr>
          <w:rFonts w:asciiTheme="majorHAnsi" w:hAnsiTheme="majorHAnsi"/>
          <w:bCs/>
          <w:sz w:val="22"/>
        </w:rPr>
        <w:t xml:space="preserve">, C &amp; </w:t>
      </w:r>
      <w:proofErr w:type="spellStart"/>
      <w:r w:rsidRPr="00EA305A">
        <w:rPr>
          <w:rFonts w:asciiTheme="majorHAnsi" w:hAnsiTheme="majorHAnsi"/>
          <w:bCs/>
          <w:sz w:val="22"/>
        </w:rPr>
        <w:t>Janecková</w:t>
      </w:r>
      <w:proofErr w:type="spellEnd"/>
      <w:r w:rsidRPr="00EA305A">
        <w:rPr>
          <w:rFonts w:asciiTheme="majorHAnsi" w:hAnsiTheme="majorHAnsi"/>
          <w:bCs/>
          <w:sz w:val="22"/>
        </w:rPr>
        <w:t xml:space="preserve">, M 1981, ‘Apricot bare twig and unfruitfulness’, </w:t>
      </w:r>
      <w:proofErr w:type="spellStart"/>
      <w:r w:rsidRPr="00EA305A">
        <w:rPr>
          <w:rFonts w:asciiTheme="majorHAnsi" w:hAnsiTheme="majorHAnsi"/>
          <w:bCs/>
          <w:i/>
          <w:sz w:val="22"/>
        </w:rPr>
        <w:t>Acta</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Horticulturae</w:t>
      </w:r>
      <w:proofErr w:type="spellEnd"/>
      <w:r w:rsidRPr="00EA305A">
        <w:rPr>
          <w:rFonts w:asciiTheme="majorHAnsi" w:hAnsiTheme="majorHAnsi"/>
          <w:bCs/>
          <w:i/>
          <w:sz w:val="22"/>
        </w:rPr>
        <w:t xml:space="preserve"> </w:t>
      </w:r>
      <w:r w:rsidRPr="00EA305A">
        <w:rPr>
          <w:rFonts w:asciiTheme="majorHAnsi" w:hAnsiTheme="majorHAnsi"/>
          <w:bCs/>
          <w:sz w:val="22"/>
        </w:rPr>
        <w:t>(ISHS), vol. 94, pp. 383–390</w:t>
      </w:r>
      <w:r w:rsidRPr="00EA305A">
        <w:rPr>
          <w:rFonts w:asciiTheme="majorHAnsi" w:hAnsiTheme="majorHAnsi" w:cs="Arial"/>
          <w:sz w:val="22"/>
        </w:rPr>
        <w:t>.</w:t>
      </w:r>
    </w:p>
    <w:p w14:paraId="088EB920" w14:textId="1C39B871"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Boubourakas</w:t>
      </w:r>
      <w:proofErr w:type="spellEnd"/>
      <w:r w:rsidRPr="00EA305A">
        <w:rPr>
          <w:rFonts w:asciiTheme="majorHAnsi" w:hAnsiTheme="majorHAnsi"/>
          <w:bCs/>
          <w:sz w:val="22"/>
        </w:rPr>
        <w:t xml:space="preserve">, IN, </w:t>
      </w:r>
      <w:proofErr w:type="spellStart"/>
      <w:r w:rsidRPr="00EA305A">
        <w:rPr>
          <w:rFonts w:asciiTheme="majorHAnsi" w:hAnsiTheme="majorHAnsi"/>
          <w:bCs/>
          <w:sz w:val="22"/>
        </w:rPr>
        <w:t>Hatziloukas</w:t>
      </w:r>
      <w:proofErr w:type="spellEnd"/>
      <w:r w:rsidRPr="00EA305A">
        <w:rPr>
          <w:rFonts w:asciiTheme="majorHAnsi" w:hAnsiTheme="majorHAnsi"/>
          <w:bCs/>
          <w:sz w:val="22"/>
        </w:rPr>
        <w:t xml:space="preserve">, E, </w:t>
      </w:r>
      <w:proofErr w:type="spellStart"/>
      <w:r w:rsidRPr="00EA305A">
        <w:rPr>
          <w:rFonts w:asciiTheme="majorHAnsi" w:hAnsiTheme="majorHAnsi"/>
          <w:bCs/>
          <w:sz w:val="22"/>
        </w:rPr>
        <w:t>Antignus</w:t>
      </w:r>
      <w:proofErr w:type="spellEnd"/>
      <w:r w:rsidRPr="00EA305A">
        <w:rPr>
          <w:rFonts w:asciiTheme="majorHAnsi" w:hAnsiTheme="majorHAnsi"/>
          <w:bCs/>
          <w:sz w:val="22"/>
        </w:rPr>
        <w:t xml:space="preserve">, Y &amp; </w:t>
      </w:r>
      <w:proofErr w:type="spellStart"/>
      <w:r w:rsidRPr="00EA305A">
        <w:rPr>
          <w:rFonts w:asciiTheme="majorHAnsi" w:hAnsiTheme="majorHAnsi"/>
          <w:bCs/>
          <w:sz w:val="22"/>
        </w:rPr>
        <w:t>Katis</w:t>
      </w:r>
      <w:proofErr w:type="spellEnd"/>
      <w:r w:rsidRPr="00EA305A">
        <w:rPr>
          <w:rFonts w:asciiTheme="majorHAnsi" w:hAnsiTheme="majorHAnsi"/>
          <w:bCs/>
          <w:sz w:val="22"/>
        </w:rPr>
        <w:t>, NI 2004, ‘</w:t>
      </w:r>
      <w:proofErr w:type="spellStart"/>
      <w:r w:rsidRPr="00EA305A">
        <w:rPr>
          <w:rFonts w:asciiTheme="majorHAnsi" w:hAnsiTheme="majorHAnsi"/>
          <w:bCs/>
          <w:sz w:val="22"/>
        </w:rPr>
        <w:t>Etiology</w:t>
      </w:r>
      <w:proofErr w:type="spellEnd"/>
      <w:r w:rsidRPr="00EA305A">
        <w:rPr>
          <w:rFonts w:asciiTheme="majorHAnsi" w:hAnsiTheme="majorHAnsi"/>
          <w:bCs/>
          <w:sz w:val="22"/>
        </w:rPr>
        <w:t xml:space="preserve"> of leaf chlorosis and deterioration of the fruit interior of watermelon plants’, </w:t>
      </w:r>
      <w:r w:rsidRPr="00EA305A">
        <w:rPr>
          <w:rFonts w:asciiTheme="majorHAnsi" w:hAnsiTheme="majorHAnsi"/>
          <w:bCs/>
          <w:i/>
          <w:sz w:val="22"/>
        </w:rPr>
        <w:t>Journal of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 xml:space="preserve">vol. 152, pp. 580–588. </w:t>
      </w:r>
    </w:p>
    <w:p w14:paraId="6660B73F" w14:textId="2276617C"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Broadbent, L &amp; Fletcher JT 1963, ‘The epidemiology of tomato mosaic IV. Persistence of virus on clothing and glasshouse structures’, </w:t>
      </w:r>
      <w:r w:rsidRPr="00EA305A">
        <w:rPr>
          <w:rFonts w:asciiTheme="majorHAnsi" w:hAnsiTheme="majorHAnsi"/>
          <w:bCs/>
          <w:i/>
          <w:sz w:val="22"/>
        </w:rPr>
        <w:t>Annals of Applied Biology</w:t>
      </w:r>
      <w:r w:rsidRPr="00EA305A">
        <w:rPr>
          <w:rFonts w:asciiTheme="majorHAnsi" w:hAnsiTheme="majorHAnsi"/>
          <w:bCs/>
          <w:sz w:val="22"/>
        </w:rPr>
        <w:t>, vol. 52, pp. 233–</w:t>
      </w:r>
      <w:r w:rsidR="00956054">
        <w:rPr>
          <w:rFonts w:asciiTheme="majorHAnsi" w:hAnsiTheme="majorHAnsi"/>
          <w:bCs/>
          <w:sz w:val="22"/>
        </w:rPr>
        <w:t>2</w:t>
      </w:r>
      <w:r w:rsidRPr="00EA305A">
        <w:rPr>
          <w:rFonts w:asciiTheme="majorHAnsi" w:hAnsiTheme="majorHAnsi"/>
          <w:bCs/>
          <w:sz w:val="22"/>
        </w:rPr>
        <w:t>41.</w:t>
      </w:r>
    </w:p>
    <w:p w14:paraId="2762D5B0" w14:textId="2F4ED1AC"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lastRenderedPageBreak/>
        <w:t>Budzanivska</w:t>
      </w:r>
      <w:proofErr w:type="spellEnd"/>
      <w:r w:rsidRPr="00EA305A">
        <w:rPr>
          <w:rFonts w:asciiTheme="majorHAnsi" w:hAnsiTheme="majorHAnsi"/>
          <w:bCs/>
          <w:sz w:val="22"/>
        </w:rPr>
        <w:t xml:space="preserve">, IG, </w:t>
      </w:r>
      <w:proofErr w:type="spellStart"/>
      <w:r w:rsidRPr="00EA305A">
        <w:rPr>
          <w:rFonts w:asciiTheme="majorHAnsi" w:hAnsiTheme="majorHAnsi"/>
          <w:bCs/>
          <w:sz w:val="22"/>
        </w:rPr>
        <w:t>Rudneva</w:t>
      </w:r>
      <w:proofErr w:type="spellEnd"/>
      <w:r w:rsidRPr="00EA305A">
        <w:rPr>
          <w:rFonts w:asciiTheme="majorHAnsi" w:hAnsiTheme="majorHAnsi"/>
          <w:bCs/>
          <w:sz w:val="22"/>
        </w:rPr>
        <w:t xml:space="preserve">, TO, Shevchenko, TP, </w:t>
      </w:r>
      <w:proofErr w:type="spellStart"/>
      <w:r w:rsidRPr="00EA305A">
        <w:rPr>
          <w:rFonts w:asciiTheme="majorHAnsi" w:hAnsiTheme="majorHAnsi"/>
          <w:bCs/>
          <w:sz w:val="22"/>
        </w:rPr>
        <w:t>Boubriak</w:t>
      </w:r>
      <w:proofErr w:type="spellEnd"/>
      <w:r w:rsidRPr="00EA305A">
        <w:rPr>
          <w:rFonts w:asciiTheme="majorHAnsi" w:hAnsiTheme="majorHAnsi"/>
          <w:bCs/>
          <w:sz w:val="22"/>
        </w:rPr>
        <w:t xml:space="preserve">, I &amp; </w:t>
      </w:r>
      <w:proofErr w:type="spellStart"/>
      <w:r w:rsidRPr="00EA305A">
        <w:rPr>
          <w:rFonts w:asciiTheme="majorHAnsi" w:hAnsiTheme="majorHAnsi"/>
          <w:bCs/>
          <w:sz w:val="22"/>
        </w:rPr>
        <w:t>Polischuk</w:t>
      </w:r>
      <w:proofErr w:type="spellEnd"/>
      <w:r w:rsidRPr="00EA305A">
        <w:rPr>
          <w:rFonts w:asciiTheme="majorHAnsi" w:hAnsiTheme="majorHAnsi"/>
          <w:bCs/>
          <w:sz w:val="22"/>
        </w:rPr>
        <w:t xml:space="preserve">, VP 2007, ‘Investigation of Ukrainian isolates of </w:t>
      </w:r>
      <w:r w:rsidRPr="00EA305A">
        <w:rPr>
          <w:rFonts w:asciiTheme="majorHAnsi" w:hAnsiTheme="majorHAnsi"/>
          <w:bCs/>
          <w:i/>
          <w:sz w:val="22"/>
        </w:rPr>
        <w:t>Cucumber green mottle mosaic virus</w:t>
      </w:r>
      <w:r w:rsidRPr="00EA305A">
        <w:rPr>
          <w:rFonts w:asciiTheme="majorHAnsi" w:hAnsiTheme="majorHAnsi"/>
          <w:bCs/>
          <w:sz w:val="22"/>
        </w:rPr>
        <w:t xml:space="preserve">’, </w:t>
      </w:r>
      <w:r w:rsidRPr="00EA305A">
        <w:rPr>
          <w:rFonts w:asciiTheme="majorHAnsi" w:hAnsiTheme="majorHAnsi"/>
          <w:bCs/>
          <w:i/>
          <w:sz w:val="22"/>
        </w:rPr>
        <w:t>Archives of Phytopathology and Plant Protection</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40, no.</w:t>
      </w:r>
      <w:r w:rsidR="00956054">
        <w:rPr>
          <w:rFonts w:asciiTheme="majorHAnsi" w:hAnsiTheme="majorHAnsi"/>
          <w:bCs/>
          <w:sz w:val="22"/>
        </w:rPr>
        <w:t xml:space="preserve"> </w:t>
      </w:r>
      <w:r w:rsidRPr="00EA305A">
        <w:rPr>
          <w:rFonts w:asciiTheme="majorHAnsi" w:hAnsiTheme="majorHAnsi"/>
          <w:bCs/>
          <w:sz w:val="22"/>
        </w:rPr>
        <w:t>5, pp. 376–380.</w:t>
      </w:r>
    </w:p>
    <w:p w14:paraId="15AC86B3" w14:textId="5AE60A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Buttner</w:t>
      </w:r>
      <w:proofErr w:type="spellEnd"/>
      <w:r w:rsidRPr="00EA305A">
        <w:rPr>
          <w:rFonts w:asciiTheme="majorHAnsi" w:hAnsiTheme="majorHAnsi"/>
          <w:bCs/>
          <w:sz w:val="22"/>
        </w:rPr>
        <w:t xml:space="preserve">, C, Marquardt, K &amp; </w:t>
      </w:r>
      <w:proofErr w:type="spellStart"/>
      <w:r w:rsidRPr="00EA305A">
        <w:rPr>
          <w:rFonts w:asciiTheme="majorHAnsi" w:hAnsiTheme="majorHAnsi"/>
          <w:bCs/>
          <w:sz w:val="22"/>
        </w:rPr>
        <w:t>Schickedanz</w:t>
      </w:r>
      <w:proofErr w:type="spellEnd"/>
      <w:r w:rsidRPr="00EA305A">
        <w:rPr>
          <w:rFonts w:asciiTheme="majorHAnsi" w:hAnsiTheme="majorHAnsi"/>
          <w:bCs/>
          <w:sz w:val="22"/>
        </w:rPr>
        <w:t xml:space="preserve">, F 1995, ‘Studies on transmission of </w:t>
      </w:r>
      <w:r w:rsidR="00E82A7C">
        <w:rPr>
          <w:rFonts w:asciiTheme="majorHAnsi" w:hAnsiTheme="majorHAnsi"/>
          <w:bCs/>
          <w:i/>
          <w:sz w:val="22"/>
        </w:rPr>
        <w:t>C</w:t>
      </w:r>
      <w:r w:rsidRPr="00EA305A">
        <w:rPr>
          <w:rFonts w:asciiTheme="majorHAnsi" w:hAnsiTheme="majorHAnsi"/>
          <w:bCs/>
          <w:i/>
          <w:sz w:val="22"/>
        </w:rPr>
        <w:t>ucumber mosaic virus</w:t>
      </w:r>
      <w:r w:rsidRPr="00EA305A">
        <w:rPr>
          <w:rFonts w:asciiTheme="majorHAnsi" w:hAnsiTheme="majorHAnsi"/>
          <w:bCs/>
          <w:sz w:val="22"/>
        </w:rPr>
        <w:t xml:space="preserve"> (CMV) and </w:t>
      </w:r>
      <w:r w:rsidR="00E82A7C">
        <w:rPr>
          <w:rFonts w:asciiTheme="majorHAnsi" w:hAnsiTheme="majorHAnsi"/>
          <w:bCs/>
          <w:i/>
          <w:sz w:val="22"/>
        </w:rPr>
        <w:t>C</w:t>
      </w:r>
      <w:r w:rsidRPr="00EA305A">
        <w:rPr>
          <w:rFonts w:asciiTheme="majorHAnsi" w:hAnsiTheme="majorHAnsi"/>
          <w:bCs/>
          <w:i/>
          <w:sz w:val="22"/>
        </w:rPr>
        <w:t>ucumber green mottle mosaic virus</w:t>
      </w:r>
      <w:r w:rsidRPr="00EA305A">
        <w:rPr>
          <w:rFonts w:asciiTheme="majorHAnsi" w:hAnsiTheme="majorHAnsi"/>
          <w:bCs/>
          <w:sz w:val="22"/>
        </w:rPr>
        <w:t xml:space="preserve"> (CGMMV) by nutrient solutions of ebb and flow irrigation systems’, </w:t>
      </w:r>
      <w:proofErr w:type="spellStart"/>
      <w:r w:rsidRPr="00EA305A">
        <w:rPr>
          <w:rFonts w:asciiTheme="majorHAnsi" w:hAnsiTheme="majorHAnsi"/>
          <w:bCs/>
          <w:i/>
          <w:sz w:val="22"/>
        </w:rPr>
        <w:t>Gartenbauwissenschaft</w:t>
      </w:r>
      <w:proofErr w:type="spellEnd"/>
      <w:r w:rsidRPr="00EA305A">
        <w:rPr>
          <w:rFonts w:asciiTheme="majorHAnsi" w:hAnsiTheme="majorHAnsi"/>
          <w:bCs/>
          <w:sz w:val="22"/>
        </w:rPr>
        <w:t>, vol. 60, no. 3, pp. 109–114.</w:t>
      </w:r>
    </w:p>
    <w:p w14:paraId="16B838A1" w14:textId="20ABDF1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CABI 2015, ‘Crop Protection Compendium’, CAB International, Wallingford, UK, available at </w:t>
      </w:r>
      <w:r w:rsidRPr="00EA305A">
        <w:rPr>
          <w:rFonts w:asciiTheme="majorHAnsi" w:hAnsiTheme="majorHAnsi"/>
          <w:sz w:val="22"/>
        </w:rPr>
        <w:t>cabi.org/</w:t>
      </w:r>
      <w:proofErr w:type="spellStart"/>
      <w:r w:rsidRPr="00EA305A">
        <w:rPr>
          <w:rFonts w:asciiTheme="majorHAnsi" w:hAnsiTheme="majorHAnsi"/>
          <w:sz w:val="22"/>
        </w:rPr>
        <w:t>cpc</w:t>
      </w:r>
      <w:proofErr w:type="spellEnd"/>
      <w:r w:rsidR="0047634C" w:rsidRPr="00EA305A">
        <w:rPr>
          <w:rFonts w:asciiTheme="majorHAnsi" w:hAnsiTheme="majorHAnsi"/>
          <w:sz w:val="22"/>
        </w:rPr>
        <w:t>.</w:t>
      </w:r>
      <w:r w:rsidRPr="00EA305A">
        <w:rPr>
          <w:rFonts w:asciiTheme="majorHAnsi" w:hAnsiTheme="majorHAnsi"/>
          <w:sz w:val="22"/>
        </w:rPr>
        <w:t xml:space="preserve"> </w:t>
      </w:r>
    </w:p>
    <w:p w14:paraId="0D98C326"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Celix</w:t>
      </w:r>
      <w:proofErr w:type="spellEnd"/>
      <w:r w:rsidRPr="00EA305A">
        <w:rPr>
          <w:rFonts w:asciiTheme="majorHAnsi" w:hAnsiTheme="majorHAnsi"/>
          <w:bCs/>
          <w:sz w:val="22"/>
        </w:rPr>
        <w:t>, A, Luis-Arteaga, M &amp; Rodriguez-</w:t>
      </w:r>
      <w:proofErr w:type="spellStart"/>
      <w:r w:rsidRPr="00EA305A">
        <w:rPr>
          <w:rFonts w:asciiTheme="majorHAnsi" w:hAnsiTheme="majorHAnsi"/>
          <w:bCs/>
          <w:sz w:val="22"/>
        </w:rPr>
        <w:t>Cerezo</w:t>
      </w:r>
      <w:proofErr w:type="spellEnd"/>
      <w:r w:rsidRPr="00EA305A">
        <w:rPr>
          <w:rFonts w:asciiTheme="majorHAnsi" w:hAnsiTheme="majorHAnsi"/>
          <w:bCs/>
          <w:sz w:val="22"/>
        </w:rPr>
        <w:t xml:space="preserve">, E 1996, ‘First report of </w:t>
      </w:r>
      <w:r w:rsidRPr="00EA305A">
        <w:rPr>
          <w:rFonts w:asciiTheme="majorHAnsi" w:hAnsiTheme="majorHAnsi"/>
          <w:bCs/>
          <w:i/>
          <w:sz w:val="22"/>
        </w:rPr>
        <w:t xml:space="preserve">Cucumber green mosaic </w:t>
      </w:r>
      <w:proofErr w:type="spellStart"/>
      <w:r w:rsidRPr="00EA305A">
        <w:rPr>
          <w:rFonts w:asciiTheme="majorHAnsi" w:hAnsiTheme="majorHAnsi"/>
          <w:bCs/>
          <w:i/>
          <w:sz w:val="22"/>
        </w:rPr>
        <w:t>tobamovirus</w:t>
      </w:r>
      <w:proofErr w:type="spellEnd"/>
      <w:r w:rsidRPr="00EA305A">
        <w:rPr>
          <w:rFonts w:asciiTheme="majorHAnsi" w:hAnsiTheme="majorHAnsi"/>
          <w:bCs/>
          <w:i/>
          <w:sz w:val="22"/>
        </w:rPr>
        <w:t xml:space="preserve"> </w:t>
      </w:r>
      <w:r w:rsidRPr="00EA305A">
        <w:rPr>
          <w:rFonts w:asciiTheme="majorHAnsi" w:hAnsiTheme="majorHAnsi"/>
          <w:bCs/>
          <w:sz w:val="22"/>
        </w:rPr>
        <w:t xml:space="preserve">infecting greenhouse-grown cucumber in Spain’, </w:t>
      </w:r>
      <w:r w:rsidRPr="00EA305A">
        <w:rPr>
          <w:rFonts w:asciiTheme="majorHAnsi" w:hAnsiTheme="majorHAnsi"/>
          <w:bCs/>
          <w:i/>
          <w:sz w:val="22"/>
        </w:rPr>
        <w:t>Plant Disease</w:t>
      </w:r>
      <w:r w:rsidRPr="00EA305A">
        <w:rPr>
          <w:rFonts w:asciiTheme="majorHAnsi" w:hAnsiTheme="majorHAnsi"/>
          <w:bCs/>
          <w:sz w:val="22"/>
        </w:rPr>
        <w:t>, vol.</w:t>
      </w:r>
      <w:r w:rsidRPr="00EA305A">
        <w:rPr>
          <w:rFonts w:asciiTheme="majorHAnsi" w:hAnsiTheme="majorHAnsi"/>
          <w:bCs/>
          <w:i/>
          <w:sz w:val="22"/>
        </w:rPr>
        <w:t xml:space="preserve"> </w:t>
      </w:r>
      <w:r w:rsidRPr="00EA305A">
        <w:rPr>
          <w:rFonts w:asciiTheme="majorHAnsi" w:hAnsiTheme="majorHAnsi"/>
          <w:bCs/>
          <w:sz w:val="22"/>
        </w:rPr>
        <w:t>80, no. 11, pp. 1303.</w:t>
      </w:r>
    </w:p>
    <w:p w14:paraId="38834546" w14:textId="77777777" w:rsidR="008163B6" w:rsidRPr="00EA305A" w:rsidRDefault="00F709BD" w:rsidP="008E43DA">
      <w:pPr>
        <w:spacing w:before="120" w:after="120" w:line="271" w:lineRule="auto"/>
        <w:rPr>
          <w:rFonts w:asciiTheme="majorHAnsi" w:hAnsiTheme="majorHAnsi"/>
        </w:rPr>
      </w:pPr>
      <w:r w:rsidRPr="00EA305A">
        <w:rPr>
          <w:rFonts w:asciiTheme="majorHAnsi" w:hAnsiTheme="majorHAnsi"/>
        </w:rPr>
        <w:t xml:space="preserve">Cho, SY, Kim, YS &amp; Jeon, YH 2015, ‘First report of </w:t>
      </w:r>
      <w:r w:rsidRPr="00EA305A">
        <w:rPr>
          <w:rFonts w:asciiTheme="majorHAnsi" w:hAnsiTheme="majorHAnsi"/>
          <w:i/>
        </w:rPr>
        <w:t>Cucumber green mottle mosaic virus</w:t>
      </w:r>
      <w:r w:rsidRPr="00EA305A">
        <w:rPr>
          <w:rFonts w:asciiTheme="majorHAnsi" w:hAnsiTheme="majorHAnsi"/>
        </w:rPr>
        <w:t xml:space="preserve"> infecting </w:t>
      </w:r>
      <w:proofErr w:type="spellStart"/>
      <w:r w:rsidRPr="00EA305A">
        <w:rPr>
          <w:rFonts w:asciiTheme="majorHAnsi" w:hAnsiTheme="majorHAnsi"/>
          <w:i/>
        </w:rPr>
        <w:t>Heracleum</w:t>
      </w:r>
      <w:proofErr w:type="spellEnd"/>
      <w:r w:rsidRPr="00EA305A">
        <w:rPr>
          <w:rFonts w:asciiTheme="majorHAnsi" w:hAnsiTheme="majorHAnsi"/>
          <w:i/>
        </w:rPr>
        <w:t xml:space="preserve"> </w:t>
      </w:r>
      <w:proofErr w:type="spellStart"/>
      <w:r w:rsidRPr="00EA305A">
        <w:rPr>
          <w:rFonts w:asciiTheme="majorHAnsi" w:hAnsiTheme="majorHAnsi"/>
          <w:i/>
        </w:rPr>
        <w:t>moellendorffii</w:t>
      </w:r>
      <w:proofErr w:type="spellEnd"/>
      <w:r w:rsidRPr="00EA305A">
        <w:rPr>
          <w:rFonts w:asciiTheme="majorHAnsi" w:hAnsiTheme="majorHAnsi"/>
        </w:rPr>
        <w:t xml:space="preserve"> in Korea’, </w:t>
      </w:r>
      <w:r w:rsidRPr="00EA305A">
        <w:rPr>
          <w:rFonts w:asciiTheme="majorHAnsi" w:hAnsiTheme="majorHAnsi"/>
          <w:i/>
        </w:rPr>
        <w:t>Plant disease</w:t>
      </w:r>
      <w:r w:rsidRPr="00EA305A">
        <w:rPr>
          <w:rFonts w:asciiTheme="majorHAnsi" w:hAnsiTheme="majorHAnsi"/>
        </w:rPr>
        <w:t>, no. 99, pp. 897.</w:t>
      </w:r>
    </w:p>
    <w:p w14:paraId="1F055850"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Choi, GS 2001, ‘Occurrence of two </w:t>
      </w:r>
      <w:proofErr w:type="spellStart"/>
      <w:r w:rsidRPr="00EA305A">
        <w:rPr>
          <w:rFonts w:asciiTheme="majorHAnsi" w:hAnsiTheme="majorHAnsi"/>
          <w:bCs/>
          <w:i/>
          <w:sz w:val="22"/>
        </w:rPr>
        <w:t>Tobamovirus</w:t>
      </w:r>
      <w:proofErr w:type="spellEnd"/>
      <w:r w:rsidRPr="00EA305A">
        <w:rPr>
          <w:rFonts w:asciiTheme="majorHAnsi" w:hAnsiTheme="majorHAnsi"/>
          <w:bCs/>
          <w:i/>
          <w:sz w:val="22"/>
        </w:rPr>
        <w:t xml:space="preserve"> </w:t>
      </w:r>
      <w:r w:rsidRPr="00EA305A">
        <w:rPr>
          <w:rFonts w:asciiTheme="majorHAnsi" w:hAnsiTheme="majorHAnsi"/>
          <w:bCs/>
          <w:sz w:val="22"/>
        </w:rPr>
        <w:t xml:space="preserve">diseases in cucurbits and control measures in Korea’, </w:t>
      </w:r>
      <w:r w:rsidRPr="00EA305A">
        <w:rPr>
          <w:rFonts w:asciiTheme="majorHAnsi" w:hAnsiTheme="majorHAnsi"/>
          <w:bCs/>
          <w:i/>
          <w:sz w:val="22"/>
        </w:rPr>
        <w:t>Plant Pathology Journal</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17, no. 5, pp. 243–248.</w:t>
      </w:r>
    </w:p>
    <w:p w14:paraId="43B57A59" w14:textId="065CA5D6" w:rsidR="004A53E1" w:rsidRPr="00EA305A" w:rsidRDefault="004A53E1"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Choudhury</w:t>
      </w:r>
      <w:r w:rsidR="005728CE" w:rsidRPr="00EA305A">
        <w:rPr>
          <w:rFonts w:asciiTheme="majorHAnsi" w:hAnsiTheme="majorHAnsi"/>
          <w:bCs/>
          <w:sz w:val="22"/>
        </w:rPr>
        <w:t>,</w:t>
      </w:r>
      <w:r w:rsidRPr="00EA305A">
        <w:rPr>
          <w:rFonts w:asciiTheme="majorHAnsi" w:hAnsiTheme="majorHAnsi"/>
          <w:bCs/>
          <w:sz w:val="22"/>
        </w:rPr>
        <w:t xml:space="preserve"> MM</w:t>
      </w:r>
      <w:r w:rsidR="005728CE" w:rsidRPr="00EA305A">
        <w:rPr>
          <w:rFonts w:asciiTheme="majorHAnsi" w:hAnsiTheme="majorHAnsi"/>
          <w:bCs/>
          <w:sz w:val="22"/>
        </w:rPr>
        <w:t xml:space="preserve"> &amp;</w:t>
      </w:r>
      <w:r w:rsidRPr="00EA305A">
        <w:rPr>
          <w:rFonts w:asciiTheme="majorHAnsi" w:hAnsiTheme="majorHAnsi"/>
          <w:bCs/>
          <w:sz w:val="22"/>
        </w:rPr>
        <w:t xml:space="preserve"> Lin</w:t>
      </w:r>
      <w:r w:rsidR="005728CE" w:rsidRPr="00EA305A">
        <w:rPr>
          <w:rFonts w:asciiTheme="majorHAnsi" w:hAnsiTheme="majorHAnsi"/>
          <w:bCs/>
          <w:sz w:val="22"/>
        </w:rPr>
        <w:t>,</w:t>
      </w:r>
      <w:r w:rsidRPr="00EA305A">
        <w:rPr>
          <w:rFonts w:asciiTheme="majorHAnsi" w:hAnsiTheme="majorHAnsi"/>
          <w:bCs/>
          <w:sz w:val="22"/>
        </w:rPr>
        <w:t xml:space="preserve"> MT 1982</w:t>
      </w:r>
      <w:r w:rsidR="005728CE" w:rsidRPr="00EA305A">
        <w:rPr>
          <w:rFonts w:asciiTheme="majorHAnsi" w:hAnsiTheme="majorHAnsi"/>
          <w:bCs/>
          <w:sz w:val="22"/>
        </w:rPr>
        <w:t>, ‘</w:t>
      </w:r>
      <w:proofErr w:type="spellStart"/>
      <w:r w:rsidRPr="00EA305A">
        <w:rPr>
          <w:rFonts w:asciiTheme="majorHAnsi" w:hAnsiTheme="majorHAnsi"/>
          <w:bCs/>
          <w:sz w:val="22"/>
        </w:rPr>
        <w:t>Ocorrência</w:t>
      </w:r>
      <w:proofErr w:type="spellEnd"/>
      <w:r w:rsidRPr="00EA305A">
        <w:rPr>
          <w:rFonts w:asciiTheme="majorHAnsi" w:hAnsiTheme="majorHAnsi"/>
          <w:bCs/>
          <w:sz w:val="22"/>
        </w:rPr>
        <w:t xml:space="preserve"> de </w:t>
      </w:r>
      <w:proofErr w:type="spellStart"/>
      <w:r w:rsidRPr="00EA305A">
        <w:rPr>
          <w:rFonts w:asciiTheme="majorHAnsi" w:hAnsiTheme="majorHAnsi"/>
          <w:bCs/>
          <w:sz w:val="22"/>
        </w:rPr>
        <w:t>viroses</w:t>
      </w:r>
      <w:proofErr w:type="spellEnd"/>
      <w:r w:rsidRPr="00EA305A">
        <w:rPr>
          <w:rFonts w:asciiTheme="majorHAnsi" w:hAnsiTheme="majorHAnsi"/>
          <w:bCs/>
          <w:sz w:val="22"/>
        </w:rPr>
        <w:t xml:space="preserve"> </w:t>
      </w:r>
      <w:proofErr w:type="spellStart"/>
      <w:r w:rsidRPr="00EA305A">
        <w:rPr>
          <w:rFonts w:asciiTheme="majorHAnsi" w:hAnsiTheme="majorHAnsi"/>
          <w:bCs/>
          <w:sz w:val="22"/>
        </w:rPr>
        <w:t>em</w:t>
      </w:r>
      <w:proofErr w:type="spellEnd"/>
      <w:r w:rsidRPr="00EA305A">
        <w:rPr>
          <w:rFonts w:asciiTheme="majorHAnsi" w:hAnsiTheme="majorHAnsi"/>
          <w:bCs/>
          <w:sz w:val="22"/>
        </w:rPr>
        <w:t xml:space="preserve"> </w:t>
      </w:r>
      <w:proofErr w:type="spellStart"/>
      <w:r w:rsidRPr="00EA305A">
        <w:rPr>
          <w:rFonts w:asciiTheme="majorHAnsi" w:hAnsiTheme="majorHAnsi"/>
          <w:bCs/>
          <w:sz w:val="22"/>
        </w:rPr>
        <w:t>plantas</w:t>
      </w:r>
      <w:proofErr w:type="spellEnd"/>
      <w:r w:rsidRPr="00EA305A">
        <w:rPr>
          <w:rFonts w:asciiTheme="majorHAnsi" w:hAnsiTheme="majorHAnsi"/>
          <w:bCs/>
          <w:sz w:val="22"/>
        </w:rPr>
        <w:t xml:space="preserve"> de </w:t>
      </w:r>
      <w:proofErr w:type="spellStart"/>
      <w:r w:rsidRPr="00EA305A">
        <w:rPr>
          <w:rFonts w:asciiTheme="majorHAnsi" w:hAnsiTheme="majorHAnsi"/>
          <w:bCs/>
          <w:sz w:val="22"/>
        </w:rPr>
        <w:t>melão</w:t>
      </w:r>
      <w:proofErr w:type="spellEnd"/>
      <w:r w:rsidRPr="00EA305A">
        <w:rPr>
          <w:rFonts w:asciiTheme="majorHAnsi" w:hAnsiTheme="majorHAnsi"/>
          <w:bCs/>
          <w:sz w:val="22"/>
        </w:rPr>
        <w:t xml:space="preserve"> e </w:t>
      </w:r>
      <w:proofErr w:type="spellStart"/>
      <w:r w:rsidRPr="00EA305A">
        <w:rPr>
          <w:rFonts w:asciiTheme="majorHAnsi" w:hAnsiTheme="majorHAnsi"/>
          <w:bCs/>
          <w:sz w:val="22"/>
        </w:rPr>
        <w:t>abobrinha</w:t>
      </w:r>
      <w:proofErr w:type="spellEnd"/>
      <w:r w:rsidRPr="00EA305A">
        <w:rPr>
          <w:rFonts w:asciiTheme="majorHAnsi" w:hAnsiTheme="majorHAnsi"/>
          <w:bCs/>
          <w:sz w:val="22"/>
        </w:rPr>
        <w:t xml:space="preserve"> </w:t>
      </w:r>
      <w:proofErr w:type="spellStart"/>
      <w:r w:rsidRPr="00EA305A">
        <w:rPr>
          <w:rFonts w:asciiTheme="majorHAnsi" w:hAnsiTheme="majorHAnsi"/>
          <w:bCs/>
          <w:sz w:val="22"/>
        </w:rPr>
        <w:t>na</w:t>
      </w:r>
      <w:proofErr w:type="spellEnd"/>
      <w:r w:rsidRPr="00EA305A">
        <w:rPr>
          <w:rFonts w:asciiTheme="majorHAnsi" w:hAnsiTheme="majorHAnsi"/>
          <w:bCs/>
          <w:sz w:val="22"/>
        </w:rPr>
        <w:t xml:space="preserve"> </w:t>
      </w:r>
      <w:proofErr w:type="spellStart"/>
      <w:r w:rsidRPr="00EA305A">
        <w:rPr>
          <w:rFonts w:asciiTheme="majorHAnsi" w:hAnsiTheme="majorHAnsi"/>
          <w:bCs/>
          <w:sz w:val="22"/>
        </w:rPr>
        <w:t>região</w:t>
      </w:r>
      <w:proofErr w:type="spellEnd"/>
      <w:r w:rsidRPr="00EA305A">
        <w:rPr>
          <w:rFonts w:asciiTheme="majorHAnsi" w:hAnsiTheme="majorHAnsi"/>
          <w:bCs/>
          <w:sz w:val="22"/>
        </w:rPr>
        <w:t xml:space="preserve"> do sub-</w:t>
      </w:r>
      <w:proofErr w:type="spellStart"/>
      <w:r w:rsidRPr="00EA305A">
        <w:rPr>
          <w:rFonts w:asciiTheme="majorHAnsi" w:hAnsiTheme="majorHAnsi"/>
          <w:bCs/>
          <w:sz w:val="22"/>
        </w:rPr>
        <w:t>médio</w:t>
      </w:r>
      <w:proofErr w:type="spellEnd"/>
      <w:r w:rsidRPr="00EA305A">
        <w:rPr>
          <w:rFonts w:asciiTheme="majorHAnsi" w:hAnsiTheme="majorHAnsi"/>
          <w:bCs/>
          <w:sz w:val="22"/>
        </w:rPr>
        <w:t xml:space="preserve"> São Francisco</w:t>
      </w:r>
      <w:r w:rsidR="005728CE" w:rsidRPr="00EA305A">
        <w:rPr>
          <w:rFonts w:asciiTheme="majorHAnsi" w:hAnsiTheme="majorHAnsi"/>
          <w:bCs/>
          <w:sz w:val="22"/>
        </w:rPr>
        <w:t>’</w:t>
      </w:r>
      <w:r w:rsidR="007A410C" w:rsidRPr="00EA305A">
        <w:rPr>
          <w:rFonts w:asciiTheme="majorHAnsi" w:hAnsiTheme="majorHAnsi"/>
          <w:bCs/>
          <w:sz w:val="22"/>
        </w:rPr>
        <w:t>,</w:t>
      </w:r>
      <w:r w:rsidRPr="00EA305A">
        <w:rPr>
          <w:rFonts w:asciiTheme="majorHAnsi" w:hAnsiTheme="majorHAnsi"/>
          <w:bCs/>
          <w:sz w:val="22"/>
        </w:rPr>
        <w:t xml:space="preserve"> </w:t>
      </w:r>
      <w:r w:rsidRPr="00EA305A">
        <w:rPr>
          <w:rFonts w:asciiTheme="majorHAnsi" w:hAnsiTheme="majorHAnsi"/>
          <w:bCs/>
          <w:i/>
          <w:sz w:val="22"/>
        </w:rPr>
        <w:t xml:space="preserve">EMBRAPA </w:t>
      </w:r>
      <w:proofErr w:type="spellStart"/>
      <w:r w:rsidRPr="00EA305A">
        <w:rPr>
          <w:rFonts w:asciiTheme="majorHAnsi" w:hAnsiTheme="majorHAnsi"/>
          <w:bCs/>
          <w:i/>
          <w:sz w:val="22"/>
        </w:rPr>
        <w:t>Pesquisa</w:t>
      </w:r>
      <w:proofErr w:type="spellEnd"/>
      <w:r w:rsidRPr="00EA305A">
        <w:rPr>
          <w:rFonts w:asciiTheme="majorHAnsi" w:hAnsiTheme="majorHAnsi"/>
          <w:bCs/>
          <w:i/>
          <w:sz w:val="22"/>
        </w:rPr>
        <w:t xml:space="preserve"> am </w:t>
      </w:r>
      <w:proofErr w:type="spellStart"/>
      <w:r w:rsidRPr="00EA305A">
        <w:rPr>
          <w:rFonts w:asciiTheme="majorHAnsi" w:hAnsiTheme="majorHAnsi"/>
          <w:bCs/>
          <w:i/>
          <w:sz w:val="22"/>
        </w:rPr>
        <w:t>Andamento</w:t>
      </w:r>
      <w:proofErr w:type="spellEnd"/>
      <w:r w:rsidR="007A410C" w:rsidRPr="00EA305A">
        <w:rPr>
          <w:rFonts w:asciiTheme="majorHAnsi" w:hAnsiTheme="majorHAnsi"/>
          <w:bCs/>
          <w:sz w:val="22"/>
        </w:rPr>
        <w:t>,</w:t>
      </w:r>
      <w:r w:rsidRPr="00EA305A">
        <w:rPr>
          <w:rFonts w:asciiTheme="majorHAnsi" w:hAnsiTheme="majorHAnsi"/>
          <w:bCs/>
          <w:sz w:val="22"/>
        </w:rPr>
        <w:t xml:space="preserve"> </w:t>
      </w:r>
      <w:r w:rsidR="005728CE" w:rsidRPr="00EA305A">
        <w:rPr>
          <w:rFonts w:asciiTheme="majorHAnsi" w:hAnsiTheme="majorHAnsi"/>
          <w:bCs/>
          <w:sz w:val="22"/>
        </w:rPr>
        <w:t xml:space="preserve">vol. </w:t>
      </w:r>
      <w:r w:rsidRPr="00EA305A">
        <w:rPr>
          <w:rFonts w:asciiTheme="majorHAnsi" w:hAnsiTheme="majorHAnsi"/>
          <w:bCs/>
          <w:sz w:val="22"/>
        </w:rPr>
        <w:t>14</w:t>
      </w:r>
      <w:r w:rsidR="005728CE" w:rsidRPr="00EA305A">
        <w:rPr>
          <w:rFonts w:asciiTheme="majorHAnsi" w:hAnsiTheme="majorHAnsi"/>
          <w:bCs/>
          <w:sz w:val="22"/>
        </w:rPr>
        <w:t xml:space="preserve">, no. </w:t>
      </w:r>
      <w:r w:rsidRPr="00EA305A">
        <w:rPr>
          <w:rFonts w:asciiTheme="majorHAnsi" w:hAnsiTheme="majorHAnsi"/>
          <w:bCs/>
          <w:sz w:val="22"/>
        </w:rPr>
        <w:t>4</w:t>
      </w:r>
      <w:r w:rsidR="005728CE" w:rsidRPr="00EA305A">
        <w:rPr>
          <w:rFonts w:asciiTheme="majorHAnsi" w:hAnsiTheme="majorHAnsi"/>
          <w:bCs/>
          <w:sz w:val="22"/>
        </w:rPr>
        <w:t>, pp.</w:t>
      </w:r>
      <w:r w:rsidRPr="00EA305A">
        <w:rPr>
          <w:rFonts w:asciiTheme="majorHAnsi" w:hAnsiTheme="majorHAnsi"/>
          <w:bCs/>
          <w:sz w:val="22"/>
        </w:rPr>
        <w:t xml:space="preserve"> 1–2.</w:t>
      </w:r>
    </w:p>
    <w:p w14:paraId="2B19AC49" w14:textId="5D0802BE"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Daryono</w:t>
      </w:r>
      <w:proofErr w:type="spellEnd"/>
      <w:r w:rsidRPr="00EA305A">
        <w:rPr>
          <w:rFonts w:asciiTheme="majorHAnsi" w:hAnsiTheme="majorHAnsi"/>
          <w:bCs/>
          <w:sz w:val="22"/>
        </w:rPr>
        <w:t xml:space="preserve">, BS, Joko, T, Liana, A &amp; </w:t>
      </w:r>
      <w:proofErr w:type="spellStart"/>
      <w:r w:rsidRPr="00EA305A">
        <w:rPr>
          <w:rFonts w:asciiTheme="majorHAnsi" w:hAnsiTheme="majorHAnsi"/>
          <w:bCs/>
          <w:sz w:val="22"/>
        </w:rPr>
        <w:t>Saraswati</w:t>
      </w:r>
      <w:proofErr w:type="spellEnd"/>
      <w:r w:rsidRPr="00EA305A">
        <w:rPr>
          <w:rFonts w:asciiTheme="majorHAnsi" w:hAnsiTheme="majorHAnsi"/>
          <w:bCs/>
          <w:sz w:val="22"/>
        </w:rPr>
        <w:t xml:space="preserve">, U 2014, ‘Biological and molecular characterization of a new isolate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(CGMMV) in Indonesia’, available at </w:t>
      </w:r>
      <w:r w:rsidR="00956054" w:rsidRPr="00956054">
        <w:rPr>
          <w:rFonts w:asciiTheme="majorHAnsi" w:hAnsiTheme="majorHAnsi"/>
          <w:sz w:val="22"/>
        </w:rPr>
        <w:t>biologi.ugm.ac.id/lib/Full%20paper%20CGMMV%20Dr.%20Budi%20dkk</w:t>
      </w:r>
      <w:proofErr w:type="gramStart"/>
      <w:r w:rsidR="00956054" w:rsidRPr="00956054">
        <w:rPr>
          <w:rFonts w:asciiTheme="majorHAnsi" w:hAnsiTheme="majorHAnsi"/>
          <w:sz w:val="22"/>
        </w:rPr>
        <w:t>..pdf</w:t>
      </w:r>
      <w:proofErr w:type="gramEnd"/>
      <w:r w:rsidR="00956054">
        <w:rPr>
          <w:rFonts w:asciiTheme="majorHAnsi" w:hAnsiTheme="majorHAnsi"/>
          <w:sz w:val="22"/>
        </w:rPr>
        <w:t>.</w:t>
      </w:r>
    </w:p>
    <w:p w14:paraId="12F34157" w14:textId="77777777" w:rsidR="008163B6" w:rsidRPr="00EA305A" w:rsidRDefault="00F709BD" w:rsidP="008E43DA">
      <w:pPr>
        <w:autoSpaceDE w:val="0"/>
        <w:autoSpaceDN w:val="0"/>
        <w:spacing w:before="120" w:after="120" w:line="271" w:lineRule="auto"/>
        <w:rPr>
          <w:rFonts w:asciiTheme="majorHAnsi" w:hAnsiTheme="majorHAnsi"/>
        </w:rPr>
      </w:pPr>
      <w:r w:rsidRPr="00EA305A">
        <w:rPr>
          <w:rFonts w:asciiTheme="majorHAnsi" w:hAnsiTheme="majorHAnsi"/>
        </w:rPr>
        <w:t xml:space="preserve">De Boer, SH, Elphinstone, JG &amp; Saddler, GS 2007, ‘Molecular detection strategies for </w:t>
      </w:r>
      <w:proofErr w:type="spellStart"/>
      <w:r w:rsidRPr="00EA305A">
        <w:rPr>
          <w:rFonts w:asciiTheme="majorHAnsi" w:hAnsiTheme="majorHAnsi"/>
        </w:rPr>
        <w:t>phytopathogenic</w:t>
      </w:r>
      <w:proofErr w:type="spellEnd"/>
      <w:r w:rsidRPr="00EA305A">
        <w:rPr>
          <w:rFonts w:asciiTheme="majorHAnsi" w:hAnsiTheme="majorHAnsi"/>
        </w:rPr>
        <w:t xml:space="preserve"> bacteria’, In: </w:t>
      </w:r>
      <w:proofErr w:type="spellStart"/>
      <w:r w:rsidRPr="00EA305A">
        <w:rPr>
          <w:rFonts w:asciiTheme="majorHAnsi" w:hAnsiTheme="majorHAnsi"/>
        </w:rPr>
        <w:t>Punja</w:t>
      </w:r>
      <w:proofErr w:type="spellEnd"/>
      <w:r w:rsidRPr="00EA305A">
        <w:rPr>
          <w:rFonts w:asciiTheme="majorHAnsi" w:hAnsiTheme="majorHAnsi"/>
        </w:rPr>
        <w:t xml:space="preserve"> ZK, De Boer SH, </w:t>
      </w:r>
      <w:proofErr w:type="spellStart"/>
      <w:r w:rsidRPr="00EA305A">
        <w:rPr>
          <w:rFonts w:asciiTheme="majorHAnsi" w:hAnsiTheme="majorHAnsi"/>
        </w:rPr>
        <w:t>Sanfacon</w:t>
      </w:r>
      <w:proofErr w:type="spellEnd"/>
      <w:r w:rsidRPr="00EA305A">
        <w:rPr>
          <w:rFonts w:asciiTheme="majorHAnsi" w:hAnsiTheme="majorHAnsi"/>
        </w:rPr>
        <w:t xml:space="preserve"> H,</w:t>
      </w:r>
      <w:r w:rsidRPr="00EA305A">
        <w:rPr>
          <w:rFonts w:asciiTheme="majorHAnsi" w:hAnsiTheme="majorHAnsi"/>
          <w:i/>
          <w:iCs/>
        </w:rPr>
        <w:t xml:space="preserve"> Biotechnology and Plant Disease Management</w:t>
      </w:r>
      <w:r w:rsidRPr="00EA305A">
        <w:rPr>
          <w:rFonts w:asciiTheme="majorHAnsi" w:hAnsiTheme="majorHAnsi"/>
        </w:rPr>
        <w:t>, CABI, Wallingford, pp. 165–194.</w:t>
      </w:r>
    </w:p>
    <w:p w14:paraId="191E71C3" w14:textId="77777777" w:rsidR="008163B6" w:rsidRPr="00EA305A" w:rsidRDefault="00F709BD" w:rsidP="008E43DA">
      <w:pPr>
        <w:autoSpaceDE w:val="0"/>
        <w:autoSpaceDN w:val="0"/>
        <w:adjustRightInd w:val="0"/>
        <w:spacing w:before="120" w:after="120" w:line="271" w:lineRule="auto"/>
        <w:rPr>
          <w:rFonts w:asciiTheme="majorHAnsi" w:hAnsiTheme="majorHAnsi"/>
        </w:rPr>
      </w:pPr>
      <w:proofErr w:type="spellStart"/>
      <w:r w:rsidRPr="00EA305A">
        <w:rPr>
          <w:rFonts w:asciiTheme="majorHAnsi" w:hAnsiTheme="majorHAnsi"/>
        </w:rPr>
        <w:t>Dehnen</w:t>
      </w:r>
      <w:proofErr w:type="spellEnd"/>
      <w:r w:rsidRPr="00EA305A">
        <w:rPr>
          <w:rFonts w:asciiTheme="majorHAnsi" w:hAnsiTheme="majorHAnsi"/>
        </w:rPr>
        <w:t xml:space="preserve">-Schmutz, K, </w:t>
      </w:r>
      <w:proofErr w:type="spellStart"/>
      <w:r w:rsidRPr="00EA305A">
        <w:rPr>
          <w:rFonts w:asciiTheme="majorHAnsi" w:hAnsiTheme="majorHAnsi"/>
        </w:rPr>
        <w:t>Holdenrieder</w:t>
      </w:r>
      <w:proofErr w:type="spellEnd"/>
      <w:r w:rsidRPr="00EA305A">
        <w:rPr>
          <w:rFonts w:asciiTheme="majorHAnsi" w:hAnsiTheme="majorHAnsi"/>
        </w:rPr>
        <w:t xml:space="preserve">, O, </w:t>
      </w:r>
      <w:proofErr w:type="spellStart"/>
      <w:r w:rsidRPr="00EA305A">
        <w:rPr>
          <w:rFonts w:asciiTheme="majorHAnsi" w:hAnsiTheme="majorHAnsi"/>
        </w:rPr>
        <w:t>Jeger</w:t>
      </w:r>
      <w:proofErr w:type="spellEnd"/>
      <w:r w:rsidRPr="00EA305A">
        <w:rPr>
          <w:rFonts w:asciiTheme="majorHAnsi" w:hAnsiTheme="majorHAnsi"/>
        </w:rPr>
        <w:t xml:space="preserve">, MJ &amp; </w:t>
      </w:r>
      <w:proofErr w:type="spellStart"/>
      <w:r w:rsidRPr="00EA305A">
        <w:rPr>
          <w:rFonts w:asciiTheme="majorHAnsi" w:hAnsiTheme="majorHAnsi"/>
        </w:rPr>
        <w:t>Pautasso</w:t>
      </w:r>
      <w:proofErr w:type="spellEnd"/>
      <w:r w:rsidRPr="00EA305A">
        <w:rPr>
          <w:rFonts w:asciiTheme="majorHAnsi" w:hAnsiTheme="majorHAnsi"/>
        </w:rPr>
        <w:t xml:space="preserve">, M 2010, ‘Structural change in the international horticultural industry: some implications for plant health’, </w:t>
      </w:r>
      <w:r w:rsidRPr="00EA305A">
        <w:rPr>
          <w:rFonts w:asciiTheme="majorHAnsi" w:hAnsiTheme="majorHAnsi"/>
          <w:i/>
        </w:rPr>
        <w:t xml:space="preserve">Scientia </w:t>
      </w:r>
      <w:proofErr w:type="spellStart"/>
      <w:r w:rsidRPr="00EA305A">
        <w:rPr>
          <w:rFonts w:asciiTheme="majorHAnsi" w:hAnsiTheme="majorHAnsi"/>
          <w:i/>
        </w:rPr>
        <w:t>Horticulturae</w:t>
      </w:r>
      <w:proofErr w:type="spellEnd"/>
      <w:r w:rsidRPr="00EA305A">
        <w:rPr>
          <w:rFonts w:asciiTheme="majorHAnsi" w:hAnsiTheme="majorHAnsi"/>
        </w:rPr>
        <w:t>, vol. 125, pp. 1–15.</w:t>
      </w:r>
    </w:p>
    <w:p w14:paraId="34C07DD0" w14:textId="10147575" w:rsidR="008163B6" w:rsidRPr="00EA305A" w:rsidRDefault="00F709BD" w:rsidP="008E43DA">
      <w:pPr>
        <w:spacing w:before="120" w:after="120" w:line="271" w:lineRule="auto"/>
        <w:rPr>
          <w:rFonts w:asciiTheme="majorHAnsi" w:hAnsiTheme="majorHAnsi"/>
          <w:bCs/>
        </w:rPr>
      </w:pPr>
      <w:proofErr w:type="spellStart"/>
      <w:r w:rsidRPr="00EA305A">
        <w:rPr>
          <w:rFonts w:asciiTheme="majorHAnsi" w:hAnsiTheme="majorHAnsi"/>
          <w:bCs/>
        </w:rPr>
        <w:t>Dorst</w:t>
      </w:r>
      <w:proofErr w:type="spellEnd"/>
      <w:r w:rsidRPr="00EA305A">
        <w:rPr>
          <w:rFonts w:asciiTheme="majorHAnsi" w:hAnsiTheme="majorHAnsi"/>
          <w:bCs/>
        </w:rPr>
        <w:t xml:space="preserve">, HJMV 1988, ‘Surface water as source in the spread of </w:t>
      </w:r>
      <w:r w:rsidRPr="00EA305A">
        <w:rPr>
          <w:rFonts w:asciiTheme="majorHAnsi" w:hAnsiTheme="majorHAnsi"/>
          <w:bCs/>
          <w:i/>
        </w:rPr>
        <w:t>Cucumber green mottle mosaic virus</w:t>
      </w:r>
      <w:r w:rsidRPr="00EA305A">
        <w:rPr>
          <w:rFonts w:asciiTheme="majorHAnsi" w:hAnsiTheme="majorHAnsi"/>
          <w:bCs/>
        </w:rPr>
        <w:t xml:space="preserve">’, </w:t>
      </w:r>
      <w:r w:rsidRPr="00EA305A">
        <w:rPr>
          <w:rFonts w:asciiTheme="majorHAnsi" w:hAnsiTheme="majorHAnsi"/>
          <w:bCs/>
          <w:i/>
        </w:rPr>
        <w:t>Netherlands Journal of Agricultural Science</w:t>
      </w:r>
      <w:r w:rsidRPr="00EA305A">
        <w:rPr>
          <w:rFonts w:asciiTheme="majorHAnsi" w:hAnsiTheme="majorHAnsi"/>
          <w:bCs/>
        </w:rPr>
        <w:t>, vol. 36, pp. 291</w:t>
      </w:r>
      <w:r w:rsidR="00956054">
        <w:rPr>
          <w:rFonts w:asciiTheme="majorHAnsi" w:hAnsiTheme="majorHAnsi"/>
          <w:bCs/>
        </w:rPr>
        <w:t>–</w:t>
      </w:r>
      <w:r w:rsidRPr="00EA305A">
        <w:rPr>
          <w:rFonts w:asciiTheme="majorHAnsi" w:hAnsiTheme="majorHAnsi"/>
          <w:bCs/>
        </w:rPr>
        <w:t>299.</w:t>
      </w:r>
    </w:p>
    <w:p w14:paraId="57A76615" w14:textId="77777777" w:rsidR="008163B6" w:rsidRPr="00EA305A" w:rsidRDefault="00F709BD" w:rsidP="008E43DA">
      <w:pPr>
        <w:autoSpaceDE w:val="0"/>
        <w:autoSpaceDN w:val="0"/>
        <w:adjustRightInd w:val="0"/>
        <w:spacing w:before="120" w:after="120" w:line="271" w:lineRule="auto"/>
        <w:rPr>
          <w:rFonts w:asciiTheme="majorHAnsi" w:eastAsia="Calibri" w:hAnsiTheme="majorHAnsi"/>
        </w:rPr>
      </w:pPr>
      <w:r w:rsidRPr="00EA305A">
        <w:rPr>
          <w:rFonts w:asciiTheme="majorHAnsi" w:eastAsia="Calibri" w:hAnsiTheme="majorHAnsi"/>
        </w:rPr>
        <w:t>Elmer, WH</w:t>
      </w:r>
      <w:r w:rsidRPr="00EA305A">
        <w:rPr>
          <w:rFonts w:asciiTheme="majorHAnsi" w:hAnsiTheme="majorHAnsi"/>
        </w:rPr>
        <w:t xml:space="preserve"> </w:t>
      </w:r>
      <w:r w:rsidRPr="00EA305A">
        <w:rPr>
          <w:rFonts w:asciiTheme="majorHAnsi" w:eastAsia="Calibri" w:hAnsiTheme="majorHAnsi"/>
        </w:rPr>
        <w:t>2001</w:t>
      </w:r>
      <w:r w:rsidRPr="00EA305A">
        <w:rPr>
          <w:rFonts w:asciiTheme="majorHAnsi" w:hAnsiTheme="majorHAnsi"/>
        </w:rPr>
        <w:t>, ‘</w:t>
      </w:r>
      <w:r w:rsidRPr="00EA305A">
        <w:rPr>
          <w:rFonts w:asciiTheme="majorHAnsi" w:eastAsia="Calibri" w:hAnsiTheme="majorHAnsi"/>
        </w:rPr>
        <w:t>Seeds as vehicles for pathogen importation</w:t>
      </w:r>
      <w:r w:rsidRPr="00EA305A">
        <w:rPr>
          <w:rFonts w:asciiTheme="majorHAnsi" w:hAnsiTheme="majorHAnsi"/>
        </w:rPr>
        <w:t xml:space="preserve">’, </w:t>
      </w:r>
      <w:r w:rsidRPr="00EA305A">
        <w:rPr>
          <w:rFonts w:asciiTheme="majorHAnsi" w:eastAsia="Calibri" w:hAnsiTheme="majorHAnsi"/>
          <w:i/>
        </w:rPr>
        <w:t>Biological Invasions</w:t>
      </w:r>
      <w:r w:rsidRPr="00EA305A">
        <w:rPr>
          <w:rFonts w:asciiTheme="majorHAnsi" w:eastAsia="Calibri" w:hAnsiTheme="majorHAnsi"/>
        </w:rPr>
        <w:t xml:space="preserve">, </w:t>
      </w:r>
      <w:r w:rsidRPr="00EA305A">
        <w:rPr>
          <w:rFonts w:asciiTheme="majorHAnsi" w:hAnsiTheme="majorHAnsi"/>
        </w:rPr>
        <w:t xml:space="preserve">vol. </w:t>
      </w:r>
      <w:r w:rsidRPr="00EA305A">
        <w:rPr>
          <w:rFonts w:asciiTheme="majorHAnsi" w:eastAsia="Calibri" w:hAnsiTheme="majorHAnsi"/>
        </w:rPr>
        <w:t>3</w:t>
      </w:r>
      <w:r w:rsidRPr="00EA305A">
        <w:rPr>
          <w:rFonts w:asciiTheme="majorHAnsi" w:hAnsiTheme="majorHAnsi"/>
        </w:rPr>
        <w:t xml:space="preserve">, pp </w:t>
      </w:r>
      <w:r w:rsidRPr="00EA305A">
        <w:rPr>
          <w:rFonts w:asciiTheme="majorHAnsi" w:eastAsia="Calibri" w:hAnsiTheme="majorHAnsi"/>
        </w:rPr>
        <w:t>263</w:t>
      </w:r>
      <w:r w:rsidRPr="00EA305A">
        <w:rPr>
          <w:rFonts w:asciiTheme="majorHAnsi" w:hAnsiTheme="majorHAnsi"/>
        </w:rPr>
        <w:t>–</w:t>
      </w:r>
      <w:r w:rsidRPr="00EA305A">
        <w:rPr>
          <w:rFonts w:asciiTheme="majorHAnsi" w:eastAsia="Calibri" w:hAnsiTheme="majorHAnsi"/>
        </w:rPr>
        <w:t>271.</w:t>
      </w:r>
    </w:p>
    <w:p w14:paraId="37935C5C" w14:textId="77777777" w:rsidR="003E619C" w:rsidRPr="00EA305A" w:rsidRDefault="003E619C" w:rsidP="003E619C">
      <w:pPr>
        <w:autoSpaceDE w:val="0"/>
        <w:autoSpaceDN w:val="0"/>
        <w:adjustRightInd w:val="0"/>
        <w:spacing w:before="120" w:after="120" w:line="271" w:lineRule="auto"/>
        <w:rPr>
          <w:rFonts w:asciiTheme="majorHAnsi" w:hAnsiTheme="majorHAnsi"/>
        </w:rPr>
      </w:pPr>
      <w:r w:rsidRPr="00EA305A">
        <w:rPr>
          <w:rFonts w:asciiTheme="majorHAnsi" w:hAnsiTheme="majorHAnsi"/>
        </w:rPr>
        <w:t xml:space="preserve">FAO (Food and Agricultural Organization of the United Nations) </w:t>
      </w:r>
      <w:r>
        <w:rPr>
          <w:rFonts w:asciiTheme="majorHAnsi" w:hAnsiTheme="majorHAnsi"/>
        </w:rPr>
        <w:t>1997</w:t>
      </w:r>
      <w:r w:rsidRPr="00EA305A">
        <w:rPr>
          <w:rFonts w:asciiTheme="majorHAnsi" w:hAnsiTheme="majorHAnsi"/>
        </w:rPr>
        <w:t>, ‘</w:t>
      </w:r>
      <w:r w:rsidRPr="00EA305A">
        <w:rPr>
          <w:rFonts w:asciiTheme="majorHAnsi" w:hAnsiTheme="majorHAnsi"/>
          <w:i/>
        </w:rPr>
        <w:t>International Plant Protection Convention (1997)</w:t>
      </w:r>
      <w:r w:rsidRPr="00EA305A">
        <w:rPr>
          <w:rFonts w:asciiTheme="majorHAnsi" w:hAnsiTheme="majorHAnsi"/>
        </w:rPr>
        <w:t>’, Secretariat of the International Plant Protection Convention, Rome, Italy.</w:t>
      </w:r>
    </w:p>
    <w:p w14:paraId="4C042572" w14:textId="6010129A" w:rsidR="008163B6" w:rsidRPr="00EA305A" w:rsidRDefault="00F709BD" w:rsidP="008E43DA">
      <w:pPr>
        <w:autoSpaceDE w:val="0"/>
        <w:autoSpaceDN w:val="0"/>
        <w:adjustRightInd w:val="0"/>
        <w:spacing w:before="120" w:after="120" w:line="271" w:lineRule="auto"/>
        <w:rPr>
          <w:rFonts w:asciiTheme="majorHAnsi" w:hAnsiTheme="majorHAnsi"/>
        </w:rPr>
      </w:pPr>
      <w:r w:rsidRPr="00EA305A">
        <w:rPr>
          <w:rFonts w:asciiTheme="majorHAnsi" w:hAnsiTheme="majorHAnsi"/>
        </w:rPr>
        <w:t>FAO (Food and Agricultural Organization of the United Nations) 20</w:t>
      </w:r>
      <w:r w:rsidR="00793E74">
        <w:rPr>
          <w:rFonts w:asciiTheme="majorHAnsi" w:hAnsiTheme="majorHAnsi"/>
        </w:rPr>
        <w:t>1</w:t>
      </w:r>
      <w:r w:rsidR="00BA0653">
        <w:rPr>
          <w:rFonts w:asciiTheme="majorHAnsi" w:hAnsiTheme="majorHAnsi"/>
        </w:rPr>
        <w:t>6a</w:t>
      </w:r>
      <w:r w:rsidRPr="00EA305A">
        <w:rPr>
          <w:rFonts w:asciiTheme="majorHAnsi" w:hAnsiTheme="majorHAnsi"/>
        </w:rPr>
        <w:t>, ‘</w:t>
      </w:r>
      <w:r w:rsidRPr="00EA305A">
        <w:rPr>
          <w:rFonts w:asciiTheme="majorHAnsi" w:hAnsiTheme="majorHAnsi"/>
          <w:i/>
        </w:rPr>
        <w:t xml:space="preserve">International Standards for Phytosanitary Measures (ISPM) No. 2: Framework for pest risk </w:t>
      </w:r>
      <w:proofErr w:type="gramStart"/>
      <w:r w:rsidRPr="00EA305A">
        <w:rPr>
          <w:rFonts w:asciiTheme="majorHAnsi" w:hAnsiTheme="majorHAnsi"/>
          <w:i/>
        </w:rPr>
        <w:t>analysis</w:t>
      </w:r>
      <w:r w:rsidRPr="00EA305A">
        <w:rPr>
          <w:rFonts w:asciiTheme="majorHAnsi" w:hAnsiTheme="majorHAnsi"/>
        </w:rPr>
        <w:t>’</w:t>
      </w:r>
      <w:proofErr w:type="gramEnd"/>
      <w:r w:rsidRPr="00EA305A">
        <w:rPr>
          <w:rFonts w:asciiTheme="majorHAnsi" w:hAnsiTheme="majorHAnsi"/>
        </w:rPr>
        <w:t xml:space="preserve">, Secretariat of the International Plant Protection Convention, Rome, Italy. </w:t>
      </w:r>
    </w:p>
    <w:p w14:paraId="451BCBBF" w14:textId="7C39D6B4" w:rsidR="008163B6" w:rsidRPr="00EA305A" w:rsidRDefault="00F709BD" w:rsidP="008E43DA">
      <w:pPr>
        <w:autoSpaceDE w:val="0"/>
        <w:autoSpaceDN w:val="0"/>
        <w:adjustRightInd w:val="0"/>
        <w:spacing w:before="120" w:after="120" w:line="271" w:lineRule="auto"/>
        <w:rPr>
          <w:rFonts w:asciiTheme="majorHAnsi" w:hAnsiTheme="majorHAnsi"/>
        </w:rPr>
      </w:pPr>
      <w:r w:rsidRPr="00EA305A">
        <w:rPr>
          <w:rFonts w:asciiTheme="majorHAnsi" w:hAnsiTheme="majorHAnsi"/>
        </w:rPr>
        <w:t>FAO (Food and Agricultural Organization of the United Nations) 201</w:t>
      </w:r>
      <w:r w:rsidR="00BA0653">
        <w:rPr>
          <w:rFonts w:asciiTheme="majorHAnsi" w:hAnsiTheme="majorHAnsi"/>
        </w:rPr>
        <w:t>6b</w:t>
      </w:r>
      <w:r w:rsidRPr="00EA305A">
        <w:rPr>
          <w:rFonts w:asciiTheme="majorHAnsi" w:hAnsiTheme="majorHAnsi"/>
        </w:rPr>
        <w:t>, ‘</w:t>
      </w:r>
      <w:r w:rsidRPr="00EA305A">
        <w:rPr>
          <w:rFonts w:asciiTheme="majorHAnsi" w:hAnsiTheme="majorHAnsi"/>
          <w:i/>
        </w:rPr>
        <w:t>International Standards for Phytosanitary Measures (ISPM) No. 11: Pest risk analysis for quarantine pests including analysis of environmental risks and living modified organisms</w:t>
      </w:r>
      <w:r w:rsidRPr="00EA305A">
        <w:rPr>
          <w:rFonts w:asciiTheme="majorHAnsi" w:hAnsiTheme="majorHAnsi"/>
        </w:rPr>
        <w:t>’, Secretariat of the International Plant Protection Convention, Rome, Italy.</w:t>
      </w:r>
    </w:p>
    <w:p w14:paraId="56642F29" w14:textId="4F8FE22C" w:rsidR="008163B6" w:rsidRPr="00EA305A" w:rsidRDefault="00F709BD" w:rsidP="008E43DA">
      <w:pPr>
        <w:autoSpaceDE w:val="0"/>
        <w:autoSpaceDN w:val="0"/>
        <w:adjustRightInd w:val="0"/>
        <w:spacing w:before="120" w:after="120" w:line="271" w:lineRule="auto"/>
        <w:rPr>
          <w:rFonts w:asciiTheme="majorHAnsi" w:hAnsiTheme="majorHAnsi"/>
        </w:rPr>
      </w:pPr>
      <w:r w:rsidRPr="00EA305A">
        <w:rPr>
          <w:rFonts w:asciiTheme="majorHAnsi" w:hAnsiTheme="majorHAnsi"/>
        </w:rPr>
        <w:lastRenderedPageBreak/>
        <w:t>FAO (Food and Agricultural Organization of the United Nations) 201</w:t>
      </w:r>
      <w:r w:rsidR="00BA0653">
        <w:rPr>
          <w:rFonts w:asciiTheme="majorHAnsi" w:hAnsiTheme="majorHAnsi"/>
        </w:rPr>
        <w:t>6c</w:t>
      </w:r>
      <w:r w:rsidRPr="00EA305A">
        <w:rPr>
          <w:rFonts w:asciiTheme="majorHAnsi" w:hAnsiTheme="majorHAnsi"/>
        </w:rPr>
        <w:t>, ‘</w:t>
      </w:r>
      <w:r w:rsidRPr="00EA305A">
        <w:rPr>
          <w:rFonts w:asciiTheme="majorHAnsi" w:hAnsiTheme="majorHAnsi"/>
          <w:i/>
        </w:rPr>
        <w:t>International Standards for Phytosanitary Measures (ISPM) No. 5: Glossary of phytosanitary terms</w:t>
      </w:r>
      <w:r w:rsidRPr="00EA305A">
        <w:rPr>
          <w:rFonts w:asciiTheme="majorHAnsi" w:hAnsiTheme="majorHAnsi"/>
        </w:rPr>
        <w:t>’, Secretariat of the International Plant Protection Convention, Rome, Italy.</w:t>
      </w:r>
    </w:p>
    <w:p w14:paraId="3BACCB0D" w14:textId="77777777" w:rsidR="00A21478" w:rsidRPr="00EA305A" w:rsidRDefault="00A21478" w:rsidP="00A21478">
      <w:pPr>
        <w:autoSpaceDE w:val="0"/>
        <w:autoSpaceDN w:val="0"/>
        <w:adjustRightInd w:val="0"/>
        <w:spacing w:before="120" w:after="120" w:line="271" w:lineRule="auto"/>
        <w:rPr>
          <w:rFonts w:asciiTheme="majorHAnsi" w:hAnsiTheme="majorHAnsi"/>
        </w:rPr>
      </w:pPr>
      <w:r w:rsidRPr="00EA305A">
        <w:rPr>
          <w:rFonts w:asciiTheme="majorHAnsi" w:hAnsiTheme="majorHAnsi"/>
        </w:rPr>
        <w:t>FAO (Food and Agricultural Organization of the United Nations) 201</w:t>
      </w:r>
      <w:r>
        <w:rPr>
          <w:rFonts w:asciiTheme="majorHAnsi" w:hAnsiTheme="majorHAnsi"/>
        </w:rPr>
        <w:t>6d</w:t>
      </w:r>
      <w:r w:rsidRPr="00EA305A">
        <w:rPr>
          <w:rFonts w:asciiTheme="majorHAnsi" w:hAnsiTheme="majorHAnsi"/>
        </w:rPr>
        <w:t>, ‘</w:t>
      </w:r>
      <w:r w:rsidRPr="00EA305A">
        <w:rPr>
          <w:rFonts w:asciiTheme="majorHAnsi" w:hAnsiTheme="majorHAnsi"/>
          <w:i/>
        </w:rPr>
        <w:t>International Standards for Phytosanitary Measures (ISPM) No. 1: Phytosanitary principles for the protection of plants and the application of phytosanitary measures in international trade</w:t>
      </w:r>
      <w:r w:rsidRPr="00EA305A">
        <w:rPr>
          <w:rFonts w:asciiTheme="majorHAnsi" w:hAnsiTheme="majorHAnsi"/>
        </w:rPr>
        <w:t xml:space="preserve">’, Secretariat of the International Plant Protection Convention, Rome, Italy. </w:t>
      </w:r>
    </w:p>
    <w:p w14:paraId="303D0FDB" w14:textId="77777777" w:rsidR="00A21478" w:rsidRPr="00EA305A" w:rsidRDefault="00A21478" w:rsidP="00A21478">
      <w:pPr>
        <w:autoSpaceDE w:val="0"/>
        <w:autoSpaceDN w:val="0"/>
        <w:adjustRightInd w:val="0"/>
        <w:spacing w:before="120" w:after="120" w:line="271" w:lineRule="auto"/>
        <w:rPr>
          <w:rFonts w:asciiTheme="majorHAnsi" w:hAnsiTheme="majorHAnsi"/>
        </w:rPr>
      </w:pPr>
      <w:r w:rsidRPr="00EA305A">
        <w:rPr>
          <w:rFonts w:asciiTheme="majorHAnsi" w:hAnsiTheme="majorHAnsi"/>
        </w:rPr>
        <w:t>FAO (Food and Agricultural Organization of the United Nations) 20</w:t>
      </w:r>
      <w:r>
        <w:rPr>
          <w:rFonts w:asciiTheme="majorHAnsi" w:hAnsiTheme="majorHAnsi"/>
        </w:rPr>
        <w:t>16e</w:t>
      </w:r>
      <w:r w:rsidRPr="00EA305A">
        <w:rPr>
          <w:rFonts w:asciiTheme="majorHAnsi" w:hAnsiTheme="majorHAnsi"/>
        </w:rPr>
        <w:t>, ‘</w:t>
      </w:r>
      <w:r w:rsidRPr="00EA305A">
        <w:rPr>
          <w:rFonts w:asciiTheme="majorHAnsi" w:hAnsiTheme="majorHAnsi"/>
          <w:i/>
        </w:rPr>
        <w:t>International Standards for Phytosanitary Measures (ISPM) No. 31: Methodologies for sampling of consignments</w:t>
      </w:r>
      <w:r w:rsidRPr="00EA305A">
        <w:rPr>
          <w:rFonts w:asciiTheme="majorHAnsi" w:hAnsiTheme="majorHAnsi"/>
        </w:rPr>
        <w:t xml:space="preserve">’, Secretariat of the International Plant Protection Convention, Rome, Italy. </w:t>
      </w:r>
    </w:p>
    <w:p w14:paraId="5C720A64" w14:textId="03BF4034" w:rsidR="008163B6" w:rsidRPr="00EA305A" w:rsidRDefault="00F709BD" w:rsidP="008E43DA">
      <w:pPr>
        <w:spacing w:before="120" w:after="120" w:line="271" w:lineRule="auto"/>
        <w:rPr>
          <w:rFonts w:asciiTheme="majorHAnsi" w:hAnsiTheme="majorHAnsi"/>
        </w:rPr>
      </w:pPr>
      <w:proofErr w:type="spellStart"/>
      <w:r w:rsidRPr="00EA305A">
        <w:rPr>
          <w:rFonts w:asciiTheme="majorHAnsi" w:hAnsiTheme="majorHAnsi"/>
        </w:rPr>
        <w:t>Faris-Mukhayyish</w:t>
      </w:r>
      <w:proofErr w:type="spellEnd"/>
      <w:r w:rsidRPr="00EA305A">
        <w:rPr>
          <w:rFonts w:asciiTheme="majorHAnsi" w:hAnsiTheme="majorHAnsi"/>
        </w:rPr>
        <w:t xml:space="preserve">, S &amp; </w:t>
      </w:r>
      <w:proofErr w:type="spellStart"/>
      <w:r w:rsidRPr="00EA305A">
        <w:rPr>
          <w:rFonts w:asciiTheme="majorHAnsi" w:hAnsiTheme="majorHAnsi"/>
        </w:rPr>
        <w:t>Makkouk</w:t>
      </w:r>
      <w:proofErr w:type="spellEnd"/>
      <w:r w:rsidRPr="00EA305A">
        <w:rPr>
          <w:rFonts w:asciiTheme="majorHAnsi" w:hAnsiTheme="majorHAnsi"/>
        </w:rPr>
        <w:t xml:space="preserve">, KM 1983, ‘Detection of four </w:t>
      </w:r>
      <w:proofErr w:type="spellStart"/>
      <w:r w:rsidRPr="00EA305A">
        <w:rPr>
          <w:rFonts w:asciiTheme="majorHAnsi" w:hAnsiTheme="majorHAnsi"/>
        </w:rPr>
        <w:t>seedborne</w:t>
      </w:r>
      <w:proofErr w:type="spellEnd"/>
      <w:r w:rsidRPr="00EA305A">
        <w:rPr>
          <w:rFonts w:asciiTheme="majorHAnsi" w:hAnsiTheme="majorHAnsi"/>
        </w:rPr>
        <w:t xml:space="preserve"> plant viruses by the enzyme-linked immunosorbent assay (ELISA)’, </w:t>
      </w:r>
      <w:proofErr w:type="spellStart"/>
      <w:r w:rsidRPr="00EA305A">
        <w:rPr>
          <w:rFonts w:asciiTheme="majorHAnsi" w:hAnsiTheme="majorHAnsi"/>
          <w:i/>
        </w:rPr>
        <w:t>Phytopathologische</w:t>
      </w:r>
      <w:proofErr w:type="spellEnd"/>
      <w:r w:rsidRPr="00EA305A">
        <w:rPr>
          <w:rFonts w:asciiTheme="majorHAnsi" w:hAnsiTheme="majorHAnsi"/>
          <w:i/>
        </w:rPr>
        <w:t xml:space="preserve"> </w:t>
      </w:r>
      <w:proofErr w:type="spellStart"/>
      <w:r w:rsidRPr="00EA305A">
        <w:rPr>
          <w:rFonts w:asciiTheme="majorHAnsi" w:hAnsiTheme="majorHAnsi"/>
          <w:i/>
        </w:rPr>
        <w:t>Zeitschrift</w:t>
      </w:r>
      <w:proofErr w:type="spellEnd"/>
      <w:r w:rsidR="00A21478">
        <w:rPr>
          <w:rFonts w:asciiTheme="majorHAnsi" w:hAnsiTheme="majorHAnsi"/>
          <w:i/>
        </w:rPr>
        <w:t xml:space="preserve"> </w:t>
      </w:r>
      <w:r w:rsidRPr="00EA305A">
        <w:rPr>
          <w:rFonts w:asciiTheme="majorHAnsi" w:hAnsiTheme="majorHAnsi"/>
          <w:i/>
        </w:rPr>
        <w:t>Journal of Phytopathology</w:t>
      </w:r>
      <w:r w:rsidRPr="00EA305A">
        <w:rPr>
          <w:rFonts w:asciiTheme="majorHAnsi" w:hAnsiTheme="majorHAnsi"/>
        </w:rPr>
        <w:t>, vol. 106, pp. 108–114.</w:t>
      </w:r>
    </w:p>
    <w:p w14:paraId="1E0577A5" w14:textId="6B7323AF" w:rsidR="008163B6" w:rsidRPr="00EA305A" w:rsidRDefault="00F709BD" w:rsidP="008E43DA">
      <w:pPr>
        <w:autoSpaceDE w:val="0"/>
        <w:autoSpaceDN w:val="0"/>
        <w:adjustRightInd w:val="0"/>
        <w:spacing w:before="120" w:after="120" w:line="271" w:lineRule="auto"/>
        <w:rPr>
          <w:rFonts w:asciiTheme="majorHAnsi" w:hAnsiTheme="majorHAnsi"/>
          <w:lang w:eastAsia="en-AU"/>
        </w:rPr>
      </w:pPr>
      <w:proofErr w:type="spellStart"/>
      <w:r w:rsidRPr="00EA305A">
        <w:rPr>
          <w:rFonts w:asciiTheme="majorHAnsi" w:hAnsiTheme="majorHAnsi"/>
          <w:lang w:eastAsia="en-AU"/>
        </w:rPr>
        <w:t>Francki</w:t>
      </w:r>
      <w:proofErr w:type="spellEnd"/>
      <w:r w:rsidRPr="00EA305A">
        <w:rPr>
          <w:rFonts w:asciiTheme="majorHAnsi" w:hAnsiTheme="majorHAnsi"/>
          <w:lang w:eastAsia="en-AU"/>
        </w:rPr>
        <w:t xml:space="preserve">, RIB, Hu, J &amp; </w:t>
      </w:r>
      <w:proofErr w:type="spellStart"/>
      <w:r w:rsidRPr="00EA305A">
        <w:rPr>
          <w:rFonts w:asciiTheme="majorHAnsi" w:hAnsiTheme="majorHAnsi"/>
          <w:lang w:eastAsia="en-AU"/>
        </w:rPr>
        <w:t>Palukaitis</w:t>
      </w:r>
      <w:proofErr w:type="spellEnd"/>
      <w:r w:rsidRPr="00EA305A">
        <w:rPr>
          <w:rFonts w:asciiTheme="majorHAnsi" w:hAnsiTheme="majorHAnsi"/>
          <w:lang w:eastAsia="en-AU"/>
        </w:rPr>
        <w:t>, P 1986, ‘Taxonomy of cucurbit</w:t>
      </w:r>
      <w:r w:rsidR="004B455C">
        <w:rPr>
          <w:rFonts w:asciiTheme="majorHAnsi" w:hAnsiTheme="majorHAnsi"/>
          <w:lang w:eastAsia="en-AU"/>
        </w:rPr>
        <w:t>-</w:t>
      </w:r>
      <w:r w:rsidRPr="00EA305A">
        <w:rPr>
          <w:rFonts w:asciiTheme="majorHAnsi" w:hAnsiTheme="majorHAnsi"/>
          <w:lang w:eastAsia="en-AU"/>
        </w:rPr>
        <w:t xml:space="preserve">infecting </w:t>
      </w:r>
      <w:proofErr w:type="spellStart"/>
      <w:r w:rsidRPr="00EA305A">
        <w:rPr>
          <w:rFonts w:asciiTheme="majorHAnsi" w:hAnsiTheme="majorHAnsi"/>
          <w:lang w:eastAsia="en-AU"/>
        </w:rPr>
        <w:t>Tobamovirus</w:t>
      </w:r>
      <w:proofErr w:type="spellEnd"/>
      <w:r w:rsidRPr="00EA305A">
        <w:rPr>
          <w:rFonts w:asciiTheme="majorHAnsi" w:hAnsiTheme="majorHAnsi"/>
          <w:lang w:eastAsia="en-AU"/>
        </w:rPr>
        <w:t xml:space="preserve"> as determined by serological and molecular hybridization analyses’, </w:t>
      </w:r>
      <w:proofErr w:type="spellStart"/>
      <w:r w:rsidRPr="00EA305A">
        <w:rPr>
          <w:rFonts w:asciiTheme="majorHAnsi" w:hAnsiTheme="majorHAnsi"/>
          <w:i/>
          <w:lang w:eastAsia="en-AU"/>
        </w:rPr>
        <w:t>Intervirology</w:t>
      </w:r>
      <w:proofErr w:type="spellEnd"/>
      <w:r w:rsidRPr="00EA305A">
        <w:rPr>
          <w:rFonts w:asciiTheme="majorHAnsi" w:hAnsiTheme="majorHAnsi"/>
          <w:lang w:eastAsia="en-AU"/>
        </w:rPr>
        <w:t>, vol. 26, pp. 156–163.</w:t>
      </w:r>
    </w:p>
    <w:p w14:paraId="52CBBC33" w14:textId="04253532" w:rsidR="008163B6" w:rsidRPr="00EA305A" w:rsidRDefault="00F709BD" w:rsidP="008E43DA">
      <w:pPr>
        <w:shd w:val="clear" w:color="auto" w:fill="FFFFFF"/>
        <w:spacing w:before="120" w:after="120" w:line="271" w:lineRule="auto"/>
        <w:rPr>
          <w:rFonts w:asciiTheme="majorHAnsi" w:hAnsiTheme="majorHAnsi"/>
          <w:bCs/>
        </w:rPr>
      </w:pPr>
      <w:r w:rsidRPr="00EA305A">
        <w:rPr>
          <w:rFonts w:asciiTheme="majorHAnsi" w:hAnsiTheme="majorHAnsi"/>
        </w:rPr>
        <w:t xml:space="preserve">Freeman, JH, McAvoy, EJ, </w:t>
      </w:r>
      <w:proofErr w:type="spellStart"/>
      <w:r w:rsidRPr="00EA305A">
        <w:rPr>
          <w:rFonts w:asciiTheme="majorHAnsi" w:hAnsiTheme="majorHAnsi"/>
        </w:rPr>
        <w:t>Dittmar</w:t>
      </w:r>
      <w:proofErr w:type="spellEnd"/>
      <w:r w:rsidRPr="00EA305A">
        <w:rPr>
          <w:rFonts w:asciiTheme="majorHAnsi" w:hAnsiTheme="majorHAnsi"/>
        </w:rPr>
        <w:t xml:space="preserve">, PJ, Ozores-Hampton, M, </w:t>
      </w:r>
      <w:proofErr w:type="spellStart"/>
      <w:r w:rsidRPr="00EA305A">
        <w:rPr>
          <w:rFonts w:asciiTheme="majorHAnsi" w:hAnsiTheme="majorHAnsi"/>
        </w:rPr>
        <w:t>Paret</w:t>
      </w:r>
      <w:proofErr w:type="spellEnd"/>
      <w:r w:rsidRPr="00EA305A">
        <w:rPr>
          <w:rFonts w:asciiTheme="majorHAnsi" w:hAnsiTheme="majorHAnsi"/>
        </w:rPr>
        <w:t>, M, Wang, Q, Miller, CF &amp; Webb, SE 2015, ‘Cucurbit Production’, available at edis.ifas.ufl.edu/</w:t>
      </w:r>
      <w:proofErr w:type="spellStart"/>
      <w:r w:rsidRPr="00EA305A">
        <w:rPr>
          <w:rFonts w:asciiTheme="majorHAnsi" w:hAnsiTheme="majorHAnsi"/>
        </w:rPr>
        <w:t>pdffiles</w:t>
      </w:r>
      <w:proofErr w:type="spellEnd"/>
      <w:r w:rsidRPr="00EA305A">
        <w:rPr>
          <w:rFonts w:asciiTheme="majorHAnsi" w:hAnsiTheme="majorHAnsi"/>
        </w:rPr>
        <w:t>/CV/CV12300.pdf</w:t>
      </w:r>
      <w:r w:rsidR="00956054">
        <w:rPr>
          <w:rFonts w:asciiTheme="majorHAnsi" w:hAnsiTheme="majorHAnsi"/>
        </w:rPr>
        <w:t>.</w:t>
      </w:r>
    </w:p>
    <w:p w14:paraId="6CFFC066" w14:textId="7915A732" w:rsidR="008163B6" w:rsidRPr="00EA305A" w:rsidRDefault="00F709BD" w:rsidP="008E43DA">
      <w:pPr>
        <w:autoSpaceDE w:val="0"/>
        <w:autoSpaceDN w:val="0"/>
        <w:adjustRightInd w:val="0"/>
        <w:spacing w:before="120" w:after="120" w:line="271" w:lineRule="auto"/>
        <w:rPr>
          <w:rFonts w:asciiTheme="majorHAnsi" w:hAnsiTheme="majorHAnsi"/>
        </w:rPr>
      </w:pPr>
      <w:r w:rsidRPr="00EA305A">
        <w:rPr>
          <w:rFonts w:asciiTheme="majorHAnsi" w:hAnsiTheme="majorHAnsi"/>
          <w:bCs/>
        </w:rPr>
        <w:t>Gibbs, AJ 1986, ‘</w:t>
      </w:r>
      <w:proofErr w:type="spellStart"/>
      <w:r w:rsidRPr="00EA305A">
        <w:rPr>
          <w:rFonts w:asciiTheme="majorHAnsi" w:hAnsiTheme="majorHAnsi"/>
          <w:bCs/>
        </w:rPr>
        <w:t>Tobamovirus</w:t>
      </w:r>
      <w:proofErr w:type="spellEnd"/>
      <w:r w:rsidRPr="00EA305A">
        <w:rPr>
          <w:rFonts w:asciiTheme="majorHAnsi" w:hAnsiTheme="majorHAnsi"/>
          <w:bCs/>
        </w:rPr>
        <w:t xml:space="preserve"> classification’, </w:t>
      </w:r>
      <w:r w:rsidR="00956054">
        <w:rPr>
          <w:rFonts w:asciiTheme="majorHAnsi" w:hAnsiTheme="majorHAnsi"/>
          <w:bCs/>
        </w:rPr>
        <w:t>I</w:t>
      </w:r>
      <w:r w:rsidRPr="00EA305A">
        <w:rPr>
          <w:rFonts w:asciiTheme="majorHAnsi" w:hAnsiTheme="majorHAnsi"/>
          <w:bCs/>
        </w:rPr>
        <w:t xml:space="preserve">n: Van </w:t>
      </w:r>
      <w:proofErr w:type="spellStart"/>
      <w:r w:rsidRPr="00EA305A">
        <w:rPr>
          <w:rFonts w:asciiTheme="majorHAnsi" w:hAnsiTheme="majorHAnsi"/>
          <w:bCs/>
        </w:rPr>
        <w:t>Regenmortel</w:t>
      </w:r>
      <w:proofErr w:type="spellEnd"/>
      <w:r w:rsidRPr="00EA305A">
        <w:rPr>
          <w:rFonts w:asciiTheme="majorHAnsi" w:hAnsiTheme="majorHAnsi"/>
          <w:bCs/>
        </w:rPr>
        <w:t xml:space="preserve"> MHV, </w:t>
      </w:r>
      <w:proofErr w:type="spellStart"/>
      <w:r w:rsidRPr="00EA305A">
        <w:rPr>
          <w:rFonts w:asciiTheme="majorHAnsi" w:hAnsiTheme="majorHAnsi"/>
          <w:bCs/>
        </w:rPr>
        <w:t>Fraenkel-Conrat</w:t>
      </w:r>
      <w:proofErr w:type="spellEnd"/>
      <w:r w:rsidRPr="00EA305A">
        <w:rPr>
          <w:rFonts w:asciiTheme="majorHAnsi" w:hAnsiTheme="majorHAnsi"/>
          <w:bCs/>
        </w:rPr>
        <w:t xml:space="preserve"> H (</w:t>
      </w:r>
      <w:proofErr w:type="spellStart"/>
      <w:r w:rsidRPr="00EA305A">
        <w:rPr>
          <w:rFonts w:asciiTheme="majorHAnsi" w:hAnsiTheme="majorHAnsi"/>
          <w:bCs/>
        </w:rPr>
        <w:t>eds</w:t>
      </w:r>
      <w:proofErr w:type="spellEnd"/>
      <w:r w:rsidRPr="00EA305A">
        <w:rPr>
          <w:rFonts w:asciiTheme="majorHAnsi" w:hAnsiTheme="majorHAnsi"/>
          <w:bCs/>
        </w:rPr>
        <w:t xml:space="preserve">), </w:t>
      </w:r>
      <w:r w:rsidRPr="00EA305A">
        <w:rPr>
          <w:rFonts w:asciiTheme="majorHAnsi" w:hAnsiTheme="majorHAnsi"/>
          <w:bCs/>
          <w:i/>
        </w:rPr>
        <w:t>The Plant Viruses</w:t>
      </w:r>
      <w:r w:rsidRPr="00EA305A">
        <w:rPr>
          <w:rFonts w:asciiTheme="majorHAnsi" w:hAnsiTheme="majorHAnsi"/>
          <w:bCs/>
        </w:rPr>
        <w:t>, Plenum Press, New York, NY, USA.</w:t>
      </w:r>
    </w:p>
    <w:p w14:paraId="4A9ED34C" w14:textId="35B44E7E"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 xml:space="preserve">Hatta, T &amp; </w:t>
      </w:r>
      <w:proofErr w:type="spellStart"/>
      <w:r w:rsidRPr="00EA305A">
        <w:rPr>
          <w:rFonts w:asciiTheme="majorHAnsi" w:hAnsiTheme="majorHAnsi"/>
          <w:lang w:eastAsia="en-AU"/>
        </w:rPr>
        <w:t>Ushiyama</w:t>
      </w:r>
      <w:proofErr w:type="spellEnd"/>
      <w:r w:rsidRPr="00EA305A">
        <w:rPr>
          <w:rFonts w:asciiTheme="majorHAnsi" w:hAnsiTheme="majorHAnsi"/>
          <w:lang w:eastAsia="en-AU"/>
        </w:rPr>
        <w:t xml:space="preserve">, R 1973, ‘Mitochondrial </w:t>
      </w:r>
      <w:proofErr w:type="spellStart"/>
      <w:r w:rsidRPr="00EA305A">
        <w:rPr>
          <w:rFonts w:asciiTheme="majorHAnsi" w:hAnsiTheme="majorHAnsi"/>
          <w:lang w:eastAsia="en-AU"/>
        </w:rPr>
        <w:t>vesiculation</w:t>
      </w:r>
      <w:proofErr w:type="spellEnd"/>
      <w:r w:rsidRPr="00EA305A">
        <w:rPr>
          <w:rFonts w:asciiTheme="majorHAnsi" w:hAnsiTheme="majorHAnsi"/>
          <w:lang w:eastAsia="en-AU"/>
        </w:rPr>
        <w:t xml:space="preserve"> associated with </w:t>
      </w:r>
      <w:r w:rsidR="00625258">
        <w:rPr>
          <w:rFonts w:asciiTheme="majorHAnsi" w:hAnsiTheme="majorHAnsi"/>
          <w:i/>
          <w:lang w:eastAsia="en-AU"/>
        </w:rPr>
        <w:t>C</w:t>
      </w:r>
      <w:r w:rsidRPr="00EA305A">
        <w:rPr>
          <w:rFonts w:asciiTheme="majorHAnsi" w:hAnsiTheme="majorHAnsi"/>
          <w:i/>
          <w:lang w:eastAsia="en-AU"/>
        </w:rPr>
        <w:t>ucumber green mottle mosaic virus</w:t>
      </w:r>
      <w:r w:rsidRPr="00EA305A">
        <w:rPr>
          <w:rFonts w:asciiTheme="majorHAnsi" w:hAnsiTheme="majorHAnsi"/>
          <w:lang w:eastAsia="en-AU"/>
        </w:rPr>
        <w:t xml:space="preserve">-infected plants’, </w:t>
      </w:r>
      <w:r w:rsidRPr="00EA305A">
        <w:rPr>
          <w:rFonts w:asciiTheme="majorHAnsi" w:hAnsiTheme="majorHAnsi"/>
          <w:i/>
          <w:lang w:eastAsia="en-AU"/>
        </w:rPr>
        <w:t>Journal of General Virology</w:t>
      </w:r>
      <w:r w:rsidRPr="00EA305A">
        <w:rPr>
          <w:rFonts w:asciiTheme="majorHAnsi" w:hAnsiTheme="majorHAnsi"/>
          <w:lang w:eastAsia="en-AU"/>
        </w:rPr>
        <w:t>, vol. 21, pp. 9–I7.</w:t>
      </w:r>
    </w:p>
    <w:p w14:paraId="4A1CD457" w14:textId="440B776A"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 xml:space="preserve">Hatta, T, </w:t>
      </w:r>
      <w:proofErr w:type="spellStart"/>
      <w:r w:rsidRPr="00EA305A">
        <w:rPr>
          <w:rFonts w:asciiTheme="majorHAnsi" w:hAnsiTheme="majorHAnsi"/>
          <w:lang w:eastAsia="en-AU"/>
        </w:rPr>
        <w:t>Nakamoto</w:t>
      </w:r>
      <w:proofErr w:type="spellEnd"/>
      <w:r w:rsidRPr="00EA305A">
        <w:rPr>
          <w:rFonts w:asciiTheme="majorHAnsi" w:hAnsiTheme="majorHAnsi"/>
          <w:lang w:eastAsia="en-AU"/>
        </w:rPr>
        <w:t xml:space="preserve">, T, Takagi, Y &amp; </w:t>
      </w:r>
      <w:proofErr w:type="spellStart"/>
      <w:r w:rsidRPr="00EA305A">
        <w:rPr>
          <w:rFonts w:asciiTheme="majorHAnsi" w:hAnsiTheme="majorHAnsi"/>
          <w:lang w:eastAsia="en-AU"/>
        </w:rPr>
        <w:t>Ushiyama</w:t>
      </w:r>
      <w:proofErr w:type="spellEnd"/>
      <w:r w:rsidRPr="00EA305A">
        <w:rPr>
          <w:rFonts w:asciiTheme="majorHAnsi" w:hAnsiTheme="majorHAnsi"/>
          <w:lang w:eastAsia="en-AU"/>
        </w:rPr>
        <w:t xml:space="preserve">, R 1971, ‘Cytological abnormalities of mitochondria induced by infection with </w:t>
      </w:r>
      <w:r w:rsidRPr="00EA305A">
        <w:rPr>
          <w:rFonts w:asciiTheme="majorHAnsi" w:hAnsiTheme="majorHAnsi"/>
          <w:i/>
          <w:lang w:eastAsia="en-AU"/>
        </w:rPr>
        <w:t>Cucumber green mottle mosaic virus</w:t>
      </w:r>
      <w:r w:rsidRPr="00EA305A">
        <w:rPr>
          <w:rFonts w:asciiTheme="majorHAnsi" w:hAnsiTheme="majorHAnsi"/>
          <w:lang w:eastAsia="en-AU"/>
        </w:rPr>
        <w:t xml:space="preserve">’, </w:t>
      </w:r>
      <w:r w:rsidRPr="00EA305A">
        <w:rPr>
          <w:rFonts w:asciiTheme="majorHAnsi" w:hAnsiTheme="majorHAnsi"/>
          <w:i/>
          <w:lang w:eastAsia="en-AU"/>
        </w:rPr>
        <w:t>Virology</w:t>
      </w:r>
      <w:r w:rsidRPr="00EA305A">
        <w:rPr>
          <w:rFonts w:asciiTheme="majorHAnsi" w:hAnsiTheme="majorHAnsi"/>
          <w:lang w:eastAsia="en-AU"/>
        </w:rPr>
        <w:t xml:space="preserve">, </w:t>
      </w:r>
      <w:r w:rsidR="00956054">
        <w:rPr>
          <w:rFonts w:asciiTheme="majorHAnsi" w:hAnsiTheme="majorHAnsi"/>
          <w:lang w:eastAsia="en-AU"/>
        </w:rPr>
        <w:t xml:space="preserve">vol. </w:t>
      </w:r>
      <w:r w:rsidRPr="00EA305A">
        <w:rPr>
          <w:rFonts w:asciiTheme="majorHAnsi" w:hAnsiTheme="majorHAnsi"/>
          <w:lang w:eastAsia="en-AU"/>
        </w:rPr>
        <w:t xml:space="preserve">45, </w:t>
      </w:r>
      <w:r w:rsidR="00956054">
        <w:rPr>
          <w:rFonts w:asciiTheme="majorHAnsi" w:hAnsiTheme="majorHAnsi"/>
          <w:lang w:eastAsia="en-AU"/>
        </w:rPr>
        <w:t xml:space="preserve">pp. </w:t>
      </w:r>
      <w:r w:rsidRPr="00EA305A">
        <w:rPr>
          <w:rFonts w:asciiTheme="majorHAnsi" w:hAnsiTheme="majorHAnsi"/>
          <w:lang w:eastAsia="en-AU"/>
        </w:rPr>
        <w:t>292–297.</w:t>
      </w:r>
    </w:p>
    <w:p w14:paraId="4F0ADD41" w14:textId="06F0EB4A" w:rsidR="008163B6" w:rsidRPr="00EA305A" w:rsidRDefault="00F709BD" w:rsidP="008E43DA">
      <w:pPr>
        <w:autoSpaceDE w:val="0"/>
        <w:autoSpaceDN w:val="0"/>
        <w:adjustRightInd w:val="0"/>
        <w:spacing w:before="120" w:after="120" w:line="271" w:lineRule="auto"/>
        <w:rPr>
          <w:rFonts w:asciiTheme="majorHAnsi" w:hAnsiTheme="majorHAnsi"/>
          <w:bCs/>
          <w:lang w:eastAsia="en-AU"/>
        </w:rPr>
      </w:pPr>
      <w:r w:rsidRPr="00EA305A">
        <w:rPr>
          <w:rFonts w:asciiTheme="majorHAnsi" w:hAnsiTheme="majorHAnsi"/>
          <w:bCs/>
          <w:lang w:eastAsia="en-AU"/>
        </w:rPr>
        <w:t xml:space="preserve">Hollings, N, </w:t>
      </w:r>
      <w:proofErr w:type="spellStart"/>
      <w:r w:rsidRPr="00EA305A">
        <w:rPr>
          <w:rFonts w:asciiTheme="majorHAnsi" w:hAnsiTheme="majorHAnsi"/>
          <w:bCs/>
          <w:lang w:eastAsia="en-AU"/>
        </w:rPr>
        <w:t>Komuro</w:t>
      </w:r>
      <w:proofErr w:type="spellEnd"/>
      <w:r w:rsidRPr="00EA305A">
        <w:rPr>
          <w:rFonts w:asciiTheme="majorHAnsi" w:hAnsiTheme="majorHAnsi"/>
          <w:bCs/>
          <w:lang w:eastAsia="en-AU"/>
        </w:rPr>
        <w:t xml:space="preserve">, Y &amp; </w:t>
      </w:r>
      <w:proofErr w:type="spellStart"/>
      <w:r w:rsidRPr="00EA305A">
        <w:rPr>
          <w:rFonts w:asciiTheme="majorHAnsi" w:hAnsiTheme="majorHAnsi"/>
          <w:bCs/>
          <w:lang w:eastAsia="en-AU"/>
        </w:rPr>
        <w:t>Tochihara</w:t>
      </w:r>
      <w:proofErr w:type="spellEnd"/>
      <w:r w:rsidRPr="00EA305A">
        <w:rPr>
          <w:rFonts w:asciiTheme="majorHAnsi" w:hAnsiTheme="majorHAnsi"/>
          <w:bCs/>
          <w:lang w:eastAsia="en-AU"/>
        </w:rPr>
        <w:t xml:space="preserve">, H 1975, </w:t>
      </w:r>
      <w:r w:rsidRPr="00EA305A">
        <w:rPr>
          <w:rFonts w:asciiTheme="majorHAnsi" w:hAnsiTheme="majorHAnsi"/>
          <w:bCs/>
          <w:i/>
          <w:lang w:eastAsia="en-AU"/>
        </w:rPr>
        <w:t>Cucumber green mottle mosaic virus</w:t>
      </w:r>
      <w:r w:rsidRPr="00EA305A">
        <w:rPr>
          <w:rFonts w:asciiTheme="majorHAnsi" w:hAnsiTheme="majorHAnsi"/>
          <w:bCs/>
          <w:lang w:eastAsia="en-AU"/>
        </w:rPr>
        <w:t xml:space="preserve">, Descriptions of Plant Viruses, available </w:t>
      </w:r>
      <w:r w:rsidR="00956054">
        <w:rPr>
          <w:rFonts w:asciiTheme="majorHAnsi" w:hAnsiTheme="majorHAnsi"/>
          <w:bCs/>
          <w:lang w:eastAsia="en-AU"/>
        </w:rPr>
        <w:t xml:space="preserve">at </w:t>
      </w:r>
      <w:r w:rsidRPr="00EA305A">
        <w:rPr>
          <w:rFonts w:asciiTheme="majorHAnsi" w:hAnsiTheme="majorHAnsi"/>
          <w:bCs/>
          <w:lang w:eastAsia="en-AU"/>
        </w:rPr>
        <w:t>dpvweb</w:t>
      </w:r>
      <w:r w:rsidR="002411E8" w:rsidRPr="00EA305A">
        <w:rPr>
          <w:rFonts w:asciiTheme="majorHAnsi" w:hAnsiTheme="majorHAnsi"/>
          <w:bCs/>
          <w:lang w:eastAsia="en-AU"/>
        </w:rPr>
        <w:t>.net/</w:t>
      </w:r>
      <w:proofErr w:type="spellStart"/>
      <w:r w:rsidR="002411E8" w:rsidRPr="00EA305A">
        <w:rPr>
          <w:rFonts w:asciiTheme="majorHAnsi" w:hAnsiTheme="majorHAnsi"/>
          <w:bCs/>
          <w:lang w:eastAsia="en-AU"/>
        </w:rPr>
        <w:t>dpv</w:t>
      </w:r>
      <w:proofErr w:type="spellEnd"/>
      <w:r w:rsidR="002411E8" w:rsidRPr="00EA305A">
        <w:rPr>
          <w:rFonts w:asciiTheme="majorHAnsi" w:hAnsiTheme="majorHAnsi"/>
          <w:bCs/>
          <w:lang w:eastAsia="en-AU"/>
        </w:rPr>
        <w:t>/</w:t>
      </w:r>
      <w:proofErr w:type="spellStart"/>
      <w:r w:rsidR="002411E8" w:rsidRPr="00EA305A">
        <w:rPr>
          <w:rFonts w:asciiTheme="majorHAnsi" w:hAnsiTheme="majorHAnsi"/>
          <w:bCs/>
          <w:lang w:eastAsia="en-AU"/>
        </w:rPr>
        <w:t>showdpv.php?dpvno</w:t>
      </w:r>
      <w:proofErr w:type="spellEnd"/>
      <w:r w:rsidR="002411E8" w:rsidRPr="00EA305A">
        <w:rPr>
          <w:rFonts w:asciiTheme="majorHAnsi" w:hAnsiTheme="majorHAnsi"/>
          <w:bCs/>
          <w:lang w:eastAsia="en-AU"/>
        </w:rPr>
        <w:t>=154.</w:t>
      </w:r>
    </w:p>
    <w:p w14:paraId="6ED6E3AC"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Horváth</w:t>
      </w:r>
      <w:proofErr w:type="spellEnd"/>
      <w:r w:rsidRPr="00EA305A">
        <w:rPr>
          <w:rFonts w:asciiTheme="majorHAnsi" w:hAnsiTheme="majorHAnsi"/>
          <w:bCs/>
          <w:sz w:val="22"/>
        </w:rPr>
        <w:t xml:space="preserve">, J 1985, ‘New artificial host-virus relations between cucurbitaceous plants and viruses’, </w:t>
      </w:r>
      <w:proofErr w:type="spellStart"/>
      <w:r w:rsidRPr="00EA305A">
        <w:rPr>
          <w:rFonts w:asciiTheme="majorHAnsi" w:hAnsiTheme="majorHAnsi"/>
          <w:bCs/>
          <w:i/>
          <w:sz w:val="22"/>
        </w:rPr>
        <w:t>Acta</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Phytopathologica</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Academiae</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Scientiarum</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Hungaricae</w:t>
      </w:r>
      <w:proofErr w:type="spellEnd"/>
      <w:r w:rsidRPr="00EA305A">
        <w:rPr>
          <w:rFonts w:asciiTheme="majorHAnsi" w:hAnsiTheme="majorHAnsi"/>
          <w:bCs/>
          <w:sz w:val="22"/>
        </w:rPr>
        <w:t>, vol. 20, pp. 225–251.</w:t>
      </w:r>
    </w:p>
    <w:p w14:paraId="44E92E40"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Hseu</w:t>
      </w:r>
      <w:proofErr w:type="spellEnd"/>
      <w:r w:rsidRPr="00EA305A">
        <w:rPr>
          <w:rFonts w:asciiTheme="majorHAnsi" w:hAnsiTheme="majorHAnsi"/>
          <w:bCs/>
          <w:sz w:val="22"/>
        </w:rPr>
        <w:t xml:space="preserve">, SH, Huang, CH, Chang, CH, Yang, WZ, Chang, YM &amp; Hsiao, CH 1987, ‘The occurrence of five viruses in six cucurbits in Taiwan’, </w:t>
      </w:r>
      <w:r w:rsidRPr="00EA305A">
        <w:rPr>
          <w:rFonts w:asciiTheme="majorHAnsi" w:hAnsiTheme="majorHAnsi"/>
          <w:bCs/>
          <w:i/>
          <w:sz w:val="22"/>
        </w:rPr>
        <w:t>Plant Protection Bulletin</w:t>
      </w:r>
      <w:r w:rsidRPr="00EA305A">
        <w:rPr>
          <w:rFonts w:asciiTheme="majorHAnsi" w:hAnsiTheme="majorHAnsi"/>
          <w:bCs/>
          <w:sz w:val="22"/>
        </w:rPr>
        <w:t>, vol.</w:t>
      </w:r>
      <w:r w:rsidRPr="00EA305A">
        <w:rPr>
          <w:rFonts w:asciiTheme="majorHAnsi" w:hAnsiTheme="majorHAnsi"/>
          <w:bCs/>
          <w:i/>
          <w:sz w:val="22"/>
        </w:rPr>
        <w:t xml:space="preserve"> </w:t>
      </w:r>
      <w:r w:rsidRPr="00EA305A">
        <w:rPr>
          <w:rFonts w:asciiTheme="majorHAnsi" w:hAnsiTheme="majorHAnsi"/>
          <w:bCs/>
          <w:sz w:val="22"/>
        </w:rPr>
        <w:t xml:space="preserve">29, no.3, pp. 233–244. </w:t>
      </w:r>
    </w:p>
    <w:p w14:paraId="40A03553" w14:textId="1DB3E193"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 xml:space="preserve">Inouye, T, Inouye, N, </w:t>
      </w:r>
      <w:proofErr w:type="spellStart"/>
      <w:r w:rsidRPr="00EA305A">
        <w:rPr>
          <w:rFonts w:asciiTheme="majorHAnsi" w:hAnsiTheme="majorHAnsi"/>
          <w:lang w:eastAsia="en-AU"/>
        </w:rPr>
        <w:t>Asatani</w:t>
      </w:r>
      <w:proofErr w:type="spellEnd"/>
      <w:r w:rsidRPr="00EA305A">
        <w:rPr>
          <w:rFonts w:asciiTheme="majorHAnsi" w:hAnsiTheme="majorHAnsi"/>
          <w:lang w:eastAsia="en-AU"/>
        </w:rPr>
        <w:t xml:space="preserve">, M &amp; </w:t>
      </w:r>
      <w:proofErr w:type="spellStart"/>
      <w:r w:rsidRPr="00EA305A">
        <w:rPr>
          <w:rFonts w:asciiTheme="majorHAnsi" w:hAnsiTheme="majorHAnsi"/>
          <w:lang w:eastAsia="en-AU"/>
        </w:rPr>
        <w:t>Mitsuhata</w:t>
      </w:r>
      <w:proofErr w:type="spellEnd"/>
      <w:r w:rsidRPr="00EA305A">
        <w:rPr>
          <w:rFonts w:asciiTheme="majorHAnsi" w:hAnsiTheme="majorHAnsi"/>
          <w:lang w:eastAsia="en-AU"/>
        </w:rPr>
        <w:t>, K 1967, ‘Studies on</w:t>
      </w:r>
      <w:r w:rsidR="001B3525">
        <w:rPr>
          <w:rFonts w:asciiTheme="majorHAnsi" w:hAnsiTheme="majorHAnsi"/>
          <w:lang w:eastAsia="en-AU"/>
        </w:rPr>
        <w:t xml:space="preserve"> </w:t>
      </w:r>
      <w:r w:rsidR="001B3525" w:rsidRPr="001B3525">
        <w:rPr>
          <w:rFonts w:asciiTheme="majorHAnsi" w:hAnsiTheme="majorHAnsi"/>
          <w:i/>
          <w:lang w:eastAsia="en-AU"/>
        </w:rPr>
        <w:t>C</w:t>
      </w:r>
      <w:r w:rsidRPr="001B3525">
        <w:rPr>
          <w:rFonts w:asciiTheme="majorHAnsi" w:hAnsiTheme="majorHAnsi"/>
          <w:i/>
          <w:lang w:eastAsia="en-AU"/>
        </w:rPr>
        <w:t>ucumber green mottle mosaic virus</w:t>
      </w:r>
      <w:r w:rsidRPr="00EA305A">
        <w:rPr>
          <w:rFonts w:asciiTheme="majorHAnsi" w:hAnsiTheme="majorHAnsi"/>
          <w:lang w:eastAsia="en-AU"/>
        </w:rPr>
        <w:t xml:space="preserve"> in Japan’, </w:t>
      </w:r>
      <w:r w:rsidRPr="000704EE">
        <w:rPr>
          <w:rFonts w:asciiTheme="majorHAnsi" w:hAnsiTheme="majorHAnsi"/>
          <w:i/>
          <w:lang w:eastAsia="en-AU"/>
        </w:rPr>
        <w:t xml:space="preserve">Nogaku </w:t>
      </w:r>
      <w:proofErr w:type="spellStart"/>
      <w:r w:rsidRPr="000704EE">
        <w:rPr>
          <w:rFonts w:asciiTheme="majorHAnsi" w:hAnsiTheme="majorHAnsi"/>
          <w:i/>
          <w:lang w:eastAsia="en-AU"/>
        </w:rPr>
        <w:t>Kenkyu</w:t>
      </w:r>
      <w:proofErr w:type="spellEnd"/>
      <w:r w:rsidRPr="00EA305A">
        <w:rPr>
          <w:rFonts w:asciiTheme="majorHAnsi" w:hAnsiTheme="majorHAnsi"/>
          <w:lang w:eastAsia="en-AU"/>
        </w:rPr>
        <w:t>, vol. 51, pp. 175–186.</w:t>
      </w:r>
    </w:p>
    <w:p w14:paraId="5D2A9674" w14:textId="77777777"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 xml:space="preserve">ISTA (International Seed Testing Association) 2014, ‘Detection of </w:t>
      </w:r>
      <w:r w:rsidRPr="00EA305A">
        <w:rPr>
          <w:rFonts w:asciiTheme="majorHAnsi" w:hAnsiTheme="majorHAnsi"/>
          <w:i/>
          <w:lang w:eastAsia="en-AU"/>
        </w:rPr>
        <w:t>Squash mosaic virus</w:t>
      </w:r>
      <w:r w:rsidRPr="00EA305A">
        <w:rPr>
          <w:rFonts w:asciiTheme="majorHAnsi" w:hAnsiTheme="majorHAnsi"/>
          <w:lang w:eastAsia="en-AU"/>
        </w:rPr>
        <w:t xml:space="preserve">, </w:t>
      </w:r>
      <w:r w:rsidRPr="00EA305A">
        <w:rPr>
          <w:rFonts w:asciiTheme="majorHAnsi" w:hAnsiTheme="majorHAnsi"/>
          <w:i/>
          <w:lang w:eastAsia="en-AU"/>
        </w:rPr>
        <w:t>Cucumber green mottle mosaic virus</w:t>
      </w:r>
      <w:r w:rsidRPr="00EA305A">
        <w:rPr>
          <w:rFonts w:asciiTheme="majorHAnsi" w:hAnsiTheme="majorHAnsi"/>
          <w:lang w:eastAsia="en-AU"/>
        </w:rPr>
        <w:t xml:space="preserve"> and </w:t>
      </w:r>
      <w:r w:rsidRPr="00EA305A">
        <w:rPr>
          <w:rFonts w:asciiTheme="majorHAnsi" w:hAnsiTheme="majorHAnsi"/>
          <w:i/>
          <w:lang w:eastAsia="en-AU"/>
        </w:rPr>
        <w:t>Melon necrotic spot virus</w:t>
      </w:r>
      <w:r w:rsidRPr="00EA305A">
        <w:rPr>
          <w:rFonts w:asciiTheme="majorHAnsi" w:hAnsiTheme="majorHAnsi"/>
          <w:lang w:eastAsia="en-AU"/>
        </w:rPr>
        <w:t xml:space="preserve"> in cucurbits’, in </w:t>
      </w:r>
      <w:r w:rsidRPr="00EA305A">
        <w:rPr>
          <w:rFonts w:asciiTheme="majorHAnsi" w:hAnsiTheme="majorHAnsi"/>
          <w:i/>
          <w:lang w:eastAsia="en-AU"/>
        </w:rPr>
        <w:t>International rules for seed testing</w:t>
      </w:r>
      <w:r w:rsidRPr="00EA305A">
        <w:rPr>
          <w:rFonts w:asciiTheme="majorHAnsi" w:hAnsiTheme="majorHAnsi"/>
          <w:lang w:eastAsia="en-AU"/>
        </w:rPr>
        <w:t xml:space="preserve">, ISTA, </w:t>
      </w:r>
      <w:proofErr w:type="spellStart"/>
      <w:r w:rsidRPr="00EA305A">
        <w:rPr>
          <w:rFonts w:asciiTheme="majorHAnsi" w:hAnsiTheme="majorHAnsi"/>
          <w:lang w:eastAsia="en-AU"/>
        </w:rPr>
        <w:t>Bassersdorf</w:t>
      </w:r>
      <w:proofErr w:type="spellEnd"/>
      <w:r w:rsidRPr="00EA305A">
        <w:rPr>
          <w:rFonts w:asciiTheme="majorHAnsi" w:hAnsiTheme="majorHAnsi"/>
          <w:lang w:eastAsia="en-AU"/>
        </w:rPr>
        <w:t>, Switzerland.</w:t>
      </w:r>
    </w:p>
    <w:p w14:paraId="76707D92"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Kim, OK, </w:t>
      </w:r>
      <w:proofErr w:type="spellStart"/>
      <w:r w:rsidRPr="00EA305A">
        <w:rPr>
          <w:rFonts w:asciiTheme="majorHAnsi" w:hAnsiTheme="majorHAnsi"/>
          <w:bCs/>
          <w:sz w:val="22"/>
        </w:rPr>
        <w:t>Mizutani</w:t>
      </w:r>
      <w:proofErr w:type="spellEnd"/>
      <w:r w:rsidRPr="00EA305A">
        <w:rPr>
          <w:rFonts w:asciiTheme="majorHAnsi" w:hAnsiTheme="majorHAnsi"/>
          <w:bCs/>
          <w:sz w:val="22"/>
        </w:rPr>
        <w:t xml:space="preserve">, T, </w:t>
      </w:r>
      <w:proofErr w:type="spellStart"/>
      <w:r w:rsidRPr="00EA305A">
        <w:rPr>
          <w:rFonts w:asciiTheme="majorHAnsi" w:hAnsiTheme="majorHAnsi"/>
          <w:bCs/>
          <w:sz w:val="22"/>
        </w:rPr>
        <w:t>Natsuaki</w:t>
      </w:r>
      <w:proofErr w:type="spellEnd"/>
      <w:r w:rsidRPr="00EA305A">
        <w:rPr>
          <w:rFonts w:asciiTheme="majorHAnsi" w:hAnsiTheme="majorHAnsi"/>
          <w:bCs/>
          <w:sz w:val="22"/>
        </w:rPr>
        <w:t xml:space="preserve">, KT, Lee, KW &amp; </w:t>
      </w:r>
      <w:proofErr w:type="spellStart"/>
      <w:r w:rsidRPr="00EA305A">
        <w:rPr>
          <w:rFonts w:asciiTheme="majorHAnsi" w:hAnsiTheme="majorHAnsi"/>
          <w:bCs/>
          <w:sz w:val="22"/>
        </w:rPr>
        <w:t>Soe</w:t>
      </w:r>
      <w:proofErr w:type="spellEnd"/>
      <w:r w:rsidRPr="00EA305A">
        <w:rPr>
          <w:rFonts w:asciiTheme="majorHAnsi" w:hAnsiTheme="majorHAnsi"/>
          <w:bCs/>
          <w:sz w:val="22"/>
        </w:rPr>
        <w:t xml:space="preserve">, K 2010, ‘First report and the genetic variability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occurring in bottle gourd in Myanmar’, </w:t>
      </w:r>
      <w:r w:rsidRPr="00EA305A">
        <w:rPr>
          <w:rFonts w:asciiTheme="majorHAnsi" w:hAnsiTheme="majorHAnsi"/>
          <w:bCs/>
          <w:i/>
          <w:sz w:val="22"/>
        </w:rPr>
        <w:t>Journal of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158, pp. 572–575.</w:t>
      </w:r>
    </w:p>
    <w:p w14:paraId="548E5195"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Kim, SM, Lee, JM, </w:t>
      </w:r>
      <w:proofErr w:type="spellStart"/>
      <w:r w:rsidRPr="00EA305A">
        <w:rPr>
          <w:rFonts w:asciiTheme="majorHAnsi" w:hAnsiTheme="majorHAnsi"/>
          <w:bCs/>
          <w:sz w:val="22"/>
        </w:rPr>
        <w:t>Yim</w:t>
      </w:r>
      <w:proofErr w:type="spellEnd"/>
      <w:r w:rsidRPr="00EA305A">
        <w:rPr>
          <w:rFonts w:asciiTheme="majorHAnsi" w:hAnsiTheme="majorHAnsi"/>
          <w:bCs/>
          <w:sz w:val="22"/>
        </w:rPr>
        <w:t xml:space="preserve">, KO, Oh, MH, Park, JW &amp; Kim, KH 2003, ‘Nucleotide sequences of two Korean isolates of </w:t>
      </w:r>
      <w:r w:rsidRPr="00EA305A">
        <w:rPr>
          <w:rFonts w:asciiTheme="majorHAnsi" w:hAnsiTheme="majorHAnsi"/>
          <w:bCs/>
          <w:i/>
          <w:sz w:val="22"/>
        </w:rPr>
        <w:t>Cucumber green mottle mosaic virus</w:t>
      </w:r>
      <w:r w:rsidRPr="00EA305A">
        <w:rPr>
          <w:rFonts w:asciiTheme="majorHAnsi" w:hAnsiTheme="majorHAnsi"/>
          <w:bCs/>
          <w:sz w:val="22"/>
        </w:rPr>
        <w:t xml:space="preserve">’, </w:t>
      </w:r>
      <w:r w:rsidRPr="00EA305A">
        <w:rPr>
          <w:rFonts w:asciiTheme="majorHAnsi" w:hAnsiTheme="majorHAnsi"/>
          <w:bCs/>
          <w:i/>
          <w:sz w:val="22"/>
        </w:rPr>
        <w:t>Molecules and Cells</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16, no. 3, pp. 407–412.</w:t>
      </w:r>
    </w:p>
    <w:p w14:paraId="72DCB198" w14:textId="01431814" w:rsidR="008163B6" w:rsidRPr="00EA305A" w:rsidRDefault="00355A23" w:rsidP="008E43DA">
      <w:pPr>
        <w:pStyle w:val="Header"/>
        <w:spacing w:before="120" w:after="120" w:line="271" w:lineRule="auto"/>
        <w:jc w:val="left"/>
        <w:rPr>
          <w:rFonts w:asciiTheme="majorHAnsi" w:hAnsiTheme="majorHAnsi"/>
          <w:bCs/>
          <w:sz w:val="22"/>
        </w:rPr>
      </w:pPr>
      <w:hyperlink r:id="rId46" w:history="1">
        <w:r w:rsidR="00F709BD" w:rsidRPr="00EA305A">
          <w:rPr>
            <w:rFonts w:asciiTheme="majorHAnsi" w:hAnsiTheme="majorHAnsi"/>
            <w:bCs/>
            <w:sz w:val="22"/>
          </w:rPr>
          <w:t xml:space="preserve">Kobayashi, T 1990, ‘Impact of </w:t>
        </w:r>
        <w:proofErr w:type="spellStart"/>
        <w:r w:rsidR="00F709BD" w:rsidRPr="00EA305A">
          <w:rPr>
            <w:rFonts w:asciiTheme="majorHAnsi" w:hAnsiTheme="majorHAnsi"/>
            <w:bCs/>
            <w:sz w:val="22"/>
          </w:rPr>
          <w:t>seedborne</w:t>
        </w:r>
        <w:proofErr w:type="spellEnd"/>
        <w:r w:rsidR="00F709BD" w:rsidRPr="00EA305A">
          <w:rPr>
            <w:rFonts w:asciiTheme="majorHAnsi" w:hAnsiTheme="majorHAnsi"/>
            <w:bCs/>
            <w:sz w:val="22"/>
          </w:rPr>
          <w:t xml:space="preserve"> pathogens on quarantine in Japan’, </w:t>
        </w:r>
        <w:r w:rsidR="00F709BD" w:rsidRPr="00EA305A">
          <w:rPr>
            <w:rFonts w:asciiTheme="majorHAnsi" w:hAnsiTheme="majorHAnsi"/>
            <w:bCs/>
            <w:i/>
            <w:sz w:val="22"/>
          </w:rPr>
          <w:t>Seed Science and</w:t>
        </w:r>
        <w:r w:rsidR="00F709BD" w:rsidRPr="00EA305A">
          <w:rPr>
            <w:rFonts w:asciiTheme="majorHAnsi" w:hAnsiTheme="majorHAnsi"/>
            <w:bCs/>
            <w:sz w:val="22"/>
          </w:rPr>
          <w:t xml:space="preserve"> </w:t>
        </w:r>
        <w:r w:rsidR="00F709BD" w:rsidRPr="00EA305A">
          <w:rPr>
            <w:rFonts w:asciiTheme="majorHAnsi" w:hAnsiTheme="majorHAnsi"/>
            <w:bCs/>
            <w:i/>
            <w:sz w:val="22"/>
          </w:rPr>
          <w:t>Technology</w:t>
        </w:r>
        <w:r w:rsidR="00F709BD" w:rsidRPr="00EA305A">
          <w:rPr>
            <w:rFonts w:asciiTheme="majorHAnsi" w:hAnsiTheme="majorHAnsi"/>
            <w:bCs/>
            <w:sz w:val="22"/>
          </w:rPr>
          <w:t>, vol.18, no. 2, pp. 427–433</w:t>
        </w:r>
      </w:hyperlink>
      <w:r w:rsidR="00F709BD" w:rsidRPr="00EA305A">
        <w:rPr>
          <w:rFonts w:asciiTheme="majorHAnsi" w:hAnsiTheme="majorHAnsi"/>
          <w:bCs/>
          <w:sz w:val="22"/>
        </w:rPr>
        <w:t>.</w:t>
      </w:r>
    </w:p>
    <w:p w14:paraId="42CAA819" w14:textId="77777777" w:rsidR="005460B9" w:rsidRPr="00EA305A" w:rsidRDefault="005460B9" w:rsidP="008E43DA">
      <w:pPr>
        <w:spacing w:before="120" w:after="120" w:line="271" w:lineRule="auto"/>
        <w:rPr>
          <w:rFonts w:asciiTheme="majorHAnsi" w:eastAsia="Times New Roman" w:hAnsiTheme="majorHAnsi" w:cs="Arial"/>
          <w:lang w:eastAsia="en-AU"/>
        </w:rPr>
      </w:pPr>
      <w:proofErr w:type="spellStart"/>
      <w:r w:rsidRPr="00EA305A">
        <w:rPr>
          <w:rFonts w:asciiTheme="majorHAnsi" w:hAnsiTheme="majorHAnsi"/>
        </w:rPr>
        <w:t>Komuro</w:t>
      </w:r>
      <w:proofErr w:type="spellEnd"/>
      <w:r w:rsidRPr="00EA305A">
        <w:rPr>
          <w:rFonts w:asciiTheme="majorHAnsi" w:hAnsiTheme="majorHAnsi"/>
        </w:rPr>
        <w:t xml:space="preserve">, Y, </w:t>
      </w:r>
      <w:proofErr w:type="spellStart"/>
      <w:r w:rsidRPr="00EA305A">
        <w:rPr>
          <w:rFonts w:asciiTheme="majorHAnsi" w:hAnsiTheme="majorHAnsi"/>
        </w:rPr>
        <w:t>Tochihara</w:t>
      </w:r>
      <w:proofErr w:type="spellEnd"/>
      <w:r w:rsidRPr="00EA305A">
        <w:rPr>
          <w:rFonts w:asciiTheme="majorHAnsi" w:hAnsiTheme="majorHAnsi"/>
        </w:rPr>
        <w:t xml:space="preserve">, H, </w:t>
      </w:r>
      <w:proofErr w:type="spellStart"/>
      <w:r w:rsidRPr="00EA305A">
        <w:rPr>
          <w:rFonts w:asciiTheme="majorHAnsi" w:hAnsiTheme="majorHAnsi"/>
        </w:rPr>
        <w:t>Fukatsu</w:t>
      </w:r>
      <w:proofErr w:type="spellEnd"/>
      <w:r w:rsidRPr="00EA305A">
        <w:rPr>
          <w:rFonts w:asciiTheme="majorHAnsi" w:hAnsiTheme="majorHAnsi"/>
        </w:rPr>
        <w:t xml:space="preserve">, R, Nagai, Y &amp; </w:t>
      </w:r>
      <w:proofErr w:type="spellStart"/>
      <w:r w:rsidRPr="00EA305A">
        <w:rPr>
          <w:rFonts w:asciiTheme="majorHAnsi" w:hAnsiTheme="majorHAnsi"/>
        </w:rPr>
        <w:t>Yoneyama</w:t>
      </w:r>
      <w:proofErr w:type="spellEnd"/>
      <w:r w:rsidRPr="00EA305A">
        <w:rPr>
          <w:rFonts w:asciiTheme="majorHAnsi" w:hAnsiTheme="majorHAnsi"/>
        </w:rPr>
        <w:t>, S 1971, ‘</w:t>
      </w:r>
      <w:r w:rsidRPr="00EA305A">
        <w:rPr>
          <w:rFonts w:asciiTheme="majorHAnsi" w:hAnsiTheme="majorHAnsi"/>
          <w:i/>
        </w:rPr>
        <w:t>Cucumber green mottle mosaic virus</w:t>
      </w:r>
      <w:r w:rsidRPr="00EA305A">
        <w:rPr>
          <w:rFonts w:asciiTheme="majorHAnsi" w:hAnsiTheme="majorHAnsi"/>
        </w:rPr>
        <w:t xml:space="preserve"> (watermelon strain) in watermelon and its relation to the fruit deterioration</w:t>
      </w:r>
      <w:r w:rsidRPr="00EA305A">
        <w:rPr>
          <w:rFonts w:asciiTheme="majorHAnsi" w:eastAsia="Times New Roman" w:hAnsiTheme="majorHAnsi" w:cs="Arial"/>
          <w:lang w:eastAsia="en-AU"/>
        </w:rPr>
        <w:t xml:space="preserve"> known as `</w:t>
      </w:r>
      <w:proofErr w:type="spellStart"/>
      <w:r w:rsidRPr="00EA305A">
        <w:rPr>
          <w:rFonts w:asciiTheme="majorHAnsi" w:eastAsia="Times New Roman" w:hAnsiTheme="majorHAnsi" w:cs="Arial"/>
          <w:lang w:eastAsia="en-AU"/>
        </w:rPr>
        <w:t>Konnyaku</w:t>
      </w:r>
      <w:proofErr w:type="spellEnd"/>
      <w:r w:rsidRPr="00EA305A">
        <w:rPr>
          <w:rFonts w:asciiTheme="majorHAnsi" w:eastAsia="Times New Roman" w:hAnsiTheme="majorHAnsi" w:cs="Arial"/>
          <w:lang w:eastAsia="en-AU"/>
        </w:rPr>
        <w:t xml:space="preserve">' disease’, </w:t>
      </w:r>
      <w:r w:rsidRPr="00EA305A">
        <w:rPr>
          <w:rFonts w:asciiTheme="majorHAnsi" w:eastAsia="Times New Roman" w:hAnsiTheme="majorHAnsi" w:cs="Arial"/>
          <w:i/>
          <w:lang w:eastAsia="en-AU"/>
        </w:rPr>
        <w:t xml:space="preserve">Annals of the </w:t>
      </w:r>
      <w:proofErr w:type="spellStart"/>
      <w:r w:rsidRPr="00EA305A">
        <w:rPr>
          <w:rFonts w:asciiTheme="majorHAnsi" w:eastAsia="Times New Roman" w:hAnsiTheme="majorHAnsi" w:cs="Arial"/>
          <w:i/>
          <w:lang w:eastAsia="en-AU"/>
        </w:rPr>
        <w:t>Phytopathological</w:t>
      </w:r>
      <w:proofErr w:type="spellEnd"/>
      <w:r w:rsidRPr="00EA305A">
        <w:rPr>
          <w:rFonts w:asciiTheme="majorHAnsi" w:eastAsia="Times New Roman" w:hAnsiTheme="majorHAnsi" w:cs="Arial"/>
          <w:i/>
          <w:lang w:eastAsia="en-AU"/>
        </w:rPr>
        <w:t xml:space="preserve"> Society of Japan</w:t>
      </w:r>
      <w:r w:rsidRPr="00EA305A">
        <w:rPr>
          <w:rFonts w:asciiTheme="majorHAnsi" w:eastAsia="Times New Roman" w:hAnsiTheme="majorHAnsi" w:cs="Arial"/>
          <w:lang w:eastAsia="en-AU"/>
        </w:rPr>
        <w:t>, vol. 37, pp. 34–42.</w:t>
      </w:r>
    </w:p>
    <w:p w14:paraId="179606B6" w14:textId="77777777" w:rsidR="008163B6" w:rsidRPr="00EA305A" w:rsidRDefault="00F709BD" w:rsidP="008E43DA">
      <w:pPr>
        <w:autoSpaceDE w:val="0"/>
        <w:autoSpaceDN w:val="0"/>
        <w:adjustRightInd w:val="0"/>
        <w:spacing w:before="120" w:after="120" w:line="271" w:lineRule="auto"/>
        <w:rPr>
          <w:rFonts w:asciiTheme="majorHAnsi" w:hAnsiTheme="majorHAnsi"/>
          <w:lang w:eastAsia="en-AU"/>
        </w:rPr>
      </w:pPr>
      <w:proofErr w:type="spellStart"/>
      <w:r w:rsidRPr="00EA305A">
        <w:rPr>
          <w:rFonts w:asciiTheme="majorHAnsi" w:hAnsiTheme="majorHAnsi"/>
          <w:lang w:eastAsia="en-AU"/>
        </w:rPr>
        <w:t>Komuro</w:t>
      </w:r>
      <w:proofErr w:type="spellEnd"/>
      <w:r w:rsidRPr="00EA305A">
        <w:rPr>
          <w:rFonts w:asciiTheme="majorHAnsi" w:hAnsiTheme="majorHAnsi"/>
          <w:lang w:eastAsia="en-AU"/>
        </w:rPr>
        <w:t xml:space="preserve">, Y, </w:t>
      </w:r>
      <w:proofErr w:type="spellStart"/>
      <w:r w:rsidRPr="00EA305A">
        <w:rPr>
          <w:rFonts w:asciiTheme="majorHAnsi" w:hAnsiTheme="majorHAnsi"/>
          <w:lang w:eastAsia="en-AU"/>
        </w:rPr>
        <w:t>Tochihara</w:t>
      </w:r>
      <w:proofErr w:type="spellEnd"/>
      <w:r w:rsidRPr="00EA305A">
        <w:rPr>
          <w:rFonts w:asciiTheme="majorHAnsi" w:hAnsiTheme="majorHAnsi"/>
          <w:lang w:eastAsia="en-AU"/>
        </w:rPr>
        <w:t xml:space="preserve">, H, </w:t>
      </w:r>
      <w:proofErr w:type="spellStart"/>
      <w:r w:rsidRPr="00EA305A">
        <w:rPr>
          <w:rFonts w:asciiTheme="majorHAnsi" w:hAnsiTheme="majorHAnsi"/>
          <w:lang w:eastAsia="en-AU"/>
        </w:rPr>
        <w:t>Fukatsu</w:t>
      </w:r>
      <w:proofErr w:type="spellEnd"/>
      <w:r w:rsidRPr="00EA305A">
        <w:rPr>
          <w:rFonts w:asciiTheme="majorHAnsi" w:hAnsiTheme="majorHAnsi"/>
          <w:lang w:eastAsia="en-AU"/>
        </w:rPr>
        <w:t xml:space="preserve">, R, Nagai, Y &amp; </w:t>
      </w:r>
      <w:proofErr w:type="spellStart"/>
      <w:r w:rsidRPr="00EA305A">
        <w:rPr>
          <w:rFonts w:asciiTheme="majorHAnsi" w:hAnsiTheme="majorHAnsi"/>
          <w:lang w:eastAsia="en-AU"/>
        </w:rPr>
        <w:t>Yoneyama</w:t>
      </w:r>
      <w:proofErr w:type="spellEnd"/>
      <w:r w:rsidRPr="00EA305A">
        <w:rPr>
          <w:rFonts w:asciiTheme="majorHAnsi" w:hAnsiTheme="majorHAnsi"/>
          <w:lang w:eastAsia="en-AU"/>
        </w:rPr>
        <w:t>, S 1968, ‘</w:t>
      </w:r>
      <w:r w:rsidRPr="00EA305A">
        <w:rPr>
          <w:rFonts w:asciiTheme="majorHAnsi" w:hAnsiTheme="majorHAnsi"/>
          <w:i/>
          <w:lang w:eastAsia="en-AU"/>
        </w:rPr>
        <w:t>Cucumber green mottle mosaic virus</w:t>
      </w:r>
      <w:r w:rsidRPr="00EA305A">
        <w:rPr>
          <w:rFonts w:asciiTheme="majorHAnsi" w:hAnsiTheme="majorHAnsi"/>
          <w:lang w:eastAsia="en-AU"/>
        </w:rPr>
        <w:t xml:space="preserve"> on watermelon in Chiba and Ibaraki Prefectures (in Japanese)’, </w:t>
      </w:r>
      <w:r w:rsidRPr="00EA305A">
        <w:rPr>
          <w:rFonts w:asciiTheme="majorHAnsi" w:eastAsia="Times New Roman" w:hAnsiTheme="majorHAnsi" w:cs="Arial"/>
          <w:i/>
          <w:lang w:eastAsia="en-AU"/>
        </w:rPr>
        <w:t xml:space="preserve">Annals of the </w:t>
      </w:r>
      <w:proofErr w:type="spellStart"/>
      <w:r w:rsidRPr="00EA305A">
        <w:rPr>
          <w:rFonts w:asciiTheme="majorHAnsi" w:eastAsia="Times New Roman" w:hAnsiTheme="majorHAnsi" w:cs="Arial"/>
          <w:i/>
          <w:lang w:eastAsia="en-AU"/>
        </w:rPr>
        <w:t>Phytopathological</w:t>
      </w:r>
      <w:proofErr w:type="spellEnd"/>
      <w:r w:rsidRPr="00EA305A">
        <w:rPr>
          <w:rFonts w:asciiTheme="majorHAnsi" w:eastAsia="Times New Roman" w:hAnsiTheme="majorHAnsi" w:cs="Arial"/>
          <w:i/>
          <w:lang w:eastAsia="en-AU"/>
        </w:rPr>
        <w:t xml:space="preserve"> Society of Japan</w:t>
      </w:r>
      <w:r w:rsidRPr="00EA305A">
        <w:rPr>
          <w:rFonts w:asciiTheme="majorHAnsi" w:hAnsiTheme="majorHAnsi"/>
          <w:lang w:eastAsia="en-AU"/>
        </w:rPr>
        <w:t>, vol. 34, pp. 377.</w:t>
      </w:r>
    </w:p>
    <w:p w14:paraId="2BFC9FAE" w14:textId="77777777" w:rsidR="008163B6" w:rsidRPr="00EA305A" w:rsidRDefault="00F709BD" w:rsidP="008E43DA">
      <w:pPr>
        <w:spacing w:before="120" w:after="120" w:line="271" w:lineRule="auto"/>
        <w:rPr>
          <w:rFonts w:asciiTheme="majorHAnsi" w:eastAsia="Times New Roman" w:hAnsiTheme="majorHAnsi" w:cs="Arial"/>
          <w:lang w:eastAsia="en-AU"/>
        </w:rPr>
      </w:pPr>
      <w:proofErr w:type="spellStart"/>
      <w:r w:rsidRPr="00EA305A">
        <w:rPr>
          <w:rFonts w:asciiTheme="majorHAnsi" w:eastAsia="Times New Roman" w:hAnsiTheme="majorHAnsi" w:cs="Arial"/>
          <w:lang w:eastAsia="en-AU"/>
        </w:rPr>
        <w:t>Kurowski</w:t>
      </w:r>
      <w:proofErr w:type="spellEnd"/>
      <w:r w:rsidRPr="00EA305A">
        <w:rPr>
          <w:rFonts w:asciiTheme="majorHAnsi" w:eastAsia="Times New Roman" w:hAnsiTheme="majorHAnsi" w:cs="Arial"/>
          <w:lang w:eastAsia="en-AU"/>
        </w:rPr>
        <w:t xml:space="preserve">, C, Conn, K, </w:t>
      </w:r>
      <w:proofErr w:type="spellStart"/>
      <w:r w:rsidRPr="00EA305A">
        <w:rPr>
          <w:rFonts w:asciiTheme="majorHAnsi" w:eastAsia="Times New Roman" w:hAnsiTheme="majorHAnsi" w:cs="Arial"/>
          <w:lang w:eastAsia="en-AU"/>
        </w:rPr>
        <w:t>Lutton</w:t>
      </w:r>
      <w:proofErr w:type="spellEnd"/>
      <w:r w:rsidRPr="00EA305A">
        <w:rPr>
          <w:rFonts w:asciiTheme="majorHAnsi" w:eastAsia="Times New Roman" w:hAnsiTheme="majorHAnsi" w:cs="Arial"/>
          <w:lang w:eastAsia="en-AU"/>
        </w:rPr>
        <w:t>, J &amp; Rosenberger, S 2015, ‘Cucurbit disease field guide’, available at seminisus.s3.amazonaws.com/wp-content/uploads/2015/01/Disease-Guide-Final-012015.pdf.</w:t>
      </w:r>
    </w:p>
    <w:p w14:paraId="1586ACC2"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Kwon, JY, Hong, JS, Kim, MJ, Choi, SH, Min, BE, Song, EG, Kim, HH &amp; </w:t>
      </w:r>
      <w:proofErr w:type="spellStart"/>
      <w:r w:rsidRPr="00EA305A">
        <w:rPr>
          <w:rFonts w:asciiTheme="majorHAnsi" w:hAnsiTheme="majorHAnsi"/>
          <w:bCs/>
          <w:sz w:val="22"/>
        </w:rPr>
        <w:t>Ryu</w:t>
      </w:r>
      <w:proofErr w:type="spellEnd"/>
      <w:r w:rsidRPr="00EA305A">
        <w:rPr>
          <w:rFonts w:asciiTheme="majorHAnsi" w:hAnsiTheme="majorHAnsi"/>
          <w:bCs/>
          <w:sz w:val="22"/>
        </w:rPr>
        <w:t xml:space="preserve">, RH 2014, ‘Simultaneous multiplex PCR detection of seven cucurbit-infecting viruses’, </w:t>
      </w:r>
      <w:r w:rsidRPr="00EA305A">
        <w:rPr>
          <w:rFonts w:asciiTheme="majorHAnsi" w:hAnsiTheme="majorHAnsi"/>
          <w:bCs/>
          <w:i/>
          <w:sz w:val="22"/>
        </w:rPr>
        <w:t>Journal of Virological Methods</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w:t>
      </w:r>
      <w:r w:rsidRPr="00EA305A">
        <w:rPr>
          <w:rFonts w:asciiTheme="majorHAnsi" w:hAnsiTheme="majorHAnsi"/>
          <w:bCs/>
          <w:i/>
          <w:sz w:val="22"/>
        </w:rPr>
        <w:t xml:space="preserve"> </w:t>
      </w:r>
      <w:r w:rsidRPr="00EA305A">
        <w:rPr>
          <w:rFonts w:asciiTheme="majorHAnsi" w:hAnsiTheme="majorHAnsi"/>
          <w:bCs/>
          <w:sz w:val="22"/>
        </w:rPr>
        <w:t>206, pp. 133–139.</w:t>
      </w:r>
    </w:p>
    <w:p w14:paraId="6A9E3A15"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Lecoq</w:t>
      </w:r>
      <w:proofErr w:type="spellEnd"/>
      <w:r w:rsidRPr="00EA305A">
        <w:rPr>
          <w:rFonts w:asciiTheme="majorHAnsi" w:hAnsiTheme="majorHAnsi"/>
          <w:bCs/>
          <w:sz w:val="22"/>
        </w:rPr>
        <w:t xml:space="preserve">, H &amp; </w:t>
      </w:r>
      <w:proofErr w:type="spellStart"/>
      <w:r w:rsidRPr="00EA305A">
        <w:rPr>
          <w:rFonts w:asciiTheme="majorHAnsi" w:hAnsiTheme="majorHAnsi"/>
          <w:bCs/>
          <w:sz w:val="22"/>
        </w:rPr>
        <w:t>Desbiez</w:t>
      </w:r>
      <w:proofErr w:type="spellEnd"/>
      <w:r w:rsidRPr="00EA305A">
        <w:rPr>
          <w:rFonts w:asciiTheme="majorHAnsi" w:hAnsiTheme="majorHAnsi"/>
          <w:bCs/>
          <w:sz w:val="22"/>
        </w:rPr>
        <w:t xml:space="preserve">, C 2012, ‘Viruses of cucurbit crops in the Mediterranean region: an ever-changing picture’, </w:t>
      </w:r>
      <w:r w:rsidRPr="00EA305A">
        <w:rPr>
          <w:rFonts w:asciiTheme="majorHAnsi" w:hAnsiTheme="majorHAnsi"/>
          <w:bCs/>
          <w:i/>
          <w:sz w:val="22"/>
        </w:rPr>
        <w:t>Advances in Virus Research</w:t>
      </w:r>
      <w:r w:rsidRPr="00EA305A">
        <w:rPr>
          <w:rFonts w:asciiTheme="majorHAnsi" w:hAnsiTheme="majorHAnsi"/>
          <w:bCs/>
          <w:sz w:val="22"/>
        </w:rPr>
        <w:t>, no. 84, pp. 67–126.</w:t>
      </w:r>
    </w:p>
    <w:p w14:paraId="53272CE4"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Lecoq</w:t>
      </w:r>
      <w:proofErr w:type="spellEnd"/>
      <w:r w:rsidRPr="00EA305A">
        <w:rPr>
          <w:rFonts w:asciiTheme="majorHAnsi" w:hAnsiTheme="majorHAnsi"/>
          <w:bCs/>
          <w:sz w:val="22"/>
        </w:rPr>
        <w:t xml:space="preserve">, H &amp; </w:t>
      </w:r>
      <w:proofErr w:type="spellStart"/>
      <w:r w:rsidRPr="00EA305A">
        <w:rPr>
          <w:rFonts w:asciiTheme="majorHAnsi" w:hAnsiTheme="majorHAnsi"/>
          <w:bCs/>
          <w:sz w:val="22"/>
        </w:rPr>
        <w:t>Katis</w:t>
      </w:r>
      <w:proofErr w:type="spellEnd"/>
      <w:r w:rsidRPr="00EA305A">
        <w:rPr>
          <w:rFonts w:asciiTheme="majorHAnsi" w:hAnsiTheme="majorHAnsi"/>
          <w:bCs/>
          <w:sz w:val="22"/>
        </w:rPr>
        <w:t xml:space="preserve">, N 2014, ‘Control of cucurbit viruses’, </w:t>
      </w:r>
      <w:r w:rsidRPr="00EA305A">
        <w:rPr>
          <w:rFonts w:asciiTheme="majorHAnsi" w:hAnsiTheme="majorHAnsi"/>
          <w:bCs/>
          <w:i/>
          <w:sz w:val="22"/>
        </w:rPr>
        <w:t>Advances in Virus Research</w:t>
      </w:r>
      <w:r w:rsidRPr="00EA305A">
        <w:rPr>
          <w:rFonts w:asciiTheme="majorHAnsi" w:hAnsiTheme="majorHAnsi"/>
          <w:bCs/>
          <w:sz w:val="22"/>
        </w:rPr>
        <w:t>, no. 90, pp. 255–295.</w:t>
      </w:r>
    </w:p>
    <w:p w14:paraId="20F20AEF"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Lee, KW, Lee, BC, Park, HC &amp; Lee, YS 1990, ‘Occurrence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disease watermelon in Korea’, </w:t>
      </w:r>
      <w:r w:rsidRPr="00EA305A">
        <w:rPr>
          <w:rFonts w:asciiTheme="majorHAnsi" w:hAnsiTheme="majorHAnsi"/>
          <w:bCs/>
          <w:i/>
          <w:sz w:val="22"/>
        </w:rPr>
        <w:t>Korean Journal of Plant 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6, no. 2, pp. 250–255.</w:t>
      </w:r>
    </w:p>
    <w:p w14:paraId="009A4014" w14:textId="77777777" w:rsidR="008163B6" w:rsidRPr="00EA305A" w:rsidRDefault="00F709BD" w:rsidP="008E43DA">
      <w:pPr>
        <w:autoSpaceDE w:val="0"/>
        <w:autoSpaceDN w:val="0"/>
        <w:adjustRightInd w:val="0"/>
        <w:spacing w:before="120" w:after="120" w:line="271" w:lineRule="auto"/>
        <w:rPr>
          <w:rFonts w:asciiTheme="majorHAnsi" w:hAnsiTheme="majorHAnsi"/>
          <w:bCs/>
        </w:rPr>
      </w:pPr>
      <w:r w:rsidRPr="00EA305A">
        <w:rPr>
          <w:rFonts w:asciiTheme="majorHAnsi" w:hAnsiTheme="majorHAnsi"/>
          <w:bCs/>
        </w:rPr>
        <w:t xml:space="preserve">Lee, KY 1996, ‘Current </w:t>
      </w:r>
      <w:proofErr w:type="spellStart"/>
      <w:r w:rsidRPr="00EA305A">
        <w:rPr>
          <w:rFonts w:asciiTheme="majorHAnsi" w:hAnsiTheme="majorHAnsi"/>
          <w:bCs/>
        </w:rPr>
        <w:t>occurance</w:t>
      </w:r>
      <w:proofErr w:type="spellEnd"/>
      <w:r w:rsidRPr="00EA305A">
        <w:rPr>
          <w:rFonts w:asciiTheme="majorHAnsi" w:hAnsiTheme="majorHAnsi"/>
          <w:bCs/>
        </w:rPr>
        <w:t xml:space="preserve"> and control of CGMMV </w:t>
      </w:r>
      <w:proofErr w:type="spellStart"/>
      <w:r w:rsidRPr="00EA305A">
        <w:rPr>
          <w:rFonts w:asciiTheme="majorHAnsi" w:hAnsiTheme="majorHAnsi"/>
          <w:bCs/>
        </w:rPr>
        <w:t>konjak</w:t>
      </w:r>
      <w:proofErr w:type="spellEnd"/>
      <w:r w:rsidRPr="00EA305A">
        <w:rPr>
          <w:rFonts w:asciiTheme="majorHAnsi" w:hAnsiTheme="majorHAnsi"/>
          <w:bCs/>
        </w:rPr>
        <w:t xml:space="preserve"> disease’, </w:t>
      </w:r>
      <w:r w:rsidRPr="00EA305A">
        <w:rPr>
          <w:rFonts w:asciiTheme="majorHAnsi" w:hAnsiTheme="majorHAnsi"/>
          <w:bCs/>
          <w:i/>
        </w:rPr>
        <w:t>Plant Disease and Agriculture</w:t>
      </w:r>
      <w:r w:rsidRPr="00EA305A">
        <w:rPr>
          <w:rFonts w:asciiTheme="majorHAnsi" w:hAnsiTheme="majorHAnsi"/>
          <w:bCs/>
        </w:rPr>
        <w:t>, vol. 2, pp. 38–39.</w:t>
      </w:r>
    </w:p>
    <w:p w14:paraId="3898FD28" w14:textId="72F10C92" w:rsidR="008163B6" w:rsidRPr="00EA305A" w:rsidRDefault="00F709BD" w:rsidP="008E43DA">
      <w:pPr>
        <w:autoSpaceDE w:val="0"/>
        <w:autoSpaceDN w:val="0"/>
        <w:adjustRightInd w:val="0"/>
        <w:spacing w:before="120" w:after="120" w:line="271" w:lineRule="auto"/>
        <w:rPr>
          <w:rFonts w:asciiTheme="majorHAnsi" w:hAnsiTheme="majorHAnsi"/>
          <w:bCs/>
        </w:rPr>
      </w:pPr>
      <w:r w:rsidRPr="00EA305A">
        <w:rPr>
          <w:rFonts w:asciiTheme="majorHAnsi" w:hAnsiTheme="majorHAnsi"/>
          <w:bCs/>
        </w:rPr>
        <w:t xml:space="preserve">Lewandowski, DJ 2000, ‘Genus </w:t>
      </w:r>
      <w:proofErr w:type="spellStart"/>
      <w:r w:rsidRPr="00EA305A">
        <w:rPr>
          <w:rFonts w:asciiTheme="majorHAnsi" w:hAnsiTheme="majorHAnsi"/>
          <w:bCs/>
        </w:rPr>
        <w:t>tobamovirus</w:t>
      </w:r>
      <w:proofErr w:type="spellEnd"/>
      <w:r w:rsidRPr="00EA305A">
        <w:rPr>
          <w:rFonts w:asciiTheme="majorHAnsi" w:hAnsiTheme="majorHAnsi"/>
          <w:bCs/>
        </w:rPr>
        <w:t xml:space="preserve">’, </w:t>
      </w:r>
      <w:r w:rsidR="000704EE">
        <w:rPr>
          <w:rFonts w:asciiTheme="majorHAnsi" w:hAnsiTheme="majorHAnsi"/>
          <w:bCs/>
        </w:rPr>
        <w:t>I</w:t>
      </w:r>
      <w:r w:rsidRPr="00EA305A">
        <w:rPr>
          <w:rFonts w:asciiTheme="majorHAnsi" w:hAnsiTheme="majorHAnsi"/>
          <w:bCs/>
        </w:rPr>
        <w:t xml:space="preserve">n: Van </w:t>
      </w:r>
      <w:proofErr w:type="spellStart"/>
      <w:r w:rsidRPr="00EA305A">
        <w:rPr>
          <w:rFonts w:asciiTheme="majorHAnsi" w:hAnsiTheme="majorHAnsi"/>
          <w:bCs/>
        </w:rPr>
        <w:t>Regenmortel</w:t>
      </w:r>
      <w:proofErr w:type="spellEnd"/>
      <w:r w:rsidRPr="00EA305A">
        <w:rPr>
          <w:rFonts w:asciiTheme="majorHAnsi" w:hAnsiTheme="majorHAnsi"/>
          <w:bCs/>
        </w:rPr>
        <w:t xml:space="preserve"> MHV, </w:t>
      </w:r>
      <w:proofErr w:type="spellStart"/>
      <w:r w:rsidRPr="00EA305A">
        <w:rPr>
          <w:rFonts w:asciiTheme="majorHAnsi" w:hAnsiTheme="majorHAnsi"/>
          <w:bCs/>
        </w:rPr>
        <w:t>Fauquet</w:t>
      </w:r>
      <w:proofErr w:type="spellEnd"/>
      <w:r w:rsidRPr="00EA305A">
        <w:rPr>
          <w:rFonts w:asciiTheme="majorHAnsi" w:hAnsiTheme="majorHAnsi"/>
          <w:bCs/>
        </w:rPr>
        <w:t xml:space="preserve"> CM, Bishop DHL et al. (</w:t>
      </w:r>
      <w:proofErr w:type="spellStart"/>
      <w:r w:rsidRPr="00EA305A">
        <w:rPr>
          <w:rFonts w:asciiTheme="majorHAnsi" w:hAnsiTheme="majorHAnsi"/>
          <w:bCs/>
        </w:rPr>
        <w:t>eds</w:t>
      </w:r>
      <w:proofErr w:type="spellEnd"/>
      <w:r w:rsidRPr="00EA305A">
        <w:rPr>
          <w:rFonts w:asciiTheme="majorHAnsi" w:hAnsiTheme="majorHAnsi"/>
          <w:bCs/>
        </w:rPr>
        <w:t xml:space="preserve">), </w:t>
      </w:r>
      <w:r w:rsidRPr="00EA305A">
        <w:rPr>
          <w:rFonts w:asciiTheme="majorHAnsi" w:hAnsiTheme="majorHAnsi"/>
          <w:bCs/>
          <w:i/>
        </w:rPr>
        <w:t>Virus Taxonomy</w:t>
      </w:r>
      <w:r w:rsidRPr="00EA305A">
        <w:rPr>
          <w:rFonts w:asciiTheme="majorHAnsi" w:hAnsiTheme="majorHAnsi"/>
          <w:bCs/>
        </w:rPr>
        <w:t>, Seventh Report of the International Committee on Taxonomy of Viruses, Academic Press, San Diego, CA, USA.</w:t>
      </w:r>
    </w:p>
    <w:p w14:paraId="6034C2B8" w14:textId="247C1F0C"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Ling ,KS, Li, R &amp; Zhang, W 2014, ‘First report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infecting greenhouse cucumber in Canada’, </w:t>
      </w:r>
      <w:r w:rsidRPr="00EA305A">
        <w:rPr>
          <w:rFonts w:asciiTheme="majorHAnsi" w:hAnsiTheme="majorHAnsi"/>
          <w:bCs/>
          <w:i/>
          <w:sz w:val="22"/>
        </w:rPr>
        <w:t>Plant Disease</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w:t>
      </w:r>
      <w:r w:rsidRPr="00EA305A">
        <w:rPr>
          <w:rFonts w:asciiTheme="majorHAnsi" w:hAnsiTheme="majorHAnsi"/>
          <w:bCs/>
          <w:i/>
          <w:sz w:val="22"/>
        </w:rPr>
        <w:t xml:space="preserve"> </w:t>
      </w:r>
      <w:r w:rsidRPr="00EA305A">
        <w:rPr>
          <w:rFonts w:asciiTheme="majorHAnsi" w:hAnsiTheme="majorHAnsi"/>
          <w:bCs/>
          <w:sz w:val="22"/>
        </w:rPr>
        <w:t>98, no.</w:t>
      </w:r>
      <w:r w:rsidR="000704EE">
        <w:rPr>
          <w:rFonts w:asciiTheme="majorHAnsi" w:hAnsiTheme="majorHAnsi"/>
          <w:bCs/>
          <w:sz w:val="22"/>
        </w:rPr>
        <w:t xml:space="preserve"> </w:t>
      </w:r>
      <w:r w:rsidRPr="00EA305A">
        <w:rPr>
          <w:rFonts w:asciiTheme="majorHAnsi" w:hAnsiTheme="majorHAnsi"/>
          <w:bCs/>
          <w:sz w:val="22"/>
        </w:rPr>
        <w:t>5, pp. 701.</w:t>
      </w:r>
    </w:p>
    <w:p w14:paraId="631EF451"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Liu, HW, Luo, LX, Li, JQ, Liu, PF, Chen, XY &amp; </w:t>
      </w:r>
      <w:proofErr w:type="spellStart"/>
      <w:r w:rsidRPr="00EA305A">
        <w:rPr>
          <w:rFonts w:asciiTheme="majorHAnsi" w:hAnsiTheme="majorHAnsi"/>
          <w:bCs/>
          <w:sz w:val="22"/>
        </w:rPr>
        <w:t>Hao</w:t>
      </w:r>
      <w:proofErr w:type="spellEnd"/>
      <w:r w:rsidRPr="00EA305A">
        <w:rPr>
          <w:rFonts w:asciiTheme="majorHAnsi" w:hAnsiTheme="majorHAnsi"/>
          <w:bCs/>
          <w:sz w:val="22"/>
        </w:rPr>
        <w:t xml:space="preserve"> JJ 2014, ‘Pollen and seed transmission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 cucumber’, </w:t>
      </w:r>
      <w:r w:rsidRPr="00EA305A">
        <w:rPr>
          <w:rFonts w:asciiTheme="majorHAnsi" w:hAnsiTheme="majorHAnsi"/>
          <w:bCs/>
          <w:i/>
          <w:sz w:val="22"/>
        </w:rPr>
        <w:t>Plant 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63, pp. 72–77.</w:t>
      </w:r>
    </w:p>
    <w:p w14:paraId="358FC1B6" w14:textId="77777777" w:rsidR="008163B6" w:rsidRPr="00EA305A" w:rsidRDefault="00F709BD" w:rsidP="008E43DA">
      <w:pPr>
        <w:pStyle w:val="Header"/>
        <w:snapToGrid w:val="0"/>
        <w:spacing w:before="120" w:after="120" w:line="271" w:lineRule="auto"/>
        <w:jc w:val="left"/>
        <w:rPr>
          <w:rFonts w:asciiTheme="majorHAnsi" w:hAnsiTheme="majorHAnsi"/>
          <w:bCs/>
          <w:sz w:val="22"/>
        </w:rPr>
      </w:pPr>
      <w:r w:rsidRPr="00EA305A">
        <w:rPr>
          <w:rFonts w:asciiTheme="majorHAnsi" w:hAnsiTheme="majorHAnsi"/>
          <w:bCs/>
          <w:sz w:val="22"/>
        </w:rPr>
        <w:t xml:space="preserve">Liu, Y, Wang, Y, Wang, X &amp; Zhou, G 2009, ‘Molecular characterization and distribution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 China’, </w:t>
      </w:r>
      <w:r w:rsidRPr="00EA305A">
        <w:rPr>
          <w:rFonts w:asciiTheme="majorHAnsi" w:hAnsiTheme="majorHAnsi"/>
          <w:bCs/>
          <w:i/>
          <w:sz w:val="22"/>
        </w:rPr>
        <w:t xml:space="preserve">Journal of Phytopathology, </w:t>
      </w:r>
      <w:r w:rsidRPr="00EA305A">
        <w:rPr>
          <w:rFonts w:asciiTheme="majorHAnsi" w:hAnsiTheme="majorHAnsi"/>
          <w:bCs/>
          <w:sz w:val="22"/>
        </w:rPr>
        <w:t>vol.157, no. 7–8, pp. 393–399.</w:t>
      </w:r>
    </w:p>
    <w:p w14:paraId="67072760" w14:textId="77777777" w:rsidR="008163B6" w:rsidRPr="00EA305A" w:rsidRDefault="00F709BD" w:rsidP="008E43DA">
      <w:pPr>
        <w:pStyle w:val="Header"/>
        <w:snapToGrid w:val="0"/>
        <w:spacing w:before="120" w:after="120" w:line="271" w:lineRule="auto"/>
        <w:jc w:val="left"/>
        <w:rPr>
          <w:rFonts w:asciiTheme="majorHAnsi" w:hAnsiTheme="majorHAnsi"/>
          <w:bCs/>
          <w:sz w:val="22"/>
        </w:rPr>
      </w:pPr>
      <w:proofErr w:type="spellStart"/>
      <w:r w:rsidRPr="00EA305A">
        <w:rPr>
          <w:rFonts w:asciiTheme="majorHAnsi" w:hAnsiTheme="majorHAnsi"/>
          <w:bCs/>
          <w:sz w:val="22"/>
        </w:rPr>
        <w:t>Mabberley</w:t>
      </w:r>
      <w:proofErr w:type="spellEnd"/>
      <w:r w:rsidRPr="00EA305A">
        <w:rPr>
          <w:rFonts w:asciiTheme="majorHAnsi" w:hAnsiTheme="majorHAnsi"/>
          <w:bCs/>
          <w:sz w:val="22"/>
        </w:rPr>
        <w:t xml:space="preserve">, DJ 2008, </w:t>
      </w:r>
      <w:proofErr w:type="spellStart"/>
      <w:r w:rsidR="008163B6" w:rsidRPr="00EA305A">
        <w:rPr>
          <w:rFonts w:asciiTheme="majorHAnsi" w:hAnsiTheme="majorHAnsi"/>
          <w:bCs/>
          <w:i/>
          <w:sz w:val="22"/>
        </w:rPr>
        <w:t>Mabberley’s</w:t>
      </w:r>
      <w:proofErr w:type="spellEnd"/>
      <w:r w:rsidR="008163B6" w:rsidRPr="00EA305A">
        <w:rPr>
          <w:rFonts w:asciiTheme="majorHAnsi" w:hAnsiTheme="majorHAnsi"/>
          <w:bCs/>
          <w:i/>
          <w:sz w:val="22"/>
        </w:rPr>
        <w:t xml:space="preserve"> plant-book: A portable dictionary of plants, their classification and uses</w:t>
      </w:r>
      <w:r w:rsidRPr="00EA305A">
        <w:rPr>
          <w:rFonts w:asciiTheme="majorHAnsi" w:hAnsiTheme="majorHAnsi"/>
          <w:bCs/>
          <w:sz w:val="22"/>
        </w:rPr>
        <w:t>, Cambridge University Press.</w:t>
      </w:r>
    </w:p>
    <w:p w14:paraId="187E79ED" w14:textId="179D2F1D" w:rsidR="008163B6" w:rsidRPr="00EA305A" w:rsidRDefault="00F709BD" w:rsidP="008E43DA">
      <w:pPr>
        <w:pStyle w:val="Header"/>
        <w:snapToGrid w:val="0"/>
        <w:spacing w:before="120" w:after="120" w:line="271" w:lineRule="auto"/>
        <w:jc w:val="left"/>
        <w:rPr>
          <w:rFonts w:asciiTheme="majorHAnsi" w:hAnsiTheme="majorHAnsi"/>
          <w:bCs/>
          <w:sz w:val="22"/>
        </w:rPr>
      </w:pPr>
      <w:r w:rsidRPr="00EA305A">
        <w:rPr>
          <w:rFonts w:asciiTheme="majorHAnsi" w:hAnsiTheme="majorHAnsi"/>
          <w:bCs/>
          <w:sz w:val="22"/>
        </w:rPr>
        <w:t xml:space="preserve">Mandal, S, Mandal, B, </w:t>
      </w:r>
      <w:proofErr w:type="spellStart"/>
      <w:r w:rsidRPr="00EA305A">
        <w:rPr>
          <w:rFonts w:asciiTheme="majorHAnsi" w:hAnsiTheme="majorHAnsi"/>
          <w:bCs/>
          <w:sz w:val="22"/>
        </w:rPr>
        <w:t>Mohd</w:t>
      </w:r>
      <w:proofErr w:type="spellEnd"/>
      <w:r w:rsidRPr="00EA305A">
        <w:rPr>
          <w:rFonts w:asciiTheme="majorHAnsi" w:hAnsiTheme="majorHAnsi"/>
          <w:bCs/>
          <w:sz w:val="22"/>
        </w:rPr>
        <w:t>, Q,</w:t>
      </w:r>
      <w:r w:rsidR="005460B9" w:rsidRPr="00EA305A">
        <w:rPr>
          <w:rFonts w:asciiTheme="majorHAnsi" w:hAnsiTheme="majorHAnsi"/>
          <w:bCs/>
          <w:sz w:val="22"/>
        </w:rPr>
        <w:t xml:space="preserve"> </w:t>
      </w:r>
      <w:proofErr w:type="spellStart"/>
      <w:r w:rsidRPr="00EA305A">
        <w:rPr>
          <w:rFonts w:asciiTheme="majorHAnsi" w:hAnsiTheme="majorHAnsi"/>
          <w:bCs/>
          <w:sz w:val="22"/>
        </w:rPr>
        <w:t>Haq</w:t>
      </w:r>
      <w:proofErr w:type="spellEnd"/>
      <w:r w:rsidRPr="00EA305A">
        <w:rPr>
          <w:rFonts w:asciiTheme="majorHAnsi" w:hAnsiTheme="majorHAnsi"/>
          <w:bCs/>
          <w:sz w:val="22"/>
        </w:rPr>
        <w:t xml:space="preserve">, R &amp; Varma, A 2008, ‘Properties, diagnosis and management of </w:t>
      </w:r>
      <w:r w:rsidRPr="00EA305A">
        <w:rPr>
          <w:rFonts w:asciiTheme="majorHAnsi" w:hAnsiTheme="majorHAnsi"/>
          <w:bCs/>
          <w:i/>
          <w:sz w:val="22"/>
        </w:rPr>
        <w:t>Cucumber green mottle mosaic virus</w:t>
      </w:r>
      <w:r w:rsidRPr="00EA305A">
        <w:rPr>
          <w:rFonts w:asciiTheme="majorHAnsi" w:hAnsiTheme="majorHAnsi"/>
          <w:bCs/>
          <w:sz w:val="22"/>
        </w:rPr>
        <w:t xml:space="preserve">, </w:t>
      </w:r>
      <w:r w:rsidRPr="00EA305A">
        <w:rPr>
          <w:rFonts w:asciiTheme="majorHAnsi" w:hAnsiTheme="majorHAnsi"/>
          <w:bCs/>
          <w:i/>
          <w:sz w:val="22"/>
        </w:rPr>
        <w:t>Plant Viruses</w:t>
      </w:r>
      <w:r w:rsidRPr="00EA305A">
        <w:rPr>
          <w:rFonts w:asciiTheme="majorHAnsi" w:hAnsiTheme="majorHAnsi"/>
          <w:bCs/>
          <w:sz w:val="22"/>
        </w:rPr>
        <w:t xml:space="preserve">, </w:t>
      </w:r>
      <w:r w:rsidR="00956054">
        <w:rPr>
          <w:rFonts w:asciiTheme="majorHAnsi" w:hAnsiTheme="majorHAnsi"/>
          <w:bCs/>
          <w:sz w:val="22"/>
        </w:rPr>
        <w:t xml:space="preserve">pp. </w:t>
      </w:r>
      <w:r w:rsidRPr="00EA305A">
        <w:rPr>
          <w:rFonts w:asciiTheme="majorHAnsi" w:hAnsiTheme="majorHAnsi"/>
          <w:bCs/>
          <w:sz w:val="22"/>
        </w:rPr>
        <w:t>25–35.</w:t>
      </w:r>
    </w:p>
    <w:p w14:paraId="471829BA" w14:textId="41BD561B" w:rsidR="008163B6" w:rsidRPr="00EA305A" w:rsidRDefault="00F709BD" w:rsidP="008E43DA">
      <w:pPr>
        <w:autoSpaceDE w:val="0"/>
        <w:autoSpaceDN w:val="0"/>
        <w:adjustRightInd w:val="0"/>
        <w:spacing w:before="120" w:after="120" w:line="271" w:lineRule="auto"/>
        <w:rPr>
          <w:rFonts w:asciiTheme="majorHAnsi" w:hAnsiTheme="majorHAnsi" w:cs="Times New Roman"/>
        </w:rPr>
      </w:pPr>
      <w:r w:rsidRPr="00EA305A">
        <w:rPr>
          <w:rFonts w:asciiTheme="majorHAnsi" w:hAnsiTheme="majorHAnsi" w:cs="Times New Roman"/>
        </w:rPr>
        <w:t>McCormack, JH 2005, ‘Cucurbit seed production: an organic seed production manual for seed growers in the Mid-Atlantic and Southern U.S.’, available at carolinafarmstewards.org/wp-content/uploads/2012/05/Cu</w:t>
      </w:r>
      <w:r w:rsidR="00956054">
        <w:rPr>
          <w:rFonts w:asciiTheme="majorHAnsi" w:hAnsiTheme="majorHAnsi" w:cs="Times New Roman"/>
        </w:rPr>
        <w:t>curbitSeedProductionver1.4.pdf.</w:t>
      </w:r>
    </w:p>
    <w:p w14:paraId="42F15B72" w14:textId="77777777" w:rsidR="008163B6" w:rsidRPr="00EA305A" w:rsidRDefault="00F709BD" w:rsidP="008E43DA">
      <w:pPr>
        <w:pStyle w:val="Header"/>
        <w:spacing w:before="120" w:after="120" w:line="271" w:lineRule="auto"/>
        <w:jc w:val="left"/>
        <w:rPr>
          <w:rFonts w:asciiTheme="majorHAnsi" w:hAnsiTheme="majorHAnsi"/>
          <w:sz w:val="22"/>
        </w:rPr>
      </w:pPr>
      <w:r w:rsidRPr="00EA305A">
        <w:rPr>
          <w:rFonts w:asciiTheme="majorHAnsi" w:hAnsiTheme="majorHAnsi"/>
          <w:sz w:val="22"/>
        </w:rPr>
        <w:t xml:space="preserve">Mink, GI 1993, ‘Pollen and seed-transmitted viruses and viroids’, </w:t>
      </w:r>
      <w:r w:rsidRPr="00EA305A">
        <w:rPr>
          <w:rFonts w:asciiTheme="majorHAnsi" w:hAnsiTheme="majorHAnsi"/>
          <w:i/>
          <w:sz w:val="22"/>
        </w:rPr>
        <w:t>Annual Review of Phytopathology</w:t>
      </w:r>
      <w:r w:rsidRPr="00EA305A">
        <w:rPr>
          <w:rFonts w:asciiTheme="majorHAnsi" w:hAnsiTheme="majorHAnsi"/>
          <w:sz w:val="22"/>
        </w:rPr>
        <w:t xml:space="preserve">, vol. 31, pp. 375–402. </w:t>
      </w:r>
    </w:p>
    <w:p w14:paraId="0CFFDFB1" w14:textId="77777777" w:rsidR="00A4312F" w:rsidRPr="00EA305A" w:rsidRDefault="00A4312F" w:rsidP="008E43DA">
      <w:pPr>
        <w:autoSpaceDE w:val="0"/>
        <w:autoSpaceDN w:val="0"/>
        <w:spacing w:before="120" w:after="120" w:line="271" w:lineRule="auto"/>
        <w:rPr>
          <w:rFonts w:asciiTheme="majorHAnsi" w:hAnsiTheme="majorHAnsi"/>
          <w:bCs/>
        </w:rPr>
      </w:pPr>
      <w:proofErr w:type="spellStart"/>
      <w:r w:rsidRPr="00EA305A">
        <w:rPr>
          <w:rFonts w:asciiTheme="majorHAnsi" w:hAnsiTheme="majorHAnsi"/>
          <w:bCs/>
        </w:rPr>
        <w:lastRenderedPageBreak/>
        <w:t>Moradi</w:t>
      </w:r>
      <w:proofErr w:type="spellEnd"/>
      <w:r w:rsidRPr="00EA305A">
        <w:rPr>
          <w:rFonts w:asciiTheme="majorHAnsi" w:hAnsiTheme="majorHAnsi"/>
          <w:bCs/>
        </w:rPr>
        <w:t xml:space="preserve">, Z &amp; </w:t>
      </w:r>
      <w:proofErr w:type="spellStart"/>
      <w:r w:rsidRPr="00EA305A">
        <w:rPr>
          <w:rFonts w:asciiTheme="majorHAnsi" w:hAnsiTheme="majorHAnsi"/>
          <w:bCs/>
        </w:rPr>
        <w:t>Jafarpour</w:t>
      </w:r>
      <w:proofErr w:type="spellEnd"/>
      <w:r w:rsidRPr="00EA305A">
        <w:rPr>
          <w:rFonts w:asciiTheme="majorHAnsi" w:hAnsiTheme="majorHAnsi"/>
          <w:bCs/>
        </w:rPr>
        <w:t xml:space="preserve">, B 2010, ‘Mixed infections of </w:t>
      </w:r>
      <w:r w:rsidRPr="00EA305A">
        <w:rPr>
          <w:rFonts w:asciiTheme="majorHAnsi" w:hAnsiTheme="majorHAnsi"/>
          <w:bCs/>
          <w:i/>
        </w:rPr>
        <w:t xml:space="preserve">Watermelon mosaic </w:t>
      </w:r>
      <w:proofErr w:type="spellStart"/>
      <w:r w:rsidRPr="00EA305A">
        <w:rPr>
          <w:rFonts w:asciiTheme="majorHAnsi" w:hAnsiTheme="majorHAnsi"/>
          <w:bCs/>
          <w:i/>
        </w:rPr>
        <w:t>potyvirus</w:t>
      </w:r>
      <w:proofErr w:type="spellEnd"/>
      <w:r w:rsidRPr="00EA305A">
        <w:rPr>
          <w:rFonts w:asciiTheme="majorHAnsi" w:hAnsiTheme="majorHAnsi"/>
          <w:bCs/>
        </w:rPr>
        <w:t xml:space="preserve"> and </w:t>
      </w:r>
      <w:r w:rsidRPr="00EA305A">
        <w:rPr>
          <w:rFonts w:asciiTheme="majorHAnsi" w:hAnsiTheme="majorHAnsi"/>
          <w:bCs/>
          <w:i/>
        </w:rPr>
        <w:t xml:space="preserve">Cucumber green mottle mosaic </w:t>
      </w:r>
      <w:proofErr w:type="spellStart"/>
      <w:r w:rsidR="00101558" w:rsidRPr="00EA305A">
        <w:rPr>
          <w:rFonts w:asciiTheme="majorHAnsi" w:hAnsiTheme="majorHAnsi"/>
          <w:bCs/>
          <w:i/>
        </w:rPr>
        <w:t>tobamovirus</w:t>
      </w:r>
      <w:proofErr w:type="spellEnd"/>
      <w:r w:rsidR="00101558" w:rsidRPr="00EA305A">
        <w:rPr>
          <w:rFonts w:asciiTheme="majorHAnsi" w:hAnsiTheme="majorHAnsi"/>
          <w:bCs/>
          <w:i/>
        </w:rPr>
        <w:t xml:space="preserve"> </w:t>
      </w:r>
      <w:r w:rsidR="00101558" w:rsidRPr="00EA305A">
        <w:rPr>
          <w:rFonts w:asciiTheme="majorHAnsi" w:hAnsiTheme="majorHAnsi"/>
          <w:bCs/>
        </w:rPr>
        <w:t xml:space="preserve">in cucurbit hosts’, </w:t>
      </w:r>
      <w:r w:rsidR="00101558" w:rsidRPr="00EA305A">
        <w:rPr>
          <w:rFonts w:asciiTheme="majorHAnsi" w:hAnsiTheme="majorHAnsi"/>
          <w:bCs/>
          <w:i/>
        </w:rPr>
        <w:t>Plant Protection Journal</w:t>
      </w:r>
      <w:r w:rsidR="00101558" w:rsidRPr="00EA305A">
        <w:rPr>
          <w:rFonts w:asciiTheme="majorHAnsi" w:hAnsiTheme="majorHAnsi"/>
          <w:bCs/>
        </w:rPr>
        <w:t>, vol. 2, no. 2, pp. 353–365.</w:t>
      </w:r>
    </w:p>
    <w:p w14:paraId="48B14CBB" w14:textId="3F4DB324"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Moreno, IM, Thompson, JR, Garcıa-</w:t>
      </w:r>
      <w:proofErr w:type="spellStart"/>
      <w:r w:rsidRPr="00EA305A">
        <w:rPr>
          <w:rFonts w:asciiTheme="majorHAnsi" w:hAnsiTheme="majorHAnsi"/>
          <w:lang w:eastAsia="en-AU"/>
        </w:rPr>
        <w:t>Arenal</w:t>
      </w:r>
      <w:proofErr w:type="spellEnd"/>
      <w:r w:rsidRPr="00EA305A">
        <w:rPr>
          <w:rFonts w:asciiTheme="majorHAnsi" w:hAnsiTheme="majorHAnsi"/>
          <w:lang w:eastAsia="en-AU"/>
        </w:rPr>
        <w:t xml:space="preserve">, F 2004, ‘Analysis of the systemic colonization of cucumber plants by </w:t>
      </w:r>
      <w:r w:rsidRPr="00EA305A">
        <w:rPr>
          <w:rFonts w:asciiTheme="majorHAnsi" w:hAnsiTheme="majorHAnsi"/>
          <w:i/>
          <w:lang w:eastAsia="en-AU"/>
        </w:rPr>
        <w:t>Cucumber green mottle mosaic virus</w:t>
      </w:r>
      <w:r w:rsidRPr="00EA305A">
        <w:rPr>
          <w:rFonts w:asciiTheme="majorHAnsi" w:hAnsiTheme="majorHAnsi"/>
          <w:lang w:eastAsia="en-AU"/>
        </w:rPr>
        <w:t xml:space="preserve">’, </w:t>
      </w:r>
      <w:r w:rsidRPr="00EA305A">
        <w:rPr>
          <w:rFonts w:asciiTheme="majorHAnsi" w:hAnsiTheme="majorHAnsi"/>
          <w:i/>
          <w:lang w:eastAsia="en-AU"/>
        </w:rPr>
        <w:t>Journal of General Virology</w:t>
      </w:r>
      <w:r w:rsidRPr="00EA305A">
        <w:rPr>
          <w:rFonts w:asciiTheme="majorHAnsi" w:hAnsiTheme="majorHAnsi"/>
          <w:lang w:eastAsia="en-AU"/>
        </w:rPr>
        <w:t xml:space="preserve">, </w:t>
      </w:r>
      <w:r w:rsidR="00956054">
        <w:rPr>
          <w:rFonts w:asciiTheme="majorHAnsi" w:hAnsiTheme="majorHAnsi"/>
          <w:lang w:eastAsia="en-AU"/>
        </w:rPr>
        <w:t xml:space="preserve">vol. </w:t>
      </w:r>
      <w:r w:rsidRPr="00EA305A">
        <w:rPr>
          <w:rFonts w:asciiTheme="majorHAnsi" w:hAnsiTheme="majorHAnsi"/>
          <w:lang w:eastAsia="en-AU"/>
        </w:rPr>
        <w:t xml:space="preserve">85, </w:t>
      </w:r>
      <w:r w:rsidR="00956054">
        <w:rPr>
          <w:rFonts w:asciiTheme="majorHAnsi" w:hAnsiTheme="majorHAnsi"/>
          <w:lang w:eastAsia="en-AU"/>
        </w:rPr>
        <w:t xml:space="preserve">pp. </w:t>
      </w:r>
      <w:r w:rsidRPr="00EA305A">
        <w:rPr>
          <w:rFonts w:asciiTheme="majorHAnsi" w:hAnsiTheme="majorHAnsi"/>
          <w:lang w:eastAsia="en-AU"/>
        </w:rPr>
        <w:t>749–759.</w:t>
      </w:r>
    </w:p>
    <w:p w14:paraId="54D98763" w14:textId="0C0CE510" w:rsidR="008163B6" w:rsidRPr="00EA305A" w:rsidRDefault="00F709BD" w:rsidP="008E43DA">
      <w:pPr>
        <w:autoSpaceDE w:val="0"/>
        <w:autoSpaceDN w:val="0"/>
        <w:adjustRightInd w:val="0"/>
        <w:spacing w:before="120" w:after="120" w:line="271" w:lineRule="auto"/>
        <w:rPr>
          <w:rFonts w:asciiTheme="majorHAnsi" w:hAnsiTheme="majorHAnsi"/>
          <w:bCs/>
        </w:rPr>
      </w:pPr>
      <w:proofErr w:type="spellStart"/>
      <w:r w:rsidRPr="00EA305A">
        <w:rPr>
          <w:rFonts w:asciiTheme="majorHAnsi" w:hAnsiTheme="majorHAnsi"/>
          <w:bCs/>
        </w:rPr>
        <w:t>Nagendran</w:t>
      </w:r>
      <w:proofErr w:type="spellEnd"/>
      <w:r w:rsidRPr="00EA305A">
        <w:rPr>
          <w:rFonts w:asciiTheme="majorHAnsi" w:hAnsiTheme="majorHAnsi"/>
          <w:bCs/>
        </w:rPr>
        <w:t xml:space="preserve">, K, </w:t>
      </w:r>
      <w:proofErr w:type="spellStart"/>
      <w:r w:rsidRPr="00EA305A">
        <w:rPr>
          <w:rFonts w:asciiTheme="majorHAnsi" w:hAnsiTheme="majorHAnsi"/>
          <w:bCs/>
        </w:rPr>
        <w:t>Aravintharaj</w:t>
      </w:r>
      <w:proofErr w:type="spellEnd"/>
      <w:r w:rsidRPr="00EA305A">
        <w:rPr>
          <w:rFonts w:asciiTheme="majorHAnsi" w:hAnsiTheme="majorHAnsi"/>
          <w:bCs/>
        </w:rPr>
        <w:t xml:space="preserve">, R, </w:t>
      </w:r>
      <w:proofErr w:type="spellStart"/>
      <w:r w:rsidRPr="00EA305A">
        <w:rPr>
          <w:rFonts w:asciiTheme="majorHAnsi" w:hAnsiTheme="majorHAnsi"/>
          <w:bCs/>
        </w:rPr>
        <w:t>Mohankumar</w:t>
      </w:r>
      <w:proofErr w:type="spellEnd"/>
      <w:r w:rsidRPr="00EA305A">
        <w:rPr>
          <w:rFonts w:asciiTheme="majorHAnsi" w:hAnsiTheme="majorHAnsi"/>
          <w:bCs/>
        </w:rPr>
        <w:t xml:space="preserve">, S, </w:t>
      </w:r>
      <w:proofErr w:type="spellStart"/>
      <w:r w:rsidRPr="00EA305A">
        <w:rPr>
          <w:rFonts w:asciiTheme="majorHAnsi" w:hAnsiTheme="majorHAnsi"/>
          <w:bCs/>
        </w:rPr>
        <w:t>Manoranjitham</w:t>
      </w:r>
      <w:proofErr w:type="spellEnd"/>
      <w:r w:rsidRPr="00EA305A">
        <w:rPr>
          <w:rFonts w:asciiTheme="majorHAnsi" w:hAnsiTheme="majorHAnsi"/>
          <w:bCs/>
        </w:rPr>
        <w:t xml:space="preserve">, SK, Naidu, RA &amp; </w:t>
      </w:r>
      <w:proofErr w:type="spellStart"/>
      <w:r w:rsidRPr="00EA305A">
        <w:rPr>
          <w:rFonts w:asciiTheme="majorHAnsi" w:hAnsiTheme="majorHAnsi"/>
          <w:bCs/>
        </w:rPr>
        <w:t>Karthikeyan</w:t>
      </w:r>
      <w:proofErr w:type="spellEnd"/>
      <w:r w:rsidRPr="00EA305A">
        <w:rPr>
          <w:rFonts w:asciiTheme="majorHAnsi" w:hAnsiTheme="majorHAnsi"/>
          <w:bCs/>
        </w:rPr>
        <w:t>, G 2015, ‘</w:t>
      </w:r>
      <w:hyperlink r:id="rId47" w:history="1">
        <w:r w:rsidRPr="00EA305A">
          <w:rPr>
            <w:rFonts w:asciiTheme="majorHAnsi" w:hAnsiTheme="majorHAnsi"/>
            <w:bCs/>
          </w:rPr>
          <w:t xml:space="preserve">First Report of </w:t>
        </w:r>
        <w:r w:rsidRPr="00EA305A">
          <w:rPr>
            <w:rFonts w:asciiTheme="majorHAnsi" w:hAnsiTheme="majorHAnsi"/>
            <w:bCs/>
            <w:i/>
          </w:rPr>
          <w:t>Cucumber green mottle mosaic virus</w:t>
        </w:r>
        <w:r w:rsidR="00A21478">
          <w:rPr>
            <w:rFonts w:asciiTheme="majorHAnsi" w:hAnsiTheme="majorHAnsi"/>
            <w:bCs/>
          </w:rPr>
          <w:t xml:space="preserve"> in s</w:t>
        </w:r>
        <w:r w:rsidRPr="00EA305A">
          <w:rPr>
            <w:rFonts w:asciiTheme="majorHAnsi" w:hAnsiTheme="majorHAnsi"/>
            <w:bCs/>
          </w:rPr>
          <w:t xml:space="preserve">nake </w:t>
        </w:r>
        <w:r w:rsidR="00A21478">
          <w:rPr>
            <w:rFonts w:asciiTheme="majorHAnsi" w:hAnsiTheme="majorHAnsi"/>
            <w:bCs/>
          </w:rPr>
          <w:t>g</w:t>
        </w:r>
        <w:r w:rsidRPr="00EA305A">
          <w:rPr>
            <w:rFonts w:asciiTheme="majorHAnsi" w:hAnsiTheme="majorHAnsi"/>
            <w:bCs/>
          </w:rPr>
          <w:t>ourd (</w:t>
        </w:r>
        <w:r w:rsidRPr="00EA305A">
          <w:rPr>
            <w:rFonts w:asciiTheme="majorHAnsi" w:hAnsiTheme="majorHAnsi"/>
            <w:bCs/>
            <w:i/>
          </w:rPr>
          <w:t>Trichosanthes</w:t>
        </w:r>
        <w:r w:rsidRPr="00EA305A">
          <w:rPr>
            <w:rFonts w:asciiTheme="majorHAnsi" w:hAnsiTheme="majorHAnsi"/>
            <w:bCs/>
          </w:rPr>
          <w:t xml:space="preserve"> </w:t>
        </w:r>
        <w:r w:rsidRPr="00EA305A">
          <w:rPr>
            <w:rFonts w:asciiTheme="majorHAnsi" w:hAnsiTheme="majorHAnsi"/>
            <w:bCs/>
            <w:i/>
          </w:rPr>
          <w:t>cucumerina</w:t>
        </w:r>
        <w:r w:rsidRPr="00EA305A">
          <w:rPr>
            <w:rFonts w:asciiTheme="majorHAnsi" w:hAnsiTheme="majorHAnsi"/>
            <w:bCs/>
          </w:rPr>
          <w:t>) in India</w:t>
        </w:r>
      </w:hyperlink>
      <w:r w:rsidRPr="00EA305A">
        <w:rPr>
          <w:rFonts w:asciiTheme="majorHAnsi" w:hAnsiTheme="majorHAnsi"/>
        </w:rPr>
        <w:t>’</w:t>
      </w:r>
      <w:r w:rsidRPr="00EA305A">
        <w:rPr>
          <w:rFonts w:asciiTheme="majorHAnsi" w:hAnsiTheme="majorHAnsi"/>
          <w:bCs/>
        </w:rPr>
        <w:t xml:space="preserve">, </w:t>
      </w:r>
      <w:r w:rsidRPr="00EA305A">
        <w:rPr>
          <w:rFonts w:asciiTheme="majorHAnsi" w:hAnsiTheme="majorHAnsi"/>
          <w:bCs/>
          <w:i/>
        </w:rPr>
        <w:t>Plant Disease</w:t>
      </w:r>
      <w:r w:rsidRPr="00EA305A">
        <w:rPr>
          <w:rFonts w:asciiTheme="majorHAnsi" w:hAnsiTheme="majorHAnsi"/>
          <w:bCs/>
        </w:rPr>
        <w:t>, vol. 99, no. 4, pp. 559–559.</w:t>
      </w:r>
    </w:p>
    <w:p w14:paraId="382BB88F" w14:textId="6F870CD6"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 xml:space="preserve">Napier, T 2009, ‘Insect pests of cucurbit </w:t>
      </w:r>
      <w:proofErr w:type="spellStart"/>
      <w:r w:rsidRPr="00EA305A">
        <w:rPr>
          <w:rFonts w:asciiTheme="majorHAnsi" w:hAnsiTheme="majorHAnsi"/>
          <w:lang w:eastAsia="en-AU"/>
        </w:rPr>
        <w:t>vegetatble</w:t>
      </w:r>
      <w:proofErr w:type="spellEnd"/>
      <w:r w:rsidRPr="00EA305A">
        <w:rPr>
          <w:rFonts w:asciiTheme="majorHAnsi" w:hAnsiTheme="majorHAnsi"/>
          <w:lang w:eastAsia="en-AU"/>
        </w:rPr>
        <w:t>’. New South Wales, Department of Primary Industries, available at dpi.nsw.gov.au/__data/assets/pdf_file/0005/290219/insect-pests-of-cucurbit-vegetables.pdf.</w:t>
      </w:r>
    </w:p>
    <w:p w14:paraId="00540664"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Nematollahi</w:t>
      </w:r>
      <w:proofErr w:type="spellEnd"/>
      <w:r w:rsidRPr="00EA305A">
        <w:rPr>
          <w:rFonts w:asciiTheme="majorHAnsi" w:hAnsiTheme="majorHAnsi"/>
          <w:bCs/>
          <w:sz w:val="22"/>
        </w:rPr>
        <w:t xml:space="preserve">, S, </w:t>
      </w:r>
      <w:proofErr w:type="spellStart"/>
      <w:r w:rsidRPr="00EA305A">
        <w:rPr>
          <w:rFonts w:asciiTheme="majorHAnsi" w:hAnsiTheme="majorHAnsi"/>
          <w:bCs/>
          <w:sz w:val="22"/>
        </w:rPr>
        <w:t>Haghtaghi</w:t>
      </w:r>
      <w:proofErr w:type="spellEnd"/>
      <w:r w:rsidRPr="00EA305A">
        <w:rPr>
          <w:rFonts w:asciiTheme="majorHAnsi" w:hAnsiTheme="majorHAnsi"/>
          <w:bCs/>
          <w:sz w:val="22"/>
        </w:rPr>
        <w:t xml:space="preserve">, E, </w:t>
      </w:r>
      <w:proofErr w:type="spellStart"/>
      <w:r w:rsidRPr="00EA305A">
        <w:rPr>
          <w:rFonts w:asciiTheme="majorHAnsi" w:hAnsiTheme="majorHAnsi"/>
          <w:bCs/>
          <w:sz w:val="22"/>
        </w:rPr>
        <w:t>Koolivand</w:t>
      </w:r>
      <w:proofErr w:type="spellEnd"/>
      <w:r w:rsidRPr="00EA305A">
        <w:rPr>
          <w:rFonts w:asciiTheme="majorHAnsi" w:hAnsiTheme="majorHAnsi"/>
          <w:bCs/>
          <w:sz w:val="22"/>
        </w:rPr>
        <w:t xml:space="preserve">, D &amp; </w:t>
      </w:r>
      <w:proofErr w:type="spellStart"/>
      <w:r w:rsidRPr="00EA305A">
        <w:rPr>
          <w:rFonts w:asciiTheme="majorHAnsi" w:hAnsiTheme="majorHAnsi"/>
          <w:bCs/>
          <w:sz w:val="22"/>
        </w:rPr>
        <w:t>Hajizadeh</w:t>
      </w:r>
      <w:proofErr w:type="spellEnd"/>
      <w:r w:rsidRPr="00EA305A">
        <w:rPr>
          <w:rFonts w:asciiTheme="majorHAnsi" w:hAnsiTheme="majorHAnsi"/>
          <w:bCs/>
          <w:sz w:val="22"/>
        </w:rPr>
        <w:t xml:space="preserve">, M 2014, ‘Molecular detection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variants from cucurbits fields in Iran’, </w:t>
      </w:r>
      <w:r w:rsidRPr="00EA305A">
        <w:rPr>
          <w:rFonts w:asciiTheme="majorHAnsi" w:hAnsiTheme="majorHAnsi"/>
          <w:bCs/>
          <w:i/>
          <w:sz w:val="22"/>
        </w:rPr>
        <w:t>Archives of Phytopathology and Plant Protection</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47, no. 11, pp. 1303–1310.</w:t>
      </w:r>
    </w:p>
    <w:p w14:paraId="3285E5E6" w14:textId="4E45332A" w:rsidR="008163B6" w:rsidRPr="00EA305A" w:rsidRDefault="00355A23" w:rsidP="008E43DA">
      <w:pPr>
        <w:pStyle w:val="Header"/>
        <w:spacing w:before="120" w:after="120" w:line="271" w:lineRule="auto"/>
        <w:jc w:val="left"/>
        <w:rPr>
          <w:rFonts w:asciiTheme="majorHAnsi" w:hAnsiTheme="majorHAnsi"/>
          <w:bCs/>
          <w:sz w:val="22"/>
        </w:rPr>
      </w:pPr>
      <w:hyperlink r:id="rId48" w:history="1">
        <w:r w:rsidR="000704EE">
          <w:rPr>
            <w:rFonts w:asciiTheme="majorHAnsi" w:hAnsiTheme="majorHAnsi"/>
            <w:bCs/>
            <w:sz w:val="22"/>
          </w:rPr>
          <w:t xml:space="preserve">Nilsson, B 1977, ‘Study of </w:t>
        </w:r>
        <w:r w:rsidR="000704EE" w:rsidRPr="000704EE">
          <w:rPr>
            <w:rFonts w:asciiTheme="majorHAnsi" w:hAnsiTheme="majorHAnsi"/>
            <w:bCs/>
            <w:i/>
            <w:sz w:val="22"/>
          </w:rPr>
          <w:t>G</w:t>
        </w:r>
        <w:r w:rsidR="00F709BD" w:rsidRPr="000704EE">
          <w:rPr>
            <w:rFonts w:asciiTheme="majorHAnsi" w:hAnsiTheme="majorHAnsi"/>
            <w:bCs/>
            <w:i/>
            <w:sz w:val="22"/>
          </w:rPr>
          <w:t>reen mottle mosaic virus</w:t>
        </w:r>
        <w:r w:rsidR="00F709BD" w:rsidRPr="00EA305A">
          <w:rPr>
            <w:rFonts w:asciiTheme="majorHAnsi" w:hAnsiTheme="majorHAnsi"/>
            <w:bCs/>
            <w:sz w:val="22"/>
          </w:rPr>
          <w:t xml:space="preserve"> on cucumber’, </w:t>
        </w:r>
        <w:r w:rsidR="00F709BD" w:rsidRPr="00BF74FA">
          <w:rPr>
            <w:rFonts w:asciiTheme="majorHAnsi" w:hAnsiTheme="majorHAnsi"/>
            <w:bCs/>
            <w:i/>
            <w:sz w:val="22"/>
          </w:rPr>
          <w:t xml:space="preserve">Nordisk </w:t>
        </w:r>
        <w:proofErr w:type="spellStart"/>
        <w:r w:rsidR="00F709BD" w:rsidRPr="00BF74FA">
          <w:rPr>
            <w:rFonts w:asciiTheme="majorHAnsi" w:hAnsiTheme="majorHAnsi"/>
            <w:bCs/>
            <w:i/>
            <w:sz w:val="22"/>
          </w:rPr>
          <w:t>Jordbrugsforskning</w:t>
        </w:r>
        <w:proofErr w:type="spellEnd"/>
        <w:r w:rsidR="00F709BD" w:rsidRPr="00EA305A">
          <w:rPr>
            <w:rFonts w:asciiTheme="majorHAnsi" w:hAnsiTheme="majorHAnsi"/>
            <w:bCs/>
            <w:sz w:val="22"/>
          </w:rPr>
          <w:t>, vol. 59, no. 3, pp. 513–519</w:t>
        </w:r>
      </w:hyperlink>
      <w:r w:rsidR="00F709BD" w:rsidRPr="00EA305A">
        <w:rPr>
          <w:rFonts w:asciiTheme="majorHAnsi" w:hAnsiTheme="majorHAnsi"/>
          <w:bCs/>
          <w:sz w:val="22"/>
        </w:rPr>
        <w:t xml:space="preserve">. </w:t>
      </w:r>
    </w:p>
    <w:p w14:paraId="55D16B8B" w14:textId="43777290"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Noda, C, </w:t>
      </w:r>
      <w:proofErr w:type="spellStart"/>
      <w:r w:rsidRPr="00EA305A">
        <w:rPr>
          <w:rFonts w:asciiTheme="majorHAnsi" w:hAnsiTheme="majorHAnsi"/>
          <w:bCs/>
          <w:sz w:val="22"/>
        </w:rPr>
        <w:t>Kittipakorn</w:t>
      </w:r>
      <w:proofErr w:type="spellEnd"/>
      <w:r w:rsidRPr="00EA305A">
        <w:rPr>
          <w:rFonts w:asciiTheme="majorHAnsi" w:hAnsiTheme="majorHAnsi"/>
          <w:bCs/>
          <w:sz w:val="22"/>
        </w:rPr>
        <w:t xml:space="preserve">, K, </w:t>
      </w:r>
      <w:proofErr w:type="spellStart"/>
      <w:r w:rsidRPr="00EA305A">
        <w:rPr>
          <w:rFonts w:asciiTheme="majorHAnsi" w:hAnsiTheme="majorHAnsi"/>
          <w:bCs/>
          <w:sz w:val="22"/>
        </w:rPr>
        <w:t>Inchan</w:t>
      </w:r>
      <w:proofErr w:type="spellEnd"/>
      <w:r w:rsidRPr="00EA305A">
        <w:rPr>
          <w:rFonts w:asciiTheme="majorHAnsi" w:hAnsiTheme="majorHAnsi"/>
          <w:bCs/>
          <w:sz w:val="22"/>
        </w:rPr>
        <w:t xml:space="preserve">, P, </w:t>
      </w:r>
      <w:proofErr w:type="spellStart"/>
      <w:r w:rsidRPr="00EA305A">
        <w:rPr>
          <w:rFonts w:asciiTheme="majorHAnsi" w:hAnsiTheme="majorHAnsi"/>
          <w:bCs/>
          <w:sz w:val="22"/>
        </w:rPr>
        <w:t>Wanapee</w:t>
      </w:r>
      <w:proofErr w:type="spellEnd"/>
      <w:r w:rsidRPr="00EA305A">
        <w:rPr>
          <w:rFonts w:asciiTheme="majorHAnsi" w:hAnsiTheme="majorHAnsi"/>
          <w:bCs/>
          <w:sz w:val="22"/>
        </w:rPr>
        <w:t xml:space="preserve">, L, </w:t>
      </w:r>
      <w:proofErr w:type="spellStart"/>
      <w:r w:rsidRPr="00EA305A">
        <w:rPr>
          <w:rFonts w:asciiTheme="majorHAnsi" w:hAnsiTheme="majorHAnsi"/>
          <w:bCs/>
          <w:sz w:val="22"/>
        </w:rPr>
        <w:t>Deema</w:t>
      </w:r>
      <w:proofErr w:type="spellEnd"/>
      <w:r w:rsidRPr="00EA305A">
        <w:rPr>
          <w:rFonts w:asciiTheme="majorHAnsi" w:hAnsiTheme="majorHAnsi"/>
          <w:bCs/>
          <w:sz w:val="22"/>
        </w:rPr>
        <w:t xml:space="preserve">, N 1993, ‘Distribution of cucurbit viruses and reactions of some cucurbit species to certain viruses’, </w:t>
      </w:r>
      <w:r w:rsidRPr="00EA305A">
        <w:rPr>
          <w:rFonts w:asciiTheme="majorHAnsi" w:hAnsiTheme="majorHAnsi"/>
          <w:bCs/>
          <w:i/>
          <w:sz w:val="22"/>
        </w:rPr>
        <w:t>Proceedings of the 31</w:t>
      </w:r>
      <w:r w:rsidRPr="00EA305A">
        <w:rPr>
          <w:rFonts w:asciiTheme="majorHAnsi" w:hAnsiTheme="majorHAnsi"/>
          <w:bCs/>
          <w:i/>
          <w:sz w:val="22"/>
          <w:vertAlign w:val="superscript"/>
        </w:rPr>
        <w:t>st</w:t>
      </w:r>
      <w:r w:rsidRPr="00EA305A">
        <w:rPr>
          <w:rFonts w:asciiTheme="majorHAnsi" w:hAnsiTheme="majorHAnsi"/>
          <w:bCs/>
          <w:i/>
          <w:sz w:val="22"/>
        </w:rPr>
        <w:t xml:space="preserve"> </w:t>
      </w:r>
      <w:proofErr w:type="spellStart"/>
      <w:r w:rsidRPr="00EA305A">
        <w:rPr>
          <w:rFonts w:asciiTheme="majorHAnsi" w:hAnsiTheme="majorHAnsi"/>
          <w:bCs/>
          <w:i/>
          <w:sz w:val="22"/>
        </w:rPr>
        <w:t>Kasetsart</w:t>
      </w:r>
      <w:proofErr w:type="spellEnd"/>
      <w:r w:rsidRPr="00EA305A">
        <w:rPr>
          <w:rFonts w:asciiTheme="majorHAnsi" w:hAnsiTheme="majorHAnsi"/>
          <w:bCs/>
          <w:i/>
          <w:sz w:val="22"/>
        </w:rPr>
        <w:t xml:space="preserve"> University Annual Conference: Plants</w:t>
      </w:r>
      <w:r w:rsidRPr="00EA305A">
        <w:rPr>
          <w:rFonts w:asciiTheme="majorHAnsi" w:hAnsiTheme="majorHAnsi"/>
          <w:bCs/>
          <w:sz w:val="22"/>
        </w:rPr>
        <w:t xml:space="preserve">, Bangkok, Thailand. </w:t>
      </w:r>
    </w:p>
    <w:p w14:paraId="5E178431" w14:textId="172BF0CF" w:rsidR="008163B6" w:rsidRPr="00EA305A" w:rsidRDefault="00F709BD" w:rsidP="008E43DA">
      <w:pPr>
        <w:pStyle w:val="Header"/>
        <w:spacing w:before="120" w:after="120" w:line="271" w:lineRule="auto"/>
        <w:jc w:val="left"/>
        <w:rPr>
          <w:rFonts w:asciiTheme="majorHAnsi" w:hAnsiTheme="majorHAnsi" w:cs="Times New Roman"/>
          <w:sz w:val="22"/>
        </w:rPr>
      </w:pPr>
      <w:proofErr w:type="spellStart"/>
      <w:r w:rsidRPr="00EA305A">
        <w:rPr>
          <w:rFonts w:asciiTheme="majorHAnsi" w:hAnsiTheme="majorHAnsi"/>
          <w:bCs/>
          <w:sz w:val="22"/>
        </w:rPr>
        <w:t>Nontajak</w:t>
      </w:r>
      <w:proofErr w:type="spellEnd"/>
      <w:r w:rsidRPr="00EA305A">
        <w:rPr>
          <w:rFonts w:asciiTheme="majorHAnsi" w:hAnsiTheme="majorHAnsi"/>
          <w:bCs/>
          <w:sz w:val="22"/>
        </w:rPr>
        <w:t xml:space="preserve">, S, </w:t>
      </w:r>
      <w:proofErr w:type="spellStart"/>
      <w:r w:rsidRPr="00EA305A">
        <w:rPr>
          <w:rFonts w:asciiTheme="majorHAnsi" w:hAnsiTheme="majorHAnsi"/>
          <w:bCs/>
          <w:sz w:val="22"/>
        </w:rPr>
        <w:t>Vulyasevi</w:t>
      </w:r>
      <w:proofErr w:type="spellEnd"/>
      <w:r w:rsidRPr="00EA305A">
        <w:rPr>
          <w:rFonts w:asciiTheme="majorHAnsi" w:hAnsiTheme="majorHAnsi"/>
          <w:bCs/>
          <w:sz w:val="22"/>
        </w:rPr>
        <w:t xml:space="preserve">, S, </w:t>
      </w:r>
      <w:proofErr w:type="spellStart"/>
      <w:r w:rsidRPr="00EA305A">
        <w:rPr>
          <w:rFonts w:asciiTheme="majorHAnsi" w:hAnsiTheme="majorHAnsi"/>
          <w:bCs/>
          <w:sz w:val="22"/>
        </w:rPr>
        <w:t>Jonglaekha</w:t>
      </w:r>
      <w:proofErr w:type="spellEnd"/>
      <w:r w:rsidRPr="00EA305A">
        <w:rPr>
          <w:rFonts w:asciiTheme="majorHAnsi" w:hAnsiTheme="majorHAnsi"/>
          <w:bCs/>
          <w:sz w:val="22"/>
        </w:rPr>
        <w:t xml:space="preserve">, N &amp; </w:t>
      </w:r>
      <w:proofErr w:type="spellStart"/>
      <w:r w:rsidRPr="00EA305A">
        <w:rPr>
          <w:rFonts w:asciiTheme="majorHAnsi" w:hAnsiTheme="majorHAnsi"/>
          <w:bCs/>
          <w:sz w:val="22"/>
        </w:rPr>
        <w:t>Smitamana</w:t>
      </w:r>
      <w:proofErr w:type="spellEnd"/>
      <w:r w:rsidRPr="00EA305A">
        <w:rPr>
          <w:rFonts w:asciiTheme="majorHAnsi" w:hAnsiTheme="majorHAnsi"/>
          <w:bCs/>
          <w:sz w:val="22"/>
        </w:rPr>
        <w:t xml:space="preserve">, P 2014, ‘Detection of </w:t>
      </w:r>
      <w:r w:rsidRPr="00EA305A">
        <w:rPr>
          <w:rFonts w:asciiTheme="majorHAnsi" w:hAnsiTheme="majorHAnsi"/>
          <w:bCs/>
          <w:i/>
          <w:sz w:val="22"/>
        </w:rPr>
        <w:t xml:space="preserve">Cucumber green mottle mosaic </w:t>
      </w:r>
      <w:proofErr w:type="spellStart"/>
      <w:r w:rsidRPr="00EA305A">
        <w:rPr>
          <w:rFonts w:asciiTheme="majorHAnsi" w:hAnsiTheme="majorHAnsi"/>
          <w:bCs/>
          <w:i/>
          <w:sz w:val="22"/>
        </w:rPr>
        <w:t>tobamovirus</w:t>
      </w:r>
      <w:proofErr w:type="spellEnd"/>
      <w:r w:rsidRPr="00EA305A">
        <w:rPr>
          <w:rFonts w:asciiTheme="majorHAnsi" w:hAnsiTheme="majorHAnsi"/>
          <w:bCs/>
          <w:sz w:val="22"/>
        </w:rPr>
        <w:t xml:space="preserve"> in three growth stages of Japanese cucumber in the highland area of Northern Thailand’, </w:t>
      </w:r>
      <w:r w:rsidRPr="00EA305A">
        <w:rPr>
          <w:rFonts w:asciiTheme="majorHAnsi" w:hAnsiTheme="majorHAnsi" w:cs="Times New Roman"/>
          <w:i/>
          <w:color w:val="000000"/>
          <w:sz w:val="22"/>
        </w:rPr>
        <w:t>Journal of Agricultural Technology</w:t>
      </w:r>
      <w:r w:rsidRPr="00EA305A">
        <w:rPr>
          <w:rFonts w:asciiTheme="majorHAnsi" w:hAnsiTheme="majorHAnsi" w:cs="Times New Roman"/>
          <w:sz w:val="22"/>
        </w:rPr>
        <w:t>, v</w:t>
      </w:r>
      <w:r w:rsidRPr="00EA305A">
        <w:rPr>
          <w:rFonts w:asciiTheme="majorHAnsi" w:hAnsiTheme="majorHAnsi" w:cs="Times New Roman"/>
          <w:color w:val="000000"/>
          <w:sz w:val="22"/>
        </w:rPr>
        <w:t>ol. 10</w:t>
      </w:r>
      <w:r w:rsidRPr="00EA305A">
        <w:rPr>
          <w:rFonts w:asciiTheme="majorHAnsi" w:hAnsiTheme="majorHAnsi" w:cs="Times New Roman"/>
          <w:sz w:val="22"/>
        </w:rPr>
        <w:t xml:space="preserve">, no.1, pp. </w:t>
      </w:r>
      <w:r w:rsidRPr="00EA305A">
        <w:rPr>
          <w:rFonts w:asciiTheme="majorHAnsi" w:hAnsiTheme="majorHAnsi" w:cs="Times New Roman"/>
          <w:color w:val="000000"/>
          <w:sz w:val="22"/>
        </w:rPr>
        <w:t>277</w:t>
      </w:r>
      <w:r w:rsidRPr="00EA305A">
        <w:rPr>
          <w:rFonts w:asciiTheme="majorHAnsi" w:hAnsiTheme="majorHAnsi" w:cs="Times New Roman"/>
          <w:sz w:val="22"/>
        </w:rPr>
        <w:t>–</w:t>
      </w:r>
      <w:r w:rsidRPr="00EA305A">
        <w:rPr>
          <w:rFonts w:asciiTheme="majorHAnsi" w:hAnsiTheme="majorHAnsi" w:cs="Times New Roman"/>
          <w:color w:val="000000"/>
          <w:sz w:val="22"/>
        </w:rPr>
        <w:t>287</w:t>
      </w:r>
      <w:r w:rsidRPr="00EA305A">
        <w:rPr>
          <w:rFonts w:asciiTheme="majorHAnsi" w:hAnsiTheme="majorHAnsi" w:cs="Times New Roman"/>
          <w:sz w:val="22"/>
        </w:rPr>
        <w:t>.</w:t>
      </w:r>
    </w:p>
    <w:p w14:paraId="47373DB1"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cs="AdvTimes"/>
          <w:sz w:val="22"/>
        </w:rPr>
        <w:t>Northern Territory Government 2015, ‘</w:t>
      </w:r>
      <w:r w:rsidRPr="00EA305A">
        <w:rPr>
          <w:rFonts w:asciiTheme="majorHAnsi" w:hAnsiTheme="majorHAnsi" w:cs="AdvTimes"/>
          <w:bCs/>
          <w:sz w:val="22"/>
        </w:rPr>
        <w:t>Fact sheet:</w:t>
      </w:r>
      <w:r w:rsidRPr="00EA305A">
        <w:rPr>
          <w:rFonts w:asciiTheme="majorHAnsi" w:hAnsiTheme="majorHAnsi"/>
          <w:bCs/>
          <w:i/>
          <w:sz w:val="22"/>
        </w:rPr>
        <w:t xml:space="preserve"> Cucumber green mottle mosaic virus</w:t>
      </w:r>
      <w:r w:rsidRPr="00EA305A">
        <w:rPr>
          <w:rFonts w:asciiTheme="majorHAnsi" w:hAnsiTheme="majorHAnsi"/>
          <w:bCs/>
          <w:sz w:val="22"/>
        </w:rPr>
        <w:t>’, Department of Primary Industry and Fisheries, NT, available atnt.gov.au/d/</w:t>
      </w:r>
      <w:proofErr w:type="spellStart"/>
      <w:r w:rsidRPr="00EA305A">
        <w:rPr>
          <w:rFonts w:asciiTheme="majorHAnsi" w:hAnsiTheme="majorHAnsi"/>
          <w:bCs/>
          <w:sz w:val="22"/>
        </w:rPr>
        <w:t>cgmmv</w:t>
      </w:r>
      <w:proofErr w:type="spellEnd"/>
      <w:r w:rsidRPr="00EA305A">
        <w:rPr>
          <w:rFonts w:asciiTheme="majorHAnsi" w:hAnsiTheme="majorHAnsi"/>
          <w:bCs/>
          <w:sz w:val="22"/>
        </w:rPr>
        <w:t>/</w:t>
      </w:r>
      <w:proofErr w:type="spellStart"/>
      <w:r w:rsidRPr="00EA305A">
        <w:rPr>
          <w:rFonts w:asciiTheme="majorHAnsi" w:hAnsiTheme="majorHAnsi"/>
          <w:bCs/>
          <w:sz w:val="22"/>
        </w:rPr>
        <w:t>index.cfm?header</w:t>
      </w:r>
      <w:proofErr w:type="spellEnd"/>
      <w:r w:rsidRPr="00EA305A">
        <w:rPr>
          <w:rFonts w:asciiTheme="majorHAnsi" w:hAnsiTheme="majorHAnsi"/>
          <w:bCs/>
          <w:sz w:val="22"/>
        </w:rPr>
        <w:t>=CGMMV Fact Sheet.</w:t>
      </w:r>
    </w:p>
    <w:p w14:paraId="2D468CBD" w14:textId="63773708"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NSCFS (Norwegian Scientific Committee for Food Safety) 2008, ‘Opinion of the Panel on plant health of the Norwegian Scientific Committee for Food Safety: Pest risk assessment of the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 Norway’, Norwegian Scientific Committee for Food Safety, available at </w:t>
      </w:r>
      <w:r w:rsidRPr="00EA305A">
        <w:rPr>
          <w:rFonts w:asciiTheme="majorHAnsi" w:hAnsiTheme="majorHAnsi"/>
          <w:sz w:val="22"/>
        </w:rPr>
        <w:t>vkm.no/</w:t>
      </w:r>
      <w:proofErr w:type="spellStart"/>
      <w:r w:rsidRPr="00EA305A">
        <w:rPr>
          <w:rFonts w:asciiTheme="majorHAnsi" w:hAnsiTheme="majorHAnsi"/>
          <w:sz w:val="22"/>
        </w:rPr>
        <w:t>dav</w:t>
      </w:r>
      <w:proofErr w:type="spellEnd"/>
      <w:r w:rsidRPr="00EA305A">
        <w:rPr>
          <w:rFonts w:asciiTheme="majorHAnsi" w:hAnsiTheme="majorHAnsi"/>
          <w:sz w:val="22"/>
        </w:rPr>
        <w:t>/c4303083c8.pdf</w:t>
      </w:r>
      <w:r w:rsidRPr="00EA305A">
        <w:rPr>
          <w:rFonts w:asciiTheme="majorHAnsi" w:hAnsiTheme="majorHAnsi"/>
          <w:bCs/>
          <w:sz w:val="22"/>
        </w:rPr>
        <w:t>.</w:t>
      </w:r>
    </w:p>
    <w:p w14:paraId="0691F58C"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Pandey, S &amp; Joshi, RD 1989, ‘Effect of </w:t>
      </w:r>
      <w:r w:rsidRPr="00EA305A">
        <w:rPr>
          <w:rFonts w:asciiTheme="majorHAnsi" w:hAnsiTheme="majorHAnsi"/>
          <w:bCs/>
          <w:i/>
          <w:sz w:val="22"/>
        </w:rPr>
        <w:t xml:space="preserve">Cucumis virus-3 </w:t>
      </w:r>
      <w:r w:rsidRPr="00EA305A">
        <w:rPr>
          <w:rFonts w:asciiTheme="majorHAnsi" w:hAnsiTheme="majorHAnsi"/>
          <w:bCs/>
          <w:sz w:val="22"/>
        </w:rPr>
        <w:t xml:space="preserve">infection on chlorophyll content, chloroplast number and </w:t>
      </w:r>
      <w:proofErr w:type="spellStart"/>
      <w:r w:rsidRPr="00EA305A">
        <w:rPr>
          <w:rFonts w:asciiTheme="majorHAnsi" w:hAnsiTheme="majorHAnsi"/>
          <w:bCs/>
          <w:sz w:val="22"/>
        </w:rPr>
        <w:t>chlorophyllase</w:t>
      </w:r>
      <w:proofErr w:type="spellEnd"/>
      <w:r w:rsidRPr="00EA305A">
        <w:rPr>
          <w:rFonts w:asciiTheme="majorHAnsi" w:hAnsiTheme="majorHAnsi"/>
          <w:bCs/>
          <w:sz w:val="22"/>
        </w:rPr>
        <w:t xml:space="preserve"> activity of bitter gourd’, </w:t>
      </w:r>
      <w:r w:rsidRPr="00EA305A">
        <w:rPr>
          <w:rFonts w:asciiTheme="majorHAnsi" w:hAnsiTheme="majorHAnsi"/>
          <w:bCs/>
          <w:i/>
          <w:sz w:val="22"/>
        </w:rPr>
        <w:t>Indian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42, no.4, pp. 549–550.</w:t>
      </w:r>
    </w:p>
    <w:p w14:paraId="2885A8E5"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Persley</w:t>
      </w:r>
      <w:proofErr w:type="spellEnd"/>
      <w:r w:rsidRPr="00EA305A">
        <w:rPr>
          <w:rFonts w:asciiTheme="majorHAnsi" w:hAnsiTheme="majorHAnsi"/>
          <w:bCs/>
          <w:sz w:val="22"/>
        </w:rPr>
        <w:t xml:space="preserve">, D, Cooke, T &amp; House, S 2010, </w:t>
      </w:r>
      <w:r w:rsidRPr="00EA305A">
        <w:rPr>
          <w:rFonts w:asciiTheme="majorHAnsi" w:hAnsiTheme="majorHAnsi"/>
          <w:bCs/>
          <w:i/>
          <w:sz w:val="22"/>
        </w:rPr>
        <w:t>Diseases of vegetable crops in Australia</w:t>
      </w:r>
      <w:r w:rsidRPr="00EA305A">
        <w:rPr>
          <w:rFonts w:asciiTheme="majorHAnsi" w:hAnsiTheme="majorHAnsi"/>
          <w:bCs/>
          <w:sz w:val="22"/>
        </w:rPr>
        <w:t>, CSIRO Publishing, Collingwood, Victoria.</w:t>
      </w:r>
    </w:p>
    <w:p w14:paraId="2AAD130A" w14:textId="0247A48A"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PIDS (Preliminary Information Data Sheet) 2014, ‘</w:t>
      </w:r>
      <w:r w:rsidRPr="00EA305A">
        <w:rPr>
          <w:rFonts w:asciiTheme="majorHAnsi" w:hAnsiTheme="majorHAnsi"/>
          <w:bCs/>
          <w:i/>
          <w:sz w:val="22"/>
        </w:rPr>
        <w:t>Cucumber green mottle mosaic virus</w:t>
      </w:r>
      <w:r w:rsidRPr="00EA305A">
        <w:rPr>
          <w:rFonts w:asciiTheme="majorHAnsi" w:hAnsiTheme="majorHAnsi"/>
          <w:bCs/>
          <w:sz w:val="22"/>
        </w:rPr>
        <w:t>’, Northern Territory Government, Northern Territory, available at nt.gov.au/d/</w:t>
      </w:r>
      <w:proofErr w:type="spellStart"/>
      <w:r w:rsidRPr="00EA305A">
        <w:rPr>
          <w:rFonts w:asciiTheme="majorHAnsi" w:hAnsiTheme="majorHAnsi"/>
          <w:bCs/>
          <w:sz w:val="22"/>
        </w:rPr>
        <w:t>cgmmv</w:t>
      </w:r>
      <w:proofErr w:type="spellEnd"/>
      <w:r w:rsidRPr="00EA305A">
        <w:rPr>
          <w:rFonts w:asciiTheme="majorHAnsi" w:hAnsiTheme="majorHAnsi"/>
          <w:bCs/>
          <w:sz w:val="22"/>
        </w:rPr>
        <w:t>/</w:t>
      </w:r>
      <w:r w:rsidR="007A3899">
        <w:rPr>
          <w:rFonts w:asciiTheme="majorHAnsi" w:hAnsiTheme="majorHAnsi"/>
          <w:bCs/>
          <w:sz w:val="22"/>
        </w:rPr>
        <w:t>.</w:t>
      </w:r>
      <w:r w:rsidRPr="00EA305A">
        <w:rPr>
          <w:rFonts w:asciiTheme="majorHAnsi" w:hAnsiTheme="majorHAnsi"/>
          <w:bCs/>
          <w:sz w:val="22"/>
        </w:rPr>
        <w:t xml:space="preserve"> </w:t>
      </w:r>
    </w:p>
    <w:p w14:paraId="4CC022CD"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Polischuk</w:t>
      </w:r>
      <w:proofErr w:type="spellEnd"/>
      <w:r w:rsidRPr="00EA305A">
        <w:rPr>
          <w:rFonts w:asciiTheme="majorHAnsi" w:hAnsiTheme="majorHAnsi"/>
          <w:bCs/>
          <w:sz w:val="22"/>
        </w:rPr>
        <w:t xml:space="preserve">, V, </w:t>
      </w:r>
      <w:proofErr w:type="spellStart"/>
      <w:r w:rsidRPr="00EA305A">
        <w:rPr>
          <w:rFonts w:asciiTheme="majorHAnsi" w:hAnsiTheme="majorHAnsi"/>
          <w:bCs/>
          <w:sz w:val="22"/>
        </w:rPr>
        <w:t>Budzanivska</w:t>
      </w:r>
      <w:proofErr w:type="spellEnd"/>
      <w:r w:rsidRPr="00EA305A">
        <w:rPr>
          <w:rFonts w:asciiTheme="majorHAnsi" w:hAnsiTheme="majorHAnsi"/>
          <w:bCs/>
          <w:sz w:val="22"/>
        </w:rPr>
        <w:t xml:space="preserve">, I, Shevchenko, T &amp; </w:t>
      </w:r>
      <w:proofErr w:type="spellStart"/>
      <w:r w:rsidRPr="00EA305A">
        <w:rPr>
          <w:rFonts w:asciiTheme="majorHAnsi" w:hAnsiTheme="majorHAnsi"/>
          <w:bCs/>
          <w:sz w:val="22"/>
        </w:rPr>
        <w:t>Oliynik</w:t>
      </w:r>
      <w:proofErr w:type="spellEnd"/>
      <w:r w:rsidRPr="00EA305A">
        <w:rPr>
          <w:rFonts w:asciiTheme="majorHAnsi" w:hAnsiTheme="majorHAnsi"/>
          <w:bCs/>
          <w:sz w:val="22"/>
        </w:rPr>
        <w:t xml:space="preserve">, S 2007, ‘Evidence for plant viruses in the region of Argentina Islands, Antarctica’, </w:t>
      </w:r>
      <w:r w:rsidRPr="00EA305A">
        <w:rPr>
          <w:rFonts w:asciiTheme="majorHAnsi" w:hAnsiTheme="majorHAnsi"/>
          <w:bCs/>
          <w:i/>
          <w:sz w:val="22"/>
        </w:rPr>
        <w:t>FEMS Microbiology Ecology</w:t>
      </w:r>
      <w:r w:rsidRPr="00EA305A">
        <w:rPr>
          <w:rFonts w:asciiTheme="majorHAnsi" w:hAnsiTheme="majorHAnsi"/>
          <w:bCs/>
          <w:sz w:val="22"/>
        </w:rPr>
        <w:t>, vol.</w:t>
      </w:r>
      <w:r w:rsidRPr="00EA305A">
        <w:rPr>
          <w:rFonts w:asciiTheme="majorHAnsi" w:hAnsiTheme="majorHAnsi"/>
          <w:bCs/>
          <w:i/>
          <w:sz w:val="22"/>
        </w:rPr>
        <w:t xml:space="preserve"> </w:t>
      </w:r>
      <w:r w:rsidRPr="00EA305A">
        <w:rPr>
          <w:rFonts w:asciiTheme="majorHAnsi" w:hAnsiTheme="majorHAnsi"/>
          <w:bCs/>
          <w:sz w:val="22"/>
        </w:rPr>
        <w:t>59, pp. 409–417.</w:t>
      </w:r>
    </w:p>
    <w:p w14:paraId="0203E6D9"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Qin, BX, </w:t>
      </w:r>
      <w:proofErr w:type="spellStart"/>
      <w:r w:rsidRPr="00EA305A">
        <w:rPr>
          <w:rFonts w:asciiTheme="majorHAnsi" w:hAnsiTheme="majorHAnsi"/>
          <w:bCs/>
          <w:sz w:val="22"/>
        </w:rPr>
        <w:t>Cai</w:t>
      </w:r>
      <w:proofErr w:type="spellEnd"/>
      <w:r w:rsidRPr="00EA305A">
        <w:rPr>
          <w:rFonts w:asciiTheme="majorHAnsi" w:hAnsiTheme="majorHAnsi"/>
          <w:bCs/>
          <w:sz w:val="22"/>
        </w:rPr>
        <w:t xml:space="preserve">, JH, Liu, ZM, Chen, YH, Zhu, GN &amp; Huang, FX 2005, ‘Preliminary identification of a </w:t>
      </w:r>
      <w:r w:rsidRPr="00EA305A">
        <w:rPr>
          <w:rFonts w:asciiTheme="majorHAnsi" w:hAnsiTheme="majorHAnsi"/>
          <w:bCs/>
          <w:i/>
          <w:sz w:val="22"/>
        </w:rPr>
        <w:t>Cucumber green mottle mosaic virus</w:t>
      </w:r>
      <w:r w:rsidRPr="00EA305A">
        <w:rPr>
          <w:rFonts w:asciiTheme="majorHAnsi" w:hAnsiTheme="majorHAnsi"/>
          <w:bCs/>
          <w:sz w:val="22"/>
        </w:rPr>
        <w:t xml:space="preserve"> infecting pumpkin’,</w:t>
      </w:r>
      <w:r w:rsidRPr="00EA305A">
        <w:rPr>
          <w:rFonts w:asciiTheme="majorHAnsi" w:hAnsiTheme="majorHAnsi"/>
          <w:bCs/>
          <w:i/>
          <w:sz w:val="22"/>
        </w:rPr>
        <w:t xml:space="preserve"> Plant Quarantine</w:t>
      </w:r>
      <w:r w:rsidRPr="00EA305A">
        <w:rPr>
          <w:rFonts w:asciiTheme="majorHAnsi" w:hAnsiTheme="majorHAnsi"/>
          <w:bCs/>
          <w:sz w:val="22"/>
        </w:rPr>
        <w:t>, vol. 4, pp. 198–200.</w:t>
      </w:r>
    </w:p>
    <w:p w14:paraId="6ABBB42C"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lastRenderedPageBreak/>
        <w:t>Queensland Government 2015, ‘</w:t>
      </w:r>
      <w:r w:rsidRPr="00EA305A">
        <w:rPr>
          <w:rFonts w:asciiTheme="majorHAnsi" w:hAnsiTheme="majorHAnsi"/>
          <w:bCs/>
          <w:i/>
          <w:sz w:val="22"/>
        </w:rPr>
        <w:t>Cucumber green mottle mosaic virus’</w:t>
      </w:r>
      <w:r w:rsidRPr="00EA305A">
        <w:rPr>
          <w:rFonts w:asciiTheme="majorHAnsi" w:hAnsiTheme="majorHAnsi"/>
          <w:bCs/>
          <w:sz w:val="22"/>
        </w:rPr>
        <w:t xml:space="preserve">, Department of Agriculture and Fisheries, Queensland, available at </w:t>
      </w:r>
      <w:r w:rsidRPr="00EA305A">
        <w:rPr>
          <w:rFonts w:asciiTheme="majorHAnsi" w:hAnsiTheme="majorHAnsi"/>
          <w:sz w:val="22"/>
        </w:rPr>
        <w:t>daf.qld.gov.au/plants/health-pests-diseases/a-z-significant/cucumber-green-mottle-mosaic-virus</w:t>
      </w:r>
      <w:r w:rsidRPr="00EA305A">
        <w:rPr>
          <w:rFonts w:asciiTheme="majorHAnsi" w:hAnsiTheme="majorHAnsi"/>
          <w:bCs/>
          <w:sz w:val="22"/>
        </w:rPr>
        <w:t>.</w:t>
      </w:r>
    </w:p>
    <w:p w14:paraId="3DFBF5AC"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Rao, ALN &amp; Varma, A 1984, ‘Transmission studies with </w:t>
      </w:r>
      <w:r w:rsidRPr="00EA305A">
        <w:rPr>
          <w:rFonts w:asciiTheme="majorHAnsi" w:hAnsiTheme="majorHAnsi"/>
          <w:bCs/>
          <w:i/>
          <w:sz w:val="22"/>
        </w:rPr>
        <w:t>Cucumber green mottle mosaic virus</w:t>
      </w:r>
      <w:r w:rsidRPr="00EA305A">
        <w:rPr>
          <w:rFonts w:asciiTheme="majorHAnsi" w:hAnsiTheme="majorHAnsi"/>
          <w:bCs/>
          <w:sz w:val="22"/>
        </w:rPr>
        <w:t xml:space="preserve">’, </w:t>
      </w:r>
      <w:proofErr w:type="spellStart"/>
      <w:r w:rsidRPr="00EA305A">
        <w:rPr>
          <w:rFonts w:asciiTheme="majorHAnsi" w:hAnsiTheme="majorHAnsi"/>
          <w:bCs/>
          <w:i/>
          <w:sz w:val="22"/>
        </w:rPr>
        <w:t>Phytopathologische</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Zeitschrift</w:t>
      </w:r>
      <w:proofErr w:type="spellEnd"/>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w:t>
      </w:r>
      <w:r w:rsidRPr="00EA305A">
        <w:rPr>
          <w:rFonts w:asciiTheme="majorHAnsi" w:hAnsiTheme="majorHAnsi"/>
          <w:bCs/>
          <w:i/>
          <w:sz w:val="22"/>
        </w:rPr>
        <w:t xml:space="preserve"> </w:t>
      </w:r>
      <w:r w:rsidRPr="00EA305A">
        <w:rPr>
          <w:rFonts w:asciiTheme="majorHAnsi" w:hAnsiTheme="majorHAnsi"/>
          <w:bCs/>
          <w:sz w:val="22"/>
        </w:rPr>
        <w:t>109, pp. 325–331.</w:t>
      </w:r>
    </w:p>
    <w:p w14:paraId="060C915E"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Rashmi, CM, Reddy, CNL, Praveen, HM &amp; </w:t>
      </w:r>
      <w:proofErr w:type="spellStart"/>
      <w:r w:rsidRPr="00EA305A">
        <w:rPr>
          <w:rFonts w:asciiTheme="majorHAnsi" w:hAnsiTheme="majorHAnsi"/>
          <w:bCs/>
          <w:sz w:val="22"/>
        </w:rPr>
        <w:t>Nagaraju</w:t>
      </w:r>
      <w:proofErr w:type="spellEnd"/>
      <w:r w:rsidRPr="00EA305A">
        <w:rPr>
          <w:rFonts w:asciiTheme="majorHAnsi" w:hAnsiTheme="majorHAnsi"/>
          <w:bCs/>
          <w:sz w:val="22"/>
        </w:rPr>
        <w:t xml:space="preserve"> 2005, ‘Natural occurrence of </w:t>
      </w:r>
      <w:r w:rsidRPr="00EA305A">
        <w:rPr>
          <w:rFonts w:asciiTheme="majorHAnsi" w:hAnsiTheme="majorHAnsi"/>
          <w:bCs/>
          <w:i/>
          <w:sz w:val="22"/>
        </w:rPr>
        <w:t xml:space="preserve">Cucumber green mottle mosaic virus </w:t>
      </w:r>
      <w:r w:rsidRPr="00EA305A">
        <w:rPr>
          <w:rFonts w:asciiTheme="majorHAnsi" w:hAnsiTheme="majorHAnsi"/>
          <w:bCs/>
          <w:sz w:val="22"/>
        </w:rPr>
        <w:t>on gherkin (</w:t>
      </w:r>
      <w:r w:rsidRPr="00EA305A">
        <w:rPr>
          <w:rFonts w:asciiTheme="majorHAnsi" w:hAnsiTheme="majorHAnsi"/>
          <w:bCs/>
          <w:i/>
          <w:sz w:val="22"/>
        </w:rPr>
        <w:t xml:space="preserve">Cucumis </w:t>
      </w:r>
      <w:proofErr w:type="spellStart"/>
      <w:r w:rsidRPr="00EA305A">
        <w:rPr>
          <w:rFonts w:asciiTheme="majorHAnsi" w:hAnsiTheme="majorHAnsi"/>
          <w:bCs/>
          <w:i/>
          <w:sz w:val="22"/>
        </w:rPr>
        <w:t>anguria</w:t>
      </w:r>
      <w:proofErr w:type="spellEnd"/>
      <w:r w:rsidRPr="00EA305A">
        <w:rPr>
          <w:rFonts w:asciiTheme="majorHAnsi" w:hAnsiTheme="majorHAnsi"/>
          <w:bCs/>
          <w:i/>
          <w:sz w:val="22"/>
        </w:rPr>
        <w:t xml:space="preserve"> </w:t>
      </w:r>
      <w:r w:rsidRPr="00EA305A">
        <w:rPr>
          <w:rFonts w:asciiTheme="majorHAnsi" w:hAnsiTheme="majorHAnsi"/>
          <w:bCs/>
          <w:sz w:val="22"/>
        </w:rPr>
        <w:t xml:space="preserve">L.)’, </w:t>
      </w:r>
      <w:r w:rsidRPr="00EA305A">
        <w:rPr>
          <w:rFonts w:asciiTheme="majorHAnsi" w:hAnsiTheme="majorHAnsi"/>
          <w:bCs/>
          <w:i/>
          <w:sz w:val="22"/>
        </w:rPr>
        <w:t>Environment and Ecology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23S, no. 4, pp. 781–784.</w:t>
      </w:r>
    </w:p>
    <w:p w14:paraId="2B317A5F" w14:textId="086B6455"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Raychaudhuri</w:t>
      </w:r>
      <w:proofErr w:type="spellEnd"/>
      <w:r w:rsidRPr="00EA305A">
        <w:rPr>
          <w:rFonts w:asciiTheme="majorHAnsi" w:hAnsiTheme="majorHAnsi"/>
          <w:bCs/>
          <w:sz w:val="22"/>
        </w:rPr>
        <w:t xml:space="preserve">, M &amp; Varma, A 1978, ‘Mosaic disease of muskmelon, caused by a minor variant of </w:t>
      </w:r>
      <w:r w:rsidRPr="00EA305A">
        <w:rPr>
          <w:rFonts w:asciiTheme="majorHAnsi" w:hAnsiTheme="majorHAnsi"/>
          <w:bCs/>
          <w:i/>
          <w:sz w:val="22"/>
        </w:rPr>
        <w:t>Cucumber green mottle mosaic virus</w:t>
      </w:r>
      <w:r w:rsidRPr="00EA305A">
        <w:rPr>
          <w:rFonts w:asciiTheme="majorHAnsi" w:hAnsiTheme="majorHAnsi"/>
          <w:bCs/>
          <w:sz w:val="22"/>
        </w:rPr>
        <w:t xml:space="preserve">’, </w:t>
      </w:r>
      <w:proofErr w:type="spellStart"/>
      <w:r w:rsidRPr="004B455C">
        <w:rPr>
          <w:rFonts w:asciiTheme="majorHAnsi" w:hAnsiTheme="majorHAnsi"/>
          <w:bCs/>
          <w:i/>
          <w:sz w:val="22"/>
        </w:rPr>
        <w:t>P</w:t>
      </w:r>
      <w:r w:rsidRPr="00EA305A">
        <w:rPr>
          <w:rFonts w:asciiTheme="majorHAnsi" w:hAnsiTheme="majorHAnsi"/>
          <w:bCs/>
          <w:i/>
          <w:sz w:val="22"/>
        </w:rPr>
        <w:t>hytopathologische</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Zeitschrift</w:t>
      </w:r>
      <w:proofErr w:type="spellEnd"/>
      <w:r w:rsidRPr="00EA305A">
        <w:rPr>
          <w:rFonts w:asciiTheme="majorHAnsi" w:hAnsiTheme="majorHAnsi"/>
          <w:bCs/>
          <w:sz w:val="22"/>
        </w:rPr>
        <w:t xml:space="preserve">, vol. 93, no. 2, pp. 120–125. </w:t>
      </w:r>
    </w:p>
    <w:p w14:paraId="24306355" w14:textId="461AE186"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Reingold</w:t>
      </w:r>
      <w:proofErr w:type="spellEnd"/>
      <w:r w:rsidRPr="00EA305A">
        <w:rPr>
          <w:rFonts w:asciiTheme="majorHAnsi" w:hAnsiTheme="majorHAnsi"/>
          <w:bCs/>
          <w:sz w:val="22"/>
        </w:rPr>
        <w:t xml:space="preserve">, V, Lachman, O, </w:t>
      </w:r>
      <w:proofErr w:type="spellStart"/>
      <w:r w:rsidRPr="00EA305A">
        <w:rPr>
          <w:rFonts w:asciiTheme="majorHAnsi" w:hAnsiTheme="majorHAnsi"/>
          <w:bCs/>
          <w:sz w:val="22"/>
        </w:rPr>
        <w:t>Blaosov</w:t>
      </w:r>
      <w:proofErr w:type="spellEnd"/>
      <w:r w:rsidRPr="00EA305A">
        <w:rPr>
          <w:rFonts w:asciiTheme="majorHAnsi" w:hAnsiTheme="majorHAnsi"/>
          <w:bCs/>
          <w:sz w:val="22"/>
        </w:rPr>
        <w:t xml:space="preserve">, E &amp; </w:t>
      </w:r>
      <w:proofErr w:type="spellStart"/>
      <w:r w:rsidRPr="00EA305A">
        <w:rPr>
          <w:rFonts w:asciiTheme="majorHAnsi" w:hAnsiTheme="majorHAnsi"/>
          <w:bCs/>
          <w:sz w:val="22"/>
        </w:rPr>
        <w:t>Dombrovsky</w:t>
      </w:r>
      <w:proofErr w:type="spellEnd"/>
      <w:r w:rsidRPr="00EA305A">
        <w:rPr>
          <w:rFonts w:asciiTheme="majorHAnsi" w:hAnsiTheme="majorHAnsi"/>
          <w:bCs/>
          <w:sz w:val="22"/>
        </w:rPr>
        <w:t xml:space="preserve">, A 2015, ‘Seed </w:t>
      </w:r>
      <w:proofErr w:type="spellStart"/>
      <w:r w:rsidRPr="00EA305A">
        <w:rPr>
          <w:rFonts w:asciiTheme="majorHAnsi" w:hAnsiTheme="majorHAnsi"/>
          <w:bCs/>
          <w:sz w:val="22"/>
        </w:rPr>
        <w:t>disinfestion</w:t>
      </w:r>
      <w:proofErr w:type="spellEnd"/>
      <w:r w:rsidRPr="00EA305A">
        <w:rPr>
          <w:rFonts w:asciiTheme="majorHAnsi" w:hAnsiTheme="majorHAnsi"/>
          <w:bCs/>
          <w:sz w:val="22"/>
        </w:rPr>
        <w:t xml:space="preserve"> treatments do not sufficiently eliminate the infectivity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(CGMMV) on cucurbit seeds’, </w:t>
      </w:r>
      <w:r w:rsidRPr="00EA305A">
        <w:rPr>
          <w:rFonts w:asciiTheme="majorHAnsi" w:hAnsiTheme="majorHAnsi"/>
          <w:bCs/>
          <w:i/>
          <w:sz w:val="22"/>
        </w:rPr>
        <w:t>Plant Pathology</w:t>
      </w:r>
      <w:r w:rsidRPr="00EA305A">
        <w:rPr>
          <w:rFonts w:asciiTheme="majorHAnsi" w:hAnsiTheme="majorHAnsi"/>
          <w:bCs/>
          <w:sz w:val="22"/>
        </w:rPr>
        <w:t>, vol. 64, pp. 245–255.</w:t>
      </w:r>
    </w:p>
    <w:p w14:paraId="6F5F7F08"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Reingold</w:t>
      </w:r>
      <w:proofErr w:type="spellEnd"/>
      <w:r w:rsidRPr="00EA305A">
        <w:rPr>
          <w:rFonts w:asciiTheme="majorHAnsi" w:hAnsiTheme="majorHAnsi"/>
          <w:bCs/>
          <w:sz w:val="22"/>
        </w:rPr>
        <w:t xml:space="preserve">, V, Lachman, O, </w:t>
      </w:r>
      <w:proofErr w:type="spellStart"/>
      <w:r w:rsidRPr="00EA305A">
        <w:rPr>
          <w:rFonts w:asciiTheme="majorHAnsi" w:hAnsiTheme="majorHAnsi"/>
          <w:bCs/>
          <w:sz w:val="22"/>
        </w:rPr>
        <w:t>Koren</w:t>
      </w:r>
      <w:proofErr w:type="spellEnd"/>
      <w:r w:rsidRPr="00EA305A">
        <w:rPr>
          <w:rFonts w:asciiTheme="majorHAnsi" w:hAnsiTheme="majorHAnsi"/>
          <w:bCs/>
          <w:sz w:val="22"/>
        </w:rPr>
        <w:t xml:space="preserve">, A &amp; </w:t>
      </w:r>
      <w:proofErr w:type="spellStart"/>
      <w:r w:rsidRPr="00EA305A">
        <w:rPr>
          <w:rFonts w:asciiTheme="majorHAnsi" w:hAnsiTheme="majorHAnsi"/>
          <w:bCs/>
          <w:sz w:val="22"/>
        </w:rPr>
        <w:t>Dombrovsky</w:t>
      </w:r>
      <w:proofErr w:type="spellEnd"/>
      <w:r w:rsidRPr="00EA305A">
        <w:rPr>
          <w:rFonts w:asciiTheme="majorHAnsi" w:hAnsiTheme="majorHAnsi"/>
          <w:bCs/>
          <w:sz w:val="22"/>
        </w:rPr>
        <w:t xml:space="preserve">, A 2013, ‘First report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(CGMMV) symptoms in watermelon used for the discrimination of non-marketable fruits in Israeli commercial fields’, </w:t>
      </w:r>
      <w:r w:rsidRPr="00EA305A">
        <w:rPr>
          <w:rFonts w:asciiTheme="majorHAnsi" w:hAnsiTheme="majorHAnsi"/>
          <w:bCs/>
          <w:i/>
          <w:sz w:val="22"/>
        </w:rPr>
        <w:t>New Disease Reports</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 xml:space="preserve">vol. 18, pp. 11. </w:t>
      </w:r>
    </w:p>
    <w:p w14:paraId="12031832" w14:textId="2A10CF45" w:rsidR="008163B6" w:rsidRPr="00EA305A" w:rsidRDefault="00F709BD" w:rsidP="008E43DA">
      <w:pPr>
        <w:autoSpaceDE w:val="0"/>
        <w:autoSpaceDN w:val="0"/>
        <w:adjustRightInd w:val="0"/>
        <w:spacing w:before="120" w:after="120" w:line="271" w:lineRule="auto"/>
        <w:rPr>
          <w:rFonts w:asciiTheme="majorHAnsi" w:hAnsiTheme="majorHAnsi"/>
          <w:bCs/>
        </w:rPr>
      </w:pPr>
      <w:proofErr w:type="spellStart"/>
      <w:r w:rsidRPr="00EA305A">
        <w:rPr>
          <w:rFonts w:asciiTheme="majorHAnsi" w:hAnsiTheme="majorHAnsi"/>
          <w:bCs/>
          <w:lang w:eastAsia="en-AU"/>
        </w:rPr>
        <w:t>Schmelzer</w:t>
      </w:r>
      <w:proofErr w:type="spellEnd"/>
      <w:r w:rsidRPr="00EA305A">
        <w:rPr>
          <w:rFonts w:asciiTheme="majorHAnsi" w:hAnsiTheme="majorHAnsi"/>
          <w:bCs/>
          <w:lang w:eastAsia="en-AU"/>
        </w:rPr>
        <w:t xml:space="preserve">, K 1956, </w:t>
      </w:r>
      <w:r w:rsidR="00EA305A">
        <w:rPr>
          <w:rFonts w:asciiTheme="majorHAnsi" w:hAnsiTheme="majorHAnsi"/>
          <w:bCs/>
          <w:lang w:eastAsia="en-AU"/>
        </w:rPr>
        <w:t>‘</w:t>
      </w:r>
      <w:r w:rsidRPr="00EA305A">
        <w:rPr>
          <w:rFonts w:asciiTheme="majorHAnsi" w:hAnsiTheme="majorHAnsi"/>
          <w:bCs/>
          <w:lang w:eastAsia="en-AU"/>
        </w:rPr>
        <w:t xml:space="preserve">Contribution to the knowledge of the transmissibility of viruses by </w:t>
      </w:r>
      <w:proofErr w:type="spellStart"/>
      <w:r w:rsidRPr="00EA305A">
        <w:rPr>
          <w:rFonts w:asciiTheme="majorHAnsi" w:hAnsiTheme="majorHAnsi"/>
          <w:bCs/>
          <w:i/>
          <w:lang w:eastAsia="en-AU"/>
        </w:rPr>
        <w:t>Cuscata</w:t>
      </w:r>
      <w:proofErr w:type="spellEnd"/>
      <w:r w:rsidRPr="00EA305A">
        <w:rPr>
          <w:rFonts w:asciiTheme="majorHAnsi" w:hAnsiTheme="majorHAnsi"/>
          <w:bCs/>
          <w:i/>
          <w:lang w:eastAsia="en-AU"/>
        </w:rPr>
        <w:t xml:space="preserve"> </w:t>
      </w:r>
      <w:r w:rsidRPr="00EA305A">
        <w:rPr>
          <w:rFonts w:asciiTheme="majorHAnsi" w:hAnsiTheme="majorHAnsi"/>
          <w:bCs/>
          <w:lang w:eastAsia="en-AU"/>
        </w:rPr>
        <w:t>species</w:t>
      </w:r>
      <w:r w:rsidR="00EA305A">
        <w:rPr>
          <w:rFonts w:asciiTheme="majorHAnsi" w:hAnsiTheme="majorHAnsi"/>
          <w:bCs/>
          <w:lang w:eastAsia="en-AU"/>
        </w:rPr>
        <w:t>’</w:t>
      </w:r>
      <w:r w:rsidRPr="00EA305A">
        <w:rPr>
          <w:rFonts w:asciiTheme="majorHAnsi" w:hAnsiTheme="majorHAnsi"/>
          <w:bCs/>
          <w:lang w:eastAsia="en-AU"/>
        </w:rPr>
        <w:t xml:space="preserve">, </w:t>
      </w:r>
      <w:proofErr w:type="spellStart"/>
      <w:r w:rsidRPr="00EA305A">
        <w:rPr>
          <w:rFonts w:asciiTheme="majorHAnsi" w:hAnsiTheme="majorHAnsi"/>
          <w:bCs/>
          <w:i/>
          <w:lang w:eastAsia="en-AU"/>
        </w:rPr>
        <w:t>Phytopathologische</w:t>
      </w:r>
      <w:proofErr w:type="spellEnd"/>
      <w:r w:rsidRPr="00EA305A">
        <w:rPr>
          <w:rFonts w:asciiTheme="majorHAnsi" w:hAnsiTheme="majorHAnsi"/>
          <w:bCs/>
          <w:i/>
          <w:lang w:eastAsia="en-AU"/>
        </w:rPr>
        <w:t xml:space="preserve"> </w:t>
      </w:r>
      <w:proofErr w:type="spellStart"/>
      <w:r w:rsidRPr="00EA305A">
        <w:rPr>
          <w:rFonts w:asciiTheme="majorHAnsi" w:hAnsiTheme="majorHAnsi"/>
          <w:i/>
          <w:lang w:eastAsia="en-AU"/>
        </w:rPr>
        <w:t>Zeitschrift</w:t>
      </w:r>
      <w:proofErr w:type="spellEnd"/>
      <w:r w:rsidR="00EA305A">
        <w:rPr>
          <w:rFonts w:asciiTheme="majorHAnsi" w:hAnsiTheme="majorHAnsi"/>
          <w:lang w:eastAsia="en-AU"/>
        </w:rPr>
        <w:t>,</w:t>
      </w:r>
      <w:r w:rsidRPr="00EA305A">
        <w:rPr>
          <w:rFonts w:asciiTheme="majorHAnsi" w:hAnsiTheme="majorHAnsi"/>
          <w:i/>
          <w:lang w:eastAsia="en-AU"/>
        </w:rPr>
        <w:t xml:space="preserve"> </w:t>
      </w:r>
      <w:r w:rsidRPr="00EA305A">
        <w:rPr>
          <w:rFonts w:asciiTheme="majorHAnsi" w:hAnsiTheme="majorHAnsi"/>
          <w:lang w:eastAsia="en-AU"/>
        </w:rPr>
        <w:t>vol. 28, pp.</w:t>
      </w:r>
      <w:r w:rsidR="00EA305A">
        <w:rPr>
          <w:rFonts w:asciiTheme="majorHAnsi" w:hAnsiTheme="majorHAnsi"/>
          <w:lang w:eastAsia="en-AU"/>
        </w:rPr>
        <w:t xml:space="preserve"> </w:t>
      </w:r>
      <w:r w:rsidRPr="00EA305A">
        <w:rPr>
          <w:rFonts w:asciiTheme="majorHAnsi" w:hAnsiTheme="majorHAnsi"/>
          <w:lang w:eastAsia="en-AU"/>
        </w:rPr>
        <w:t>1–56.</w:t>
      </w:r>
    </w:p>
    <w:p w14:paraId="1BC3F961"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Shang, H, </w:t>
      </w:r>
      <w:proofErr w:type="spellStart"/>
      <w:r w:rsidRPr="00EA305A">
        <w:rPr>
          <w:rFonts w:asciiTheme="majorHAnsi" w:hAnsiTheme="majorHAnsi"/>
          <w:bCs/>
          <w:sz w:val="22"/>
        </w:rPr>
        <w:t>Xie</w:t>
      </w:r>
      <w:proofErr w:type="spellEnd"/>
      <w:r w:rsidRPr="00EA305A">
        <w:rPr>
          <w:rFonts w:asciiTheme="majorHAnsi" w:hAnsiTheme="majorHAnsi"/>
          <w:bCs/>
          <w:sz w:val="22"/>
        </w:rPr>
        <w:t xml:space="preserve">, Y, Zhou, X, Qian, Y &amp; Wu, J 2011, Monoclonal antibody-based serological methods for detection of </w:t>
      </w:r>
      <w:r w:rsidRPr="00EA305A">
        <w:rPr>
          <w:rFonts w:asciiTheme="majorHAnsi" w:hAnsiTheme="majorHAnsi"/>
          <w:bCs/>
          <w:i/>
          <w:sz w:val="22"/>
        </w:rPr>
        <w:t>Cucumber green mottle mosaic virus</w:t>
      </w:r>
      <w:r w:rsidRPr="00EA305A">
        <w:rPr>
          <w:rFonts w:asciiTheme="majorHAnsi" w:hAnsiTheme="majorHAnsi"/>
          <w:bCs/>
          <w:sz w:val="22"/>
        </w:rPr>
        <w:t xml:space="preserve">, </w:t>
      </w:r>
      <w:r w:rsidRPr="00EA305A">
        <w:rPr>
          <w:rFonts w:asciiTheme="majorHAnsi" w:hAnsiTheme="majorHAnsi"/>
          <w:bCs/>
          <w:i/>
          <w:sz w:val="22"/>
        </w:rPr>
        <w:t>Virology Journal</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8, pp. 228.</w:t>
      </w:r>
    </w:p>
    <w:p w14:paraId="4842AF17" w14:textId="104AB749" w:rsidR="008163B6" w:rsidRPr="00EA305A" w:rsidRDefault="00F709BD" w:rsidP="008E43DA">
      <w:pPr>
        <w:pStyle w:val="Header"/>
        <w:spacing w:before="120" w:after="120" w:line="271" w:lineRule="auto"/>
        <w:jc w:val="left"/>
        <w:rPr>
          <w:rFonts w:asciiTheme="majorHAnsi" w:hAnsiTheme="majorHAnsi"/>
          <w:sz w:val="22"/>
        </w:rPr>
      </w:pPr>
      <w:r w:rsidRPr="00EA305A">
        <w:rPr>
          <w:rFonts w:asciiTheme="majorHAnsi" w:hAnsiTheme="majorHAnsi"/>
          <w:bCs/>
          <w:sz w:val="22"/>
        </w:rPr>
        <w:t xml:space="preserve">Sharma, P, </w:t>
      </w:r>
      <w:proofErr w:type="spellStart"/>
      <w:r w:rsidRPr="00EA305A">
        <w:rPr>
          <w:rFonts w:asciiTheme="majorHAnsi" w:hAnsiTheme="majorHAnsi"/>
          <w:bCs/>
          <w:sz w:val="22"/>
        </w:rPr>
        <w:t>Verma</w:t>
      </w:r>
      <w:proofErr w:type="spellEnd"/>
      <w:r w:rsidRPr="00EA305A">
        <w:rPr>
          <w:rFonts w:asciiTheme="majorHAnsi" w:hAnsiTheme="majorHAnsi"/>
          <w:bCs/>
          <w:sz w:val="22"/>
        </w:rPr>
        <w:t xml:space="preserve">, RK, Mishra, R, </w:t>
      </w:r>
      <w:proofErr w:type="spellStart"/>
      <w:r w:rsidRPr="00EA305A">
        <w:rPr>
          <w:rFonts w:asciiTheme="majorHAnsi" w:hAnsiTheme="majorHAnsi"/>
          <w:bCs/>
          <w:sz w:val="22"/>
        </w:rPr>
        <w:t>Sahu</w:t>
      </w:r>
      <w:proofErr w:type="spellEnd"/>
      <w:r w:rsidRPr="00EA305A">
        <w:rPr>
          <w:rFonts w:asciiTheme="majorHAnsi" w:hAnsiTheme="majorHAnsi"/>
          <w:bCs/>
          <w:sz w:val="22"/>
        </w:rPr>
        <w:t xml:space="preserve">, AK, </w:t>
      </w:r>
      <w:proofErr w:type="spellStart"/>
      <w:r w:rsidRPr="00EA305A">
        <w:rPr>
          <w:rFonts w:asciiTheme="majorHAnsi" w:hAnsiTheme="majorHAnsi"/>
          <w:bCs/>
          <w:sz w:val="22"/>
        </w:rPr>
        <w:t>Choudhary</w:t>
      </w:r>
      <w:proofErr w:type="spellEnd"/>
      <w:r w:rsidRPr="00EA305A">
        <w:rPr>
          <w:rFonts w:asciiTheme="majorHAnsi" w:hAnsiTheme="majorHAnsi"/>
          <w:bCs/>
          <w:sz w:val="22"/>
        </w:rPr>
        <w:t xml:space="preserve">, DK &amp; Gaur, RK 2014, ‘First report of </w:t>
      </w:r>
      <w:r w:rsidRPr="00EA305A">
        <w:rPr>
          <w:rFonts w:asciiTheme="majorHAnsi" w:hAnsiTheme="majorHAnsi"/>
          <w:bCs/>
          <w:i/>
          <w:sz w:val="22"/>
        </w:rPr>
        <w:t>Cucumber green mottle mosaic virus</w:t>
      </w:r>
      <w:r w:rsidRPr="00EA305A">
        <w:rPr>
          <w:rFonts w:asciiTheme="majorHAnsi" w:hAnsiTheme="majorHAnsi"/>
          <w:bCs/>
          <w:sz w:val="22"/>
        </w:rPr>
        <w:t xml:space="preserve"> association with the leaf green mosaic disease of vegetable crop, </w:t>
      </w:r>
      <w:r w:rsidRPr="00EA305A">
        <w:rPr>
          <w:rFonts w:asciiTheme="majorHAnsi" w:hAnsiTheme="majorHAnsi"/>
          <w:bCs/>
          <w:i/>
          <w:sz w:val="22"/>
        </w:rPr>
        <w:t xml:space="preserve">Luffa </w:t>
      </w:r>
      <w:proofErr w:type="spellStart"/>
      <w:r w:rsidRPr="00EA305A">
        <w:rPr>
          <w:rFonts w:asciiTheme="majorHAnsi" w:hAnsiTheme="majorHAnsi"/>
          <w:bCs/>
          <w:i/>
          <w:sz w:val="22"/>
        </w:rPr>
        <w:t>acutangula</w:t>
      </w:r>
      <w:proofErr w:type="spellEnd"/>
      <w:r w:rsidRPr="00EA305A">
        <w:rPr>
          <w:rFonts w:asciiTheme="majorHAnsi" w:hAnsiTheme="majorHAnsi"/>
          <w:sz w:val="22"/>
        </w:rPr>
        <w:t xml:space="preserve"> L.’, </w:t>
      </w:r>
      <w:proofErr w:type="spellStart"/>
      <w:r w:rsidRPr="00EA305A">
        <w:rPr>
          <w:rFonts w:asciiTheme="majorHAnsi" w:hAnsiTheme="majorHAnsi"/>
          <w:i/>
          <w:sz w:val="22"/>
        </w:rPr>
        <w:t>Acta</w:t>
      </w:r>
      <w:proofErr w:type="spellEnd"/>
      <w:r w:rsidRPr="00EA305A">
        <w:rPr>
          <w:rFonts w:asciiTheme="majorHAnsi" w:hAnsiTheme="majorHAnsi"/>
          <w:i/>
          <w:sz w:val="22"/>
        </w:rPr>
        <w:t xml:space="preserve"> </w:t>
      </w:r>
      <w:proofErr w:type="spellStart"/>
      <w:r w:rsidRPr="00EA305A">
        <w:rPr>
          <w:rFonts w:asciiTheme="majorHAnsi" w:hAnsiTheme="majorHAnsi"/>
          <w:i/>
          <w:sz w:val="22"/>
        </w:rPr>
        <w:t>virologica</w:t>
      </w:r>
      <w:proofErr w:type="spellEnd"/>
      <w:r w:rsidRPr="00EA305A">
        <w:rPr>
          <w:rFonts w:asciiTheme="majorHAnsi" w:hAnsiTheme="majorHAnsi"/>
          <w:sz w:val="22"/>
        </w:rPr>
        <w:t>,</w:t>
      </w:r>
      <w:r w:rsidRPr="00EA305A">
        <w:rPr>
          <w:rFonts w:asciiTheme="majorHAnsi" w:hAnsiTheme="majorHAnsi"/>
          <w:i/>
          <w:sz w:val="22"/>
        </w:rPr>
        <w:t xml:space="preserve"> </w:t>
      </w:r>
      <w:r w:rsidRPr="00EA305A">
        <w:rPr>
          <w:rFonts w:asciiTheme="majorHAnsi" w:hAnsiTheme="majorHAnsi"/>
          <w:sz w:val="22"/>
        </w:rPr>
        <w:t>vol. 58, pp. 103–104.</w:t>
      </w:r>
    </w:p>
    <w:p w14:paraId="4143EFAE" w14:textId="77777777" w:rsidR="008163B6" w:rsidRPr="00EA305A" w:rsidRDefault="00F709BD" w:rsidP="008E43DA">
      <w:pPr>
        <w:autoSpaceDE w:val="0"/>
        <w:autoSpaceDN w:val="0"/>
        <w:adjustRightInd w:val="0"/>
        <w:spacing w:before="120" w:after="120" w:line="271" w:lineRule="auto"/>
        <w:rPr>
          <w:rFonts w:asciiTheme="majorHAnsi" w:hAnsiTheme="majorHAnsi"/>
        </w:rPr>
      </w:pPr>
      <w:r w:rsidRPr="00EA305A">
        <w:rPr>
          <w:rFonts w:asciiTheme="majorHAnsi" w:hAnsiTheme="majorHAnsi"/>
        </w:rPr>
        <w:t xml:space="preserve">Shurtleff, MC &amp; </w:t>
      </w:r>
      <w:proofErr w:type="spellStart"/>
      <w:r w:rsidRPr="00EA305A">
        <w:rPr>
          <w:rFonts w:asciiTheme="majorHAnsi" w:hAnsiTheme="majorHAnsi"/>
        </w:rPr>
        <w:t>Averre</w:t>
      </w:r>
      <w:proofErr w:type="spellEnd"/>
      <w:r w:rsidRPr="00EA305A">
        <w:rPr>
          <w:rFonts w:asciiTheme="majorHAnsi" w:hAnsiTheme="majorHAnsi"/>
        </w:rPr>
        <w:t xml:space="preserve">, CW 1997, </w:t>
      </w:r>
      <w:r w:rsidRPr="00EA305A">
        <w:rPr>
          <w:rFonts w:asciiTheme="majorHAnsi" w:hAnsiTheme="majorHAnsi"/>
          <w:i/>
        </w:rPr>
        <w:t>Glossary of Plant-Pathological Terms</w:t>
      </w:r>
      <w:r w:rsidRPr="00EA305A">
        <w:rPr>
          <w:rFonts w:asciiTheme="majorHAnsi" w:hAnsiTheme="majorHAnsi"/>
        </w:rPr>
        <w:t>, American Phytopathology Society Press, St. Paul, MN.</w:t>
      </w:r>
    </w:p>
    <w:p w14:paraId="664EB662" w14:textId="77777777" w:rsidR="008163B6" w:rsidRPr="00EA305A" w:rsidRDefault="00F709BD" w:rsidP="008E43DA">
      <w:pPr>
        <w:autoSpaceDE w:val="0"/>
        <w:autoSpaceDN w:val="0"/>
        <w:adjustRightInd w:val="0"/>
        <w:spacing w:before="120" w:after="120" w:line="271" w:lineRule="auto"/>
        <w:rPr>
          <w:rFonts w:asciiTheme="majorHAnsi" w:hAnsiTheme="majorHAnsi"/>
          <w:lang w:eastAsia="en-AU"/>
        </w:rPr>
      </w:pPr>
      <w:r w:rsidRPr="00EA305A">
        <w:rPr>
          <w:rFonts w:asciiTheme="majorHAnsi" w:hAnsiTheme="majorHAnsi"/>
          <w:lang w:eastAsia="en-AU"/>
        </w:rPr>
        <w:t>Simon-</w:t>
      </w:r>
      <w:proofErr w:type="spellStart"/>
      <w:r w:rsidRPr="00EA305A">
        <w:rPr>
          <w:rFonts w:asciiTheme="majorHAnsi" w:hAnsiTheme="majorHAnsi"/>
          <w:lang w:eastAsia="en-AU"/>
        </w:rPr>
        <w:t>Buela</w:t>
      </w:r>
      <w:proofErr w:type="spellEnd"/>
      <w:r w:rsidRPr="00EA305A">
        <w:rPr>
          <w:rFonts w:asciiTheme="majorHAnsi" w:hAnsiTheme="majorHAnsi"/>
          <w:lang w:eastAsia="en-AU"/>
        </w:rPr>
        <w:t>, L &amp; Garcıa-</w:t>
      </w:r>
      <w:proofErr w:type="spellStart"/>
      <w:r w:rsidRPr="00EA305A">
        <w:rPr>
          <w:rFonts w:asciiTheme="majorHAnsi" w:hAnsiTheme="majorHAnsi"/>
          <w:lang w:eastAsia="en-AU"/>
        </w:rPr>
        <w:t>Arenal</w:t>
      </w:r>
      <w:proofErr w:type="spellEnd"/>
      <w:r w:rsidRPr="00EA305A">
        <w:rPr>
          <w:rFonts w:asciiTheme="majorHAnsi" w:hAnsiTheme="majorHAnsi"/>
          <w:lang w:eastAsia="en-AU"/>
        </w:rPr>
        <w:t xml:space="preserve">, F 1999, ‘Virus particles of </w:t>
      </w:r>
      <w:r w:rsidRPr="00EA305A">
        <w:rPr>
          <w:rFonts w:asciiTheme="majorHAnsi" w:hAnsiTheme="majorHAnsi"/>
          <w:i/>
          <w:lang w:eastAsia="en-AU"/>
        </w:rPr>
        <w:t xml:space="preserve">Cucumber green mottle mosaic </w:t>
      </w:r>
      <w:proofErr w:type="spellStart"/>
      <w:r w:rsidRPr="00EA305A">
        <w:rPr>
          <w:rFonts w:asciiTheme="majorHAnsi" w:hAnsiTheme="majorHAnsi"/>
          <w:i/>
          <w:lang w:eastAsia="en-AU"/>
        </w:rPr>
        <w:t>tobamovirus</w:t>
      </w:r>
      <w:proofErr w:type="spellEnd"/>
      <w:r w:rsidRPr="00EA305A">
        <w:rPr>
          <w:rFonts w:asciiTheme="majorHAnsi" w:hAnsiTheme="majorHAnsi"/>
          <w:lang w:eastAsia="en-AU"/>
        </w:rPr>
        <w:t xml:space="preserve"> move systemically in the phloem of infected cucumber plants’, </w:t>
      </w:r>
      <w:r w:rsidRPr="00EA305A">
        <w:rPr>
          <w:rFonts w:asciiTheme="majorHAnsi" w:hAnsiTheme="majorHAnsi"/>
          <w:i/>
          <w:lang w:eastAsia="en-AU"/>
        </w:rPr>
        <w:t>Molecular Plant-Microbe Interactions</w:t>
      </w:r>
      <w:r w:rsidRPr="00EA305A">
        <w:rPr>
          <w:rFonts w:asciiTheme="majorHAnsi" w:hAnsiTheme="majorHAnsi"/>
          <w:lang w:eastAsia="en-AU"/>
        </w:rPr>
        <w:t>, vol. 12, pp. 112–118.</w:t>
      </w:r>
    </w:p>
    <w:p w14:paraId="74B7B513" w14:textId="2637C8F5" w:rsidR="008163B6" w:rsidRPr="00EA305A" w:rsidRDefault="00EA305A"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Slavokhotova</w:t>
      </w:r>
      <w:proofErr w:type="spellEnd"/>
      <w:r w:rsidR="00F709BD" w:rsidRPr="00EA305A">
        <w:rPr>
          <w:rFonts w:asciiTheme="majorHAnsi" w:hAnsiTheme="majorHAnsi"/>
          <w:bCs/>
          <w:sz w:val="22"/>
        </w:rPr>
        <w:t xml:space="preserve">, AA, </w:t>
      </w:r>
      <w:proofErr w:type="spellStart"/>
      <w:r w:rsidR="00F709BD" w:rsidRPr="00EA305A">
        <w:rPr>
          <w:rFonts w:asciiTheme="majorHAnsi" w:hAnsiTheme="majorHAnsi"/>
          <w:bCs/>
          <w:sz w:val="22"/>
        </w:rPr>
        <w:t>Andreeva</w:t>
      </w:r>
      <w:proofErr w:type="spellEnd"/>
      <w:r w:rsidR="00F709BD" w:rsidRPr="00EA305A">
        <w:rPr>
          <w:rFonts w:asciiTheme="majorHAnsi" w:hAnsiTheme="majorHAnsi"/>
          <w:bCs/>
          <w:sz w:val="22"/>
        </w:rPr>
        <w:t xml:space="preserve">, EN, </w:t>
      </w:r>
      <w:proofErr w:type="spellStart"/>
      <w:r w:rsidR="00F709BD" w:rsidRPr="00EA305A">
        <w:rPr>
          <w:rFonts w:asciiTheme="majorHAnsi" w:hAnsiTheme="majorHAnsi"/>
          <w:bCs/>
          <w:sz w:val="22"/>
        </w:rPr>
        <w:t>Shijan</w:t>
      </w:r>
      <w:proofErr w:type="spellEnd"/>
      <w:r w:rsidR="00F709BD" w:rsidRPr="00EA305A">
        <w:rPr>
          <w:rFonts w:asciiTheme="majorHAnsi" w:hAnsiTheme="majorHAnsi"/>
          <w:bCs/>
          <w:sz w:val="22"/>
        </w:rPr>
        <w:t xml:space="preserve">, AN, </w:t>
      </w:r>
      <w:proofErr w:type="spellStart"/>
      <w:r w:rsidR="00F709BD" w:rsidRPr="00EA305A">
        <w:rPr>
          <w:rFonts w:asciiTheme="majorHAnsi" w:hAnsiTheme="majorHAnsi"/>
          <w:bCs/>
          <w:sz w:val="22"/>
        </w:rPr>
        <w:t>Odintsova</w:t>
      </w:r>
      <w:proofErr w:type="spellEnd"/>
      <w:r w:rsidR="00F709BD" w:rsidRPr="00EA305A">
        <w:rPr>
          <w:rFonts w:asciiTheme="majorHAnsi" w:hAnsiTheme="majorHAnsi"/>
          <w:bCs/>
          <w:sz w:val="22"/>
        </w:rPr>
        <w:t xml:space="preserve">, TI &amp; </w:t>
      </w:r>
      <w:proofErr w:type="spellStart"/>
      <w:r w:rsidR="00F709BD" w:rsidRPr="00EA305A">
        <w:rPr>
          <w:rFonts w:asciiTheme="majorHAnsi" w:hAnsiTheme="majorHAnsi"/>
          <w:bCs/>
          <w:sz w:val="22"/>
        </w:rPr>
        <w:t>Pukhalskij</w:t>
      </w:r>
      <w:proofErr w:type="spellEnd"/>
      <w:r w:rsidR="00F709BD" w:rsidRPr="00EA305A">
        <w:rPr>
          <w:rFonts w:asciiTheme="majorHAnsi" w:hAnsiTheme="majorHAnsi"/>
          <w:bCs/>
          <w:sz w:val="22"/>
        </w:rPr>
        <w:t xml:space="preserve"> VA 2007, ‘Specifics of the coat protein gene in Russian strains of the </w:t>
      </w:r>
      <w:r w:rsidR="00F709BD" w:rsidRPr="00EA305A">
        <w:rPr>
          <w:rFonts w:asciiTheme="majorHAnsi" w:hAnsiTheme="majorHAnsi"/>
          <w:bCs/>
          <w:i/>
          <w:sz w:val="22"/>
        </w:rPr>
        <w:t>Cucumber green mottle mosaic virus</w:t>
      </w:r>
      <w:r w:rsidR="00F709BD" w:rsidRPr="00EA305A">
        <w:rPr>
          <w:rFonts w:asciiTheme="majorHAnsi" w:hAnsiTheme="majorHAnsi"/>
          <w:bCs/>
          <w:sz w:val="22"/>
        </w:rPr>
        <w:t xml:space="preserve">’, </w:t>
      </w:r>
      <w:r w:rsidR="00F709BD" w:rsidRPr="00EA305A">
        <w:rPr>
          <w:rFonts w:asciiTheme="majorHAnsi" w:hAnsiTheme="majorHAnsi"/>
          <w:bCs/>
          <w:i/>
          <w:sz w:val="22"/>
        </w:rPr>
        <w:t>Russian Journal of Genetics</w:t>
      </w:r>
      <w:r w:rsidR="00F709BD" w:rsidRPr="00EA305A">
        <w:rPr>
          <w:rFonts w:asciiTheme="majorHAnsi" w:hAnsiTheme="majorHAnsi"/>
          <w:bCs/>
          <w:sz w:val="22"/>
        </w:rPr>
        <w:t>,</w:t>
      </w:r>
      <w:r w:rsidR="00F709BD" w:rsidRPr="00EA305A">
        <w:rPr>
          <w:rFonts w:asciiTheme="majorHAnsi" w:hAnsiTheme="majorHAnsi"/>
          <w:bCs/>
          <w:i/>
          <w:sz w:val="22"/>
        </w:rPr>
        <w:t xml:space="preserve"> </w:t>
      </w:r>
      <w:r w:rsidR="00F709BD" w:rsidRPr="00EA305A">
        <w:rPr>
          <w:rFonts w:asciiTheme="majorHAnsi" w:hAnsiTheme="majorHAnsi"/>
          <w:bCs/>
          <w:sz w:val="22"/>
        </w:rPr>
        <w:t>vol. 43, no. 11, pp. 1221–1226.</w:t>
      </w:r>
    </w:p>
    <w:p w14:paraId="46AA942F" w14:textId="06960ED7" w:rsidR="008163B6" w:rsidRPr="00EA305A" w:rsidRDefault="00355A23" w:rsidP="008E43DA">
      <w:pPr>
        <w:pStyle w:val="Header"/>
        <w:spacing w:before="120" w:after="120" w:line="271" w:lineRule="auto"/>
        <w:jc w:val="left"/>
        <w:rPr>
          <w:rFonts w:asciiTheme="majorHAnsi" w:hAnsiTheme="majorHAnsi"/>
          <w:sz w:val="22"/>
        </w:rPr>
      </w:pPr>
      <w:hyperlink r:id="rId49" w:history="1">
        <w:r w:rsidR="00F709BD" w:rsidRPr="00EA305A">
          <w:rPr>
            <w:rFonts w:asciiTheme="majorHAnsi" w:hAnsiTheme="majorHAnsi"/>
            <w:bCs/>
            <w:sz w:val="22"/>
          </w:rPr>
          <w:t xml:space="preserve">Smith, KM 1972, </w:t>
        </w:r>
        <w:r w:rsidR="00F709BD" w:rsidRPr="00EA305A">
          <w:rPr>
            <w:rFonts w:asciiTheme="majorHAnsi" w:hAnsiTheme="majorHAnsi"/>
            <w:bCs/>
            <w:i/>
            <w:sz w:val="22"/>
          </w:rPr>
          <w:t>A textbook of plant virus diseases</w:t>
        </w:r>
        <w:r w:rsidR="00F709BD" w:rsidRPr="00EA305A">
          <w:rPr>
            <w:rFonts w:asciiTheme="majorHAnsi" w:hAnsiTheme="majorHAnsi"/>
            <w:bCs/>
            <w:sz w:val="22"/>
          </w:rPr>
          <w:t xml:space="preserve">, London, UK, Longman. </w:t>
        </w:r>
      </w:hyperlink>
    </w:p>
    <w:p w14:paraId="1903B9B3" w14:textId="77777777" w:rsidR="008163B6" w:rsidRPr="00EA305A" w:rsidRDefault="00F709BD" w:rsidP="008E43DA">
      <w:pPr>
        <w:autoSpaceDE w:val="0"/>
        <w:autoSpaceDN w:val="0"/>
        <w:adjustRightInd w:val="0"/>
        <w:spacing w:before="120" w:after="120" w:line="271" w:lineRule="auto"/>
        <w:rPr>
          <w:rFonts w:asciiTheme="majorHAnsi" w:hAnsiTheme="majorHAnsi"/>
        </w:rPr>
      </w:pPr>
      <w:proofErr w:type="spellStart"/>
      <w:r w:rsidRPr="00EA305A">
        <w:rPr>
          <w:rFonts w:asciiTheme="majorHAnsi" w:hAnsiTheme="majorHAnsi"/>
        </w:rPr>
        <w:t>Stenlid</w:t>
      </w:r>
      <w:proofErr w:type="spellEnd"/>
      <w:r w:rsidRPr="00EA305A">
        <w:rPr>
          <w:rFonts w:asciiTheme="majorHAnsi" w:hAnsiTheme="majorHAnsi"/>
        </w:rPr>
        <w:t xml:space="preserve">, J, Oliva, J, </w:t>
      </w:r>
      <w:proofErr w:type="spellStart"/>
      <w:r w:rsidRPr="00EA305A">
        <w:rPr>
          <w:rFonts w:asciiTheme="majorHAnsi" w:hAnsiTheme="majorHAnsi"/>
        </w:rPr>
        <w:t>Boberg</w:t>
      </w:r>
      <w:proofErr w:type="spellEnd"/>
      <w:r w:rsidRPr="00EA305A">
        <w:rPr>
          <w:rFonts w:asciiTheme="majorHAnsi" w:hAnsiTheme="majorHAnsi"/>
        </w:rPr>
        <w:t xml:space="preserve">, JB &amp; Hopkins, AJM 2011, ‘Emerging diseases in European forest ecosystems and responses in society’, </w:t>
      </w:r>
      <w:r w:rsidRPr="00EA305A">
        <w:rPr>
          <w:rFonts w:asciiTheme="majorHAnsi" w:hAnsiTheme="majorHAnsi"/>
          <w:i/>
        </w:rPr>
        <w:t>Forests</w:t>
      </w:r>
      <w:r w:rsidRPr="00EA305A">
        <w:rPr>
          <w:rFonts w:asciiTheme="majorHAnsi" w:hAnsiTheme="majorHAnsi"/>
        </w:rPr>
        <w:t>, vol. 2, pp. 486–504.</w:t>
      </w:r>
    </w:p>
    <w:p w14:paraId="3EF7CDB6"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Sugiyama, M, </w:t>
      </w:r>
      <w:proofErr w:type="spellStart"/>
      <w:r w:rsidRPr="00EA305A">
        <w:rPr>
          <w:rFonts w:asciiTheme="majorHAnsi" w:hAnsiTheme="majorHAnsi"/>
          <w:bCs/>
          <w:sz w:val="22"/>
        </w:rPr>
        <w:t>Ohara</w:t>
      </w:r>
      <w:proofErr w:type="spellEnd"/>
      <w:r w:rsidRPr="00EA305A">
        <w:rPr>
          <w:rFonts w:asciiTheme="majorHAnsi" w:hAnsiTheme="majorHAnsi"/>
          <w:bCs/>
          <w:sz w:val="22"/>
        </w:rPr>
        <w:t xml:space="preserve">, T &amp; Sakata, Y 2006, ‘A new source of resistance to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 melon’, </w:t>
      </w:r>
      <w:r w:rsidRPr="00EA305A">
        <w:rPr>
          <w:rFonts w:asciiTheme="majorHAnsi" w:hAnsiTheme="majorHAnsi"/>
          <w:bCs/>
          <w:i/>
          <w:sz w:val="22"/>
        </w:rPr>
        <w:t xml:space="preserve">Journal of the Japanese Society for Horticultural </w:t>
      </w:r>
      <w:r w:rsidRPr="00EA305A">
        <w:rPr>
          <w:rFonts w:asciiTheme="majorHAnsi" w:hAnsiTheme="majorHAnsi"/>
          <w:bCs/>
          <w:sz w:val="22"/>
        </w:rPr>
        <w:t>Science, vol. 75, no. 6, pp. 469–475.</w:t>
      </w:r>
    </w:p>
    <w:p w14:paraId="42DA8597"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Tian, T, </w:t>
      </w:r>
      <w:proofErr w:type="spellStart"/>
      <w:r w:rsidRPr="00EA305A">
        <w:rPr>
          <w:rFonts w:asciiTheme="majorHAnsi" w:hAnsiTheme="majorHAnsi"/>
          <w:bCs/>
          <w:sz w:val="22"/>
        </w:rPr>
        <w:t>Posis</w:t>
      </w:r>
      <w:proofErr w:type="spellEnd"/>
      <w:r w:rsidRPr="00EA305A">
        <w:rPr>
          <w:rFonts w:asciiTheme="majorHAnsi" w:hAnsiTheme="majorHAnsi"/>
          <w:bCs/>
          <w:sz w:val="22"/>
        </w:rPr>
        <w:t>, K, Maroon-</w:t>
      </w:r>
      <w:proofErr w:type="spellStart"/>
      <w:r w:rsidRPr="00EA305A">
        <w:rPr>
          <w:rFonts w:asciiTheme="majorHAnsi" w:hAnsiTheme="majorHAnsi"/>
          <w:bCs/>
          <w:sz w:val="22"/>
        </w:rPr>
        <w:t>Lango</w:t>
      </w:r>
      <w:proofErr w:type="spellEnd"/>
      <w:r w:rsidRPr="00EA305A">
        <w:rPr>
          <w:rFonts w:asciiTheme="majorHAnsi" w:hAnsiTheme="majorHAnsi"/>
          <w:bCs/>
          <w:sz w:val="22"/>
        </w:rPr>
        <w:t xml:space="preserve">, CJ, </w:t>
      </w:r>
      <w:proofErr w:type="spellStart"/>
      <w:r w:rsidRPr="00EA305A">
        <w:rPr>
          <w:rFonts w:asciiTheme="majorHAnsi" w:hAnsiTheme="majorHAnsi"/>
          <w:bCs/>
          <w:sz w:val="22"/>
        </w:rPr>
        <w:t>Mavrodieva</w:t>
      </w:r>
      <w:proofErr w:type="spellEnd"/>
      <w:r w:rsidRPr="00EA305A">
        <w:rPr>
          <w:rFonts w:asciiTheme="majorHAnsi" w:hAnsiTheme="majorHAnsi"/>
          <w:bCs/>
          <w:sz w:val="22"/>
        </w:rPr>
        <w:t xml:space="preserve">, V, </w:t>
      </w:r>
      <w:proofErr w:type="spellStart"/>
      <w:r w:rsidRPr="00EA305A">
        <w:rPr>
          <w:rFonts w:asciiTheme="majorHAnsi" w:hAnsiTheme="majorHAnsi"/>
          <w:bCs/>
          <w:sz w:val="22"/>
        </w:rPr>
        <w:t>Haymes</w:t>
      </w:r>
      <w:proofErr w:type="spellEnd"/>
      <w:r w:rsidRPr="00EA305A">
        <w:rPr>
          <w:rFonts w:asciiTheme="majorHAnsi" w:hAnsiTheme="majorHAnsi"/>
          <w:bCs/>
          <w:sz w:val="22"/>
        </w:rPr>
        <w:t xml:space="preserve">, S, Pitman, TL &amp; Falk, BW 2014, ‘First report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on melon in the United States’, </w:t>
      </w:r>
      <w:r w:rsidRPr="00EA305A">
        <w:rPr>
          <w:rFonts w:asciiTheme="majorHAnsi" w:hAnsiTheme="majorHAnsi"/>
          <w:bCs/>
          <w:i/>
          <w:sz w:val="22"/>
        </w:rPr>
        <w:t>Plant Disease</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98, no. 8, pp. 1163.</w:t>
      </w:r>
    </w:p>
    <w:p w14:paraId="5443CE64"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lastRenderedPageBreak/>
        <w:t>Tochihara</w:t>
      </w:r>
      <w:proofErr w:type="spellEnd"/>
      <w:r w:rsidRPr="00EA305A">
        <w:rPr>
          <w:rFonts w:asciiTheme="majorHAnsi" w:hAnsiTheme="majorHAnsi"/>
          <w:bCs/>
          <w:sz w:val="22"/>
        </w:rPr>
        <w:t xml:space="preserve">, H &amp; </w:t>
      </w:r>
      <w:proofErr w:type="spellStart"/>
      <w:r w:rsidRPr="00EA305A">
        <w:rPr>
          <w:rFonts w:asciiTheme="majorHAnsi" w:hAnsiTheme="majorHAnsi"/>
          <w:bCs/>
          <w:sz w:val="22"/>
        </w:rPr>
        <w:t>Komuro</w:t>
      </w:r>
      <w:proofErr w:type="spellEnd"/>
      <w:r w:rsidRPr="00EA305A">
        <w:rPr>
          <w:rFonts w:asciiTheme="majorHAnsi" w:hAnsiTheme="majorHAnsi"/>
          <w:bCs/>
          <w:sz w:val="22"/>
        </w:rPr>
        <w:t xml:space="preserve">, Y 1974, ‘Infectivity test and serological relationships among various isolates of </w:t>
      </w:r>
      <w:r w:rsidRPr="00EA305A">
        <w:rPr>
          <w:rFonts w:asciiTheme="majorHAnsi" w:hAnsiTheme="majorHAnsi"/>
          <w:bCs/>
          <w:i/>
          <w:sz w:val="22"/>
        </w:rPr>
        <w:t>Cucumber green mottle mosaic virus</w:t>
      </w:r>
      <w:r w:rsidRPr="00EA305A">
        <w:rPr>
          <w:rFonts w:asciiTheme="majorHAnsi" w:hAnsiTheme="majorHAnsi"/>
          <w:bCs/>
          <w:sz w:val="22"/>
        </w:rPr>
        <w:t xml:space="preserve">; some deduction of the invasion route of the virus into Japan’, </w:t>
      </w:r>
      <w:r w:rsidRPr="00EA305A">
        <w:rPr>
          <w:rFonts w:asciiTheme="majorHAnsi" w:hAnsiTheme="majorHAnsi"/>
          <w:bCs/>
          <w:i/>
          <w:sz w:val="22"/>
        </w:rPr>
        <w:t xml:space="preserve">Annals of the </w:t>
      </w:r>
      <w:proofErr w:type="spellStart"/>
      <w:r w:rsidRPr="00EA305A">
        <w:rPr>
          <w:rFonts w:asciiTheme="majorHAnsi" w:hAnsiTheme="majorHAnsi"/>
          <w:bCs/>
          <w:i/>
          <w:sz w:val="22"/>
        </w:rPr>
        <w:t>Phytopathological</w:t>
      </w:r>
      <w:proofErr w:type="spellEnd"/>
      <w:r w:rsidRPr="00EA305A">
        <w:rPr>
          <w:rFonts w:asciiTheme="majorHAnsi" w:hAnsiTheme="majorHAnsi"/>
          <w:bCs/>
          <w:i/>
          <w:sz w:val="22"/>
        </w:rPr>
        <w:t xml:space="preserve"> Society of Japan</w:t>
      </w:r>
      <w:r w:rsidRPr="00EA305A">
        <w:rPr>
          <w:rFonts w:asciiTheme="majorHAnsi" w:hAnsiTheme="majorHAnsi"/>
          <w:bCs/>
          <w:sz w:val="22"/>
        </w:rPr>
        <w:t>, vol. 40, pp. 52–58.</w:t>
      </w:r>
    </w:p>
    <w:p w14:paraId="4851B8AE"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Ugaki</w:t>
      </w:r>
      <w:proofErr w:type="spellEnd"/>
      <w:r w:rsidRPr="00EA305A">
        <w:rPr>
          <w:rFonts w:asciiTheme="majorHAnsi" w:hAnsiTheme="majorHAnsi"/>
          <w:bCs/>
          <w:sz w:val="22"/>
        </w:rPr>
        <w:t xml:space="preserve">, M, </w:t>
      </w:r>
      <w:proofErr w:type="spellStart"/>
      <w:r w:rsidRPr="00EA305A">
        <w:rPr>
          <w:rFonts w:asciiTheme="majorHAnsi" w:hAnsiTheme="majorHAnsi"/>
          <w:bCs/>
          <w:sz w:val="22"/>
        </w:rPr>
        <w:t>Tomiyama</w:t>
      </w:r>
      <w:proofErr w:type="spellEnd"/>
      <w:r w:rsidRPr="00EA305A">
        <w:rPr>
          <w:rFonts w:asciiTheme="majorHAnsi" w:hAnsiTheme="majorHAnsi"/>
          <w:bCs/>
          <w:sz w:val="22"/>
        </w:rPr>
        <w:t xml:space="preserve">, M, </w:t>
      </w:r>
      <w:proofErr w:type="spellStart"/>
      <w:r w:rsidRPr="00EA305A">
        <w:rPr>
          <w:rFonts w:asciiTheme="majorHAnsi" w:hAnsiTheme="majorHAnsi"/>
          <w:bCs/>
          <w:sz w:val="22"/>
        </w:rPr>
        <w:t>Kakutani</w:t>
      </w:r>
      <w:proofErr w:type="spellEnd"/>
      <w:r w:rsidRPr="00EA305A">
        <w:rPr>
          <w:rFonts w:asciiTheme="majorHAnsi" w:hAnsiTheme="majorHAnsi"/>
          <w:bCs/>
          <w:sz w:val="22"/>
        </w:rPr>
        <w:t xml:space="preserve">, T, Hidaka, S, </w:t>
      </w:r>
      <w:proofErr w:type="spellStart"/>
      <w:r w:rsidRPr="00EA305A">
        <w:rPr>
          <w:rFonts w:asciiTheme="majorHAnsi" w:hAnsiTheme="majorHAnsi"/>
          <w:bCs/>
          <w:sz w:val="22"/>
        </w:rPr>
        <w:t>Kiguchi</w:t>
      </w:r>
      <w:proofErr w:type="spellEnd"/>
      <w:r w:rsidRPr="00EA305A">
        <w:rPr>
          <w:rFonts w:asciiTheme="majorHAnsi" w:hAnsiTheme="majorHAnsi"/>
          <w:bCs/>
          <w:sz w:val="22"/>
        </w:rPr>
        <w:t xml:space="preserve">, T, Nagata, R, Sato, T, </w:t>
      </w:r>
      <w:proofErr w:type="spellStart"/>
      <w:r w:rsidRPr="00EA305A">
        <w:rPr>
          <w:rFonts w:asciiTheme="majorHAnsi" w:hAnsiTheme="majorHAnsi"/>
          <w:bCs/>
          <w:sz w:val="22"/>
        </w:rPr>
        <w:t>Motoyoshi</w:t>
      </w:r>
      <w:proofErr w:type="spellEnd"/>
      <w:r w:rsidRPr="00EA305A">
        <w:rPr>
          <w:rFonts w:asciiTheme="majorHAnsi" w:hAnsiTheme="majorHAnsi"/>
          <w:bCs/>
          <w:sz w:val="22"/>
        </w:rPr>
        <w:t xml:space="preserve">, F &amp; </w:t>
      </w:r>
      <w:proofErr w:type="spellStart"/>
      <w:r w:rsidRPr="00EA305A">
        <w:rPr>
          <w:rFonts w:asciiTheme="majorHAnsi" w:hAnsiTheme="majorHAnsi"/>
          <w:bCs/>
          <w:sz w:val="22"/>
        </w:rPr>
        <w:t>Nishiguchi</w:t>
      </w:r>
      <w:proofErr w:type="spellEnd"/>
      <w:r w:rsidRPr="00EA305A">
        <w:rPr>
          <w:rFonts w:asciiTheme="majorHAnsi" w:hAnsiTheme="majorHAnsi"/>
          <w:bCs/>
          <w:sz w:val="22"/>
        </w:rPr>
        <w:t xml:space="preserve">, M 1991, ‘The complete nucleotide sequence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(SH strain) genomic RNA’, </w:t>
      </w:r>
      <w:r w:rsidRPr="00EA305A">
        <w:rPr>
          <w:rFonts w:asciiTheme="majorHAnsi" w:hAnsiTheme="majorHAnsi"/>
          <w:bCs/>
          <w:i/>
          <w:sz w:val="22"/>
        </w:rPr>
        <w:t>Journal of General Virology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72, pp. 1487–1495.</w:t>
      </w:r>
    </w:p>
    <w:p w14:paraId="0226C9B3"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Vani, S &amp; Varma, A 1993, ‘Properties of </w:t>
      </w:r>
      <w:r w:rsidRPr="00EA305A">
        <w:rPr>
          <w:rFonts w:asciiTheme="majorHAnsi" w:hAnsiTheme="majorHAnsi"/>
          <w:bCs/>
          <w:i/>
          <w:sz w:val="22"/>
        </w:rPr>
        <w:t>Cucumber green mottle mosaic virus</w:t>
      </w:r>
      <w:r w:rsidRPr="00EA305A">
        <w:rPr>
          <w:rFonts w:asciiTheme="majorHAnsi" w:hAnsiTheme="majorHAnsi"/>
          <w:bCs/>
          <w:sz w:val="22"/>
        </w:rPr>
        <w:t xml:space="preserve"> isolated from water of River </w:t>
      </w:r>
      <w:proofErr w:type="spellStart"/>
      <w:r w:rsidRPr="00EA305A">
        <w:rPr>
          <w:rFonts w:asciiTheme="majorHAnsi" w:hAnsiTheme="majorHAnsi"/>
          <w:bCs/>
          <w:sz w:val="22"/>
        </w:rPr>
        <w:t>Jamuna</w:t>
      </w:r>
      <w:proofErr w:type="spellEnd"/>
      <w:r w:rsidRPr="00EA305A">
        <w:rPr>
          <w:rFonts w:asciiTheme="majorHAnsi" w:hAnsiTheme="majorHAnsi"/>
          <w:bCs/>
          <w:sz w:val="22"/>
        </w:rPr>
        <w:t xml:space="preserve">’, </w:t>
      </w:r>
      <w:r w:rsidRPr="00EA305A">
        <w:rPr>
          <w:rFonts w:asciiTheme="majorHAnsi" w:hAnsiTheme="majorHAnsi"/>
          <w:bCs/>
          <w:i/>
          <w:sz w:val="22"/>
        </w:rPr>
        <w:t>Indian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46, no. 2, pp. 118–122.</w:t>
      </w:r>
    </w:p>
    <w:p w14:paraId="25148D61" w14:textId="019A681D" w:rsidR="008163B6" w:rsidRPr="00EA305A" w:rsidRDefault="008409B2" w:rsidP="008E43DA">
      <w:pPr>
        <w:autoSpaceDE w:val="0"/>
        <w:autoSpaceDN w:val="0"/>
        <w:spacing w:before="120" w:after="120" w:line="271" w:lineRule="auto"/>
        <w:rPr>
          <w:rFonts w:asciiTheme="majorHAnsi" w:hAnsiTheme="majorHAnsi"/>
        </w:rPr>
      </w:pPr>
      <w:r w:rsidRPr="00EA305A">
        <w:rPr>
          <w:rFonts w:asciiTheme="majorHAnsi" w:hAnsiTheme="majorHAnsi"/>
        </w:rPr>
        <w:t>V</w:t>
      </w:r>
      <w:r w:rsidR="00F709BD" w:rsidRPr="00EA305A">
        <w:rPr>
          <w:rFonts w:asciiTheme="majorHAnsi" w:hAnsiTheme="majorHAnsi"/>
        </w:rPr>
        <w:t xml:space="preserve">an </w:t>
      </w:r>
      <w:proofErr w:type="spellStart"/>
      <w:r w:rsidR="00F709BD" w:rsidRPr="00EA305A">
        <w:rPr>
          <w:rFonts w:asciiTheme="majorHAnsi" w:hAnsiTheme="majorHAnsi"/>
        </w:rPr>
        <w:t>Vaerenbergh</w:t>
      </w:r>
      <w:proofErr w:type="spellEnd"/>
      <w:r w:rsidR="00F709BD" w:rsidRPr="00EA305A">
        <w:rPr>
          <w:rFonts w:asciiTheme="majorHAnsi" w:hAnsiTheme="majorHAnsi"/>
        </w:rPr>
        <w:t>, J, Bergsma-</w:t>
      </w:r>
      <w:proofErr w:type="spellStart"/>
      <w:r w:rsidR="00F709BD" w:rsidRPr="00EA305A">
        <w:rPr>
          <w:rFonts w:asciiTheme="majorHAnsi" w:hAnsiTheme="majorHAnsi"/>
        </w:rPr>
        <w:t>Vlami</w:t>
      </w:r>
      <w:proofErr w:type="spellEnd"/>
      <w:r w:rsidR="00F709BD" w:rsidRPr="00EA305A">
        <w:rPr>
          <w:rFonts w:asciiTheme="majorHAnsi" w:hAnsiTheme="majorHAnsi"/>
        </w:rPr>
        <w:t>, M, Elphinstone, J, Stefani, E &amp; Olivier, V 2013, ‘</w:t>
      </w:r>
      <w:proofErr w:type="spellStart"/>
      <w:r w:rsidR="00F709BD" w:rsidRPr="00EA305A">
        <w:rPr>
          <w:rFonts w:asciiTheme="majorHAnsi" w:hAnsiTheme="majorHAnsi"/>
          <w:i/>
          <w:iCs/>
        </w:rPr>
        <w:t>Clavibacter</w:t>
      </w:r>
      <w:proofErr w:type="spellEnd"/>
      <w:r w:rsidR="00F709BD" w:rsidRPr="00EA305A">
        <w:rPr>
          <w:rFonts w:asciiTheme="majorHAnsi" w:hAnsiTheme="majorHAnsi"/>
          <w:i/>
          <w:iCs/>
        </w:rPr>
        <w:t xml:space="preserve"> </w:t>
      </w:r>
      <w:proofErr w:type="spellStart"/>
      <w:r w:rsidR="00F709BD" w:rsidRPr="00EA305A">
        <w:rPr>
          <w:rFonts w:asciiTheme="majorHAnsi" w:hAnsiTheme="majorHAnsi"/>
          <w:i/>
          <w:iCs/>
        </w:rPr>
        <w:t>michiganensis</w:t>
      </w:r>
      <w:proofErr w:type="spellEnd"/>
      <w:r w:rsidR="00F709BD" w:rsidRPr="00EA305A">
        <w:rPr>
          <w:rFonts w:asciiTheme="majorHAnsi" w:hAnsiTheme="majorHAnsi"/>
        </w:rPr>
        <w:t xml:space="preserve"> subsp.</w:t>
      </w:r>
      <w:r w:rsidR="00F709BD" w:rsidRPr="00EA305A">
        <w:rPr>
          <w:rFonts w:asciiTheme="majorHAnsi" w:hAnsiTheme="majorHAnsi"/>
          <w:i/>
          <w:iCs/>
        </w:rPr>
        <w:t xml:space="preserve"> </w:t>
      </w:r>
      <w:proofErr w:type="spellStart"/>
      <w:r w:rsidR="00F709BD" w:rsidRPr="00EA305A">
        <w:rPr>
          <w:rFonts w:asciiTheme="majorHAnsi" w:hAnsiTheme="majorHAnsi"/>
          <w:i/>
          <w:iCs/>
        </w:rPr>
        <w:t>michiganensis</w:t>
      </w:r>
      <w:proofErr w:type="spellEnd"/>
      <w:r w:rsidR="00F709BD" w:rsidRPr="00EA305A">
        <w:rPr>
          <w:rFonts w:asciiTheme="majorHAnsi" w:hAnsiTheme="majorHAnsi"/>
        </w:rPr>
        <w:t xml:space="preserve">’, </w:t>
      </w:r>
      <w:r w:rsidR="00F709BD" w:rsidRPr="00EA305A">
        <w:rPr>
          <w:rFonts w:asciiTheme="majorHAnsi" w:hAnsiTheme="majorHAnsi"/>
          <w:i/>
          <w:iCs/>
        </w:rPr>
        <w:t>Bulletin OEPP/EPPO Bulletin</w:t>
      </w:r>
      <w:r w:rsidR="00F709BD" w:rsidRPr="00EA305A">
        <w:rPr>
          <w:rFonts w:asciiTheme="majorHAnsi" w:hAnsiTheme="majorHAnsi"/>
        </w:rPr>
        <w:t>, vol. 43, pp. 46–67.</w:t>
      </w:r>
    </w:p>
    <w:p w14:paraId="2080824E" w14:textId="77777777" w:rsidR="008163B6" w:rsidRPr="00EA305A" w:rsidRDefault="00F709BD" w:rsidP="008E43DA">
      <w:pPr>
        <w:pStyle w:val="Header"/>
        <w:spacing w:before="120" w:after="120" w:line="271" w:lineRule="auto"/>
        <w:jc w:val="left"/>
        <w:rPr>
          <w:rFonts w:asciiTheme="majorHAnsi" w:hAnsiTheme="majorHAnsi"/>
          <w:bCs/>
          <w:sz w:val="22"/>
        </w:rPr>
      </w:pPr>
      <w:proofErr w:type="spellStart"/>
      <w:r w:rsidRPr="00EA305A">
        <w:rPr>
          <w:rFonts w:asciiTheme="majorHAnsi" w:hAnsiTheme="majorHAnsi"/>
          <w:bCs/>
          <w:sz w:val="22"/>
        </w:rPr>
        <w:t>Varveri</w:t>
      </w:r>
      <w:proofErr w:type="spellEnd"/>
      <w:r w:rsidRPr="00EA305A">
        <w:rPr>
          <w:rFonts w:asciiTheme="majorHAnsi" w:hAnsiTheme="majorHAnsi"/>
          <w:bCs/>
          <w:sz w:val="22"/>
        </w:rPr>
        <w:t xml:space="preserve">, C, </w:t>
      </w:r>
      <w:proofErr w:type="spellStart"/>
      <w:r w:rsidRPr="00EA305A">
        <w:rPr>
          <w:rFonts w:asciiTheme="majorHAnsi" w:hAnsiTheme="majorHAnsi"/>
          <w:bCs/>
          <w:sz w:val="22"/>
        </w:rPr>
        <w:t>Vassilakos</w:t>
      </w:r>
      <w:proofErr w:type="spellEnd"/>
      <w:r w:rsidRPr="00EA305A">
        <w:rPr>
          <w:rFonts w:asciiTheme="majorHAnsi" w:hAnsiTheme="majorHAnsi"/>
          <w:bCs/>
          <w:sz w:val="22"/>
        </w:rPr>
        <w:t xml:space="preserve">, N, </w:t>
      </w:r>
      <w:proofErr w:type="spellStart"/>
      <w:r w:rsidRPr="00EA305A">
        <w:rPr>
          <w:rFonts w:asciiTheme="majorHAnsi" w:hAnsiTheme="majorHAnsi"/>
          <w:bCs/>
          <w:sz w:val="22"/>
        </w:rPr>
        <w:t>Bem</w:t>
      </w:r>
      <w:proofErr w:type="spellEnd"/>
      <w:r w:rsidRPr="00EA305A">
        <w:rPr>
          <w:rFonts w:asciiTheme="majorHAnsi" w:hAnsiTheme="majorHAnsi"/>
          <w:bCs/>
          <w:sz w:val="22"/>
        </w:rPr>
        <w:t xml:space="preserve">, F 2002, ‘Characterization and detection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in Greece’, </w:t>
      </w:r>
      <w:proofErr w:type="spellStart"/>
      <w:r w:rsidRPr="00EA305A">
        <w:rPr>
          <w:rFonts w:asciiTheme="majorHAnsi" w:hAnsiTheme="majorHAnsi"/>
          <w:bCs/>
          <w:i/>
          <w:sz w:val="22"/>
        </w:rPr>
        <w:t>Phytoparasitica</w:t>
      </w:r>
      <w:proofErr w:type="spellEnd"/>
      <w:r w:rsidRPr="00EA305A">
        <w:rPr>
          <w:rFonts w:asciiTheme="majorHAnsi" w:hAnsiTheme="majorHAnsi"/>
          <w:bCs/>
          <w:sz w:val="22"/>
        </w:rPr>
        <w:t>, vol. 30, no. 5, pp. 493–501.</w:t>
      </w:r>
    </w:p>
    <w:p w14:paraId="7D13C06D"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Wingfield, MJ, Slippers, B &amp; Wingfield, BD 2010, ‘Novel associations between pathogens, insects and tree species threaten world forests’, </w:t>
      </w:r>
      <w:r w:rsidRPr="00EA305A">
        <w:rPr>
          <w:rFonts w:asciiTheme="majorHAnsi" w:hAnsiTheme="majorHAnsi"/>
          <w:bCs/>
          <w:i/>
          <w:sz w:val="22"/>
        </w:rPr>
        <w:t>New Zealand Journal of Forestry Science</w:t>
      </w:r>
      <w:r w:rsidRPr="00EA305A">
        <w:rPr>
          <w:rFonts w:asciiTheme="majorHAnsi" w:hAnsiTheme="majorHAnsi"/>
          <w:bCs/>
          <w:sz w:val="22"/>
        </w:rPr>
        <w:t>, vol. 40, pp. 95–103.</w:t>
      </w:r>
    </w:p>
    <w:p w14:paraId="79CA0A7C" w14:textId="77777777" w:rsidR="008163B6" w:rsidRPr="00EA305A" w:rsidRDefault="00F709BD" w:rsidP="008E43DA">
      <w:pPr>
        <w:pStyle w:val="pagetitletext"/>
        <w:spacing w:before="120" w:after="120" w:afterAutospacing="0" w:line="271" w:lineRule="auto"/>
        <w:rPr>
          <w:rFonts w:asciiTheme="majorHAnsi" w:hAnsiTheme="majorHAnsi"/>
          <w:b w:val="0"/>
          <w:bCs w:val="0"/>
          <w:color w:val="auto"/>
          <w:sz w:val="22"/>
          <w:szCs w:val="22"/>
          <w:lang w:val="en-AU"/>
        </w:rPr>
      </w:pPr>
      <w:r w:rsidRPr="00EA305A">
        <w:rPr>
          <w:rFonts w:asciiTheme="majorHAnsi" w:hAnsiTheme="majorHAnsi"/>
          <w:b w:val="0"/>
          <w:bCs w:val="0"/>
          <w:color w:val="auto"/>
          <w:sz w:val="22"/>
          <w:szCs w:val="22"/>
          <w:lang w:val="en-AU"/>
        </w:rPr>
        <w:t>WTO (World Trade Organization) 1995, ‘Agreement on Sanitary and Phytosanitary Measures’, available at wto.org/</w:t>
      </w:r>
      <w:proofErr w:type="spellStart"/>
      <w:r w:rsidRPr="00EA305A">
        <w:rPr>
          <w:rFonts w:asciiTheme="majorHAnsi" w:hAnsiTheme="majorHAnsi"/>
          <w:b w:val="0"/>
          <w:bCs w:val="0"/>
          <w:color w:val="auto"/>
          <w:sz w:val="22"/>
          <w:szCs w:val="22"/>
          <w:lang w:val="en-AU"/>
        </w:rPr>
        <w:t>english</w:t>
      </w:r>
      <w:proofErr w:type="spellEnd"/>
      <w:r w:rsidRPr="00EA305A">
        <w:rPr>
          <w:rFonts w:asciiTheme="majorHAnsi" w:hAnsiTheme="majorHAnsi"/>
          <w:b w:val="0"/>
          <w:bCs w:val="0"/>
          <w:color w:val="auto"/>
          <w:sz w:val="22"/>
          <w:szCs w:val="22"/>
          <w:lang w:val="en-AU"/>
        </w:rPr>
        <w:t>/</w:t>
      </w:r>
      <w:proofErr w:type="spellStart"/>
      <w:r w:rsidRPr="00EA305A">
        <w:rPr>
          <w:rFonts w:asciiTheme="majorHAnsi" w:hAnsiTheme="majorHAnsi"/>
          <w:b w:val="0"/>
          <w:bCs w:val="0"/>
          <w:color w:val="auto"/>
          <w:sz w:val="22"/>
          <w:szCs w:val="22"/>
          <w:lang w:val="en-AU"/>
        </w:rPr>
        <w:t>res_e</w:t>
      </w:r>
      <w:proofErr w:type="spellEnd"/>
      <w:r w:rsidRPr="00EA305A">
        <w:rPr>
          <w:rFonts w:asciiTheme="majorHAnsi" w:hAnsiTheme="majorHAnsi"/>
          <w:b w:val="0"/>
          <w:bCs w:val="0"/>
          <w:color w:val="auto"/>
          <w:sz w:val="22"/>
          <w:szCs w:val="22"/>
          <w:lang w:val="en-AU"/>
        </w:rPr>
        <w:t>/</w:t>
      </w:r>
      <w:proofErr w:type="spellStart"/>
      <w:r w:rsidRPr="00EA305A">
        <w:rPr>
          <w:rFonts w:asciiTheme="majorHAnsi" w:hAnsiTheme="majorHAnsi"/>
          <w:b w:val="0"/>
          <w:bCs w:val="0"/>
          <w:color w:val="auto"/>
          <w:sz w:val="22"/>
          <w:szCs w:val="22"/>
          <w:lang w:val="en-AU"/>
        </w:rPr>
        <w:t>booksp_e</w:t>
      </w:r>
      <w:proofErr w:type="spellEnd"/>
      <w:r w:rsidRPr="00EA305A">
        <w:rPr>
          <w:rFonts w:asciiTheme="majorHAnsi" w:hAnsiTheme="majorHAnsi"/>
          <w:b w:val="0"/>
          <w:bCs w:val="0"/>
          <w:color w:val="auto"/>
          <w:sz w:val="22"/>
          <w:szCs w:val="22"/>
          <w:lang w:val="en-AU"/>
        </w:rPr>
        <w:t>/</w:t>
      </w:r>
      <w:proofErr w:type="spellStart"/>
      <w:r w:rsidRPr="00EA305A">
        <w:rPr>
          <w:rFonts w:asciiTheme="majorHAnsi" w:hAnsiTheme="majorHAnsi"/>
          <w:b w:val="0"/>
          <w:bCs w:val="0"/>
          <w:color w:val="auto"/>
          <w:sz w:val="22"/>
          <w:szCs w:val="22"/>
          <w:lang w:val="en-AU"/>
        </w:rPr>
        <w:t>analytic_index_e</w:t>
      </w:r>
      <w:proofErr w:type="spellEnd"/>
      <w:r w:rsidRPr="00EA305A">
        <w:rPr>
          <w:rFonts w:asciiTheme="majorHAnsi" w:hAnsiTheme="majorHAnsi"/>
          <w:b w:val="0"/>
          <w:bCs w:val="0"/>
          <w:color w:val="auto"/>
          <w:sz w:val="22"/>
          <w:szCs w:val="22"/>
          <w:lang w:val="en-AU"/>
        </w:rPr>
        <w:t>/sps_01_e.htm#pA.</w:t>
      </w:r>
    </w:p>
    <w:p w14:paraId="57011EAC"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sz w:val="22"/>
        </w:rPr>
        <w:t xml:space="preserve">Wu, H, Qin, B, Chen, H, Peng, B, </w:t>
      </w:r>
      <w:proofErr w:type="spellStart"/>
      <w:r w:rsidRPr="00EA305A">
        <w:rPr>
          <w:rFonts w:asciiTheme="majorHAnsi" w:hAnsiTheme="majorHAnsi"/>
          <w:sz w:val="22"/>
        </w:rPr>
        <w:t>Cai</w:t>
      </w:r>
      <w:proofErr w:type="spellEnd"/>
      <w:r w:rsidRPr="00EA305A">
        <w:rPr>
          <w:rFonts w:asciiTheme="majorHAnsi" w:hAnsiTheme="majorHAnsi"/>
          <w:sz w:val="22"/>
        </w:rPr>
        <w:t xml:space="preserve">, J &amp; </w:t>
      </w:r>
      <w:proofErr w:type="spellStart"/>
      <w:r w:rsidRPr="00EA305A">
        <w:rPr>
          <w:rFonts w:asciiTheme="majorHAnsi" w:hAnsiTheme="majorHAnsi"/>
          <w:sz w:val="22"/>
        </w:rPr>
        <w:t>Gu</w:t>
      </w:r>
      <w:proofErr w:type="spellEnd"/>
      <w:r w:rsidRPr="00EA305A">
        <w:rPr>
          <w:rFonts w:asciiTheme="majorHAnsi" w:hAnsiTheme="majorHAnsi"/>
          <w:sz w:val="22"/>
        </w:rPr>
        <w:t>, Q 2011, ‘</w:t>
      </w:r>
      <w:r w:rsidRPr="00EA305A">
        <w:rPr>
          <w:rFonts w:asciiTheme="majorHAnsi" w:hAnsiTheme="majorHAnsi"/>
          <w:bCs/>
          <w:sz w:val="22"/>
        </w:rPr>
        <w:t xml:space="preserve">The rate of seed contamination and transmission of </w:t>
      </w:r>
      <w:r w:rsidRPr="00EA305A">
        <w:rPr>
          <w:rFonts w:asciiTheme="majorHAnsi" w:hAnsiTheme="majorHAnsi"/>
          <w:bCs/>
          <w:i/>
          <w:sz w:val="22"/>
        </w:rPr>
        <w:t>Cucumber green mottle mosaic virus</w:t>
      </w:r>
      <w:r w:rsidRPr="00EA305A">
        <w:rPr>
          <w:rFonts w:asciiTheme="majorHAnsi" w:hAnsiTheme="majorHAnsi"/>
          <w:bCs/>
          <w:sz w:val="22"/>
        </w:rPr>
        <w:t xml:space="preserve"> in watermelon and melon’, </w:t>
      </w:r>
      <w:r w:rsidRPr="00EA305A">
        <w:rPr>
          <w:rFonts w:asciiTheme="majorHAnsi" w:hAnsiTheme="majorHAnsi"/>
          <w:bCs/>
          <w:i/>
          <w:sz w:val="22"/>
        </w:rPr>
        <w:t xml:space="preserve">Scientia </w:t>
      </w:r>
      <w:proofErr w:type="spellStart"/>
      <w:r w:rsidRPr="00EA305A">
        <w:rPr>
          <w:rFonts w:asciiTheme="majorHAnsi" w:hAnsiTheme="majorHAnsi"/>
          <w:bCs/>
          <w:i/>
          <w:sz w:val="22"/>
        </w:rPr>
        <w:t>Agricultura</w:t>
      </w:r>
      <w:proofErr w:type="spellEnd"/>
      <w:r w:rsidRPr="00EA305A">
        <w:rPr>
          <w:rFonts w:asciiTheme="majorHAnsi" w:hAnsiTheme="majorHAnsi"/>
          <w:bCs/>
          <w:i/>
          <w:sz w:val="22"/>
        </w:rPr>
        <w:t xml:space="preserve"> </w:t>
      </w:r>
      <w:proofErr w:type="spellStart"/>
      <w:r w:rsidRPr="00EA305A">
        <w:rPr>
          <w:rFonts w:asciiTheme="majorHAnsi" w:hAnsiTheme="majorHAnsi"/>
          <w:bCs/>
          <w:i/>
          <w:sz w:val="22"/>
        </w:rPr>
        <w:t>Sinica</w:t>
      </w:r>
      <w:proofErr w:type="spellEnd"/>
      <w:r w:rsidRPr="00EA305A">
        <w:rPr>
          <w:rFonts w:asciiTheme="majorHAnsi" w:hAnsiTheme="majorHAnsi"/>
          <w:bCs/>
          <w:sz w:val="22"/>
        </w:rPr>
        <w:t>, vol. 44, no. 1, pp. 527–532.</w:t>
      </w:r>
    </w:p>
    <w:p w14:paraId="61028E6A"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Yoon, JY, Choi, GS, Choi, SK, Hong, JS, Choi, JK, Kim, W, Lee, GP &amp; </w:t>
      </w:r>
      <w:proofErr w:type="spellStart"/>
      <w:r w:rsidRPr="00EA305A">
        <w:rPr>
          <w:rFonts w:asciiTheme="majorHAnsi" w:hAnsiTheme="majorHAnsi"/>
          <w:bCs/>
          <w:sz w:val="22"/>
        </w:rPr>
        <w:t>Ryu</w:t>
      </w:r>
      <w:proofErr w:type="spellEnd"/>
      <w:r w:rsidRPr="00EA305A">
        <w:rPr>
          <w:rFonts w:asciiTheme="majorHAnsi" w:hAnsiTheme="majorHAnsi"/>
          <w:bCs/>
          <w:sz w:val="22"/>
        </w:rPr>
        <w:t xml:space="preserve">, KH 2008, ‘Molecular and biological diversities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from cucurbitaceous crops in Korea’, </w:t>
      </w:r>
      <w:r w:rsidRPr="00EA305A">
        <w:rPr>
          <w:rFonts w:asciiTheme="majorHAnsi" w:hAnsiTheme="majorHAnsi"/>
          <w:bCs/>
          <w:i/>
          <w:sz w:val="22"/>
        </w:rPr>
        <w:t>Journal of Phytopathology</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vol. 156, no. 7–8, pp. 408–412.</w:t>
      </w:r>
    </w:p>
    <w:p w14:paraId="3A1E61DC" w14:textId="77777777" w:rsidR="008163B6" w:rsidRPr="00EA305A" w:rsidRDefault="00F709BD" w:rsidP="008E43DA">
      <w:pPr>
        <w:pStyle w:val="Header"/>
        <w:spacing w:before="120" w:after="120" w:line="271" w:lineRule="auto"/>
        <w:jc w:val="left"/>
        <w:rPr>
          <w:rFonts w:asciiTheme="majorHAnsi" w:hAnsiTheme="majorHAnsi"/>
          <w:bCs/>
          <w:sz w:val="22"/>
        </w:rPr>
      </w:pPr>
      <w:r w:rsidRPr="00EA305A">
        <w:rPr>
          <w:rFonts w:asciiTheme="majorHAnsi" w:hAnsiTheme="majorHAnsi"/>
          <w:bCs/>
          <w:sz w:val="22"/>
        </w:rPr>
        <w:t xml:space="preserve">Zhang, YJ, Li, GF &amp; Li, MF 2009, ‘Occurrence of </w:t>
      </w:r>
      <w:r w:rsidRPr="00EA305A">
        <w:rPr>
          <w:rFonts w:asciiTheme="majorHAnsi" w:hAnsiTheme="majorHAnsi"/>
          <w:bCs/>
          <w:i/>
          <w:sz w:val="22"/>
        </w:rPr>
        <w:t xml:space="preserve">Cucumber green mottle mosaic virus </w:t>
      </w:r>
      <w:r w:rsidRPr="00EA305A">
        <w:rPr>
          <w:rFonts w:asciiTheme="majorHAnsi" w:hAnsiTheme="majorHAnsi"/>
          <w:bCs/>
          <w:sz w:val="22"/>
        </w:rPr>
        <w:t xml:space="preserve">on cucurbitaceous plants in China’, </w:t>
      </w:r>
      <w:r w:rsidRPr="00EA305A">
        <w:rPr>
          <w:rFonts w:asciiTheme="majorHAnsi" w:hAnsiTheme="majorHAnsi"/>
          <w:bCs/>
          <w:i/>
          <w:sz w:val="22"/>
        </w:rPr>
        <w:t>Plant Disease</w:t>
      </w:r>
      <w:r w:rsidRPr="00EA305A">
        <w:rPr>
          <w:rFonts w:asciiTheme="majorHAnsi" w:hAnsiTheme="majorHAnsi"/>
          <w:bCs/>
          <w:sz w:val="22"/>
        </w:rPr>
        <w:t>,</w:t>
      </w:r>
      <w:r w:rsidRPr="00EA305A">
        <w:rPr>
          <w:rFonts w:asciiTheme="majorHAnsi" w:hAnsiTheme="majorHAnsi"/>
          <w:bCs/>
          <w:i/>
          <w:sz w:val="22"/>
        </w:rPr>
        <w:t xml:space="preserve"> </w:t>
      </w:r>
      <w:r w:rsidRPr="00EA305A">
        <w:rPr>
          <w:rFonts w:asciiTheme="majorHAnsi" w:hAnsiTheme="majorHAnsi"/>
          <w:bCs/>
          <w:sz w:val="22"/>
        </w:rPr>
        <w:t xml:space="preserve">vol. 93, no. 2, pp. 200. </w:t>
      </w:r>
    </w:p>
    <w:p w14:paraId="3A9CF73C" w14:textId="77777777" w:rsidR="0039542B" w:rsidRPr="00EA305A" w:rsidRDefault="0039542B" w:rsidP="008E43DA">
      <w:pPr>
        <w:pStyle w:val="Header"/>
        <w:spacing w:before="120" w:after="120" w:line="271" w:lineRule="auto"/>
        <w:jc w:val="both"/>
        <w:outlineLvl w:val="0"/>
        <w:rPr>
          <w:rFonts w:asciiTheme="majorHAnsi" w:hAnsiTheme="majorHAnsi"/>
          <w:bCs/>
          <w:sz w:val="22"/>
        </w:rPr>
      </w:pPr>
      <w:r w:rsidRPr="00EA305A">
        <w:rPr>
          <w:rFonts w:asciiTheme="majorHAnsi" w:hAnsiTheme="majorHAnsi"/>
          <w:bCs/>
          <w:sz w:val="22"/>
        </w:rPr>
        <w:t xml:space="preserve">Zhou, LL, Wu, YH, Zhao, XX, Li, LM, </w:t>
      </w:r>
      <w:proofErr w:type="spellStart"/>
      <w:r w:rsidRPr="00EA305A">
        <w:rPr>
          <w:rFonts w:asciiTheme="majorHAnsi" w:hAnsiTheme="majorHAnsi"/>
          <w:bCs/>
          <w:sz w:val="22"/>
        </w:rPr>
        <w:t>Cai</w:t>
      </w:r>
      <w:proofErr w:type="spellEnd"/>
      <w:r w:rsidRPr="00EA305A">
        <w:rPr>
          <w:rFonts w:asciiTheme="majorHAnsi" w:hAnsiTheme="majorHAnsi"/>
          <w:bCs/>
          <w:sz w:val="22"/>
        </w:rPr>
        <w:t xml:space="preserve">, M, Wang, L &amp; Wang, WH 2008, ‘The biological characteristics of </w:t>
      </w:r>
      <w:r w:rsidRPr="00A21478">
        <w:rPr>
          <w:rFonts w:asciiTheme="majorHAnsi" w:hAnsiTheme="majorHAnsi"/>
          <w:bCs/>
          <w:i/>
          <w:sz w:val="22"/>
        </w:rPr>
        <w:t>Cucumber green mottle mosaic virus</w:t>
      </w:r>
      <w:r w:rsidRPr="00EA305A">
        <w:rPr>
          <w:rFonts w:asciiTheme="majorHAnsi" w:hAnsiTheme="majorHAnsi"/>
          <w:bCs/>
          <w:sz w:val="22"/>
        </w:rPr>
        <w:t xml:space="preserve"> and its effects on yield and quality of watermelon’, </w:t>
      </w:r>
      <w:r w:rsidRPr="00EA305A">
        <w:rPr>
          <w:rFonts w:asciiTheme="majorHAnsi" w:hAnsiTheme="majorHAnsi"/>
          <w:bCs/>
          <w:i/>
          <w:sz w:val="22"/>
        </w:rPr>
        <w:t>Journal of Shenyang Agricultural University</w:t>
      </w:r>
      <w:r w:rsidRPr="00EA305A">
        <w:rPr>
          <w:rFonts w:asciiTheme="majorHAnsi" w:hAnsiTheme="majorHAnsi"/>
          <w:bCs/>
          <w:sz w:val="22"/>
        </w:rPr>
        <w:t xml:space="preserve">, vol. 39, no. 4, pp. 417–422. </w:t>
      </w:r>
    </w:p>
    <w:p w14:paraId="32C5891F" w14:textId="77777777" w:rsidR="008163B6" w:rsidRPr="00EA305A" w:rsidRDefault="00F709BD" w:rsidP="008E43DA">
      <w:pPr>
        <w:autoSpaceDE w:val="0"/>
        <w:autoSpaceDN w:val="0"/>
        <w:adjustRightInd w:val="0"/>
        <w:spacing w:before="120" w:after="120" w:line="271" w:lineRule="auto"/>
        <w:rPr>
          <w:rFonts w:asciiTheme="majorHAnsi" w:hAnsiTheme="majorHAnsi"/>
          <w:bCs/>
        </w:rPr>
      </w:pPr>
      <w:proofErr w:type="spellStart"/>
      <w:r w:rsidRPr="00EA305A">
        <w:rPr>
          <w:rFonts w:asciiTheme="majorHAnsi" w:hAnsiTheme="majorHAnsi"/>
          <w:bCs/>
        </w:rPr>
        <w:t>Zitikaitė</w:t>
      </w:r>
      <w:proofErr w:type="spellEnd"/>
      <w:r w:rsidRPr="00EA305A">
        <w:rPr>
          <w:rFonts w:asciiTheme="majorHAnsi" w:hAnsiTheme="majorHAnsi"/>
          <w:bCs/>
        </w:rPr>
        <w:t xml:space="preserve">, I 2002, ‘Viruses of cucumber plants and identification of their agents’, </w:t>
      </w:r>
      <w:proofErr w:type="spellStart"/>
      <w:r w:rsidRPr="00EA305A">
        <w:rPr>
          <w:rFonts w:asciiTheme="majorHAnsi" w:hAnsiTheme="majorHAnsi"/>
          <w:bCs/>
          <w:i/>
        </w:rPr>
        <w:t>Biologija</w:t>
      </w:r>
      <w:proofErr w:type="spellEnd"/>
      <w:r w:rsidRPr="00EA305A">
        <w:rPr>
          <w:rFonts w:asciiTheme="majorHAnsi" w:hAnsiTheme="majorHAnsi"/>
          <w:bCs/>
        </w:rPr>
        <w:t>,</w:t>
      </w:r>
      <w:r w:rsidRPr="00EA305A">
        <w:rPr>
          <w:rFonts w:asciiTheme="majorHAnsi" w:hAnsiTheme="majorHAnsi"/>
          <w:bCs/>
          <w:i/>
        </w:rPr>
        <w:t xml:space="preserve"> </w:t>
      </w:r>
      <w:r w:rsidRPr="00EA305A">
        <w:rPr>
          <w:rFonts w:asciiTheme="majorHAnsi" w:hAnsiTheme="majorHAnsi"/>
          <w:bCs/>
        </w:rPr>
        <w:t>vol. 2, pp. 42–46.</w:t>
      </w:r>
    </w:p>
    <w:sectPr w:rsidR="008163B6" w:rsidRPr="00EA305A" w:rsidSect="008163B6">
      <w:headerReference w:type="default" r:id="rId5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F6751" w14:textId="77777777" w:rsidR="00355A23" w:rsidRDefault="00355A23">
      <w:r>
        <w:separator/>
      </w:r>
    </w:p>
  </w:endnote>
  <w:endnote w:type="continuationSeparator" w:id="0">
    <w:p w14:paraId="6815CE91" w14:textId="77777777" w:rsidR="00355A23" w:rsidRDefault="00355A23">
      <w:r>
        <w:continuationSeparator/>
      </w:r>
    </w:p>
  </w:endnote>
  <w:endnote w:type="continuationNotice" w:id="1">
    <w:p w14:paraId="21FEC086" w14:textId="77777777" w:rsidR="00355A23" w:rsidRDefault="00355A23">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
    <w:altName w:val="MS Mincho"/>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imes-Roman">
    <w:altName w:val="MS PMincho"/>
    <w:charset w:val="80"/>
    <w:family w:val="roman"/>
    <w:pitch w:val="default"/>
    <w:sig w:usb0="00000003" w:usb1="00000000" w:usb2="00000000" w:usb3="00000000" w:csb0="00000001" w:csb1="00000000"/>
  </w:font>
  <w:font w:name="LucidaBright">
    <w:panose1 w:val="00000000000000000000"/>
    <w:charset w:val="00"/>
    <w:family w:val="roman"/>
    <w:notTrueType/>
    <w:pitch w:val="default"/>
    <w:sig w:usb0="00000003" w:usb1="00000000" w:usb2="00000000" w:usb3="00000000" w:csb0="00000001" w:csb1="00000000"/>
  </w:font>
  <w:font w:name="LucidaBright,Italic">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ff5">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WarnockPro-Regular">
    <w:altName w:val="MS Mincho"/>
    <w:panose1 w:val="00000000000000000000"/>
    <w:charset w:val="80"/>
    <w:family w:val="roman"/>
    <w:notTrueType/>
    <w:pitch w:val="default"/>
    <w:sig w:usb0="00000005" w:usb1="08070000" w:usb2="00000010" w:usb3="00000000" w:csb0="00020002" w:csb1="00000000"/>
  </w:font>
  <w:font w:name="Times-Bold">
    <w:panose1 w:val="00000000000000000000"/>
    <w:charset w:val="00"/>
    <w:family w:val="auto"/>
    <w:notTrueType/>
    <w:pitch w:val="default"/>
    <w:sig w:usb0="00000003" w:usb1="00000000" w:usb2="00000000" w:usb3="00000000" w:csb0="00000001" w:csb1="00000000"/>
  </w:font>
  <w:font w:name="AdvPSSAB-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8BEB6" w14:textId="77777777" w:rsidR="00355A23" w:rsidRDefault="00355A23">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0F86" w14:textId="77777777" w:rsidR="00355A23" w:rsidRDefault="00355A23">
    <w:pPr>
      <w:pStyle w:val="Footer"/>
      <w:tabs>
        <w:tab w:val="clear" w:pos="4536"/>
        <w:tab w:val="center" w:pos="9072"/>
      </w:tabs>
      <w:jc w:val="left"/>
    </w:pPr>
    <w:r>
      <w:t>Australian Government Department of Agriculture</w:t>
    </w:r>
    <w:r>
      <w:tab/>
    </w:r>
    <w:r>
      <w:fldChar w:fldCharType="begin"/>
    </w:r>
    <w:r>
      <w:instrText xml:space="preserve"> PAGE   \* MERGEFORMAT </w:instrText>
    </w:r>
    <w:r>
      <w:fldChar w:fldCharType="separate"/>
    </w:r>
    <w:r>
      <w:t>xxviii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9678D" w14:textId="77777777" w:rsidR="00355A23" w:rsidRDefault="00355A23">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055013">
      <w:rPr>
        <w:noProof/>
      </w:rPr>
      <w:t>13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34D2" w14:textId="77777777" w:rsidR="00355A23" w:rsidRDefault="00355A23">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055013">
      <w:rPr>
        <w:noProof/>
      </w:rPr>
      <w:t>vii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C1B4B" w14:textId="77777777" w:rsidR="00355A23" w:rsidRDefault="00355A23">
      <w:r>
        <w:separator/>
      </w:r>
    </w:p>
  </w:footnote>
  <w:footnote w:type="continuationSeparator" w:id="0">
    <w:p w14:paraId="6C645ABC" w14:textId="77777777" w:rsidR="00355A23" w:rsidRDefault="00355A23">
      <w:r>
        <w:continuationSeparator/>
      </w:r>
    </w:p>
  </w:footnote>
  <w:footnote w:type="continuationNotice" w:id="1">
    <w:p w14:paraId="6D5DE04C" w14:textId="77777777" w:rsidR="00355A23" w:rsidRDefault="00355A23">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43AB" w14:textId="77777777" w:rsidR="00355A23" w:rsidRDefault="00355A23">
    <w:pPr>
      <w:pStyle w:val="Header"/>
      <w:tabs>
        <w:tab w:val="clear" w:pos="4820"/>
        <w:tab w:val="center" w:pos="8505"/>
      </w:tabs>
      <w:jc w:val="left"/>
    </w:pPr>
    <w:r>
      <w:rPr>
        <w:noProof/>
        <w:lang w:eastAsia="en-AU"/>
      </w:rPr>
      <w:drawing>
        <wp:anchor distT="0" distB="0" distL="114300" distR="114300" simplePos="0" relativeHeight="251658240" behindDoc="0" locked="0" layoutInCell="1" allowOverlap="1" wp14:anchorId="74E1CCE8" wp14:editId="157EE9B4">
          <wp:simplePos x="0" y="0"/>
          <wp:positionH relativeFrom="column">
            <wp:posOffset>-99060</wp:posOffset>
          </wp:positionH>
          <wp:positionV relativeFrom="paragraph">
            <wp:posOffset>0</wp:posOffset>
          </wp:positionV>
          <wp:extent cx="2313305" cy="741045"/>
          <wp:effectExtent l="19050" t="0" r="0" b="0"/>
          <wp:wrapSquare wrapText="bothSides"/>
          <wp:docPr id="13" name="Picture 2" descr="J:\Plant Horticulture\Staff\Alicia\Master Inline-TI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3305" cy="74104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EEEEF" w14:textId="3E03E6B0"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Method for pest risk analysis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E68E6"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The pathogen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D5510"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Pest risk assessment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AB247"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7BBC3" w14:textId="77777777" w:rsidR="00355A23" w:rsidRDefault="00355A23">
    <w:pPr>
      <w:pStyle w:val="Header"/>
      <w:tabs>
        <w:tab w:val="clear" w:pos="4820"/>
        <w:tab w:val="left" w:pos="8080"/>
        <w:tab w:val="center" w:pos="13041"/>
      </w:tabs>
      <w:jc w:val="left"/>
    </w:pPr>
    <w:r>
      <w:t xml:space="preserve">Draft PRA: </w:t>
    </w:r>
    <w:r w:rsidRPr="00F715D9">
      <w:rPr>
        <w:i/>
      </w:rPr>
      <w:t>Cucumber green mottle mosaic virus</w:t>
    </w:r>
    <w:r>
      <w:t xml:space="preserve"> (CGMMV)</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49460" w14:textId="0B8842AB" w:rsidR="00355A23" w:rsidRDefault="00355A23">
    <w:pPr>
      <w:pStyle w:val="Header"/>
      <w:tabs>
        <w:tab w:val="clear" w:pos="4820"/>
        <w:tab w:val="left" w:pos="8080"/>
        <w:tab w:val="center" w:pos="13041"/>
      </w:tabs>
      <w:jc w:val="left"/>
    </w:pPr>
    <w:r>
      <w:t xml:space="preserve">Draft PRA: </w:t>
    </w:r>
    <w:r w:rsidRPr="00F715D9">
      <w:rPr>
        <w:i/>
      </w:rPr>
      <w:t>Cucumber green mottle mosaic virus</w:t>
    </w:r>
    <w:r>
      <w:t xml:space="preserve"> (CGMMV)</w:t>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8F315" w14:textId="105DDF4C"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Appendix B</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70026" w14:textId="4A171A9F"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Glossary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1CB4E"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1EF46" w14:textId="77777777" w:rsidR="00355A23" w:rsidRDefault="00355A23">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73F51" w14:textId="77777777" w:rsidR="00355A23" w:rsidRDefault="00355A23">
    <w:pPr>
      <w:pStyle w:val="Header"/>
      <w:tabs>
        <w:tab w:val="clear" w:pos="4820"/>
        <w:tab w:val="center" w:pos="8505"/>
      </w:tabs>
      <w:jc w:val="left"/>
    </w:pPr>
    <w:r>
      <w:t xml:space="preserve">Draft Review of policy: </w:t>
    </w:r>
    <w:r>
      <w:rPr>
        <w:i/>
      </w:rPr>
      <w:t>Phytophthora ramorum</w:t>
    </w:r>
    <w:r>
      <w:t xml:space="preserve"> host propagative material </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F0FB2" w14:textId="77777777" w:rsidR="00355A23" w:rsidRDefault="00355A23">
    <w:pPr>
      <w:pStyle w:val="Header"/>
      <w:tabs>
        <w:tab w:val="clear" w:pos="4820"/>
        <w:tab w:val="center" w:pos="8505"/>
      </w:tabs>
      <w:jc w:val="left"/>
    </w:pPr>
    <w:r>
      <w:t xml:space="preserve">Draft PRA: Draft PRA: </w:t>
    </w:r>
    <w:r w:rsidRPr="00F715D9">
      <w:rPr>
        <w:i/>
      </w:rPr>
      <w:t>Cucumber green mottle mosaic virus</w:t>
    </w:r>
    <w:r>
      <w:t xml:space="preserve"> (CGMMV)</w:t>
    </w:r>
    <w:r>
      <w:tab/>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E49E0" w14:textId="77777777" w:rsidR="00355A23" w:rsidRDefault="00355A23">
    <w:pPr>
      <w:pStyle w:val="Header"/>
      <w:tabs>
        <w:tab w:val="clear" w:pos="4820"/>
        <w:tab w:val="center" w:pos="8505"/>
      </w:tabs>
      <w:jc w:val="left"/>
    </w:pPr>
    <w:r>
      <w:t xml:space="preserve">Draft PRA: </w:t>
    </w:r>
    <w:r w:rsidRPr="00F715D9">
      <w:rPr>
        <w:i/>
      </w:rPr>
      <w:t>Cucumber green mottle mosaic virus</w:t>
    </w:r>
    <w:r>
      <w:t xml:space="preserve"> (CGMMV)</w:t>
    </w:r>
    <w:r>
      <w:tab/>
      <w:t>Contents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B4D28" w14:textId="77777777" w:rsidR="00355A23" w:rsidRDefault="00355A23">
    <w:pPr>
      <w:pStyle w:val="Header"/>
      <w:tabs>
        <w:tab w:val="clear" w:pos="4820"/>
        <w:tab w:val="center" w:pos="8505"/>
      </w:tabs>
      <w:jc w:val="left"/>
    </w:pPr>
    <w:r>
      <w:t xml:space="preserve">Draft PRA: </w:t>
    </w:r>
    <w:r w:rsidRPr="00F715D9">
      <w:rPr>
        <w:i/>
      </w:rPr>
      <w:t>Cucumber green mottle mosaic virus</w:t>
    </w:r>
    <w:r>
      <w:t xml:space="preserve"> (CGMMV)</w:t>
    </w:r>
    <w:r>
      <w:tab/>
      <w:t>Maps of Australia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6C8AD" w14:textId="77777777" w:rsidR="00355A23" w:rsidRDefault="00355A23">
    <w:pPr>
      <w:pStyle w:val="Header"/>
      <w:tabs>
        <w:tab w:val="clear" w:pos="4820"/>
        <w:tab w:val="center" w:pos="8505"/>
      </w:tabs>
      <w:jc w:val="left"/>
    </w:pPr>
    <w:r>
      <w:t xml:space="preserve">Draft PRA: </w:t>
    </w:r>
    <w:r w:rsidRPr="00F715D9">
      <w:rPr>
        <w:i/>
      </w:rPr>
      <w:t>Cucumber green mottle mosaic virus</w:t>
    </w:r>
    <w:r>
      <w:t xml:space="preserve"> (CGMMV)</w:t>
    </w:r>
    <w:r>
      <w:tab/>
      <w:t>Acronyms and 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917FA"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CB935" w14:textId="77777777" w:rsidR="00355A23" w:rsidRDefault="00355A23">
    <w:pPr>
      <w:pStyle w:val="Header"/>
      <w:tabs>
        <w:tab w:val="clear" w:pos="4820"/>
        <w:tab w:val="center" w:pos="8505"/>
        <w:tab w:val="center" w:pos="13041"/>
      </w:tabs>
      <w:jc w:val="left"/>
    </w:pPr>
    <w:r>
      <w:t xml:space="preserve">Draft PRA: </w:t>
    </w:r>
    <w:r w:rsidRPr="00F715D9">
      <w:rPr>
        <w:i/>
      </w:rPr>
      <w:t>Cucumber green mottle mosaic virus</w:t>
    </w:r>
    <w:r>
      <w:t xml:space="preserve"> (CGMMV)</w:t>
    </w:r>
    <w:r>
      <w:tab/>
      <w:t>Introduction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1"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B2A928"/>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4" w15:restartNumberingAfterBreak="0">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65226E7"/>
    <w:multiLevelType w:val="hybridMultilevel"/>
    <w:tmpl w:val="29C48F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E752D5"/>
    <w:multiLevelType w:val="singleLevel"/>
    <w:tmpl w:val="4166359E"/>
    <w:lvl w:ilvl="0">
      <w:start w:val="1"/>
      <w:numFmt w:val="bullet"/>
      <w:lvlText w:val=""/>
      <w:lvlJc w:val="left"/>
      <w:pPr>
        <w:tabs>
          <w:tab w:val="num" w:pos="360"/>
        </w:tabs>
        <w:ind w:left="360" w:hanging="360"/>
      </w:pPr>
      <w:rPr>
        <w:rFonts w:ascii="Symbol" w:hAnsi="Symbol" w:hint="default"/>
        <w:sz w:val="16"/>
      </w:rPr>
    </w:lvl>
  </w:abstractNum>
  <w:abstractNum w:abstractNumId="7" w15:restartNumberingAfterBreak="0">
    <w:nsid w:val="090B13A5"/>
    <w:multiLevelType w:val="hybridMultilevel"/>
    <w:tmpl w:val="2E827DBA"/>
    <w:lvl w:ilvl="0" w:tplc="9ABCC106">
      <w:start w:val="1"/>
      <w:numFmt w:val="bullet"/>
      <w:pStyle w:val="Style1dotpoints"/>
      <w:lvlText w:val=""/>
      <w:lvlJc w:val="left"/>
      <w:pPr>
        <w:tabs>
          <w:tab w:val="num" w:pos="720"/>
        </w:tabs>
        <w:ind w:left="720" w:hanging="360"/>
      </w:pPr>
      <w:rPr>
        <w:rFonts w:ascii="Symbol" w:hAnsi="Symbol" w:hint="default"/>
      </w:rPr>
    </w:lvl>
    <w:lvl w:ilvl="1" w:tplc="8BFE131C" w:tentative="1">
      <w:start w:val="1"/>
      <w:numFmt w:val="bullet"/>
      <w:lvlText w:val="o"/>
      <w:lvlJc w:val="left"/>
      <w:pPr>
        <w:tabs>
          <w:tab w:val="num" w:pos="1440"/>
        </w:tabs>
        <w:ind w:left="1440" w:hanging="360"/>
      </w:pPr>
      <w:rPr>
        <w:rFonts w:ascii="Courier New" w:hAnsi="Courier New" w:cs="Wingdings" w:hint="default"/>
      </w:rPr>
    </w:lvl>
    <w:lvl w:ilvl="2" w:tplc="9288D6EE" w:tentative="1">
      <w:start w:val="1"/>
      <w:numFmt w:val="bullet"/>
      <w:lvlText w:val=""/>
      <w:lvlJc w:val="left"/>
      <w:pPr>
        <w:tabs>
          <w:tab w:val="num" w:pos="2160"/>
        </w:tabs>
        <w:ind w:left="2160" w:hanging="360"/>
      </w:pPr>
      <w:rPr>
        <w:rFonts w:ascii="Wingdings" w:hAnsi="Wingdings" w:hint="default"/>
      </w:rPr>
    </w:lvl>
    <w:lvl w:ilvl="3" w:tplc="FA089700" w:tentative="1">
      <w:start w:val="1"/>
      <w:numFmt w:val="bullet"/>
      <w:lvlText w:val=""/>
      <w:lvlJc w:val="left"/>
      <w:pPr>
        <w:tabs>
          <w:tab w:val="num" w:pos="2880"/>
        </w:tabs>
        <w:ind w:left="2880" w:hanging="360"/>
      </w:pPr>
      <w:rPr>
        <w:rFonts w:ascii="Symbol" w:hAnsi="Symbol" w:hint="default"/>
      </w:rPr>
    </w:lvl>
    <w:lvl w:ilvl="4" w:tplc="6E5EAF32" w:tentative="1">
      <w:start w:val="1"/>
      <w:numFmt w:val="bullet"/>
      <w:lvlText w:val="o"/>
      <w:lvlJc w:val="left"/>
      <w:pPr>
        <w:tabs>
          <w:tab w:val="num" w:pos="3600"/>
        </w:tabs>
        <w:ind w:left="3600" w:hanging="360"/>
      </w:pPr>
      <w:rPr>
        <w:rFonts w:ascii="Courier New" w:hAnsi="Courier New" w:cs="Wingdings" w:hint="default"/>
      </w:rPr>
    </w:lvl>
    <w:lvl w:ilvl="5" w:tplc="A59E29B4" w:tentative="1">
      <w:start w:val="1"/>
      <w:numFmt w:val="bullet"/>
      <w:lvlText w:val=""/>
      <w:lvlJc w:val="left"/>
      <w:pPr>
        <w:tabs>
          <w:tab w:val="num" w:pos="4320"/>
        </w:tabs>
        <w:ind w:left="4320" w:hanging="360"/>
      </w:pPr>
      <w:rPr>
        <w:rFonts w:ascii="Wingdings" w:hAnsi="Wingdings" w:hint="default"/>
      </w:rPr>
    </w:lvl>
    <w:lvl w:ilvl="6" w:tplc="429270C0" w:tentative="1">
      <w:start w:val="1"/>
      <w:numFmt w:val="bullet"/>
      <w:lvlText w:val=""/>
      <w:lvlJc w:val="left"/>
      <w:pPr>
        <w:tabs>
          <w:tab w:val="num" w:pos="5040"/>
        </w:tabs>
        <w:ind w:left="5040" w:hanging="360"/>
      </w:pPr>
      <w:rPr>
        <w:rFonts w:ascii="Symbol" w:hAnsi="Symbol" w:hint="default"/>
      </w:rPr>
    </w:lvl>
    <w:lvl w:ilvl="7" w:tplc="FBC2D45E" w:tentative="1">
      <w:start w:val="1"/>
      <w:numFmt w:val="bullet"/>
      <w:lvlText w:val="o"/>
      <w:lvlJc w:val="left"/>
      <w:pPr>
        <w:tabs>
          <w:tab w:val="num" w:pos="5760"/>
        </w:tabs>
        <w:ind w:left="5760" w:hanging="360"/>
      </w:pPr>
      <w:rPr>
        <w:rFonts w:ascii="Courier New" w:hAnsi="Courier New" w:cs="Wingdings" w:hint="default"/>
      </w:rPr>
    </w:lvl>
    <w:lvl w:ilvl="8" w:tplc="B39E65B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9" w15:restartNumberingAfterBreak="0">
    <w:nsid w:val="0D3E4203"/>
    <w:multiLevelType w:val="hybridMultilevel"/>
    <w:tmpl w:val="B7804F4E"/>
    <w:lvl w:ilvl="0" w:tplc="60FAB6C2">
      <w:start w:val="1"/>
      <w:numFmt w:val="bullet"/>
      <w:pStyle w:val="Dot"/>
      <w:lvlText w:val=""/>
      <w:lvlJc w:val="left"/>
      <w:pPr>
        <w:tabs>
          <w:tab w:val="num" w:pos="360"/>
        </w:tabs>
        <w:ind w:left="284" w:hanging="284"/>
      </w:pPr>
      <w:rPr>
        <w:rFonts w:ascii="Wingdings" w:hAnsi="Wingdings" w:hint="default"/>
      </w:rPr>
    </w:lvl>
    <w:lvl w:ilvl="1" w:tplc="9FA06644">
      <w:start w:val="1"/>
      <w:numFmt w:val="bullet"/>
      <w:lvlText w:val=""/>
      <w:lvlJc w:val="left"/>
      <w:pPr>
        <w:tabs>
          <w:tab w:val="num" w:pos="1440"/>
        </w:tabs>
        <w:ind w:left="1440" w:hanging="360"/>
      </w:pPr>
      <w:rPr>
        <w:rFonts w:ascii="Symbol" w:hAnsi="Symbol" w:hint="default"/>
        <w:sz w:val="16"/>
      </w:rPr>
    </w:lvl>
    <w:lvl w:ilvl="2" w:tplc="B2B8EAEC">
      <w:start w:val="1"/>
      <w:numFmt w:val="bullet"/>
      <w:lvlText w:val=""/>
      <w:lvlJc w:val="left"/>
      <w:pPr>
        <w:tabs>
          <w:tab w:val="num" w:pos="2160"/>
        </w:tabs>
        <w:ind w:left="2160" w:hanging="360"/>
      </w:pPr>
      <w:rPr>
        <w:rFonts w:ascii="Wingdings" w:hAnsi="Wingdings" w:hint="default"/>
      </w:rPr>
    </w:lvl>
    <w:lvl w:ilvl="3" w:tplc="EE2008D8">
      <w:start w:val="1"/>
      <w:numFmt w:val="bullet"/>
      <w:lvlText w:val=""/>
      <w:lvlJc w:val="left"/>
      <w:pPr>
        <w:tabs>
          <w:tab w:val="num" w:pos="2880"/>
        </w:tabs>
        <w:ind w:left="2880" w:hanging="360"/>
      </w:pPr>
      <w:rPr>
        <w:rFonts w:ascii="Symbol" w:hAnsi="Symbol" w:hint="default"/>
      </w:rPr>
    </w:lvl>
    <w:lvl w:ilvl="4" w:tplc="9962A8E0" w:tentative="1">
      <w:start w:val="1"/>
      <w:numFmt w:val="bullet"/>
      <w:lvlText w:val="o"/>
      <w:lvlJc w:val="left"/>
      <w:pPr>
        <w:tabs>
          <w:tab w:val="num" w:pos="3600"/>
        </w:tabs>
        <w:ind w:left="3600" w:hanging="360"/>
      </w:pPr>
      <w:rPr>
        <w:rFonts w:ascii="Courier New" w:hAnsi="Courier New" w:hint="default"/>
      </w:rPr>
    </w:lvl>
    <w:lvl w:ilvl="5" w:tplc="4A7CC71A" w:tentative="1">
      <w:start w:val="1"/>
      <w:numFmt w:val="bullet"/>
      <w:lvlText w:val=""/>
      <w:lvlJc w:val="left"/>
      <w:pPr>
        <w:tabs>
          <w:tab w:val="num" w:pos="4320"/>
        </w:tabs>
        <w:ind w:left="4320" w:hanging="360"/>
      </w:pPr>
      <w:rPr>
        <w:rFonts w:ascii="Wingdings" w:hAnsi="Wingdings" w:hint="default"/>
      </w:rPr>
    </w:lvl>
    <w:lvl w:ilvl="6" w:tplc="D84A1EF2" w:tentative="1">
      <w:start w:val="1"/>
      <w:numFmt w:val="bullet"/>
      <w:lvlText w:val=""/>
      <w:lvlJc w:val="left"/>
      <w:pPr>
        <w:tabs>
          <w:tab w:val="num" w:pos="5040"/>
        </w:tabs>
        <w:ind w:left="5040" w:hanging="360"/>
      </w:pPr>
      <w:rPr>
        <w:rFonts w:ascii="Symbol" w:hAnsi="Symbol" w:hint="default"/>
      </w:rPr>
    </w:lvl>
    <w:lvl w:ilvl="7" w:tplc="9F2CDC62" w:tentative="1">
      <w:start w:val="1"/>
      <w:numFmt w:val="bullet"/>
      <w:lvlText w:val="o"/>
      <w:lvlJc w:val="left"/>
      <w:pPr>
        <w:tabs>
          <w:tab w:val="num" w:pos="5760"/>
        </w:tabs>
        <w:ind w:left="5760" w:hanging="360"/>
      </w:pPr>
      <w:rPr>
        <w:rFonts w:ascii="Courier New" w:hAnsi="Courier New" w:hint="default"/>
      </w:rPr>
    </w:lvl>
    <w:lvl w:ilvl="8" w:tplc="42B0E0D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6B606F"/>
    <w:multiLevelType w:val="hybridMultilevel"/>
    <w:tmpl w:val="E0560262"/>
    <w:lvl w:ilvl="0" w:tplc="2D8469AE">
      <w:start w:val="1"/>
      <w:numFmt w:val="bullet"/>
      <w:pStyle w:val="TableBullet"/>
      <w:lvlText w:val=""/>
      <w:lvlJc w:val="left"/>
      <w:pPr>
        <w:ind w:left="720" w:hanging="360"/>
      </w:pPr>
      <w:rPr>
        <w:rFonts w:ascii="Symbol" w:hAnsi="Symbol" w:hint="default"/>
      </w:rPr>
    </w:lvl>
    <w:lvl w:ilvl="1" w:tplc="9650E61A">
      <w:start w:val="1"/>
      <w:numFmt w:val="bullet"/>
      <w:lvlText w:val="o"/>
      <w:lvlJc w:val="left"/>
      <w:pPr>
        <w:ind w:left="1440" w:hanging="360"/>
      </w:pPr>
      <w:rPr>
        <w:rFonts w:ascii="Courier New" w:hAnsi="Courier New" w:cs="Courier New" w:hint="default"/>
      </w:rPr>
    </w:lvl>
    <w:lvl w:ilvl="2" w:tplc="2C08A4EE" w:tentative="1">
      <w:start w:val="1"/>
      <w:numFmt w:val="bullet"/>
      <w:lvlText w:val=""/>
      <w:lvlJc w:val="left"/>
      <w:pPr>
        <w:ind w:left="2160" w:hanging="360"/>
      </w:pPr>
      <w:rPr>
        <w:rFonts w:ascii="Wingdings" w:hAnsi="Wingdings" w:hint="default"/>
      </w:rPr>
    </w:lvl>
    <w:lvl w:ilvl="3" w:tplc="AC4EC37E" w:tentative="1">
      <w:start w:val="1"/>
      <w:numFmt w:val="bullet"/>
      <w:lvlText w:val=""/>
      <w:lvlJc w:val="left"/>
      <w:pPr>
        <w:ind w:left="2880" w:hanging="360"/>
      </w:pPr>
      <w:rPr>
        <w:rFonts w:ascii="Symbol" w:hAnsi="Symbol" w:hint="default"/>
      </w:rPr>
    </w:lvl>
    <w:lvl w:ilvl="4" w:tplc="4192D7A2" w:tentative="1">
      <w:start w:val="1"/>
      <w:numFmt w:val="bullet"/>
      <w:lvlText w:val="o"/>
      <w:lvlJc w:val="left"/>
      <w:pPr>
        <w:ind w:left="3600" w:hanging="360"/>
      </w:pPr>
      <w:rPr>
        <w:rFonts w:ascii="Courier New" w:hAnsi="Courier New" w:cs="Courier New" w:hint="default"/>
      </w:rPr>
    </w:lvl>
    <w:lvl w:ilvl="5" w:tplc="0D409BA2" w:tentative="1">
      <w:start w:val="1"/>
      <w:numFmt w:val="bullet"/>
      <w:lvlText w:val=""/>
      <w:lvlJc w:val="left"/>
      <w:pPr>
        <w:ind w:left="4320" w:hanging="360"/>
      </w:pPr>
      <w:rPr>
        <w:rFonts w:ascii="Wingdings" w:hAnsi="Wingdings" w:hint="default"/>
      </w:rPr>
    </w:lvl>
    <w:lvl w:ilvl="6" w:tplc="25663C10" w:tentative="1">
      <w:start w:val="1"/>
      <w:numFmt w:val="bullet"/>
      <w:lvlText w:val=""/>
      <w:lvlJc w:val="left"/>
      <w:pPr>
        <w:ind w:left="5040" w:hanging="360"/>
      </w:pPr>
      <w:rPr>
        <w:rFonts w:ascii="Symbol" w:hAnsi="Symbol" w:hint="default"/>
      </w:rPr>
    </w:lvl>
    <w:lvl w:ilvl="7" w:tplc="96B2D6E6" w:tentative="1">
      <w:start w:val="1"/>
      <w:numFmt w:val="bullet"/>
      <w:lvlText w:val="o"/>
      <w:lvlJc w:val="left"/>
      <w:pPr>
        <w:ind w:left="5760" w:hanging="360"/>
      </w:pPr>
      <w:rPr>
        <w:rFonts w:ascii="Courier New" w:hAnsi="Courier New" w:cs="Courier New" w:hint="default"/>
      </w:rPr>
    </w:lvl>
    <w:lvl w:ilvl="8" w:tplc="BDC4B0A6" w:tentative="1">
      <w:start w:val="1"/>
      <w:numFmt w:val="bullet"/>
      <w:lvlText w:val=""/>
      <w:lvlJc w:val="left"/>
      <w:pPr>
        <w:ind w:left="6480" w:hanging="360"/>
      </w:pPr>
      <w:rPr>
        <w:rFonts w:ascii="Wingdings" w:hAnsi="Wingdings" w:hint="default"/>
      </w:rPr>
    </w:lvl>
  </w:abstractNum>
  <w:abstractNum w:abstractNumId="12" w15:restartNumberingAfterBreak="0">
    <w:nsid w:val="1E7D63AA"/>
    <w:multiLevelType w:val="multilevel"/>
    <w:tmpl w:val="04F0B7D2"/>
    <w:numStyleLink w:val="Bullet"/>
  </w:abstractNum>
  <w:abstractNum w:abstractNumId="13" w15:restartNumberingAfterBreak="0">
    <w:nsid w:val="1E7F2892"/>
    <w:multiLevelType w:val="hybridMultilevel"/>
    <w:tmpl w:val="4CD61766"/>
    <w:lvl w:ilvl="0" w:tplc="F444756A">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974DD8"/>
    <w:multiLevelType w:val="hybridMultilevel"/>
    <w:tmpl w:val="1A023246"/>
    <w:lvl w:ilvl="0" w:tplc="DBA619AC">
      <w:start w:val="1"/>
      <w:numFmt w:val="bullet"/>
      <w:lvlText w:val=""/>
      <w:lvlJc w:val="left"/>
      <w:pPr>
        <w:ind w:left="717" w:hanging="360"/>
      </w:pPr>
      <w:rPr>
        <w:rFonts w:ascii="Symbol" w:hAnsi="Symbol" w:hint="default"/>
        <w:color w:val="auto"/>
        <w:sz w:val="16"/>
        <w:szCs w:val="16"/>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15:restartNumberingAfterBreak="0">
    <w:nsid w:val="247D0E6B"/>
    <w:multiLevelType w:val="hybridMultilevel"/>
    <w:tmpl w:val="A44EE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9802CB"/>
    <w:multiLevelType w:val="hybridMultilevel"/>
    <w:tmpl w:val="55A869CE"/>
    <w:lvl w:ilvl="0" w:tplc="BAE46220">
      <w:start w:val="1"/>
      <w:numFmt w:val="decimal"/>
      <w:pStyle w:val="Heading1Numbered"/>
      <w:lvlText w:val="%1"/>
      <w:lvlJc w:val="left"/>
      <w:pPr>
        <w:ind w:left="720" w:hanging="360"/>
      </w:pPr>
      <w:rPr>
        <w:rFonts w:hint="default"/>
        <w:color w:val="auto"/>
      </w:rPr>
    </w:lvl>
    <w:lvl w:ilvl="1" w:tplc="E13E9A44" w:tentative="1">
      <w:start w:val="1"/>
      <w:numFmt w:val="lowerLetter"/>
      <w:lvlText w:val="%2."/>
      <w:lvlJc w:val="left"/>
      <w:pPr>
        <w:ind w:left="1440" w:hanging="360"/>
      </w:pPr>
    </w:lvl>
    <w:lvl w:ilvl="2" w:tplc="CBAE6290" w:tentative="1">
      <w:start w:val="1"/>
      <w:numFmt w:val="lowerRoman"/>
      <w:lvlText w:val="%3."/>
      <w:lvlJc w:val="right"/>
      <w:pPr>
        <w:ind w:left="2160" w:hanging="180"/>
      </w:pPr>
    </w:lvl>
    <w:lvl w:ilvl="3" w:tplc="B4C457D8" w:tentative="1">
      <w:start w:val="1"/>
      <w:numFmt w:val="decimal"/>
      <w:lvlText w:val="%4."/>
      <w:lvlJc w:val="left"/>
      <w:pPr>
        <w:ind w:left="2880" w:hanging="360"/>
      </w:pPr>
    </w:lvl>
    <w:lvl w:ilvl="4" w:tplc="72A46A20" w:tentative="1">
      <w:start w:val="1"/>
      <w:numFmt w:val="lowerLetter"/>
      <w:lvlText w:val="%5."/>
      <w:lvlJc w:val="left"/>
      <w:pPr>
        <w:ind w:left="3600" w:hanging="360"/>
      </w:pPr>
    </w:lvl>
    <w:lvl w:ilvl="5" w:tplc="BAD2B64E" w:tentative="1">
      <w:start w:val="1"/>
      <w:numFmt w:val="lowerRoman"/>
      <w:lvlText w:val="%6."/>
      <w:lvlJc w:val="right"/>
      <w:pPr>
        <w:ind w:left="4320" w:hanging="180"/>
      </w:pPr>
    </w:lvl>
    <w:lvl w:ilvl="6" w:tplc="507C1ACE" w:tentative="1">
      <w:start w:val="1"/>
      <w:numFmt w:val="decimal"/>
      <w:lvlText w:val="%7."/>
      <w:lvlJc w:val="left"/>
      <w:pPr>
        <w:ind w:left="5040" w:hanging="360"/>
      </w:pPr>
    </w:lvl>
    <w:lvl w:ilvl="7" w:tplc="C790587A" w:tentative="1">
      <w:start w:val="1"/>
      <w:numFmt w:val="lowerLetter"/>
      <w:lvlText w:val="%8."/>
      <w:lvlJc w:val="left"/>
      <w:pPr>
        <w:ind w:left="5760" w:hanging="360"/>
      </w:pPr>
    </w:lvl>
    <w:lvl w:ilvl="8" w:tplc="BD12DAE0" w:tentative="1">
      <w:start w:val="1"/>
      <w:numFmt w:val="lowerRoman"/>
      <w:lvlText w:val="%9."/>
      <w:lvlJc w:val="right"/>
      <w:pPr>
        <w:ind w:left="6480" w:hanging="180"/>
      </w:pPr>
    </w:lvl>
  </w:abstractNum>
  <w:abstractNum w:abstractNumId="17" w15:restartNumberingAfterBreak="0">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0527C7D"/>
    <w:multiLevelType w:val="hybridMultilevel"/>
    <w:tmpl w:val="63726D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8AE29D2"/>
    <w:multiLevelType w:val="multilevel"/>
    <w:tmpl w:val="2CDE8968"/>
    <w:lvl w:ilvl="0">
      <w:start w:val="1"/>
      <w:numFmt w:val="upperLetter"/>
      <w:pStyle w:val="AppendixHeading1"/>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A551C78"/>
    <w:multiLevelType w:val="hybridMultilevel"/>
    <w:tmpl w:val="A6AA52EC"/>
    <w:lvl w:ilvl="0" w:tplc="59F68658">
      <w:start w:val="1"/>
      <w:numFmt w:val="decimal"/>
      <w:pStyle w:val="Heading2Numbered"/>
      <w:lvlText w:val="1.%1"/>
      <w:lvlJc w:val="left"/>
      <w:pPr>
        <w:ind w:left="360" w:hanging="360"/>
      </w:pPr>
      <w:rPr>
        <w:rFonts w:hint="default"/>
      </w:rPr>
    </w:lvl>
    <w:lvl w:ilvl="1" w:tplc="6DA4BA44" w:tentative="1">
      <w:start w:val="1"/>
      <w:numFmt w:val="lowerLetter"/>
      <w:pStyle w:val="Heading2Numbered"/>
      <w:lvlText w:val="%2."/>
      <w:lvlJc w:val="left"/>
      <w:pPr>
        <w:ind w:left="1440" w:hanging="360"/>
      </w:pPr>
    </w:lvl>
    <w:lvl w:ilvl="2" w:tplc="6A70A13E" w:tentative="1">
      <w:start w:val="1"/>
      <w:numFmt w:val="lowerRoman"/>
      <w:lvlText w:val="%3."/>
      <w:lvlJc w:val="right"/>
      <w:pPr>
        <w:ind w:left="2160" w:hanging="180"/>
      </w:pPr>
    </w:lvl>
    <w:lvl w:ilvl="3" w:tplc="697AD572" w:tentative="1">
      <w:start w:val="1"/>
      <w:numFmt w:val="decimal"/>
      <w:lvlText w:val="%4."/>
      <w:lvlJc w:val="left"/>
      <w:pPr>
        <w:ind w:left="2880" w:hanging="360"/>
      </w:pPr>
    </w:lvl>
    <w:lvl w:ilvl="4" w:tplc="F9025EF0" w:tentative="1">
      <w:start w:val="1"/>
      <w:numFmt w:val="lowerLetter"/>
      <w:lvlText w:val="%5."/>
      <w:lvlJc w:val="left"/>
      <w:pPr>
        <w:ind w:left="3600" w:hanging="360"/>
      </w:pPr>
    </w:lvl>
    <w:lvl w:ilvl="5" w:tplc="88D86D82" w:tentative="1">
      <w:start w:val="1"/>
      <w:numFmt w:val="lowerRoman"/>
      <w:lvlText w:val="%6."/>
      <w:lvlJc w:val="right"/>
      <w:pPr>
        <w:ind w:left="4320" w:hanging="180"/>
      </w:pPr>
    </w:lvl>
    <w:lvl w:ilvl="6" w:tplc="7A38598C" w:tentative="1">
      <w:start w:val="1"/>
      <w:numFmt w:val="decimal"/>
      <w:lvlText w:val="%7."/>
      <w:lvlJc w:val="left"/>
      <w:pPr>
        <w:ind w:left="5040" w:hanging="360"/>
      </w:pPr>
    </w:lvl>
    <w:lvl w:ilvl="7" w:tplc="C3E2507C" w:tentative="1">
      <w:start w:val="1"/>
      <w:numFmt w:val="lowerLetter"/>
      <w:lvlText w:val="%8."/>
      <w:lvlJc w:val="left"/>
      <w:pPr>
        <w:ind w:left="5760" w:hanging="360"/>
      </w:pPr>
    </w:lvl>
    <w:lvl w:ilvl="8" w:tplc="1C043332" w:tentative="1">
      <w:start w:val="1"/>
      <w:numFmt w:val="lowerRoman"/>
      <w:lvlText w:val="%9."/>
      <w:lvlJc w:val="right"/>
      <w:pPr>
        <w:ind w:left="6480" w:hanging="180"/>
      </w:pPr>
    </w:lvl>
  </w:abstractNum>
  <w:abstractNum w:abstractNumId="21" w15:restartNumberingAfterBreak="0">
    <w:nsid w:val="3D2A3E94"/>
    <w:multiLevelType w:val="multilevel"/>
    <w:tmpl w:val="4344E3E6"/>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2" w15:restartNumberingAfterBreak="0">
    <w:nsid w:val="3FDD470D"/>
    <w:multiLevelType w:val="singleLevel"/>
    <w:tmpl w:val="B664CF16"/>
    <w:lvl w:ilvl="0">
      <w:start w:val="1"/>
      <w:numFmt w:val="decimal"/>
      <w:pStyle w:val="ListNumber"/>
      <w:lvlText w:val="%1)"/>
      <w:lvlJc w:val="left"/>
      <w:pPr>
        <w:ind w:left="360" w:hanging="360"/>
      </w:pPr>
      <w:rPr>
        <w:color w:val="auto"/>
      </w:rPr>
    </w:lvl>
  </w:abstractNum>
  <w:abstractNum w:abstractNumId="23"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24" w15:restartNumberingAfterBreak="0">
    <w:nsid w:val="427A7CD6"/>
    <w:multiLevelType w:val="hybridMultilevel"/>
    <w:tmpl w:val="E9C27EBC"/>
    <w:lvl w:ilvl="0" w:tplc="33B88C8E">
      <w:start w:val="1"/>
      <w:numFmt w:val="bullet"/>
      <w:pStyle w:val="style1dotpoints0"/>
      <w:lvlText w:val=""/>
      <w:lvlJc w:val="left"/>
      <w:pPr>
        <w:tabs>
          <w:tab w:val="num" w:pos="357"/>
        </w:tabs>
        <w:ind w:left="357" w:hanging="357"/>
      </w:pPr>
      <w:rPr>
        <w:rFonts w:ascii="Symbol" w:hAnsi="Symbol" w:hint="default"/>
      </w:rPr>
    </w:lvl>
    <w:lvl w:ilvl="1" w:tplc="A056696E" w:tentative="1">
      <w:start w:val="1"/>
      <w:numFmt w:val="bullet"/>
      <w:lvlText w:val="o"/>
      <w:lvlJc w:val="left"/>
      <w:pPr>
        <w:tabs>
          <w:tab w:val="num" w:pos="1440"/>
        </w:tabs>
        <w:ind w:left="1440" w:hanging="360"/>
      </w:pPr>
      <w:rPr>
        <w:rFonts w:ascii="Courier New" w:hAnsi="Courier New" w:cs="Courier New" w:hint="default"/>
      </w:rPr>
    </w:lvl>
    <w:lvl w:ilvl="2" w:tplc="3F0C03F4" w:tentative="1">
      <w:start w:val="1"/>
      <w:numFmt w:val="bullet"/>
      <w:lvlText w:val=""/>
      <w:lvlJc w:val="left"/>
      <w:pPr>
        <w:tabs>
          <w:tab w:val="num" w:pos="2160"/>
        </w:tabs>
        <w:ind w:left="2160" w:hanging="360"/>
      </w:pPr>
      <w:rPr>
        <w:rFonts w:ascii="Wingdings" w:hAnsi="Wingdings" w:hint="default"/>
      </w:rPr>
    </w:lvl>
    <w:lvl w:ilvl="3" w:tplc="11DA21EE" w:tentative="1">
      <w:start w:val="1"/>
      <w:numFmt w:val="bullet"/>
      <w:lvlText w:val=""/>
      <w:lvlJc w:val="left"/>
      <w:pPr>
        <w:tabs>
          <w:tab w:val="num" w:pos="2880"/>
        </w:tabs>
        <w:ind w:left="2880" w:hanging="360"/>
      </w:pPr>
      <w:rPr>
        <w:rFonts w:ascii="Symbol" w:hAnsi="Symbol" w:hint="default"/>
      </w:rPr>
    </w:lvl>
    <w:lvl w:ilvl="4" w:tplc="F338744A" w:tentative="1">
      <w:start w:val="1"/>
      <w:numFmt w:val="bullet"/>
      <w:lvlText w:val="o"/>
      <w:lvlJc w:val="left"/>
      <w:pPr>
        <w:tabs>
          <w:tab w:val="num" w:pos="3600"/>
        </w:tabs>
        <w:ind w:left="3600" w:hanging="360"/>
      </w:pPr>
      <w:rPr>
        <w:rFonts w:ascii="Courier New" w:hAnsi="Courier New" w:cs="Courier New" w:hint="default"/>
      </w:rPr>
    </w:lvl>
    <w:lvl w:ilvl="5" w:tplc="D9C86E02" w:tentative="1">
      <w:start w:val="1"/>
      <w:numFmt w:val="bullet"/>
      <w:lvlText w:val=""/>
      <w:lvlJc w:val="left"/>
      <w:pPr>
        <w:tabs>
          <w:tab w:val="num" w:pos="4320"/>
        </w:tabs>
        <w:ind w:left="4320" w:hanging="360"/>
      </w:pPr>
      <w:rPr>
        <w:rFonts w:ascii="Wingdings" w:hAnsi="Wingdings" w:hint="default"/>
      </w:rPr>
    </w:lvl>
    <w:lvl w:ilvl="6" w:tplc="C35AEB9C" w:tentative="1">
      <w:start w:val="1"/>
      <w:numFmt w:val="bullet"/>
      <w:lvlText w:val=""/>
      <w:lvlJc w:val="left"/>
      <w:pPr>
        <w:tabs>
          <w:tab w:val="num" w:pos="5040"/>
        </w:tabs>
        <w:ind w:left="5040" w:hanging="360"/>
      </w:pPr>
      <w:rPr>
        <w:rFonts w:ascii="Symbol" w:hAnsi="Symbol" w:hint="default"/>
      </w:rPr>
    </w:lvl>
    <w:lvl w:ilvl="7" w:tplc="4D78685A" w:tentative="1">
      <w:start w:val="1"/>
      <w:numFmt w:val="bullet"/>
      <w:lvlText w:val="o"/>
      <w:lvlJc w:val="left"/>
      <w:pPr>
        <w:tabs>
          <w:tab w:val="num" w:pos="5760"/>
        </w:tabs>
        <w:ind w:left="5760" w:hanging="360"/>
      </w:pPr>
      <w:rPr>
        <w:rFonts w:ascii="Courier New" w:hAnsi="Courier New" w:cs="Courier New" w:hint="default"/>
      </w:rPr>
    </w:lvl>
    <w:lvl w:ilvl="8" w:tplc="AEDCBB3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6"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27" w15:restartNumberingAfterBreak="0">
    <w:nsid w:val="48DE2E4A"/>
    <w:multiLevelType w:val="hybridMultilevel"/>
    <w:tmpl w:val="B7086130"/>
    <w:lvl w:ilvl="0" w:tplc="9A2E6084">
      <w:start w:val="1"/>
      <w:numFmt w:val="bullet"/>
      <w:pStyle w:val="BoxTextBullet"/>
      <w:lvlText w:val=""/>
      <w:lvlJc w:val="left"/>
      <w:pPr>
        <w:ind w:left="720" w:hanging="360"/>
      </w:pPr>
      <w:rPr>
        <w:rFonts w:ascii="Symbol" w:hAnsi="Symbol" w:hint="default"/>
      </w:rPr>
    </w:lvl>
    <w:lvl w:ilvl="1" w:tplc="33D8716C" w:tentative="1">
      <w:start w:val="1"/>
      <w:numFmt w:val="bullet"/>
      <w:lvlText w:val="o"/>
      <w:lvlJc w:val="left"/>
      <w:pPr>
        <w:ind w:left="1440" w:hanging="360"/>
      </w:pPr>
      <w:rPr>
        <w:rFonts w:ascii="Courier New" w:hAnsi="Courier New" w:cs="Courier New" w:hint="default"/>
      </w:rPr>
    </w:lvl>
    <w:lvl w:ilvl="2" w:tplc="B786400E" w:tentative="1">
      <w:start w:val="1"/>
      <w:numFmt w:val="bullet"/>
      <w:lvlText w:val=""/>
      <w:lvlJc w:val="left"/>
      <w:pPr>
        <w:ind w:left="2160" w:hanging="360"/>
      </w:pPr>
      <w:rPr>
        <w:rFonts w:ascii="Wingdings" w:hAnsi="Wingdings" w:hint="default"/>
      </w:rPr>
    </w:lvl>
    <w:lvl w:ilvl="3" w:tplc="BB1E0968" w:tentative="1">
      <w:start w:val="1"/>
      <w:numFmt w:val="bullet"/>
      <w:lvlText w:val=""/>
      <w:lvlJc w:val="left"/>
      <w:pPr>
        <w:ind w:left="2880" w:hanging="360"/>
      </w:pPr>
      <w:rPr>
        <w:rFonts w:ascii="Symbol" w:hAnsi="Symbol" w:hint="default"/>
      </w:rPr>
    </w:lvl>
    <w:lvl w:ilvl="4" w:tplc="589CBB46" w:tentative="1">
      <w:start w:val="1"/>
      <w:numFmt w:val="bullet"/>
      <w:lvlText w:val="o"/>
      <w:lvlJc w:val="left"/>
      <w:pPr>
        <w:ind w:left="3600" w:hanging="360"/>
      </w:pPr>
      <w:rPr>
        <w:rFonts w:ascii="Courier New" w:hAnsi="Courier New" w:cs="Courier New" w:hint="default"/>
      </w:rPr>
    </w:lvl>
    <w:lvl w:ilvl="5" w:tplc="E58E2856" w:tentative="1">
      <w:start w:val="1"/>
      <w:numFmt w:val="bullet"/>
      <w:lvlText w:val=""/>
      <w:lvlJc w:val="left"/>
      <w:pPr>
        <w:ind w:left="4320" w:hanging="360"/>
      </w:pPr>
      <w:rPr>
        <w:rFonts w:ascii="Wingdings" w:hAnsi="Wingdings" w:hint="default"/>
      </w:rPr>
    </w:lvl>
    <w:lvl w:ilvl="6" w:tplc="E9420D82" w:tentative="1">
      <w:start w:val="1"/>
      <w:numFmt w:val="bullet"/>
      <w:lvlText w:val=""/>
      <w:lvlJc w:val="left"/>
      <w:pPr>
        <w:ind w:left="5040" w:hanging="360"/>
      </w:pPr>
      <w:rPr>
        <w:rFonts w:ascii="Symbol" w:hAnsi="Symbol" w:hint="default"/>
      </w:rPr>
    </w:lvl>
    <w:lvl w:ilvl="7" w:tplc="6F0EE48C" w:tentative="1">
      <w:start w:val="1"/>
      <w:numFmt w:val="bullet"/>
      <w:lvlText w:val="o"/>
      <w:lvlJc w:val="left"/>
      <w:pPr>
        <w:ind w:left="5760" w:hanging="360"/>
      </w:pPr>
      <w:rPr>
        <w:rFonts w:ascii="Courier New" w:hAnsi="Courier New" w:cs="Courier New" w:hint="default"/>
      </w:rPr>
    </w:lvl>
    <w:lvl w:ilvl="8" w:tplc="6FD0ECA8" w:tentative="1">
      <w:start w:val="1"/>
      <w:numFmt w:val="bullet"/>
      <w:lvlText w:val=""/>
      <w:lvlJc w:val="left"/>
      <w:pPr>
        <w:ind w:left="6480" w:hanging="360"/>
      </w:pPr>
      <w:rPr>
        <w:rFonts w:ascii="Wingdings" w:hAnsi="Wingdings" w:hint="default"/>
      </w:rPr>
    </w:lvl>
  </w:abstractNum>
  <w:abstractNum w:abstractNumId="28" w15:restartNumberingAfterBreak="0">
    <w:nsid w:val="4C8376EC"/>
    <w:multiLevelType w:val="singleLevel"/>
    <w:tmpl w:val="72E408A2"/>
    <w:lvl w:ilvl="0">
      <w:start w:val="1"/>
      <w:numFmt w:val="bullet"/>
      <w:lvlText w:val=""/>
      <w:lvlJc w:val="left"/>
      <w:pPr>
        <w:tabs>
          <w:tab w:val="num" w:pos="360"/>
        </w:tabs>
        <w:ind w:left="360" w:hanging="360"/>
      </w:pPr>
      <w:rPr>
        <w:rFonts w:ascii="Symbol" w:hAnsi="Symbol" w:hint="default"/>
        <w:sz w:val="16"/>
      </w:rPr>
    </w:lvl>
  </w:abstractNum>
  <w:abstractNum w:abstractNumId="29" w15:restartNumberingAfterBreak="0">
    <w:nsid w:val="501D27AF"/>
    <w:multiLevelType w:val="hybridMultilevel"/>
    <w:tmpl w:val="63726D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0CA1481"/>
    <w:multiLevelType w:val="multilevel"/>
    <w:tmpl w:val="D7B850B4"/>
    <w:lvl w:ilvl="0">
      <w:start w:val="1"/>
      <w:numFmt w:val="decimal"/>
      <w:pStyle w:val="A1Heading1"/>
      <w:lvlText w:val="%1"/>
      <w:lvlJc w:val="left"/>
      <w:pPr>
        <w:tabs>
          <w:tab w:val="num" w:pos="432"/>
        </w:tabs>
        <w:ind w:left="432" w:hanging="432"/>
      </w:pPr>
      <w:rPr>
        <w:rFonts w:hint="default"/>
      </w:rPr>
    </w:lvl>
    <w:lvl w:ilvl="1">
      <w:start w:val="1"/>
      <w:numFmt w:val="decimal"/>
      <w:pStyle w:val="A1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568389E"/>
    <w:multiLevelType w:val="hybridMultilevel"/>
    <w:tmpl w:val="7802799A"/>
    <w:lvl w:ilvl="0" w:tplc="D8A4977A">
      <w:start w:val="1"/>
      <w:numFmt w:val="bullet"/>
      <w:lvlText w:val=""/>
      <w:lvlJc w:val="left"/>
      <w:pPr>
        <w:tabs>
          <w:tab w:val="num" w:pos="360"/>
        </w:tabs>
        <w:ind w:left="360" w:hanging="360"/>
      </w:pPr>
      <w:rPr>
        <w:rFonts w:ascii="Symbol" w:hAnsi="Symbol" w:hint="default"/>
        <w:sz w:val="16"/>
      </w:rPr>
    </w:lvl>
    <w:lvl w:ilvl="1" w:tplc="DBA619AC">
      <w:start w:val="1"/>
      <w:numFmt w:val="bullet"/>
      <w:lvlText w:val=""/>
      <w:lvlJc w:val="left"/>
      <w:pPr>
        <w:tabs>
          <w:tab w:val="num" w:pos="1440"/>
        </w:tabs>
        <w:ind w:left="1440" w:hanging="360"/>
      </w:pPr>
      <w:rPr>
        <w:rFonts w:ascii="Symbol" w:hAnsi="Symbol" w:hint="default"/>
        <w:color w:val="auto"/>
        <w:sz w:val="16"/>
        <w:szCs w:val="16"/>
      </w:rPr>
    </w:lvl>
    <w:lvl w:ilvl="2" w:tplc="71C05F48" w:tentative="1">
      <w:start w:val="1"/>
      <w:numFmt w:val="bullet"/>
      <w:lvlText w:val=""/>
      <w:lvlJc w:val="left"/>
      <w:pPr>
        <w:tabs>
          <w:tab w:val="num" w:pos="2160"/>
        </w:tabs>
        <w:ind w:left="2160" w:hanging="360"/>
      </w:pPr>
      <w:rPr>
        <w:rFonts w:ascii="Wingdings" w:hAnsi="Wingdings" w:hint="default"/>
      </w:rPr>
    </w:lvl>
    <w:lvl w:ilvl="3" w:tplc="BA7E0E4E" w:tentative="1">
      <w:start w:val="1"/>
      <w:numFmt w:val="bullet"/>
      <w:lvlText w:val=""/>
      <w:lvlJc w:val="left"/>
      <w:pPr>
        <w:tabs>
          <w:tab w:val="num" w:pos="2880"/>
        </w:tabs>
        <w:ind w:left="2880" w:hanging="360"/>
      </w:pPr>
      <w:rPr>
        <w:rFonts w:ascii="Symbol" w:hAnsi="Symbol" w:hint="default"/>
      </w:rPr>
    </w:lvl>
    <w:lvl w:ilvl="4" w:tplc="14BCE194" w:tentative="1">
      <w:start w:val="1"/>
      <w:numFmt w:val="bullet"/>
      <w:lvlText w:val="o"/>
      <w:lvlJc w:val="left"/>
      <w:pPr>
        <w:tabs>
          <w:tab w:val="num" w:pos="3600"/>
        </w:tabs>
        <w:ind w:left="3600" w:hanging="360"/>
      </w:pPr>
      <w:rPr>
        <w:rFonts w:ascii="Courier New" w:hAnsi="Courier New" w:cs="Courier New" w:hint="default"/>
      </w:rPr>
    </w:lvl>
    <w:lvl w:ilvl="5" w:tplc="68AE479E" w:tentative="1">
      <w:start w:val="1"/>
      <w:numFmt w:val="bullet"/>
      <w:lvlText w:val=""/>
      <w:lvlJc w:val="left"/>
      <w:pPr>
        <w:tabs>
          <w:tab w:val="num" w:pos="4320"/>
        </w:tabs>
        <w:ind w:left="4320" w:hanging="360"/>
      </w:pPr>
      <w:rPr>
        <w:rFonts w:ascii="Wingdings" w:hAnsi="Wingdings" w:hint="default"/>
      </w:rPr>
    </w:lvl>
    <w:lvl w:ilvl="6" w:tplc="C4F0D1A4" w:tentative="1">
      <w:start w:val="1"/>
      <w:numFmt w:val="bullet"/>
      <w:lvlText w:val=""/>
      <w:lvlJc w:val="left"/>
      <w:pPr>
        <w:tabs>
          <w:tab w:val="num" w:pos="5040"/>
        </w:tabs>
        <w:ind w:left="5040" w:hanging="360"/>
      </w:pPr>
      <w:rPr>
        <w:rFonts w:ascii="Symbol" w:hAnsi="Symbol" w:hint="default"/>
      </w:rPr>
    </w:lvl>
    <w:lvl w:ilvl="7" w:tplc="223A4D0E" w:tentative="1">
      <w:start w:val="1"/>
      <w:numFmt w:val="bullet"/>
      <w:lvlText w:val="o"/>
      <w:lvlJc w:val="left"/>
      <w:pPr>
        <w:tabs>
          <w:tab w:val="num" w:pos="5760"/>
        </w:tabs>
        <w:ind w:left="5760" w:hanging="360"/>
      </w:pPr>
      <w:rPr>
        <w:rFonts w:ascii="Courier New" w:hAnsi="Courier New" w:cs="Courier New" w:hint="default"/>
      </w:rPr>
    </w:lvl>
    <w:lvl w:ilvl="8" w:tplc="6854D9B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DE9790E"/>
    <w:multiLevelType w:val="hybridMultilevel"/>
    <w:tmpl w:val="A63A8898"/>
    <w:lvl w:ilvl="0" w:tplc="EC842E28">
      <w:start w:val="1"/>
      <w:numFmt w:val="bullet"/>
      <w:pStyle w:val="dot0"/>
      <w:lvlText w:val=""/>
      <w:lvlJc w:val="left"/>
      <w:pPr>
        <w:tabs>
          <w:tab w:val="num" w:pos="567"/>
        </w:tabs>
        <w:ind w:left="567" w:hanging="567"/>
      </w:pPr>
      <w:rPr>
        <w:rFonts w:ascii="Symbol" w:hAnsi="Symbol" w:hint="default"/>
        <w:sz w:val="16"/>
      </w:rPr>
    </w:lvl>
    <w:lvl w:ilvl="1" w:tplc="375660CA">
      <w:start w:val="1"/>
      <w:numFmt w:val="bullet"/>
      <w:lvlText w:val=""/>
      <w:lvlJc w:val="left"/>
      <w:pPr>
        <w:tabs>
          <w:tab w:val="num" w:pos="900"/>
        </w:tabs>
        <w:ind w:left="900" w:hanging="360"/>
      </w:pPr>
      <w:rPr>
        <w:rFonts w:ascii="Symbol" w:hAnsi="Symbol" w:hint="default"/>
        <w:sz w:val="16"/>
      </w:rPr>
    </w:lvl>
    <w:lvl w:ilvl="2" w:tplc="ADA6646C">
      <w:start w:val="1"/>
      <w:numFmt w:val="bullet"/>
      <w:lvlText w:val=""/>
      <w:lvlJc w:val="left"/>
      <w:pPr>
        <w:tabs>
          <w:tab w:val="num" w:pos="2160"/>
        </w:tabs>
        <w:ind w:left="2160" w:hanging="360"/>
      </w:pPr>
      <w:rPr>
        <w:rFonts w:ascii="Wingdings" w:hAnsi="Wingdings" w:hint="default"/>
      </w:rPr>
    </w:lvl>
    <w:lvl w:ilvl="3" w:tplc="DAEADAE2" w:tentative="1">
      <w:start w:val="1"/>
      <w:numFmt w:val="bullet"/>
      <w:lvlText w:val=""/>
      <w:lvlJc w:val="left"/>
      <w:pPr>
        <w:tabs>
          <w:tab w:val="num" w:pos="2880"/>
        </w:tabs>
        <w:ind w:left="2880" w:hanging="360"/>
      </w:pPr>
      <w:rPr>
        <w:rFonts w:ascii="Symbol" w:hAnsi="Symbol" w:hint="default"/>
      </w:rPr>
    </w:lvl>
    <w:lvl w:ilvl="4" w:tplc="BFD4B7F2" w:tentative="1">
      <w:start w:val="1"/>
      <w:numFmt w:val="bullet"/>
      <w:lvlText w:val="o"/>
      <w:lvlJc w:val="left"/>
      <w:pPr>
        <w:tabs>
          <w:tab w:val="num" w:pos="3600"/>
        </w:tabs>
        <w:ind w:left="3600" w:hanging="360"/>
      </w:pPr>
      <w:rPr>
        <w:rFonts w:ascii="Courier New" w:hAnsi="Courier New" w:cs="Courier New" w:hint="default"/>
      </w:rPr>
    </w:lvl>
    <w:lvl w:ilvl="5" w:tplc="588AF95E" w:tentative="1">
      <w:start w:val="1"/>
      <w:numFmt w:val="bullet"/>
      <w:lvlText w:val=""/>
      <w:lvlJc w:val="left"/>
      <w:pPr>
        <w:tabs>
          <w:tab w:val="num" w:pos="4320"/>
        </w:tabs>
        <w:ind w:left="4320" w:hanging="360"/>
      </w:pPr>
      <w:rPr>
        <w:rFonts w:ascii="Wingdings" w:hAnsi="Wingdings" w:hint="default"/>
      </w:rPr>
    </w:lvl>
    <w:lvl w:ilvl="6" w:tplc="3E26AC8C" w:tentative="1">
      <w:start w:val="1"/>
      <w:numFmt w:val="bullet"/>
      <w:lvlText w:val=""/>
      <w:lvlJc w:val="left"/>
      <w:pPr>
        <w:tabs>
          <w:tab w:val="num" w:pos="5040"/>
        </w:tabs>
        <w:ind w:left="5040" w:hanging="360"/>
      </w:pPr>
      <w:rPr>
        <w:rFonts w:ascii="Symbol" w:hAnsi="Symbol" w:hint="default"/>
      </w:rPr>
    </w:lvl>
    <w:lvl w:ilvl="7" w:tplc="270EBA4E" w:tentative="1">
      <w:start w:val="1"/>
      <w:numFmt w:val="bullet"/>
      <w:lvlText w:val="o"/>
      <w:lvlJc w:val="left"/>
      <w:pPr>
        <w:tabs>
          <w:tab w:val="num" w:pos="5760"/>
        </w:tabs>
        <w:ind w:left="5760" w:hanging="360"/>
      </w:pPr>
      <w:rPr>
        <w:rFonts w:ascii="Courier New" w:hAnsi="Courier New" w:cs="Courier New" w:hint="default"/>
      </w:rPr>
    </w:lvl>
    <w:lvl w:ilvl="8" w:tplc="C098301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B5725"/>
    <w:multiLevelType w:val="hybridMultilevel"/>
    <w:tmpl w:val="CBD42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1862985"/>
    <w:multiLevelType w:val="hybridMultilevel"/>
    <w:tmpl w:val="126E4308"/>
    <w:lvl w:ilvl="0" w:tplc="2D8469AE">
      <w:start w:val="1"/>
      <w:numFmt w:val="bullet"/>
      <w:lvlText w:val=""/>
      <w:lvlJc w:val="left"/>
      <w:pPr>
        <w:ind w:left="720" w:hanging="360"/>
      </w:pPr>
      <w:rPr>
        <w:rFonts w:ascii="Symbol" w:hAnsi="Symbol" w:hint="default"/>
      </w:rPr>
    </w:lvl>
    <w:lvl w:ilvl="1" w:tplc="DBA619AC">
      <w:start w:val="1"/>
      <w:numFmt w:val="bullet"/>
      <w:lvlText w:val=""/>
      <w:lvlJc w:val="left"/>
      <w:pPr>
        <w:ind w:left="1440" w:hanging="360"/>
      </w:pPr>
      <w:rPr>
        <w:rFonts w:ascii="Symbol" w:hAnsi="Symbol" w:hint="default"/>
        <w:sz w:val="16"/>
      </w:rPr>
    </w:lvl>
    <w:lvl w:ilvl="2" w:tplc="2C08A4EE" w:tentative="1">
      <w:start w:val="1"/>
      <w:numFmt w:val="bullet"/>
      <w:lvlText w:val=""/>
      <w:lvlJc w:val="left"/>
      <w:pPr>
        <w:ind w:left="2160" w:hanging="360"/>
      </w:pPr>
      <w:rPr>
        <w:rFonts w:ascii="Wingdings" w:hAnsi="Wingdings" w:hint="default"/>
      </w:rPr>
    </w:lvl>
    <w:lvl w:ilvl="3" w:tplc="AC4EC37E" w:tentative="1">
      <w:start w:val="1"/>
      <w:numFmt w:val="bullet"/>
      <w:lvlText w:val=""/>
      <w:lvlJc w:val="left"/>
      <w:pPr>
        <w:ind w:left="2880" w:hanging="360"/>
      </w:pPr>
      <w:rPr>
        <w:rFonts w:ascii="Symbol" w:hAnsi="Symbol" w:hint="default"/>
      </w:rPr>
    </w:lvl>
    <w:lvl w:ilvl="4" w:tplc="4192D7A2" w:tentative="1">
      <w:start w:val="1"/>
      <w:numFmt w:val="bullet"/>
      <w:lvlText w:val="o"/>
      <w:lvlJc w:val="left"/>
      <w:pPr>
        <w:ind w:left="3600" w:hanging="360"/>
      </w:pPr>
      <w:rPr>
        <w:rFonts w:ascii="Courier New" w:hAnsi="Courier New" w:cs="Courier New" w:hint="default"/>
      </w:rPr>
    </w:lvl>
    <w:lvl w:ilvl="5" w:tplc="0D409BA2" w:tentative="1">
      <w:start w:val="1"/>
      <w:numFmt w:val="bullet"/>
      <w:lvlText w:val=""/>
      <w:lvlJc w:val="left"/>
      <w:pPr>
        <w:ind w:left="4320" w:hanging="360"/>
      </w:pPr>
      <w:rPr>
        <w:rFonts w:ascii="Wingdings" w:hAnsi="Wingdings" w:hint="default"/>
      </w:rPr>
    </w:lvl>
    <w:lvl w:ilvl="6" w:tplc="25663C10" w:tentative="1">
      <w:start w:val="1"/>
      <w:numFmt w:val="bullet"/>
      <w:lvlText w:val=""/>
      <w:lvlJc w:val="left"/>
      <w:pPr>
        <w:ind w:left="5040" w:hanging="360"/>
      </w:pPr>
      <w:rPr>
        <w:rFonts w:ascii="Symbol" w:hAnsi="Symbol" w:hint="default"/>
      </w:rPr>
    </w:lvl>
    <w:lvl w:ilvl="7" w:tplc="96B2D6E6" w:tentative="1">
      <w:start w:val="1"/>
      <w:numFmt w:val="bullet"/>
      <w:lvlText w:val="o"/>
      <w:lvlJc w:val="left"/>
      <w:pPr>
        <w:ind w:left="5760" w:hanging="360"/>
      </w:pPr>
      <w:rPr>
        <w:rFonts w:ascii="Courier New" w:hAnsi="Courier New" w:cs="Courier New" w:hint="default"/>
      </w:rPr>
    </w:lvl>
    <w:lvl w:ilvl="8" w:tplc="BDC4B0A6" w:tentative="1">
      <w:start w:val="1"/>
      <w:numFmt w:val="bullet"/>
      <w:lvlText w:val=""/>
      <w:lvlJc w:val="left"/>
      <w:pPr>
        <w:ind w:left="6480" w:hanging="360"/>
      </w:pPr>
      <w:rPr>
        <w:rFonts w:ascii="Wingdings" w:hAnsi="Wingdings" w:hint="default"/>
      </w:rPr>
    </w:lvl>
  </w:abstractNum>
  <w:abstractNum w:abstractNumId="36"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37" w15:restartNumberingAfterBreak="0">
    <w:nsid w:val="6EE87C9A"/>
    <w:multiLevelType w:val="hybridMultilevel"/>
    <w:tmpl w:val="C5C81702"/>
    <w:lvl w:ilvl="0" w:tplc="02944BEC">
      <w:start w:val="1"/>
      <w:numFmt w:val="bullet"/>
      <w:lvlText w:val=""/>
      <w:lvlJc w:val="left"/>
      <w:pPr>
        <w:ind w:left="360" w:hanging="360"/>
      </w:pPr>
      <w:rPr>
        <w:rFonts w:ascii="Symbol" w:hAnsi="Symbol" w:cs="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15:restartNumberingAfterBreak="0">
    <w:nsid w:val="70D330FE"/>
    <w:multiLevelType w:val="singleLevel"/>
    <w:tmpl w:val="05420F66"/>
    <w:lvl w:ilvl="0">
      <w:start w:val="1"/>
      <w:numFmt w:val="lowerLetter"/>
      <w:pStyle w:val="ListNumber2"/>
      <w:lvlText w:val="%1)"/>
      <w:lvlJc w:val="left"/>
      <w:pPr>
        <w:ind w:left="709" w:hanging="426"/>
      </w:pPr>
      <w:rPr>
        <w:rFonts w:hint="default"/>
      </w:rPr>
    </w:lvl>
  </w:abstractNum>
  <w:abstractNum w:abstractNumId="40" w15:restartNumberingAfterBreak="0">
    <w:nsid w:val="726F563B"/>
    <w:multiLevelType w:val="multilevel"/>
    <w:tmpl w:val="A2644B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42" w15:restartNumberingAfterBreak="0">
    <w:nsid w:val="755049DD"/>
    <w:multiLevelType w:val="hybridMultilevel"/>
    <w:tmpl w:val="C4C8BB3C"/>
    <w:lvl w:ilvl="0" w:tplc="1A2A0FEC">
      <w:start w:val="1"/>
      <w:numFmt w:val="decimal"/>
      <w:pStyle w:val="Heading3Numbered"/>
      <w:lvlText w:val="1.%1.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pStyle w:val="Heading3Numbered"/>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15:restartNumberingAfterBreak="0">
    <w:nsid w:val="760B58C2"/>
    <w:multiLevelType w:val="hybridMultilevel"/>
    <w:tmpl w:val="A628F092"/>
    <w:lvl w:ilvl="0" w:tplc="F444756A">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802132"/>
    <w:multiLevelType w:val="hybridMultilevel"/>
    <w:tmpl w:val="0D1656FE"/>
    <w:lvl w:ilvl="0" w:tplc="DA2A2E22">
      <w:start w:val="1"/>
      <w:numFmt w:val="decimal"/>
      <w:pStyle w:val="DSUSubparaChar"/>
      <w:lvlText w:val="%1."/>
      <w:lvlJc w:val="left"/>
      <w:pPr>
        <w:tabs>
          <w:tab w:val="num" w:pos="936"/>
        </w:tabs>
        <w:ind w:left="0" w:firstLine="0"/>
      </w:pPr>
      <w:rPr>
        <w:rFonts w:hint="default"/>
      </w:rPr>
    </w:lvl>
    <w:lvl w:ilvl="1" w:tplc="25B0482C">
      <w:start w:val="1"/>
      <w:numFmt w:val="bullet"/>
      <w:lvlText w:val="o"/>
      <w:lvlJc w:val="left"/>
      <w:pPr>
        <w:tabs>
          <w:tab w:val="num" w:pos="1440"/>
        </w:tabs>
        <w:ind w:left="1440" w:hanging="360"/>
      </w:pPr>
      <w:rPr>
        <w:rFonts w:ascii="Courier New" w:hAnsi="Courier New" w:cs="Courier New" w:hint="default"/>
      </w:rPr>
    </w:lvl>
    <w:lvl w:ilvl="2" w:tplc="5704B23C" w:tentative="1">
      <w:start w:val="1"/>
      <w:numFmt w:val="lowerRoman"/>
      <w:lvlText w:val="%3."/>
      <w:lvlJc w:val="right"/>
      <w:pPr>
        <w:tabs>
          <w:tab w:val="num" w:pos="2160"/>
        </w:tabs>
        <w:ind w:left="2160" w:hanging="180"/>
      </w:pPr>
    </w:lvl>
    <w:lvl w:ilvl="3" w:tplc="1D4C739C" w:tentative="1">
      <w:start w:val="1"/>
      <w:numFmt w:val="decimal"/>
      <w:lvlText w:val="%4."/>
      <w:lvlJc w:val="left"/>
      <w:pPr>
        <w:tabs>
          <w:tab w:val="num" w:pos="2880"/>
        </w:tabs>
        <w:ind w:left="2880" w:hanging="360"/>
      </w:pPr>
    </w:lvl>
    <w:lvl w:ilvl="4" w:tplc="C4A45CFA" w:tentative="1">
      <w:start w:val="1"/>
      <w:numFmt w:val="lowerLetter"/>
      <w:lvlText w:val="%5."/>
      <w:lvlJc w:val="left"/>
      <w:pPr>
        <w:tabs>
          <w:tab w:val="num" w:pos="3600"/>
        </w:tabs>
        <w:ind w:left="3600" w:hanging="360"/>
      </w:pPr>
    </w:lvl>
    <w:lvl w:ilvl="5" w:tplc="689C8576" w:tentative="1">
      <w:start w:val="1"/>
      <w:numFmt w:val="lowerRoman"/>
      <w:lvlText w:val="%6."/>
      <w:lvlJc w:val="right"/>
      <w:pPr>
        <w:tabs>
          <w:tab w:val="num" w:pos="4320"/>
        </w:tabs>
        <w:ind w:left="4320" w:hanging="180"/>
      </w:pPr>
    </w:lvl>
    <w:lvl w:ilvl="6" w:tplc="899C9394" w:tentative="1">
      <w:start w:val="1"/>
      <w:numFmt w:val="decimal"/>
      <w:lvlText w:val="%7."/>
      <w:lvlJc w:val="left"/>
      <w:pPr>
        <w:tabs>
          <w:tab w:val="num" w:pos="5040"/>
        </w:tabs>
        <w:ind w:left="5040" w:hanging="360"/>
      </w:pPr>
    </w:lvl>
    <w:lvl w:ilvl="7" w:tplc="1F601986" w:tentative="1">
      <w:start w:val="1"/>
      <w:numFmt w:val="lowerLetter"/>
      <w:lvlText w:val="%8."/>
      <w:lvlJc w:val="left"/>
      <w:pPr>
        <w:tabs>
          <w:tab w:val="num" w:pos="5760"/>
        </w:tabs>
        <w:ind w:left="5760" w:hanging="360"/>
      </w:pPr>
    </w:lvl>
    <w:lvl w:ilvl="8" w:tplc="6A4AFDCC"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6"/>
  </w:num>
  <w:num w:numId="4">
    <w:abstractNumId w:val="22"/>
  </w:num>
  <w:num w:numId="5">
    <w:abstractNumId w:val="39"/>
  </w:num>
  <w:num w:numId="6">
    <w:abstractNumId w:val="0"/>
    <w:lvlOverride w:ilvl="0">
      <w:startOverride w:val="1"/>
    </w:lvlOverride>
  </w:num>
  <w:num w:numId="7">
    <w:abstractNumId w:val="27"/>
  </w:num>
  <w:num w:numId="8">
    <w:abstractNumId w:val="11"/>
  </w:num>
  <w:num w:numId="9">
    <w:abstractNumId w:val="20"/>
  </w:num>
  <w:num w:numId="10">
    <w:abstractNumId w:val="42"/>
  </w:num>
  <w:num w:numId="11">
    <w:abstractNumId w:val="38"/>
  </w:num>
  <w:num w:numId="12">
    <w:abstractNumId w:val="41"/>
  </w:num>
  <w:num w:numId="13">
    <w:abstractNumId w:val="44"/>
  </w:num>
  <w:num w:numId="14">
    <w:abstractNumId w:val="3"/>
  </w:num>
  <w:num w:numId="15">
    <w:abstractNumId w:val="8"/>
  </w:num>
  <w:num w:numId="16">
    <w:abstractNumId w:val="36"/>
  </w:num>
  <w:num w:numId="17">
    <w:abstractNumId w:val="19"/>
  </w:num>
  <w:num w:numId="18">
    <w:abstractNumId w:val="10"/>
  </w:num>
  <w:num w:numId="19">
    <w:abstractNumId w:val="12"/>
  </w:num>
  <w:num w:numId="20">
    <w:abstractNumId w:val="26"/>
  </w:num>
  <w:num w:numId="21">
    <w:abstractNumId w:val="30"/>
  </w:num>
  <w:num w:numId="22">
    <w:abstractNumId w:val="7"/>
  </w:num>
  <w:num w:numId="23">
    <w:abstractNumId w:val="23"/>
  </w:num>
  <w:num w:numId="24">
    <w:abstractNumId w:val="25"/>
  </w:num>
  <w:num w:numId="25">
    <w:abstractNumId w:val="32"/>
  </w:num>
  <w:num w:numId="26">
    <w:abstractNumId w:val="24"/>
  </w:num>
  <w:num w:numId="27">
    <w:abstractNumId w:val="17"/>
  </w:num>
  <w:num w:numId="28">
    <w:abstractNumId w:val="4"/>
  </w:num>
  <w:num w:numId="29">
    <w:abstractNumId w:val="33"/>
  </w:num>
  <w:num w:numId="30">
    <w:abstractNumId w:val="9"/>
  </w:num>
  <w:num w:numId="31">
    <w:abstractNumId w:val="21"/>
  </w:num>
  <w:num w:numId="32">
    <w:abstractNumId w:val="28"/>
  </w:num>
  <w:num w:numId="33">
    <w:abstractNumId w:val="31"/>
  </w:num>
  <w:num w:numId="34">
    <w:abstractNumId w:val="6"/>
  </w:num>
  <w:num w:numId="35">
    <w:abstractNumId w:val="43"/>
  </w:num>
  <w:num w:numId="36">
    <w:abstractNumId w:val="37"/>
  </w:num>
  <w:num w:numId="37">
    <w:abstractNumId w:val="35"/>
  </w:num>
  <w:num w:numId="38">
    <w:abstractNumId w:val="13"/>
  </w:num>
  <w:num w:numId="39">
    <w:abstractNumId w:val="34"/>
  </w:num>
  <w:num w:numId="40">
    <w:abstractNumId w:val="29"/>
  </w:num>
  <w:num w:numId="41">
    <w:abstractNumId w:val="18"/>
  </w:num>
  <w:num w:numId="42">
    <w:abstractNumId w:val="14"/>
  </w:num>
  <w:num w:numId="43">
    <w:abstractNumId w:val="40"/>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1"/>
  </w:num>
  <w:num w:numId="48">
    <w:abstractNumId w:val="21"/>
  </w:num>
  <w:num w:numId="49">
    <w:abstractNumId w:val="15"/>
  </w:num>
  <w:num w:numId="50">
    <w:abstractNumId w:val="11"/>
  </w:num>
  <w:num w:numId="51">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removePersonalInformation/>
  <w:removeDateAndTime/>
  <w:hideSpellingErrors/>
  <w:proofState w:spelling="clean" w:grammar="clean"/>
  <w:linkStyles/>
  <w:stylePaneSortMethod w:val="0000"/>
  <w:defaultTabStop w:val="720"/>
  <w:drawingGridHorizontalSpacing w:val="110"/>
  <w:displayHorizontalDrawingGridEvery w:val="2"/>
  <w:characterSpacingControl w:val="doNotCompress"/>
  <w:hdrShapeDefaults>
    <o:shapedefaults v:ext="edit" spidmax="235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3B6"/>
    <w:rsid w:val="00016CA4"/>
    <w:rsid w:val="00036BCA"/>
    <w:rsid w:val="00041AEE"/>
    <w:rsid w:val="000541DE"/>
    <w:rsid w:val="00055013"/>
    <w:rsid w:val="00056C3D"/>
    <w:rsid w:val="00057DB1"/>
    <w:rsid w:val="00066709"/>
    <w:rsid w:val="000704EE"/>
    <w:rsid w:val="0007332A"/>
    <w:rsid w:val="0008656E"/>
    <w:rsid w:val="00091B7D"/>
    <w:rsid w:val="000F2DF2"/>
    <w:rsid w:val="00101558"/>
    <w:rsid w:val="00107A29"/>
    <w:rsid w:val="00120B36"/>
    <w:rsid w:val="00126AFC"/>
    <w:rsid w:val="00134546"/>
    <w:rsid w:val="0013590E"/>
    <w:rsid w:val="00142CA3"/>
    <w:rsid w:val="00163C5B"/>
    <w:rsid w:val="00164476"/>
    <w:rsid w:val="00170B69"/>
    <w:rsid w:val="00171D94"/>
    <w:rsid w:val="00174C19"/>
    <w:rsid w:val="00190B18"/>
    <w:rsid w:val="00190CF2"/>
    <w:rsid w:val="00192B0F"/>
    <w:rsid w:val="0019515C"/>
    <w:rsid w:val="001A78F8"/>
    <w:rsid w:val="001B0223"/>
    <w:rsid w:val="001B3525"/>
    <w:rsid w:val="001B7DE0"/>
    <w:rsid w:val="001C33CE"/>
    <w:rsid w:val="001C5698"/>
    <w:rsid w:val="001F3DAF"/>
    <w:rsid w:val="001F4FF3"/>
    <w:rsid w:val="001F588E"/>
    <w:rsid w:val="0020280F"/>
    <w:rsid w:val="00214574"/>
    <w:rsid w:val="002248BB"/>
    <w:rsid w:val="00224B10"/>
    <w:rsid w:val="00231C1B"/>
    <w:rsid w:val="002411E8"/>
    <w:rsid w:val="002508FE"/>
    <w:rsid w:val="00256D90"/>
    <w:rsid w:val="0026016E"/>
    <w:rsid w:val="0026168F"/>
    <w:rsid w:val="00262B57"/>
    <w:rsid w:val="002633B6"/>
    <w:rsid w:val="00263B0B"/>
    <w:rsid w:val="00280349"/>
    <w:rsid w:val="00291A76"/>
    <w:rsid w:val="00292639"/>
    <w:rsid w:val="002A0C1F"/>
    <w:rsid w:val="002A7FAF"/>
    <w:rsid w:val="002B7E41"/>
    <w:rsid w:val="002C4AC8"/>
    <w:rsid w:val="002C4F1E"/>
    <w:rsid w:val="002C6AB5"/>
    <w:rsid w:val="002C7717"/>
    <w:rsid w:val="002D10CB"/>
    <w:rsid w:val="002D37E7"/>
    <w:rsid w:val="003035EC"/>
    <w:rsid w:val="00306DA7"/>
    <w:rsid w:val="00313FD0"/>
    <w:rsid w:val="00315354"/>
    <w:rsid w:val="00326368"/>
    <w:rsid w:val="00335E49"/>
    <w:rsid w:val="00336515"/>
    <w:rsid w:val="00337417"/>
    <w:rsid w:val="00341D28"/>
    <w:rsid w:val="003458B9"/>
    <w:rsid w:val="00346A06"/>
    <w:rsid w:val="00353708"/>
    <w:rsid w:val="00355A23"/>
    <w:rsid w:val="003566C6"/>
    <w:rsid w:val="00356A74"/>
    <w:rsid w:val="00367ABE"/>
    <w:rsid w:val="003755CB"/>
    <w:rsid w:val="00376F83"/>
    <w:rsid w:val="00384021"/>
    <w:rsid w:val="003869AC"/>
    <w:rsid w:val="003911DD"/>
    <w:rsid w:val="003921EC"/>
    <w:rsid w:val="0039342A"/>
    <w:rsid w:val="00393C9D"/>
    <w:rsid w:val="0039542B"/>
    <w:rsid w:val="003A3860"/>
    <w:rsid w:val="003B08FB"/>
    <w:rsid w:val="003B1EF1"/>
    <w:rsid w:val="003C295A"/>
    <w:rsid w:val="003E5E1C"/>
    <w:rsid w:val="003E619C"/>
    <w:rsid w:val="003F4342"/>
    <w:rsid w:val="0040054F"/>
    <w:rsid w:val="0041118F"/>
    <w:rsid w:val="00413187"/>
    <w:rsid w:val="004238C0"/>
    <w:rsid w:val="00436493"/>
    <w:rsid w:val="004414FA"/>
    <w:rsid w:val="00443056"/>
    <w:rsid w:val="00467AAA"/>
    <w:rsid w:val="00473C1A"/>
    <w:rsid w:val="00474049"/>
    <w:rsid w:val="0047634C"/>
    <w:rsid w:val="004815F2"/>
    <w:rsid w:val="0048557C"/>
    <w:rsid w:val="00492B05"/>
    <w:rsid w:val="004A53E1"/>
    <w:rsid w:val="004B1009"/>
    <w:rsid w:val="004B455C"/>
    <w:rsid w:val="004C6DB6"/>
    <w:rsid w:val="004E14D0"/>
    <w:rsid w:val="004E1BF2"/>
    <w:rsid w:val="004E2CCB"/>
    <w:rsid w:val="004F03E7"/>
    <w:rsid w:val="004F3EED"/>
    <w:rsid w:val="004F6FE7"/>
    <w:rsid w:val="00511D57"/>
    <w:rsid w:val="00521491"/>
    <w:rsid w:val="00531858"/>
    <w:rsid w:val="00536806"/>
    <w:rsid w:val="00543938"/>
    <w:rsid w:val="00545683"/>
    <w:rsid w:val="005460B9"/>
    <w:rsid w:val="00571080"/>
    <w:rsid w:val="005728CE"/>
    <w:rsid w:val="0057391A"/>
    <w:rsid w:val="005739F1"/>
    <w:rsid w:val="00576EE7"/>
    <w:rsid w:val="00577FCB"/>
    <w:rsid w:val="00582957"/>
    <w:rsid w:val="005847BD"/>
    <w:rsid w:val="005850E0"/>
    <w:rsid w:val="005A071B"/>
    <w:rsid w:val="005B2B5A"/>
    <w:rsid w:val="005B71CB"/>
    <w:rsid w:val="005D021D"/>
    <w:rsid w:val="005D2682"/>
    <w:rsid w:val="005D60C9"/>
    <w:rsid w:val="005E1DBE"/>
    <w:rsid w:val="005E31AB"/>
    <w:rsid w:val="00603EB4"/>
    <w:rsid w:val="006073A4"/>
    <w:rsid w:val="0061272C"/>
    <w:rsid w:val="0061464E"/>
    <w:rsid w:val="00625258"/>
    <w:rsid w:val="006279EB"/>
    <w:rsid w:val="00634E3D"/>
    <w:rsid w:val="00643AA6"/>
    <w:rsid w:val="0065725C"/>
    <w:rsid w:val="00663085"/>
    <w:rsid w:val="00663AA6"/>
    <w:rsid w:val="006676B0"/>
    <w:rsid w:val="006736C2"/>
    <w:rsid w:val="00677C7B"/>
    <w:rsid w:val="00677FF2"/>
    <w:rsid w:val="00682D71"/>
    <w:rsid w:val="006831C1"/>
    <w:rsid w:val="006B04EE"/>
    <w:rsid w:val="006D1F00"/>
    <w:rsid w:val="006D6047"/>
    <w:rsid w:val="006D606B"/>
    <w:rsid w:val="006D729D"/>
    <w:rsid w:val="006F4BBD"/>
    <w:rsid w:val="00704B96"/>
    <w:rsid w:val="0070543B"/>
    <w:rsid w:val="0070635C"/>
    <w:rsid w:val="00722E96"/>
    <w:rsid w:val="00724790"/>
    <w:rsid w:val="0074037B"/>
    <w:rsid w:val="00746090"/>
    <w:rsid w:val="00752C0B"/>
    <w:rsid w:val="0076695E"/>
    <w:rsid w:val="00777D32"/>
    <w:rsid w:val="00791DBA"/>
    <w:rsid w:val="00793E74"/>
    <w:rsid w:val="007A0C6A"/>
    <w:rsid w:val="007A3491"/>
    <w:rsid w:val="007A3899"/>
    <w:rsid w:val="007A410C"/>
    <w:rsid w:val="007C500C"/>
    <w:rsid w:val="007C710C"/>
    <w:rsid w:val="007C75B0"/>
    <w:rsid w:val="007E75C9"/>
    <w:rsid w:val="00811636"/>
    <w:rsid w:val="00815CB7"/>
    <w:rsid w:val="008163B6"/>
    <w:rsid w:val="00820259"/>
    <w:rsid w:val="008240FC"/>
    <w:rsid w:val="00832325"/>
    <w:rsid w:val="00833518"/>
    <w:rsid w:val="008340AB"/>
    <w:rsid w:val="00835824"/>
    <w:rsid w:val="008409B2"/>
    <w:rsid w:val="00845673"/>
    <w:rsid w:val="008467A2"/>
    <w:rsid w:val="008517A8"/>
    <w:rsid w:val="00875CF5"/>
    <w:rsid w:val="00876E85"/>
    <w:rsid w:val="008802E8"/>
    <w:rsid w:val="00883593"/>
    <w:rsid w:val="00890CAD"/>
    <w:rsid w:val="00892465"/>
    <w:rsid w:val="00893CD7"/>
    <w:rsid w:val="008B13AB"/>
    <w:rsid w:val="008B6998"/>
    <w:rsid w:val="008C24C8"/>
    <w:rsid w:val="008C539A"/>
    <w:rsid w:val="008D119C"/>
    <w:rsid w:val="008D399D"/>
    <w:rsid w:val="008D6C04"/>
    <w:rsid w:val="008E43DA"/>
    <w:rsid w:val="008E58D0"/>
    <w:rsid w:val="008F1BBC"/>
    <w:rsid w:val="009155F3"/>
    <w:rsid w:val="00920260"/>
    <w:rsid w:val="00927646"/>
    <w:rsid w:val="00936502"/>
    <w:rsid w:val="0093657E"/>
    <w:rsid w:val="009409CA"/>
    <w:rsid w:val="00950CE4"/>
    <w:rsid w:val="00956054"/>
    <w:rsid w:val="00962111"/>
    <w:rsid w:val="0096452F"/>
    <w:rsid w:val="00982455"/>
    <w:rsid w:val="00991AA4"/>
    <w:rsid w:val="00995B26"/>
    <w:rsid w:val="00996B40"/>
    <w:rsid w:val="009A168B"/>
    <w:rsid w:val="009A1E93"/>
    <w:rsid w:val="009A6A85"/>
    <w:rsid w:val="009B2C61"/>
    <w:rsid w:val="009B71B3"/>
    <w:rsid w:val="009C0222"/>
    <w:rsid w:val="009C32F7"/>
    <w:rsid w:val="009D7217"/>
    <w:rsid w:val="009E2AA1"/>
    <w:rsid w:val="009F2896"/>
    <w:rsid w:val="009F2D3A"/>
    <w:rsid w:val="009F6B94"/>
    <w:rsid w:val="00A071D0"/>
    <w:rsid w:val="00A21478"/>
    <w:rsid w:val="00A3435C"/>
    <w:rsid w:val="00A37A26"/>
    <w:rsid w:val="00A4028F"/>
    <w:rsid w:val="00A4312F"/>
    <w:rsid w:val="00A467AE"/>
    <w:rsid w:val="00A47FCF"/>
    <w:rsid w:val="00A50E5D"/>
    <w:rsid w:val="00A72845"/>
    <w:rsid w:val="00A72898"/>
    <w:rsid w:val="00A81691"/>
    <w:rsid w:val="00A8786B"/>
    <w:rsid w:val="00AA5AA2"/>
    <w:rsid w:val="00AC3586"/>
    <w:rsid w:val="00AC5C3E"/>
    <w:rsid w:val="00AE0C7B"/>
    <w:rsid w:val="00AE0FE9"/>
    <w:rsid w:val="00AE72FE"/>
    <w:rsid w:val="00AF00A2"/>
    <w:rsid w:val="00B04CF0"/>
    <w:rsid w:val="00B05DBD"/>
    <w:rsid w:val="00B10EEE"/>
    <w:rsid w:val="00B21AED"/>
    <w:rsid w:val="00B32CF1"/>
    <w:rsid w:val="00B423D7"/>
    <w:rsid w:val="00B42E7F"/>
    <w:rsid w:val="00B5401F"/>
    <w:rsid w:val="00B5684E"/>
    <w:rsid w:val="00B57174"/>
    <w:rsid w:val="00B578F3"/>
    <w:rsid w:val="00B6034B"/>
    <w:rsid w:val="00B64E5E"/>
    <w:rsid w:val="00B6592F"/>
    <w:rsid w:val="00B73BB5"/>
    <w:rsid w:val="00B8375F"/>
    <w:rsid w:val="00B91E45"/>
    <w:rsid w:val="00B94260"/>
    <w:rsid w:val="00B94D53"/>
    <w:rsid w:val="00BA0000"/>
    <w:rsid w:val="00BA0653"/>
    <w:rsid w:val="00BA22E9"/>
    <w:rsid w:val="00BC1538"/>
    <w:rsid w:val="00BC2587"/>
    <w:rsid w:val="00BC4D0C"/>
    <w:rsid w:val="00BC56A4"/>
    <w:rsid w:val="00BC6E40"/>
    <w:rsid w:val="00BD3270"/>
    <w:rsid w:val="00BD6099"/>
    <w:rsid w:val="00BE4A87"/>
    <w:rsid w:val="00BF087E"/>
    <w:rsid w:val="00BF3740"/>
    <w:rsid w:val="00BF74FA"/>
    <w:rsid w:val="00C01D32"/>
    <w:rsid w:val="00C04C92"/>
    <w:rsid w:val="00C079F6"/>
    <w:rsid w:val="00C14C3B"/>
    <w:rsid w:val="00C179DD"/>
    <w:rsid w:val="00C41374"/>
    <w:rsid w:val="00C536DD"/>
    <w:rsid w:val="00C84073"/>
    <w:rsid w:val="00C918ED"/>
    <w:rsid w:val="00CA40D5"/>
    <w:rsid w:val="00CA7A8A"/>
    <w:rsid w:val="00CB0865"/>
    <w:rsid w:val="00CB36D1"/>
    <w:rsid w:val="00CB461D"/>
    <w:rsid w:val="00CB5840"/>
    <w:rsid w:val="00CB66E1"/>
    <w:rsid w:val="00CC0813"/>
    <w:rsid w:val="00CD297E"/>
    <w:rsid w:val="00CD3554"/>
    <w:rsid w:val="00CD6636"/>
    <w:rsid w:val="00CF373F"/>
    <w:rsid w:val="00D0172C"/>
    <w:rsid w:val="00D25A73"/>
    <w:rsid w:val="00D477F6"/>
    <w:rsid w:val="00D72D30"/>
    <w:rsid w:val="00D77256"/>
    <w:rsid w:val="00D87C40"/>
    <w:rsid w:val="00DB1FBF"/>
    <w:rsid w:val="00DD08A5"/>
    <w:rsid w:val="00DD6194"/>
    <w:rsid w:val="00DD6EB2"/>
    <w:rsid w:val="00DE0AF6"/>
    <w:rsid w:val="00DE2CF3"/>
    <w:rsid w:val="00E179AB"/>
    <w:rsid w:val="00E24C0E"/>
    <w:rsid w:val="00E25946"/>
    <w:rsid w:val="00E342DA"/>
    <w:rsid w:val="00E3537A"/>
    <w:rsid w:val="00E36161"/>
    <w:rsid w:val="00E453E7"/>
    <w:rsid w:val="00E549FC"/>
    <w:rsid w:val="00E54B26"/>
    <w:rsid w:val="00E73416"/>
    <w:rsid w:val="00E74AFF"/>
    <w:rsid w:val="00E81EE1"/>
    <w:rsid w:val="00E82A7C"/>
    <w:rsid w:val="00E86241"/>
    <w:rsid w:val="00E930B4"/>
    <w:rsid w:val="00E97204"/>
    <w:rsid w:val="00EA158F"/>
    <w:rsid w:val="00EA1CBC"/>
    <w:rsid w:val="00EA305A"/>
    <w:rsid w:val="00EA331F"/>
    <w:rsid w:val="00EA4673"/>
    <w:rsid w:val="00EA7B77"/>
    <w:rsid w:val="00EB6397"/>
    <w:rsid w:val="00ED1465"/>
    <w:rsid w:val="00ED2894"/>
    <w:rsid w:val="00EE028D"/>
    <w:rsid w:val="00EE64D3"/>
    <w:rsid w:val="00EF08D2"/>
    <w:rsid w:val="00EF4900"/>
    <w:rsid w:val="00F274A3"/>
    <w:rsid w:val="00F41372"/>
    <w:rsid w:val="00F47EB1"/>
    <w:rsid w:val="00F51DFB"/>
    <w:rsid w:val="00F60B74"/>
    <w:rsid w:val="00F709BD"/>
    <w:rsid w:val="00F715D9"/>
    <w:rsid w:val="00F847CC"/>
    <w:rsid w:val="00F9005E"/>
    <w:rsid w:val="00F969F4"/>
    <w:rsid w:val="00FA1929"/>
    <w:rsid w:val="00FA350D"/>
    <w:rsid w:val="00FA7223"/>
    <w:rsid w:val="00FB5975"/>
    <w:rsid w:val="00FD2AD0"/>
    <w:rsid w:val="00FD2D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468C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174"/>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8163B6"/>
    <w:pPr>
      <w:keepNext/>
      <w:keepLines/>
      <w:pageBreakBefore/>
      <w:numPr>
        <w:numId w:val="31"/>
      </w:numPr>
      <w:spacing w:after="240"/>
      <w:outlineLvl w:val="0"/>
    </w:pPr>
    <w:rPr>
      <w:rFonts w:ascii="Calibri" w:hAnsi="Calibri"/>
      <w:bCs/>
      <w:color w:val="000000"/>
      <w:sz w:val="56"/>
      <w:szCs w:val="28"/>
    </w:rPr>
  </w:style>
  <w:style w:type="paragraph" w:styleId="Heading2">
    <w:name w:val="heading 2"/>
    <w:aliases w:val="p"/>
    <w:basedOn w:val="Normal"/>
    <w:next w:val="Normal"/>
    <w:link w:val="Heading2Char"/>
    <w:uiPriority w:val="9"/>
    <w:qFormat/>
    <w:rsid w:val="008163B6"/>
    <w:pPr>
      <w:keepNext/>
      <w:keepLines/>
      <w:numPr>
        <w:ilvl w:val="1"/>
        <w:numId w:val="31"/>
      </w:numPr>
      <w:outlineLvl w:val="1"/>
    </w:pPr>
    <w:rPr>
      <w:rFonts w:ascii="Calibri" w:hAnsi="Calibri"/>
      <w:b/>
      <w:bCs/>
      <w:sz w:val="36"/>
      <w:szCs w:val="26"/>
    </w:rPr>
  </w:style>
  <w:style w:type="paragraph" w:styleId="Heading3">
    <w:name w:val="heading 3"/>
    <w:basedOn w:val="Normal"/>
    <w:next w:val="Normal"/>
    <w:link w:val="Heading3Char"/>
    <w:qFormat/>
    <w:rsid w:val="008163B6"/>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5"/>
    <w:qFormat/>
    <w:rsid w:val="008163B6"/>
    <w:pPr>
      <w:keepNext/>
      <w:keepLines/>
      <w:outlineLvl w:val="3"/>
    </w:pPr>
    <w:rPr>
      <w:rFonts w:ascii="Calibri" w:hAnsi="Calibri"/>
      <w:b/>
      <w:bCs/>
      <w:iCs/>
    </w:rPr>
  </w:style>
  <w:style w:type="paragraph" w:styleId="Heading5">
    <w:name w:val="heading 5"/>
    <w:aliases w:val="s,s1,s2,s3,s4,s5"/>
    <w:basedOn w:val="Normal"/>
    <w:next w:val="Normal"/>
    <w:link w:val="Heading5Char"/>
    <w:uiPriority w:val="6"/>
    <w:qFormat/>
    <w:rsid w:val="008163B6"/>
    <w:pPr>
      <w:keepNext/>
      <w:keepLines/>
      <w:outlineLvl w:val="4"/>
    </w:pPr>
    <w:rPr>
      <w:rFonts w:ascii="Calibri" w:hAnsi="Calibri"/>
      <w:b/>
      <w:i/>
    </w:rPr>
  </w:style>
  <w:style w:type="paragraph" w:styleId="Heading6">
    <w:name w:val="heading 6"/>
    <w:basedOn w:val="Normal"/>
    <w:next w:val="Normal"/>
    <w:link w:val="Heading6Char"/>
    <w:uiPriority w:val="9"/>
    <w:qFormat/>
    <w:rsid w:val="008163B6"/>
    <w:pPr>
      <w:keepNext/>
      <w:tabs>
        <w:tab w:val="num" w:pos="1152"/>
      </w:tabs>
      <w:ind w:left="1152" w:hanging="1152"/>
      <w:outlineLvl w:val="5"/>
    </w:pPr>
    <w:rPr>
      <w:rFonts w:ascii="Arial" w:hAnsi="Arial"/>
      <w:b/>
      <w:szCs w:val="20"/>
    </w:rPr>
  </w:style>
  <w:style w:type="paragraph" w:styleId="Heading7">
    <w:name w:val="heading 7"/>
    <w:basedOn w:val="Normal"/>
    <w:next w:val="Normal"/>
    <w:link w:val="Heading7Char"/>
    <w:uiPriority w:val="9"/>
    <w:qFormat/>
    <w:rsid w:val="008163B6"/>
    <w:pPr>
      <w:keepNext/>
      <w:tabs>
        <w:tab w:val="num" w:pos="1296"/>
      </w:tabs>
      <w:spacing w:before="20" w:after="20" w:line="240" w:lineRule="atLeast"/>
      <w:ind w:left="1296" w:hanging="1296"/>
      <w:jc w:val="center"/>
      <w:outlineLvl w:val="6"/>
    </w:pPr>
    <w:rPr>
      <w:rFonts w:ascii="Arial" w:hAnsi="Arial" w:cs="Arial"/>
      <w:b/>
      <w:bCs/>
      <w:sz w:val="20"/>
    </w:rPr>
  </w:style>
  <w:style w:type="paragraph" w:styleId="Heading8">
    <w:name w:val="heading 8"/>
    <w:basedOn w:val="Normal"/>
    <w:next w:val="Normal"/>
    <w:link w:val="Heading8Char"/>
    <w:uiPriority w:val="9"/>
    <w:qFormat/>
    <w:rsid w:val="008163B6"/>
    <w:pPr>
      <w:keepNext/>
      <w:tabs>
        <w:tab w:val="num" w:pos="1440"/>
      </w:tabs>
      <w:ind w:left="1440" w:hanging="1440"/>
      <w:outlineLvl w:val="7"/>
    </w:pPr>
    <w:rPr>
      <w:rFonts w:ascii="Helvetica" w:hAnsi="Helvetica"/>
      <w:b/>
      <w:bCs/>
      <w:sz w:val="20"/>
    </w:rPr>
  </w:style>
  <w:style w:type="paragraph" w:styleId="Heading9">
    <w:name w:val="heading 9"/>
    <w:basedOn w:val="Normal"/>
    <w:next w:val="Normal"/>
    <w:link w:val="Heading9Char"/>
    <w:uiPriority w:val="9"/>
    <w:qFormat/>
    <w:rsid w:val="008163B6"/>
    <w:pPr>
      <w:tabs>
        <w:tab w:val="num" w:pos="1584"/>
      </w:tabs>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rsid w:val="00B5717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57174"/>
  </w:style>
  <w:style w:type="paragraph" w:styleId="CommentText">
    <w:name w:val="annotation text"/>
    <w:basedOn w:val="Normal"/>
    <w:link w:val="CommentTextChar"/>
    <w:unhideWhenUsed/>
    <w:rsid w:val="008163B6"/>
    <w:rPr>
      <w:sz w:val="20"/>
      <w:szCs w:val="20"/>
    </w:rPr>
  </w:style>
  <w:style w:type="character" w:customStyle="1" w:styleId="CommentTextChar">
    <w:name w:val="Comment Text Char"/>
    <w:basedOn w:val="DefaultParagraphFont"/>
    <w:link w:val="CommentText"/>
    <w:rsid w:val="008163B6"/>
    <w:rPr>
      <w:rFonts w:eastAsia="Times New Roman"/>
      <w:sz w:val="20"/>
      <w:szCs w:val="20"/>
    </w:rPr>
  </w:style>
  <w:style w:type="paragraph" w:styleId="Header">
    <w:name w:val="header"/>
    <w:basedOn w:val="Normal"/>
    <w:link w:val="HeaderChar"/>
    <w:rsid w:val="008163B6"/>
    <w:pPr>
      <w:tabs>
        <w:tab w:val="center" w:pos="4820"/>
      </w:tabs>
      <w:jc w:val="center"/>
    </w:pPr>
    <w:rPr>
      <w:rFonts w:ascii="Calibri" w:hAnsi="Calibri"/>
      <w:sz w:val="20"/>
    </w:rPr>
  </w:style>
  <w:style w:type="character" w:customStyle="1" w:styleId="HeaderChar">
    <w:name w:val="Header Char"/>
    <w:basedOn w:val="DefaultParagraphFont"/>
    <w:link w:val="Header"/>
    <w:rsid w:val="008163B6"/>
    <w:rPr>
      <w:rFonts w:ascii="Calibri" w:eastAsia="Times New Roman" w:hAnsi="Calibri"/>
      <w:sz w:val="20"/>
      <w:szCs w:val="24"/>
      <w:lang w:eastAsia="en-US"/>
    </w:rPr>
  </w:style>
  <w:style w:type="paragraph" w:styleId="Footer">
    <w:name w:val="footer"/>
    <w:basedOn w:val="Normal"/>
    <w:link w:val="FooterChar"/>
    <w:uiPriority w:val="99"/>
    <w:rsid w:val="008163B6"/>
    <w:pPr>
      <w:tabs>
        <w:tab w:val="center" w:pos="4536"/>
      </w:tabs>
      <w:spacing w:after="120"/>
      <w:jc w:val="center"/>
    </w:pPr>
    <w:rPr>
      <w:rFonts w:ascii="Calibri" w:hAnsi="Calibri"/>
      <w:sz w:val="20"/>
    </w:rPr>
  </w:style>
  <w:style w:type="character" w:customStyle="1" w:styleId="FooterChar">
    <w:name w:val="Footer Char"/>
    <w:basedOn w:val="DefaultParagraphFont"/>
    <w:link w:val="Footer"/>
    <w:uiPriority w:val="99"/>
    <w:rsid w:val="008163B6"/>
    <w:rPr>
      <w:rFonts w:ascii="Calibri" w:eastAsia="Times New Roman" w:hAnsi="Calibri"/>
      <w:sz w:val="20"/>
      <w:szCs w:val="24"/>
      <w:lang w:eastAsia="en-US"/>
    </w:rPr>
  </w:style>
  <w:style w:type="character" w:styleId="CommentReference">
    <w:name w:val="annotation reference"/>
    <w:basedOn w:val="DefaultParagraphFont"/>
    <w:uiPriority w:val="99"/>
    <w:unhideWhenUsed/>
    <w:rsid w:val="008163B6"/>
    <w:rPr>
      <w:sz w:val="16"/>
      <w:szCs w:val="16"/>
    </w:rPr>
  </w:style>
  <w:style w:type="paragraph" w:styleId="CommentSubject">
    <w:name w:val="annotation subject"/>
    <w:basedOn w:val="CommentText"/>
    <w:next w:val="CommentText"/>
    <w:link w:val="CommentSubjectChar"/>
    <w:uiPriority w:val="99"/>
    <w:unhideWhenUsed/>
    <w:rsid w:val="008163B6"/>
    <w:rPr>
      <w:b/>
      <w:bCs/>
    </w:rPr>
  </w:style>
  <w:style w:type="character" w:customStyle="1" w:styleId="CommentSubjectChar">
    <w:name w:val="Comment Subject Char"/>
    <w:basedOn w:val="CommentTextChar"/>
    <w:link w:val="CommentSubject"/>
    <w:uiPriority w:val="99"/>
    <w:rsid w:val="008163B6"/>
    <w:rPr>
      <w:rFonts w:eastAsia="Times New Roman"/>
      <w:b/>
      <w:bCs/>
      <w:sz w:val="20"/>
      <w:szCs w:val="20"/>
    </w:rPr>
  </w:style>
  <w:style w:type="paragraph" w:styleId="BalloonText">
    <w:name w:val="Balloon Text"/>
    <w:basedOn w:val="Normal"/>
    <w:link w:val="BalloonTextChar"/>
    <w:uiPriority w:val="99"/>
    <w:unhideWhenUsed/>
    <w:rsid w:val="008163B6"/>
    <w:rPr>
      <w:rFonts w:ascii="Calibri" w:hAnsi="Calibri"/>
      <w:sz w:val="18"/>
      <w:szCs w:val="18"/>
    </w:rPr>
  </w:style>
  <w:style w:type="character" w:customStyle="1" w:styleId="BalloonTextChar">
    <w:name w:val="Balloon Text Char"/>
    <w:basedOn w:val="DefaultParagraphFont"/>
    <w:link w:val="BalloonText"/>
    <w:uiPriority w:val="99"/>
    <w:rsid w:val="008163B6"/>
    <w:rPr>
      <w:rFonts w:ascii="Calibri" w:eastAsia="Times New Roman" w:hAnsi="Calibri"/>
      <w:sz w:val="18"/>
      <w:szCs w:val="18"/>
      <w:lang w:eastAsia="en-US"/>
    </w:rPr>
  </w:style>
  <w:style w:type="table" w:styleId="TableGrid">
    <w:name w:val="Table Grid"/>
    <w:basedOn w:val="TableNormal"/>
    <w:uiPriority w:val="99"/>
    <w:rsid w:val="008163B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8163B6"/>
    <w:rPr>
      <w:sz w:val="16"/>
    </w:rPr>
  </w:style>
  <w:style w:type="character" w:customStyle="1" w:styleId="Heading1NumberedChar">
    <w:name w:val="Heading 1 Numbered Char"/>
    <w:basedOn w:val="Heading1Char"/>
    <w:link w:val="Heading1Numbered"/>
    <w:uiPriority w:val="2"/>
    <w:rsid w:val="008163B6"/>
    <w:rPr>
      <w:rFonts w:ascii="Calibri" w:eastAsiaTheme="minorHAnsi" w:hAnsi="Calibri" w:cstheme="minorBidi"/>
      <w:bCs/>
      <w:color w:val="000000"/>
      <w:sz w:val="56"/>
      <w:szCs w:val="28"/>
      <w:lang w:eastAsia="en-US"/>
    </w:rPr>
  </w:style>
  <w:style w:type="character" w:customStyle="1" w:styleId="Heading1Char">
    <w:name w:val="Heading 1 Char"/>
    <w:basedOn w:val="DefaultParagraphFont"/>
    <w:link w:val="Heading1"/>
    <w:uiPriority w:val="9"/>
    <w:rsid w:val="008163B6"/>
    <w:rPr>
      <w:rFonts w:ascii="Calibri" w:eastAsiaTheme="minorHAnsi" w:hAnsi="Calibri" w:cstheme="minorBidi"/>
      <w:bCs/>
      <w:color w:val="000000"/>
      <w:sz w:val="56"/>
      <w:szCs w:val="28"/>
      <w:lang w:eastAsia="en-US"/>
    </w:rPr>
  </w:style>
  <w:style w:type="paragraph" w:customStyle="1" w:styleId="Heading1Numbered">
    <w:name w:val="Heading 1 Numbered"/>
    <w:basedOn w:val="Heading1"/>
    <w:next w:val="Normal"/>
    <w:link w:val="Heading1NumberedChar"/>
    <w:uiPriority w:val="2"/>
    <w:qFormat/>
    <w:rsid w:val="008163B6"/>
    <w:pPr>
      <w:numPr>
        <w:numId w:val="3"/>
      </w:numPr>
      <w:ind w:left="709" w:hanging="709"/>
    </w:pPr>
  </w:style>
  <w:style w:type="character" w:customStyle="1" w:styleId="Heading2Char">
    <w:name w:val="Heading 2 Char"/>
    <w:aliases w:val="p Char"/>
    <w:basedOn w:val="DefaultParagraphFont"/>
    <w:link w:val="Heading2"/>
    <w:uiPriority w:val="9"/>
    <w:rsid w:val="008163B6"/>
    <w:rPr>
      <w:rFonts w:ascii="Calibri" w:eastAsiaTheme="minorHAnsi" w:hAnsi="Calibri" w:cstheme="minorBidi"/>
      <w:b/>
      <w:bCs/>
      <w:sz w:val="36"/>
      <w:szCs w:val="26"/>
      <w:lang w:eastAsia="en-US"/>
    </w:rPr>
  </w:style>
  <w:style w:type="character" w:customStyle="1" w:styleId="Heading3Char">
    <w:name w:val="Heading 3 Char"/>
    <w:basedOn w:val="DefaultParagraphFont"/>
    <w:link w:val="Heading3"/>
    <w:rsid w:val="008163B6"/>
    <w:rPr>
      <w:rFonts w:ascii="Arial" w:eastAsia="Times New Roman" w:hAnsi="Arial" w:cs="Arial"/>
      <w:b/>
      <w:bCs/>
      <w:noProof/>
      <w:sz w:val="26"/>
      <w:szCs w:val="26"/>
    </w:rPr>
  </w:style>
  <w:style w:type="character" w:customStyle="1" w:styleId="Heading4Char">
    <w:name w:val="Heading 4 Char"/>
    <w:basedOn w:val="DefaultParagraphFont"/>
    <w:link w:val="Heading4"/>
    <w:uiPriority w:val="5"/>
    <w:rsid w:val="008163B6"/>
    <w:rPr>
      <w:rFonts w:ascii="Calibri" w:eastAsia="Times New Roman" w:hAnsi="Calibri"/>
      <w:b/>
      <w:bCs/>
      <w:iCs/>
      <w:sz w:val="24"/>
      <w:szCs w:val="24"/>
      <w:lang w:eastAsia="en-US"/>
    </w:rPr>
  </w:style>
  <w:style w:type="character" w:customStyle="1" w:styleId="Heading5Char">
    <w:name w:val="Heading 5 Char"/>
    <w:aliases w:val="s Char,s1 Char,s2 Char,s3 Char,s4 Char,s5 Char"/>
    <w:basedOn w:val="DefaultParagraphFont"/>
    <w:link w:val="Heading5"/>
    <w:uiPriority w:val="9"/>
    <w:rsid w:val="008163B6"/>
    <w:rPr>
      <w:rFonts w:ascii="Calibri" w:eastAsia="Times New Roman" w:hAnsi="Calibri"/>
      <w:b/>
      <w:i/>
      <w:sz w:val="24"/>
      <w:szCs w:val="24"/>
      <w:lang w:eastAsia="en-US"/>
    </w:rPr>
  </w:style>
  <w:style w:type="paragraph" w:styleId="Quote">
    <w:name w:val="Quote"/>
    <w:basedOn w:val="Normal"/>
    <w:next w:val="Normal"/>
    <w:link w:val="QuoteChar"/>
    <w:uiPriority w:val="29"/>
    <w:qFormat/>
    <w:rsid w:val="008163B6"/>
    <w:pPr>
      <w:ind w:left="709" w:right="567"/>
    </w:pPr>
    <w:rPr>
      <w:iCs/>
      <w:color w:val="000000"/>
    </w:rPr>
  </w:style>
  <w:style w:type="character" w:customStyle="1" w:styleId="QuoteChar">
    <w:name w:val="Quote Char"/>
    <w:basedOn w:val="DefaultParagraphFont"/>
    <w:link w:val="Quote"/>
    <w:uiPriority w:val="29"/>
    <w:rsid w:val="008163B6"/>
    <w:rPr>
      <w:rFonts w:eastAsia="Times New Roman"/>
      <w:iCs/>
      <w:color w:val="000000"/>
      <w:szCs w:val="24"/>
      <w:lang w:eastAsia="en-US"/>
    </w:rPr>
  </w:style>
  <w:style w:type="paragraph" w:customStyle="1" w:styleId="BoxText">
    <w:name w:val="Box Text"/>
    <w:basedOn w:val="Normal"/>
    <w:uiPriority w:val="19"/>
    <w:qFormat/>
    <w:rsid w:val="008163B6"/>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rsid w:val="008163B6"/>
    <w:pPr>
      <w:keepNext/>
      <w:spacing w:after="120"/>
    </w:pPr>
    <w:rPr>
      <w:rFonts w:ascii="Calibri" w:hAnsi="Calibri"/>
      <w:b/>
      <w:bCs/>
      <w:szCs w:val="18"/>
    </w:rPr>
  </w:style>
  <w:style w:type="paragraph" w:customStyle="1" w:styleId="FigureTableNoteSource">
    <w:name w:val="Figure/Table Note/Source"/>
    <w:basedOn w:val="Normal"/>
    <w:next w:val="Normal"/>
    <w:uiPriority w:val="16"/>
    <w:qFormat/>
    <w:rsid w:val="008163B6"/>
    <w:pPr>
      <w:spacing w:before="120" w:line="264" w:lineRule="auto"/>
      <w:contextualSpacing/>
    </w:pPr>
    <w:rPr>
      <w:rFonts w:ascii="Calibri" w:hAnsi="Calibri"/>
      <w:sz w:val="18"/>
    </w:rPr>
  </w:style>
  <w:style w:type="paragraph" w:styleId="Title">
    <w:name w:val="Title"/>
    <w:aliases w:val="Title 1"/>
    <w:basedOn w:val="Normal"/>
    <w:next w:val="Subtitle"/>
    <w:link w:val="TitleChar"/>
    <w:uiPriority w:val="22"/>
    <w:qFormat/>
    <w:rsid w:val="008163B6"/>
    <w:pPr>
      <w:spacing w:before="240" w:after="120"/>
    </w:pPr>
    <w:rPr>
      <w:rFonts w:ascii="Calibri" w:hAnsi="Calibri"/>
      <w:b/>
      <w:sz w:val="72"/>
      <w:szCs w:val="72"/>
    </w:rPr>
  </w:style>
  <w:style w:type="character" w:customStyle="1" w:styleId="TitleChar">
    <w:name w:val="Title Char"/>
    <w:aliases w:val="Title 1 Char"/>
    <w:basedOn w:val="DefaultParagraphFont"/>
    <w:link w:val="Title"/>
    <w:uiPriority w:val="22"/>
    <w:rsid w:val="008163B6"/>
    <w:rPr>
      <w:rFonts w:ascii="Calibri" w:eastAsia="Times New Roman" w:hAnsi="Calibri"/>
      <w:b/>
      <w:sz w:val="72"/>
      <w:szCs w:val="72"/>
      <w:lang w:eastAsia="en-US"/>
    </w:rPr>
  </w:style>
  <w:style w:type="paragraph" w:styleId="Subtitle">
    <w:name w:val="Subtitle"/>
    <w:basedOn w:val="Normal"/>
    <w:next w:val="Normal"/>
    <w:link w:val="SubtitleChar"/>
    <w:uiPriority w:val="11"/>
    <w:qFormat/>
    <w:rsid w:val="008163B6"/>
    <w:pPr>
      <w:spacing w:after="840"/>
    </w:pPr>
    <w:rPr>
      <w:rFonts w:ascii="Calibri" w:hAnsi="Calibri" w:cs="Calibri"/>
      <w:sz w:val="68"/>
      <w:szCs w:val="72"/>
    </w:rPr>
  </w:style>
  <w:style w:type="character" w:customStyle="1" w:styleId="SubtitleChar">
    <w:name w:val="Subtitle Char"/>
    <w:basedOn w:val="DefaultParagraphFont"/>
    <w:link w:val="Subtitle"/>
    <w:uiPriority w:val="11"/>
    <w:rsid w:val="008163B6"/>
    <w:rPr>
      <w:rFonts w:ascii="Calibri" w:eastAsia="Times New Roman" w:hAnsi="Calibri" w:cs="Calibri"/>
      <w:sz w:val="68"/>
      <w:szCs w:val="72"/>
      <w:lang w:eastAsia="en-US"/>
    </w:rPr>
  </w:style>
  <w:style w:type="paragraph" w:styleId="TOCHeading">
    <w:name w:val="TOC Heading"/>
    <w:basedOn w:val="Heading1"/>
    <w:next w:val="Normal"/>
    <w:uiPriority w:val="39"/>
    <w:qFormat/>
    <w:rsid w:val="008163B6"/>
    <w:pPr>
      <w:numPr>
        <w:numId w:val="0"/>
      </w:numPr>
      <w:spacing w:before="480" w:after="0"/>
      <w:outlineLvl w:val="9"/>
    </w:pPr>
    <w:rPr>
      <w:lang w:val="en-US"/>
    </w:rPr>
  </w:style>
  <w:style w:type="paragraph" w:styleId="TOC1">
    <w:name w:val="toc 1"/>
    <w:basedOn w:val="Normal"/>
    <w:next w:val="Normal"/>
    <w:uiPriority w:val="39"/>
    <w:unhideWhenUsed/>
    <w:rsid w:val="008163B6"/>
    <w:pPr>
      <w:tabs>
        <w:tab w:val="left" w:pos="426"/>
        <w:tab w:val="right" w:leader="dot" w:pos="9072"/>
      </w:tabs>
      <w:spacing w:before="120" w:after="120"/>
    </w:pPr>
    <w:rPr>
      <w:b/>
    </w:rPr>
  </w:style>
  <w:style w:type="paragraph" w:styleId="TOC2">
    <w:name w:val="toc 2"/>
    <w:basedOn w:val="Normal"/>
    <w:next w:val="Normal"/>
    <w:uiPriority w:val="39"/>
    <w:unhideWhenUsed/>
    <w:rsid w:val="008163B6"/>
    <w:pPr>
      <w:tabs>
        <w:tab w:val="right" w:leader="dot" w:pos="9060"/>
      </w:tabs>
      <w:spacing w:before="120" w:after="120"/>
      <w:ind w:firstLine="425"/>
    </w:pPr>
  </w:style>
  <w:style w:type="paragraph" w:styleId="TOC3">
    <w:name w:val="toc 3"/>
    <w:basedOn w:val="Normal"/>
    <w:next w:val="Normal"/>
    <w:uiPriority w:val="39"/>
    <w:unhideWhenUsed/>
    <w:rsid w:val="008163B6"/>
    <w:pPr>
      <w:tabs>
        <w:tab w:val="right" w:leader="dot" w:pos="9072"/>
      </w:tabs>
      <w:spacing w:before="120" w:after="120"/>
      <w:ind w:firstLine="851"/>
    </w:pPr>
  </w:style>
  <w:style w:type="character" w:styleId="Hyperlink">
    <w:name w:val="Hyperlink"/>
    <w:basedOn w:val="DefaultParagraphFont"/>
    <w:uiPriority w:val="99"/>
    <w:qFormat/>
    <w:rsid w:val="008163B6"/>
    <w:rPr>
      <w:color w:val="165788"/>
      <w:u w:val="single"/>
    </w:rPr>
  </w:style>
  <w:style w:type="paragraph" w:styleId="ListBullet">
    <w:name w:val="List Bullet"/>
    <w:basedOn w:val="Normal"/>
    <w:uiPriority w:val="7"/>
    <w:qFormat/>
    <w:rsid w:val="008163B6"/>
    <w:pPr>
      <w:numPr>
        <w:numId w:val="1"/>
      </w:numPr>
      <w:spacing w:before="120" w:after="120"/>
    </w:pPr>
  </w:style>
  <w:style w:type="paragraph" w:styleId="TableofFigures">
    <w:name w:val="table of figures"/>
    <w:aliases w:val="Table of Tables,Tables and Figures"/>
    <w:basedOn w:val="Normal"/>
    <w:next w:val="Normal"/>
    <w:uiPriority w:val="99"/>
    <w:rsid w:val="008163B6"/>
    <w:pPr>
      <w:spacing w:before="120" w:after="120"/>
    </w:pPr>
  </w:style>
  <w:style w:type="paragraph" w:styleId="ListBullet2">
    <w:name w:val="List Bullet 2"/>
    <w:basedOn w:val="Normal"/>
    <w:uiPriority w:val="99"/>
    <w:qFormat/>
    <w:rsid w:val="008163B6"/>
    <w:pPr>
      <w:numPr>
        <w:numId w:val="2"/>
      </w:numPr>
      <w:tabs>
        <w:tab w:val="clear" w:pos="643"/>
        <w:tab w:val="num" w:pos="567"/>
      </w:tabs>
      <w:spacing w:before="120" w:after="120"/>
      <w:ind w:left="568" w:hanging="284"/>
      <w:contextualSpacing/>
    </w:pPr>
  </w:style>
  <w:style w:type="paragraph" w:styleId="ListNumber">
    <w:name w:val="List Number"/>
    <w:basedOn w:val="Normal"/>
    <w:uiPriority w:val="9"/>
    <w:qFormat/>
    <w:rsid w:val="008163B6"/>
    <w:pPr>
      <w:numPr>
        <w:numId w:val="4"/>
      </w:numPr>
      <w:tabs>
        <w:tab w:val="left" w:pos="284"/>
      </w:tabs>
      <w:spacing w:before="120" w:after="120"/>
      <w:ind w:left="284" w:hanging="284"/>
    </w:pPr>
  </w:style>
  <w:style w:type="paragraph" w:styleId="ListNumber2">
    <w:name w:val="List Number 2"/>
    <w:uiPriority w:val="10"/>
    <w:qFormat/>
    <w:rsid w:val="008163B6"/>
    <w:pPr>
      <w:numPr>
        <w:numId w:val="5"/>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8163B6"/>
    <w:pPr>
      <w:numPr>
        <w:numId w:val="6"/>
      </w:numPr>
      <w:tabs>
        <w:tab w:val="clear" w:pos="926"/>
        <w:tab w:val="num" w:pos="851"/>
      </w:tabs>
      <w:spacing w:before="120" w:after="120" w:line="264" w:lineRule="auto"/>
      <w:ind w:left="851" w:hanging="284"/>
    </w:pPr>
    <w:rPr>
      <w:rFonts w:eastAsia="Times New Roman"/>
      <w:sz w:val="22"/>
      <w:szCs w:val="24"/>
      <w:lang w:eastAsia="en-US"/>
    </w:rPr>
  </w:style>
  <w:style w:type="table" w:customStyle="1" w:styleId="LightShading1">
    <w:name w:val="Light Shading1"/>
    <w:basedOn w:val="TableNormal"/>
    <w:uiPriority w:val="60"/>
    <w:rsid w:val="008163B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8163B6"/>
    <w:rPr>
      <w:color w:val="E36C0A"/>
      <w:lang w:val="en-US" w:eastAsia="en-US"/>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qFormat/>
    <w:rsid w:val="008163B6"/>
    <w:pPr>
      <w:spacing w:before="60" w:after="60"/>
    </w:pPr>
    <w:rPr>
      <w:sz w:val="18"/>
    </w:rPr>
  </w:style>
  <w:style w:type="table" w:styleId="TableGrid1">
    <w:name w:val="Table Grid 1"/>
    <w:basedOn w:val="TableNormal"/>
    <w:uiPriority w:val="99"/>
    <w:semiHidden/>
    <w:unhideWhenUsed/>
    <w:rsid w:val="008163B6"/>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8163B6"/>
    <w:pPr>
      <w:keepNext/>
    </w:pPr>
    <w:rPr>
      <w:b/>
    </w:rPr>
  </w:style>
  <w:style w:type="character" w:styleId="PlaceholderText">
    <w:name w:val="Placeholder Text"/>
    <w:basedOn w:val="DefaultParagraphFont"/>
    <w:uiPriority w:val="99"/>
    <w:semiHidden/>
    <w:rsid w:val="008163B6"/>
    <w:rPr>
      <w:color w:val="808080"/>
    </w:rPr>
  </w:style>
  <w:style w:type="paragraph" w:customStyle="1" w:styleId="Author">
    <w:name w:val="Author"/>
    <w:basedOn w:val="Normal"/>
    <w:next w:val="Normal"/>
    <w:uiPriority w:val="24"/>
    <w:qFormat/>
    <w:rsid w:val="008163B6"/>
    <w:pPr>
      <w:spacing w:after="60"/>
    </w:pPr>
    <w:rPr>
      <w:b/>
      <w:sz w:val="28"/>
      <w:szCs w:val="28"/>
    </w:rPr>
  </w:style>
  <w:style w:type="paragraph" w:customStyle="1" w:styleId="AuthorOrganisationAffiliation">
    <w:name w:val="Author Organisation/Affiliation"/>
    <w:basedOn w:val="Normal"/>
    <w:next w:val="Normal"/>
    <w:uiPriority w:val="25"/>
    <w:qFormat/>
    <w:rsid w:val="008163B6"/>
    <w:pPr>
      <w:spacing w:after="720"/>
    </w:pPr>
  </w:style>
  <w:style w:type="character" w:styleId="Strong">
    <w:name w:val="Strong"/>
    <w:basedOn w:val="DefaultParagraphFont"/>
    <w:uiPriority w:val="22"/>
    <w:qFormat/>
    <w:rsid w:val="008163B6"/>
    <w:rPr>
      <w:b/>
      <w:bCs/>
    </w:rPr>
  </w:style>
  <w:style w:type="paragraph" w:customStyle="1" w:styleId="Glossary">
    <w:name w:val="Glossary"/>
    <w:basedOn w:val="Normal"/>
    <w:link w:val="GlossaryChar"/>
    <w:uiPriority w:val="28"/>
    <w:qFormat/>
    <w:rsid w:val="008163B6"/>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8163B6"/>
    <w:rPr>
      <w:rFonts w:eastAsia="Calibri"/>
      <w:color w:val="000000"/>
      <w:lang w:eastAsia="en-US"/>
    </w:rPr>
  </w:style>
  <w:style w:type="character" w:styleId="Emphasis">
    <w:name w:val="Emphasis"/>
    <w:basedOn w:val="DefaultParagraphFont"/>
    <w:uiPriority w:val="20"/>
    <w:qFormat/>
    <w:rsid w:val="008163B6"/>
    <w:rPr>
      <w:i/>
      <w:iCs/>
    </w:rPr>
  </w:style>
  <w:style w:type="paragraph" w:styleId="TOAHeading">
    <w:name w:val="toa heading"/>
    <w:basedOn w:val="Heading1"/>
    <w:next w:val="Normal"/>
    <w:uiPriority w:val="99"/>
    <w:semiHidden/>
    <w:unhideWhenUsed/>
    <w:rsid w:val="008163B6"/>
    <w:pPr>
      <w:spacing w:before="120"/>
    </w:pPr>
    <w:rPr>
      <w:b/>
      <w:bCs w:val="0"/>
      <w:sz w:val="24"/>
    </w:rPr>
  </w:style>
  <w:style w:type="paragraph" w:styleId="NormalWeb">
    <w:name w:val="Normal (Web)"/>
    <w:basedOn w:val="Normal"/>
    <w:uiPriority w:val="99"/>
    <w:unhideWhenUsed/>
    <w:rsid w:val="008163B6"/>
    <w:pPr>
      <w:spacing w:after="168" w:line="168" w:lineRule="atLeast"/>
      <w:jc w:val="both"/>
    </w:pPr>
    <w:rPr>
      <w:sz w:val="13"/>
      <w:szCs w:val="13"/>
    </w:rPr>
  </w:style>
  <w:style w:type="paragraph" w:customStyle="1" w:styleId="BoxTextBullet">
    <w:name w:val="Box Text Bullet"/>
    <w:basedOn w:val="BoxText"/>
    <w:uiPriority w:val="21"/>
    <w:qFormat/>
    <w:rsid w:val="008163B6"/>
    <w:pPr>
      <w:numPr>
        <w:numId w:val="7"/>
      </w:numPr>
      <w:ind w:left="357" w:hanging="357"/>
    </w:pPr>
  </w:style>
  <w:style w:type="paragraph" w:customStyle="1" w:styleId="TableBullet">
    <w:name w:val="Table Bullet"/>
    <w:basedOn w:val="TableText"/>
    <w:uiPriority w:val="15"/>
    <w:qFormat/>
    <w:rsid w:val="008163B6"/>
    <w:pPr>
      <w:numPr>
        <w:numId w:val="8"/>
      </w:numPr>
    </w:pPr>
  </w:style>
  <w:style w:type="paragraph" w:styleId="DocumentMap">
    <w:name w:val="Document Map"/>
    <w:basedOn w:val="Normal"/>
    <w:link w:val="DocumentMapChar"/>
    <w:uiPriority w:val="99"/>
    <w:unhideWhenUsed/>
    <w:rsid w:val="008163B6"/>
    <w:rPr>
      <w:rFonts w:ascii="Tahoma" w:hAnsi="Tahoma" w:cs="Tahoma"/>
      <w:sz w:val="16"/>
      <w:szCs w:val="16"/>
    </w:rPr>
  </w:style>
  <w:style w:type="character" w:customStyle="1" w:styleId="DocumentMapChar">
    <w:name w:val="Document Map Char"/>
    <w:basedOn w:val="DefaultParagraphFont"/>
    <w:link w:val="DocumentMap"/>
    <w:uiPriority w:val="99"/>
    <w:rsid w:val="008163B6"/>
    <w:rPr>
      <w:rFonts w:ascii="Tahoma" w:eastAsia="Times New Roman" w:hAnsi="Tahoma" w:cs="Tahoma"/>
      <w:sz w:val="16"/>
      <w:szCs w:val="16"/>
    </w:rPr>
  </w:style>
  <w:style w:type="paragraph" w:customStyle="1" w:styleId="TOCHeadingsamepage">
    <w:name w:val="TOC Heading (same page)"/>
    <w:basedOn w:val="TOCHeading"/>
    <w:next w:val="Normal"/>
    <w:uiPriority w:val="39"/>
    <w:rsid w:val="008163B6"/>
    <w:pPr>
      <w:pageBreakBefore w:val="0"/>
    </w:pPr>
  </w:style>
  <w:style w:type="paragraph" w:customStyle="1" w:styleId="BoxHeading">
    <w:name w:val="Box Heading"/>
    <w:basedOn w:val="BoxText"/>
    <w:uiPriority w:val="20"/>
    <w:qFormat/>
    <w:rsid w:val="008163B6"/>
    <w:rPr>
      <w:b/>
    </w:rPr>
  </w:style>
  <w:style w:type="paragraph" w:customStyle="1" w:styleId="Picture">
    <w:name w:val="Picture"/>
    <w:basedOn w:val="Normal"/>
    <w:uiPriority w:val="17"/>
    <w:qFormat/>
    <w:rsid w:val="008163B6"/>
    <w:pPr>
      <w:spacing w:before="120" w:after="120"/>
    </w:pPr>
  </w:style>
  <w:style w:type="paragraph" w:customStyle="1" w:styleId="Securityclassification">
    <w:name w:val="Security classification"/>
    <w:basedOn w:val="Header"/>
    <w:next w:val="Header"/>
    <w:uiPriority w:val="26"/>
    <w:qFormat/>
    <w:rsid w:val="008163B6"/>
    <w:rPr>
      <w:b/>
      <w:caps/>
      <w:color w:val="FF0000"/>
      <w:sz w:val="36"/>
      <w:szCs w:val="36"/>
    </w:rPr>
  </w:style>
  <w:style w:type="paragraph" w:customStyle="1" w:styleId="DisseminationLimitingMarker">
    <w:name w:val="Dissemination Limiting Marker"/>
    <w:basedOn w:val="Header"/>
    <w:next w:val="Header"/>
    <w:uiPriority w:val="27"/>
    <w:qFormat/>
    <w:rsid w:val="008163B6"/>
    <w:rPr>
      <w:b/>
      <w:color w:val="FF0000"/>
      <w:sz w:val="36"/>
      <w:szCs w:val="36"/>
    </w:rPr>
  </w:style>
  <w:style w:type="paragraph" w:styleId="FootnoteText">
    <w:name w:val="footnote text"/>
    <w:basedOn w:val="Normal"/>
    <w:link w:val="FootnoteTextChar"/>
    <w:unhideWhenUsed/>
    <w:rsid w:val="008163B6"/>
    <w:pPr>
      <w:spacing w:after="60" w:line="264" w:lineRule="auto"/>
    </w:pPr>
    <w:rPr>
      <w:sz w:val="20"/>
      <w:szCs w:val="20"/>
    </w:rPr>
  </w:style>
  <w:style w:type="character" w:customStyle="1" w:styleId="FootnoteTextChar">
    <w:name w:val="Footnote Text Char"/>
    <w:basedOn w:val="DefaultParagraphFont"/>
    <w:link w:val="FootnoteText"/>
    <w:rsid w:val="008163B6"/>
    <w:rPr>
      <w:rFonts w:eastAsia="Times New Roman"/>
      <w:sz w:val="20"/>
      <w:szCs w:val="20"/>
    </w:rPr>
  </w:style>
  <w:style w:type="character" w:styleId="FootnoteReference">
    <w:name w:val="footnote reference"/>
    <w:basedOn w:val="DefaultParagraphFont"/>
    <w:unhideWhenUsed/>
    <w:rsid w:val="008163B6"/>
    <w:rPr>
      <w:vertAlign w:val="superscript"/>
    </w:rPr>
  </w:style>
  <w:style w:type="paragraph" w:styleId="EndnoteText">
    <w:name w:val="endnote text"/>
    <w:basedOn w:val="Normal"/>
    <w:link w:val="EndnoteTextChar"/>
    <w:uiPriority w:val="99"/>
    <w:unhideWhenUsed/>
    <w:rsid w:val="008163B6"/>
    <w:pPr>
      <w:spacing w:after="60" w:line="264" w:lineRule="auto"/>
    </w:pPr>
    <w:rPr>
      <w:sz w:val="20"/>
      <w:szCs w:val="20"/>
    </w:rPr>
  </w:style>
  <w:style w:type="character" w:customStyle="1" w:styleId="EndnoteTextChar">
    <w:name w:val="Endnote Text Char"/>
    <w:basedOn w:val="DefaultParagraphFont"/>
    <w:link w:val="EndnoteText"/>
    <w:uiPriority w:val="99"/>
    <w:rsid w:val="008163B6"/>
    <w:rPr>
      <w:rFonts w:eastAsia="Times New Roman"/>
      <w:sz w:val="20"/>
      <w:szCs w:val="20"/>
    </w:rPr>
  </w:style>
  <w:style w:type="character" w:styleId="EndnoteReference">
    <w:name w:val="endnote reference"/>
    <w:basedOn w:val="DefaultParagraphFont"/>
    <w:uiPriority w:val="99"/>
    <w:unhideWhenUsed/>
    <w:rsid w:val="008163B6"/>
    <w:rPr>
      <w:vertAlign w:val="superscript"/>
    </w:rPr>
  </w:style>
  <w:style w:type="character" w:styleId="FollowedHyperlink">
    <w:name w:val="FollowedHyperlink"/>
    <w:basedOn w:val="DefaultParagraphFont"/>
    <w:uiPriority w:val="99"/>
    <w:unhideWhenUsed/>
    <w:rsid w:val="008163B6"/>
    <w:rPr>
      <w:color w:val="800080"/>
      <w:u w:val="single"/>
    </w:rPr>
  </w:style>
  <w:style w:type="paragraph" w:customStyle="1" w:styleId="BoxSource">
    <w:name w:val="Box Source"/>
    <w:basedOn w:val="FigureTableNoteSource"/>
    <w:uiPriority w:val="22"/>
    <w:qFormat/>
    <w:rsid w:val="008163B6"/>
    <w:pPr>
      <w:pBdr>
        <w:top w:val="single" w:sz="4" w:space="10" w:color="auto"/>
        <w:left w:val="single" w:sz="4" w:space="10" w:color="auto"/>
        <w:bottom w:val="single" w:sz="4" w:space="10" w:color="auto"/>
        <w:right w:val="single" w:sz="4" w:space="10" w:color="auto"/>
      </w:pBdr>
    </w:pPr>
    <w:rPr>
      <w:lang w:val="en-US"/>
    </w:rPr>
  </w:style>
  <w:style w:type="paragraph" w:customStyle="1" w:styleId="Heading2Numbered">
    <w:name w:val="Heading 2 Numbered"/>
    <w:basedOn w:val="Heading2"/>
    <w:next w:val="Normal"/>
    <w:qFormat/>
    <w:rsid w:val="008163B6"/>
    <w:pPr>
      <w:numPr>
        <w:numId w:val="9"/>
      </w:numPr>
    </w:pPr>
  </w:style>
  <w:style w:type="paragraph" w:customStyle="1" w:styleId="Heading3Numbered">
    <w:name w:val="Heading 3 Numbered"/>
    <w:basedOn w:val="Heading3"/>
    <w:next w:val="Normal"/>
    <w:link w:val="Heading3NumberedChar"/>
    <w:qFormat/>
    <w:rsid w:val="008163B6"/>
    <w:pPr>
      <w:numPr>
        <w:numId w:val="10"/>
      </w:numPr>
    </w:pPr>
  </w:style>
  <w:style w:type="character" w:customStyle="1" w:styleId="Heading3NumberedChar">
    <w:name w:val="Heading 3 Numbered Char"/>
    <w:basedOn w:val="Heading3Char"/>
    <w:link w:val="Heading3Numbered"/>
    <w:rsid w:val="008163B6"/>
    <w:rPr>
      <w:rFonts w:ascii="Arial" w:eastAsiaTheme="minorHAnsi" w:hAnsi="Arial" w:cs="Arial"/>
      <w:b/>
      <w:bCs/>
      <w:noProof/>
      <w:sz w:val="26"/>
      <w:szCs w:val="26"/>
      <w:lang w:eastAsia="en-US"/>
    </w:rPr>
  </w:style>
  <w:style w:type="paragraph" w:customStyle="1" w:styleId="TableText0">
    <w:name w:val="TableText"/>
    <w:basedOn w:val="Normal"/>
    <w:link w:val="TableTextChar0"/>
    <w:rsid w:val="008163B6"/>
    <w:pPr>
      <w:keepNext/>
      <w:spacing w:before="60" w:after="60"/>
    </w:pPr>
    <w:rPr>
      <w:color w:val="000000"/>
      <w:sz w:val="16"/>
      <w:szCs w:val="20"/>
    </w:rPr>
  </w:style>
  <w:style w:type="character" w:customStyle="1" w:styleId="TableTextChar0">
    <w:name w:val="TableText Char"/>
    <w:basedOn w:val="DefaultParagraphFont"/>
    <w:link w:val="TableText0"/>
    <w:rsid w:val="008163B6"/>
    <w:rPr>
      <w:rFonts w:ascii="Times New Roman" w:eastAsia="Times New Roman" w:hAnsi="Times New Roman"/>
      <w:color w:val="000000"/>
      <w:sz w:val="16"/>
      <w:lang w:eastAsia="en-US"/>
    </w:rPr>
  </w:style>
  <w:style w:type="paragraph" w:customStyle="1" w:styleId="TableNotes">
    <w:name w:val="TableNotes"/>
    <w:basedOn w:val="Normal"/>
    <w:link w:val="TableNotesChar"/>
    <w:uiPriority w:val="99"/>
    <w:rsid w:val="008163B6"/>
    <w:pPr>
      <w:spacing w:before="40" w:after="180"/>
    </w:pPr>
    <w:rPr>
      <w:rFonts w:ascii="Arial Narrow" w:hAnsi="Arial Narrow"/>
      <w:color w:val="000000"/>
      <w:sz w:val="16"/>
    </w:rPr>
  </w:style>
  <w:style w:type="character" w:customStyle="1" w:styleId="TableNotesChar">
    <w:name w:val="TableNotes Char"/>
    <w:basedOn w:val="DefaultParagraphFont"/>
    <w:link w:val="TableNotes"/>
    <w:rsid w:val="008163B6"/>
    <w:rPr>
      <w:rFonts w:ascii="Arial Narrow" w:eastAsia="Times New Roman" w:hAnsi="Arial Narrow"/>
      <w:color w:val="000000"/>
      <w:sz w:val="16"/>
      <w:szCs w:val="24"/>
      <w:lang w:eastAsia="en-US"/>
    </w:rPr>
  </w:style>
  <w:style w:type="paragraph" w:customStyle="1" w:styleId="AQISNum">
    <w:name w:val="AQIS Num"/>
    <w:basedOn w:val="Normal"/>
    <w:next w:val="Normal"/>
    <w:link w:val="AQISNumChar"/>
    <w:uiPriority w:val="99"/>
    <w:rsid w:val="008163B6"/>
    <w:pPr>
      <w:spacing w:before="60" w:line="280" w:lineRule="atLeast"/>
    </w:pPr>
    <w:rPr>
      <w:szCs w:val="20"/>
    </w:rPr>
  </w:style>
  <w:style w:type="character" w:customStyle="1" w:styleId="TableTextChar">
    <w:name w:val="Table Text Char"/>
    <w:basedOn w:val="DefaultParagraphFont"/>
    <w:link w:val="TableText"/>
    <w:uiPriority w:val="13"/>
    <w:rsid w:val="008163B6"/>
    <w:rPr>
      <w:rFonts w:eastAsia="Times New Roman"/>
      <w:sz w:val="18"/>
      <w:szCs w:val="24"/>
      <w:lang w:eastAsia="en-US"/>
    </w:rPr>
  </w:style>
  <w:style w:type="character" w:customStyle="1" w:styleId="AQISNumChar">
    <w:name w:val="AQIS Num Char"/>
    <w:basedOn w:val="DefaultParagraphFont"/>
    <w:link w:val="AQISNum"/>
    <w:uiPriority w:val="99"/>
    <w:rsid w:val="008163B6"/>
    <w:rPr>
      <w:rFonts w:ascii="Times New Roman" w:eastAsia="Times New Roman" w:hAnsi="Times New Roman"/>
      <w:sz w:val="24"/>
      <w:lang w:eastAsia="en-US"/>
    </w:rPr>
  </w:style>
  <w:style w:type="paragraph" w:styleId="ListParagraph">
    <w:name w:val="List Paragraph"/>
    <w:basedOn w:val="Normal"/>
    <w:uiPriority w:val="34"/>
    <w:qFormat/>
    <w:rsid w:val="008163B6"/>
    <w:pPr>
      <w:overflowPunct w:val="0"/>
      <w:autoSpaceDE w:val="0"/>
      <w:autoSpaceDN w:val="0"/>
      <w:adjustRightInd w:val="0"/>
      <w:ind w:left="720"/>
      <w:contextualSpacing/>
      <w:textAlignment w:val="baseline"/>
    </w:pPr>
    <w:rPr>
      <w:szCs w:val="20"/>
    </w:rPr>
  </w:style>
  <w:style w:type="paragraph" w:customStyle="1" w:styleId="AQISBullet">
    <w:name w:val="AQIS Bullet"/>
    <w:basedOn w:val="Normal"/>
    <w:next w:val="Normal"/>
    <w:rsid w:val="008163B6"/>
    <w:pPr>
      <w:widowControl w:val="0"/>
      <w:tabs>
        <w:tab w:val="num" w:pos="360"/>
      </w:tabs>
      <w:adjustRightInd w:val="0"/>
      <w:spacing w:before="60" w:line="280" w:lineRule="atLeast"/>
      <w:ind w:left="360" w:hanging="360"/>
      <w:jc w:val="both"/>
      <w:textAlignment w:val="baseline"/>
    </w:pPr>
    <w:rPr>
      <w:szCs w:val="20"/>
    </w:rPr>
  </w:style>
  <w:style w:type="paragraph" w:customStyle="1" w:styleId="AQISTable">
    <w:name w:val="AQIS Table"/>
    <w:basedOn w:val="Normal"/>
    <w:next w:val="Normal"/>
    <w:uiPriority w:val="99"/>
    <w:rsid w:val="008163B6"/>
    <w:pPr>
      <w:widowControl w:val="0"/>
      <w:tabs>
        <w:tab w:val="num" w:pos="360"/>
      </w:tabs>
      <w:adjustRightInd w:val="0"/>
      <w:spacing w:before="360" w:after="360" w:line="280" w:lineRule="atLeast"/>
      <w:ind w:left="360" w:hanging="360"/>
      <w:jc w:val="center"/>
      <w:textAlignment w:val="baseline"/>
    </w:pPr>
    <w:rPr>
      <w:rFonts w:ascii="Arial" w:hAnsi="Arial"/>
      <w:b/>
      <w:szCs w:val="20"/>
    </w:rPr>
  </w:style>
  <w:style w:type="paragraph" w:customStyle="1" w:styleId="Bullets">
    <w:name w:val="Bullets"/>
    <w:basedOn w:val="Normal"/>
    <w:link w:val="BulletsChar"/>
    <w:uiPriority w:val="99"/>
    <w:qFormat/>
    <w:rsid w:val="008163B6"/>
    <w:pPr>
      <w:spacing w:after="60" w:line="280" w:lineRule="atLeast"/>
      <w:jc w:val="both"/>
    </w:pPr>
  </w:style>
  <w:style w:type="character" w:customStyle="1" w:styleId="BulletsChar">
    <w:name w:val="Bullets Char"/>
    <w:basedOn w:val="DefaultParagraphFont"/>
    <w:link w:val="Bullets"/>
    <w:uiPriority w:val="99"/>
    <w:locked/>
    <w:rsid w:val="008163B6"/>
    <w:rPr>
      <w:rFonts w:ascii="Times New Roman" w:eastAsia="Times New Roman" w:hAnsi="Times New Roman"/>
      <w:sz w:val="24"/>
      <w:szCs w:val="24"/>
      <w:lang w:eastAsia="en-US"/>
    </w:rPr>
  </w:style>
  <w:style w:type="paragraph" w:customStyle="1" w:styleId="AQISText">
    <w:name w:val="AQIS Text"/>
    <w:basedOn w:val="Normal"/>
    <w:link w:val="AQISTextChar"/>
    <w:rsid w:val="008163B6"/>
    <w:pPr>
      <w:widowControl w:val="0"/>
      <w:adjustRightInd w:val="0"/>
      <w:spacing w:before="160" w:line="280" w:lineRule="atLeast"/>
      <w:jc w:val="both"/>
      <w:textAlignment w:val="baseline"/>
    </w:pPr>
    <w:rPr>
      <w:szCs w:val="20"/>
    </w:rPr>
  </w:style>
  <w:style w:type="character" w:customStyle="1" w:styleId="AQISTextChar">
    <w:name w:val="AQIS Text Char"/>
    <w:basedOn w:val="DefaultParagraphFont"/>
    <w:link w:val="AQISText"/>
    <w:rsid w:val="008163B6"/>
    <w:rPr>
      <w:rFonts w:ascii="Times New Roman" w:eastAsia="Times New Roman" w:hAnsi="Times New Roman"/>
      <w:sz w:val="22"/>
      <w:lang w:eastAsia="en-US"/>
    </w:rPr>
  </w:style>
  <w:style w:type="paragraph" w:styleId="BodyText2">
    <w:name w:val="Body Text 2"/>
    <w:basedOn w:val="Normal"/>
    <w:link w:val="BodyText2Char"/>
    <w:uiPriority w:val="99"/>
    <w:rsid w:val="008163B6"/>
    <w:pPr>
      <w:spacing w:line="288" w:lineRule="auto"/>
      <w:jc w:val="both"/>
    </w:pPr>
    <w:rPr>
      <w:szCs w:val="20"/>
    </w:rPr>
  </w:style>
  <w:style w:type="character" w:customStyle="1" w:styleId="BodyText2Char">
    <w:name w:val="Body Text 2 Char"/>
    <w:basedOn w:val="DefaultParagraphFont"/>
    <w:link w:val="BodyText2"/>
    <w:uiPriority w:val="99"/>
    <w:rsid w:val="008163B6"/>
    <w:rPr>
      <w:rFonts w:ascii="Times New Roman" w:eastAsia="Times New Roman" w:hAnsi="Times New Roman"/>
      <w:sz w:val="24"/>
      <w:lang w:eastAsia="en-US"/>
    </w:rPr>
  </w:style>
  <w:style w:type="paragraph" w:customStyle="1" w:styleId="BAHeader3">
    <w:name w:val="BA Header 3"/>
    <w:basedOn w:val="Normal"/>
    <w:next w:val="Normal"/>
    <w:link w:val="BAHeader3CharChar"/>
    <w:rsid w:val="008163B6"/>
    <w:pPr>
      <w:keepNext/>
      <w:keepLines/>
      <w:numPr>
        <w:ilvl w:val="2"/>
        <w:numId w:val="11"/>
      </w:numPr>
      <w:spacing w:before="360" w:after="120" w:line="340" w:lineRule="atLeast"/>
      <w:outlineLvl w:val="2"/>
    </w:pPr>
    <w:rPr>
      <w:rFonts w:ascii="Arial" w:hAnsi="Arial"/>
      <w:b/>
    </w:rPr>
  </w:style>
  <w:style w:type="paragraph" w:customStyle="1" w:styleId="BAHeader1">
    <w:name w:val="BA Header 1"/>
    <w:basedOn w:val="Normal"/>
    <w:next w:val="Normal"/>
    <w:link w:val="BAHeader1CharChar"/>
    <w:rsid w:val="008163B6"/>
    <w:pPr>
      <w:pageBreakBefore/>
      <w:widowControl w:val="0"/>
      <w:numPr>
        <w:numId w:val="11"/>
      </w:numPr>
      <w:pBdr>
        <w:bottom w:val="single" w:sz="4" w:space="1" w:color="auto"/>
      </w:pBdr>
      <w:spacing w:before="120" w:after="360" w:line="340" w:lineRule="atLeast"/>
      <w:outlineLvl w:val="0"/>
    </w:pPr>
    <w:rPr>
      <w:rFonts w:ascii="Arial" w:hAnsi="Arial"/>
      <w:b/>
      <w:sz w:val="28"/>
      <w:szCs w:val="28"/>
    </w:rPr>
  </w:style>
  <w:style w:type="paragraph" w:customStyle="1" w:styleId="BAHeader2">
    <w:name w:val="BA Header 2"/>
    <w:basedOn w:val="Normal"/>
    <w:next w:val="Normal"/>
    <w:link w:val="BAHeader2CharChar"/>
    <w:rsid w:val="008163B6"/>
    <w:pPr>
      <w:keepNext/>
      <w:keepLines/>
      <w:widowControl w:val="0"/>
      <w:numPr>
        <w:ilvl w:val="1"/>
        <w:numId w:val="11"/>
      </w:numPr>
      <w:spacing w:before="360" w:after="120" w:line="340" w:lineRule="atLeast"/>
      <w:outlineLvl w:val="1"/>
    </w:pPr>
    <w:rPr>
      <w:rFonts w:ascii="Arial" w:hAnsi="Arial"/>
      <w:b/>
      <w:sz w:val="28"/>
      <w:szCs w:val="28"/>
    </w:rPr>
  </w:style>
  <w:style w:type="character" w:customStyle="1" w:styleId="BAHeader2CharChar">
    <w:name w:val="BA Header 2 Char Char"/>
    <w:basedOn w:val="DefaultParagraphFont"/>
    <w:link w:val="BAHeader2"/>
    <w:rsid w:val="008163B6"/>
    <w:rPr>
      <w:rFonts w:ascii="Arial" w:eastAsiaTheme="minorHAnsi" w:hAnsi="Arial" w:cstheme="minorBidi"/>
      <w:b/>
      <w:sz w:val="28"/>
      <w:szCs w:val="28"/>
      <w:lang w:eastAsia="en-US"/>
    </w:rPr>
  </w:style>
  <w:style w:type="paragraph" w:customStyle="1" w:styleId="Default">
    <w:name w:val="Default"/>
    <w:rsid w:val="008163B6"/>
    <w:pPr>
      <w:autoSpaceDE w:val="0"/>
      <w:autoSpaceDN w:val="0"/>
      <w:adjustRightInd w:val="0"/>
    </w:pPr>
    <w:rPr>
      <w:rFonts w:ascii="Times New Roman" w:eastAsia="Times New Roman" w:hAnsi="Times New Roman"/>
      <w:color w:val="000000"/>
      <w:sz w:val="24"/>
      <w:szCs w:val="24"/>
    </w:rPr>
  </w:style>
  <w:style w:type="paragraph" w:styleId="BodyTextIndent">
    <w:name w:val="Body Text Indent"/>
    <w:basedOn w:val="Normal"/>
    <w:link w:val="BodyTextIndentChar"/>
    <w:uiPriority w:val="99"/>
    <w:unhideWhenUsed/>
    <w:rsid w:val="008163B6"/>
    <w:pPr>
      <w:spacing w:after="120"/>
      <w:ind w:left="283"/>
    </w:pPr>
  </w:style>
  <w:style w:type="character" w:customStyle="1" w:styleId="BodyTextIndentChar">
    <w:name w:val="Body Text Indent Char"/>
    <w:basedOn w:val="DefaultParagraphFont"/>
    <w:link w:val="BodyTextIndent"/>
    <w:uiPriority w:val="99"/>
    <w:rsid w:val="008163B6"/>
    <w:rPr>
      <w:rFonts w:eastAsia="Times New Roman"/>
      <w:sz w:val="22"/>
      <w:szCs w:val="24"/>
      <w:lang w:eastAsia="en-US"/>
    </w:rPr>
  </w:style>
  <w:style w:type="character" w:customStyle="1" w:styleId="Heading6Char">
    <w:name w:val="Heading 6 Char"/>
    <w:basedOn w:val="DefaultParagraphFont"/>
    <w:link w:val="Heading6"/>
    <w:uiPriority w:val="9"/>
    <w:rsid w:val="008163B6"/>
    <w:rPr>
      <w:rFonts w:ascii="Arial" w:eastAsia="Times New Roman" w:hAnsi="Arial"/>
      <w:b/>
      <w:sz w:val="22"/>
      <w:lang w:eastAsia="en-US"/>
    </w:rPr>
  </w:style>
  <w:style w:type="character" w:customStyle="1" w:styleId="Heading7Char">
    <w:name w:val="Heading 7 Char"/>
    <w:basedOn w:val="DefaultParagraphFont"/>
    <w:link w:val="Heading7"/>
    <w:uiPriority w:val="9"/>
    <w:rsid w:val="008163B6"/>
    <w:rPr>
      <w:rFonts w:ascii="Arial" w:eastAsia="Times New Roman" w:hAnsi="Arial" w:cs="Arial"/>
      <w:b/>
      <w:bCs/>
      <w:szCs w:val="24"/>
      <w:lang w:eastAsia="en-US"/>
    </w:rPr>
  </w:style>
  <w:style w:type="character" w:customStyle="1" w:styleId="Heading8Char">
    <w:name w:val="Heading 8 Char"/>
    <w:basedOn w:val="DefaultParagraphFont"/>
    <w:link w:val="Heading8"/>
    <w:uiPriority w:val="9"/>
    <w:rsid w:val="008163B6"/>
    <w:rPr>
      <w:rFonts w:ascii="Helvetica" w:eastAsia="Times New Roman" w:hAnsi="Helvetica"/>
      <w:b/>
      <w:bCs/>
      <w:szCs w:val="24"/>
      <w:lang w:eastAsia="en-US"/>
    </w:rPr>
  </w:style>
  <w:style w:type="character" w:customStyle="1" w:styleId="Heading9Char">
    <w:name w:val="Heading 9 Char"/>
    <w:basedOn w:val="DefaultParagraphFont"/>
    <w:link w:val="Heading9"/>
    <w:uiPriority w:val="9"/>
    <w:rsid w:val="008163B6"/>
    <w:rPr>
      <w:rFonts w:ascii="Arial" w:eastAsia="Times New Roman" w:hAnsi="Arial" w:cs="Arial"/>
      <w:sz w:val="22"/>
      <w:szCs w:val="22"/>
      <w:lang w:eastAsia="en-US"/>
    </w:rPr>
  </w:style>
  <w:style w:type="paragraph" w:styleId="ListBullet3">
    <w:name w:val="List Bullet 3"/>
    <w:basedOn w:val="Normal"/>
    <w:autoRedefine/>
    <w:uiPriority w:val="99"/>
    <w:rsid w:val="008163B6"/>
    <w:pPr>
      <w:widowControl w:val="0"/>
      <w:tabs>
        <w:tab w:val="num" w:pos="0"/>
      </w:tabs>
      <w:spacing w:before="40" w:after="40" w:line="240" w:lineRule="atLeast"/>
      <w:ind w:left="72"/>
    </w:pPr>
    <w:rPr>
      <w:rFonts w:ascii="Verdana" w:hAnsi="Verdana" w:cs="Arial"/>
      <w:b/>
      <w:sz w:val="18"/>
      <w:szCs w:val="18"/>
    </w:rPr>
  </w:style>
  <w:style w:type="paragraph" w:customStyle="1" w:styleId="AQISPlate">
    <w:name w:val="AQIS Plate"/>
    <w:basedOn w:val="Normal"/>
    <w:next w:val="Normal"/>
    <w:uiPriority w:val="99"/>
    <w:rsid w:val="008163B6"/>
    <w:pPr>
      <w:tabs>
        <w:tab w:val="num" w:pos="720"/>
      </w:tabs>
      <w:spacing w:before="240" w:after="120" w:line="340" w:lineRule="atLeast"/>
      <w:ind w:left="360" w:hanging="360"/>
      <w:jc w:val="center"/>
    </w:pPr>
    <w:rPr>
      <w:b/>
      <w:szCs w:val="20"/>
    </w:rPr>
  </w:style>
  <w:style w:type="paragraph" w:customStyle="1" w:styleId="DotPoint">
    <w:name w:val="DotPoint"/>
    <w:basedOn w:val="Normal"/>
    <w:uiPriority w:val="99"/>
    <w:rsid w:val="008163B6"/>
    <w:pPr>
      <w:tabs>
        <w:tab w:val="num" w:pos="1557"/>
      </w:tabs>
      <w:overflowPunct w:val="0"/>
      <w:autoSpaceDE w:val="0"/>
      <w:autoSpaceDN w:val="0"/>
      <w:adjustRightInd w:val="0"/>
      <w:ind w:left="1557" w:hanging="425"/>
      <w:textAlignment w:val="baseline"/>
    </w:pPr>
    <w:rPr>
      <w:szCs w:val="20"/>
    </w:rPr>
  </w:style>
  <w:style w:type="paragraph" w:customStyle="1" w:styleId="Table">
    <w:name w:val="Table"/>
    <w:basedOn w:val="Normal"/>
    <w:uiPriority w:val="99"/>
    <w:qFormat/>
    <w:rsid w:val="008163B6"/>
    <w:pPr>
      <w:widowControl w:val="0"/>
      <w:numPr>
        <w:numId w:val="12"/>
      </w:numPr>
      <w:spacing w:line="340" w:lineRule="atLeast"/>
      <w:jc w:val="center"/>
    </w:pPr>
    <w:rPr>
      <w:rFonts w:ascii="Arial" w:hAnsi="Arial"/>
      <w:b/>
      <w:sz w:val="20"/>
      <w:szCs w:val="20"/>
    </w:rPr>
  </w:style>
  <w:style w:type="paragraph" w:styleId="BodyText3">
    <w:name w:val="Body Text 3"/>
    <w:basedOn w:val="Normal"/>
    <w:link w:val="BodyText3Char"/>
    <w:uiPriority w:val="99"/>
    <w:rsid w:val="008163B6"/>
    <w:pPr>
      <w:widowControl w:val="0"/>
      <w:spacing w:before="120" w:after="240" w:line="340" w:lineRule="atLeast"/>
    </w:pPr>
    <w:rPr>
      <w:rFonts w:ascii="Arial" w:hAnsi="Arial"/>
      <w:b/>
      <w:sz w:val="28"/>
      <w:szCs w:val="20"/>
    </w:rPr>
  </w:style>
  <w:style w:type="character" w:customStyle="1" w:styleId="BodyText3Char">
    <w:name w:val="Body Text 3 Char"/>
    <w:basedOn w:val="DefaultParagraphFont"/>
    <w:link w:val="BodyText3"/>
    <w:uiPriority w:val="99"/>
    <w:rsid w:val="008163B6"/>
    <w:rPr>
      <w:rFonts w:ascii="Arial" w:eastAsia="Times New Roman" w:hAnsi="Arial"/>
      <w:b/>
      <w:sz w:val="28"/>
      <w:lang w:eastAsia="en-US"/>
    </w:rPr>
  </w:style>
  <w:style w:type="paragraph" w:customStyle="1" w:styleId="AQIS3">
    <w:name w:val="AQIS3"/>
    <w:basedOn w:val="Normal"/>
    <w:next w:val="AQISText"/>
    <w:uiPriority w:val="99"/>
    <w:rsid w:val="008163B6"/>
    <w:pPr>
      <w:keepNext/>
      <w:keepLines/>
      <w:spacing w:before="600" w:after="120" w:line="340" w:lineRule="atLeast"/>
    </w:pPr>
    <w:rPr>
      <w:rFonts w:ascii="Arial" w:hAnsi="Arial"/>
      <w:b/>
      <w:caps/>
      <w:szCs w:val="20"/>
    </w:rPr>
  </w:style>
  <w:style w:type="paragraph" w:customStyle="1" w:styleId="AQISTextCharCharChar">
    <w:name w:val="AQIS Text Char Char Char"/>
    <w:basedOn w:val="Normal"/>
    <w:uiPriority w:val="99"/>
    <w:rsid w:val="008163B6"/>
    <w:pPr>
      <w:spacing w:before="160" w:line="280" w:lineRule="atLeast"/>
    </w:pPr>
  </w:style>
  <w:style w:type="paragraph" w:customStyle="1" w:styleId="AQISTableText">
    <w:name w:val="AQIS Table Text"/>
    <w:basedOn w:val="AQISText"/>
    <w:link w:val="AQISTableTextChar"/>
    <w:uiPriority w:val="99"/>
    <w:rsid w:val="008163B6"/>
    <w:pPr>
      <w:widowControl/>
      <w:adjustRightInd/>
      <w:spacing w:before="60" w:after="60"/>
      <w:jc w:val="left"/>
      <w:textAlignment w:val="auto"/>
    </w:pPr>
    <w:rPr>
      <w:sz w:val="20"/>
    </w:rPr>
  </w:style>
  <w:style w:type="paragraph" w:customStyle="1" w:styleId="AQIS6">
    <w:name w:val="AQIS6"/>
    <w:basedOn w:val="AQISText"/>
    <w:next w:val="AQISText"/>
    <w:uiPriority w:val="99"/>
    <w:rsid w:val="008163B6"/>
    <w:pPr>
      <w:keepNext/>
      <w:keepLines/>
      <w:widowControl/>
      <w:adjustRightInd/>
      <w:spacing w:before="360"/>
      <w:jc w:val="left"/>
      <w:textAlignment w:val="auto"/>
    </w:pPr>
    <w:rPr>
      <w:rFonts w:ascii="Arial" w:hAnsi="Arial"/>
      <w:b/>
    </w:rPr>
  </w:style>
  <w:style w:type="paragraph" w:styleId="BodyText">
    <w:name w:val="Body Text"/>
    <w:basedOn w:val="Normal"/>
    <w:link w:val="BodyTextChar"/>
    <w:rsid w:val="008163B6"/>
    <w:pPr>
      <w:widowControl w:val="0"/>
      <w:spacing w:before="240" w:after="120" w:line="340" w:lineRule="atLeast"/>
      <w:jc w:val="center"/>
    </w:pPr>
    <w:rPr>
      <w:b/>
      <w:sz w:val="28"/>
      <w:szCs w:val="20"/>
    </w:rPr>
  </w:style>
  <w:style w:type="character" w:customStyle="1" w:styleId="BodyTextChar">
    <w:name w:val="Body Text Char"/>
    <w:basedOn w:val="DefaultParagraphFont"/>
    <w:link w:val="BodyText"/>
    <w:rsid w:val="008163B6"/>
    <w:rPr>
      <w:rFonts w:ascii="Times New Roman" w:eastAsia="Times New Roman" w:hAnsi="Times New Roman"/>
      <w:b/>
      <w:sz w:val="28"/>
      <w:lang w:eastAsia="en-US"/>
    </w:rPr>
  </w:style>
  <w:style w:type="paragraph" w:customStyle="1" w:styleId="AQISsub2">
    <w:name w:val="AQISsub 2"/>
    <w:basedOn w:val="Normal"/>
    <w:next w:val="Normal"/>
    <w:uiPriority w:val="99"/>
    <w:rsid w:val="008163B6"/>
    <w:pPr>
      <w:keepNext/>
      <w:keepLines/>
      <w:widowControl w:val="0"/>
      <w:tabs>
        <w:tab w:val="num" w:pos="360"/>
      </w:tabs>
      <w:spacing w:before="120" w:after="60" w:line="340" w:lineRule="atLeast"/>
      <w:ind w:left="360" w:hanging="360"/>
    </w:pPr>
    <w:rPr>
      <w:rFonts w:ascii="Arial" w:hAnsi="Arial"/>
      <w:b/>
      <w:sz w:val="20"/>
      <w:szCs w:val="20"/>
    </w:rPr>
  </w:style>
  <w:style w:type="paragraph" w:customStyle="1" w:styleId="AQIS2">
    <w:name w:val="AQIS2"/>
    <w:basedOn w:val="AQIS1"/>
    <w:uiPriority w:val="99"/>
    <w:rsid w:val="008163B6"/>
    <w:pPr>
      <w:pBdr>
        <w:bottom w:val="single" w:sz="8" w:space="1" w:color="auto"/>
      </w:pBdr>
      <w:spacing w:after="480"/>
    </w:pPr>
    <w:rPr>
      <w:sz w:val="26"/>
    </w:rPr>
  </w:style>
  <w:style w:type="paragraph" w:customStyle="1" w:styleId="AQIS1">
    <w:name w:val="AQIS1"/>
    <w:basedOn w:val="Normal"/>
    <w:next w:val="AQISText"/>
    <w:uiPriority w:val="99"/>
    <w:rsid w:val="008163B6"/>
    <w:pPr>
      <w:widowControl w:val="0"/>
      <w:pBdr>
        <w:bottom w:val="single" w:sz="4" w:space="1" w:color="auto"/>
      </w:pBdr>
      <w:spacing w:before="120" w:after="360" w:line="340" w:lineRule="atLeast"/>
      <w:jc w:val="right"/>
    </w:pPr>
    <w:rPr>
      <w:rFonts w:ascii="Arial" w:hAnsi="Arial"/>
      <w:b/>
      <w:caps/>
      <w:sz w:val="28"/>
      <w:szCs w:val="20"/>
    </w:rPr>
  </w:style>
  <w:style w:type="paragraph" w:styleId="BodyTextIndent3">
    <w:name w:val="Body Text Indent 3"/>
    <w:basedOn w:val="Normal"/>
    <w:link w:val="BodyTextIndent3Char"/>
    <w:uiPriority w:val="99"/>
    <w:rsid w:val="008163B6"/>
    <w:pPr>
      <w:ind w:left="1440" w:hanging="1440"/>
      <w:jc w:val="both"/>
    </w:pPr>
  </w:style>
  <w:style w:type="character" w:customStyle="1" w:styleId="BodyTextIndent3Char">
    <w:name w:val="Body Text Indent 3 Char"/>
    <w:basedOn w:val="DefaultParagraphFont"/>
    <w:link w:val="BodyTextIndent3"/>
    <w:uiPriority w:val="99"/>
    <w:rsid w:val="008163B6"/>
    <w:rPr>
      <w:rFonts w:ascii="Times New Roman" w:eastAsia="Times New Roman" w:hAnsi="Times New Roman"/>
      <w:sz w:val="24"/>
      <w:szCs w:val="24"/>
      <w:lang w:eastAsia="en-US"/>
    </w:rPr>
  </w:style>
  <w:style w:type="paragraph" w:customStyle="1" w:styleId="References">
    <w:name w:val="References"/>
    <w:basedOn w:val="BodyText"/>
    <w:link w:val="ReferencesChar"/>
    <w:uiPriority w:val="99"/>
    <w:rsid w:val="008163B6"/>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uiPriority w:val="99"/>
    <w:rsid w:val="008163B6"/>
  </w:style>
  <w:style w:type="paragraph" w:customStyle="1" w:styleId="para">
    <w:name w:val="para"/>
    <w:basedOn w:val="Normal"/>
    <w:next w:val="Normal"/>
    <w:uiPriority w:val="99"/>
    <w:rsid w:val="008163B6"/>
    <w:pPr>
      <w:spacing w:before="120" w:after="240"/>
    </w:pPr>
    <w:rPr>
      <w:szCs w:val="20"/>
    </w:rPr>
  </w:style>
  <w:style w:type="paragraph" w:styleId="BodyTextIndent2">
    <w:name w:val="Body Text Indent 2"/>
    <w:basedOn w:val="Normal"/>
    <w:link w:val="BodyTextIndent2Char"/>
    <w:uiPriority w:val="99"/>
    <w:rsid w:val="008163B6"/>
    <w:pPr>
      <w:spacing w:before="160" w:after="120" w:line="300" w:lineRule="atLeast"/>
      <w:ind w:left="1259" w:hanging="1259"/>
      <w:jc w:val="both"/>
    </w:pPr>
    <w:rPr>
      <w:rFonts w:ascii="Arial" w:hAnsi="Arial" w:cs="Arial"/>
      <w:b/>
      <w:bCs/>
    </w:rPr>
  </w:style>
  <w:style w:type="character" w:customStyle="1" w:styleId="BodyTextIndent2Char">
    <w:name w:val="Body Text Indent 2 Char"/>
    <w:basedOn w:val="DefaultParagraphFont"/>
    <w:link w:val="BodyTextIndent2"/>
    <w:uiPriority w:val="99"/>
    <w:rsid w:val="008163B6"/>
    <w:rPr>
      <w:rFonts w:ascii="Arial" w:eastAsia="Times New Roman" w:hAnsi="Arial" w:cs="Arial"/>
      <w:b/>
      <w:bCs/>
      <w:sz w:val="22"/>
      <w:szCs w:val="24"/>
      <w:lang w:eastAsia="en-US"/>
    </w:rPr>
  </w:style>
  <w:style w:type="paragraph" w:customStyle="1" w:styleId="AQIS5">
    <w:name w:val="AQIS5"/>
    <w:basedOn w:val="Normal"/>
    <w:next w:val="AQISText"/>
    <w:link w:val="AQIS5Char"/>
    <w:uiPriority w:val="99"/>
    <w:rsid w:val="008163B6"/>
    <w:pPr>
      <w:keepNext/>
      <w:keepLines/>
      <w:widowControl w:val="0"/>
      <w:spacing w:before="360" w:line="340" w:lineRule="atLeast"/>
    </w:pPr>
    <w:rPr>
      <w:rFonts w:ascii="Arial" w:hAnsi="Arial"/>
      <w:b/>
      <w:szCs w:val="20"/>
    </w:rPr>
  </w:style>
  <w:style w:type="paragraph" w:styleId="TOC4">
    <w:name w:val="toc 4"/>
    <w:basedOn w:val="Normal"/>
    <w:next w:val="Normal"/>
    <w:autoRedefine/>
    <w:uiPriority w:val="99"/>
    <w:semiHidden/>
    <w:rsid w:val="008163B6"/>
    <w:pPr>
      <w:tabs>
        <w:tab w:val="left" w:pos="1800"/>
        <w:tab w:val="right" w:leader="dot" w:pos="8755"/>
      </w:tabs>
      <w:spacing w:before="20" w:after="20" w:line="240" w:lineRule="atLeast"/>
      <w:ind w:left="1800" w:hanging="1080"/>
    </w:pPr>
    <w:rPr>
      <w:rFonts w:ascii="Helvetica" w:hAnsi="Helvetica"/>
      <w:i/>
      <w:sz w:val="20"/>
      <w:szCs w:val="20"/>
    </w:rPr>
  </w:style>
  <w:style w:type="paragraph" w:styleId="TOC5">
    <w:name w:val="toc 5"/>
    <w:basedOn w:val="Normal"/>
    <w:next w:val="Normal"/>
    <w:autoRedefine/>
    <w:uiPriority w:val="99"/>
    <w:semiHidden/>
    <w:rsid w:val="008163B6"/>
    <w:pPr>
      <w:tabs>
        <w:tab w:val="left" w:pos="2040"/>
        <w:tab w:val="right" w:leader="dot" w:pos="8755"/>
      </w:tabs>
      <w:ind w:left="960"/>
    </w:pPr>
    <w:rPr>
      <w:rFonts w:ascii="Arial" w:hAnsi="Arial" w:cs="Arial"/>
      <w:sz w:val="20"/>
      <w:szCs w:val="20"/>
    </w:rPr>
  </w:style>
  <w:style w:type="paragraph" w:styleId="TOC6">
    <w:name w:val="toc 6"/>
    <w:basedOn w:val="Normal"/>
    <w:next w:val="Normal"/>
    <w:autoRedefine/>
    <w:uiPriority w:val="99"/>
    <w:semiHidden/>
    <w:rsid w:val="008163B6"/>
    <w:pPr>
      <w:ind w:left="1200"/>
    </w:pPr>
  </w:style>
  <w:style w:type="paragraph" w:styleId="TOC7">
    <w:name w:val="toc 7"/>
    <w:basedOn w:val="Normal"/>
    <w:next w:val="Normal"/>
    <w:autoRedefine/>
    <w:uiPriority w:val="99"/>
    <w:semiHidden/>
    <w:rsid w:val="008163B6"/>
    <w:pPr>
      <w:ind w:left="1440"/>
    </w:pPr>
  </w:style>
  <w:style w:type="paragraph" w:styleId="TOC8">
    <w:name w:val="toc 8"/>
    <w:basedOn w:val="Normal"/>
    <w:next w:val="Normal"/>
    <w:autoRedefine/>
    <w:uiPriority w:val="99"/>
    <w:semiHidden/>
    <w:rsid w:val="008163B6"/>
    <w:pPr>
      <w:ind w:left="1680"/>
    </w:pPr>
  </w:style>
  <w:style w:type="paragraph" w:styleId="TOC9">
    <w:name w:val="toc 9"/>
    <w:basedOn w:val="Normal"/>
    <w:next w:val="Normal"/>
    <w:autoRedefine/>
    <w:uiPriority w:val="99"/>
    <w:semiHidden/>
    <w:rsid w:val="008163B6"/>
    <w:pPr>
      <w:ind w:left="1920"/>
    </w:pPr>
  </w:style>
  <w:style w:type="character" w:customStyle="1" w:styleId="goohl0">
    <w:name w:val="goohl0"/>
    <w:basedOn w:val="DefaultParagraphFont"/>
    <w:uiPriority w:val="99"/>
    <w:rsid w:val="008163B6"/>
  </w:style>
  <w:style w:type="character" w:customStyle="1" w:styleId="goohl1">
    <w:name w:val="goohl1"/>
    <w:basedOn w:val="DefaultParagraphFont"/>
    <w:uiPriority w:val="99"/>
    <w:rsid w:val="008163B6"/>
  </w:style>
  <w:style w:type="character" w:customStyle="1" w:styleId="goohl2">
    <w:name w:val="goohl2"/>
    <w:basedOn w:val="DefaultParagraphFont"/>
    <w:uiPriority w:val="99"/>
    <w:rsid w:val="008163B6"/>
  </w:style>
  <w:style w:type="character" w:customStyle="1" w:styleId="goohl3">
    <w:name w:val="goohl3"/>
    <w:basedOn w:val="DefaultParagraphFont"/>
    <w:uiPriority w:val="99"/>
    <w:rsid w:val="008163B6"/>
  </w:style>
  <w:style w:type="character" w:customStyle="1" w:styleId="homesmall">
    <w:name w:val="homesmall"/>
    <w:basedOn w:val="DefaultParagraphFont"/>
    <w:uiPriority w:val="99"/>
    <w:rsid w:val="008163B6"/>
  </w:style>
  <w:style w:type="paragraph" w:styleId="PlainText">
    <w:name w:val="Plain Text"/>
    <w:basedOn w:val="Normal"/>
    <w:link w:val="PlainTextChar"/>
    <w:uiPriority w:val="99"/>
    <w:rsid w:val="008163B6"/>
    <w:rPr>
      <w:rFonts w:ascii="Courier New" w:hAnsi="Courier New"/>
      <w:sz w:val="20"/>
      <w:szCs w:val="20"/>
    </w:rPr>
  </w:style>
  <w:style w:type="character" w:customStyle="1" w:styleId="PlainTextChar">
    <w:name w:val="Plain Text Char"/>
    <w:basedOn w:val="DefaultParagraphFont"/>
    <w:link w:val="PlainText"/>
    <w:uiPriority w:val="99"/>
    <w:rsid w:val="008163B6"/>
    <w:rPr>
      <w:rFonts w:ascii="Courier New" w:eastAsia="Times New Roman" w:hAnsi="Courier New"/>
      <w:lang w:eastAsia="en-US"/>
    </w:rPr>
  </w:style>
  <w:style w:type="paragraph" w:styleId="NormalIndent">
    <w:name w:val="Normal Indent"/>
    <w:basedOn w:val="Normal"/>
    <w:uiPriority w:val="99"/>
    <w:rsid w:val="008163B6"/>
    <w:pPr>
      <w:widowControl w:val="0"/>
      <w:spacing w:line="340" w:lineRule="atLeast"/>
      <w:ind w:left="720"/>
    </w:pPr>
    <w:rPr>
      <w:szCs w:val="20"/>
    </w:rPr>
  </w:style>
  <w:style w:type="paragraph" w:customStyle="1" w:styleId="DSUSubparaChar">
    <w:name w:val="DSU Sub para Char"/>
    <w:basedOn w:val="Normal"/>
    <w:rsid w:val="008163B6"/>
    <w:pPr>
      <w:numPr>
        <w:numId w:val="13"/>
      </w:numPr>
      <w:autoSpaceDE w:val="0"/>
      <w:autoSpaceDN w:val="0"/>
      <w:adjustRightInd w:val="0"/>
      <w:spacing w:before="240" w:after="240"/>
    </w:pPr>
    <w:rPr>
      <w:rFonts w:ascii="TimesNewRoman" w:eastAsia="SimSun" w:hAnsi="TimesNewRoman"/>
    </w:rPr>
  </w:style>
  <w:style w:type="paragraph" w:customStyle="1" w:styleId="Heading1Egypt">
    <w:name w:val="Heading 1 Egypt"/>
    <w:basedOn w:val="Heading4"/>
    <w:next w:val="AQISText"/>
    <w:autoRedefine/>
    <w:rsid w:val="008163B6"/>
    <w:pPr>
      <w:keepLines w:val="0"/>
      <w:widowControl w:val="0"/>
      <w:numPr>
        <w:numId w:val="14"/>
      </w:numPr>
      <w:tabs>
        <w:tab w:val="clear" w:pos="360"/>
        <w:tab w:val="num" w:pos="432"/>
      </w:tabs>
      <w:spacing w:before="240" w:after="60" w:line="340" w:lineRule="atLeast"/>
      <w:ind w:left="432" w:hanging="432"/>
    </w:pPr>
    <w:rPr>
      <w:rFonts w:ascii="Arial" w:hAnsi="Arial"/>
      <w:bCs w:val="0"/>
      <w:iCs w:val="0"/>
      <w:caps/>
      <w:sz w:val="28"/>
      <w:szCs w:val="20"/>
    </w:rPr>
  </w:style>
  <w:style w:type="paragraph" w:customStyle="1" w:styleId="Heading3Egypt">
    <w:name w:val="Heading 3 Egypt"/>
    <w:basedOn w:val="Heading2"/>
    <w:autoRedefine/>
    <w:rsid w:val="008163B6"/>
    <w:pPr>
      <w:keepLines w:val="0"/>
      <w:numPr>
        <w:ilvl w:val="2"/>
        <w:numId w:val="14"/>
      </w:numPr>
      <w:tabs>
        <w:tab w:val="left" w:pos="1134"/>
      </w:tabs>
      <w:spacing w:before="240" w:after="60"/>
    </w:pPr>
    <w:rPr>
      <w:rFonts w:ascii="Arial" w:hAnsi="Arial"/>
      <w:bCs w:val="0"/>
      <w:i/>
      <w:sz w:val="24"/>
      <w:szCs w:val="20"/>
    </w:rPr>
  </w:style>
  <w:style w:type="paragraph" w:customStyle="1" w:styleId="Heading2Egypt">
    <w:name w:val="Heading 2 Egypt"/>
    <w:basedOn w:val="Heading1Egypt"/>
    <w:next w:val="AQISText"/>
    <w:autoRedefine/>
    <w:rsid w:val="008163B6"/>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8163B6"/>
    <w:pPr>
      <w:keepNext/>
      <w:keepLines/>
      <w:widowControl w:val="0"/>
      <w:spacing w:before="360" w:line="340" w:lineRule="atLeast"/>
    </w:pPr>
    <w:rPr>
      <w:rFonts w:ascii="Arial" w:hAnsi="Arial"/>
      <w:b/>
      <w:szCs w:val="20"/>
    </w:rPr>
  </w:style>
  <w:style w:type="paragraph" w:customStyle="1" w:styleId="BAText1">
    <w:name w:val="BA Text 1"/>
    <w:basedOn w:val="Normal"/>
    <w:link w:val="BAText1Char"/>
    <w:rsid w:val="008163B6"/>
    <w:pPr>
      <w:spacing w:line="280" w:lineRule="atLeast"/>
      <w:jc w:val="both"/>
    </w:pPr>
    <w:rPr>
      <w:rFonts w:ascii="Times" w:hAnsi="Times"/>
    </w:rPr>
  </w:style>
  <w:style w:type="character" w:customStyle="1" w:styleId="BAText1Char">
    <w:name w:val="BA Text 1 Char"/>
    <w:basedOn w:val="DefaultParagraphFont"/>
    <w:link w:val="BAText1"/>
    <w:rsid w:val="008163B6"/>
    <w:rPr>
      <w:rFonts w:ascii="Times" w:eastAsia="Times New Roman" w:hAnsi="Times"/>
      <w:sz w:val="24"/>
      <w:szCs w:val="24"/>
      <w:lang w:eastAsia="en-US"/>
    </w:rPr>
  </w:style>
  <w:style w:type="paragraph" w:customStyle="1" w:styleId="BAText">
    <w:name w:val="BA Text"/>
    <w:basedOn w:val="Normal"/>
    <w:link w:val="BATextCharChar"/>
    <w:uiPriority w:val="99"/>
    <w:rsid w:val="008163B6"/>
    <w:pPr>
      <w:spacing w:after="120" w:line="260" w:lineRule="atLeast"/>
    </w:pPr>
    <w:rPr>
      <w:bCs/>
      <w:szCs w:val="20"/>
    </w:rPr>
  </w:style>
  <w:style w:type="character" w:customStyle="1" w:styleId="BATextCharChar">
    <w:name w:val="BA Text Char Char"/>
    <w:basedOn w:val="DefaultParagraphFont"/>
    <w:link w:val="BAText"/>
    <w:uiPriority w:val="99"/>
    <w:rsid w:val="008163B6"/>
    <w:rPr>
      <w:rFonts w:ascii="Times New Roman" w:eastAsia="Times New Roman" w:hAnsi="Times New Roman"/>
      <w:bCs/>
      <w:sz w:val="22"/>
      <w:lang w:eastAsia="en-US"/>
    </w:rPr>
  </w:style>
  <w:style w:type="paragraph" w:customStyle="1" w:styleId="BAText1bullet">
    <w:name w:val="BA Text 1 bullet"/>
    <w:basedOn w:val="BAText1"/>
    <w:link w:val="BAText1bulletChar"/>
    <w:uiPriority w:val="99"/>
    <w:rsid w:val="008163B6"/>
  </w:style>
  <w:style w:type="paragraph" w:customStyle="1" w:styleId="BAReftext1">
    <w:name w:val="BA Ref text 1"/>
    <w:basedOn w:val="Normal"/>
    <w:link w:val="BAReftext1Char"/>
    <w:uiPriority w:val="99"/>
    <w:rsid w:val="008163B6"/>
    <w:pPr>
      <w:tabs>
        <w:tab w:val="left" w:pos="360"/>
      </w:tabs>
      <w:spacing w:before="180" w:line="200" w:lineRule="atLeast"/>
      <w:ind w:left="357" w:hanging="357"/>
      <w:jc w:val="both"/>
    </w:pPr>
    <w:rPr>
      <w:rFonts w:ascii="Times" w:hAnsi="Times"/>
    </w:rPr>
  </w:style>
  <w:style w:type="character" w:customStyle="1" w:styleId="BAReftext1Char">
    <w:name w:val="BA Ref text 1 Char"/>
    <w:basedOn w:val="DefaultParagraphFont"/>
    <w:link w:val="BAReftext1"/>
    <w:uiPriority w:val="99"/>
    <w:rsid w:val="008163B6"/>
    <w:rPr>
      <w:rFonts w:ascii="Times" w:eastAsia="Times New Roman" w:hAnsi="Times"/>
      <w:sz w:val="24"/>
      <w:szCs w:val="22"/>
      <w:lang w:eastAsia="en-US"/>
    </w:rPr>
  </w:style>
  <w:style w:type="paragraph" w:customStyle="1" w:styleId="references0">
    <w:name w:val="references"/>
    <w:basedOn w:val="paraChar"/>
    <w:uiPriority w:val="99"/>
    <w:rsid w:val="008163B6"/>
    <w:pPr>
      <w:numPr>
        <w:numId w:val="0"/>
      </w:numPr>
      <w:tabs>
        <w:tab w:val="num" w:pos="567"/>
      </w:tabs>
      <w:ind w:left="851" w:hanging="851"/>
    </w:pPr>
  </w:style>
  <w:style w:type="paragraph" w:customStyle="1" w:styleId="paraChar">
    <w:name w:val="para Char"/>
    <w:basedOn w:val="Normal"/>
    <w:next w:val="Normal"/>
    <w:uiPriority w:val="99"/>
    <w:rsid w:val="008163B6"/>
    <w:pPr>
      <w:numPr>
        <w:numId w:val="15"/>
      </w:numPr>
      <w:tabs>
        <w:tab w:val="clear" w:pos="360"/>
      </w:tabs>
      <w:spacing w:before="120" w:after="240"/>
      <w:ind w:left="0" w:firstLine="0"/>
    </w:pPr>
    <w:rPr>
      <w:szCs w:val="20"/>
    </w:rPr>
  </w:style>
  <w:style w:type="character" w:customStyle="1" w:styleId="bigger1">
    <w:name w:val="bigger1"/>
    <w:basedOn w:val="DefaultParagraphFont"/>
    <w:uiPriority w:val="99"/>
    <w:rsid w:val="008163B6"/>
    <w:rPr>
      <w:sz w:val="27"/>
      <w:szCs w:val="27"/>
    </w:rPr>
  </w:style>
  <w:style w:type="paragraph" w:customStyle="1" w:styleId="fieldvalue">
    <w:name w:val="fieldvalue"/>
    <w:basedOn w:val="Normal"/>
    <w:uiPriority w:val="99"/>
    <w:rsid w:val="008163B6"/>
    <w:pPr>
      <w:spacing w:before="15" w:after="45"/>
      <w:ind w:right="90"/>
    </w:pPr>
    <w:rPr>
      <w:rFonts w:ascii="Verdana" w:hAnsi="Verdana"/>
      <w:color w:val="000000"/>
      <w:sz w:val="17"/>
      <w:szCs w:val="17"/>
    </w:rPr>
  </w:style>
  <w:style w:type="paragraph" w:customStyle="1" w:styleId="hangingnoindent">
    <w:name w:val="hangingnoindent"/>
    <w:basedOn w:val="Normal"/>
    <w:uiPriority w:val="99"/>
    <w:rsid w:val="008163B6"/>
    <w:pPr>
      <w:spacing w:after="120"/>
      <w:ind w:left="480" w:hanging="480"/>
    </w:pPr>
    <w:rPr>
      <w:sz w:val="19"/>
      <w:szCs w:val="19"/>
    </w:rPr>
  </w:style>
  <w:style w:type="paragraph" w:customStyle="1" w:styleId="AQISReferences">
    <w:name w:val="AQIS References"/>
    <w:basedOn w:val="Normal"/>
    <w:link w:val="AQISReferencesCharChar"/>
    <w:uiPriority w:val="99"/>
    <w:rsid w:val="008163B6"/>
    <w:pPr>
      <w:tabs>
        <w:tab w:val="left" w:pos="567"/>
        <w:tab w:val="left" w:pos="1134"/>
        <w:tab w:val="left" w:pos="1701"/>
        <w:tab w:val="left" w:pos="2268"/>
        <w:tab w:val="left" w:pos="2835"/>
        <w:tab w:val="left" w:pos="3402"/>
        <w:tab w:val="left" w:pos="3969"/>
      </w:tabs>
      <w:spacing w:after="120" w:line="288" w:lineRule="auto"/>
      <w:ind w:left="284" w:hanging="284"/>
    </w:pPr>
  </w:style>
  <w:style w:type="character" w:customStyle="1" w:styleId="AQISReferencesCharChar">
    <w:name w:val="AQIS References Char Char"/>
    <w:basedOn w:val="DefaultParagraphFont"/>
    <w:link w:val="AQISReferences"/>
    <w:uiPriority w:val="99"/>
    <w:rsid w:val="008163B6"/>
    <w:rPr>
      <w:rFonts w:ascii="Times New Roman" w:eastAsia="Times New Roman" w:hAnsi="Times New Roman"/>
      <w:sz w:val="24"/>
      <w:szCs w:val="24"/>
      <w:lang w:eastAsia="en-US"/>
    </w:rPr>
  </w:style>
  <w:style w:type="paragraph" w:customStyle="1" w:styleId="AQISFigure">
    <w:name w:val="AQIS Figure"/>
    <w:basedOn w:val="AQISText"/>
    <w:next w:val="AQISText"/>
    <w:uiPriority w:val="99"/>
    <w:rsid w:val="008163B6"/>
    <w:pPr>
      <w:widowControl/>
      <w:tabs>
        <w:tab w:val="left" w:pos="1134"/>
        <w:tab w:val="left" w:pos="1418"/>
      </w:tabs>
      <w:adjustRightInd/>
      <w:spacing w:before="360" w:after="360"/>
      <w:jc w:val="center"/>
      <w:textAlignment w:val="auto"/>
    </w:pPr>
    <w:rPr>
      <w:rFonts w:ascii="Arial" w:hAnsi="Arial"/>
      <w:b/>
    </w:rPr>
  </w:style>
  <w:style w:type="character" w:customStyle="1" w:styleId="BAHeader3CharChar">
    <w:name w:val="BA Header 3 Char Char"/>
    <w:basedOn w:val="DefaultParagraphFont"/>
    <w:link w:val="BAHeader3"/>
    <w:rsid w:val="008163B6"/>
    <w:rPr>
      <w:rFonts w:ascii="Arial" w:eastAsiaTheme="minorHAnsi" w:hAnsi="Arial" w:cstheme="minorBidi"/>
      <w:b/>
      <w:sz w:val="22"/>
      <w:szCs w:val="22"/>
      <w:lang w:eastAsia="en-US"/>
    </w:rPr>
  </w:style>
  <w:style w:type="paragraph" w:customStyle="1" w:styleId="Bulletsingle">
    <w:name w:val="Bullet (single)"/>
    <w:basedOn w:val="Normal"/>
    <w:uiPriority w:val="99"/>
    <w:rsid w:val="008163B6"/>
    <w:pPr>
      <w:widowControl w:val="0"/>
      <w:numPr>
        <w:numId w:val="16"/>
      </w:numPr>
      <w:spacing w:before="60" w:line="340" w:lineRule="atLeast"/>
    </w:pPr>
    <w:rPr>
      <w:szCs w:val="20"/>
    </w:rPr>
  </w:style>
  <w:style w:type="paragraph" w:customStyle="1" w:styleId="dot0">
    <w:name w:val="dot"/>
    <w:basedOn w:val="Normal"/>
    <w:rsid w:val="008163B6"/>
    <w:pPr>
      <w:numPr>
        <w:numId w:val="29"/>
      </w:numPr>
    </w:pPr>
  </w:style>
  <w:style w:type="paragraph" w:customStyle="1" w:styleId="aqisnum0">
    <w:name w:val="aqisnum"/>
    <w:basedOn w:val="Normal"/>
    <w:uiPriority w:val="99"/>
    <w:rsid w:val="008163B6"/>
    <w:pPr>
      <w:spacing w:before="100" w:beforeAutospacing="1" w:after="100" w:afterAutospacing="1"/>
    </w:pPr>
  </w:style>
  <w:style w:type="table" w:styleId="TableSimple1">
    <w:name w:val="Table Simple 1"/>
    <w:basedOn w:val="TableNormal"/>
    <w:uiPriority w:val="99"/>
    <w:rsid w:val="008163B6"/>
    <w:pPr>
      <w:widowControl w:val="0"/>
      <w:spacing w:line="340" w:lineRule="atLeast"/>
    </w:pPr>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basedOn w:val="DefaultParagraphFont"/>
    <w:uiPriority w:val="99"/>
    <w:rsid w:val="008163B6"/>
    <w:rPr>
      <w:rFonts w:ascii="arial sans-serif small" w:hAnsi="arial sans-serif small" w:hint="default"/>
      <w:color w:val="333333"/>
      <w:sz w:val="20"/>
      <w:szCs w:val="20"/>
    </w:rPr>
  </w:style>
  <w:style w:type="paragraph" w:customStyle="1" w:styleId="AppendixHeading1">
    <w:name w:val="Appendix Heading 1."/>
    <w:basedOn w:val="Heading1"/>
    <w:next w:val="Normal"/>
    <w:uiPriority w:val="99"/>
    <w:rsid w:val="008163B6"/>
    <w:pPr>
      <w:keepNext w:val="0"/>
      <w:keepLines w:val="0"/>
      <w:pageBreakBefore w:val="0"/>
      <w:widowControl w:val="0"/>
      <w:numPr>
        <w:numId w:val="17"/>
      </w:numPr>
      <w:pBdr>
        <w:bottom w:val="single" w:sz="4" w:space="1" w:color="auto"/>
      </w:pBdr>
      <w:tabs>
        <w:tab w:val="left" w:pos="1980"/>
      </w:tabs>
      <w:spacing w:before="120" w:after="360" w:line="340" w:lineRule="atLeast"/>
      <w:jc w:val="both"/>
    </w:pPr>
    <w:rPr>
      <w:rFonts w:ascii="Arial" w:hAnsi="Arial"/>
      <w:b/>
      <w:bCs w:val="0"/>
      <w:color w:val="auto"/>
      <w:sz w:val="28"/>
    </w:rPr>
  </w:style>
  <w:style w:type="paragraph" w:customStyle="1" w:styleId="Char1">
    <w:name w:val="Char1"/>
    <w:basedOn w:val="Normal"/>
    <w:uiPriority w:val="99"/>
    <w:rsid w:val="008163B6"/>
    <w:rPr>
      <w:rFonts w:ascii="Arial" w:hAnsi="Arial"/>
      <w:szCs w:val="20"/>
    </w:rPr>
  </w:style>
  <w:style w:type="paragraph" w:customStyle="1" w:styleId="BAAppend1">
    <w:name w:val="BA Append 1"/>
    <w:basedOn w:val="BAHeader1"/>
    <w:uiPriority w:val="99"/>
    <w:rsid w:val="008163B6"/>
    <w:pPr>
      <w:numPr>
        <w:numId w:val="0"/>
      </w:numPr>
    </w:pPr>
  </w:style>
  <w:style w:type="paragraph" w:customStyle="1" w:styleId="BAFigureHeading">
    <w:name w:val="BA Figure Heading"/>
    <w:basedOn w:val="Normal"/>
    <w:autoRedefine/>
    <w:uiPriority w:val="99"/>
    <w:rsid w:val="008163B6"/>
    <w:pPr>
      <w:spacing w:before="60" w:after="60"/>
    </w:pPr>
    <w:rPr>
      <w:rFonts w:ascii="Arial" w:hAnsi="Arial"/>
      <w:b/>
      <w:bCs/>
    </w:rPr>
  </w:style>
  <w:style w:type="character" w:customStyle="1" w:styleId="BAHeader1CharChar">
    <w:name w:val="BA Header 1 Char Char"/>
    <w:basedOn w:val="DefaultParagraphFont"/>
    <w:link w:val="BAHeader1"/>
    <w:rsid w:val="008163B6"/>
    <w:rPr>
      <w:rFonts w:ascii="Arial" w:eastAsiaTheme="minorHAnsi" w:hAnsi="Arial" w:cstheme="minorBidi"/>
      <w:b/>
      <w:sz w:val="28"/>
      <w:szCs w:val="28"/>
      <w:lang w:eastAsia="en-US"/>
    </w:rPr>
  </w:style>
  <w:style w:type="paragraph" w:customStyle="1" w:styleId="Headernonumb">
    <w:name w:val="Header no numb"/>
    <w:basedOn w:val="BAHeader1"/>
    <w:uiPriority w:val="99"/>
    <w:rsid w:val="008163B6"/>
    <w:pPr>
      <w:numPr>
        <w:numId w:val="0"/>
      </w:numPr>
    </w:pPr>
  </w:style>
  <w:style w:type="paragraph" w:customStyle="1" w:styleId="NormalBulletafter">
    <w:name w:val="Normal Bullet after"/>
    <w:basedOn w:val="Normal"/>
    <w:uiPriority w:val="99"/>
    <w:rsid w:val="008163B6"/>
    <w:pPr>
      <w:spacing w:after="120"/>
    </w:pPr>
  </w:style>
  <w:style w:type="numbering" w:customStyle="1" w:styleId="Bullet">
    <w:name w:val="Bullet"/>
    <w:basedOn w:val="NoList"/>
    <w:link w:val="BulletChar"/>
    <w:rsid w:val="008163B6"/>
    <w:pPr>
      <w:numPr>
        <w:numId w:val="18"/>
      </w:numPr>
    </w:pPr>
  </w:style>
  <w:style w:type="paragraph" w:customStyle="1" w:styleId="Bulletlast">
    <w:name w:val="Bullet last"/>
    <w:basedOn w:val="Normal"/>
    <w:uiPriority w:val="99"/>
    <w:rsid w:val="008163B6"/>
    <w:pPr>
      <w:numPr>
        <w:numId w:val="19"/>
      </w:numPr>
      <w:spacing w:after="240"/>
    </w:pPr>
  </w:style>
  <w:style w:type="character" w:customStyle="1" w:styleId="bluetitle">
    <w:name w:val="bluetitle"/>
    <w:basedOn w:val="DefaultParagraphFont"/>
    <w:uiPriority w:val="99"/>
    <w:rsid w:val="008163B6"/>
  </w:style>
  <w:style w:type="paragraph" w:customStyle="1" w:styleId="BATableheader">
    <w:name w:val="BA Table header"/>
    <w:basedOn w:val="AQISText"/>
    <w:next w:val="AQISText"/>
    <w:rsid w:val="008163B6"/>
    <w:pPr>
      <w:widowControl/>
      <w:tabs>
        <w:tab w:val="num" w:pos="1134"/>
      </w:tabs>
      <w:adjustRightInd/>
      <w:spacing w:before="360" w:after="60"/>
      <w:ind w:left="1134" w:hanging="1134"/>
      <w:jc w:val="left"/>
      <w:textAlignment w:val="auto"/>
    </w:pPr>
    <w:rPr>
      <w:rFonts w:ascii="Arial" w:hAnsi="Arial"/>
      <w:b/>
    </w:rPr>
  </w:style>
  <w:style w:type="paragraph" w:customStyle="1" w:styleId="BAHeader4">
    <w:name w:val="BA Header 4"/>
    <w:link w:val="BAHeader4CharChar"/>
    <w:rsid w:val="008163B6"/>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uiPriority w:val="99"/>
    <w:rsid w:val="008163B6"/>
    <w:pPr>
      <w:numPr>
        <w:ilvl w:val="0"/>
        <w:numId w:val="0"/>
      </w:numPr>
      <w:tabs>
        <w:tab w:val="num" w:pos="1620"/>
      </w:tabs>
      <w:outlineLvl w:val="9"/>
    </w:pPr>
    <w:rPr>
      <w:sz w:val="20"/>
      <w:szCs w:val="20"/>
      <w:u w:val="single"/>
    </w:rPr>
  </w:style>
  <w:style w:type="paragraph" w:customStyle="1" w:styleId="Heading2a">
    <w:name w:val="Heading 2a"/>
    <w:basedOn w:val="Heading2"/>
    <w:uiPriority w:val="99"/>
    <w:rsid w:val="008163B6"/>
    <w:pPr>
      <w:keepLines w:val="0"/>
      <w:overflowPunct w:val="0"/>
      <w:autoSpaceDE w:val="0"/>
      <w:autoSpaceDN w:val="0"/>
      <w:adjustRightInd w:val="0"/>
      <w:spacing w:before="360" w:after="120" w:line="340" w:lineRule="atLeast"/>
      <w:textAlignment w:val="baseline"/>
      <w:outlineLvl w:val="9"/>
    </w:pPr>
    <w:rPr>
      <w:rFonts w:ascii="Arial" w:hAnsi="Arial" w:cs="Arial"/>
      <w:color w:val="000000"/>
      <w:sz w:val="28"/>
      <w:szCs w:val="20"/>
    </w:rPr>
  </w:style>
  <w:style w:type="paragraph" w:customStyle="1" w:styleId="BodyIndent">
    <w:name w:val="BodyIndent"/>
    <w:basedOn w:val="Normal"/>
    <w:uiPriority w:val="99"/>
    <w:rsid w:val="008163B6"/>
    <w:pPr>
      <w:numPr>
        <w:numId w:val="20"/>
      </w:numPr>
      <w:tabs>
        <w:tab w:val="left" w:pos="567"/>
        <w:tab w:val="left" w:pos="1134"/>
        <w:tab w:val="left" w:pos="1701"/>
        <w:tab w:val="left" w:pos="2268"/>
        <w:tab w:val="left" w:pos="2835"/>
        <w:tab w:val="left" w:pos="3402"/>
        <w:tab w:val="left" w:pos="3969"/>
      </w:tabs>
      <w:spacing w:before="120" w:after="120"/>
      <w:jc w:val="both"/>
    </w:pPr>
    <w:rPr>
      <w:szCs w:val="20"/>
    </w:rPr>
  </w:style>
  <w:style w:type="character" w:customStyle="1" w:styleId="BAHeader5Char">
    <w:name w:val="BA Header 5 Char"/>
    <w:basedOn w:val="DefaultParagraphFont"/>
    <w:link w:val="BAHeader5"/>
    <w:uiPriority w:val="99"/>
    <w:rsid w:val="008163B6"/>
    <w:rPr>
      <w:rFonts w:ascii="Arial" w:eastAsia="Times New Roman" w:hAnsi="Arial"/>
      <w:b/>
      <w:u w:val="single"/>
      <w:lang w:eastAsia="en-US"/>
    </w:rPr>
  </w:style>
  <w:style w:type="character" w:customStyle="1" w:styleId="BAHeader4CharChar">
    <w:name w:val="BA Header 4 Char Char"/>
    <w:basedOn w:val="BAHeader3CharChar"/>
    <w:link w:val="BAHeader4"/>
    <w:locked/>
    <w:rsid w:val="008163B6"/>
    <w:rPr>
      <w:rFonts w:ascii="Times New Roman" w:eastAsia="Times New Roman" w:hAnsi="Times New Roman" w:cstheme="minorBidi"/>
      <w:b/>
      <w:sz w:val="24"/>
      <w:szCs w:val="22"/>
      <w:lang w:eastAsia="en-US"/>
    </w:rPr>
  </w:style>
  <w:style w:type="paragraph" w:customStyle="1" w:styleId="FigureName">
    <w:name w:val="FigureName"/>
    <w:basedOn w:val="Normal"/>
    <w:uiPriority w:val="99"/>
    <w:rsid w:val="008163B6"/>
    <w:pPr>
      <w:keepNext/>
      <w:keepLines/>
      <w:tabs>
        <w:tab w:val="left" w:pos="1276"/>
      </w:tabs>
      <w:spacing w:before="360" w:after="360" w:line="240" w:lineRule="atLeast"/>
      <w:ind w:left="1276" w:hanging="1276"/>
      <w:outlineLvl w:val="8"/>
    </w:pPr>
    <w:rPr>
      <w:rFonts w:ascii="Arial" w:hAnsi="Arial"/>
      <w:b/>
      <w:color w:val="000000"/>
    </w:rPr>
  </w:style>
  <w:style w:type="paragraph" w:customStyle="1" w:styleId="TableName">
    <w:name w:val="TableName"/>
    <w:basedOn w:val="Normal"/>
    <w:rsid w:val="008163B6"/>
    <w:pPr>
      <w:keepNext/>
      <w:keepLines/>
      <w:tabs>
        <w:tab w:val="left" w:pos="1440"/>
      </w:tabs>
      <w:spacing w:before="240" w:after="120"/>
      <w:ind w:left="1440" w:hanging="1440"/>
    </w:pPr>
    <w:rPr>
      <w:rFonts w:ascii="Arial Bold" w:hAnsi="Arial Bold"/>
      <w:b/>
      <w:color w:val="000000"/>
    </w:rPr>
  </w:style>
  <w:style w:type="character" w:customStyle="1" w:styleId="nlmyear">
    <w:name w:val="nlm_year"/>
    <w:basedOn w:val="DefaultParagraphFont"/>
    <w:uiPriority w:val="99"/>
    <w:rsid w:val="008163B6"/>
  </w:style>
  <w:style w:type="character" w:customStyle="1" w:styleId="citationsource-book1">
    <w:name w:val="citation_source-book1"/>
    <w:basedOn w:val="DefaultParagraphFont"/>
    <w:uiPriority w:val="99"/>
    <w:rsid w:val="008163B6"/>
    <w:rPr>
      <w:i/>
      <w:iCs/>
    </w:rPr>
  </w:style>
  <w:style w:type="character" w:customStyle="1" w:styleId="nlmpublisher-name">
    <w:name w:val="nlm_publisher-name"/>
    <w:basedOn w:val="DefaultParagraphFont"/>
    <w:uiPriority w:val="99"/>
    <w:rsid w:val="008163B6"/>
  </w:style>
  <w:style w:type="character" w:customStyle="1" w:styleId="nlmpublisher-loc">
    <w:name w:val="nlm_publisher-loc"/>
    <w:basedOn w:val="DefaultParagraphFont"/>
    <w:uiPriority w:val="99"/>
    <w:rsid w:val="008163B6"/>
  </w:style>
  <w:style w:type="character" w:customStyle="1" w:styleId="nlmarticle-title">
    <w:name w:val="nlm_article-title"/>
    <w:basedOn w:val="DefaultParagraphFont"/>
    <w:uiPriority w:val="99"/>
    <w:rsid w:val="008163B6"/>
  </w:style>
  <w:style w:type="character" w:customStyle="1" w:styleId="citationsource-journal1">
    <w:name w:val="citation_source-journal1"/>
    <w:basedOn w:val="DefaultParagraphFont"/>
    <w:uiPriority w:val="99"/>
    <w:rsid w:val="008163B6"/>
    <w:rPr>
      <w:i/>
      <w:iCs/>
    </w:rPr>
  </w:style>
  <w:style w:type="character" w:customStyle="1" w:styleId="nlmfpage">
    <w:name w:val="nlm_fpage"/>
    <w:basedOn w:val="DefaultParagraphFont"/>
    <w:uiPriority w:val="99"/>
    <w:rsid w:val="008163B6"/>
  </w:style>
  <w:style w:type="character" w:customStyle="1" w:styleId="nlmlpage">
    <w:name w:val="nlm_lpage"/>
    <w:basedOn w:val="DefaultParagraphFont"/>
    <w:uiPriority w:val="99"/>
    <w:rsid w:val="008163B6"/>
  </w:style>
  <w:style w:type="paragraph" w:customStyle="1" w:styleId="CharChar1Char">
    <w:name w:val="Char Char1 Char"/>
    <w:basedOn w:val="Normal"/>
    <w:uiPriority w:val="99"/>
    <w:rsid w:val="008163B6"/>
    <w:rPr>
      <w:rFonts w:ascii="Arial" w:hAnsi="Arial"/>
      <w:szCs w:val="20"/>
    </w:rPr>
  </w:style>
  <w:style w:type="paragraph" w:customStyle="1" w:styleId="A1Heading1">
    <w:name w:val="A1Heading 1"/>
    <w:basedOn w:val="Heading1"/>
    <w:link w:val="A1Heading1Char"/>
    <w:uiPriority w:val="99"/>
    <w:rsid w:val="008163B6"/>
    <w:pPr>
      <w:keepLines w:val="0"/>
      <w:pageBreakBefore w:val="0"/>
      <w:numPr>
        <w:numId w:val="21"/>
      </w:numPr>
      <w:tabs>
        <w:tab w:val="left" w:pos="1276"/>
      </w:tabs>
      <w:spacing w:before="300"/>
    </w:pPr>
    <w:rPr>
      <w:rFonts w:ascii="Arial" w:hAnsi="Arial"/>
      <w:b/>
      <w:color w:val="auto"/>
      <w:sz w:val="28"/>
      <w:szCs w:val="20"/>
    </w:rPr>
  </w:style>
  <w:style w:type="character" w:customStyle="1" w:styleId="A1Heading1Char">
    <w:name w:val="A1Heading 1 Char"/>
    <w:basedOn w:val="DefaultParagraphFont"/>
    <w:link w:val="A1Heading1"/>
    <w:uiPriority w:val="99"/>
    <w:rsid w:val="008163B6"/>
    <w:rPr>
      <w:rFonts w:ascii="Arial" w:eastAsiaTheme="minorHAnsi" w:hAnsi="Arial" w:cstheme="minorBidi"/>
      <w:b/>
      <w:bCs/>
      <w:sz w:val="28"/>
      <w:lang w:eastAsia="en-US"/>
    </w:rPr>
  </w:style>
  <w:style w:type="paragraph" w:customStyle="1" w:styleId="A1Heading2">
    <w:name w:val="A1Heading 2"/>
    <w:basedOn w:val="Heading2"/>
    <w:uiPriority w:val="99"/>
    <w:rsid w:val="008163B6"/>
    <w:pPr>
      <w:keepLines w:val="0"/>
      <w:numPr>
        <w:numId w:val="21"/>
      </w:numPr>
      <w:spacing w:before="360" w:after="120"/>
      <w:jc w:val="both"/>
    </w:pPr>
    <w:rPr>
      <w:rFonts w:ascii="Arial" w:hAnsi="Arial"/>
      <w:b w:val="0"/>
      <w:bCs w:val="0"/>
      <w:sz w:val="28"/>
      <w:szCs w:val="20"/>
    </w:rPr>
  </w:style>
  <w:style w:type="paragraph" w:customStyle="1" w:styleId="A1Heading3">
    <w:name w:val="A1Heading 3"/>
    <w:basedOn w:val="Heading3"/>
    <w:uiPriority w:val="99"/>
    <w:rsid w:val="008163B6"/>
    <w:pPr>
      <w:tabs>
        <w:tab w:val="num" w:pos="432"/>
      </w:tabs>
      <w:spacing w:before="120" w:after="120"/>
      <w:ind w:left="432" w:hanging="432"/>
    </w:pPr>
    <w:rPr>
      <w:bCs w:val="0"/>
      <w:sz w:val="24"/>
      <w:szCs w:val="20"/>
    </w:rPr>
  </w:style>
  <w:style w:type="paragraph" w:customStyle="1" w:styleId="Style1dotpoints">
    <w:name w:val="Style1dotpoints"/>
    <w:basedOn w:val="Normal"/>
    <w:uiPriority w:val="99"/>
    <w:rsid w:val="008163B6"/>
    <w:pPr>
      <w:numPr>
        <w:numId w:val="22"/>
      </w:numPr>
      <w:spacing w:before="160"/>
      <w:ind w:left="714" w:hanging="357"/>
      <w:jc w:val="both"/>
    </w:pPr>
    <w:rPr>
      <w:b/>
      <w:szCs w:val="20"/>
    </w:rPr>
  </w:style>
  <w:style w:type="paragraph" w:customStyle="1" w:styleId="StyleBAHeader116ptLeft0cmFirstline0cm">
    <w:name w:val="Style BA Header 1 + 16 pt Left:  0 cm First line:  0 cm"/>
    <w:basedOn w:val="Normal"/>
    <w:uiPriority w:val="99"/>
    <w:rsid w:val="008163B6"/>
    <w:pPr>
      <w:pageBreakBefore/>
      <w:widowControl w:val="0"/>
      <w:numPr>
        <w:numId w:val="23"/>
      </w:numPr>
      <w:pBdr>
        <w:bottom w:val="single" w:sz="4" w:space="1" w:color="auto"/>
      </w:pBdr>
      <w:spacing w:before="120" w:after="360" w:line="340" w:lineRule="atLeast"/>
      <w:outlineLvl w:val="0"/>
    </w:pPr>
    <w:rPr>
      <w:rFonts w:ascii="Arial" w:hAnsi="Arial"/>
      <w:b/>
      <w:bCs/>
      <w:sz w:val="32"/>
      <w:szCs w:val="20"/>
    </w:rPr>
  </w:style>
  <w:style w:type="character" w:customStyle="1" w:styleId="info1">
    <w:name w:val="info1"/>
    <w:basedOn w:val="DefaultParagraphFont"/>
    <w:uiPriority w:val="99"/>
    <w:rsid w:val="008163B6"/>
    <w:rPr>
      <w:rFonts w:ascii="arial sans-serif" w:hAnsi="arial sans-serif" w:hint="default"/>
      <w:color w:val="000000"/>
      <w:sz w:val="20"/>
      <w:szCs w:val="20"/>
    </w:rPr>
  </w:style>
  <w:style w:type="character" w:customStyle="1" w:styleId="listnote1">
    <w:name w:val="listnote1"/>
    <w:basedOn w:val="DefaultParagraphFont"/>
    <w:uiPriority w:val="99"/>
    <w:rsid w:val="008163B6"/>
    <w:rPr>
      <w:rFonts w:ascii="arial sans-serif" w:hAnsi="arial sans-serif" w:hint="default"/>
      <w:i/>
      <w:iCs/>
      <w:sz w:val="20"/>
      <w:szCs w:val="20"/>
    </w:rPr>
  </w:style>
  <w:style w:type="paragraph" w:customStyle="1" w:styleId="PARAGSUIVANT">
    <w:name w:val="PARAG. SUIVANT"/>
    <w:basedOn w:val="Default"/>
    <w:next w:val="Default"/>
    <w:uiPriority w:val="99"/>
    <w:rsid w:val="008163B6"/>
    <w:rPr>
      <w:color w:val="auto"/>
    </w:rPr>
  </w:style>
  <w:style w:type="character" w:customStyle="1" w:styleId="BAText1bulletChar">
    <w:name w:val="BA Text 1 bullet Char"/>
    <w:basedOn w:val="BAText1Char"/>
    <w:link w:val="BAText1bullet"/>
    <w:uiPriority w:val="99"/>
    <w:locked/>
    <w:rsid w:val="008163B6"/>
    <w:rPr>
      <w:rFonts w:ascii="Times" w:eastAsia="Times New Roman" w:hAnsi="Times"/>
      <w:sz w:val="24"/>
      <w:szCs w:val="22"/>
      <w:lang w:eastAsia="en-US"/>
    </w:rPr>
  </w:style>
  <w:style w:type="paragraph" w:customStyle="1" w:styleId="text-body">
    <w:name w:val="text-body"/>
    <w:basedOn w:val="Normal"/>
    <w:uiPriority w:val="99"/>
    <w:rsid w:val="008163B6"/>
    <w:pPr>
      <w:spacing w:before="100" w:beforeAutospacing="1" w:after="100" w:afterAutospacing="1"/>
    </w:pPr>
    <w:rPr>
      <w:rFonts w:ascii="Arial" w:hAnsi="Arial" w:cs="Arial"/>
      <w:sz w:val="18"/>
      <w:szCs w:val="18"/>
    </w:rPr>
  </w:style>
  <w:style w:type="character" w:customStyle="1" w:styleId="text-body1">
    <w:name w:val="text-body1"/>
    <w:basedOn w:val="DefaultParagraphFont"/>
    <w:uiPriority w:val="99"/>
    <w:rsid w:val="008163B6"/>
    <w:rPr>
      <w:rFonts w:ascii="Arial" w:hAnsi="Arial" w:cs="Arial" w:hint="default"/>
      <w:b w:val="0"/>
      <w:bCs w:val="0"/>
      <w:strike w:val="0"/>
      <w:dstrike w:val="0"/>
      <w:sz w:val="18"/>
      <w:szCs w:val="18"/>
      <w:u w:val="none"/>
      <w:effect w:val="none"/>
    </w:rPr>
  </w:style>
  <w:style w:type="character" w:customStyle="1" w:styleId="BulletChar">
    <w:name w:val="Bullet Char"/>
    <w:basedOn w:val="DefaultParagraphFont"/>
    <w:link w:val="Bullet"/>
    <w:rsid w:val="008163B6"/>
    <w:rPr>
      <w:color w:val="000000"/>
      <w:sz w:val="24"/>
      <w:szCs w:val="24"/>
      <w:lang w:eastAsia="en-US"/>
    </w:rPr>
  </w:style>
  <w:style w:type="paragraph" w:customStyle="1" w:styleId="Heading1appendix">
    <w:name w:val="Heading 1 (appendix)"/>
    <w:basedOn w:val="Normal"/>
    <w:uiPriority w:val="99"/>
    <w:rsid w:val="008163B6"/>
    <w:pPr>
      <w:keepNext/>
      <w:pageBreakBefore/>
      <w:widowControl w:val="0"/>
      <w:pBdr>
        <w:bottom w:val="single" w:sz="4" w:space="1" w:color="auto"/>
      </w:pBdr>
      <w:tabs>
        <w:tab w:val="num" w:pos="2160"/>
      </w:tabs>
      <w:spacing w:before="120" w:after="360" w:line="340" w:lineRule="atLeast"/>
      <w:ind w:left="2160" w:right="-230" w:hanging="2160"/>
      <w:outlineLvl w:val="0"/>
    </w:pPr>
    <w:rPr>
      <w:rFonts w:ascii="Arial" w:hAnsi="Arial"/>
      <w:b/>
      <w:color w:val="000000"/>
      <w:sz w:val="28"/>
      <w:szCs w:val="28"/>
    </w:rPr>
  </w:style>
  <w:style w:type="character" w:customStyle="1" w:styleId="Italiccharacters">
    <w:name w:val="Italic characters"/>
    <w:basedOn w:val="DefaultParagraphFont"/>
    <w:uiPriority w:val="99"/>
    <w:rsid w:val="008163B6"/>
    <w:rPr>
      <w:sz w:val="22"/>
      <w:lang w:val="en-AU" w:eastAsia="en-US" w:bidi="ar-SA"/>
    </w:rPr>
  </w:style>
  <w:style w:type="paragraph" w:customStyle="1" w:styleId="Heading2b">
    <w:name w:val="Heading 2b"/>
    <w:basedOn w:val="Normal"/>
    <w:uiPriority w:val="99"/>
    <w:rsid w:val="008163B6"/>
    <w:pPr>
      <w:widowControl w:val="0"/>
      <w:pBdr>
        <w:bottom w:val="single" w:sz="4" w:space="1" w:color="auto"/>
      </w:pBdr>
      <w:spacing w:before="120" w:after="360" w:line="340" w:lineRule="atLeast"/>
      <w:outlineLvl w:val="0"/>
    </w:pPr>
    <w:rPr>
      <w:rFonts w:ascii="Arial" w:hAnsi="Arial"/>
      <w:b/>
      <w:color w:val="000000"/>
      <w:sz w:val="28"/>
      <w:szCs w:val="28"/>
    </w:rPr>
  </w:style>
  <w:style w:type="paragraph" w:customStyle="1" w:styleId="Dash">
    <w:name w:val="Dash"/>
    <w:basedOn w:val="Normal"/>
    <w:uiPriority w:val="99"/>
    <w:rsid w:val="008163B6"/>
    <w:pPr>
      <w:numPr>
        <w:numId w:val="24"/>
      </w:numPr>
      <w:tabs>
        <w:tab w:val="clear" w:pos="1440"/>
        <w:tab w:val="num" w:pos="720"/>
      </w:tabs>
      <w:spacing w:after="180" w:line="275" w:lineRule="atLeast"/>
      <w:ind w:left="720"/>
    </w:pPr>
    <w:rPr>
      <w:color w:val="000000"/>
    </w:rPr>
  </w:style>
  <w:style w:type="paragraph" w:customStyle="1" w:styleId="TableHeadings">
    <w:name w:val="TableHeadings"/>
    <w:basedOn w:val="TableText0"/>
    <w:uiPriority w:val="99"/>
    <w:rsid w:val="008163B6"/>
    <w:pPr>
      <w:spacing w:before="40"/>
    </w:pPr>
    <w:rPr>
      <w:rFonts w:ascii="Arial" w:hAnsi="Arial"/>
      <w:b/>
    </w:rPr>
  </w:style>
  <w:style w:type="paragraph" w:customStyle="1" w:styleId="Body">
    <w:name w:val="Body"/>
    <w:basedOn w:val="Normal"/>
    <w:link w:val="BodyChar"/>
    <w:uiPriority w:val="99"/>
    <w:qFormat/>
    <w:rsid w:val="008163B6"/>
    <w:pPr>
      <w:spacing w:before="120"/>
      <w:jc w:val="both"/>
    </w:pPr>
    <w:rPr>
      <w:szCs w:val="20"/>
    </w:rPr>
  </w:style>
  <w:style w:type="paragraph" w:customStyle="1" w:styleId="mainheading">
    <w:name w:val="mainheading"/>
    <w:basedOn w:val="Normal"/>
    <w:uiPriority w:val="99"/>
    <w:rsid w:val="008163B6"/>
    <w:pPr>
      <w:spacing w:before="100" w:beforeAutospacing="1" w:after="100" w:afterAutospacing="1"/>
    </w:pPr>
    <w:rPr>
      <w:sz w:val="19"/>
      <w:szCs w:val="19"/>
    </w:rPr>
  </w:style>
  <w:style w:type="character" w:customStyle="1" w:styleId="taxoclass">
    <w:name w:val="taxoclass"/>
    <w:basedOn w:val="DefaultParagraphFont"/>
    <w:uiPriority w:val="99"/>
    <w:rsid w:val="008163B6"/>
  </w:style>
  <w:style w:type="character" w:customStyle="1" w:styleId="AQISTableTextChar">
    <w:name w:val="AQIS Table Text Char"/>
    <w:basedOn w:val="AQISTextChar"/>
    <w:link w:val="AQISTableText"/>
    <w:uiPriority w:val="99"/>
    <w:rsid w:val="008163B6"/>
    <w:rPr>
      <w:rFonts w:ascii="Times New Roman" w:eastAsia="Times New Roman" w:hAnsi="Times New Roman"/>
      <w:sz w:val="22"/>
      <w:lang w:eastAsia="en-US"/>
    </w:rPr>
  </w:style>
  <w:style w:type="character" w:customStyle="1" w:styleId="AQIS5Char">
    <w:name w:val="AQIS5 Char"/>
    <w:basedOn w:val="DefaultParagraphFont"/>
    <w:link w:val="AQIS5"/>
    <w:uiPriority w:val="99"/>
    <w:rsid w:val="008163B6"/>
    <w:rPr>
      <w:rFonts w:ascii="Arial" w:eastAsia="Times New Roman" w:hAnsi="Arial"/>
      <w:b/>
      <w:sz w:val="24"/>
      <w:lang w:eastAsia="en-US"/>
    </w:rPr>
  </w:style>
  <w:style w:type="paragraph" w:customStyle="1" w:styleId="Append4">
    <w:name w:val="Append 4"/>
    <w:basedOn w:val="Normal"/>
    <w:uiPriority w:val="99"/>
    <w:rsid w:val="008163B6"/>
    <w:pPr>
      <w:numPr>
        <w:numId w:val="25"/>
      </w:numPr>
    </w:pPr>
  </w:style>
  <w:style w:type="character" w:customStyle="1" w:styleId="smaller1">
    <w:name w:val="smaller1"/>
    <w:basedOn w:val="DefaultParagraphFont"/>
    <w:uiPriority w:val="99"/>
    <w:rsid w:val="008163B6"/>
    <w:rPr>
      <w:sz w:val="20"/>
      <w:szCs w:val="20"/>
    </w:rPr>
  </w:style>
  <w:style w:type="character" w:customStyle="1" w:styleId="cpctext1">
    <w:name w:val="cpctext1"/>
    <w:basedOn w:val="DefaultParagraphFont"/>
    <w:uiPriority w:val="99"/>
    <w:rsid w:val="008163B6"/>
    <w:rPr>
      <w:rFonts w:ascii="Arial" w:hAnsi="Arial" w:cs="Arial" w:hint="default"/>
      <w:sz w:val="20"/>
      <w:szCs w:val="20"/>
    </w:rPr>
  </w:style>
  <w:style w:type="character" w:customStyle="1" w:styleId="bluetitle1">
    <w:name w:val="bluetitle1"/>
    <w:basedOn w:val="DefaultParagraphFont"/>
    <w:uiPriority w:val="99"/>
    <w:rsid w:val="008163B6"/>
    <w:rPr>
      <w:b/>
      <w:bCs/>
      <w:color w:val="00BAE2"/>
    </w:rPr>
  </w:style>
  <w:style w:type="character" w:customStyle="1" w:styleId="author1">
    <w:name w:val="author1"/>
    <w:basedOn w:val="DefaultParagraphFont"/>
    <w:uiPriority w:val="99"/>
    <w:rsid w:val="008163B6"/>
    <w:rPr>
      <w:rFonts w:ascii="Arial" w:hAnsi="Arial" w:cs="Arial" w:hint="default"/>
      <w:color w:val="777777"/>
      <w:sz w:val="20"/>
      <w:szCs w:val="20"/>
    </w:rPr>
  </w:style>
  <w:style w:type="character" w:customStyle="1" w:styleId="bigblkbld1">
    <w:name w:val="bigblkbld1"/>
    <w:basedOn w:val="DefaultParagraphFont"/>
    <w:uiPriority w:val="99"/>
    <w:rsid w:val="008163B6"/>
    <w:rPr>
      <w:rFonts w:ascii="Arial" w:hAnsi="Arial" w:cs="Arial" w:hint="default"/>
      <w:b/>
      <w:bCs/>
      <w:i w:val="0"/>
      <w:iCs w:val="0"/>
      <w:color w:val="000000"/>
      <w:sz w:val="24"/>
      <w:szCs w:val="24"/>
    </w:rPr>
  </w:style>
  <w:style w:type="paragraph" w:customStyle="1" w:styleId="main">
    <w:name w:val="main"/>
    <w:basedOn w:val="Normal"/>
    <w:uiPriority w:val="99"/>
    <w:rsid w:val="008163B6"/>
    <w:pPr>
      <w:spacing w:before="240"/>
    </w:pPr>
    <w:rPr>
      <w:rFonts w:ascii="Tahoma" w:hAnsi="Tahoma" w:cs="Tahoma"/>
      <w:b/>
      <w:bCs/>
      <w:color w:val="660000"/>
      <w:sz w:val="34"/>
      <w:szCs w:val="34"/>
    </w:rPr>
  </w:style>
  <w:style w:type="character" w:customStyle="1" w:styleId="caps1">
    <w:name w:val="caps1"/>
    <w:basedOn w:val="DefaultParagraphFont"/>
    <w:uiPriority w:val="99"/>
    <w:rsid w:val="008163B6"/>
    <w:rPr>
      <w:caps/>
    </w:rPr>
  </w:style>
  <w:style w:type="character" w:customStyle="1" w:styleId="lowercase-small-caps1">
    <w:name w:val="lowercase-small-caps1"/>
    <w:basedOn w:val="DefaultParagraphFont"/>
    <w:uiPriority w:val="99"/>
    <w:rsid w:val="008163B6"/>
    <w:rPr>
      <w:smallCaps/>
    </w:rPr>
  </w:style>
  <w:style w:type="paragraph" w:customStyle="1" w:styleId="signed">
    <w:name w:val="signed"/>
    <w:basedOn w:val="Normal"/>
    <w:uiPriority w:val="99"/>
    <w:rsid w:val="008163B6"/>
    <w:pPr>
      <w:spacing w:before="100" w:beforeAutospacing="1" w:after="100" w:afterAutospacing="1"/>
    </w:pPr>
  </w:style>
  <w:style w:type="character" w:customStyle="1" w:styleId="small-caps1">
    <w:name w:val="small-caps1"/>
    <w:basedOn w:val="DefaultParagraphFont"/>
    <w:uiPriority w:val="99"/>
    <w:rsid w:val="008163B6"/>
    <w:rPr>
      <w:smallCaps/>
    </w:rPr>
  </w:style>
  <w:style w:type="paragraph" w:customStyle="1" w:styleId="byline">
    <w:name w:val="byline"/>
    <w:basedOn w:val="Normal"/>
    <w:uiPriority w:val="99"/>
    <w:rsid w:val="008163B6"/>
    <w:pPr>
      <w:spacing w:before="100" w:beforeAutospacing="1" w:after="100" w:afterAutospacing="1"/>
    </w:pPr>
  </w:style>
  <w:style w:type="paragraph" w:customStyle="1" w:styleId="style1dotpoints0">
    <w:name w:val="style1dotpoints"/>
    <w:basedOn w:val="Normal"/>
    <w:uiPriority w:val="99"/>
    <w:rsid w:val="008163B6"/>
    <w:pPr>
      <w:numPr>
        <w:numId w:val="26"/>
      </w:numPr>
      <w:spacing w:before="160"/>
      <w:jc w:val="both"/>
    </w:pPr>
    <w:rPr>
      <w:szCs w:val="20"/>
    </w:rPr>
  </w:style>
  <w:style w:type="numbering" w:customStyle="1" w:styleId="StyleBulleted11pt">
    <w:name w:val="Style Bulleted 11 pt"/>
    <w:basedOn w:val="NoList"/>
    <w:rsid w:val="008163B6"/>
    <w:pPr>
      <w:numPr>
        <w:numId w:val="27"/>
      </w:numPr>
    </w:pPr>
  </w:style>
  <w:style w:type="paragraph" w:customStyle="1" w:styleId="BAAppend2">
    <w:name w:val="BA Append 2"/>
    <w:basedOn w:val="BAHeader2"/>
    <w:uiPriority w:val="99"/>
    <w:rsid w:val="008163B6"/>
    <w:pPr>
      <w:numPr>
        <w:numId w:val="28"/>
      </w:numPr>
      <w:tabs>
        <w:tab w:val="clear" w:pos="1116"/>
        <w:tab w:val="num" w:pos="1440"/>
      </w:tabs>
      <w:ind w:left="1440" w:hanging="360"/>
    </w:pPr>
  </w:style>
  <w:style w:type="paragraph" w:customStyle="1" w:styleId="BAAppend3">
    <w:name w:val="BA Append 3"/>
    <w:basedOn w:val="BAHeader3"/>
    <w:uiPriority w:val="99"/>
    <w:rsid w:val="008163B6"/>
    <w:pPr>
      <w:numPr>
        <w:numId w:val="28"/>
      </w:numPr>
      <w:tabs>
        <w:tab w:val="clear" w:pos="720"/>
        <w:tab w:val="num" w:pos="2160"/>
      </w:tabs>
      <w:ind w:left="2160" w:hanging="360"/>
    </w:pPr>
  </w:style>
  <w:style w:type="character" w:customStyle="1" w:styleId="sCharChar">
    <w:name w:val="s Char Char"/>
    <w:basedOn w:val="DefaultParagraphFont"/>
    <w:uiPriority w:val="99"/>
    <w:semiHidden/>
    <w:locked/>
    <w:rsid w:val="008163B6"/>
    <w:rPr>
      <w:bCs/>
      <w:i/>
      <w:iCs/>
      <w:color w:val="000000"/>
      <w:sz w:val="24"/>
      <w:szCs w:val="26"/>
      <w:lang w:val="en-AU" w:eastAsia="en-US" w:bidi="ar-SA"/>
    </w:rPr>
  </w:style>
  <w:style w:type="character" w:customStyle="1" w:styleId="CharChar5">
    <w:name w:val="Char Char5"/>
    <w:basedOn w:val="DefaultParagraphFont"/>
    <w:uiPriority w:val="99"/>
    <w:semiHidden/>
    <w:locked/>
    <w:rsid w:val="008163B6"/>
    <w:rPr>
      <w:rFonts w:cs="Times New Roman"/>
      <w:sz w:val="20"/>
      <w:szCs w:val="20"/>
      <w:lang w:eastAsia="en-US"/>
    </w:rPr>
  </w:style>
  <w:style w:type="character" w:customStyle="1" w:styleId="BAHeader5CharChar">
    <w:name w:val="BA Header 5 Char Char"/>
    <w:basedOn w:val="DefaultParagraphFont"/>
    <w:uiPriority w:val="99"/>
    <w:locked/>
    <w:rsid w:val="008163B6"/>
    <w:rPr>
      <w:rFonts w:cs="Times New Roman"/>
      <w:b/>
      <w:i/>
      <w:sz w:val="24"/>
      <w:lang w:val="en-AU" w:eastAsia="en-US" w:bidi="ar-SA"/>
    </w:rPr>
  </w:style>
  <w:style w:type="paragraph" w:customStyle="1" w:styleId="BAHeader1-unnumbered">
    <w:name w:val="BA Header 1 - unnumbered"/>
    <w:basedOn w:val="Normal"/>
    <w:next w:val="Normal"/>
    <w:link w:val="BAHeader1-unnumberedCharChar"/>
    <w:uiPriority w:val="99"/>
    <w:rsid w:val="008163B6"/>
    <w:pPr>
      <w:pageBreakBefore/>
      <w:widowControl w:val="0"/>
      <w:pBdr>
        <w:bottom w:val="single" w:sz="4" w:space="1" w:color="auto"/>
      </w:pBdr>
      <w:spacing w:before="120" w:after="360" w:line="340" w:lineRule="atLeast"/>
      <w:outlineLvl w:val="0"/>
    </w:pPr>
    <w:rPr>
      <w:rFonts w:ascii="Arial" w:hAnsi="Arial"/>
      <w:b/>
      <w:sz w:val="28"/>
      <w:szCs w:val="28"/>
    </w:rPr>
  </w:style>
  <w:style w:type="character" w:customStyle="1" w:styleId="BAHeader1-unnumberedCharChar">
    <w:name w:val="BA Header 1 - unnumbered Char Char"/>
    <w:basedOn w:val="DefaultParagraphFont"/>
    <w:link w:val="BAHeader1-unnumbered"/>
    <w:uiPriority w:val="99"/>
    <w:locked/>
    <w:rsid w:val="008163B6"/>
    <w:rPr>
      <w:rFonts w:ascii="Arial" w:eastAsia="Times New Roman" w:hAnsi="Arial"/>
      <w:b/>
      <w:sz w:val="28"/>
      <w:szCs w:val="28"/>
      <w:lang w:eastAsia="en-US"/>
    </w:rPr>
  </w:style>
  <w:style w:type="paragraph" w:customStyle="1" w:styleId="BAFiguretext">
    <w:name w:val="BA Figure text"/>
    <w:basedOn w:val="BATableheader"/>
    <w:next w:val="Normal"/>
    <w:rsid w:val="008163B6"/>
    <w:pPr>
      <w:tabs>
        <w:tab w:val="num" w:pos="1276"/>
      </w:tabs>
      <w:autoSpaceDE w:val="0"/>
      <w:autoSpaceDN w:val="0"/>
      <w:adjustRightInd w:val="0"/>
      <w:spacing w:before="0" w:after="240"/>
      <w:ind w:left="1276" w:hanging="1276"/>
      <w:jc w:val="both"/>
    </w:pPr>
  </w:style>
  <w:style w:type="paragraph" w:customStyle="1" w:styleId="BIBLIOGRAPHIE">
    <w:name w:val="BIBLIOGRAPHIE"/>
    <w:basedOn w:val="Default"/>
    <w:next w:val="Default"/>
    <w:uiPriority w:val="99"/>
    <w:rsid w:val="008163B6"/>
    <w:rPr>
      <w:color w:val="auto"/>
    </w:rPr>
  </w:style>
  <w:style w:type="character" w:customStyle="1" w:styleId="highlightedsearchterm">
    <w:name w:val="highlightedsearchterm"/>
    <w:basedOn w:val="DefaultParagraphFont"/>
    <w:uiPriority w:val="99"/>
    <w:rsid w:val="008163B6"/>
    <w:rPr>
      <w:rFonts w:cs="Times New Roman"/>
    </w:rPr>
  </w:style>
  <w:style w:type="paragraph" w:customStyle="1" w:styleId="Style1">
    <w:name w:val="Style1"/>
    <w:basedOn w:val="Heading3"/>
    <w:rsid w:val="008163B6"/>
    <w:pPr>
      <w:tabs>
        <w:tab w:val="left" w:pos="1260"/>
      </w:tabs>
      <w:spacing w:before="180" w:after="120" w:line="280" w:lineRule="atLeast"/>
    </w:pPr>
    <w:rPr>
      <w:rFonts w:ascii="Verdana" w:hAnsi="Verdana"/>
      <w:bCs w:val="0"/>
      <w:i/>
    </w:rPr>
  </w:style>
  <w:style w:type="character" w:customStyle="1" w:styleId="common3">
    <w:name w:val="common3"/>
    <w:basedOn w:val="DefaultParagraphFont"/>
    <w:uiPriority w:val="99"/>
    <w:rsid w:val="008163B6"/>
    <w:rPr>
      <w:rFonts w:ascii="Arial" w:hAnsi="Arial" w:cs="Arial"/>
      <w:sz w:val="17"/>
      <w:szCs w:val="17"/>
    </w:rPr>
  </w:style>
  <w:style w:type="paragraph" w:customStyle="1" w:styleId="AQISTitle">
    <w:name w:val="AQIS Title"/>
    <w:basedOn w:val="Title"/>
    <w:next w:val="Normal"/>
    <w:uiPriority w:val="99"/>
    <w:rsid w:val="008163B6"/>
    <w:pPr>
      <w:spacing w:before="720" w:after="360"/>
      <w:jc w:val="center"/>
    </w:pPr>
    <w:rPr>
      <w:rFonts w:ascii="Arial" w:hAnsi="Arial"/>
      <w:b w:val="0"/>
      <w:sz w:val="52"/>
      <w:szCs w:val="20"/>
    </w:rPr>
  </w:style>
  <w:style w:type="paragraph" w:customStyle="1" w:styleId="TOC41">
    <w:name w:val="TOC 41"/>
    <w:basedOn w:val="TOC1"/>
    <w:uiPriority w:val="99"/>
    <w:rsid w:val="008163B6"/>
    <w:pPr>
      <w:tabs>
        <w:tab w:val="clear" w:pos="426"/>
        <w:tab w:val="clear" w:pos="9072"/>
        <w:tab w:val="left" w:pos="900"/>
        <w:tab w:val="left" w:pos="1800"/>
        <w:tab w:val="right" w:leader="dot" w:pos="9000"/>
        <w:tab w:val="right" w:leader="dot" w:pos="9060"/>
      </w:tabs>
      <w:spacing w:before="240" w:after="0"/>
      <w:ind w:left="902" w:right="82" w:hanging="902"/>
    </w:pPr>
    <w:rPr>
      <w:rFonts w:ascii="Arial" w:hAnsi="Arial" w:cs="Arial"/>
      <w:szCs w:val="28"/>
    </w:rPr>
  </w:style>
  <w:style w:type="character" w:customStyle="1" w:styleId="family">
    <w:name w:val="family"/>
    <w:basedOn w:val="DefaultParagraphFont"/>
    <w:uiPriority w:val="99"/>
    <w:rsid w:val="008163B6"/>
  </w:style>
  <w:style w:type="paragraph" w:customStyle="1" w:styleId="Blotinmargin">
    <w:name w:val="Blot in margin"/>
    <w:basedOn w:val="Default"/>
    <w:next w:val="Default"/>
    <w:uiPriority w:val="99"/>
    <w:rsid w:val="008163B6"/>
    <w:rPr>
      <w:color w:val="auto"/>
    </w:rPr>
  </w:style>
  <w:style w:type="character" w:customStyle="1" w:styleId="addmd1">
    <w:name w:val="addmd1"/>
    <w:basedOn w:val="DefaultParagraphFont"/>
    <w:uiPriority w:val="99"/>
    <w:rsid w:val="008163B6"/>
    <w:rPr>
      <w:rFonts w:ascii="Arial" w:hAnsi="Arial" w:cs="Arial" w:hint="default"/>
      <w:sz w:val="20"/>
      <w:szCs w:val="20"/>
    </w:rPr>
  </w:style>
  <w:style w:type="character" w:customStyle="1" w:styleId="black9pt1">
    <w:name w:val="black9pt1"/>
    <w:basedOn w:val="DefaultParagraphFont"/>
    <w:uiPriority w:val="99"/>
    <w:rsid w:val="008163B6"/>
    <w:rPr>
      <w:color w:val="000000"/>
      <w:sz w:val="18"/>
      <w:szCs w:val="18"/>
    </w:rPr>
  </w:style>
  <w:style w:type="character" w:customStyle="1" w:styleId="a">
    <w:name w:val="a"/>
    <w:basedOn w:val="DefaultParagraphFont"/>
    <w:rsid w:val="008163B6"/>
  </w:style>
  <w:style w:type="paragraph" w:customStyle="1" w:styleId="Header1">
    <w:name w:val="Header1"/>
    <w:basedOn w:val="Normal"/>
    <w:uiPriority w:val="99"/>
    <w:rsid w:val="008163B6"/>
    <w:rPr>
      <w:rFonts w:ascii="Verdana" w:hAnsi="Verdana"/>
      <w:sz w:val="15"/>
      <w:szCs w:val="15"/>
    </w:rPr>
  </w:style>
  <w:style w:type="paragraph" w:customStyle="1" w:styleId="sub2">
    <w:name w:val="sub2"/>
    <w:basedOn w:val="Normal"/>
    <w:uiPriority w:val="99"/>
    <w:rsid w:val="008163B6"/>
    <w:rPr>
      <w:rFonts w:ascii="Verdana" w:hAnsi="Verdana" w:cs="Times"/>
      <w:b/>
      <w:bCs/>
      <w:color w:val="666699"/>
      <w:sz w:val="13"/>
      <w:szCs w:val="13"/>
    </w:rPr>
  </w:style>
  <w:style w:type="character" w:customStyle="1" w:styleId="doi">
    <w:name w:val="doi"/>
    <w:basedOn w:val="DefaultParagraphFont"/>
    <w:uiPriority w:val="99"/>
    <w:rsid w:val="008163B6"/>
  </w:style>
  <w:style w:type="character" w:customStyle="1" w:styleId="value">
    <w:name w:val="value"/>
    <w:basedOn w:val="DefaultParagraphFont"/>
    <w:uiPriority w:val="99"/>
    <w:rsid w:val="008163B6"/>
  </w:style>
  <w:style w:type="character" w:customStyle="1" w:styleId="label1">
    <w:name w:val="label1"/>
    <w:basedOn w:val="DefaultParagraphFont"/>
    <w:uiPriority w:val="99"/>
    <w:rsid w:val="008163B6"/>
  </w:style>
  <w:style w:type="character" w:customStyle="1" w:styleId="pagination">
    <w:name w:val="pagination"/>
    <w:basedOn w:val="DefaultParagraphFont"/>
    <w:uiPriority w:val="99"/>
    <w:rsid w:val="008163B6"/>
  </w:style>
  <w:style w:type="paragraph" w:customStyle="1" w:styleId="authornames">
    <w:name w:val="authornames"/>
    <w:basedOn w:val="Normal"/>
    <w:uiPriority w:val="99"/>
    <w:rsid w:val="008163B6"/>
    <w:pPr>
      <w:spacing w:before="100" w:beforeAutospacing="1" w:after="100" w:afterAutospacing="1"/>
    </w:pPr>
    <w:rPr>
      <w:rFonts w:ascii="Arial Unicode MS" w:eastAsia="Arial Unicode MS" w:hAnsi="Arial Unicode MS" w:cs="Arial Unicode MS"/>
      <w:b/>
      <w:bCs/>
      <w:color w:val="000000"/>
    </w:rPr>
  </w:style>
  <w:style w:type="character" w:customStyle="1" w:styleId="highlight">
    <w:name w:val="highlight"/>
    <w:basedOn w:val="DefaultParagraphFont"/>
    <w:uiPriority w:val="99"/>
    <w:rsid w:val="008163B6"/>
  </w:style>
  <w:style w:type="character" w:customStyle="1" w:styleId="CharChar6">
    <w:name w:val="Char Char6"/>
    <w:basedOn w:val="DefaultParagraphFont"/>
    <w:uiPriority w:val="99"/>
    <w:semiHidden/>
    <w:rsid w:val="008163B6"/>
    <w:rPr>
      <w:rFonts w:ascii="Times New Roman" w:eastAsia="Times New Roman" w:hAnsi="Times New Roman" w:cs="Times New Roman"/>
      <w:sz w:val="20"/>
      <w:szCs w:val="20"/>
      <w:lang w:val="en-AU"/>
    </w:rPr>
  </w:style>
  <w:style w:type="paragraph" w:customStyle="1" w:styleId="plain">
    <w:name w:val="plain"/>
    <w:basedOn w:val="Normal"/>
    <w:uiPriority w:val="99"/>
    <w:rsid w:val="008163B6"/>
    <w:pPr>
      <w:spacing w:before="100" w:beforeAutospacing="1" w:after="100" w:afterAutospacing="1"/>
      <w:ind w:right="720"/>
    </w:pPr>
    <w:rPr>
      <w:sz w:val="19"/>
      <w:szCs w:val="19"/>
    </w:rPr>
  </w:style>
  <w:style w:type="character" w:customStyle="1" w:styleId="ReferencesChar">
    <w:name w:val="References Char"/>
    <w:basedOn w:val="DefaultParagraphFont"/>
    <w:link w:val="References"/>
    <w:uiPriority w:val="99"/>
    <w:rsid w:val="008163B6"/>
    <w:rPr>
      <w:rFonts w:ascii="Arial" w:eastAsia="Times New Roman" w:hAnsi="Arial"/>
      <w:sz w:val="22"/>
      <w:lang w:eastAsia="en-US"/>
    </w:rPr>
  </w:style>
  <w:style w:type="character" w:styleId="HTMLCite">
    <w:name w:val="HTML Cite"/>
    <w:basedOn w:val="DefaultParagraphFont"/>
    <w:uiPriority w:val="99"/>
    <w:unhideWhenUsed/>
    <w:rsid w:val="008163B6"/>
    <w:rPr>
      <w:i/>
      <w:iCs/>
    </w:rPr>
  </w:style>
  <w:style w:type="paragraph" w:customStyle="1" w:styleId="articleref">
    <w:name w:val="articleref"/>
    <w:basedOn w:val="Normal"/>
    <w:uiPriority w:val="99"/>
    <w:rsid w:val="008163B6"/>
    <w:pPr>
      <w:spacing w:after="240"/>
    </w:pPr>
    <w:rPr>
      <w:rFonts w:ascii="Verdana" w:hAnsi="Verdana"/>
      <w:color w:val="58595B"/>
      <w:sz w:val="20"/>
      <w:szCs w:val="20"/>
    </w:rPr>
  </w:style>
  <w:style w:type="paragraph" w:customStyle="1" w:styleId="articlecitation">
    <w:name w:val="articlecitation"/>
    <w:basedOn w:val="Normal"/>
    <w:uiPriority w:val="99"/>
    <w:rsid w:val="008163B6"/>
    <w:pPr>
      <w:spacing w:before="150" w:after="75"/>
    </w:pPr>
    <w:rPr>
      <w:rFonts w:ascii="Verdana" w:hAnsi="Verdana"/>
      <w:color w:val="231F20"/>
      <w:sz w:val="20"/>
      <w:szCs w:val="20"/>
    </w:rPr>
  </w:style>
  <w:style w:type="paragraph" w:customStyle="1" w:styleId="KonuBasligi">
    <w:name w:val="Konu Basligi"/>
    <w:basedOn w:val="Default"/>
    <w:next w:val="Default"/>
    <w:uiPriority w:val="99"/>
    <w:rsid w:val="008163B6"/>
    <w:rPr>
      <w:rFonts w:ascii="Arial" w:hAnsi="Arial" w:cs="Arial"/>
      <w:color w:val="auto"/>
    </w:rPr>
  </w:style>
  <w:style w:type="character" w:customStyle="1" w:styleId="largefont1">
    <w:name w:val="largefont1"/>
    <w:basedOn w:val="DefaultParagraphFont"/>
    <w:uiPriority w:val="99"/>
    <w:rsid w:val="008163B6"/>
    <w:rPr>
      <w:sz w:val="26"/>
      <w:szCs w:val="26"/>
    </w:rPr>
  </w:style>
  <w:style w:type="character" w:customStyle="1" w:styleId="authorname3">
    <w:name w:val="authorname3"/>
    <w:basedOn w:val="DefaultParagraphFont"/>
    <w:rsid w:val="008163B6"/>
    <w:rPr>
      <w:b/>
      <w:bCs/>
    </w:rPr>
  </w:style>
  <w:style w:type="paragraph" w:customStyle="1" w:styleId="FicheInfo">
    <w:name w:val="Fiche Info"/>
    <w:basedOn w:val="Default"/>
    <w:next w:val="Default"/>
    <w:uiPriority w:val="99"/>
    <w:rsid w:val="008163B6"/>
    <w:rPr>
      <w:color w:val="auto"/>
    </w:rPr>
  </w:style>
  <w:style w:type="character" w:customStyle="1" w:styleId="binomial">
    <w:name w:val="binomial"/>
    <w:basedOn w:val="DefaultParagraphFont"/>
    <w:uiPriority w:val="99"/>
    <w:rsid w:val="008163B6"/>
  </w:style>
  <w:style w:type="paragraph" w:customStyle="1" w:styleId="TableText2">
    <w:name w:val="Table Text 2"/>
    <w:basedOn w:val="Normal"/>
    <w:uiPriority w:val="99"/>
    <w:rsid w:val="008163B6"/>
    <w:pPr>
      <w:widowControl w:val="0"/>
      <w:adjustRightInd w:val="0"/>
      <w:spacing w:line="360" w:lineRule="atLeast"/>
      <w:jc w:val="both"/>
      <w:textAlignment w:val="baseline"/>
    </w:pPr>
    <w:rPr>
      <w:rFonts w:ascii="Arial" w:hAnsi="Arial"/>
      <w:sz w:val="16"/>
      <w:szCs w:val="20"/>
      <w:lang w:val="en-US"/>
    </w:rPr>
  </w:style>
  <w:style w:type="character" w:customStyle="1" w:styleId="ms-rtecustom-photocaption1">
    <w:name w:val="ms-rtecustom-photocaption1"/>
    <w:basedOn w:val="DefaultParagraphFont"/>
    <w:uiPriority w:val="99"/>
    <w:rsid w:val="008163B6"/>
    <w:rPr>
      <w:sz w:val="13"/>
      <w:szCs w:val="13"/>
    </w:rPr>
  </w:style>
  <w:style w:type="paragraph" w:customStyle="1" w:styleId="Pa5">
    <w:name w:val="Pa5"/>
    <w:basedOn w:val="Default"/>
    <w:next w:val="Default"/>
    <w:rsid w:val="008163B6"/>
    <w:pPr>
      <w:spacing w:line="241" w:lineRule="atLeast"/>
    </w:pPr>
    <w:rPr>
      <w:color w:val="auto"/>
    </w:rPr>
  </w:style>
  <w:style w:type="character" w:customStyle="1" w:styleId="A4">
    <w:name w:val="A4"/>
    <w:uiPriority w:val="99"/>
    <w:rsid w:val="008163B6"/>
    <w:rPr>
      <w:b/>
      <w:bCs/>
      <w:color w:val="000000"/>
      <w:sz w:val="36"/>
      <w:szCs w:val="36"/>
    </w:rPr>
  </w:style>
  <w:style w:type="character" w:customStyle="1" w:styleId="A1">
    <w:name w:val="A1"/>
    <w:uiPriority w:val="99"/>
    <w:rsid w:val="008163B6"/>
    <w:rPr>
      <w:color w:val="000000"/>
      <w:sz w:val="21"/>
      <w:szCs w:val="21"/>
    </w:rPr>
  </w:style>
  <w:style w:type="paragraph" w:customStyle="1" w:styleId="Pa0">
    <w:name w:val="Pa0"/>
    <w:basedOn w:val="Default"/>
    <w:next w:val="Default"/>
    <w:rsid w:val="008163B6"/>
    <w:pPr>
      <w:spacing w:line="201" w:lineRule="atLeast"/>
    </w:pPr>
    <w:rPr>
      <w:rFonts w:ascii="Arial" w:hAnsi="Arial" w:cs="Arial"/>
      <w:color w:val="auto"/>
    </w:rPr>
  </w:style>
  <w:style w:type="character" w:customStyle="1" w:styleId="A0">
    <w:name w:val="A0"/>
    <w:uiPriority w:val="99"/>
    <w:rsid w:val="008163B6"/>
    <w:rPr>
      <w:color w:val="000000"/>
      <w:sz w:val="16"/>
      <w:szCs w:val="16"/>
    </w:rPr>
  </w:style>
  <w:style w:type="paragraph" w:customStyle="1" w:styleId="AQISTableTitle">
    <w:name w:val="AQIS Table Title"/>
    <w:basedOn w:val="AQISTableText"/>
    <w:next w:val="AQISTableText"/>
    <w:uiPriority w:val="99"/>
    <w:rsid w:val="008163B6"/>
    <w:pPr>
      <w:widowControl w:val="0"/>
      <w:adjustRightInd w:val="0"/>
      <w:jc w:val="both"/>
      <w:textAlignment w:val="baseline"/>
    </w:pPr>
    <w:rPr>
      <w:rFonts w:ascii="Arial" w:hAnsi="Arial"/>
      <w:b/>
    </w:rPr>
  </w:style>
  <w:style w:type="character" w:customStyle="1" w:styleId="AQIS4Char">
    <w:name w:val="AQIS4 Char"/>
    <w:basedOn w:val="DefaultParagraphFont"/>
    <w:link w:val="AQIS4"/>
    <w:uiPriority w:val="99"/>
    <w:rsid w:val="008163B6"/>
    <w:rPr>
      <w:rFonts w:ascii="Arial" w:eastAsia="Times New Roman" w:hAnsi="Arial"/>
      <w:b/>
      <w:sz w:val="24"/>
      <w:lang w:eastAsia="en-US"/>
    </w:rPr>
  </w:style>
  <w:style w:type="paragraph" w:customStyle="1" w:styleId="Char">
    <w:name w:val="Char"/>
    <w:basedOn w:val="Normal"/>
    <w:uiPriority w:val="99"/>
    <w:rsid w:val="008163B6"/>
    <w:pPr>
      <w:widowControl w:val="0"/>
      <w:adjustRightInd w:val="0"/>
      <w:spacing w:line="360" w:lineRule="atLeast"/>
      <w:jc w:val="both"/>
      <w:textAlignment w:val="baseline"/>
    </w:pPr>
    <w:rPr>
      <w:rFonts w:ascii="Arial" w:hAnsi="Arial"/>
      <w:szCs w:val="20"/>
    </w:rPr>
  </w:style>
  <w:style w:type="character" w:customStyle="1" w:styleId="authorname">
    <w:name w:val="authorname"/>
    <w:basedOn w:val="DefaultParagraphFont"/>
    <w:uiPriority w:val="99"/>
    <w:rsid w:val="008163B6"/>
  </w:style>
  <w:style w:type="character" w:customStyle="1" w:styleId="singleaffiliation">
    <w:name w:val="singleaffiliation"/>
    <w:basedOn w:val="DefaultParagraphFont"/>
    <w:uiPriority w:val="99"/>
    <w:rsid w:val="008163B6"/>
  </w:style>
  <w:style w:type="character" w:customStyle="1" w:styleId="CommentTextChar1">
    <w:name w:val="Comment Text Char1"/>
    <w:basedOn w:val="DefaultParagraphFont"/>
    <w:uiPriority w:val="99"/>
    <w:semiHidden/>
    <w:locked/>
    <w:rsid w:val="008163B6"/>
    <w:rPr>
      <w:rFonts w:cs="Times New Roman"/>
      <w:lang w:val="en-AU" w:eastAsia="en-US" w:bidi="ar-SA"/>
    </w:rPr>
  </w:style>
  <w:style w:type="paragraph" w:customStyle="1" w:styleId="Overskrift4">
    <w:name w:val="Overskrift 4"/>
    <w:basedOn w:val="Default"/>
    <w:next w:val="Default"/>
    <w:uiPriority w:val="99"/>
    <w:rsid w:val="008163B6"/>
    <w:pPr>
      <w:widowControl w:val="0"/>
      <w:spacing w:line="360" w:lineRule="atLeast"/>
      <w:jc w:val="both"/>
      <w:textAlignment w:val="baseline"/>
    </w:pPr>
    <w:rPr>
      <w:color w:val="auto"/>
    </w:rPr>
  </w:style>
  <w:style w:type="character" w:customStyle="1" w:styleId="matchhighlight1">
    <w:name w:val="matchhighlight1"/>
    <w:basedOn w:val="DefaultParagraphFont"/>
    <w:uiPriority w:val="99"/>
    <w:rsid w:val="008163B6"/>
    <w:rPr>
      <w:rFonts w:cs="Times New Roman"/>
      <w:b/>
      <w:bCs/>
      <w:color w:val="333366"/>
      <w:u w:val="single"/>
    </w:rPr>
  </w:style>
  <w:style w:type="paragraph" w:styleId="HTMLPreformatted">
    <w:name w:val="HTML Preformatted"/>
    <w:basedOn w:val="Normal"/>
    <w:link w:val="HTMLPreformattedChar"/>
    <w:uiPriority w:val="99"/>
    <w:rsid w:val="008163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jc w:val="both"/>
      <w:textAlignment w:val="baseline"/>
    </w:pPr>
    <w:rPr>
      <w:rFonts w:ascii="Courier New" w:hAnsi="Courier New" w:cs="Courier New"/>
      <w:sz w:val="18"/>
      <w:szCs w:val="18"/>
    </w:rPr>
  </w:style>
  <w:style w:type="character" w:customStyle="1" w:styleId="HTMLPreformattedChar">
    <w:name w:val="HTML Preformatted Char"/>
    <w:basedOn w:val="DefaultParagraphFont"/>
    <w:link w:val="HTMLPreformatted"/>
    <w:uiPriority w:val="99"/>
    <w:rsid w:val="008163B6"/>
    <w:rPr>
      <w:rFonts w:ascii="Courier New" w:eastAsia="Times New Roman" w:hAnsi="Courier New" w:cs="Courier New"/>
      <w:sz w:val="18"/>
      <w:szCs w:val="18"/>
    </w:rPr>
  </w:style>
  <w:style w:type="character" w:customStyle="1" w:styleId="mainarea">
    <w:name w:val="mainarea"/>
    <w:basedOn w:val="DefaultParagraphFont"/>
    <w:uiPriority w:val="99"/>
    <w:rsid w:val="008163B6"/>
    <w:rPr>
      <w:rFonts w:cs="Times New Roman"/>
    </w:rPr>
  </w:style>
  <w:style w:type="paragraph" w:customStyle="1" w:styleId="CM3">
    <w:name w:val="CM3"/>
    <w:basedOn w:val="Default"/>
    <w:next w:val="Default"/>
    <w:uiPriority w:val="99"/>
    <w:rsid w:val="008163B6"/>
    <w:pPr>
      <w:widowControl w:val="0"/>
      <w:spacing w:line="360" w:lineRule="atLeast"/>
      <w:jc w:val="both"/>
      <w:textAlignment w:val="baseline"/>
    </w:pPr>
    <w:rPr>
      <w:color w:val="auto"/>
    </w:rPr>
  </w:style>
  <w:style w:type="paragraph" w:customStyle="1" w:styleId="CM23">
    <w:name w:val="CM23"/>
    <w:basedOn w:val="Default"/>
    <w:next w:val="Default"/>
    <w:uiPriority w:val="99"/>
    <w:rsid w:val="008163B6"/>
    <w:pPr>
      <w:widowControl w:val="0"/>
      <w:spacing w:line="360" w:lineRule="atLeast"/>
      <w:jc w:val="both"/>
      <w:textAlignment w:val="baseline"/>
    </w:pPr>
    <w:rPr>
      <w:color w:val="auto"/>
    </w:rPr>
  </w:style>
  <w:style w:type="paragraph" w:customStyle="1" w:styleId="CM24">
    <w:name w:val="CM24"/>
    <w:basedOn w:val="Default"/>
    <w:next w:val="Default"/>
    <w:uiPriority w:val="99"/>
    <w:rsid w:val="008163B6"/>
    <w:pPr>
      <w:widowControl w:val="0"/>
      <w:spacing w:line="360" w:lineRule="atLeast"/>
      <w:jc w:val="both"/>
      <w:textAlignment w:val="baseline"/>
    </w:pPr>
    <w:rPr>
      <w:color w:val="auto"/>
    </w:rPr>
  </w:style>
  <w:style w:type="paragraph" w:customStyle="1" w:styleId="Char12">
    <w:name w:val="Char12"/>
    <w:basedOn w:val="Normal"/>
    <w:uiPriority w:val="99"/>
    <w:rsid w:val="008163B6"/>
    <w:pPr>
      <w:widowControl w:val="0"/>
      <w:adjustRightInd w:val="0"/>
      <w:spacing w:line="360" w:lineRule="atLeast"/>
      <w:jc w:val="both"/>
      <w:textAlignment w:val="baseline"/>
    </w:pPr>
    <w:rPr>
      <w:rFonts w:ascii="Arial" w:hAnsi="Arial"/>
      <w:szCs w:val="20"/>
    </w:rPr>
  </w:style>
  <w:style w:type="paragraph" w:customStyle="1" w:styleId="Char11">
    <w:name w:val="Char11"/>
    <w:basedOn w:val="Normal"/>
    <w:uiPriority w:val="99"/>
    <w:rsid w:val="008163B6"/>
    <w:pPr>
      <w:widowControl w:val="0"/>
      <w:adjustRightInd w:val="0"/>
      <w:spacing w:line="360" w:lineRule="atLeast"/>
      <w:jc w:val="both"/>
      <w:textAlignment w:val="baseline"/>
    </w:pPr>
    <w:rPr>
      <w:rFonts w:ascii="Arial" w:hAnsi="Arial"/>
      <w:szCs w:val="20"/>
    </w:rPr>
  </w:style>
  <w:style w:type="paragraph" w:customStyle="1" w:styleId="StilOverskrift3IkkeKapitler">
    <w:name w:val="Stil Overskrift 3 + Ikke Kapitéler"/>
    <w:basedOn w:val="Default"/>
    <w:next w:val="Default"/>
    <w:uiPriority w:val="99"/>
    <w:rsid w:val="008163B6"/>
    <w:pPr>
      <w:widowControl w:val="0"/>
      <w:spacing w:line="360" w:lineRule="atLeast"/>
      <w:jc w:val="both"/>
      <w:textAlignment w:val="baseline"/>
    </w:pPr>
    <w:rPr>
      <w:color w:val="auto"/>
    </w:rPr>
  </w:style>
  <w:style w:type="paragraph" w:customStyle="1" w:styleId="CM123">
    <w:name w:val="CM123"/>
    <w:basedOn w:val="Default"/>
    <w:next w:val="Default"/>
    <w:uiPriority w:val="99"/>
    <w:rsid w:val="008163B6"/>
    <w:pPr>
      <w:widowControl w:val="0"/>
      <w:spacing w:line="360" w:lineRule="atLeast"/>
      <w:jc w:val="both"/>
      <w:textAlignment w:val="baseline"/>
    </w:pPr>
    <w:rPr>
      <w:color w:val="auto"/>
    </w:rPr>
  </w:style>
  <w:style w:type="character" w:customStyle="1" w:styleId="ti">
    <w:name w:val="ti"/>
    <w:basedOn w:val="DefaultParagraphFont"/>
    <w:uiPriority w:val="99"/>
    <w:rsid w:val="008163B6"/>
  </w:style>
  <w:style w:type="character" w:customStyle="1" w:styleId="forenames">
    <w:name w:val="forenames"/>
    <w:basedOn w:val="DefaultParagraphFont"/>
    <w:uiPriority w:val="99"/>
    <w:rsid w:val="008163B6"/>
  </w:style>
  <w:style w:type="paragraph" w:customStyle="1" w:styleId="authors">
    <w:name w:val="authors"/>
    <w:basedOn w:val="Normal"/>
    <w:rsid w:val="008163B6"/>
    <w:pPr>
      <w:widowControl w:val="0"/>
      <w:adjustRightInd w:val="0"/>
      <w:spacing w:before="100" w:beforeAutospacing="1" w:after="100" w:afterAutospacing="1" w:line="360" w:lineRule="atLeast"/>
      <w:jc w:val="both"/>
      <w:textAlignment w:val="baseline"/>
    </w:pPr>
  </w:style>
  <w:style w:type="character" w:customStyle="1" w:styleId="name">
    <w:name w:val="name"/>
    <w:basedOn w:val="DefaultParagraphFont"/>
    <w:uiPriority w:val="99"/>
    <w:rsid w:val="008163B6"/>
  </w:style>
  <w:style w:type="character" w:customStyle="1" w:styleId="cit-print-date">
    <w:name w:val="cit-print-date"/>
    <w:basedOn w:val="DefaultParagraphFont"/>
    <w:uiPriority w:val="99"/>
    <w:rsid w:val="008163B6"/>
  </w:style>
  <w:style w:type="character" w:customStyle="1" w:styleId="cit-vol3">
    <w:name w:val="cit-vol3"/>
    <w:basedOn w:val="DefaultParagraphFont"/>
    <w:uiPriority w:val="99"/>
    <w:rsid w:val="008163B6"/>
  </w:style>
  <w:style w:type="character" w:customStyle="1" w:styleId="cit-sep2">
    <w:name w:val="cit-sep2"/>
    <w:basedOn w:val="DefaultParagraphFont"/>
    <w:uiPriority w:val="99"/>
    <w:rsid w:val="008163B6"/>
  </w:style>
  <w:style w:type="character" w:customStyle="1" w:styleId="cit-first-page">
    <w:name w:val="cit-first-page"/>
    <w:basedOn w:val="DefaultParagraphFont"/>
    <w:uiPriority w:val="99"/>
    <w:rsid w:val="008163B6"/>
  </w:style>
  <w:style w:type="character" w:customStyle="1" w:styleId="cit-last-page2">
    <w:name w:val="cit-last-page2"/>
    <w:basedOn w:val="DefaultParagraphFont"/>
    <w:uiPriority w:val="99"/>
    <w:rsid w:val="008163B6"/>
  </w:style>
  <w:style w:type="character" w:customStyle="1" w:styleId="f2">
    <w:name w:val="f2"/>
    <w:basedOn w:val="DefaultParagraphFont"/>
    <w:uiPriority w:val="99"/>
    <w:rsid w:val="008163B6"/>
    <w:rPr>
      <w:color w:val="767676"/>
    </w:rPr>
  </w:style>
  <w:style w:type="character" w:customStyle="1" w:styleId="gl1">
    <w:name w:val="gl1"/>
    <w:basedOn w:val="DefaultParagraphFont"/>
    <w:uiPriority w:val="99"/>
    <w:rsid w:val="008163B6"/>
    <w:rPr>
      <w:color w:val="767676"/>
    </w:rPr>
  </w:style>
  <w:style w:type="character" w:customStyle="1" w:styleId="pubauthornone">
    <w:name w:val="pub_author_none"/>
    <w:basedOn w:val="DefaultParagraphFont"/>
    <w:uiPriority w:val="99"/>
    <w:rsid w:val="008163B6"/>
  </w:style>
  <w:style w:type="character" w:customStyle="1" w:styleId="cit-auth2">
    <w:name w:val="cit-auth2"/>
    <w:basedOn w:val="DefaultParagraphFont"/>
    <w:uiPriority w:val="99"/>
    <w:rsid w:val="008163B6"/>
  </w:style>
  <w:style w:type="character" w:customStyle="1" w:styleId="cit-vol">
    <w:name w:val="cit-vol"/>
    <w:basedOn w:val="DefaultParagraphFont"/>
    <w:uiPriority w:val="99"/>
    <w:rsid w:val="008163B6"/>
  </w:style>
  <w:style w:type="character" w:customStyle="1" w:styleId="printhide">
    <w:name w:val="printhide"/>
    <w:basedOn w:val="DefaultParagraphFont"/>
    <w:uiPriority w:val="99"/>
    <w:rsid w:val="008163B6"/>
  </w:style>
  <w:style w:type="paragraph" w:customStyle="1" w:styleId="IPPTitle18pt">
    <w:name w:val="IPP Title18pt"/>
    <w:basedOn w:val="Default"/>
    <w:next w:val="Default"/>
    <w:uiPriority w:val="99"/>
    <w:rsid w:val="008163B6"/>
    <w:pPr>
      <w:widowControl w:val="0"/>
      <w:spacing w:line="360" w:lineRule="atLeast"/>
      <w:jc w:val="both"/>
      <w:textAlignment w:val="baseline"/>
    </w:pPr>
    <w:rPr>
      <w:rFonts w:ascii="Arial" w:hAnsi="Arial" w:cs="Arial"/>
      <w:color w:val="auto"/>
    </w:rPr>
  </w:style>
  <w:style w:type="paragraph" w:customStyle="1" w:styleId="IPPNormalCloseSpace">
    <w:name w:val="IPP NormalCloseSpace"/>
    <w:basedOn w:val="Default"/>
    <w:next w:val="Default"/>
    <w:uiPriority w:val="99"/>
    <w:rsid w:val="008163B6"/>
    <w:pPr>
      <w:widowControl w:val="0"/>
      <w:spacing w:line="360" w:lineRule="atLeast"/>
      <w:jc w:val="both"/>
      <w:textAlignment w:val="baseline"/>
    </w:pPr>
    <w:rPr>
      <w:color w:val="auto"/>
    </w:rPr>
  </w:style>
  <w:style w:type="character" w:customStyle="1" w:styleId="apple-style-span">
    <w:name w:val="apple-style-span"/>
    <w:basedOn w:val="DefaultParagraphFont"/>
    <w:uiPriority w:val="99"/>
    <w:rsid w:val="008163B6"/>
  </w:style>
  <w:style w:type="character" w:customStyle="1" w:styleId="apple-converted-space">
    <w:name w:val="apple-converted-space"/>
    <w:basedOn w:val="DefaultParagraphFont"/>
    <w:rsid w:val="008163B6"/>
  </w:style>
  <w:style w:type="character" w:styleId="HTMLAcronym">
    <w:name w:val="HTML Acronym"/>
    <w:basedOn w:val="DefaultParagraphFont"/>
    <w:uiPriority w:val="99"/>
    <w:rsid w:val="008163B6"/>
  </w:style>
  <w:style w:type="character" w:customStyle="1" w:styleId="kwd-text">
    <w:name w:val="kwd-text"/>
    <w:basedOn w:val="DefaultParagraphFont"/>
    <w:uiPriority w:val="99"/>
    <w:rsid w:val="008163B6"/>
  </w:style>
  <w:style w:type="character" w:customStyle="1" w:styleId="searchterm01">
    <w:name w:val="searchterm01"/>
    <w:basedOn w:val="DefaultParagraphFont"/>
    <w:uiPriority w:val="99"/>
    <w:rsid w:val="008163B6"/>
    <w:rPr>
      <w:b/>
      <w:bCs/>
      <w:color w:val="000000"/>
      <w:shd w:val="clear" w:color="auto" w:fill="FFFF66"/>
    </w:rPr>
  </w:style>
  <w:style w:type="character" w:customStyle="1" w:styleId="searchterm11">
    <w:name w:val="searchterm11"/>
    <w:basedOn w:val="DefaultParagraphFont"/>
    <w:uiPriority w:val="99"/>
    <w:rsid w:val="008163B6"/>
    <w:rPr>
      <w:b/>
      <w:bCs/>
      <w:color w:val="000000"/>
      <w:shd w:val="clear" w:color="auto" w:fill="A0FFFF"/>
    </w:rPr>
  </w:style>
  <w:style w:type="character" w:customStyle="1" w:styleId="searchterm21">
    <w:name w:val="searchterm21"/>
    <w:basedOn w:val="DefaultParagraphFont"/>
    <w:uiPriority w:val="99"/>
    <w:rsid w:val="008163B6"/>
    <w:rPr>
      <w:b/>
      <w:bCs/>
      <w:color w:val="000000"/>
      <w:shd w:val="clear" w:color="auto" w:fill="99FF99"/>
    </w:rPr>
  </w:style>
  <w:style w:type="paragraph" w:customStyle="1" w:styleId="SYN1ERELIGNE">
    <w:name w:val="SYN.1ERE LIGNE"/>
    <w:basedOn w:val="Default"/>
    <w:next w:val="Default"/>
    <w:uiPriority w:val="99"/>
    <w:rsid w:val="008163B6"/>
    <w:pPr>
      <w:widowControl w:val="0"/>
      <w:spacing w:line="360" w:lineRule="atLeast"/>
      <w:jc w:val="both"/>
      <w:textAlignment w:val="baseline"/>
    </w:pPr>
    <w:rPr>
      <w:color w:val="auto"/>
    </w:rPr>
  </w:style>
  <w:style w:type="paragraph" w:customStyle="1" w:styleId="SYNONYMES">
    <w:name w:val="SYNONYMES"/>
    <w:basedOn w:val="Default"/>
    <w:next w:val="Default"/>
    <w:uiPriority w:val="99"/>
    <w:rsid w:val="008163B6"/>
    <w:pPr>
      <w:widowControl w:val="0"/>
      <w:spacing w:line="360" w:lineRule="atLeast"/>
      <w:jc w:val="both"/>
      <w:textAlignment w:val="baseline"/>
    </w:pPr>
    <w:rPr>
      <w:color w:val="auto"/>
    </w:rPr>
  </w:style>
  <w:style w:type="paragraph" w:customStyle="1" w:styleId="NC1ERELIGNE">
    <w:name w:val="NC 1ERE LIGNE"/>
    <w:basedOn w:val="Default"/>
    <w:next w:val="Default"/>
    <w:uiPriority w:val="99"/>
    <w:rsid w:val="008163B6"/>
    <w:pPr>
      <w:widowControl w:val="0"/>
      <w:spacing w:line="360" w:lineRule="atLeast"/>
      <w:jc w:val="both"/>
      <w:textAlignment w:val="baseline"/>
    </w:pPr>
    <w:rPr>
      <w:color w:val="auto"/>
    </w:rPr>
  </w:style>
  <w:style w:type="paragraph" w:styleId="Revision">
    <w:name w:val="Revision"/>
    <w:hidden/>
    <w:uiPriority w:val="99"/>
    <w:semiHidden/>
    <w:rsid w:val="008163B6"/>
    <w:pPr>
      <w:widowControl w:val="0"/>
      <w:adjustRightInd w:val="0"/>
      <w:spacing w:line="360" w:lineRule="atLeast"/>
      <w:jc w:val="both"/>
      <w:textAlignment w:val="baseline"/>
    </w:pPr>
    <w:rPr>
      <w:rFonts w:ascii="Times New Roman" w:eastAsia="Times New Roman" w:hAnsi="Times New Roman"/>
      <w:sz w:val="24"/>
      <w:szCs w:val="24"/>
      <w:lang w:eastAsia="en-US"/>
    </w:rPr>
  </w:style>
  <w:style w:type="character" w:customStyle="1" w:styleId="genera1">
    <w:name w:val="genera1"/>
    <w:basedOn w:val="DefaultParagraphFont"/>
    <w:rsid w:val="008163B6"/>
    <w:rPr>
      <w:rFonts w:cs="Times New Roman"/>
      <w:i/>
      <w:iCs/>
    </w:rPr>
  </w:style>
  <w:style w:type="character" w:customStyle="1" w:styleId="txtlrg1">
    <w:name w:val="txtlrg1"/>
    <w:basedOn w:val="DefaultParagraphFont"/>
    <w:rsid w:val="008163B6"/>
    <w:rPr>
      <w:rFonts w:ascii="Verdana" w:hAnsi="Verdana" w:cs="Verdana"/>
      <w:sz w:val="20"/>
      <w:szCs w:val="20"/>
    </w:rPr>
  </w:style>
  <w:style w:type="character" w:customStyle="1" w:styleId="fieldheader1">
    <w:name w:val="fieldheader1"/>
    <w:basedOn w:val="DefaultParagraphFont"/>
    <w:rsid w:val="008163B6"/>
    <w:rPr>
      <w:rFonts w:ascii="Verdana" w:hAnsi="Verdana" w:cs="Verdana"/>
      <w:b/>
      <w:bCs/>
      <w:color w:val="auto"/>
      <w:sz w:val="17"/>
      <w:szCs w:val="17"/>
    </w:rPr>
  </w:style>
  <w:style w:type="character" w:customStyle="1" w:styleId="searchmatch">
    <w:name w:val="searchmatch"/>
    <w:basedOn w:val="DefaultParagraphFont"/>
    <w:rsid w:val="008163B6"/>
  </w:style>
  <w:style w:type="paragraph" w:customStyle="1" w:styleId="hanging">
    <w:name w:val="hanging"/>
    <w:basedOn w:val="Normal"/>
    <w:uiPriority w:val="99"/>
    <w:rsid w:val="008163B6"/>
    <w:pPr>
      <w:widowControl w:val="0"/>
      <w:adjustRightInd w:val="0"/>
      <w:spacing w:before="100" w:beforeAutospacing="1" w:after="100" w:afterAutospacing="1" w:line="360" w:lineRule="atLeast"/>
      <w:jc w:val="both"/>
      <w:textAlignment w:val="baseline"/>
    </w:pPr>
    <w:rPr>
      <w:sz w:val="19"/>
      <w:szCs w:val="19"/>
    </w:rPr>
  </w:style>
  <w:style w:type="paragraph" w:customStyle="1" w:styleId="tabletext1">
    <w:name w:val="tabletext"/>
    <w:basedOn w:val="Normal"/>
    <w:rsid w:val="008163B6"/>
    <w:pPr>
      <w:widowControl w:val="0"/>
      <w:adjustRightInd w:val="0"/>
      <w:spacing w:line="288" w:lineRule="auto"/>
      <w:jc w:val="center"/>
      <w:textAlignment w:val="baseline"/>
    </w:pPr>
    <w:rPr>
      <w:rFonts w:ascii="Palatino (PCL6)" w:hAnsi="Palatino (PCL6)"/>
      <w:sz w:val="18"/>
      <w:szCs w:val="18"/>
    </w:rPr>
  </w:style>
  <w:style w:type="paragraph" w:customStyle="1" w:styleId="Navaden">
    <w:name w:val="Navaden"/>
    <w:basedOn w:val="Normal"/>
    <w:next w:val="Normal"/>
    <w:rsid w:val="008163B6"/>
    <w:pPr>
      <w:widowControl w:val="0"/>
      <w:autoSpaceDE w:val="0"/>
      <w:autoSpaceDN w:val="0"/>
      <w:adjustRightInd w:val="0"/>
      <w:spacing w:before="60" w:line="360" w:lineRule="atLeast"/>
      <w:jc w:val="both"/>
      <w:textAlignment w:val="baseline"/>
    </w:pPr>
  </w:style>
  <w:style w:type="paragraph" w:customStyle="1" w:styleId="table0">
    <w:name w:val="table"/>
    <w:basedOn w:val="Normal"/>
    <w:rsid w:val="008163B6"/>
    <w:pPr>
      <w:keepLines/>
      <w:widowControl w:val="0"/>
      <w:tabs>
        <w:tab w:val="left" w:pos="142"/>
        <w:tab w:val="left" w:pos="284"/>
        <w:tab w:val="left" w:pos="426"/>
        <w:tab w:val="left" w:pos="1985"/>
        <w:tab w:val="left" w:pos="2268"/>
        <w:tab w:val="left" w:pos="2552"/>
        <w:tab w:val="left" w:pos="2835"/>
      </w:tabs>
      <w:adjustRightInd w:val="0"/>
      <w:spacing w:before="80" w:after="80" w:line="340" w:lineRule="atLeast"/>
      <w:jc w:val="both"/>
      <w:textAlignment w:val="baseline"/>
    </w:pPr>
    <w:rPr>
      <w:rFonts w:ascii="Palatino" w:hAnsi="Palatino"/>
      <w:color w:val="000080"/>
      <w:sz w:val="20"/>
      <w:szCs w:val="20"/>
      <w:lang w:val="en-US"/>
    </w:rPr>
  </w:style>
  <w:style w:type="character" w:customStyle="1" w:styleId="content">
    <w:name w:val="content"/>
    <w:basedOn w:val="DefaultParagraphFont"/>
    <w:rsid w:val="008163B6"/>
  </w:style>
  <w:style w:type="paragraph" w:customStyle="1" w:styleId="StyleBAText1bulletItalic">
    <w:name w:val="Style BA Text 1 bullet + Italic"/>
    <w:basedOn w:val="Normal"/>
    <w:rsid w:val="008163B6"/>
    <w:pPr>
      <w:widowControl w:val="0"/>
      <w:adjustRightInd w:val="0"/>
      <w:spacing w:line="280" w:lineRule="atLeast"/>
      <w:jc w:val="both"/>
      <w:textAlignment w:val="baseline"/>
    </w:pPr>
    <w:rPr>
      <w:rFonts w:ascii="Times" w:hAnsi="Times"/>
      <w:i/>
      <w:iCs/>
    </w:rPr>
  </w:style>
  <w:style w:type="paragraph" w:customStyle="1" w:styleId="StyleBAText1Italic">
    <w:name w:val="Style BA Text 1 + Italic"/>
    <w:basedOn w:val="Normal"/>
    <w:rsid w:val="008163B6"/>
    <w:pPr>
      <w:widowControl w:val="0"/>
      <w:adjustRightInd w:val="0"/>
      <w:spacing w:line="280" w:lineRule="atLeast"/>
      <w:jc w:val="both"/>
      <w:textAlignment w:val="baseline"/>
    </w:pPr>
    <w:rPr>
      <w:rFonts w:ascii="Times" w:hAnsi="Times"/>
      <w:i/>
      <w:iCs/>
    </w:rPr>
  </w:style>
  <w:style w:type="paragraph" w:customStyle="1" w:styleId="Tableheader">
    <w:name w:val="Table header"/>
    <w:basedOn w:val="Normal"/>
    <w:link w:val="TableheaderCharChar"/>
    <w:rsid w:val="008163B6"/>
    <w:pPr>
      <w:keepNext/>
      <w:keepLines/>
      <w:widowControl w:val="0"/>
      <w:adjustRightInd w:val="0"/>
      <w:spacing w:before="360" w:after="120" w:line="240" w:lineRule="atLeast"/>
      <w:jc w:val="both"/>
      <w:textAlignment w:val="baseline"/>
      <w:outlineLvl w:val="8"/>
    </w:pPr>
    <w:rPr>
      <w:rFonts w:ascii="Arial" w:hAnsi="Arial"/>
      <w:b/>
      <w:bCs/>
    </w:rPr>
  </w:style>
  <w:style w:type="character" w:customStyle="1" w:styleId="TableheaderCharChar">
    <w:name w:val="Table header Char Char"/>
    <w:basedOn w:val="DefaultParagraphFont"/>
    <w:link w:val="Tableheader"/>
    <w:rsid w:val="008163B6"/>
    <w:rPr>
      <w:rFonts w:ascii="Arial" w:eastAsia="Times New Roman" w:hAnsi="Arial"/>
      <w:b/>
      <w:bCs/>
      <w:sz w:val="22"/>
      <w:szCs w:val="24"/>
      <w:lang w:eastAsia="en-US"/>
    </w:rPr>
  </w:style>
  <w:style w:type="table" w:styleId="TableList3">
    <w:name w:val="Table List 3"/>
    <w:basedOn w:val="TableNormal"/>
    <w:rsid w:val="008163B6"/>
    <w:pPr>
      <w:widowControl w:val="0"/>
      <w:spacing w:line="34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8163B6"/>
    <w:pPr>
      <w:widowControl w:val="0"/>
      <w:spacing w:after="358" w:line="360" w:lineRule="atLeast"/>
      <w:jc w:val="both"/>
      <w:textAlignment w:val="baseline"/>
    </w:pPr>
    <w:rPr>
      <w:color w:val="auto"/>
    </w:rPr>
  </w:style>
  <w:style w:type="character" w:customStyle="1" w:styleId="sn">
    <w:name w:val="sn"/>
    <w:basedOn w:val="DefaultParagraphFont"/>
    <w:rsid w:val="008163B6"/>
  </w:style>
  <w:style w:type="character" w:customStyle="1" w:styleId="subject1">
    <w:name w:val="subject1"/>
    <w:basedOn w:val="DefaultParagraphFont"/>
    <w:rsid w:val="008163B6"/>
    <w:rPr>
      <w:b/>
      <w:bCs/>
    </w:rPr>
  </w:style>
  <w:style w:type="paragraph" w:customStyle="1" w:styleId="text">
    <w:name w:val="text"/>
    <w:basedOn w:val="Normal"/>
    <w:rsid w:val="008163B6"/>
    <w:pPr>
      <w:widowControl w:val="0"/>
      <w:adjustRightInd w:val="0"/>
      <w:spacing w:before="100" w:beforeAutospacing="1" w:after="100" w:afterAutospacing="1" w:line="360" w:lineRule="atLeast"/>
      <w:jc w:val="both"/>
      <w:textAlignment w:val="baseline"/>
    </w:pPr>
    <w:rPr>
      <w:rFonts w:ascii="Arial" w:hAnsi="Arial" w:cs="Arial"/>
    </w:rPr>
  </w:style>
  <w:style w:type="paragraph" w:customStyle="1" w:styleId="noskip">
    <w:name w:val="noskip"/>
    <w:basedOn w:val="Normal"/>
    <w:uiPriority w:val="99"/>
    <w:rsid w:val="008163B6"/>
    <w:pPr>
      <w:widowControl w:val="0"/>
      <w:adjustRightInd w:val="0"/>
      <w:spacing w:after="100" w:afterAutospacing="1" w:line="360" w:lineRule="atLeast"/>
      <w:jc w:val="both"/>
      <w:textAlignment w:val="baseline"/>
    </w:pPr>
  </w:style>
  <w:style w:type="character" w:customStyle="1" w:styleId="smallcaps3">
    <w:name w:val="smallcaps3"/>
    <w:basedOn w:val="DefaultParagraphFont"/>
    <w:rsid w:val="008163B6"/>
    <w:rPr>
      <w:smallCaps/>
    </w:rPr>
  </w:style>
  <w:style w:type="character" w:customStyle="1" w:styleId="defaultcontent1">
    <w:name w:val="default_content1"/>
    <w:basedOn w:val="DefaultParagraphFont"/>
    <w:rsid w:val="008163B6"/>
    <w:rPr>
      <w:rFonts w:ascii="Arial" w:hAnsi="Arial" w:cs="Arial" w:hint="default"/>
      <w:b w:val="0"/>
      <w:bCs w:val="0"/>
      <w:color w:val="000000"/>
      <w:sz w:val="15"/>
      <w:szCs w:val="15"/>
    </w:rPr>
  </w:style>
  <w:style w:type="character" w:customStyle="1" w:styleId="contenttitle1">
    <w:name w:val="content_title1"/>
    <w:basedOn w:val="DefaultParagraphFont"/>
    <w:rsid w:val="008163B6"/>
    <w:rPr>
      <w:rFonts w:ascii="Arial" w:hAnsi="Arial" w:cs="Arial" w:hint="default"/>
      <w:b/>
      <w:bCs/>
      <w:color w:val="0066AA"/>
      <w:sz w:val="22"/>
      <w:szCs w:val="22"/>
    </w:rPr>
  </w:style>
  <w:style w:type="character" w:customStyle="1" w:styleId="header011">
    <w:name w:val="header011"/>
    <w:basedOn w:val="DefaultParagraphFont"/>
    <w:rsid w:val="008163B6"/>
    <w:rPr>
      <w:rFonts w:ascii="Arial" w:hAnsi="Arial" w:cs="Arial" w:hint="default"/>
      <w:color w:val="007437"/>
      <w:sz w:val="24"/>
      <w:szCs w:val="24"/>
    </w:rPr>
  </w:style>
  <w:style w:type="character" w:customStyle="1" w:styleId="f1">
    <w:name w:val="f1"/>
    <w:basedOn w:val="DefaultParagraphFont"/>
    <w:rsid w:val="008163B6"/>
    <w:rPr>
      <w:color w:val="666666"/>
    </w:rPr>
  </w:style>
  <w:style w:type="paragraph" w:customStyle="1" w:styleId="Titre1">
    <w:name w:val="Titre 1"/>
    <w:basedOn w:val="Default"/>
    <w:next w:val="Default"/>
    <w:rsid w:val="008163B6"/>
    <w:pPr>
      <w:widowControl w:val="0"/>
      <w:spacing w:before="120" w:after="600" w:line="360" w:lineRule="atLeast"/>
      <w:jc w:val="both"/>
      <w:textAlignment w:val="baseline"/>
    </w:pPr>
    <w:rPr>
      <w:color w:val="auto"/>
    </w:rPr>
  </w:style>
  <w:style w:type="character" w:customStyle="1" w:styleId="title3">
    <w:name w:val="title3"/>
    <w:basedOn w:val="DefaultParagraphFont"/>
    <w:rsid w:val="008163B6"/>
  </w:style>
  <w:style w:type="character" w:customStyle="1" w:styleId="journal2">
    <w:name w:val="journal2"/>
    <w:basedOn w:val="DefaultParagraphFont"/>
    <w:rsid w:val="008163B6"/>
  </w:style>
  <w:style w:type="paragraph" w:customStyle="1" w:styleId="articledetails">
    <w:name w:val="articledetails"/>
    <w:basedOn w:val="Normal"/>
    <w:rsid w:val="008163B6"/>
    <w:pPr>
      <w:widowControl w:val="0"/>
      <w:adjustRightInd w:val="0"/>
      <w:spacing w:before="100" w:beforeAutospacing="1" w:after="100" w:afterAutospacing="1" w:line="360" w:lineRule="atLeast"/>
      <w:jc w:val="both"/>
      <w:textAlignment w:val="baseline"/>
    </w:pPr>
  </w:style>
  <w:style w:type="character" w:customStyle="1" w:styleId="articlepagesstyle">
    <w:name w:val="articlepagesstyle"/>
    <w:basedOn w:val="DefaultParagraphFont"/>
    <w:uiPriority w:val="99"/>
    <w:rsid w:val="008163B6"/>
  </w:style>
  <w:style w:type="character" w:customStyle="1" w:styleId="style111">
    <w:name w:val="style111"/>
    <w:basedOn w:val="DefaultParagraphFont"/>
    <w:rsid w:val="008163B6"/>
    <w:rPr>
      <w:rFonts w:ascii="Verdana" w:hAnsi="Verdana" w:hint="default"/>
      <w:b/>
      <w:bCs/>
      <w:color w:val="581E79"/>
      <w:sz w:val="21"/>
      <w:szCs w:val="21"/>
    </w:rPr>
  </w:style>
  <w:style w:type="character" w:customStyle="1" w:styleId="gsa1">
    <w:name w:val="gs_a1"/>
    <w:basedOn w:val="DefaultParagraphFont"/>
    <w:uiPriority w:val="99"/>
    <w:rsid w:val="008163B6"/>
    <w:rPr>
      <w:color w:val="008000"/>
    </w:rPr>
  </w:style>
  <w:style w:type="paragraph" w:customStyle="1" w:styleId="simkop1">
    <w:name w:val="simkop1"/>
    <w:basedOn w:val="Normal"/>
    <w:rsid w:val="008163B6"/>
    <w:pPr>
      <w:widowControl w:val="0"/>
      <w:autoSpaceDE w:val="0"/>
      <w:autoSpaceDN w:val="0"/>
      <w:adjustRightInd w:val="0"/>
      <w:spacing w:line="360" w:lineRule="atLeast"/>
      <w:jc w:val="both"/>
      <w:textAlignment w:val="baseline"/>
    </w:pPr>
    <w:rPr>
      <w:rFonts w:ascii="Arial" w:hAnsi="Arial" w:cs="Arial"/>
      <w:b/>
      <w:bCs/>
      <w:spacing w:val="-3"/>
      <w:sz w:val="32"/>
      <w:szCs w:val="32"/>
    </w:rPr>
  </w:style>
  <w:style w:type="character" w:customStyle="1" w:styleId="personname3">
    <w:name w:val="person_name3"/>
    <w:basedOn w:val="DefaultParagraphFont"/>
    <w:rsid w:val="008163B6"/>
  </w:style>
  <w:style w:type="character" w:customStyle="1" w:styleId="journalabstracttitle1">
    <w:name w:val="journal_abstract_title1"/>
    <w:basedOn w:val="DefaultParagraphFont"/>
    <w:rsid w:val="008163B6"/>
    <w:rPr>
      <w:rFonts w:ascii="Arial" w:hAnsi="Arial" w:cs="Arial" w:hint="default"/>
      <w:b/>
      <w:bCs/>
      <w:caps w:val="0"/>
      <w:sz w:val="23"/>
      <w:szCs w:val="23"/>
    </w:rPr>
  </w:style>
  <w:style w:type="character" w:customStyle="1" w:styleId="author0">
    <w:name w:val="author"/>
    <w:basedOn w:val="DefaultParagraphFont"/>
    <w:uiPriority w:val="99"/>
    <w:rsid w:val="008163B6"/>
  </w:style>
  <w:style w:type="paragraph" w:customStyle="1" w:styleId="H5">
    <w:name w:val="H5"/>
    <w:basedOn w:val="Normal"/>
    <w:next w:val="Normal"/>
    <w:rsid w:val="008163B6"/>
    <w:pPr>
      <w:keepNext/>
      <w:widowControl w:val="0"/>
      <w:adjustRightInd w:val="0"/>
      <w:spacing w:before="100" w:after="100" w:line="360" w:lineRule="atLeast"/>
      <w:jc w:val="both"/>
      <w:textAlignment w:val="baseline"/>
      <w:outlineLvl w:val="5"/>
    </w:pPr>
    <w:rPr>
      <w:b/>
      <w:snapToGrid w:val="0"/>
      <w:sz w:val="20"/>
      <w:szCs w:val="20"/>
    </w:rPr>
  </w:style>
  <w:style w:type="paragraph" w:customStyle="1" w:styleId="DefinitionTerm">
    <w:name w:val="Definition Term"/>
    <w:basedOn w:val="Normal"/>
    <w:next w:val="Normal"/>
    <w:rsid w:val="008163B6"/>
    <w:pPr>
      <w:widowControl w:val="0"/>
      <w:adjustRightInd w:val="0"/>
      <w:spacing w:line="360" w:lineRule="atLeast"/>
      <w:jc w:val="both"/>
      <w:textAlignment w:val="baseline"/>
    </w:pPr>
    <w:rPr>
      <w:snapToGrid w:val="0"/>
      <w:sz w:val="20"/>
      <w:szCs w:val="20"/>
    </w:rPr>
  </w:style>
  <w:style w:type="paragraph" w:customStyle="1" w:styleId="articletitle">
    <w:name w:val="articletitle"/>
    <w:basedOn w:val="Normal"/>
    <w:rsid w:val="008163B6"/>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8163B6"/>
  </w:style>
  <w:style w:type="character" w:customStyle="1" w:styleId="journaltitle2">
    <w:name w:val="journaltitle2"/>
    <w:basedOn w:val="DefaultParagraphFont"/>
    <w:rsid w:val="008163B6"/>
    <w:rPr>
      <w:i/>
      <w:iCs/>
    </w:rPr>
  </w:style>
  <w:style w:type="character" w:customStyle="1" w:styleId="vol2">
    <w:name w:val="vol2"/>
    <w:basedOn w:val="DefaultParagraphFont"/>
    <w:rsid w:val="008163B6"/>
    <w:rPr>
      <w:b/>
      <w:bCs/>
    </w:rPr>
  </w:style>
  <w:style w:type="character" w:customStyle="1" w:styleId="pagefirst">
    <w:name w:val="pagefirst"/>
    <w:basedOn w:val="DefaultParagraphFont"/>
    <w:rsid w:val="008163B6"/>
  </w:style>
  <w:style w:type="character" w:customStyle="1" w:styleId="pagelast">
    <w:name w:val="pagelast"/>
    <w:basedOn w:val="DefaultParagraphFont"/>
    <w:rsid w:val="008163B6"/>
  </w:style>
  <w:style w:type="character" w:customStyle="1" w:styleId="othertitle">
    <w:name w:val="othertitle"/>
    <w:basedOn w:val="DefaultParagraphFont"/>
    <w:rsid w:val="008163B6"/>
  </w:style>
  <w:style w:type="character" w:customStyle="1" w:styleId="mixed-citation">
    <w:name w:val="mixed-citation"/>
    <w:basedOn w:val="DefaultParagraphFont"/>
    <w:rsid w:val="008163B6"/>
  </w:style>
  <w:style w:type="character" w:customStyle="1" w:styleId="ref-title">
    <w:name w:val="ref-title"/>
    <w:basedOn w:val="DefaultParagraphFont"/>
    <w:rsid w:val="008163B6"/>
  </w:style>
  <w:style w:type="character" w:customStyle="1" w:styleId="ref-journal1">
    <w:name w:val="ref-journal1"/>
    <w:basedOn w:val="DefaultParagraphFont"/>
    <w:rsid w:val="008163B6"/>
    <w:rPr>
      <w:i/>
      <w:iCs/>
    </w:rPr>
  </w:style>
  <w:style w:type="character" w:customStyle="1" w:styleId="ref-vol">
    <w:name w:val="ref-vol"/>
    <w:basedOn w:val="DefaultParagraphFont"/>
    <w:rsid w:val="008163B6"/>
  </w:style>
  <w:style w:type="paragraph" w:customStyle="1" w:styleId="CM2">
    <w:name w:val="CM2"/>
    <w:basedOn w:val="Default"/>
    <w:next w:val="Default"/>
    <w:uiPriority w:val="99"/>
    <w:rsid w:val="008163B6"/>
    <w:pPr>
      <w:widowControl w:val="0"/>
      <w:spacing w:line="360" w:lineRule="atLeast"/>
      <w:jc w:val="both"/>
      <w:textAlignment w:val="baseline"/>
    </w:pPr>
    <w:rPr>
      <w:rFonts w:ascii="MDJPP J+ Adv P 1964" w:hAnsi="MDJPP J+ Adv P 1964"/>
      <w:color w:val="auto"/>
    </w:rPr>
  </w:style>
  <w:style w:type="paragraph" w:customStyle="1" w:styleId="CM17">
    <w:name w:val="CM17"/>
    <w:basedOn w:val="Default"/>
    <w:next w:val="Default"/>
    <w:uiPriority w:val="99"/>
    <w:rsid w:val="008163B6"/>
    <w:pPr>
      <w:widowControl w:val="0"/>
      <w:spacing w:line="360" w:lineRule="atLeast"/>
      <w:jc w:val="both"/>
      <w:textAlignment w:val="baseline"/>
    </w:pPr>
    <w:rPr>
      <w:rFonts w:ascii="MDJPP J+ Adv P 1964" w:hAnsi="MDJPP J+ Adv P 1964"/>
      <w:color w:val="auto"/>
    </w:rPr>
  </w:style>
  <w:style w:type="paragraph" w:customStyle="1" w:styleId="CM16">
    <w:name w:val="CM16"/>
    <w:basedOn w:val="Default"/>
    <w:next w:val="Default"/>
    <w:uiPriority w:val="99"/>
    <w:rsid w:val="008163B6"/>
    <w:pPr>
      <w:widowControl w:val="0"/>
      <w:spacing w:line="360" w:lineRule="atLeast"/>
      <w:jc w:val="both"/>
      <w:textAlignment w:val="baseline"/>
    </w:pPr>
    <w:rPr>
      <w:rFonts w:ascii="MDJPP J+ Adv P 1964" w:hAnsi="MDJPP J+ Adv P 1964"/>
      <w:color w:val="auto"/>
    </w:rPr>
  </w:style>
  <w:style w:type="paragraph" w:customStyle="1" w:styleId="CM1">
    <w:name w:val="CM1"/>
    <w:basedOn w:val="Default"/>
    <w:next w:val="Default"/>
    <w:uiPriority w:val="99"/>
    <w:rsid w:val="008163B6"/>
    <w:pPr>
      <w:widowControl w:val="0"/>
      <w:spacing w:line="360" w:lineRule="atLeast"/>
      <w:jc w:val="both"/>
      <w:textAlignment w:val="baseline"/>
    </w:pPr>
    <w:rPr>
      <w:rFonts w:ascii="MDJPO D+ Adv P 1968" w:hAnsi="MDJPO D+ Adv P 1968"/>
      <w:color w:val="auto"/>
    </w:rPr>
  </w:style>
  <w:style w:type="character" w:customStyle="1" w:styleId="cit-pub-date1">
    <w:name w:val="cit-pub-date1"/>
    <w:basedOn w:val="DefaultParagraphFont"/>
    <w:uiPriority w:val="99"/>
    <w:rsid w:val="008163B6"/>
    <w:rPr>
      <w:b/>
      <w:bCs/>
    </w:rPr>
  </w:style>
  <w:style w:type="character" w:customStyle="1" w:styleId="Subtitle1">
    <w:name w:val="Subtitle1"/>
    <w:basedOn w:val="DefaultParagraphFont"/>
    <w:rsid w:val="008163B6"/>
  </w:style>
  <w:style w:type="character" w:customStyle="1" w:styleId="description1">
    <w:name w:val="description1"/>
    <w:basedOn w:val="DefaultParagraphFont"/>
    <w:rsid w:val="008163B6"/>
    <w:rPr>
      <w:sz w:val="20"/>
      <w:szCs w:val="20"/>
    </w:rPr>
  </w:style>
  <w:style w:type="character" w:customStyle="1" w:styleId="fn">
    <w:name w:val="fn"/>
    <w:basedOn w:val="DefaultParagraphFont"/>
    <w:rsid w:val="008163B6"/>
  </w:style>
  <w:style w:type="paragraph" w:styleId="HTMLAddress">
    <w:name w:val="HTML Address"/>
    <w:basedOn w:val="Normal"/>
    <w:link w:val="HTMLAddressChar"/>
    <w:uiPriority w:val="99"/>
    <w:unhideWhenUsed/>
    <w:rsid w:val="008163B6"/>
    <w:pPr>
      <w:widowControl w:val="0"/>
      <w:adjustRightInd w:val="0"/>
      <w:spacing w:line="360" w:lineRule="atLeast"/>
      <w:jc w:val="both"/>
      <w:textAlignment w:val="baseline"/>
    </w:pPr>
    <w:rPr>
      <w:i/>
      <w:iCs/>
    </w:rPr>
  </w:style>
  <w:style w:type="character" w:customStyle="1" w:styleId="HTMLAddressChar">
    <w:name w:val="HTML Address Char"/>
    <w:basedOn w:val="DefaultParagraphFont"/>
    <w:link w:val="HTMLAddress"/>
    <w:uiPriority w:val="99"/>
    <w:rsid w:val="008163B6"/>
    <w:rPr>
      <w:rFonts w:ascii="Times New Roman" w:eastAsia="Times New Roman" w:hAnsi="Times New Roman"/>
      <w:i/>
      <w:iCs/>
      <w:sz w:val="24"/>
      <w:szCs w:val="24"/>
    </w:rPr>
  </w:style>
  <w:style w:type="paragraph" w:customStyle="1" w:styleId="BodyText5">
    <w:name w:val="Body Text+5"/>
    <w:basedOn w:val="Default"/>
    <w:next w:val="Default"/>
    <w:uiPriority w:val="99"/>
    <w:rsid w:val="008163B6"/>
    <w:pPr>
      <w:widowControl w:val="0"/>
      <w:spacing w:line="360" w:lineRule="atLeast"/>
      <w:jc w:val="both"/>
      <w:textAlignment w:val="baseline"/>
    </w:pPr>
    <w:rPr>
      <w:rFonts w:ascii="Arial" w:hAnsi="Arial" w:cs="Arial"/>
      <w:color w:val="auto"/>
    </w:rPr>
  </w:style>
  <w:style w:type="character" w:customStyle="1" w:styleId="hit">
    <w:name w:val="hit"/>
    <w:basedOn w:val="DefaultParagraphFont"/>
    <w:rsid w:val="008163B6"/>
    <w:rPr>
      <w:sz w:val="24"/>
      <w:szCs w:val="24"/>
      <w:bdr w:val="none" w:sz="0" w:space="0" w:color="auto" w:frame="1"/>
      <w:shd w:val="clear" w:color="auto" w:fill="FFFFDD"/>
      <w:vertAlign w:val="baseline"/>
    </w:rPr>
  </w:style>
  <w:style w:type="character" w:customStyle="1" w:styleId="sectiontitle1">
    <w:name w:val="sectiontitle1"/>
    <w:basedOn w:val="DefaultParagraphFont"/>
    <w:rsid w:val="008163B6"/>
    <w:rPr>
      <w:rFonts w:ascii="Verdana" w:hAnsi="Verdana" w:hint="default"/>
      <w:b/>
      <w:bCs/>
      <w:i w:val="0"/>
      <w:iCs w:val="0"/>
      <w:color w:val="284469"/>
      <w:spacing w:val="30"/>
      <w:sz w:val="24"/>
      <w:szCs w:val="24"/>
    </w:rPr>
  </w:style>
  <w:style w:type="paragraph" w:customStyle="1" w:styleId="Dot">
    <w:name w:val="Dot"/>
    <w:basedOn w:val="Normal"/>
    <w:uiPriority w:val="99"/>
    <w:rsid w:val="008163B6"/>
    <w:pPr>
      <w:widowControl w:val="0"/>
      <w:numPr>
        <w:numId w:val="30"/>
      </w:numPr>
      <w:adjustRightInd w:val="0"/>
      <w:spacing w:line="360" w:lineRule="atLeast"/>
      <w:jc w:val="both"/>
      <w:textAlignment w:val="baseline"/>
    </w:pPr>
    <w:rPr>
      <w:szCs w:val="20"/>
    </w:rPr>
  </w:style>
  <w:style w:type="paragraph" w:customStyle="1" w:styleId="Pa1">
    <w:name w:val="Pa1"/>
    <w:basedOn w:val="Default"/>
    <w:next w:val="Default"/>
    <w:uiPriority w:val="99"/>
    <w:rsid w:val="008163B6"/>
    <w:pPr>
      <w:widowControl w:val="0"/>
      <w:spacing w:line="241" w:lineRule="atLeast"/>
      <w:jc w:val="both"/>
      <w:textAlignment w:val="baseline"/>
    </w:pPr>
    <w:rPr>
      <w:rFonts w:ascii="NewCenturySchlbk" w:hAnsi="NewCenturySchlbk"/>
      <w:color w:val="auto"/>
    </w:rPr>
  </w:style>
  <w:style w:type="character" w:customStyle="1" w:styleId="A8">
    <w:name w:val="A8"/>
    <w:uiPriority w:val="99"/>
    <w:rsid w:val="008163B6"/>
    <w:rPr>
      <w:rFonts w:cs="NewCenturySchlbk"/>
      <w:color w:val="000000"/>
      <w:sz w:val="16"/>
      <w:szCs w:val="16"/>
    </w:rPr>
  </w:style>
  <w:style w:type="character" w:customStyle="1" w:styleId="st1">
    <w:name w:val="st1"/>
    <w:basedOn w:val="DefaultParagraphFont"/>
    <w:rsid w:val="008163B6"/>
  </w:style>
  <w:style w:type="character" w:customStyle="1" w:styleId="maintitle">
    <w:name w:val="maintitle"/>
    <w:basedOn w:val="DefaultParagraphFont"/>
    <w:uiPriority w:val="99"/>
    <w:rsid w:val="008163B6"/>
  </w:style>
  <w:style w:type="paragraph" w:styleId="z-TopofForm">
    <w:name w:val="HTML Top of Form"/>
    <w:basedOn w:val="Normal"/>
    <w:next w:val="Normal"/>
    <w:link w:val="z-TopofFormChar"/>
    <w:hidden/>
    <w:uiPriority w:val="99"/>
    <w:unhideWhenUsed/>
    <w:rsid w:val="008163B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8163B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163B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163B6"/>
    <w:rPr>
      <w:rFonts w:ascii="Arial" w:eastAsia="Times New Roman" w:hAnsi="Arial" w:cs="Arial"/>
      <w:vanish/>
      <w:sz w:val="16"/>
      <w:szCs w:val="16"/>
    </w:rPr>
  </w:style>
  <w:style w:type="character" w:customStyle="1" w:styleId="A5">
    <w:name w:val="A5"/>
    <w:uiPriority w:val="99"/>
    <w:rsid w:val="008163B6"/>
    <w:rPr>
      <w:color w:val="000000"/>
      <w:sz w:val="14"/>
      <w:szCs w:val="14"/>
    </w:rPr>
  </w:style>
  <w:style w:type="paragraph" w:customStyle="1" w:styleId="SP245776">
    <w:name w:val="SP245776"/>
    <w:basedOn w:val="Default"/>
    <w:next w:val="Default"/>
    <w:uiPriority w:val="99"/>
    <w:rsid w:val="008163B6"/>
    <w:rPr>
      <w:rFonts w:eastAsiaTheme="minorHAnsi"/>
      <w:color w:val="auto"/>
      <w:lang w:eastAsia="en-US"/>
    </w:rPr>
  </w:style>
  <w:style w:type="paragraph" w:customStyle="1" w:styleId="SP245785">
    <w:name w:val="SP245785"/>
    <w:basedOn w:val="Default"/>
    <w:next w:val="Default"/>
    <w:uiPriority w:val="99"/>
    <w:rsid w:val="008163B6"/>
    <w:rPr>
      <w:rFonts w:eastAsiaTheme="minorHAnsi"/>
      <w:color w:val="auto"/>
      <w:lang w:eastAsia="en-US"/>
    </w:rPr>
  </w:style>
  <w:style w:type="character" w:customStyle="1" w:styleId="SC1660">
    <w:name w:val="SC1660"/>
    <w:uiPriority w:val="99"/>
    <w:rsid w:val="008163B6"/>
    <w:rPr>
      <w:color w:val="000000"/>
      <w:sz w:val="21"/>
      <w:szCs w:val="21"/>
    </w:rPr>
  </w:style>
  <w:style w:type="character" w:customStyle="1" w:styleId="singlehighlightclass">
    <w:name w:val="single_highlight_class"/>
    <w:basedOn w:val="DefaultParagraphFont"/>
    <w:rsid w:val="008163B6"/>
  </w:style>
  <w:style w:type="character" w:customStyle="1" w:styleId="big1">
    <w:name w:val="big1"/>
    <w:basedOn w:val="DefaultParagraphFont"/>
    <w:rsid w:val="008163B6"/>
    <w:rPr>
      <w:rFonts w:ascii="Verdana" w:hAnsi="Verdana" w:hint="default"/>
      <w:sz w:val="19"/>
      <w:szCs w:val="19"/>
    </w:rPr>
  </w:style>
  <w:style w:type="character" w:customStyle="1" w:styleId="ms-rtecustom-creditcaption1">
    <w:name w:val="ms-rtecustom-creditcaption1"/>
    <w:basedOn w:val="DefaultParagraphFont"/>
    <w:rsid w:val="008163B6"/>
    <w:rPr>
      <w:sz w:val="12"/>
      <w:szCs w:val="12"/>
    </w:rPr>
  </w:style>
  <w:style w:type="paragraph" w:customStyle="1" w:styleId="CharCharCarCharCarCharCarCharCarChar">
    <w:name w:val="Char Char Car Char Car Char Car Char Car Char"/>
    <w:basedOn w:val="Normal"/>
    <w:rsid w:val="008163B6"/>
    <w:pPr>
      <w:autoSpaceDE w:val="0"/>
      <w:autoSpaceDN w:val="0"/>
      <w:spacing w:line="240" w:lineRule="exact"/>
    </w:pPr>
    <w:rPr>
      <w:rFonts w:ascii="Arial" w:hAnsi="Arial" w:cs="Arial"/>
      <w:sz w:val="20"/>
      <w:szCs w:val="20"/>
      <w:lang w:val="en-US"/>
    </w:rPr>
  </w:style>
  <w:style w:type="character" w:customStyle="1" w:styleId="normaltext1">
    <w:name w:val="normaltext1"/>
    <w:basedOn w:val="DefaultParagraphFont"/>
    <w:rsid w:val="008163B6"/>
    <w:rPr>
      <w:b w:val="0"/>
      <w:bCs w:val="0"/>
      <w:color w:val="32393D"/>
      <w:sz w:val="15"/>
      <w:szCs w:val="15"/>
    </w:rPr>
  </w:style>
  <w:style w:type="character" w:customStyle="1" w:styleId="nlmx">
    <w:name w:val="nlm_x"/>
    <w:basedOn w:val="DefaultParagraphFont"/>
    <w:uiPriority w:val="99"/>
    <w:rsid w:val="008163B6"/>
  </w:style>
  <w:style w:type="paragraph" w:customStyle="1" w:styleId="Description">
    <w:name w:val="Description"/>
    <w:basedOn w:val="Normal"/>
    <w:rsid w:val="008163B6"/>
    <w:pPr>
      <w:widowControl w:val="0"/>
      <w:autoSpaceDE w:val="0"/>
      <w:autoSpaceDN w:val="0"/>
      <w:ind w:firstLine="340"/>
      <w:jc w:val="both"/>
    </w:pPr>
    <w:rPr>
      <w:sz w:val="20"/>
      <w:szCs w:val="20"/>
    </w:rPr>
  </w:style>
  <w:style w:type="paragraph" w:customStyle="1" w:styleId="Title2">
    <w:name w:val="Title 2"/>
    <w:basedOn w:val="Normal"/>
    <w:rsid w:val="008163B6"/>
    <w:pPr>
      <w:jc w:val="center"/>
    </w:pPr>
    <w:rPr>
      <w:rFonts w:ascii="Times" w:hAnsi="Times"/>
      <w:b/>
      <w:sz w:val="36"/>
      <w:szCs w:val="20"/>
    </w:rPr>
  </w:style>
  <w:style w:type="character" w:customStyle="1" w:styleId="citation">
    <w:name w:val="citation"/>
    <w:basedOn w:val="DefaultParagraphFont"/>
    <w:rsid w:val="008163B6"/>
  </w:style>
  <w:style w:type="character" w:customStyle="1" w:styleId="ref-journal">
    <w:name w:val="ref-journal"/>
    <w:basedOn w:val="DefaultParagraphFont"/>
    <w:rsid w:val="008163B6"/>
  </w:style>
  <w:style w:type="paragraph" w:customStyle="1" w:styleId="intro">
    <w:name w:val="intro"/>
    <w:basedOn w:val="Normal"/>
    <w:rsid w:val="008163B6"/>
    <w:pPr>
      <w:spacing w:before="100" w:beforeAutospacing="1" w:after="100" w:afterAutospacing="1"/>
    </w:pPr>
  </w:style>
  <w:style w:type="character" w:customStyle="1" w:styleId="pageheading1">
    <w:name w:val="page_heading1"/>
    <w:basedOn w:val="DefaultParagraphFont"/>
    <w:rsid w:val="008163B6"/>
    <w:rPr>
      <w:b/>
      <w:bCs/>
      <w:color w:val="980000"/>
      <w:sz w:val="34"/>
      <w:szCs w:val="34"/>
    </w:rPr>
  </w:style>
  <w:style w:type="character" w:customStyle="1" w:styleId="ms-rtecustom-edctrdoi1">
    <w:name w:val="ms-rtecustom-edctrdoi1"/>
    <w:basedOn w:val="DefaultParagraphFont"/>
    <w:uiPriority w:val="99"/>
    <w:rsid w:val="008163B6"/>
    <w:rPr>
      <w:sz w:val="10"/>
      <w:szCs w:val="10"/>
    </w:rPr>
  </w:style>
  <w:style w:type="paragraph" w:customStyle="1" w:styleId="caus-symp-txt">
    <w:name w:val="caus-symp-txt"/>
    <w:basedOn w:val="Normal"/>
    <w:rsid w:val="008163B6"/>
    <w:pPr>
      <w:spacing w:before="240" w:after="240"/>
    </w:pPr>
  </w:style>
  <w:style w:type="character" w:customStyle="1" w:styleId="element-citation">
    <w:name w:val="element-citation"/>
    <w:basedOn w:val="DefaultParagraphFont"/>
    <w:rsid w:val="008163B6"/>
  </w:style>
  <w:style w:type="character" w:customStyle="1" w:styleId="citation-abbreviation">
    <w:name w:val="citation-abbreviation"/>
    <w:basedOn w:val="DefaultParagraphFont"/>
    <w:rsid w:val="008163B6"/>
  </w:style>
  <w:style w:type="character" w:customStyle="1" w:styleId="citation-publication-date">
    <w:name w:val="citation-publication-date"/>
    <w:basedOn w:val="DefaultParagraphFont"/>
    <w:rsid w:val="008163B6"/>
  </w:style>
  <w:style w:type="character" w:customStyle="1" w:styleId="citation-volume">
    <w:name w:val="citation-volume"/>
    <w:basedOn w:val="DefaultParagraphFont"/>
    <w:rsid w:val="008163B6"/>
  </w:style>
  <w:style w:type="character" w:customStyle="1" w:styleId="citation-flpages">
    <w:name w:val="citation-flpages"/>
    <w:basedOn w:val="DefaultParagraphFont"/>
    <w:rsid w:val="008163B6"/>
  </w:style>
  <w:style w:type="character" w:customStyle="1" w:styleId="publication-title">
    <w:name w:val="publication-title"/>
    <w:basedOn w:val="DefaultParagraphFont"/>
    <w:rsid w:val="008163B6"/>
  </w:style>
  <w:style w:type="character" w:customStyle="1" w:styleId="BodyChar">
    <w:name w:val="Body Char"/>
    <w:basedOn w:val="DefaultParagraphFont"/>
    <w:link w:val="Body"/>
    <w:rsid w:val="008163B6"/>
    <w:rPr>
      <w:rFonts w:ascii="Times New Roman" w:eastAsia="Times New Roman" w:hAnsi="Times New Roman"/>
      <w:sz w:val="24"/>
      <w:lang w:eastAsia="en-US"/>
    </w:rPr>
  </w:style>
  <w:style w:type="paragraph" w:customStyle="1" w:styleId="articlecategory">
    <w:name w:val="articlecategory"/>
    <w:basedOn w:val="Normal"/>
    <w:rsid w:val="008163B6"/>
    <w:pPr>
      <w:spacing w:before="100" w:beforeAutospacing="1" w:after="100" w:afterAutospacing="1"/>
    </w:pPr>
  </w:style>
  <w:style w:type="character" w:customStyle="1" w:styleId="generaltextvvsmall1">
    <w:name w:val="generaltextvvsmall1"/>
    <w:basedOn w:val="DefaultParagraphFont"/>
    <w:uiPriority w:val="99"/>
    <w:rsid w:val="008163B6"/>
    <w:rPr>
      <w:rFonts w:ascii="Arial" w:hAnsi="Arial" w:cs="Arial" w:hint="default"/>
      <w:color w:val="000000"/>
      <w:sz w:val="17"/>
      <w:szCs w:val="17"/>
    </w:rPr>
  </w:style>
  <w:style w:type="paragraph" w:customStyle="1" w:styleId="Tabletext3">
    <w:name w:val="Table text"/>
    <w:basedOn w:val="Normal"/>
    <w:uiPriority w:val="99"/>
    <w:rsid w:val="008163B6"/>
    <w:pPr>
      <w:spacing w:before="60" w:after="60" w:line="280" w:lineRule="atLeast"/>
    </w:pPr>
    <w:rPr>
      <w:rFonts w:ascii="Arial" w:hAnsi="Arial" w:cs="Arial"/>
      <w:sz w:val="18"/>
      <w:szCs w:val="18"/>
      <w:lang w:val="en-GB" w:bidi="en-US"/>
    </w:rPr>
  </w:style>
  <w:style w:type="paragraph" w:customStyle="1" w:styleId="last">
    <w:name w:val="last"/>
    <w:basedOn w:val="Normal"/>
    <w:uiPriority w:val="99"/>
    <w:rsid w:val="008163B6"/>
    <w:pPr>
      <w:spacing w:before="100" w:beforeAutospacing="1" w:after="100" w:afterAutospacing="1"/>
    </w:pPr>
    <w:rPr>
      <w:rFonts w:ascii="Verdana" w:hAnsi="Verdana" w:cs="Verdana"/>
      <w:sz w:val="16"/>
      <w:szCs w:val="16"/>
      <w:lang w:val="en-US" w:bidi="en-US"/>
    </w:rPr>
  </w:style>
  <w:style w:type="paragraph" w:customStyle="1" w:styleId="Preformatted">
    <w:name w:val="Preformatted"/>
    <w:basedOn w:val="Normal"/>
    <w:uiPriority w:val="99"/>
    <w:rsid w:val="008163B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lang w:val="en-US" w:bidi="en-US"/>
    </w:rPr>
  </w:style>
  <w:style w:type="paragraph" w:styleId="NoSpacing">
    <w:name w:val="No Spacing"/>
    <w:basedOn w:val="Normal"/>
    <w:uiPriority w:val="1"/>
    <w:qFormat/>
    <w:rsid w:val="008163B6"/>
    <w:rPr>
      <w:lang w:val="en-US" w:bidi="en-US"/>
    </w:rPr>
  </w:style>
  <w:style w:type="paragraph" w:customStyle="1" w:styleId="bio">
    <w:name w:val="bio"/>
    <w:basedOn w:val="Normal"/>
    <w:uiPriority w:val="99"/>
    <w:rsid w:val="008163B6"/>
    <w:pPr>
      <w:spacing w:before="136" w:after="136"/>
    </w:pPr>
    <w:rPr>
      <w:lang w:val="en-US" w:bidi="en-US"/>
    </w:rPr>
  </w:style>
  <w:style w:type="character" w:customStyle="1" w:styleId="byline2">
    <w:name w:val="byline2"/>
    <w:basedOn w:val="DefaultParagraphFont"/>
    <w:uiPriority w:val="99"/>
    <w:rsid w:val="008163B6"/>
    <w:rPr>
      <w:color w:val="auto"/>
    </w:rPr>
  </w:style>
  <w:style w:type="character" w:customStyle="1" w:styleId="about2">
    <w:name w:val="about2"/>
    <w:basedOn w:val="DefaultParagraphFont"/>
    <w:uiPriority w:val="99"/>
    <w:rsid w:val="008163B6"/>
  </w:style>
  <w:style w:type="paragraph" w:customStyle="1" w:styleId="Titlepageheading">
    <w:name w:val="Title page heading"/>
    <w:basedOn w:val="Title"/>
    <w:link w:val="TitlepageheadingChar"/>
    <w:uiPriority w:val="99"/>
    <w:locked/>
    <w:rsid w:val="008163B6"/>
    <w:pPr>
      <w:pBdr>
        <w:bottom w:val="single" w:sz="4" w:space="1" w:color="auto"/>
      </w:pBdr>
      <w:spacing w:before="0" w:after="200"/>
      <w:ind w:left="426"/>
      <w:contextualSpacing/>
    </w:pPr>
    <w:rPr>
      <w:rFonts w:eastAsiaTheme="majorEastAsia" w:cs="Calibri"/>
      <w:bCs/>
      <w:spacing w:val="5"/>
      <w:kern w:val="28"/>
      <w:sz w:val="54"/>
      <w:szCs w:val="54"/>
      <w:lang w:val="en-US" w:eastAsia="ja-JP" w:bidi="en-US"/>
    </w:rPr>
  </w:style>
  <w:style w:type="character" w:customStyle="1" w:styleId="TitlepageheadingChar">
    <w:name w:val="Title page heading Char"/>
    <w:basedOn w:val="DefaultParagraphFont"/>
    <w:link w:val="Titlepageheading"/>
    <w:uiPriority w:val="99"/>
    <w:locked/>
    <w:rsid w:val="008163B6"/>
    <w:rPr>
      <w:rFonts w:ascii="Calibri" w:eastAsiaTheme="majorEastAsia"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8163B6"/>
    <w:pPr>
      <w:widowControl w:val="0"/>
      <w:suppressAutoHyphens/>
      <w:autoSpaceDE w:val="0"/>
      <w:autoSpaceDN w:val="0"/>
      <w:adjustRightInd w:val="0"/>
      <w:spacing w:before="227" w:line="300" w:lineRule="atLeast"/>
      <w:textAlignment w:val="center"/>
    </w:pPr>
    <w:rPr>
      <w:rFonts w:ascii="MiloPro-Light" w:hAnsi="MiloPro-Light" w:cs="MiloPro-Light"/>
      <w:lang w:val="en-GB" w:bidi="en-US"/>
    </w:rPr>
  </w:style>
  <w:style w:type="paragraph" w:customStyle="1" w:styleId="Char14">
    <w:name w:val="Char14"/>
    <w:basedOn w:val="Normal"/>
    <w:uiPriority w:val="99"/>
    <w:rsid w:val="008163B6"/>
    <w:rPr>
      <w:rFonts w:ascii="Arial" w:hAnsi="Arial" w:cs="Arial"/>
      <w:lang w:val="en-US" w:bidi="en-US"/>
    </w:rPr>
  </w:style>
  <w:style w:type="paragraph" w:customStyle="1" w:styleId="CharChar1Char3">
    <w:name w:val="Char Char1 Char3"/>
    <w:basedOn w:val="Normal"/>
    <w:uiPriority w:val="99"/>
    <w:rsid w:val="008163B6"/>
    <w:rPr>
      <w:rFonts w:ascii="Arial" w:hAnsi="Arial" w:cs="Arial"/>
      <w:lang w:val="en-US" w:bidi="en-US"/>
    </w:rPr>
  </w:style>
  <w:style w:type="character" w:customStyle="1" w:styleId="CharChar52">
    <w:name w:val="Char Char52"/>
    <w:basedOn w:val="DefaultParagraphFont"/>
    <w:uiPriority w:val="99"/>
    <w:semiHidden/>
    <w:locked/>
    <w:rsid w:val="008163B6"/>
    <w:rPr>
      <w:sz w:val="20"/>
      <w:szCs w:val="20"/>
      <w:lang w:eastAsia="en-US"/>
    </w:rPr>
  </w:style>
  <w:style w:type="paragraph" w:customStyle="1" w:styleId="Header12">
    <w:name w:val="Header12"/>
    <w:basedOn w:val="Normal"/>
    <w:uiPriority w:val="99"/>
    <w:rsid w:val="008163B6"/>
    <w:rPr>
      <w:rFonts w:ascii="Verdana" w:hAnsi="Verdana" w:cs="Verdana"/>
      <w:sz w:val="15"/>
      <w:szCs w:val="15"/>
      <w:lang w:val="en-US" w:bidi="en-US"/>
    </w:rPr>
  </w:style>
  <w:style w:type="character" w:customStyle="1" w:styleId="CharChar62">
    <w:name w:val="Char Char62"/>
    <w:basedOn w:val="DefaultParagraphFont"/>
    <w:uiPriority w:val="99"/>
    <w:semiHidden/>
    <w:rsid w:val="008163B6"/>
    <w:rPr>
      <w:rFonts w:ascii="Times New Roman" w:hAnsi="Times New Roman" w:cs="Times New Roman"/>
      <w:sz w:val="20"/>
      <w:szCs w:val="20"/>
      <w:lang w:val="en-AU"/>
    </w:rPr>
  </w:style>
  <w:style w:type="character" w:customStyle="1" w:styleId="links1">
    <w:name w:val="links1"/>
    <w:basedOn w:val="DefaultParagraphFont"/>
    <w:uiPriority w:val="99"/>
    <w:rsid w:val="008163B6"/>
    <w:rPr>
      <w:rFonts w:ascii="Arial" w:hAnsi="Arial" w:cs="Arial"/>
      <w:sz w:val="20"/>
      <w:szCs w:val="20"/>
    </w:rPr>
  </w:style>
  <w:style w:type="paragraph" w:customStyle="1" w:styleId="style21">
    <w:name w:val="style21"/>
    <w:basedOn w:val="Normal"/>
    <w:uiPriority w:val="99"/>
    <w:rsid w:val="008163B6"/>
    <w:pPr>
      <w:spacing w:before="100" w:beforeAutospacing="1" w:after="100" w:afterAutospacing="1"/>
    </w:pPr>
    <w:rPr>
      <w:rFonts w:ascii="Arial" w:hAnsi="Arial" w:cs="Arial"/>
      <w:b/>
      <w:bCs/>
      <w:sz w:val="20"/>
      <w:szCs w:val="20"/>
      <w:lang w:val="en-US" w:bidi="en-US"/>
    </w:rPr>
  </w:style>
  <w:style w:type="character" w:customStyle="1" w:styleId="pest-scientific-name2">
    <w:name w:val="pest-scientific-name2"/>
    <w:basedOn w:val="DefaultParagraphFont"/>
    <w:uiPriority w:val="99"/>
    <w:rsid w:val="008163B6"/>
    <w:rPr>
      <w:b/>
      <w:bCs/>
      <w:i/>
      <w:iCs/>
    </w:rPr>
  </w:style>
  <w:style w:type="character" w:customStyle="1" w:styleId="pest-taxonomy2">
    <w:name w:val="pest-taxonomy2"/>
    <w:basedOn w:val="DefaultParagraphFont"/>
    <w:uiPriority w:val="99"/>
    <w:rsid w:val="008163B6"/>
    <w:rPr>
      <w:b/>
      <w:bCs/>
    </w:rPr>
  </w:style>
  <w:style w:type="character" w:customStyle="1" w:styleId="pest-scientific-author2">
    <w:name w:val="pest-scientific-author2"/>
    <w:basedOn w:val="DefaultParagraphFont"/>
    <w:uiPriority w:val="99"/>
    <w:rsid w:val="008163B6"/>
    <w:rPr>
      <w:b/>
      <w:bCs/>
    </w:rPr>
  </w:style>
  <w:style w:type="paragraph" w:customStyle="1" w:styleId="AppendixHeading">
    <w:name w:val="Appendix Heading"/>
    <w:basedOn w:val="Normal"/>
    <w:uiPriority w:val="99"/>
    <w:rsid w:val="008163B6"/>
    <w:pPr>
      <w:pBdr>
        <w:bottom w:val="thinThickThinSmallGap" w:sz="24" w:space="1" w:color="008000"/>
      </w:pBdr>
      <w:jc w:val="center"/>
    </w:pPr>
    <w:rPr>
      <w:rFonts w:ascii="Verdana" w:hAnsi="Verdana" w:cs="Verdana"/>
      <w:b/>
      <w:bCs/>
      <w:sz w:val="52"/>
      <w:szCs w:val="52"/>
      <w:lang w:val="en-US" w:bidi="en-US"/>
    </w:rPr>
  </w:style>
  <w:style w:type="character" w:customStyle="1" w:styleId="style31">
    <w:name w:val="style31"/>
    <w:basedOn w:val="DefaultParagraphFont"/>
    <w:uiPriority w:val="99"/>
    <w:rsid w:val="008163B6"/>
    <w:rPr>
      <w:rFonts w:ascii="Arial" w:hAnsi="Arial" w:cs="Arial"/>
      <w:sz w:val="18"/>
      <w:szCs w:val="18"/>
    </w:rPr>
  </w:style>
  <w:style w:type="character" w:customStyle="1" w:styleId="style41">
    <w:name w:val="style41"/>
    <w:basedOn w:val="DefaultParagraphFont"/>
    <w:uiPriority w:val="99"/>
    <w:rsid w:val="008163B6"/>
    <w:rPr>
      <w:rFonts w:ascii="Arial" w:hAnsi="Arial" w:cs="Arial"/>
      <w:b/>
      <w:bCs/>
      <w:color w:val="FFFFFF"/>
      <w:sz w:val="24"/>
      <w:szCs w:val="24"/>
    </w:rPr>
  </w:style>
  <w:style w:type="paragraph" w:customStyle="1" w:styleId="SingleSpace">
    <w:name w:val="Single Space"/>
    <w:basedOn w:val="Normal"/>
    <w:uiPriority w:val="99"/>
    <w:locked/>
    <w:rsid w:val="008163B6"/>
    <w:pPr>
      <w:tabs>
        <w:tab w:val="left" w:pos="1134"/>
      </w:tabs>
    </w:pPr>
    <w:rPr>
      <w:lang w:val="en-US" w:bidi="en-US"/>
    </w:rPr>
  </w:style>
  <w:style w:type="paragraph" w:customStyle="1" w:styleId="StyleBAHeader1Verdana10ptNotBold">
    <w:name w:val="Style BA Header 1 + Verdana 10 pt Not Bold"/>
    <w:basedOn w:val="BAHeader1"/>
    <w:uiPriority w:val="99"/>
    <w:rsid w:val="008163B6"/>
    <w:pPr>
      <w:numPr>
        <w:numId w:val="0"/>
      </w:numPr>
      <w:tabs>
        <w:tab w:val="num" w:pos="432"/>
      </w:tabs>
      <w:ind w:left="432" w:hanging="432"/>
    </w:pPr>
    <w:rPr>
      <w:rFonts w:ascii="Verdana" w:hAnsi="Verdana" w:cs="Verdana"/>
      <w:bCs/>
      <w:sz w:val="32"/>
      <w:szCs w:val="32"/>
      <w:lang w:val="en-US" w:bidi="en-US"/>
    </w:rPr>
  </w:style>
  <w:style w:type="character" w:customStyle="1" w:styleId="other-scientific-name1">
    <w:name w:val="other-scientific-name1"/>
    <w:basedOn w:val="DefaultParagraphFont"/>
    <w:uiPriority w:val="99"/>
    <w:rsid w:val="008163B6"/>
    <w:rPr>
      <w:i/>
      <w:iCs/>
    </w:rPr>
  </w:style>
  <w:style w:type="character" w:customStyle="1" w:styleId="copyright1">
    <w:name w:val="copyright1"/>
    <w:basedOn w:val="DefaultParagraphFont"/>
    <w:uiPriority w:val="99"/>
    <w:rsid w:val="008163B6"/>
    <w:rPr>
      <w:color w:val="auto"/>
      <w:sz w:val="18"/>
      <w:szCs w:val="18"/>
      <w:u w:val="none"/>
      <w:effect w:val="none"/>
    </w:rPr>
  </w:style>
  <w:style w:type="character" w:customStyle="1" w:styleId="header10">
    <w:name w:val="header1"/>
    <w:basedOn w:val="DefaultParagraphFont"/>
    <w:uiPriority w:val="99"/>
    <w:rsid w:val="008163B6"/>
    <w:rPr>
      <w:sz w:val="27"/>
      <w:szCs w:val="27"/>
    </w:rPr>
  </w:style>
  <w:style w:type="character" w:customStyle="1" w:styleId="FootnoteTextChar1">
    <w:name w:val="Footnote Text Char1"/>
    <w:uiPriority w:val="99"/>
    <w:locked/>
    <w:rsid w:val="008163B6"/>
    <w:rPr>
      <w:rFonts w:ascii="Arial" w:hAnsi="Arial" w:cs="Arial"/>
      <w:sz w:val="18"/>
      <w:szCs w:val="18"/>
      <w:lang w:val="en-AU" w:eastAsia="en-US"/>
    </w:rPr>
  </w:style>
  <w:style w:type="paragraph" w:customStyle="1" w:styleId="Char13">
    <w:name w:val="Char13"/>
    <w:basedOn w:val="Normal"/>
    <w:uiPriority w:val="99"/>
    <w:rsid w:val="008163B6"/>
    <w:rPr>
      <w:rFonts w:ascii="Arial" w:hAnsi="Arial" w:cs="Arial"/>
      <w:lang w:val="en-US" w:bidi="en-US"/>
    </w:rPr>
  </w:style>
  <w:style w:type="paragraph" w:customStyle="1" w:styleId="CharChar1Char2">
    <w:name w:val="Char Char1 Char2"/>
    <w:basedOn w:val="Normal"/>
    <w:uiPriority w:val="99"/>
    <w:rsid w:val="008163B6"/>
    <w:rPr>
      <w:rFonts w:ascii="Arial" w:hAnsi="Arial" w:cs="Arial"/>
      <w:lang w:val="en-US" w:bidi="en-US"/>
    </w:rPr>
  </w:style>
  <w:style w:type="character" w:customStyle="1" w:styleId="CharChar51">
    <w:name w:val="Char Char51"/>
    <w:uiPriority w:val="99"/>
    <w:semiHidden/>
    <w:locked/>
    <w:rsid w:val="008163B6"/>
    <w:rPr>
      <w:sz w:val="20"/>
      <w:szCs w:val="20"/>
      <w:lang w:eastAsia="en-US"/>
    </w:rPr>
  </w:style>
  <w:style w:type="paragraph" w:customStyle="1" w:styleId="Header11">
    <w:name w:val="Header11"/>
    <w:basedOn w:val="Normal"/>
    <w:uiPriority w:val="99"/>
    <w:rsid w:val="008163B6"/>
    <w:rPr>
      <w:rFonts w:ascii="Verdana" w:hAnsi="Verdana" w:cs="Verdana"/>
      <w:sz w:val="15"/>
      <w:szCs w:val="15"/>
      <w:lang w:val="en-US" w:bidi="en-US"/>
    </w:rPr>
  </w:style>
  <w:style w:type="character" w:customStyle="1" w:styleId="CharChar61">
    <w:name w:val="Char Char61"/>
    <w:uiPriority w:val="99"/>
    <w:semiHidden/>
    <w:rsid w:val="008163B6"/>
    <w:rPr>
      <w:rFonts w:ascii="Times New Roman" w:hAnsi="Times New Roman" w:cs="Times New Roman"/>
      <w:sz w:val="20"/>
      <w:szCs w:val="20"/>
      <w:lang w:val="en-AU"/>
    </w:rPr>
  </w:style>
  <w:style w:type="character" w:customStyle="1" w:styleId="xref-sep2">
    <w:name w:val="xref-sep2"/>
    <w:uiPriority w:val="99"/>
    <w:rsid w:val="008163B6"/>
  </w:style>
  <w:style w:type="character" w:customStyle="1" w:styleId="slug-pub-date3">
    <w:name w:val="slug-pub-date3"/>
    <w:uiPriority w:val="99"/>
    <w:rsid w:val="008163B6"/>
    <w:rPr>
      <w:b/>
      <w:bCs/>
    </w:rPr>
  </w:style>
  <w:style w:type="character" w:customStyle="1" w:styleId="slug-vol">
    <w:name w:val="slug-vol"/>
    <w:uiPriority w:val="99"/>
    <w:rsid w:val="008163B6"/>
  </w:style>
  <w:style w:type="character" w:customStyle="1" w:styleId="slug-issue">
    <w:name w:val="slug-issue"/>
    <w:uiPriority w:val="99"/>
    <w:rsid w:val="008163B6"/>
  </w:style>
  <w:style w:type="character" w:customStyle="1" w:styleId="slug-pages3">
    <w:name w:val="slug-pages3"/>
    <w:uiPriority w:val="99"/>
    <w:rsid w:val="008163B6"/>
    <w:rPr>
      <w:b/>
      <w:bCs/>
    </w:rPr>
  </w:style>
  <w:style w:type="character" w:customStyle="1" w:styleId="container2">
    <w:name w:val="container2"/>
    <w:uiPriority w:val="99"/>
    <w:rsid w:val="008163B6"/>
  </w:style>
  <w:style w:type="character" w:customStyle="1" w:styleId="year">
    <w:name w:val="year"/>
    <w:uiPriority w:val="99"/>
    <w:rsid w:val="008163B6"/>
  </w:style>
  <w:style w:type="character" w:customStyle="1" w:styleId="info3">
    <w:name w:val="info3"/>
    <w:uiPriority w:val="99"/>
    <w:rsid w:val="008163B6"/>
  </w:style>
  <w:style w:type="character" w:customStyle="1" w:styleId="volume">
    <w:name w:val="volume"/>
    <w:uiPriority w:val="99"/>
    <w:rsid w:val="008163B6"/>
  </w:style>
  <w:style w:type="character" w:customStyle="1" w:styleId="issue">
    <w:name w:val="issue"/>
    <w:uiPriority w:val="99"/>
    <w:rsid w:val="008163B6"/>
  </w:style>
  <w:style w:type="character" w:customStyle="1" w:styleId="pages">
    <w:name w:val="pages"/>
    <w:uiPriority w:val="99"/>
    <w:rsid w:val="008163B6"/>
  </w:style>
  <w:style w:type="character" w:customStyle="1" w:styleId="cit-source">
    <w:name w:val="cit-source"/>
    <w:uiPriority w:val="99"/>
    <w:rsid w:val="008163B6"/>
  </w:style>
  <w:style w:type="character" w:customStyle="1" w:styleId="cit-fpage">
    <w:name w:val="cit-fpage"/>
    <w:uiPriority w:val="99"/>
    <w:rsid w:val="008163B6"/>
  </w:style>
  <w:style w:type="character" w:customStyle="1" w:styleId="bold1">
    <w:name w:val="bold1"/>
    <w:uiPriority w:val="99"/>
    <w:rsid w:val="008163B6"/>
    <w:rPr>
      <w:b/>
      <w:bCs/>
    </w:rPr>
  </w:style>
  <w:style w:type="paragraph" w:customStyle="1" w:styleId="CharChar1Char1">
    <w:name w:val="Char Char1 Char1"/>
    <w:basedOn w:val="Normal"/>
    <w:uiPriority w:val="99"/>
    <w:rsid w:val="008163B6"/>
    <w:rPr>
      <w:rFonts w:ascii="Arial" w:hAnsi="Arial" w:cs="Arial"/>
      <w:lang w:val="en-US" w:bidi="en-US"/>
    </w:rPr>
  </w:style>
  <w:style w:type="character" w:customStyle="1" w:styleId="search1">
    <w:name w:val="search1"/>
    <w:uiPriority w:val="99"/>
    <w:rsid w:val="008163B6"/>
    <w:rPr>
      <w:color w:val="auto"/>
    </w:rPr>
  </w:style>
  <w:style w:type="character" w:customStyle="1" w:styleId="popup1">
    <w:name w:val="popup1"/>
    <w:uiPriority w:val="99"/>
    <w:rsid w:val="008163B6"/>
    <w:rPr>
      <w:color w:val="auto"/>
      <w:u w:val="none"/>
      <w:effect w:val="none"/>
    </w:rPr>
  </w:style>
  <w:style w:type="character" w:customStyle="1" w:styleId="generaltitletext1">
    <w:name w:val="generaltitletext1"/>
    <w:uiPriority w:val="99"/>
    <w:rsid w:val="008163B6"/>
    <w:rPr>
      <w:rFonts w:ascii="Arial" w:hAnsi="Arial" w:cs="Arial"/>
      <w:b/>
      <w:bCs/>
      <w:caps/>
      <w:color w:val="auto"/>
      <w:sz w:val="24"/>
      <w:szCs w:val="24"/>
    </w:rPr>
  </w:style>
  <w:style w:type="character" w:customStyle="1" w:styleId="searchterm1">
    <w:name w:val="searchterm1"/>
    <w:uiPriority w:val="99"/>
    <w:rsid w:val="008163B6"/>
  </w:style>
  <w:style w:type="character" w:customStyle="1" w:styleId="personname">
    <w:name w:val="person_name"/>
    <w:uiPriority w:val="99"/>
    <w:rsid w:val="008163B6"/>
  </w:style>
  <w:style w:type="paragraph" w:customStyle="1" w:styleId="Pa20">
    <w:name w:val="Pa20"/>
    <w:basedOn w:val="Default"/>
    <w:next w:val="Default"/>
    <w:uiPriority w:val="99"/>
    <w:rsid w:val="008163B6"/>
    <w:pPr>
      <w:spacing w:line="181" w:lineRule="atLeast"/>
    </w:pPr>
    <w:rPr>
      <w:rFonts w:ascii="Sabon" w:eastAsiaTheme="minorEastAsia" w:hAnsi="Sabon" w:cs="Sabon"/>
      <w:color w:val="auto"/>
      <w:lang w:val="en-US" w:eastAsia="en-US" w:bidi="en-US"/>
    </w:rPr>
  </w:style>
  <w:style w:type="paragraph" w:customStyle="1" w:styleId="side1">
    <w:name w:val="side1"/>
    <w:basedOn w:val="Normal"/>
    <w:uiPriority w:val="99"/>
    <w:rsid w:val="008163B6"/>
    <w:pPr>
      <w:spacing w:before="75"/>
      <w:ind w:left="150"/>
    </w:pPr>
    <w:rPr>
      <w:rFonts w:ascii="Arial" w:hAnsi="Arial" w:cs="Arial"/>
      <w:color w:val="330066"/>
      <w:lang w:val="en-US" w:bidi="en-US"/>
    </w:rPr>
  </w:style>
  <w:style w:type="paragraph" w:customStyle="1" w:styleId="StyleBodyTextBodyTextCharCharJustified">
    <w:name w:val="Style Body TextBody Text Char Char + Justified"/>
    <w:basedOn w:val="BodyText"/>
    <w:uiPriority w:val="99"/>
    <w:rsid w:val="008163B6"/>
    <w:pPr>
      <w:widowControl/>
      <w:spacing w:after="240" w:line="278" w:lineRule="auto"/>
      <w:jc w:val="both"/>
    </w:pPr>
    <w:rPr>
      <w:rFonts w:ascii="Georgia" w:hAnsi="Georgia" w:cs="Georgia"/>
      <w:b w:val="0"/>
      <w:kern w:val="28"/>
      <w:sz w:val="20"/>
      <w:lang w:val="en-CA" w:eastAsia="en-CA" w:bidi="en-US"/>
    </w:rPr>
  </w:style>
  <w:style w:type="paragraph" w:customStyle="1" w:styleId="TextBoxTitle">
    <w:name w:val="Text Box Title"/>
    <w:basedOn w:val="Normal"/>
    <w:uiPriority w:val="99"/>
    <w:rsid w:val="008163B6"/>
    <w:pPr>
      <w:spacing w:before="100" w:after="60" w:line="278" w:lineRule="auto"/>
      <w:jc w:val="center"/>
    </w:pPr>
    <w:rPr>
      <w:rFonts w:ascii="Georgia" w:cs="Georgia"/>
      <w:b/>
      <w:bCs/>
      <w:kern w:val="28"/>
      <w:sz w:val="20"/>
      <w:szCs w:val="20"/>
      <w:lang w:val="en-CA" w:eastAsia="en-CA" w:bidi="en-US"/>
    </w:rPr>
  </w:style>
  <w:style w:type="paragraph" w:customStyle="1" w:styleId="TextBoxText">
    <w:name w:val="Text Box Text"/>
    <w:basedOn w:val="Normal"/>
    <w:uiPriority w:val="99"/>
    <w:rsid w:val="008163B6"/>
    <w:pPr>
      <w:spacing w:before="100" w:after="100" w:line="278" w:lineRule="auto"/>
    </w:pPr>
    <w:rPr>
      <w:rFonts w:ascii="Georgia" w:hAnsi="Georgia" w:cs="Georgia"/>
      <w:kern w:val="28"/>
      <w:sz w:val="20"/>
      <w:szCs w:val="20"/>
      <w:lang w:val="en-CA" w:eastAsia="en-CA" w:bidi="en-US"/>
    </w:rPr>
  </w:style>
  <w:style w:type="paragraph" w:customStyle="1" w:styleId="NormalText">
    <w:name w:val="Normal Text"/>
    <w:uiPriority w:val="99"/>
    <w:rsid w:val="008163B6"/>
    <w:pPr>
      <w:autoSpaceDE w:val="0"/>
      <w:autoSpaceDN w:val="0"/>
      <w:adjustRightInd w:val="0"/>
      <w:spacing w:after="200" w:line="276" w:lineRule="auto"/>
    </w:pPr>
    <w:rPr>
      <w:rFonts w:asciiTheme="minorHAnsi" w:eastAsiaTheme="minorEastAsia" w:hAnsiTheme="minorHAnsi" w:cstheme="minorBidi"/>
      <w:lang w:val="en-US" w:eastAsia="en-US" w:bidi="en-US"/>
    </w:rPr>
  </w:style>
  <w:style w:type="character" w:customStyle="1" w:styleId="style14">
    <w:name w:val="style14"/>
    <w:uiPriority w:val="99"/>
    <w:rsid w:val="008163B6"/>
  </w:style>
  <w:style w:type="character" w:customStyle="1" w:styleId="style25">
    <w:name w:val="style25"/>
    <w:uiPriority w:val="99"/>
    <w:rsid w:val="008163B6"/>
  </w:style>
  <w:style w:type="paragraph" w:styleId="Index1">
    <w:name w:val="index 1"/>
    <w:basedOn w:val="Normal"/>
    <w:next w:val="Normal"/>
    <w:autoRedefine/>
    <w:uiPriority w:val="99"/>
    <w:semiHidden/>
    <w:rsid w:val="008163B6"/>
    <w:pPr>
      <w:overflowPunct w:val="0"/>
      <w:autoSpaceDE w:val="0"/>
      <w:autoSpaceDN w:val="0"/>
      <w:adjustRightInd w:val="0"/>
      <w:textAlignment w:val="baseline"/>
    </w:pPr>
    <w:rPr>
      <w:sz w:val="16"/>
      <w:szCs w:val="16"/>
      <w:lang w:val="en-GB" w:bidi="en-US"/>
    </w:rPr>
  </w:style>
  <w:style w:type="character" w:customStyle="1" w:styleId="search">
    <w:name w:val="search"/>
    <w:uiPriority w:val="99"/>
    <w:rsid w:val="008163B6"/>
  </w:style>
  <w:style w:type="paragraph" w:customStyle="1" w:styleId="caption-value">
    <w:name w:val="caption-value"/>
    <w:basedOn w:val="Normal"/>
    <w:uiPriority w:val="99"/>
    <w:rsid w:val="008163B6"/>
    <w:pPr>
      <w:spacing w:before="100" w:beforeAutospacing="1" w:after="100" w:afterAutospacing="1"/>
    </w:pPr>
    <w:rPr>
      <w:lang w:val="en-US" w:bidi="en-US"/>
    </w:rPr>
  </w:style>
  <w:style w:type="character" w:customStyle="1" w:styleId="l9">
    <w:name w:val="l9"/>
    <w:basedOn w:val="DefaultParagraphFont"/>
    <w:rsid w:val="008163B6"/>
  </w:style>
  <w:style w:type="character" w:customStyle="1" w:styleId="l8">
    <w:name w:val="l8"/>
    <w:basedOn w:val="DefaultParagraphFont"/>
    <w:rsid w:val="008163B6"/>
  </w:style>
  <w:style w:type="character" w:customStyle="1" w:styleId="l10">
    <w:name w:val="l10"/>
    <w:basedOn w:val="DefaultParagraphFont"/>
    <w:rsid w:val="008163B6"/>
  </w:style>
  <w:style w:type="character" w:customStyle="1" w:styleId="l11">
    <w:name w:val="l11"/>
    <w:basedOn w:val="DefaultParagraphFont"/>
    <w:rsid w:val="008163B6"/>
  </w:style>
  <w:style w:type="character" w:customStyle="1" w:styleId="l12">
    <w:name w:val="l12"/>
    <w:basedOn w:val="DefaultParagraphFont"/>
    <w:rsid w:val="008163B6"/>
  </w:style>
  <w:style w:type="character" w:customStyle="1" w:styleId="l">
    <w:name w:val="l"/>
    <w:basedOn w:val="DefaultParagraphFont"/>
    <w:rsid w:val="008163B6"/>
  </w:style>
  <w:style w:type="paragraph" w:customStyle="1" w:styleId="pagetitletext">
    <w:name w:val="pagetitletext"/>
    <w:basedOn w:val="Normal"/>
    <w:rsid w:val="008163B6"/>
    <w:pPr>
      <w:spacing w:after="100" w:afterAutospacing="1"/>
    </w:pPr>
    <w:rPr>
      <w:b/>
      <w:bCs/>
      <w:color w:val="008080"/>
      <w:sz w:val="36"/>
      <w:szCs w:val="36"/>
      <w:lang w:val="en-US" w:bidi="en-US"/>
    </w:rPr>
  </w:style>
  <w:style w:type="paragraph" w:styleId="IntenseQuote">
    <w:name w:val="Intense Quote"/>
    <w:basedOn w:val="Normal"/>
    <w:next w:val="Normal"/>
    <w:link w:val="IntenseQuoteChar"/>
    <w:uiPriority w:val="30"/>
    <w:qFormat/>
    <w:rsid w:val="008163B6"/>
    <w:pPr>
      <w:pBdr>
        <w:bottom w:val="single" w:sz="4" w:space="1" w:color="auto"/>
      </w:pBdr>
      <w:spacing w:after="280"/>
      <w:ind w:left="1008" w:right="1152"/>
      <w:jc w:val="both"/>
    </w:pPr>
    <w:rPr>
      <w:b/>
      <w:bCs/>
      <w:i/>
      <w:iCs/>
      <w:lang w:val="en-US" w:bidi="en-US"/>
    </w:rPr>
  </w:style>
  <w:style w:type="character" w:customStyle="1" w:styleId="IntenseQuoteChar">
    <w:name w:val="Intense Quote Char"/>
    <w:basedOn w:val="DefaultParagraphFont"/>
    <w:link w:val="IntenseQuote"/>
    <w:uiPriority w:val="30"/>
    <w:rsid w:val="008163B6"/>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8163B6"/>
    <w:rPr>
      <w:i/>
      <w:iCs/>
    </w:rPr>
  </w:style>
  <w:style w:type="character" w:styleId="IntenseEmphasis">
    <w:name w:val="Intense Emphasis"/>
    <w:uiPriority w:val="21"/>
    <w:qFormat/>
    <w:rsid w:val="008163B6"/>
    <w:rPr>
      <w:b/>
      <w:bCs/>
    </w:rPr>
  </w:style>
  <w:style w:type="character" w:styleId="SubtleReference">
    <w:name w:val="Subtle Reference"/>
    <w:uiPriority w:val="31"/>
    <w:qFormat/>
    <w:rsid w:val="008163B6"/>
    <w:rPr>
      <w:smallCaps/>
    </w:rPr>
  </w:style>
  <w:style w:type="character" w:styleId="IntenseReference">
    <w:name w:val="Intense Reference"/>
    <w:uiPriority w:val="32"/>
    <w:qFormat/>
    <w:rsid w:val="008163B6"/>
    <w:rPr>
      <w:smallCaps/>
      <w:spacing w:val="5"/>
      <w:u w:val="single"/>
    </w:rPr>
  </w:style>
  <w:style w:type="character" w:styleId="BookTitle">
    <w:name w:val="Book Title"/>
    <w:uiPriority w:val="33"/>
    <w:qFormat/>
    <w:rsid w:val="008163B6"/>
    <w:rPr>
      <w:i/>
      <w:iCs/>
      <w:smallCaps/>
      <w:spacing w:val="5"/>
    </w:rPr>
  </w:style>
  <w:style w:type="paragraph" w:customStyle="1" w:styleId="Heading1nonumbers">
    <w:name w:val="Heading 1 (no numbers)"/>
    <w:basedOn w:val="Heading1"/>
    <w:qFormat/>
    <w:rsid w:val="008163B6"/>
    <w:pPr>
      <w:pageBreakBefore w:val="0"/>
      <w:numPr>
        <w:numId w:val="0"/>
      </w:numPr>
      <w:spacing w:before="480" w:after="120"/>
    </w:pPr>
    <w:rPr>
      <w:rFonts w:eastAsiaTheme="majorEastAsia" w:cstheme="majorBidi"/>
      <w:b/>
      <w:color w:val="D52B1E"/>
      <w:sz w:val="34"/>
      <w:lang w:val="en-US"/>
    </w:rPr>
  </w:style>
  <w:style w:type="paragraph" w:customStyle="1" w:styleId="Heading3Nonumber">
    <w:name w:val="Heading 3 No number"/>
    <w:basedOn w:val="Heading3"/>
    <w:qFormat/>
    <w:rsid w:val="008163B6"/>
    <w:pPr>
      <w:keepLines/>
      <w:spacing w:before="120" w:after="200"/>
    </w:pPr>
    <w:rPr>
      <w:rFonts w:ascii="Calibri" w:hAnsi="Calibri" w:cstheme="minorBidi"/>
      <w:sz w:val="24"/>
      <w:szCs w:val="22"/>
    </w:rPr>
  </w:style>
  <w:style w:type="paragraph" w:customStyle="1" w:styleId="RS2Texte">
    <w:name w:val="RS2 Texte"/>
    <w:basedOn w:val="Normal"/>
    <w:rsid w:val="008163B6"/>
    <w:pPr>
      <w:spacing w:after="0" w:line="300" w:lineRule="exact"/>
      <w:jc w:val="both"/>
    </w:pPr>
    <w:rPr>
      <w:rFonts w:ascii="Times New Roman" w:eastAsia="Times New Roman" w:hAnsi="Times New Roman" w:cs="Times New Roman"/>
      <w:sz w:val="24"/>
      <w:szCs w:val="20"/>
      <w:lang w:val="en-GB" w:eastAsia="fr-FR"/>
    </w:rPr>
  </w:style>
  <w:style w:type="character" w:customStyle="1" w:styleId="current-selection">
    <w:name w:val="current-selection"/>
    <w:basedOn w:val="DefaultParagraphFont"/>
    <w:rsid w:val="008163B6"/>
  </w:style>
  <w:style w:type="character" w:customStyle="1" w:styleId="a2">
    <w:name w:val="_"/>
    <w:basedOn w:val="DefaultParagraphFont"/>
    <w:rsid w:val="008163B6"/>
  </w:style>
  <w:style w:type="paragraph" w:customStyle="1" w:styleId="SPStalkingpoint">
    <w:name w:val="SPS talking point"/>
    <w:autoRedefine/>
    <w:rsid w:val="008163B6"/>
    <w:pPr>
      <w:spacing w:before="120" w:after="120" w:line="276" w:lineRule="auto"/>
    </w:pPr>
    <w:rPr>
      <w:rFonts w:eastAsia="Times New Roman"/>
      <w:bCs/>
      <w:sz w:val="22"/>
      <w:szCs w:val="22"/>
      <w:lang w:eastAsia="en-US"/>
    </w:rPr>
  </w:style>
  <w:style w:type="character" w:customStyle="1" w:styleId="notranslate">
    <w:name w:val="notranslate"/>
    <w:basedOn w:val="DefaultParagraphFont"/>
    <w:rsid w:val="008163B6"/>
  </w:style>
  <w:style w:type="character" w:customStyle="1" w:styleId="CaptionChar">
    <w:name w:val="Caption Char"/>
    <w:basedOn w:val="Heading1Char"/>
    <w:link w:val="Caption"/>
    <w:uiPriority w:val="12"/>
    <w:rsid w:val="008163B6"/>
    <w:rPr>
      <w:rFonts w:ascii="Calibri" w:eastAsiaTheme="minorHAnsi" w:hAnsi="Calibri" w:cstheme="minorBidi"/>
      <w:b/>
      <w:bCs/>
      <w:color w:val="000000"/>
      <w:sz w:val="22"/>
      <w:szCs w:val="18"/>
      <w:lang w:eastAsia="en-US"/>
    </w:rPr>
  </w:style>
  <w:style w:type="paragraph" w:customStyle="1" w:styleId="Caption1">
    <w:name w:val="Caption1"/>
    <w:basedOn w:val="Normal"/>
    <w:rsid w:val="008163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aption-text">
    <w:name w:val="caption-text"/>
    <w:basedOn w:val="DefaultParagraphFont"/>
    <w:rsid w:val="008163B6"/>
  </w:style>
  <w:style w:type="paragraph" w:customStyle="1" w:styleId="List1">
    <w:name w:val="List1"/>
    <w:basedOn w:val="Normal"/>
    <w:rsid w:val="008163B6"/>
    <w:pPr>
      <w:spacing w:before="100" w:beforeAutospacing="1" w:after="100" w:afterAutospacing="1" w:line="240" w:lineRule="auto"/>
    </w:pPr>
    <w:rPr>
      <w:rFonts w:ascii="Arial" w:eastAsia="Times New Roman" w:hAnsi="Arial" w:cs="Arial"/>
      <w:color w:val="000000"/>
      <w:sz w:val="18"/>
      <w:szCs w:val="18"/>
      <w:lang w:eastAsia="en-AU"/>
    </w:rPr>
  </w:style>
  <w:style w:type="paragraph" w:styleId="List">
    <w:name w:val="List"/>
    <w:basedOn w:val="Normal"/>
    <w:uiPriority w:val="99"/>
    <w:semiHidden/>
    <w:unhideWhenUsed/>
    <w:rsid w:val="008163B6"/>
    <w:pPr>
      <w:ind w:left="283" w:hanging="283"/>
      <w:contextualSpacing/>
    </w:pPr>
  </w:style>
  <w:style w:type="table" w:customStyle="1" w:styleId="TableGrid10">
    <w:name w:val="Table Grid1"/>
    <w:basedOn w:val="TableNormal"/>
    <w:next w:val="TableGrid"/>
    <w:rsid w:val="008163B6"/>
    <w:rPr>
      <w:rFonts w:ascii="Arial" w:eastAsia="Calibri" w:hAnsi="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ublication-type">
    <w:name w:val="publication-type"/>
    <w:basedOn w:val="DefaultParagraphFont"/>
    <w:rsid w:val="008163B6"/>
  </w:style>
  <w:style w:type="character" w:customStyle="1" w:styleId="addmd">
    <w:name w:val="addmd"/>
    <w:basedOn w:val="DefaultParagraphFont"/>
    <w:rsid w:val="008163B6"/>
  </w:style>
  <w:style w:type="character" w:customStyle="1" w:styleId="mediaitemsummary">
    <w:name w:val="mediaitemsummary"/>
    <w:basedOn w:val="DefaultParagraphFont"/>
    <w:rsid w:val="00875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7908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29214">
      <w:bodyDiv w:val="1"/>
      <w:marLeft w:val="0"/>
      <w:marRight w:val="0"/>
      <w:marTop w:val="0"/>
      <w:marBottom w:val="0"/>
      <w:divBdr>
        <w:top w:val="none" w:sz="0" w:space="0" w:color="auto"/>
        <w:left w:val="none" w:sz="0" w:space="0" w:color="auto"/>
        <w:bottom w:val="none" w:sz="0" w:space="0" w:color="auto"/>
        <w:right w:val="none" w:sz="0" w:space="0" w:color="auto"/>
      </w:divBdr>
    </w:div>
    <w:div w:id="166336207">
      <w:bodyDiv w:val="1"/>
      <w:marLeft w:val="0"/>
      <w:marRight w:val="0"/>
      <w:marTop w:val="0"/>
      <w:marBottom w:val="0"/>
      <w:divBdr>
        <w:top w:val="none" w:sz="0" w:space="0" w:color="auto"/>
        <w:left w:val="none" w:sz="0" w:space="0" w:color="auto"/>
        <w:bottom w:val="none" w:sz="0" w:space="0" w:color="auto"/>
        <w:right w:val="none" w:sz="0" w:space="0" w:color="auto"/>
      </w:divBdr>
    </w:div>
    <w:div w:id="302468950">
      <w:bodyDiv w:val="1"/>
      <w:marLeft w:val="0"/>
      <w:marRight w:val="0"/>
      <w:marTop w:val="0"/>
      <w:marBottom w:val="0"/>
      <w:divBdr>
        <w:top w:val="none" w:sz="0" w:space="0" w:color="auto"/>
        <w:left w:val="none" w:sz="0" w:space="0" w:color="auto"/>
        <w:bottom w:val="none" w:sz="0" w:space="0" w:color="auto"/>
        <w:right w:val="none" w:sz="0" w:space="0" w:color="auto"/>
      </w:divBdr>
      <w:divsChild>
        <w:div w:id="900334993">
          <w:marLeft w:val="0"/>
          <w:marRight w:val="0"/>
          <w:marTop w:val="0"/>
          <w:marBottom w:val="0"/>
          <w:divBdr>
            <w:top w:val="none" w:sz="0" w:space="0" w:color="auto"/>
            <w:left w:val="none" w:sz="0" w:space="0" w:color="auto"/>
            <w:bottom w:val="none" w:sz="0" w:space="0" w:color="auto"/>
            <w:right w:val="none" w:sz="0" w:space="0" w:color="auto"/>
          </w:divBdr>
        </w:div>
        <w:div w:id="1281113520">
          <w:marLeft w:val="0"/>
          <w:marRight w:val="0"/>
          <w:marTop w:val="0"/>
          <w:marBottom w:val="0"/>
          <w:divBdr>
            <w:top w:val="none" w:sz="0" w:space="0" w:color="auto"/>
            <w:left w:val="none" w:sz="0" w:space="0" w:color="auto"/>
            <w:bottom w:val="none" w:sz="0" w:space="0" w:color="auto"/>
            <w:right w:val="none" w:sz="0" w:space="0" w:color="auto"/>
          </w:divBdr>
        </w:div>
      </w:divsChild>
    </w:div>
    <w:div w:id="354235825">
      <w:bodyDiv w:val="1"/>
      <w:marLeft w:val="0"/>
      <w:marRight w:val="0"/>
      <w:marTop w:val="0"/>
      <w:marBottom w:val="0"/>
      <w:divBdr>
        <w:top w:val="none" w:sz="0" w:space="0" w:color="auto"/>
        <w:left w:val="none" w:sz="0" w:space="0" w:color="auto"/>
        <w:bottom w:val="none" w:sz="0" w:space="0" w:color="auto"/>
        <w:right w:val="none" w:sz="0" w:space="0" w:color="auto"/>
      </w:divBdr>
    </w:div>
    <w:div w:id="36321699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79088">
      <w:bodyDiv w:val="1"/>
      <w:marLeft w:val="0"/>
      <w:marRight w:val="0"/>
      <w:marTop w:val="0"/>
      <w:marBottom w:val="0"/>
      <w:divBdr>
        <w:top w:val="none" w:sz="0" w:space="0" w:color="auto"/>
        <w:left w:val="none" w:sz="0" w:space="0" w:color="auto"/>
        <w:bottom w:val="none" w:sz="0" w:space="0" w:color="auto"/>
        <w:right w:val="none" w:sz="0" w:space="0" w:color="auto"/>
      </w:divBdr>
    </w:div>
    <w:div w:id="388920226">
      <w:bodyDiv w:val="1"/>
      <w:marLeft w:val="0"/>
      <w:marRight w:val="0"/>
      <w:marTop w:val="0"/>
      <w:marBottom w:val="0"/>
      <w:divBdr>
        <w:top w:val="none" w:sz="0" w:space="0" w:color="auto"/>
        <w:left w:val="none" w:sz="0" w:space="0" w:color="auto"/>
        <w:bottom w:val="none" w:sz="0" w:space="0" w:color="auto"/>
        <w:right w:val="none" w:sz="0" w:space="0" w:color="auto"/>
      </w:divBdr>
    </w:div>
    <w:div w:id="397749062">
      <w:bodyDiv w:val="1"/>
      <w:marLeft w:val="0"/>
      <w:marRight w:val="0"/>
      <w:marTop w:val="0"/>
      <w:marBottom w:val="0"/>
      <w:divBdr>
        <w:top w:val="none" w:sz="0" w:space="0" w:color="auto"/>
        <w:left w:val="none" w:sz="0" w:space="0" w:color="auto"/>
        <w:bottom w:val="none" w:sz="0" w:space="0" w:color="auto"/>
        <w:right w:val="none" w:sz="0" w:space="0" w:color="auto"/>
      </w:divBdr>
      <w:divsChild>
        <w:div w:id="658726369">
          <w:marLeft w:val="10"/>
          <w:marRight w:val="10"/>
          <w:marTop w:val="0"/>
          <w:marBottom w:val="0"/>
          <w:divBdr>
            <w:top w:val="none" w:sz="0" w:space="0" w:color="auto"/>
            <w:left w:val="none" w:sz="0" w:space="0" w:color="auto"/>
            <w:bottom w:val="none" w:sz="0" w:space="0" w:color="auto"/>
            <w:right w:val="none" w:sz="0" w:space="0" w:color="auto"/>
          </w:divBdr>
        </w:div>
      </w:divsChild>
    </w:div>
    <w:div w:id="400715316">
      <w:bodyDiv w:val="1"/>
      <w:marLeft w:val="0"/>
      <w:marRight w:val="0"/>
      <w:marTop w:val="0"/>
      <w:marBottom w:val="0"/>
      <w:divBdr>
        <w:top w:val="none" w:sz="0" w:space="0" w:color="auto"/>
        <w:left w:val="none" w:sz="0" w:space="0" w:color="auto"/>
        <w:bottom w:val="none" w:sz="0" w:space="0" w:color="auto"/>
        <w:right w:val="none" w:sz="0" w:space="0" w:color="auto"/>
      </w:divBdr>
      <w:divsChild>
        <w:div w:id="1707022218">
          <w:marLeft w:val="0"/>
          <w:marRight w:val="0"/>
          <w:marTop w:val="33"/>
          <w:marBottom w:val="0"/>
          <w:divBdr>
            <w:top w:val="none" w:sz="0" w:space="0" w:color="auto"/>
            <w:left w:val="none" w:sz="0" w:space="0" w:color="auto"/>
            <w:bottom w:val="none" w:sz="0" w:space="0" w:color="auto"/>
            <w:right w:val="none" w:sz="0" w:space="0" w:color="auto"/>
          </w:divBdr>
        </w:div>
      </w:divsChild>
    </w:div>
    <w:div w:id="412439479">
      <w:bodyDiv w:val="1"/>
      <w:marLeft w:val="0"/>
      <w:marRight w:val="0"/>
      <w:marTop w:val="0"/>
      <w:marBottom w:val="0"/>
      <w:divBdr>
        <w:top w:val="none" w:sz="0" w:space="0" w:color="auto"/>
        <w:left w:val="none" w:sz="0" w:space="0" w:color="auto"/>
        <w:bottom w:val="none" w:sz="0" w:space="0" w:color="auto"/>
        <w:right w:val="none" w:sz="0" w:space="0" w:color="auto"/>
      </w:divBdr>
      <w:divsChild>
        <w:div w:id="1563903125">
          <w:marLeft w:val="0"/>
          <w:marRight w:val="0"/>
          <w:marTop w:val="0"/>
          <w:marBottom w:val="0"/>
          <w:divBdr>
            <w:top w:val="none" w:sz="0" w:space="0" w:color="auto"/>
            <w:left w:val="none" w:sz="0" w:space="0" w:color="auto"/>
            <w:bottom w:val="none" w:sz="0" w:space="0" w:color="auto"/>
            <w:right w:val="none" w:sz="0" w:space="0" w:color="auto"/>
          </w:divBdr>
          <w:divsChild>
            <w:div w:id="1798403670">
              <w:marLeft w:val="0"/>
              <w:marRight w:val="0"/>
              <w:marTop w:val="0"/>
              <w:marBottom w:val="0"/>
              <w:divBdr>
                <w:top w:val="none" w:sz="0" w:space="0" w:color="auto"/>
                <w:left w:val="none" w:sz="0" w:space="0" w:color="auto"/>
                <w:bottom w:val="none" w:sz="0" w:space="0" w:color="auto"/>
                <w:right w:val="none" w:sz="0" w:space="0" w:color="auto"/>
              </w:divBdr>
              <w:divsChild>
                <w:div w:id="1072701782">
                  <w:marLeft w:val="0"/>
                  <w:marRight w:val="0"/>
                  <w:marTop w:val="0"/>
                  <w:marBottom w:val="0"/>
                  <w:divBdr>
                    <w:top w:val="none" w:sz="0" w:space="0" w:color="auto"/>
                    <w:left w:val="none" w:sz="0" w:space="0" w:color="auto"/>
                    <w:bottom w:val="none" w:sz="0" w:space="0" w:color="auto"/>
                    <w:right w:val="none" w:sz="0" w:space="0" w:color="auto"/>
                  </w:divBdr>
                  <w:divsChild>
                    <w:div w:id="816073351">
                      <w:marLeft w:val="0"/>
                      <w:marRight w:val="0"/>
                      <w:marTop w:val="0"/>
                      <w:marBottom w:val="0"/>
                      <w:divBdr>
                        <w:top w:val="none" w:sz="0" w:space="0" w:color="auto"/>
                        <w:left w:val="none" w:sz="0" w:space="0" w:color="auto"/>
                        <w:bottom w:val="none" w:sz="0" w:space="0" w:color="auto"/>
                        <w:right w:val="none" w:sz="0" w:space="0" w:color="auto"/>
                      </w:divBdr>
                      <w:divsChild>
                        <w:div w:id="2083139305">
                          <w:marLeft w:val="0"/>
                          <w:marRight w:val="0"/>
                          <w:marTop w:val="0"/>
                          <w:marBottom w:val="0"/>
                          <w:divBdr>
                            <w:top w:val="none" w:sz="0" w:space="0" w:color="auto"/>
                            <w:left w:val="none" w:sz="0" w:space="0" w:color="auto"/>
                            <w:bottom w:val="none" w:sz="0" w:space="0" w:color="auto"/>
                            <w:right w:val="none" w:sz="0" w:space="0" w:color="auto"/>
                          </w:divBdr>
                          <w:divsChild>
                            <w:div w:id="1899897261">
                              <w:marLeft w:val="0"/>
                              <w:marRight w:val="0"/>
                              <w:marTop w:val="0"/>
                              <w:marBottom w:val="0"/>
                              <w:divBdr>
                                <w:top w:val="none" w:sz="0" w:space="0" w:color="auto"/>
                                <w:left w:val="none" w:sz="0" w:space="0" w:color="auto"/>
                                <w:bottom w:val="none" w:sz="0" w:space="0" w:color="auto"/>
                                <w:right w:val="none" w:sz="0" w:space="0" w:color="auto"/>
                              </w:divBdr>
                              <w:divsChild>
                                <w:div w:id="1835535837">
                                  <w:marLeft w:val="0"/>
                                  <w:marRight w:val="0"/>
                                  <w:marTop w:val="0"/>
                                  <w:marBottom w:val="0"/>
                                  <w:divBdr>
                                    <w:top w:val="none" w:sz="0" w:space="0" w:color="auto"/>
                                    <w:left w:val="none" w:sz="0" w:space="0" w:color="auto"/>
                                    <w:bottom w:val="none" w:sz="0" w:space="0" w:color="auto"/>
                                    <w:right w:val="none" w:sz="0" w:space="0" w:color="auto"/>
                                  </w:divBdr>
                                  <w:divsChild>
                                    <w:div w:id="1423717853">
                                      <w:marLeft w:val="0"/>
                                      <w:marRight w:val="0"/>
                                      <w:marTop w:val="0"/>
                                      <w:marBottom w:val="0"/>
                                      <w:divBdr>
                                        <w:top w:val="none" w:sz="0" w:space="0" w:color="auto"/>
                                        <w:left w:val="none" w:sz="0" w:space="0" w:color="auto"/>
                                        <w:bottom w:val="none" w:sz="0" w:space="0" w:color="auto"/>
                                        <w:right w:val="none" w:sz="0" w:space="0" w:color="auto"/>
                                      </w:divBdr>
                                      <w:divsChild>
                                        <w:div w:id="188910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055326">
      <w:bodyDiv w:val="1"/>
      <w:marLeft w:val="0"/>
      <w:marRight w:val="0"/>
      <w:marTop w:val="0"/>
      <w:marBottom w:val="0"/>
      <w:divBdr>
        <w:top w:val="none" w:sz="0" w:space="0" w:color="auto"/>
        <w:left w:val="none" w:sz="0" w:space="0" w:color="auto"/>
        <w:bottom w:val="none" w:sz="0" w:space="0" w:color="auto"/>
        <w:right w:val="none" w:sz="0" w:space="0" w:color="auto"/>
      </w:divBdr>
      <w:divsChild>
        <w:div w:id="1403606056">
          <w:marLeft w:val="438"/>
          <w:marRight w:val="0"/>
          <w:marTop w:val="0"/>
          <w:marBottom w:val="250"/>
          <w:divBdr>
            <w:top w:val="single" w:sz="2" w:space="6" w:color="A9A9A9"/>
            <w:left w:val="single" w:sz="2" w:space="0" w:color="A9A9A9"/>
            <w:bottom w:val="single" w:sz="2" w:space="0" w:color="A9A9A9"/>
            <w:right w:val="single" w:sz="2" w:space="0" w:color="A9A9A9"/>
          </w:divBdr>
          <w:divsChild>
            <w:div w:id="110323851">
              <w:marLeft w:val="0"/>
              <w:marRight w:val="0"/>
              <w:marTop w:val="0"/>
              <w:marBottom w:val="0"/>
              <w:divBdr>
                <w:top w:val="none" w:sz="0" w:space="0" w:color="auto"/>
                <w:left w:val="none" w:sz="0" w:space="0" w:color="auto"/>
                <w:bottom w:val="none" w:sz="0" w:space="0" w:color="auto"/>
                <w:right w:val="none" w:sz="0" w:space="0" w:color="auto"/>
              </w:divBdr>
              <w:divsChild>
                <w:div w:id="3664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7852148">
      <w:bodyDiv w:val="1"/>
      <w:marLeft w:val="0"/>
      <w:marRight w:val="0"/>
      <w:marTop w:val="0"/>
      <w:marBottom w:val="0"/>
      <w:divBdr>
        <w:top w:val="none" w:sz="0" w:space="0" w:color="auto"/>
        <w:left w:val="none" w:sz="0" w:space="0" w:color="auto"/>
        <w:bottom w:val="none" w:sz="0" w:space="0" w:color="auto"/>
        <w:right w:val="none" w:sz="0" w:space="0" w:color="auto"/>
      </w:divBdr>
      <w:divsChild>
        <w:div w:id="1193811063">
          <w:marLeft w:val="0"/>
          <w:marRight w:val="0"/>
          <w:marTop w:val="0"/>
          <w:marBottom w:val="0"/>
          <w:divBdr>
            <w:top w:val="none" w:sz="0" w:space="0" w:color="auto"/>
            <w:left w:val="none" w:sz="0" w:space="0" w:color="auto"/>
            <w:bottom w:val="none" w:sz="0" w:space="0" w:color="auto"/>
            <w:right w:val="none" w:sz="0" w:space="0" w:color="auto"/>
          </w:divBdr>
          <w:divsChild>
            <w:div w:id="1453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889520">
      <w:bodyDiv w:val="1"/>
      <w:marLeft w:val="0"/>
      <w:marRight w:val="0"/>
      <w:marTop w:val="0"/>
      <w:marBottom w:val="0"/>
      <w:divBdr>
        <w:top w:val="none" w:sz="0" w:space="0" w:color="auto"/>
        <w:left w:val="none" w:sz="0" w:space="0" w:color="auto"/>
        <w:bottom w:val="none" w:sz="0" w:space="0" w:color="auto"/>
        <w:right w:val="none" w:sz="0" w:space="0" w:color="auto"/>
      </w:divBdr>
      <w:divsChild>
        <w:div w:id="1726220483">
          <w:marLeft w:val="438"/>
          <w:marRight w:val="0"/>
          <w:marTop w:val="0"/>
          <w:marBottom w:val="250"/>
          <w:divBdr>
            <w:top w:val="single" w:sz="2" w:space="6" w:color="A9A9A9"/>
            <w:left w:val="single" w:sz="2" w:space="0" w:color="A9A9A9"/>
            <w:bottom w:val="single" w:sz="2" w:space="0" w:color="A9A9A9"/>
            <w:right w:val="single" w:sz="2" w:space="0" w:color="A9A9A9"/>
          </w:divBdr>
          <w:divsChild>
            <w:div w:id="19282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136710">
      <w:bodyDiv w:val="1"/>
      <w:marLeft w:val="0"/>
      <w:marRight w:val="0"/>
      <w:marTop w:val="0"/>
      <w:marBottom w:val="0"/>
      <w:divBdr>
        <w:top w:val="none" w:sz="0" w:space="0" w:color="auto"/>
        <w:left w:val="none" w:sz="0" w:space="0" w:color="auto"/>
        <w:bottom w:val="none" w:sz="0" w:space="0" w:color="auto"/>
        <w:right w:val="none" w:sz="0" w:space="0" w:color="auto"/>
      </w:divBdr>
      <w:divsChild>
        <w:div w:id="2014261419">
          <w:marLeft w:val="0"/>
          <w:marRight w:val="0"/>
          <w:marTop w:val="0"/>
          <w:marBottom w:val="196"/>
          <w:divBdr>
            <w:top w:val="single" w:sz="4" w:space="6" w:color="D3D1D1"/>
            <w:left w:val="single" w:sz="4" w:space="0" w:color="D3D1D1"/>
            <w:bottom w:val="single" w:sz="4" w:space="6" w:color="D3D1D1"/>
            <w:right w:val="single" w:sz="4" w:space="0" w:color="D3D1D1"/>
          </w:divBdr>
          <w:divsChild>
            <w:div w:id="1844785635">
              <w:marLeft w:val="87"/>
              <w:marRight w:val="87"/>
              <w:marTop w:val="0"/>
              <w:marBottom w:val="0"/>
              <w:divBdr>
                <w:top w:val="none" w:sz="0" w:space="0" w:color="auto"/>
                <w:left w:val="none" w:sz="0" w:space="0" w:color="auto"/>
                <w:bottom w:val="none" w:sz="0" w:space="0" w:color="auto"/>
                <w:right w:val="none" w:sz="0" w:space="0" w:color="auto"/>
              </w:divBdr>
              <w:divsChild>
                <w:div w:id="584650582">
                  <w:marLeft w:val="0"/>
                  <w:marRight w:val="0"/>
                  <w:marTop w:val="0"/>
                  <w:marBottom w:val="0"/>
                  <w:divBdr>
                    <w:top w:val="none" w:sz="0" w:space="0" w:color="auto"/>
                    <w:left w:val="none" w:sz="0" w:space="0" w:color="auto"/>
                    <w:bottom w:val="none" w:sz="0" w:space="0" w:color="auto"/>
                    <w:right w:val="none" w:sz="0" w:space="0" w:color="auto"/>
                  </w:divBdr>
                  <w:divsChild>
                    <w:div w:id="720440322">
                      <w:marLeft w:val="0"/>
                      <w:marRight w:val="0"/>
                      <w:marTop w:val="0"/>
                      <w:marBottom w:val="0"/>
                      <w:divBdr>
                        <w:top w:val="none" w:sz="0" w:space="0" w:color="auto"/>
                        <w:left w:val="none" w:sz="0" w:space="0" w:color="auto"/>
                        <w:bottom w:val="none" w:sz="0" w:space="0" w:color="auto"/>
                        <w:right w:val="none" w:sz="0" w:space="0" w:color="auto"/>
                      </w:divBdr>
                      <w:divsChild>
                        <w:div w:id="14752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421335">
      <w:bodyDiv w:val="1"/>
      <w:marLeft w:val="0"/>
      <w:marRight w:val="0"/>
      <w:marTop w:val="0"/>
      <w:marBottom w:val="0"/>
      <w:divBdr>
        <w:top w:val="none" w:sz="0" w:space="0" w:color="auto"/>
        <w:left w:val="none" w:sz="0" w:space="0" w:color="auto"/>
        <w:bottom w:val="none" w:sz="0" w:space="0" w:color="auto"/>
        <w:right w:val="none" w:sz="0" w:space="0" w:color="auto"/>
      </w:divBdr>
      <w:divsChild>
        <w:div w:id="413094705">
          <w:marLeft w:val="0"/>
          <w:marRight w:val="0"/>
          <w:marTop w:val="0"/>
          <w:marBottom w:val="0"/>
          <w:divBdr>
            <w:top w:val="none" w:sz="0" w:space="0" w:color="auto"/>
            <w:left w:val="none" w:sz="0" w:space="0" w:color="auto"/>
            <w:bottom w:val="none" w:sz="0" w:space="0" w:color="auto"/>
            <w:right w:val="none" w:sz="0" w:space="0" w:color="auto"/>
          </w:divBdr>
          <w:divsChild>
            <w:div w:id="5102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2445">
      <w:bodyDiv w:val="1"/>
      <w:marLeft w:val="0"/>
      <w:marRight w:val="0"/>
      <w:marTop w:val="0"/>
      <w:marBottom w:val="0"/>
      <w:divBdr>
        <w:top w:val="none" w:sz="0" w:space="0" w:color="auto"/>
        <w:left w:val="none" w:sz="0" w:space="0" w:color="auto"/>
        <w:bottom w:val="none" w:sz="0" w:space="0" w:color="auto"/>
        <w:right w:val="none" w:sz="0" w:space="0" w:color="auto"/>
      </w:divBdr>
      <w:divsChild>
        <w:div w:id="133330827">
          <w:marLeft w:val="0"/>
          <w:marRight w:val="0"/>
          <w:marTop w:val="0"/>
          <w:marBottom w:val="0"/>
          <w:divBdr>
            <w:top w:val="none" w:sz="0" w:space="0" w:color="auto"/>
            <w:left w:val="none" w:sz="0" w:space="0" w:color="auto"/>
            <w:bottom w:val="none" w:sz="0" w:space="0" w:color="auto"/>
            <w:right w:val="none" w:sz="0" w:space="0" w:color="auto"/>
          </w:divBdr>
        </w:div>
        <w:div w:id="794755340">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845601">
      <w:bodyDiv w:val="1"/>
      <w:marLeft w:val="0"/>
      <w:marRight w:val="0"/>
      <w:marTop w:val="0"/>
      <w:marBottom w:val="0"/>
      <w:divBdr>
        <w:top w:val="none" w:sz="0" w:space="0" w:color="auto"/>
        <w:left w:val="none" w:sz="0" w:space="0" w:color="auto"/>
        <w:bottom w:val="none" w:sz="0" w:space="0" w:color="auto"/>
        <w:right w:val="none" w:sz="0" w:space="0" w:color="auto"/>
      </w:divBdr>
      <w:divsChild>
        <w:div w:id="1164278700">
          <w:marLeft w:val="2625"/>
          <w:marRight w:val="0"/>
          <w:marTop w:val="600"/>
          <w:marBottom w:val="600"/>
          <w:divBdr>
            <w:top w:val="none" w:sz="0" w:space="0" w:color="auto"/>
            <w:left w:val="none" w:sz="0" w:space="0" w:color="auto"/>
            <w:bottom w:val="none" w:sz="0" w:space="0" w:color="auto"/>
            <w:right w:val="none" w:sz="0" w:space="0" w:color="auto"/>
          </w:divBdr>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6107151">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235837">
      <w:bodyDiv w:val="1"/>
      <w:marLeft w:val="0"/>
      <w:marRight w:val="0"/>
      <w:marTop w:val="0"/>
      <w:marBottom w:val="0"/>
      <w:divBdr>
        <w:top w:val="none" w:sz="0" w:space="0" w:color="auto"/>
        <w:left w:val="none" w:sz="0" w:space="0" w:color="auto"/>
        <w:bottom w:val="none" w:sz="0" w:space="0" w:color="auto"/>
        <w:right w:val="none" w:sz="0" w:space="0" w:color="auto"/>
      </w:divBdr>
      <w:divsChild>
        <w:div w:id="37319753">
          <w:marLeft w:val="10"/>
          <w:marRight w:val="10"/>
          <w:marTop w:val="0"/>
          <w:marBottom w:val="0"/>
          <w:divBdr>
            <w:top w:val="none" w:sz="0" w:space="0" w:color="auto"/>
            <w:left w:val="none" w:sz="0" w:space="0" w:color="auto"/>
            <w:bottom w:val="none" w:sz="0" w:space="0" w:color="auto"/>
            <w:right w:val="none" w:sz="0" w:space="0" w:color="auto"/>
          </w:divBdr>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1487">
      <w:bodyDiv w:val="1"/>
      <w:marLeft w:val="0"/>
      <w:marRight w:val="0"/>
      <w:marTop w:val="0"/>
      <w:marBottom w:val="0"/>
      <w:divBdr>
        <w:top w:val="none" w:sz="0" w:space="0" w:color="auto"/>
        <w:left w:val="none" w:sz="0" w:space="0" w:color="auto"/>
        <w:bottom w:val="none" w:sz="0" w:space="0" w:color="auto"/>
        <w:right w:val="none" w:sz="0" w:space="0" w:color="auto"/>
      </w:divBdr>
    </w:div>
    <w:div w:id="1158695040">
      <w:bodyDiv w:val="1"/>
      <w:marLeft w:val="0"/>
      <w:marRight w:val="0"/>
      <w:marTop w:val="0"/>
      <w:marBottom w:val="0"/>
      <w:divBdr>
        <w:top w:val="none" w:sz="0" w:space="0" w:color="auto"/>
        <w:left w:val="none" w:sz="0" w:space="0" w:color="auto"/>
        <w:bottom w:val="none" w:sz="0" w:space="0" w:color="auto"/>
        <w:right w:val="none" w:sz="0" w:space="0" w:color="auto"/>
      </w:divBdr>
      <w:divsChild>
        <w:div w:id="1575436381">
          <w:marLeft w:val="355"/>
          <w:marRight w:val="0"/>
          <w:marTop w:val="0"/>
          <w:marBottom w:val="203"/>
          <w:divBdr>
            <w:top w:val="none" w:sz="0" w:space="0" w:color="auto"/>
            <w:left w:val="none" w:sz="0" w:space="0" w:color="auto"/>
            <w:bottom w:val="none" w:sz="0" w:space="0" w:color="auto"/>
            <w:right w:val="none" w:sz="0" w:space="0" w:color="auto"/>
          </w:divBdr>
          <w:divsChild>
            <w:div w:id="11041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37577">
      <w:bodyDiv w:val="1"/>
      <w:marLeft w:val="0"/>
      <w:marRight w:val="0"/>
      <w:marTop w:val="0"/>
      <w:marBottom w:val="0"/>
      <w:divBdr>
        <w:top w:val="none" w:sz="0" w:space="0" w:color="auto"/>
        <w:left w:val="none" w:sz="0" w:space="0" w:color="auto"/>
        <w:bottom w:val="none" w:sz="0" w:space="0" w:color="auto"/>
        <w:right w:val="none" w:sz="0" w:space="0" w:color="auto"/>
      </w:divBdr>
    </w:div>
    <w:div w:id="1166283560">
      <w:bodyDiv w:val="1"/>
      <w:marLeft w:val="0"/>
      <w:marRight w:val="0"/>
      <w:marTop w:val="0"/>
      <w:marBottom w:val="0"/>
      <w:divBdr>
        <w:top w:val="none" w:sz="0" w:space="0" w:color="auto"/>
        <w:left w:val="none" w:sz="0" w:space="0" w:color="auto"/>
        <w:bottom w:val="none" w:sz="0" w:space="0" w:color="auto"/>
        <w:right w:val="none" w:sz="0" w:space="0" w:color="auto"/>
      </w:divBdr>
    </w:div>
    <w:div w:id="1166553221">
      <w:bodyDiv w:val="1"/>
      <w:marLeft w:val="0"/>
      <w:marRight w:val="0"/>
      <w:marTop w:val="0"/>
      <w:marBottom w:val="0"/>
      <w:divBdr>
        <w:top w:val="none" w:sz="0" w:space="0" w:color="auto"/>
        <w:left w:val="none" w:sz="0" w:space="0" w:color="auto"/>
        <w:bottom w:val="none" w:sz="0" w:space="0" w:color="auto"/>
        <w:right w:val="none" w:sz="0" w:space="0" w:color="auto"/>
      </w:divBdr>
      <w:divsChild>
        <w:div w:id="171336149">
          <w:marLeft w:val="0"/>
          <w:marRight w:val="0"/>
          <w:marTop w:val="0"/>
          <w:marBottom w:val="0"/>
          <w:divBdr>
            <w:top w:val="none" w:sz="0" w:space="0" w:color="auto"/>
            <w:left w:val="none" w:sz="0" w:space="0" w:color="auto"/>
            <w:bottom w:val="none" w:sz="0" w:space="0" w:color="auto"/>
            <w:right w:val="none" w:sz="0" w:space="0" w:color="auto"/>
          </w:divBdr>
          <w:divsChild>
            <w:div w:id="11353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7185">
      <w:bodyDiv w:val="1"/>
      <w:marLeft w:val="0"/>
      <w:marRight w:val="0"/>
      <w:marTop w:val="0"/>
      <w:marBottom w:val="0"/>
      <w:divBdr>
        <w:top w:val="none" w:sz="0" w:space="0" w:color="auto"/>
        <w:left w:val="none" w:sz="0" w:space="0" w:color="auto"/>
        <w:bottom w:val="none" w:sz="0" w:space="0" w:color="auto"/>
        <w:right w:val="none" w:sz="0" w:space="0" w:color="auto"/>
      </w:divBdr>
      <w:divsChild>
        <w:div w:id="1109084961">
          <w:marLeft w:val="0"/>
          <w:marRight w:val="0"/>
          <w:marTop w:val="120"/>
          <w:marBottom w:val="0"/>
          <w:divBdr>
            <w:top w:val="none" w:sz="0" w:space="0" w:color="auto"/>
            <w:left w:val="none" w:sz="0" w:space="0" w:color="auto"/>
            <w:bottom w:val="none" w:sz="0" w:space="0" w:color="auto"/>
            <w:right w:val="none" w:sz="0" w:space="0" w:color="auto"/>
          </w:divBdr>
          <w:divsChild>
            <w:div w:id="1471822807">
              <w:marLeft w:val="0"/>
              <w:marRight w:val="0"/>
              <w:marTop w:val="0"/>
              <w:marBottom w:val="240"/>
              <w:divBdr>
                <w:top w:val="none" w:sz="0" w:space="0" w:color="auto"/>
                <w:left w:val="none" w:sz="0" w:space="0" w:color="auto"/>
                <w:bottom w:val="none" w:sz="0" w:space="0" w:color="auto"/>
                <w:right w:val="none" w:sz="0" w:space="0" w:color="auto"/>
              </w:divBdr>
            </w:div>
          </w:divsChild>
        </w:div>
        <w:div w:id="1919747201">
          <w:marLeft w:val="0"/>
          <w:marRight w:val="240"/>
          <w:marTop w:val="120"/>
          <w:marBottom w:val="0"/>
          <w:divBdr>
            <w:top w:val="none" w:sz="0" w:space="0" w:color="auto"/>
            <w:left w:val="none" w:sz="0" w:space="0" w:color="auto"/>
            <w:bottom w:val="none" w:sz="0" w:space="0" w:color="auto"/>
            <w:right w:val="none" w:sz="0" w:space="0" w:color="auto"/>
          </w:divBdr>
          <w:divsChild>
            <w:div w:id="585845111">
              <w:marLeft w:val="84"/>
              <w:marRight w:val="0"/>
              <w:marTop w:val="84"/>
              <w:marBottom w:val="360"/>
              <w:divBdr>
                <w:top w:val="none" w:sz="0" w:space="0" w:color="auto"/>
                <w:left w:val="none" w:sz="0" w:space="0" w:color="auto"/>
                <w:bottom w:val="none" w:sz="0" w:space="0" w:color="auto"/>
                <w:right w:val="none" w:sz="0" w:space="0" w:color="auto"/>
              </w:divBdr>
            </w:div>
          </w:divsChild>
        </w:div>
      </w:divsChild>
    </w:div>
    <w:div w:id="1222669300">
      <w:bodyDiv w:val="1"/>
      <w:marLeft w:val="0"/>
      <w:marRight w:val="0"/>
      <w:marTop w:val="0"/>
      <w:marBottom w:val="0"/>
      <w:divBdr>
        <w:top w:val="none" w:sz="0" w:space="0" w:color="auto"/>
        <w:left w:val="none" w:sz="0" w:space="0" w:color="auto"/>
        <w:bottom w:val="none" w:sz="0" w:space="0" w:color="auto"/>
        <w:right w:val="none" w:sz="0" w:space="0" w:color="auto"/>
      </w:divBdr>
      <w:divsChild>
        <w:div w:id="1448430786">
          <w:marLeft w:val="0"/>
          <w:marRight w:val="0"/>
          <w:marTop w:val="0"/>
          <w:marBottom w:val="0"/>
          <w:divBdr>
            <w:top w:val="none" w:sz="0" w:space="0" w:color="auto"/>
            <w:left w:val="none" w:sz="0" w:space="0" w:color="auto"/>
            <w:bottom w:val="none" w:sz="0" w:space="0" w:color="auto"/>
            <w:right w:val="none" w:sz="0" w:space="0" w:color="auto"/>
          </w:divBdr>
          <w:divsChild>
            <w:div w:id="985667918">
              <w:marLeft w:val="0"/>
              <w:marRight w:val="0"/>
              <w:marTop w:val="0"/>
              <w:marBottom w:val="0"/>
              <w:divBdr>
                <w:top w:val="none" w:sz="0" w:space="0" w:color="auto"/>
                <w:left w:val="none" w:sz="0" w:space="0" w:color="auto"/>
                <w:bottom w:val="none" w:sz="0" w:space="0" w:color="auto"/>
                <w:right w:val="none" w:sz="0" w:space="0" w:color="auto"/>
              </w:divBdr>
              <w:divsChild>
                <w:div w:id="6112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82670">
      <w:bodyDiv w:val="1"/>
      <w:marLeft w:val="0"/>
      <w:marRight w:val="0"/>
      <w:marTop w:val="0"/>
      <w:marBottom w:val="0"/>
      <w:divBdr>
        <w:top w:val="none" w:sz="0" w:space="0" w:color="auto"/>
        <w:left w:val="none" w:sz="0" w:space="0" w:color="auto"/>
        <w:bottom w:val="none" w:sz="0" w:space="0" w:color="auto"/>
        <w:right w:val="none" w:sz="0" w:space="0" w:color="auto"/>
      </w:divBdr>
      <w:divsChild>
        <w:div w:id="1263562865">
          <w:marLeft w:val="0"/>
          <w:marRight w:val="0"/>
          <w:marTop w:val="33"/>
          <w:marBottom w:val="0"/>
          <w:divBdr>
            <w:top w:val="none" w:sz="0" w:space="0" w:color="auto"/>
            <w:left w:val="none" w:sz="0" w:space="0" w:color="auto"/>
            <w:bottom w:val="none" w:sz="0" w:space="0" w:color="auto"/>
            <w:right w:val="none" w:sz="0" w:space="0" w:color="auto"/>
          </w:divBdr>
        </w:div>
      </w:divsChild>
    </w:div>
    <w:div w:id="128249563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513198">
      <w:bodyDiv w:val="1"/>
      <w:marLeft w:val="0"/>
      <w:marRight w:val="0"/>
      <w:marTop w:val="0"/>
      <w:marBottom w:val="0"/>
      <w:divBdr>
        <w:top w:val="none" w:sz="0" w:space="0" w:color="auto"/>
        <w:left w:val="none" w:sz="0" w:space="0" w:color="auto"/>
        <w:bottom w:val="none" w:sz="0" w:space="0" w:color="auto"/>
        <w:right w:val="none" w:sz="0" w:space="0" w:color="auto"/>
      </w:divBdr>
      <w:divsChild>
        <w:div w:id="1322540601">
          <w:marLeft w:val="0"/>
          <w:marRight w:val="0"/>
          <w:marTop w:val="0"/>
          <w:marBottom w:val="0"/>
          <w:divBdr>
            <w:top w:val="none" w:sz="0" w:space="0" w:color="auto"/>
            <w:left w:val="none" w:sz="0" w:space="0" w:color="auto"/>
            <w:bottom w:val="none" w:sz="0" w:space="0" w:color="auto"/>
            <w:right w:val="none" w:sz="0" w:space="0" w:color="auto"/>
          </w:divBdr>
        </w:div>
        <w:div w:id="1665207305">
          <w:marLeft w:val="0"/>
          <w:marRight w:val="0"/>
          <w:marTop w:val="0"/>
          <w:marBottom w:val="0"/>
          <w:divBdr>
            <w:top w:val="none" w:sz="0" w:space="0" w:color="auto"/>
            <w:left w:val="none" w:sz="0" w:space="0" w:color="auto"/>
            <w:bottom w:val="none" w:sz="0" w:space="0" w:color="auto"/>
            <w:right w:val="none" w:sz="0" w:space="0" w:color="auto"/>
          </w:divBdr>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094920">
      <w:bodyDiv w:val="1"/>
      <w:marLeft w:val="0"/>
      <w:marRight w:val="0"/>
      <w:marTop w:val="0"/>
      <w:marBottom w:val="0"/>
      <w:divBdr>
        <w:top w:val="none" w:sz="0" w:space="0" w:color="auto"/>
        <w:left w:val="none" w:sz="0" w:space="0" w:color="auto"/>
        <w:bottom w:val="none" w:sz="0" w:space="0" w:color="auto"/>
        <w:right w:val="none" w:sz="0" w:space="0" w:color="auto"/>
      </w:divBdr>
    </w:div>
    <w:div w:id="136787325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94847">
      <w:bodyDiv w:val="1"/>
      <w:marLeft w:val="0"/>
      <w:marRight w:val="0"/>
      <w:marTop w:val="0"/>
      <w:marBottom w:val="0"/>
      <w:divBdr>
        <w:top w:val="none" w:sz="0" w:space="0" w:color="auto"/>
        <w:left w:val="none" w:sz="0" w:space="0" w:color="auto"/>
        <w:bottom w:val="none" w:sz="0" w:space="0" w:color="auto"/>
        <w:right w:val="none" w:sz="0" w:space="0" w:color="auto"/>
      </w:divBdr>
      <w:divsChild>
        <w:div w:id="1944991323">
          <w:marLeft w:val="0"/>
          <w:marRight w:val="0"/>
          <w:marTop w:val="0"/>
          <w:marBottom w:val="0"/>
          <w:divBdr>
            <w:top w:val="none" w:sz="0" w:space="0" w:color="auto"/>
            <w:left w:val="none" w:sz="0" w:space="0" w:color="auto"/>
            <w:bottom w:val="none" w:sz="0" w:space="0" w:color="auto"/>
            <w:right w:val="none" w:sz="0" w:space="0" w:color="auto"/>
          </w:divBdr>
          <w:divsChild>
            <w:div w:id="1175418881">
              <w:marLeft w:val="0"/>
              <w:marRight w:val="0"/>
              <w:marTop w:val="0"/>
              <w:marBottom w:val="0"/>
              <w:divBdr>
                <w:top w:val="none" w:sz="0" w:space="0" w:color="auto"/>
                <w:left w:val="none" w:sz="0" w:space="0" w:color="auto"/>
                <w:bottom w:val="none" w:sz="0" w:space="0" w:color="auto"/>
                <w:right w:val="none" w:sz="0" w:space="0" w:color="auto"/>
              </w:divBdr>
              <w:divsChild>
                <w:div w:id="13601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51">
      <w:bodyDiv w:val="1"/>
      <w:marLeft w:val="0"/>
      <w:marRight w:val="0"/>
      <w:marTop w:val="0"/>
      <w:marBottom w:val="0"/>
      <w:divBdr>
        <w:top w:val="none" w:sz="0" w:space="0" w:color="auto"/>
        <w:left w:val="none" w:sz="0" w:space="0" w:color="auto"/>
        <w:bottom w:val="none" w:sz="0" w:space="0" w:color="auto"/>
        <w:right w:val="none" w:sz="0" w:space="0" w:color="auto"/>
      </w:divBdr>
      <w:divsChild>
        <w:div w:id="279187306">
          <w:marLeft w:val="0"/>
          <w:marRight w:val="0"/>
          <w:marTop w:val="0"/>
          <w:marBottom w:val="0"/>
          <w:divBdr>
            <w:top w:val="none" w:sz="0" w:space="0" w:color="auto"/>
            <w:left w:val="none" w:sz="0" w:space="0" w:color="auto"/>
            <w:bottom w:val="none" w:sz="0" w:space="0" w:color="auto"/>
            <w:right w:val="none" w:sz="0" w:space="0" w:color="auto"/>
          </w:divBdr>
          <w:divsChild>
            <w:div w:id="1264917393">
              <w:marLeft w:val="0"/>
              <w:marRight w:val="0"/>
              <w:marTop w:val="0"/>
              <w:marBottom w:val="0"/>
              <w:divBdr>
                <w:top w:val="none" w:sz="0" w:space="0" w:color="auto"/>
                <w:left w:val="none" w:sz="0" w:space="0" w:color="auto"/>
                <w:bottom w:val="none" w:sz="0" w:space="0" w:color="auto"/>
                <w:right w:val="none" w:sz="0" w:space="0" w:color="auto"/>
              </w:divBdr>
              <w:divsChild>
                <w:div w:id="12755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825">
      <w:bodyDiv w:val="1"/>
      <w:marLeft w:val="0"/>
      <w:marRight w:val="0"/>
      <w:marTop w:val="0"/>
      <w:marBottom w:val="0"/>
      <w:divBdr>
        <w:top w:val="none" w:sz="0" w:space="0" w:color="auto"/>
        <w:left w:val="none" w:sz="0" w:space="0" w:color="auto"/>
        <w:bottom w:val="none" w:sz="0" w:space="0" w:color="auto"/>
        <w:right w:val="none" w:sz="0" w:space="0" w:color="auto"/>
      </w:divBdr>
    </w:div>
    <w:div w:id="151461357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0306235">
      <w:bodyDiv w:val="1"/>
      <w:marLeft w:val="0"/>
      <w:marRight w:val="0"/>
      <w:marTop w:val="0"/>
      <w:marBottom w:val="0"/>
      <w:divBdr>
        <w:top w:val="none" w:sz="0" w:space="0" w:color="auto"/>
        <w:left w:val="none" w:sz="0" w:space="0" w:color="auto"/>
        <w:bottom w:val="none" w:sz="0" w:space="0" w:color="auto"/>
        <w:right w:val="none" w:sz="0" w:space="0" w:color="auto"/>
      </w:divBdr>
      <w:divsChild>
        <w:div w:id="1316103273">
          <w:marLeft w:val="0"/>
          <w:marRight w:val="0"/>
          <w:marTop w:val="0"/>
          <w:marBottom w:val="150"/>
          <w:divBdr>
            <w:top w:val="none" w:sz="0" w:space="0" w:color="auto"/>
            <w:left w:val="none" w:sz="0" w:space="0" w:color="auto"/>
            <w:bottom w:val="none" w:sz="0" w:space="0" w:color="auto"/>
            <w:right w:val="none" w:sz="0" w:space="0" w:color="auto"/>
          </w:divBdr>
          <w:divsChild>
            <w:div w:id="9997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087">
      <w:bodyDiv w:val="1"/>
      <w:marLeft w:val="0"/>
      <w:marRight w:val="0"/>
      <w:marTop w:val="0"/>
      <w:marBottom w:val="0"/>
      <w:divBdr>
        <w:top w:val="none" w:sz="0" w:space="0" w:color="auto"/>
        <w:left w:val="none" w:sz="0" w:space="0" w:color="auto"/>
        <w:bottom w:val="none" w:sz="0" w:space="0" w:color="auto"/>
        <w:right w:val="none" w:sz="0" w:space="0" w:color="auto"/>
      </w:divBdr>
    </w:div>
    <w:div w:id="1616865509">
      <w:bodyDiv w:val="1"/>
      <w:marLeft w:val="0"/>
      <w:marRight w:val="0"/>
      <w:marTop w:val="0"/>
      <w:marBottom w:val="0"/>
      <w:divBdr>
        <w:top w:val="none" w:sz="0" w:space="0" w:color="auto"/>
        <w:left w:val="none" w:sz="0" w:space="0" w:color="auto"/>
        <w:bottom w:val="none" w:sz="0" w:space="0" w:color="auto"/>
        <w:right w:val="none" w:sz="0" w:space="0" w:color="auto"/>
      </w:divBdr>
      <w:divsChild>
        <w:div w:id="1991208877">
          <w:marLeft w:val="0"/>
          <w:marRight w:val="0"/>
          <w:marTop w:val="0"/>
          <w:marBottom w:val="0"/>
          <w:divBdr>
            <w:top w:val="none" w:sz="0" w:space="0" w:color="auto"/>
            <w:left w:val="none" w:sz="0" w:space="0" w:color="auto"/>
            <w:bottom w:val="none" w:sz="0" w:space="0" w:color="auto"/>
            <w:right w:val="none" w:sz="0" w:space="0" w:color="auto"/>
          </w:divBdr>
          <w:divsChild>
            <w:div w:id="171990893">
              <w:marLeft w:val="0"/>
              <w:marRight w:val="0"/>
              <w:marTop w:val="0"/>
              <w:marBottom w:val="0"/>
              <w:divBdr>
                <w:top w:val="none" w:sz="0" w:space="0" w:color="auto"/>
                <w:left w:val="none" w:sz="0" w:space="0" w:color="auto"/>
                <w:bottom w:val="none" w:sz="0" w:space="0" w:color="auto"/>
                <w:right w:val="none" w:sz="0" w:space="0" w:color="auto"/>
              </w:divBdr>
              <w:divsChild>
                <w:div w:id="1671760160">
                  <w:marLeft w:val="0"/>
                  <w:marRight w:val="0"/>
                  <w:marTop w:val="0"/>
                  <w:marBottom w:val="0"/>
                  <w:divBdr>
                    <w:top w:val="none" w:sz="0" w:space="0" w:color="auto"/>
                    <w:left w:val="none" w:sz="0" w:space="0" w:color="auto"/>
                    <w:bottom w:val="none" w:sz="0" w:space="0" w:color="auto"/>
                    <w:right w:val="none" w:sz="0" w:space="0" w:color="auto"/>
                  </w:divBdr>
                  <w:divsChild>
                    <w:div w:id="748579840">
                      <w:marLeft w:val="0"/>
                      <w:marRight w:val="0"/>
                      <w:marTop w:val="0"/>
                      <w:marBottom w:val="0"/>
                      <w:divBdr>
                        <w:top w:val="none" w:sz="0" w:space="0" w:color="auto"/>
                        <w:left w:val="none" w:sz="0" w:space="0" w:color="auto"/>
                        <w:bottom w:val="none" w:sz="0" w:space="0" w:color="auto"/>
                        <w:right w:val="none" w:sz="0" w:space="0" w:color="auto"/>
                      </w:divBdr>
                      <w:divsChild>
                        <w:div w:id="1238633257">
                          <w:marLeft w:val="0"/>
                          <w:marRight w:val="0"/>
                          <w:marTop w:val="0"/>
                          <w:marBottom w:val="0"/>
                          <w:divBdr>
                            <w:top w:val="none" w:sz="0" w:space="0" w:color="auto"/>
                            <w:left w:val="none" w:sz="0" w:space="0" w:color="auto"/>
                            <w:bottom w:val="none" w:sz="0" w:space="0" w:color="auto"/>
                            <w:right w:val="none" w:sz="0" w:space="0" w:color="auto"/>
                          </w:divBdr>
                          <w:divsChild>
                            <w:div w:id="1665628591">
                              <w:marLeft w:val="0"/>
                              <w:marRight w:val="0"/>
                              <w:marTop w:val="0"/>
                              <w:marBottom w:val="0"/>
                              <w:divBdr>
                                <w:top w:val="none" w:sz="0" w:space="0" w:color="auto"/>
                                <w:left w:val="none" w:sz="0" w:space="0" w:color="auto"/>
                                <w:bottom w:val="none" w:sz="0" w:space="0" w:color="auto"/>
                                <w:right w:val="none" w:sz="0" w:space="0" w:color="auto"/>
                              </w:divBdr>
                              <w:divsChild>
                                <w:div w:id="1289629802">
                                  <w:marLeft w:val="0"/>
                                  <w:marRight w:val="0"/>
                                  <w:marTop w:val="0"/>
                                  <w:marBottom w:val="0"/>
                                  <w:divBdr>
                                    <w:top w:val="none" w:sz="0" w:space="0" w:color="auto"/>
                                    <w:left w:val="none" w:sz="0" w:space="0" w:color="auto"/>
                                    <w:bottom w:val="none" w:sz="0" w:space="0" w:color="auto"/>
                                    <w:right w:val="none" w:sz="0" w:space="0" w:color="auto"/>
                                  </w:divBdr>
                                  <w:divsChild>
                                    <w:div w:id="99911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90937">
      <w:bodyDiv w:val="1"/>
      <w:marLeft w:val="0"/>
      <w:marRight w:val="0"/>
      <w:marTop w:val="0"/>
      <w:marBottom w:val="0"/>
      <w:divBdr>
        <w:top w:val="none" w:sz="0" w:space="0" w:color="auto"/>
        <w:left w:val="none" w:sz="0" w:space="0" w:color="auto"/>
        <w:bottom w:val="none" w:sz="0" w:space="0" w:color="auto"/>
        <w:right w:val="none" w:sz="0" w:space="0" w:color="auto"/>
      </w:divBdr>
    </w:div>
    <w:div w:id="1637955554">
      <w:bodyDiv w:val="1"/>
      <w:marLeft w:val="0"/>
      <w:marRight w:val="0"/>
      <w:marTop w:val="0"/>
      <w:marBottom w:val="0"/>
      <w:divBdr>
        <w:top w:val="none" w:sz="0" w:space="0" w:color="auto"/>
        <w:left w:val="none" w:sz="0" w:space="0" w:color="auto"/>
        <w:bottom w:val="none" w:sz="0" w:space="0" w:color="auto"/>
        <w:right w:val="none" w:sz="0" w:space="0" w:color="auto"/>
      </w:divBdr>
    </w:div>
    <w:div w:id="1667977265">
      <w:bodyDiv w:val="1"/>
      <w:marLeft w:val="0"/>
      <w:marRight w:val="0"/>
      <w:marTop w:val="0"/>
      <w:marBottom w:val="0"/>
      <w:divBdr>
        <w:top w:val="none" w:sz="0" w:space="0" w:color="auto"/>
        <w:left w:val="none" w:sz="0" w:space="0" w:color="auto"/>
        <w:bottom w:val="none" w:sz="0" w:space="0" w:color="auto"/>
        <w:right w:val="none" w:sz="0" w:space="0" w:color="auto"/>
      </w:divBdr>
      <w:divsChild>
        <w:div w:id="355083429">
          <w:marLeft w:val="0"/>
          <w:marRight w:val="0"/>
          <w:marTop w:val="0"/>
          <w:marBottom w:val="0"/>
          <w:divBdr>
            <w:top w:val="none" w:sz="0" w:space="0" w:color="auto"/>
            <w:left w:val="none" w:sz="0" w:space="0" w:color="auto"/>
            <w:bottom w:val="none" w:sz="0" w:space="0" w:color="auto"/>
            <w:right w:val="none" w:sz="0" w:space="0" w:color="auto"/>
          </w:divBdr>
        </w:div>
        <w:div w:id="616525921">
          <w:marLeft w:val="0"/>
          <w:marRight w:val="0"/>
          <w:marTop w:val="0"/>
          <w:marBottom w:val="0"/>
          <w:divBdr>
            <w:top w:val="none" w:sz="0" w:space="0" w:color="auto"/>
            <w:left w:val="none" w:sz="0" w:space="0" w:color="auto"/>
            <w:bottom w:val="none" w:sz="0" w:space="0" w:color="auto"/>
            <w:right w:val="none" w:sz="0" w:space="0" w:color="auto"/>
          </w:divBdr>
        </w:div>
        <w:div w:id="1504515177">
          <w:marLeft w:val="0"/>
          <w:marRight w:val="0"/>
          <w:marTop w:val="0"/>
          <w:marBottom w:val="0"/>
          <w:divBdr>
            <w:top w:val="none" w:sz="0" w:space="0" w:color="auto"/>
            <w:left w:val="none" w:sz="0" w:space="0" w:color="auto"/>
            <w:bottom w:val="none" w:sz="0" w:space="0" w:color="auto"/>
            <w:right w:val="none" w:sz="0" w:space="0" w:color="auto"/>
          </w:divBdr>
        </w:div>
      </w:divsChild>
    </w:div>
    <w:div w:id="1670912281">
      <w:bodyDiv w:val="1"/>
      <w:marLeft w:val="0"/>
      <w:marRight w:val="0"/>
      <w:marTop w:val="0"/>
      <w:marBottom w:val="0"/>
      <w:divBdr>
        <w:top w:val="none" w:sz="0" w:space="0" w:color="auto"/>
        <w:left w:val="none" w:sz="0" w:space="0" w:color="auto"/>
        <w:bottom w:val="none" w:sz="0" w:space="0" w:color="auto"/>
        <w:right w:val="none" w:sz="0" w:space="0" w:color="auto"/>
      </w:divBdr>
      <w:divsChild>
        <w:div w:id="438136772">
          <w:marLeft w:val="0"/>
          <w:marRight w:val="0"/>
          <w:marTop w:val="0"/>
          <w:marBottom w:val="196"/>
          <w:divBdr>
            <w:top w:val="single" w:sz="4" w:space="6" w:color="D3D1D1"/>
            <w:left w:val="single" w:sz="4" w:space="0" w:color="D3D1D1"/>
            <w:bottom w:val="single" w:sz="4" w:space="6" w:color="D3D1D1"/>
            <w:right w:val="single" w:sz="4" w:space="0" w:color="D3D1D1"/>
          </w:divBdr>
          <w:divsChild>
            <w:div w:id="953709954">
              <w:marLeft w:val="87"/>
              <w:marRight w:val="87"/>
              <w:marTop w:val="0"/>
              <w:marBottom w:val="0"/>
              <w:divBdr>
                <w:top w:val="none" w:sz="0" w:space="0" w:color="auto"/>
                <w:left w:val="none" w:sz="0" w:space="0" w:color="auto"/>
                <w:bottom w:val="none" w:sz="0" w:space="0" w:color="auto"/>
                <w:right w:val="none" w:sz="0" w:space="0" w:color="auto"/>
              </w:divBdr>
              <w:divsChild>
                <w:div w:id="1977248443">
                  <w:marLeft w:val="0"/>
                  <w:marRight w:val="0"/>
                  <w:marTop w:val="0"/>
                  <w:marBottom w:val="0"/>
                  <w:divBdr>
                    <w:top w:val="none" w:sz="0" w:space="0" w:color="auto"/>
                    <w:left w:val="none" w:sz="0" w:space="0" w:color="auto"/>
                    <w:bottom w:val="none" w:sz="0" w:space="0" w:color="auto"/>
                    <w:right w:val="none" w:sz="0" w:space="0" w:color="auto"/>
                  </w:divBdr>
                  <w:divsChild>
                    <w:div w:id="388724037">
                      <w:marLeft w:val="0"/>
                      <w:marRight w:val="0"/>
                      <w:marTop w:val="0"/>
                      <w:marBottom w:val="0"/>
                      <w:divBdr>
                        <w:top w:val="none" w:sz="0" w:space="0" w:color="auto"/>
                        <w:left w:val="none" w:sz="0" w:space="0" w:color="auto"/>
                        <w:bottom w:val="none" w:sz="0" w:space="0" w:color="auto"/>
                        <w:right w:val="none" w:sz="0" w:space="0" w:color="auto"/>
                      </w:divBdr>
                      <w:divsChild>
                        <w:div w:id="18440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750397">
      <w:bodyDiv w:val="1"/>
      <w:marLeft w:val="0"/>
      <w:marRight w:val="0"/>
      <w:marTop w:val="0"/>
      <w:marBottom w:val="0"/>
      <w:divBdr>
        <w:top w:val="none" w:sz="0" w:space="0" w:color="auto"/>
        <w:left w:val="none" w:sz="0" w:space="0" w:color="auto"/>
        <w:bottom w:val="none" w:sz="0" w:space="0" w:color="auto"/>
        <w:right w:val="none" w:sz="0" w:space="0" w:color="auto"/>
      </w:divBdr>
      <w:divsChild>
        <w:div w:id="259459335">
          <w:marLeft w:val="0"/>
          <w:marRight w:val="0"/>
          <w:marTop w:val="0"/>
          <w:marBottom w:val="0"/>
          <w:divBdr>
            <w:top w:val="none" w:sz="0" w:space="0" w:color="auto"/>
            <w:left w:val="none" w:sz="0" w:space="0" w:color="auto"/>
            <w:bottom w:val="none" w:sz="0" w:space="0" w:color="auto"/>
            <w:right w:val="none" w:sz="0" w:space="0" w:color="auto"/>
          </w:divBdr>
          <w:divsChild>
            <w:div w:id="16042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6893">
      <w:bodyDiv w:val="1"/>
      <w:marLeft w:val="0"/>
      <w:marRight w:val="0"/>
      <w:marTop w:val="0"/>
      <w:marBottom w:val="0"/>
      <w:divBdr>
        <w:top w:val="none" w:sz="0" w:space="0" w:color="auto"/>
        <w:left w:val="none" w:sz="0" w:space="0" w:color="auto"/>
        <w:bottom w:val="none" w:sz="0" w:space="0" w:color="auto"/>
        <w:right w:val="none" w:sz="0" w:space="0" w:color="auto"/>
      </w:divBdr>
    </w:div>
    <w:div w:id="1706714455">
      <w:bodyDiv w:val="1"/>
      <w:marLeft w:val="0"/>
      <w:marRight w:val="0"/>
      <w:marTop w:val="0"/>
      <w:marBottom w:val="0"/>
      <w:divBdr>
        <w:top w:val="none" w:sz="0" w:space="0" w:color="auto"/>
        <w:left w:val="none" w:sz="0" w:space="0" w:color="auto"/>
        <w:bottom w:val="none" w:sz="0" w:space="0" w:color="auto"/>
        <w:right w:val="none" w:sz="0" w:space="0" w:color="auto"/>
      </w:divBdr>
    </w:div>
    <w:div w:id="1708870023">
      <w:bodyDiv w:val="1"/>
      <w:marLeft w:val="0"/>
      <w:marRight w:val="0"/>
      <w:marTop w:val="0"/>
      <w:marBottom w:val="0"/>
      <w:divBdr>
        <w:top w:val="none" w:sz="0" w:space="0" w:color="auto"/>
        <w:left w:val="none" w:sz="0" w:space="0" w:color="auto"/>
        <w:bottom w:val="none" w:sz="0" w:space="0" w:color="auto"/>
        <w:right w:val="none" w:sz="0" w:space="0" w:color="auto"/>
      </w:divBdr>
      <w:divsChild>
        <w:div w:id="1063215380">
          <w:marLeft w:val="0"/>
          <w:marRight w:val="0"/>
          <w:marTop w:val="0"/>
          <w:marBottom w:val="0"/>
          <w:divBdr>
            <w:top w:val="none" w:sz="0" w:space="0" w:color="auto"/>
            <w:left w:val="none" w:sz="0" w:space="0" w:color="auto"/>
            <w:bottom w:val="none" w:sz="0" w:space="0" w:color="auto"/>
            <w:right w:val="none" w:sz="0" w:space="0" w:color="auto"/>
          </w:divBdr>
          <w:divsChild>
            <w:div w:id="221866837">
              <w:marLeft w:val="0"/>
              <w:marRight w:val="0"/>
              <w:marTop w:val="0"/>
              <w:marBottom w:val="0"/>
              <w:divBdr>
                <w:top w:val="none" w:sz="0" w:space="0" w:color="auto"/>
                <w:left w:val="none" w:sz="0" w:space="0" w:color="auto"/>
                <w:bottom w:val="none" w:sz="0" w:space="0" w:color="auto"/>
                <w:right w:val="none" w:sz="0" w:space="0" w:color="auto"/>
              </w:divBdr>
              <w:divsChild>
                <w:div w:id="1330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637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164902">
      <w:bodyDiv w:val="1"/>
      <w:marLeft w:val="0"/>
      <w:marRight w:val="0"/>
      <w:marTop w:val="0"/>
      <w:marBottom w:val="0"/>
      <w:divBdr>
        <w:top w:val="none" w:sz="0" w:space="0" w:color="auto"/>
        <w:left w:val="none" w:sz="0" w:space="0" w:color="auto"/>
        <w:bottom w:val="none" w:sz="0" w:space="0" w:color="auto"/>
        <w:right w:val="none" w:sz="0" w:space="0" w:color="auto"/>
      </w:divBdr>
      <w:divsChild>
        <w:div w:id="550313647">
          <w:marLeft w:val="1123"/>
          <w:marRight w:val="0"/>
          <w:marTop w:val="0"/>
          <w:marBottom w:val="0"/>
          <w:divBdr>
            <w:top w:val="none" w:sz="0" w:space="0" w:color="auto"/>
            <w:left w:val="none" w:sz="0" w:space="0" w:color="auto"/>
            <w:bottom w:val="none" w:sz="0" w:space="0" w:color="auto"/>
            <w:right w:val="none" w:sz="0" w:space="0" w:color="auto"/>
          </w:divBdr>
        </w:div>
        <w:div w:id="809905205">
          <w:marLeft w:val="1123"/>
          <w:marRight w:val="0"/>
          <w:marTop w:val="0"/>
          <w:marBottom w:val="0"/>
          <w:divBdr>
            <w:top w:val="none" w:sz="0" w:space="0" w:color="auto"/>
            <w:left w:val="none" w:sz="0" w:space="0" w:color="auto"/>
            <w:bottom w:val="none" w:sz="0" w:space="0" w:color="auto"/>
            <w:right w:val="none" w:sz="0" w:space="0" w:color="auto"/>
          </w:divBdr>
        </w:div>
        <w:div w:id="1661806285">
          <w:marLeft w:val="1123"/>
          <w:marRight w:val="0"/>
          <w:marTop w:val="0"/>
          <w:marBottom w:val="0"/>
          <w:divBdr>
            <w:top w:val="none" w:sz="0" w:space="0" w:color="auto"/>
            <w:left w:val="none" w:sz="0" w:space="0" w:color="auto"/>
            <w:bottom w:val="none" w:sz="0" w:space="0" w:color="auto"/>
            <w:right w:val="none" w:sz="0" w:space="0" w:color="auto"/>
          </w:divBdr>
        </w:div>
        <w:div w:id="2036075473">
          <w:marLeft w:val="1123"/>
          <w:marRight w:val="0"/>
          <w:marTop w:val="0"/>
          <w:marBottom w:val="0"/>
          <w:divBdr>
            <w:top w:val="none" w:sz="0" w:space="0" w:color="auto"/>
            <w:left w:val="none" w:sz="0" w:space="0" w:color="auto"/>
            <w:bottom w:val="none" w:sz="0" w:space="0" w:color="auto"/>
            <w:right w:val="none" w:sz="0" w:space="0" w:color="auto"/>
          </w:divBdr>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8726412">
      <w:bodyDiv w:val="1"/>
      <w:marLeft w:val="0"/>
      <w:marRight w:val="0"/>
      <w:marTop w:val="0"/>
      <w:marBottom w:val="0"/>
      <w:divBdr>
        <w:top w:val="none" w:sz="0" w:space="0" w:color="auto"/>
        <w:left w:val="none" w:sz="0" w:space="0" w:color="auto"/>
        <w:bottom w:val="none" w:sz="0" w:space="0" w:color="auto"/>
        <w:right w:val="none" w:sz="0" w:space="0" w:color="auto"/>
      </w:divBdr>
      <w:divsChild>
        <w:div w:id="2136749613">
          <w:marLeft w:val="0"/>
          <w:marRight w:val="0"/>
          <w:marTop w:val="0"/>
          <w:marBottom w:val="0"/>
          <w:divBdr>
            <w:top w:val="none" w:sz="0" w:space="0" w:color="auto"/>
            <w:left w:val="none" w:sz="0" w:space="0" w:color="auto"/>
            <w:bottom w:val="none" w:sz="0" w:space="0" w:color="auto"/>
            <w:right w:val="none" w:sz="0" w:space="0" w:color="auto"/>
          </w:divBdr>
          <w:divsChild>
            <w:div w:id="1957590568">
              <w:marLeft w:val="2282"/>
              <w:marRight w:val="0"/>
              <w:marTop w:val="0"/>
              <w:marBottom w:val="120"/>
              <w:divBdr>
                <w:top w:val="none" w:sz="0" w:space="0" w:color="auto"/>
                <w:left w:val="none" w:sz="0" w:space="0" w:color="auto"/>
                <w:bottom w:val="none" w:sz="0" w:space="0" w:color="auto"/>
                <w:right w:val="none" w:sz="0" w:space="0" w:color="auto"/>
              </w:divBdr>
              <w:divsChild>
                <w:div w:id="891041966">
                  <w:marLeft w:val="0"/>
                  <w:marRight w:val="0"/>
                  <w:marTop w:val="0"/>
                  <w:marBottom w:val="0"/>
                  <w:divBdr>
                    <w:top w:val="none" w:sz="0" w:space="0" w:color="auto"/>
                    <w:left w:val="none" w:sz="0" w:space="0" w:color="auto"/>
                    <w:bottom w:val="none" w:sz="0" w:space="0" w:color="auto"/>
                    <w:right w:val="none" w:sz="0" w:space="0" w:color="auto"/>
                  </w:divBdr>
                  <w:divsChild>
                    <w:div w:id="58873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2764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plant@agriculture.gov.au" TargetMode="External"/><Relationship Id="rId26" Type="http://schemas.openxmlformats.org/officeDocument/2006/relationships/image" Target="media/image5.jpeg"/><Relationship Id="rId39" Type="http://schemas.openxmlformats.org/officeDocument/2006/relationships/header" Target="header11.xml"/><Relationship Id="rId21" Type="http://schemas.openxmlformats.org/officeDocument/2006/relationships/footer" Target="footer3.xml"/><Relationship Id="rId34" Type="http://schemas.openxmlformats.org/officeDocument/2006/relationships/image" Target="media/image7.jpeg"/><Relationship Id="rId42" Type="http://schemas.openxmlformats.org/officeDocument/2006/relationships/header" Target="header14.xml"/><Relationship Id="rId47" Type="http://schemas.openxmlformats.org/officeDocument/2006/relationships/hyperlink" Target="http://apsjournals.apsnet.org/doi/10.1094/PDIS-10-14-1071-PDN" TargetMode="External"/><Relationship Id="rId50" Type="http://schemas.openxmlformats.org/officeDocument/2006/relationships/header" Target="header18.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image" Target="media/image10.png"/><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www.agriculture.gov.au/ba/memos" TargetMode="Externa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reativecommons.org/licenses/by/3.0/au/deed.en"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hyperlink" Target="http://www.daff.gov.au/ba/ira/process-handbook" TargetMode="External"/><Relationship Id="rId35" Type="http://schemas.openxmlformats.org/officeDocument/2006/relationships/image" Target="media/image8.jpeg"/><Relationship Id="rId43" Type="http://schemas.openxmlformats.org/officeDocument/2006/relationships/header" Target="header15.xml"/><Relationship Id="rId48" Type="http://schemas.openxmlformats.org/officeDocument/2006/relationships/hyperlink" Target="http://www.cabi.org/cpc/abstract/19771657671"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daff.gov.au/"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hyperlink" Target="http://www.cabi.org/cpc/abstract/19922317138" TargetMode="External"/><Relationship Id="rId20" Type="http://schemas.openxmlformats.org/officeDocument/2006/relationships/header" Target="header3.xml"/><Relationship Id="rId41" Type="http://schemas.openxmlformats.org/officeDocument/2006/relationships/header" Target="header13.xm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legalcode" TargetMode="Externa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image" Target="media/image9.png"/><Relationship Id="rId49" Type="http://schemas.openxmlformats.org/officeDocument/2006/relationships/hyperlink" Target="http://www.cabi.org/cpc/abstract/197313016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96A9C579-2B9E-43C6-B8F1-F6C57FE61488}"/>
</file>

<file path=customXml/itemProps2.xml><?xml version="1.0" encoding="utf-8"?>
<ds:datastoreItem xmlns:ds="http://schemas.openxmlformats.org/officeDocument/2006/customXml" ds:itemID="{EB88AFA2-7E2F-4BF7-AAC5-7FF5339F0285}"/>
</file>

<file path=customXml/itemProps3.xml><?xml version="1.0" encoding="utf-8"?>
<ds:datastoreItem xmlns:ds="http://schemas.openxmlformats.org/officeDocument/2006/customXml" ds:itemID="{EAC94053-A683-40FC-B487-5A2D2418CB1D}"/>
</file>

<file path=customXml/itemProps4.xml><?xml version="1.0" encoding="utf-8"?>
<ds:datastoreItem xmlns:ds="http://schemas.openxmlformats.org/officeDocument/2006/customXml" ds:itemID="{0878E68A-995B-421B-AAB8-A89F5964EA89}"/>
</file>

<file path=docProps/app.xml><?xml version="1.0" encoding="utf-8"?>
<Properties xmlns="http://schemas.openxmlformats.org/officeDocument/2006/extended-properties" xmlns:vt="http://schemas.openxmlformats.org/officeDocument/2006/docPropsVTypes">
  <Template>Normal</Template>
  <TotalTime>0</TotalTime>
  <Pages>66</Pages>
  <Words>31465</Words>
  <Characters>179354</Characters>
  <Application>Microsoft Office Word</Application>
  <DocSecurity>0</DocSecurity>
  <Lines>1494</Lines>
  <Paragraphs>420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210399</CharactersWithSpaces>
  <SharedDoc>false</SharedDoc>
  <HyperlinkBase>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1</cp:revision>
  <cp:lastPrinted>2014-06-10T23:50:00Z</cp:lastPrinted>
  <dcterms:created xsi:type="dcterms:W3CDTF">2016-01-11T02:45:00Z</dcterms:created>
  <dcterms:modified xsi:type="dcterms:W3CDTF">2016-04-04T03:56:00Z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