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header17.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header18.xml" ContentType="application/vnd.openxmlformats-officedocument.wordprocessingml.header+xml"/>
  <Override PartName="/word/footer1.xml" ContentType="application/vnd.openxmlformats-officedocument.wordprocessingml.footer+xml"/>
  <Override PartName="/word/header21.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19.xml" ContentType="application/vnd.openxmlformats-officedocument.wordprocessingml.header+xml"/>
  <Override PartName="/word/footer7.xml" ContentType="application/vnd.openxmlformats-officedocument.wordprocessingml.footer+xml"/>
  <Override PartName="/word/footer3.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82D" w:rsidRDefault="00B8782D">
      <w:pPr>
        <w:pStyle w:val="Title"/>
        <w:pBdr>
          <w:bottom w:val="single" w:sz="4" w:space="1" w:color="auto"/>
        </w:pBdr>
        <w:rPr>
          <w:sz w:val="60"/>
          <w:szCs w:val="60"/>
        </w:rPr>
      </w:pPr>
      <w:r>
        <w:rPr>
          <w:sz w:val="60"/>
          <w:szCs w:val="60"/>
        </w:rPr>
        <w:t>Final report for the non-regulated analysis of existing policy for fresh nectarine fruit from China</w:t>
      </w:r>
    </w:p>
    <w:p w:rsidR="00B8782D" w:rsidRDefault="00B8782D">
      <w:pPr>
        <w:jc w:val="right"/>
      </w:pPr>
      <w:r>
        <w:t>April 2016</w:t>
      </w:r>
    </w:p>
    <w:p w:rsidR="00B8782D" w:rsidRDefault="00B8782D">
      <w:pPr>
        <w:pStyle w:val="Picture"/>
      </w:pPr>
      <w:r>
        <w:rPr>
          <w:lang w:eastAsia="zh-CN"/>
        </w:rPr>
        <w:drawing>
          <wp:inline distT="0" distB="0" distL="0" distR="0" wp14:anchorId="55E67AC3" wp14:editId="06007BC3">
            <wp:extent cx="5822950" cy="5764530"/>
            <wp:effectExtent l="19050" t="0" r="6350" b="0"/>
            <wp:docPr id="1" name="Picture 1" descr="The Australian Government Department of Agriculture Biosecurity 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7" cstate="print"/>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rsidR="00B8782D" w:rsidRDefault="00B8782D">
      <w:pPr>
        <w:pStyle w:val="Picture"/>
      </w:pPr>
    </w:p>
    <w:p w:rsidR="00B8782D" w:rsidRDefault="00B8782D">
      <w:pPr>
        <w:pStyle w:val="Picture"/>
        <w:sectPr w:rsidR="00B8782D" w:rsidSect="00E445C7">
          <w:headerReference w:type="default" r:id="rId8"/>
          <w:footerReference w:type="default" r:id="rId9"/>
          <w:pgSz w:w="11906" w:h="16838"/>
          <w:pgMar w:top="1440" w:right="1440" w:bottom="1440" w:left="1440" w:header="708" w:footer="708" w:gutter="0"/>
          <w:cols w:space="708"/>
          <w:docGrid w:linePitch="360"/>
        </w:sectPr>
      </w:pPr>
    </w:p>
    <w:p w:rsidR="00B8782D" w:rsidRDefault="00B8782D">
      <w:pPr>
        <w:pStyle w:val="Picture"/>
        <w:rPr>
          <w:noProof w:val="0"/>
          <w:sz w:val="18"/>
          <w:lang w:eastAsia="en-US"/>
        </w:rPr>
      </w:pPr>
      <w:r>
        <w:rPr>
          <w:noProof w:val="0"/>
          <w:sz w:val="18"/>
          <w:lang w:eastAsia="en-US"/>
        </w:rPr>
        <w:lastRenderedPageBreak/>
        <w:t>© Commonwealth of Australia 2016</w:t>
      </w:r>
    </w:p>
    <w:p w:rsidR="00B8782D" w:rsidRDefault="00B8782D">
      <w:pPr>
        <w:pStyle w:val="TableText"/>
        <w:rPr>
          <w:rFonts w:ascii="Calibri" w:hAnsi="Calibri"/>
          <w:b/>
        </w:rPr>
      </w:pPr>
      <w:r>
        <w:rPr>
          <w:rFonts w:ascii="Calibri" w:hAnsi="Calibri"/>
          <w:b/>
        </w:rPr>
        <w:t>Ownership of intellectual property rights</w:t>
      </w:r>
    </w:p>
    <w:p w:rsidR="00B8782D" w:rsidRDefault="00B8782D">
      <w:pPr>
        <w:pStyle w:val="TableText"/>
        <w:spacing w:after="240"/>
      </w:pPr>
      <w:r>
        <w:t>Unless otherwise noted, copyright (and any other intellectual property rights, if any) in this publication is owned by the Commonwealth of Australia (referred to as the Commonwealth).</w:t>
      </w:r>
    </w:p>
    <w:p w:rsidR="00B8782D" w:rsidRDefault="00B8782D">
      <w:pPr>
        <w:pStyle w:val="TableText"/>
        <w:rPr>
          <w:rFonts w:ascii="Calibri" w:hAnsi="Calibri"/>
          <w:b/>
        </w:rPr>
      </w:pPr>
      <w:r>
        <w:rPr>
          <w:rFonts w:ascii="Calibri" w:hAnsi="Calibri"/>
          <w:b/>
        </w:rPr>
        <w:t>Creative Commons licence</w:t>
      </w:r>
    </w:p>
    <w:p w:rsidR="00B8782D" w:rsidRDefault="00B8782D">
      <w:pPr>
        <w:pStyle w:val="TableText"/>
        <w:spacing w:after="240"/>
      </w:pPr>
      <w:r>
        <w:t>All material in this publication is licensed under a Creative Commons Attribution 3.0 Australia Licence, save for content supplied by third parties, photographic images, logos and the Commonwealth Coat of Arms.</w:t>
      </w:r>
    </w:p>
    <w:p w:rsidR="00B8782D" w:rsidRDefault="00B8782D">
      <w:pPr>
        <w:pStyle w:val="TableText"/>
        <w:spacing w:after="240"/>
      </w:pPr>
      <w:r>
        <w:rPr>
          <w:noProof/>
          <w:lang w:eastAsia="zh-CN"/>
        </w:rPr>
        <w:drawing>
          <wp:inline distT="0" distB="0" distL="0" distR="0" wp14:anchorId="5B98910D" wp14:editId="070175D2">
            <wp:extent cx="723900" cy="255905"/>
            <wp:effectExtent l="19050" t="0" r="0" b="0"/>
            <wp:docPr id="2"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rsidR="00B8782D" w:rsidRDefault="00B8782D">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1" w:history="1">
        <w:r>
          <w:rPr>
            <w:rStyle w:val="Hyperlink"/>
          </w:rPr>
          <w:t>creativecommons.org/licenses/by/3.0/au/deed.en</w:t>
        </w:r>
      </w:hyperlink>
      <w:r>
        <w:t xml:space="preserve">. The full licence terms are available from </w:t>
      </w:r>
      <w:hyperlink r:id="rId12" w:history="1">
        <w:r>
          <w:rPr>
            <w:rStyle w:val="Hyperlink"/>
          </w:rPr>
          <w:t>creativecommons.org/licenses/by/3.0/au/legalcode</w:t>
        </w:r>
      </w:hyperlink>
      <w:r>
        <w:t>.</w:t>
      </w:r>
    </w:p>
    <w:p w:rsidR="00B8782D" w:rsidRDefault="00B8782D">
      <w:pPr>
        <w:pStyle w:val="TableText"/>
        <w:spacing w:after="240"/>
      </w:pPr>
      <w:r>
        <w:t xml:space="preserve">Inquiries about the licence and any use of this document should be sent to </w:t>
      </w:r>
      <w:hyperlink r:id="rId13" w:history="1">
        <w:r>
          <w:rPr>
            <w:rStyle w:val="Hyperlink"/>
          </w:rPr>
          <w:t>copyright@agriculture.gov.au</w:t>
        </w:r>
      </w:hyperlink>
      <w:r>
        <w:t>.</w:t>
      </w:r>
    </w:p>
    <w:p w:rsidR="00B8782D" w:rsidRDefault="00B8782D">
      <w:pPr>
        <w:pStyle w:val="TableText"/>
        <w:spacing w:after="240"/>
      </w:pPr>
      <w:r>
        <w:t xml:space="preserve">This publication (and any material sourced from it) should be attributed as: Australian Government Department of Agriculture and Water Resources 2016, </w:t>
      </w:r>
      <w:r>
        <w:rPr>
          <w:i/>
        </w:rPr>
        <w:t>Final report for the non-regulated analysis of existing policy for fresh nectarine fruit from China</w:t>
      </w:r>
      <w:r>
        <w:t>. CC BY 3.0</w:t>
      </w:r>
    </w:p>
    <w:p w:rsidR="00B8782D" w:rsidRDefault="00B8782D">
      <w:pPr>
        <w:pStyle w:val="TableText"/>
        <w:rPr>
          <w:rFonts w:ascii="Calibri" w:hAnsi="Calibri"/>
          <w:b/>
        </w:rPr>
      </w:pPr>
      <w:r>
        <w:rPr>
          <w:rFonts w:ascii="Calibri" w:hAnsi="Calibri"/>
          <w:b/>
        </w:rPr>
        <w:t>Cataloguing data</w:t>
      </w:r>
    </w:p>
    <w:p w:rsidR="00B8782D" w:rsidRDefault="00B8782D">
      <w:pPr>
        <w:pStyle w:val="TableText"/>
        <w:spacing w:after="240"/>
      </w:pPr>
      <w:r>
        <w:t xml:space="preserve">Australian Government Department of Agriculture and Water Resources 2016, </w:t>
      </w:r>
      <w:r>
        <w:rPr>
          <w:i/>
        </w:rPr>
        <w:t>Final report for the non-regulated analysis of existing policy for fresh nectarine fruit from China</w:t>
      </w:r>
      <w:r>
        <w:t>, the Australian Government Department of Agriculture and Water Resources, Canberra.</w:t>
      </w:r>
    </w:p>
    <w:p w:rsidR="00B8782D" w:rsidRDefault="00B8782D">
      <w:pPr>
        <w:pStyle w:val="TableText"/>
        <w:spacing w:after="240"/>
      </w:pPr>
      <w:r>
        <w:t xml:space="preserve">This publication is available at </w:t>
      </w:r>
      <w:hyperlink r:id="rId14" w:history="1">
        <w:r>
          <w:rPr>
            <w:rStyle w:val="Hyperlink"/>
          </w:rPr>
          <w:t>agriculture.gov.au</w:t>
        </w:r>
      </w:hyperlink>
      <w:r>
        <w:t>.</w:t>
      </w:r>
    </w:p>
    <w:p w:rsidR="00B8782D" w:rsidRDefault="00B8782D">
      <w:pPr>
        <w:pStyle w:val="TableText"/>
      </w:pPr>
      <w:r>
        <w:t>Australian Government Department of Agriculture and Water Resources</w:t>
      </w:r>
    </w:p>
    <w:p w:rsidR="00B8782D" w:rsidRDefault="00B8782D">
      <w:pPr>
        <w:pStyle w:val="TableText"/>
        <w:tabs>
          <w:tab w:val="left" w:pos="1418"/>
          <w:tab w:val="left" w:pos="5388"/>
        </w:tabs>
      </w:pPr>
      <w:r>
        <w:t xml:space="preserve">Postal address: </w:t>
      </w:r>
      <w:r>
        <w:tab/>
        <w:t>GPO Box 858 Canberra ACT 2601</w:t>
      </w:r>
      <w:r>
        <w:tab/>
      </w:r>
    </w:p>
    <w:p w:rsidR="00B8782D" w:rsidRDefault="00B8782D">
      <w:pPr>
        <w:pStyle w:val="TableText"/>
        <w:tabs>
          <w:tab w:val="left" w:pos="1418"/>
        </w:tabs>
      </w:pPr>
      <w:r>
        <w:t xml:space="preserve">Switchboard: </w:t>
      </w:r>
      <w:r>
        <w:tab/>
        <w:t>+61 2 6272 3933 or 1800 900 090</w:t>
      </w:r>
    </w:p>
    <w:p w:rsidR="00B8782D" w:rsidRDefault="00B8782D">
      <w:pPr>
        <w:pStyle w:val="TableText"/>
        <w:tabs>
          <w:tab w:val="left" w:pos="1418"/>
        </w:tabs>
      </w:pPr>
      <w:r>
        <w:t xml:space="preserve">Facsimile: </w:t>
      </w:r>
      <w:r>
        <w:tab/>
        <w:t>+61 2 6272 3307</w:t>
      </w:r>
    </w:p>
    <w:p w:rsidR="00B8782D" w:rsidRDefault="00B8782D">
      <w:pPr>
        <w:pStyle w:val="TableText"/>
        <w:tabs>
          <w:tab w:val="left" w:pos="1418"/>
        </w:tabs>
        <w:spacing w:after="240"/>
      </w:pPr>
      <w:r>
        <w:t xml:space="preserve">Email: </w:t>
      </w:r>
      <w:r>
        <w:tab/>
      </w:r>
      <w:hyperlink r:id="rId15" w:history="1">
        <w:r>
          <w:rPr>
            <w:rStyle w:val="Hyperlink"/>
          </w:rPr>
          <w:t>plant@agriculture.gov.au</w:t>
        </w:r>
      </w:hyperlink>
    </w:p>
    <w:p w:rsidR="00B8782D" w:rsidRDefault="00B8782D">
      <w:pPr>
        <w:pStyle w:val="TableText"/>
        <w:rPr>
          <w:rFonts w:ascii="Calibri" w:hAnsi="Calibri"/>
          <w:b/>
        </w:rPr>
      </w:pPr>
      <w:r>
        <w:rPr>
          <w:rFonts w:ascii="Calibri" w:hAnsi="Calibri"/>
          <w:b/>
        </w:rPr>
        <w:t>Liability</w:t>
      </w:r>
    </w:p>
    <w:p w:rsidR="00B8782D" w:rsidRDefault="00B8782D">
      <w:pPr>
        <w:pStyle w:val="TableText"/>
        <w:spacing w:after="240"/>
      </w:pPr>
      <w:r>
        <w:t>The Australian Government acting through the Australian Government Department of Agriculture and Water Resources has exercised due care and skill in preparing and compiling the information and data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B8782D" w:rsidRDefault="00B8782D">
      <w:pPr>
        <w:pStyle w:val="TableText"/>
        <w:rPr>
          <w:rFonts w:ascii="Calibri" w:hAnsi="Calibri"/>
          <w:b/>
        </w:rPr>
      </w:pPr>
    </w:p>
    <w:p w:rsidR="00B8782D" w:rsidRDefault="00B8782D">
      <w:pPr>
        <w:pStyle w:val="TableText"/>
        <w:sectPr w:rsidR="00B8782D">
          <w:headerReference w:type="default" r:id="rId16"/>
          <w:footerReference w:type="default" r:id="rId17"/>
          <w:pgSz w:w="11906" w:h="16838"/>
          <w:pgMar w:top="1418" w:right="1418" w:bottom="1418" w:left="1418" w:header="567" w:footer="283" w:gutter="0"/>
          <w:cols w:space="708"/>
          <w:docGrid w:linePitch="360"/>
        </w:sectPr>
      </w:pPr>
    </w:p>
    <w:p w:rsidR="00B8782D" w:rsidRDefault="00B8782D">
      <w:pPr>
        <w:pStyle w:val="TOCHeading"/>
      </w:pPr>
      <w:r>
        <w:lastRenderedPageBreak/>
        <w:t>Contents</w:t>
      </w:r>
    </w:p>
    <w:p w:rsidR="00B8782D" w:rsidRDefault="00B8782D">
      <w:pPr>
        <w:pStyle w:val="TOC1"/>
        <w:rPr>
          <w:rFonts w:asciiTheme="minorHAnsi" w:eastAsiaTheme="minorEastAsia" w:hAnsiTheme="minorHAnsi" w:cstheme="minorBidi"/>
          <w:b w:val="0"/>
          <w:lang w:eastAsia="en-AU"/>
        </w:rPr>
      </w:pPr>
      <w:r>
        <w:rPr>
          <w:szCs w:val="24"/>
        </w:rPr>
        <w:fldChar w:fldCharType="begin"/>
      </w:r>
      <w:r>
        <w:instrText xml:space="preserve"> TOC \o "1-2" \u </w:instrText>
      </w:r>
      <w:r>
        <w:rPr>
          <w:szCs w:val="24"/>
        </w:rPr>
        <w:fldChar w:fldCharType="separate"/>
      </w:r>
      <w:r>
        <w:t>Acronyms and abbreviations</w:t>
      </w:r>
      <w:r>
        <w:tab/>
      </w:r>
      <w:r>
        <w:fldChar w:fldCharType="begin"/>
      </w:r>
      <w:r>
        <w:instrText xml:space="preserve"> PAGEREF _Toc448312477 \h </w:instrText>
      </w:r>
      <w:r>
        <w:fldChar w:fldCharType="separate"/>
      </w:r>
      <w:r w:rsidR="00457D54">
        <w:t>ix</w:t>
      </w:r>
      <w:r>
        <w:fldChar w:fldCharType="end"/>
      </w:r>
    </w:p>
    <w:p w:rsidR="00B8782D" w:rsidRDefault="00B8782D">
      <w:pPr>
        <w:pStyle w:val="TOC1"/>
        <w:rPr>
          <w:rFonts w:asciiTheme="minorHAnsi" w:eastAsiaTheme="minorEastAsia" w:hAnsiTheme="minorHAnsi" w:cstheme="minorBidi"/>
          <w:b w:val="0"/>
          <w:lang w:eastAsia="en-AU"/>
        </w:rPr>
      </w:pPr>
      <w:r>
        <w:t>Summary</w:t>
      </w:r>
      <w:r>
        <w:tab/>
      </w:r>
      <w:r>
        <w:fldChar w:fldCharType="begin"/>
      </w:r>
      <w:r>
        <w:instrText xml:space="preserve"> PAGEREF _Toc448312478 \h </w:instrText>
      </w:r>
      <w:r>
        <w:fldChar w:fldCharType="separate"/>
      </w:r>
      <w:r w:rsidR="00457D54">
        <w:t>1</w:t>
      </w:r>
      <w:r>
        <w:fldChar w:fldCharType="end"/>
      </w:r>
    </w:p>
    <w:p w:rsidR="00B8782D" w:rsidRDefault="00B8782D">
      <w:pPr>
        <w:pStyle w:val="TOC1"/>
        <w:rPr>
          <w:rFonts w:asciiTheme="minorHAnsi" w:eastAsiaTheme="minorEastAsia" w:hAnsiTheme="minorHAnsi" w:cstheme="minorBidi"/>
          <w:b w:val="0"/>
          <w:lang w:eastAsia="en-AU"/>
        </w:rPr>
      </w:pPr>
      <w:r>
        <w:t>1</w:t>
      </w:r>
      <w:r>
        <w:rPr>
          <w:rFonts w:asciiTheme="minorHAnsi" w:eastAsiaTheme="minorEastAsia" w:hAnsiTheme="minorHAnsi" w:cstheme="minorBidi"/>
          <w:b w:val="0"/>
          <w:lang w:eastAsia="en-AU"/>
        </w:rPr>
        <w:tab/>
      </w:r>
      <w:r>
        <w:t>Introduction</w:t>
      </w:r>
      <w:r>
        <w:tab/>
      </w:r>
      <w:r>
        <w:fldChar w:fldCharType="begin"/>
      </w:r>
      <w:r>
        <w:instrText xml:space="preserve"> PAGEREF _Toc448312479 \h </w:instrText>
      </w:r>
      <w:r>
        <w:fldChar w:fldCharType="separate"/>
      </w:r>
      <w:r w:rsidR="00457D54">
        <w:t>3</w:t>
      </w:r>
      <w:r>
        <w:fldChar w:fldCharType="end"/>
      </w:r>
    </w:p>
    <w:p w:rsidR="00B8782D" w:rsidRDefault="00B8782D">
      <w:pPr>
        <w:pStyle w:val="TOC2"/>
        <w:tabs>
          <w:tab w:val="left" w:pos="1100"/>
        </w:tabs>
        <w:rPr>
          <w:rFonts w:asciiTheme="minorHAnsi" w:eastAsiaTheme="minorEastAsia" w:hAnsiTheme="minorHAnsi" w:cstheme="minorBidi"/>
          <w:lang w:eastAsia="en-AU"/>
        </w:rPr>
      </w:pPr>
      <w:r>
        <w:t>1.1</w:t>
      </w:r>
      <w:r>
        <w:rPr>
          <w:rFonts w:asciiTheme="minorHAnsi" w:eastAsiaTheme="minorEastAsia" w:hAnsiTheme="minorHAnsi" w:cstheme="minorBidi"/>
          <w:lang w:eastAsia="en-AU"/>
        </w:rPr>
        <w:tab/>
      </w:r>
      <w:r>
        <w:t>Australia’s biosecurity policy framework</w:t>
      </w:r>
      <w:r>
        <w:tab/>
      </w:r>
      <w:r>
        <w:fldChar w:fldCharType="begin"/>
      </w:r>
      <w:r>
        <w:instrText xml:space="preserve"> PAGEREF _Toc448312480 \h </w:instrText>
      </w:r>
      <w:r>
        <w:fldChar w:fldCharType="separate"/>
      </w:r>
      <w:r w:rsidR="00457D54">
        <w:t>3</w:t>
      </w:r>
      <w:r>
        <w:fldChar w:fldCharType="end"/>
      </w:r>
    </w:p>
    <w:p w:rsidR="00B8782D" w:rsidRDefault="00B8782D">
      <w:pPr>
        <w:pStyle w:val="TOC2"/>
        <w:tabs>
          <w:tab w:val="left" w:pos="1100"/>
        </w:tabs>
        <w:rPr>
          <w:rFonts w:asciiTheme="minorHAnsi" w:eastAsiaTheme="minorEastAsia" w:hAnsiTheme="minorHAnsi" w:cstheme="minorBidi"/>
          <w:lang w:eastAsia="en-AU"/>
        </w:rPr>
      </w:pPr>
      <w:r>
        <w:t>1.2</w:t>
      </w:r>
      <w:r>
        <w:rPr>
          <w:rFonts w:asciiTheme="minorHAnsi" w:eastAsiaTheme="minorEastAsia" w:hAnsiTheme="minorHAnsi" w:cstheme="minorBidi"/>
          <w:lang w:eastAsia="en-AU"/>
        </w:rPr>
        <w:tab/>
      </w:r>
      <w:r>
        <w:t>This import risk analysis</w:t>
      </w:r>
      <w:r>
        <w:tab/>
      </w:r>
      <w:r>
        <w:fldChar w:fldCharType="begin"/>
      </w:r>
      <w:r>
        <w:instrText xml:space="preserve"> PAGEREF _Toc448312481 \h </w:instrText>
      </w:r>
      <w:r>
        <w:fldChar w:fldCharType="separate"/>
      </w:r>
      <w:r w:rsidR="00457D54">
        <w:t>3</w:t>
      </w:r>
      <w:r>
        <w:fldChar w:fldCharType="end"/>
      </w:r>
    </w:p>
    <w:p w:rsidR="00B8782D" w:rsidRDefault="00B8782D">
      <w:pPr>
        <w:pStyle w:val="TOC1"/>
        <w:rPr>
          <w:rFonts w:asciiTheme="minorHAnsi" w:eastAsiaTheme="minorEastAsia" w:hAnsiTheme="minorHAnsi" w:cstheme="minorBidi"/>
          <w:b w:val="0"/>
          <w:lang w:eastAsia="en-AU"/>
        </w:rPr>
      </w:pPr>
      <w:r>
        <w:t>2</w:t>
      </w:r>
      <w:r>
        <w:rPr>
          <w:rFonts w:asciiTheme="minorHAnsi" w:eastAsiaTheme="minorEastAsia" w:hAnsiTheme="minorHAnsi" w:cstheme="minorBidi"/>
          <w:b w:val="0"/>
          <w:lang w:eastAsia="en-AU"/>
        </w:rPr>
        <w:tab/>
      </w:r>
      <w:r>
        <w:t>Method for pest risk analysis</w:t>
      </w:r>
      <w:r>
        <w:tab/>
      </w:r>
      <w:r>
        <w:fldChar w:fldCharType="begin"/>
      </w:r>
      <w:r>
        <w:instrText xml:space="preserve"> PAGEREF _Toc448312482 \h </w:instrText>
      </w:r>
      <w:r>
        <w:fldChar w:fldCharType="separate"/>
      </w:r>
      <w:r w:rsidR="00457D54">
        <w:t>6</w:t>
      </w:r>
      <w:r>
        <w:fldChar w:fldCharType="end"/>
      </w:r>
    </w:p>
    <w:p w:rsidR="00B8782D" w:rsidRDefault="00B8782D">
      <w:pPr>
        <w:pStyle w:val="TOC2"/>
        <w:tabs>
          <w:tab w:val="left" w:pos="1100"/>
        </w:tabs>
        <w:rPr>
          <w:rFonts w:asciiTheme="minorHAnsi" w:eastAsiaTheme="minorEastAsia" w:hAnsiTheme="minorHAnsi" w:cstheme="minorBidi"/>
          <w:lang w:eastAsia="en-AU"/>
        </w:rPr>
      </w:pPr>
      <w:r>
        <w:t>2.1</w:t>
      </w:r>
      <w:r>
        <w:rPr>
          <w:rFonts w:asciiTheme="minorHAnsi" w:eastAsiaTheme="minorEastAsia" w:hAnsiTheme="minorHAnsi" w:cstheme="minorBidi"/>
          <w:lang w:eastAsia="en-AU"/>
        </w:rPr>
        <w:tab/>
      </w:r>
      <w:r>
        <w:t>Stage 1 Initiation</w:t>
      </w:r>
      <w:r>
        <w:tab/>
      </w:r>
      <w:r>
        <w:fldChar w:fldCharType="begin"/>
      </w:r>
      <w:r>
        <w:instrText xml:space="preserve"> PAGEREF _Toc448312483 \h </w:instrText>
      </w:r>
      <w:r>
        <w:fldChar w:fldCharType="separate"/>
      </w:r>
      <w:r w:rsidR="00457D54">
        <w:t>6</w:t>
      </w:r>
      <w:r>
        <w:fldChar w:fldCharType="end"/>
      </w:r>
    </w:p>
    <w:p w:rsidR="00B8782D" w:rsidRDefault="00B8782D">
      <w:pPr>
        <w:pStyle w:val="TOC2"/>
        <w:tabs>
          <w:tab w:val="left" w:pos="1100"/>
        </w:tabs>
        <w:rPr>
          <w:rFonts w:asciiTheme="minorHAnsi" w:eastAsiaTheme="minorEastAsia" w:hAnsiTheme="minorHAnsi" w:cstheme="minorBidi"/>
          <w:lang w:eastAsia="en-AU"/>
        </w:rPr>
      </w:pPr>
      <w:r>
        <w:t>2.2</w:t>
      </w:r>
      <w:r>
        <w:rPr>
          <w:rFonts w:asciiTheme="minorHAnsi" w:eastAsiaTheme="minorEastAsia" w:hAnsiTheme="minorHAnsi" w:cstheme="minorBidi"/>
          <w:lang w:eastAsia="en-AU"/>
        </w:rPr>
        <w:tab/>
      </w:r>
      <w:r>
        <w:t>Stage 2 Pest risk assessment</w:t>
      </w:r>
      <w:r>
        <w:tab/>
      </w:r>
      <w:r>
        <w:fldChar w:fldCharType="begin"/>
      </w:r>
      <w:r>
        <w:instrText xml:space="preserve"> PAGEREF _Toc448312484 \h </w:instrText>
      </w:r>
      <w:r>
        <w:fldChar w:fldCharType="separate"/>
      </w:r>
      <w:r w:rsidR="00457D54">
        <w:t>7</w:t>
      </w:r>
      <w:r>
        <w:fldChar w:fldCharType="end"/>
      </w:r>
    </w:p>
    <w:p w:rsidR="00B8782D" w:rsidRDefault="00B8782D">
      <w:pPr>
        <w:pStyle w:val="TOC2"/>
        <w:tabs>
          <w:tab w:val="left" w:pos="1100"/>
        </w:tabs>
        <w:rPr>
          <w:rFonts w:asciiTheme="minorHAnsi" w:eastAsiaTheme="minorEastAsia" w:hAnsiTheme="minorHAnsi" w:cstheme="minorBidi"/>
          <w:lang w:eastAsia="en-AU"/>
        </w:rPr>
      </w:pPr>
      <w:r>
        <w:t>2.3</w:t>
      </w:r>
      <w:r>
        <w:rPr>
          <w:rFonts w:asciiTheme="minorHAnsi" w:eastAsiaTheme="minorEastAsia" w:hAnsiTheme="minorHAnsi" w:cstheme="minorBidi"/>
          <w:lang w:eastAsia="en-AU"/>
        </w:rPr>
        <w:tab/>
      </w:r>
      <w:r>
        <w:t>Stage 3 Pest risk management</w:t>
      </w:r>
      <w:r>
        <w:tab/>
      </w:r>
      <w:r>
        <w:fldChar w:fldCharType="begin"/>
      </w:r>
      <w:r>
        <w:instrText xml:space="preserve"> PAGEREF _Toc448312485 \h </w:instrText>
      </w:r>
      <w:r>
        <w:fldChar w:fldCharType="separate"/>
      </w:r>
      <w:r w:rsidR="00457D54">
        <w:t>15</w:t>
      </w:r>
      <w:r>
        <w:fldChar w:fldCharType="end"/>
      </w:r>
    </w:p>
    <w:p w:rsidR="00B8782D" w:rsidRDefault="00B8782D">
      <w:pPr>
        <w:pStyle w:val="TOC1"/>
        <w:rPr>
          <w:rFonts w:asciiTheme="minorHAnsi" w:eastAsiaTheme="minorEastAsia" w:hAnsiTheme="minorHAnsi" w:cstheme="minorBidi"/>
          <w:b w:val="0"/>
          <w:lang w:eastAsia="en-AU"/>
        </w:rPr>
      </w:pPr>
      <w:r>
        <w:t>3</w:t>
      </w:r>
      <w:r>
        <w:rPr>
          <w:rFonts w:asciiTheme="minorHAnsi" w:eastAsiaTheme="minorEastAsia" w:hAnsiTheme="minorHAnsi" w:cstheme="minorBidi"/>
          <w:b w:val="0"/>
          <w:lang w:eastAsia="en-AU"/>
        </w:rPr>
        <w:tab/>
      </w:r>
      <w:r>
        <w:t>China’s commercial production practices for nectarines</w:t>
      </w:r>
      <w:r>
        <w:tab/>
      </w:r>
      <w:r>
        <w:fldChar w:fldCharType="begin"/>
      </w:r>
      <w:r>
        <w:instrText xml:space="preserve"> PAGEREF _Toc448312486 \h </w:instrText>
      </w:r>
      <w:r>
        <w:fldChar w:fldCharType="separate"/>
      </w:r>
      <w:r w:rsidR="00457D54">
        <w:t>17</w:t>
      </w:r>
      <w:r>
        <w:fldChar w:fldCharType="end"/>
      </w:r>
    </w:p>
    <w:p w:rsidR="00B8782D" w:rsidRDefault="00B8782D">
      <w:pPr>
        <w:pStyle w:val="TOC2"/>
        <w:tabs>
          <w:tab w:val="left" w:pos="1100"/>
        </w:tabs>
        <w:rPr>
          <w:rFonts w:asciiTheme="minorHAnsi" w:eastAsiaTheme="minorEastAsia" w:hAnsiTheme="minorHAnsi" w:cstheme="minorBidi"/>
          <w:lang w:eastAsia="en-AU"/>
        </w:rPr>
      </w:pPr>
      <w:r>
        <w:t>3.1</w:t>
      </w:r>
      <w:r>
        <w:rPr>
          <w:rFonts w:asciiTheme="minorHAnsi" w:eastAsiaTheme="minorEastAsia" w:hAnsiTheme="minorHAnsi" w:cstheme="minorBidi"/>
          <w:lang w:eastAsia="en-AU"/>
        </w:rPr>
        <w:tab/>
      </w:r>
      <w:r>
        <w:t>Assumptions used in estimating unrestricted risk</w:t>
      </w:r>
      <w:r>
        <w:tab/>
      </w:r>
      <w:r>
        <w:fldChar w:fldCharType="begin"/>
      </w:r>
      <w:r>
        <w:instrText xml:space="preserve"> PAGEREF _Toc448312487 \h </w:instrText>
      </w:r>
      <w:r>
        <w:fldChar w:fldCharType="separate"/>
      </w:r>
      <w:r w:rsidR="00457D54">
        <w:t>17</w:t>
      </w:r>
      <w:r>
        <w:fldChar w:fldCharType="end"/>
      </w:r>
    </w:p>
    <w:p w:rsidR="00B8782D" w:rsidRDefault="00B8782D">
      <w:pPr>
        <w:pStyle w:val="TOC2"/>
        <w:tabs>
          <w:tab w:val="left" w:pos="1100"/>
        </w:tabs>
        <w:rPr>
          <w:rFonts w:asciiTheme="minorHAnsi" w:eastAsiaTheme="minorEastAsia" w:hAnsiTheme="minorHAnsi" w:cstheme="minorBidi"/>
          <w:lang w:eastAsia="en-AU"/>
        </w:rPr>
      </w:pPr>
      <w:r>
        <w:t>3.2</w:t>
      </w:r>
      <w:r>
        <w:rPr>
          <w:rFonts w:asciiTheme="minorHAnsi" w:eastAsiaTheme="minorEastAsia" w:hAnsiTheme="minorHAnsi" w:cstheme="minorBidi"/>
          <w:lang w:eastAsia="en-AU"/>
        </w:rPr>
        <w:tab/>
      </w:r>
      <w:r>
        <w:t>Climate in production areas</w:t>
      </w:r>
      <w:r>
        <w:tab/>
      </w:r>
      <w:r>
        <w:fldChar w:fldCharType="begin"/>
      </w:r>
      <w:r>
        <w:instrText xml:space="preserve"> PAGEREF _Toc448312488 \h </w:instrText>
      </w:r>
      <w:r>
        <w:fldChar w:fldCharType="separate"/>
      </w:r>
      <w:r w:rsidR="00457D54">
        <w:t>17</w:t>
      </w:r>
      <w:r>
        <w:fldChar w:fldCharType="end"/>
      </w:r>
    </w:p>
    <w:p w:rsidR="00B8782D" w:rsidRDefault="00B8782D">
      <w:pPr>
        <w:pStyle w:val="TOC2"/>
        <w:tabs>
          <w:tab w:val="left" w:pos="1100"/>
        </w:tabs>
        <w:rPr>
          <w:rFonts w:asciiTheme="minorHAnsi" w:eastAsiaTheme="minorEastAsia" w:hAnsiTheme="minorHAnsi" w:cstheme="minorBidi"/>
          <w:lang w:eastAsia="en-AU"/>
        </w:rPr>
      </w:pPr>
      <w:r>
        <w:t>3.3</w:t>
      </w:r>
      <w:r>
        <w:rPr>
          <w:rFonts w:asciiTheme="minorHAnsi" w:eastAsiaTheme="minorEastAsia" w:hAnsiTheme="minorHAnsi" w:cstheme="minorBidi"/>
          <w:lang w:eastAsia="en-AU"/>
        </w:rPr>
        <w:tab/>
      </w:r>
      <w:r>
        <w:t>Pre-harvest</w:t>
      </w:r>
      <w:r>
        <w:tab/>
      </w:r>
      <w:r>
        <w:fldChar w:fldCharType="begin"/>
      </w:r>
      <w:r>
        <w:instrText xml:space="preserve"> PAGEREF _Toc448312489 \h </w:instrText>
      </w:r>
      <w:r>
        <w:fldChar w:fldCharType="separate"/>
      </w:r>
      <w:r w:rsidR="00457D54">
        <w:t>21</w:t>
      </w:r>
      <w:r>
        <w:fldChar w:fldCharType="end"/>
      </w:r>
    </w:p>
    <w:p w:rsidR="00B8782D" w:rsidRDefault="00B8782D">
      <w:pPr>
        <w:pStyle w:val="TOC2"/>
        <w:tabs>
          <w:tab w:val="left" w:pos="1100"/>
        </w:tabs>
        <w:rPr>
          <w:rFonts w:asciiTheme="minorHAnsi" w:eastAsiaTheme="minorEastAsia" w:hAnsiTheme="minorHAnsi" w:cstheme="minorBidi"/>
          <w:lang w:eastAsia="en-AU"/>
        </w:rPr>
      </w:pPr>
      <w:r>
        <w:t>3.4</w:t>
      </w:r>
      <w:r>
        <w:rPr>
          <w:rFonts w:asciiTheme="minorHAnsi" w:eastAsiaTheme="minorEastAsia" w:hAnsiTheme="minorHAnsi" w:cstheme="minorBidi"/>
          <w:lang w:eastAsia="en-AU"/>
        </w:rPr>
        <w:tab/>
      </w:r>
      <w:r>
        <w:t>Harvesting and handling procedures</w:t>
      </w:r>
      <w:r>
        <w:tab/>
      </w:r>
      <w:r>
        <w:fldChar w:fldCharType="begin"/>
      </w:r>
      <w:r>
        <w:instrText xml:space="preserve"> PAGEREF _Toc448312490 \h </w:instrText>
      </w:r>
      <w:r>
        <w:fldChar w:fldCharType="separate"/>
      </w:r>
      <w:r w:rsidR="00457D54">
        <w:t>23</w:t>
      </w:r>
      <w:r>
        <w:fldChar w:fldCharType="end"/>
      </w:r>
    </w:p>
    <w:p w:rsidR="00B8782D" w:rsidRDefault="00B8782D">
      <w:pPr>
        <w:pStyle w:val="TOC2"/>
        <w:tabs>
          <w:tab w:val="left" w:pos="1100"/>
        </w:tabs>
        <w:rPr>
          <w:rFonts w:asciiTheme="minorHAnsi" w:eastAsiaTheme="minorEastAsia" w:hAnsiTheme="minorHAnsi" w:cstheme="minorBidi"/>
          <w:lang w:eastAsia="en-AU"/>
        </w:rPr>
      </w:pPr>
      <w:r>
        <w:t>3.5</w:t>
      </w:r>
      <w:r>
        <w:rPr>
          <w:rFonts w:asciiTheme="minorHAnsi" w:eastAsiaTheme="minorEastAsia" w:hAnsiTheme="minorHAnsi" w:cstheme="minorBidi"/>
          <w:lang w:eastAsia="en-AU"/>
        </w:rPr>
        <w:tab/>
      </w:r>
      <w:r>
        <w:t>Post-harvest</w:t>
      </w:r>
      <w:r>
        <w:tab/>
      </w:r>
      <w:r>
        <w:fldChar w:fldCharType="begin"/>
      </w:r>
      <w:r>
        <w:instrText xml:space="preserve"> PAGEREF _Toc448312491 \h </w:instrText>
      </w:r>
      <w:r>
        <w:fldChar w:fldCharType="separate"/>
      </w:r>
      <w:r w:rsidR="00457D54">
        <w:t>24</w:t>
      </w:r>
      <w:r>
        <w:fldChar w:fldCharType="end"/>
      </w:r>
    </w:p>
    <w:p w:rsidR="00B8782D" w:rsidRDefault="00B8782D">
      <w:pPr>
        <w:pStyle w:val="TOC2"/>
        <w:tabs>
          <w:tab w:val="left" w:pos="1100"/>
        </w:tabs>
        <w:rPr>
          <w:rFonts w:asciiTheme="minorHAnsi" w:eastAsiaTheme="minorEastAsia" w:hAnsiTheme="minorHAnsi" w:cstheme="minorBidi"/>
          <w:lang w:eastAsia="en-AU"/>
        </w:rPr>
      </w:pPr>
      <w:r>
        <w:t>3.6</w:t>
      </w:r>
      <w:r>
        <w:rPr>
          <w:rFonts w:asciiTheme="minorHAnsi" w:eastAsiaTheme="minorEastAsia" w:hAnsiTheme="minorHAnsi" w:cstheme="minorBidi"/>
          <w:lang w:eastAsia="en-AU"/>
        </w:rPr>
        <w:tab/>
      </w:r>
      <w:r>
        <w:t>Export capability</w:t>
      </w:r>
      <w:r>
        <w:tab/>
      </w:r>
      <w:r>
        <w:fldChar w:fldCharType="begin"/>
      </w:r>
      <w:r>
        <w:instrText xml:space="preserve"> PAGEREF _Toc448312492 \h </w:instrText>
      </w:r>
      <w:r>
        <w:fldChar w:fldCharType="separate"/>
      </w:r>
      <w:r w:rsidR="00457D54">
        <w:t>27</w:t>
      </w:r>
      <w:r>
        <w:fldChar w:fldCharType="end"/>
      </w:r>
    </w:p>
    <w:p w:rsidR="00B8782D" w:rsidRDefault="00B8782D">
      <w:pPr>
        <w:pStyle w:val="TOC1"/>
        <w:rPr>
          <w:rFonts w:asciiTheme="minorHAnsi" w:eastAsiaTheme="minorEastAsia" w:hAnsiTheme="minorHAnsi" w:cstheme="minorBidi"/>
          <w:b w:val="0"/>
          <w:lang w:eastAsia="en-AU"/>
        </w:rPr>
      </w:pPr>
      <w:r>
        <w:t>4</w:t>
      </w:r>
      <w:r>
        <w:rPr>
          <w:rFonts w:asciiTheme="minorHAnsi" w:eastAsiaTheme="minorEastAsia" w:hAnsiTheme="minorHAnsi" w:cstheme="minorBidi"/>
          <w:b w:val="0"/>
          <w:lang w:eastAsia="en-AU"/>
        </w:rPr>
        <w:tab/>
      </w:r>
      <w:r>
        <w:t>Pest risk assessments for quarantine pests</w:t>
      </w:r>
      <w:r>
        <w:tab/>
      </w:r>
      <w:r>
        <w:fldChar w:fldCharType="begin"/>
      </w:r>
      <w:r>
        <w:instrText xml:space="preserve"> PAGEREF _Toc448312493 \h </w:instrText>
      </w:r>
      <w:r>
        <w:fldChar w:fldCharType="separate"/>
      </w:r>
      <w:r w:rsidR="00457D54">
        <w:t>28</w:t>
      </w:r>
      <w:r>
        <w:fldChar w:fldCharType="end"/>
      </w:r>
    </w:p>
    <w:p w:rsidR="00B8782D" w:rsidRDefault="00B8782D">
      <w:pPr>
        <w:pStyle w:val="TOC2"/>
        <w:tabs>
          <w:tab w:val="left" w:pos="1100"/>
        </w:tabs>
        <w:rPr>
          <w:rFonts w:asciiTheme="minorHAnsi" w:eastAsiaTheme="minorEastAsia" w:hAnsiTheme="minorHAnsi" w:cstheme="minorBidi"/>
          <w:lang w:eastAsia="en-AU"/>
        </w:rPr>
      </w:pPr>
      <w:r>
        <w:t>4.1</w:t>
      </w:r>
      <w:r>
        <w:rPr>
          <w:rFonts w:asciiTheme="minorHAnsi" w:eastAsiaTheme="minorEastAsia" w:hAnsiTheme="minorHAnsi" w:cstheme="minorBidi"/>
          <w:lang w:eastAsia="en-AU"/>
        </w:rPr>
        <w:tab/>
      </w:r>
      <w:r>
        <w:t>Hawthorn spider mite</w:t>
      </w:r>
      <w:r>
        <w:tab/>
      </w:r>
      <w:r>
        <w:fldChar w:fldCharType="begin"/>
      </w:r>
      <w:r>
        <w:instrText xml:space="preserve"> PAGEREF _Toc448312494 \h </w:instrText>
      </w:r>
      <w:r>
        <w:fldChar w:fldCharType="separate"/>
      </w:r>
      <w:r w:rsidR="00457D54">
        <w:t>30</w:t>
      </w:r>
      <w:r>
        <w:fldChar w:fldCharType="end"/>
      </w:r>
    </w:p>
    <w:p w:rsidR="00B8782D" w:rsidRDefault="00B8782D">
      <w:pPr>
        <w:pStyle w:val="TOC2"/>
        <w:tabs>
          <w:tab w:val="left" w:pos="1100"/>
        </w:tabs>
        <w:rPr>
          <w:rFonts w:asciiTheme="minorHAnsi" w:eastAsiaTheme="minorEastAsia" w:hAnsiTheme="minorHAnsi" w:cstheme="minorBidi"/>
          <w:lang w:eastAsia="en-AU"/>
        </w:rPr>
      </w:pPr>
      <w:r>
        <w:t>4.2</w:t>
      </w:r>
      <w:r>
        <w:rPr>
          <w:rFonts w:asciiTheme="minorHAnsi" w:eastAsiaTheme="minorEastAsia" w:hAnsiTheme="minorHAnsi" w:cstheme="minorBidi"/>
          <w:lang w:eastAsia="en-AU"/>
        </w:rPr>
        <w:tab/>
      </w:r>
      <w:r>
        <w:t>Strawberry spider mite</w:t>
      </w:r>
      <w:r>
        <w:tab/>
      </w:r>
      <w:r>
        <w:fldChar w:fldCharType="begin"/>
      </w:r>
      <w:r>
        <w:instrText xml:space="preserve"> PAGEREF _Toc448312495 \h </w:instrText>
      </w:r>
      <w:r>
        <w:fldChar w:fldCharType="separate"/>
      </w:r>
      <w:r w:rsidR="00457D54">
        <w:t>34</w:t>
      </w:r>
      <w:r>
        <w:fldChar w:fldCharType="end"/>
      </w:r>
    </w:p>
    <w:p w:rsidR="00B8782D" w:rsidRDefault="00B8782D">
      <w:pPr>
        <w:pStyle w:val="TOC2"/>
        <w:tabs>
          <w:tab w:val="left" w:pos="1100"/>
        </w:tabs>
        <w:rPr>
          <w:rFonts w:asciiTheme="minorHAnsi" w:eastAsiaTheme="minorEastAsia" w:hAnsiTheme="minorHAnsi" w:cstheme="minorBidi"/>
          <w:lang w:eastAsia="en-AU"/>
        </w:rPr>
      </w:pPr>
      <w:r>
        <w:t>4.3</w:t>
      </w:r>
      <w:r>
        <w:rPr>
          <w:rFonts w:asciiTheme="minorHAnsi" w:eastAsiaTheme="minorEastAsia" w:hAnsiTheme="minorHAnsi" w:cstheme="minorBidi"/>
          <w:lang w:eastAsia="en-AU"/>
        </w:rPr>
        <w:tab/>
      </w:r>
      <w:r>
        <w:t>Rhynchites weevils</w:t>
      </w:r>
      <w:r>
        <w:tab/>
      </w:r>
      <w:r>
        <w:fldChar w:fldCharType="begin"/>
      </w:r>
      <w:r>
        <w:instrText xml:space="preserve"> PAGEREF _Toc448312496 \h </w:instrText>
      </w:r>
      <w:r>
        <w:fldChar w:fldCharType="separate"/>
      </w:r>
      <w:r w:rsidR="00457D54">
        <w:t>38</w:t>
      </w:r>
      <w:r>
        <w:fldChar w:fldCharType="end"/>
      </w:r>
    </w:p>
    <w:p w:rsidR="00B8782D" w:rsidRDefault="00B8782D">
      <w:pPr>
        <w:pStyle w:val="TOC2"/>
        <w:tabs>
          <w:tab w:val="left" w:pos="1100"/>
        </w:tabs>
        <w:rPr>
          <w:rFonts w:asciiTheme="minorHAnsi" w:eastAsiaTheme="minorEastAsia" w:hAnsiTheme="minorHAnsi" w:cstheme="minorBidi"/>
          <w:lang w:eastAsia="en-AU"/>
        </w:rPr>
      </w:pPr>
      <w:r>
        <w:t>4.4</w:t>
      </w:r>
      <w:r>
        <w:rPr>
          <w:rFonts w:asciiTheme="minorHAnsi" w:eastAsiaTheme="minorEastAsia" w:hAnsiTheme="minorHAnsi" w:cstheme="minorBidi"/>
          <w:lang w:eastAsia="en-AU"/>
        </w:rPr>
        <w:tab/>
      </w:r>
      <w:r>
        <w:t>Oriental fruit fly</w:t>
      </w:r>
      <w:r>
        <w:tab/>
      </w:r>
      <w:r>
        <w:fldChar w:fldCharType="begin"/>
      </w:r>
      <w:r>
        <w:instrText xml:space="preserve"> PAGEREF _Toc448312497 \h </w:instrText>
      </w:r>
      <w:r>
        <w:fldChar w:fldCharType="separate"/>
      </w:r>
      <w:r w:rsidR="00457D54">
        <w:t>42</w:t>
      </w:r>
      <w:r>
        <w:fldChar w:fldCharType="end"/>
      </w:r>
    </w:p>
    <w:p w:rsidR="00B8782D" w:rsidRDefault="00B8782D">
      <w:pPr>
        <w:pStyle w:val="TOC2"/>
        <w:tabs>
          <w:tab w:val="left" w:pos="1100"/>
        </w:tabs>
        <w:rPr>
          <w:rFonts w:asciiTheme="minorHAnsi" w:eastAsiaTheme="minorEastAsia" w:hAnsiTheme="minorHAnsi" w:cstheme="minorBidi"/>
          <w:lang w:eastAsia="en-AU"/>
        </w:rPr>
      </w:pPr>
      <w:r>
        <w:t>4.5</w:t>
      </w:r>
      <w:r>
        <w:rPr>
          <w:rFonts w:asciiTheme="minorHAnsi" w:eastAsiaTheme="minorEastAsia" w:hAnsiTheme="minorHAnsi" w:cstheme="minorBidi"/>
          <w:lang w:eastAsia="en-AU"/>
        </w:rPr>
        <w:tab/>
      </w:r>
      <w:r>
        <w:t>Guava fruit fly</w:t>
      </w:r>
      <w:r>
        <w:tab/>
      </w:r>
      <w:r>
        <w:fldChar w:fldCharType="begin"/>
      </w:r>
      <w:r>
        <w:instrText xml:space="preserve"> PAGEREF _Toc448312498 \h </w:instrText>
      </w:r>
      <w:r>
        <w:fldChar w:fldCharType="separate"/>
      </w:r>
      <w:r w:rsidR="00457D54">
        <w:t>45</w:t>
      </w:r>
      <w:r>
        <w:fldChar w:fldCharType="end"/>
      </w:r>
    </w:p>
    <w:p w:rsidR="00B8782D" w:rsidRDefault="00B8782D">
      <w:pPr>
        <w:pStyle w:val="TOC2"/>
        <w:tabs>
          <w:tab w:val="left" w:pos="1100"/>
        </w:tabs>
        <w:rPr>
          <w:rFonts w:asciiTheme="minorHAnsi" w:eastAsiaTheme="minorEastAsia" w:hAnsiTheme="minorHAnsi" w:cstheme="minorBidi"/>
          <w:lang w:eastAsia="en-AU"/>
        </w:rPr>
      </w:pPr>
      <w:r>
        <w:t>4.6</w:t>
      </w:r>
      <w:r>
        <w:rPr>
          <w:rFonts w:asciiTheme="minorHAnsi" w:eastAsiaTheme="minorEastAsia" w:hAnsiTheme="minorHAnsi" w:cstheme="minorBidi"/>
          <w:lang w:eastAsia="en-AU"/>
        </w:rPr>
        <w:tab/>
      </w:r>
      <w:r>
        <w:t>Spotted wing drosophila</w:t>
      </w:r>
      <w:r>
        <w:tab/>
      </w:r>
      <w:r>
        <w:fldChar w:fldCharType="begin"/>
      </w:r>
      <w:r>
        <w:instrText xml:space="preserve"> PAGEREF _Toc448312499 \h </w:instrText>
      </w:r>
      <w:r>
        <w:fldChar w:fldCharType="separate"/>
      </w:r>
      <w:r w:rsidR="00457D54">
        <w:t>48</w:t>
      </w:r>
      <w:r>
        <w:fldChar w:fldCharType="end"/>
      </w:r>
    </w:p>
    <w:p w:rsidR="00B8782D" w:rsidRDefault="00B8782D">
      <w:pPr>
        <w:pStyle w:val="TOC2"/>
        <w:tabs>
          <w:tab w:val="left" w:pos="1100"/>
        </w:tabs>
        <w:rPr>
          <w:rFonts w:asciiTheme="minorHAnsi" w:eastAsiaTheme="minorEastAsia" w:hAnsiTheme="minorHAnsi" w:cstheme="minorBidi"/>
          <w:lang w:eastAsia="en-AU"/>
        </w:rPr>
      </w:pPr>
      <w:r>
        <w:t>4.7</w:t>
      </w:r>
      <w:r>
        <w:rPr>
          <w:rFonts w:asciiTheme="minorHAnsi" w:eastAsiaTheme="minorEastAsia" w:hAnsiTheme="minorHAnsi" w:cstheme="minorBidi"/>
          <w:lang w:eastAsia="en-AU"/>
        </w:rPr>
        <w:tab/>
      </w:r>
      <w:r>
        <w:t>Comstock mealybug</w:t>
      </w:r>
      <w:r>
        <w:tab/>
      </w:r>
      <w:r>
        <w:fldChar w:fldCharType="begin"/>
      </w:r>
      <w:r>
        <w:instrText xml:space="preserve"> PAGEREF _Toc448312500 \h </w:instrText>
      </w:r>
      <w:r>
        <w:fldChar w:fldCharType="separate"/>
      </w:r>
      <w:r w:rsidR="00457D54">
        <w:t>50</w:t>
      </w:r>
      <w:r>
        <w:fldChar w:fldCharType="end"/>
      </w:r>
    </w:p>
    <w:p w:rsidR="00B8782D" w:rsidRDefault="00B8782D">
      <w:pPr>
        <w:pStyle w:val="TOC2"/>
        <w:tabs>
          <w:tab w:val="left" w:pos="1100"/>
        </w:tabs>
        <w:rPr>
          <w:rFonts w:asciiTheme="minorHAnsi" w:eastAsiaTheme="minorEastAsia" w:hAnsiTheme="minorHAnsi" w:cstheme="minorBidi"/>
          <w:lang w:eastAsia="en-AU"/>
        </w:rPr>
      </w:pPr>
      <w:r>
        <w:t>4.8</w:t>
      </w:r>
      <w:r>
        <w:rPr>
          <w:rFonts w:asciiTheme="minorHAnsi" w:eastAsiaTheme="minorEastAsia" w:hAnsiTheme="minorHAnsi" w:cstheme="minorBidi"/>
          <w:lang w:eastAsia="en-AU"/>
        </w:rPr>
        <w:tab/>
      </w:r>
      <w:r>
        <w:t>Armoured scales</w:t>
      </w:r>
      <w:r>
        <w:tab/>
      </w:r>
      <w:r>
        <w:fldChar w:fldCharType="begin"/>
      </w:r>
      <w:r>
        <w:instrText xml:space="preserve"> PAGEREF _Toc448312501 \h </w:instrText>
      </w:r>
      <w:r>
        <w:fldChar w:fldCharType="separate"/>
      </w:r>
      <w:r w:rsidR="00457D54">
        <w:t>54</w:t>
      </w:r>
      <w:r>
        <w:fldChar w:fldCharType="end"/>
      </w:r>
    </w:p>
    <w:p w:rsidR="00B8782D" w:rsidRDefault="00B8782D">
      <w:pPr>
        <w:pStyle w:val="TOC2"/>
        <w:tabs>
          <w:tab w:val="left" w:pos="1100"/>
        </w:tabs>
        <w:rPr>
          <w:rFonts w:asciiTheme="minorHAnsi" w:eastAsiaTheme="minorEastAsia" w:hAnsiTheme="minorHAnsi" w:cstheme="minorBidi"/>
          <w:lang w:eastAsia="en-AU"/>
        </w:rPr>
      </w:pPr>
      <w:r>
        <w:t>4.9</w:t>
      </w:r>
      <w:r>
        <w:rPr>
          <w:rFonts w:asciiTheme="minorHAnsi" w:eastAsiaTheme="minorEastAsia" w:hAnsiTheme="minorHAnsi" w:cstheme="minorBidi"/>
          <w:lang w:eastAsia="en-AU"/>
        </w:rPr>
        <w:tab/>
      </w:r>
      <w:r>
        <w:t>Leaf rollers</w:t>
      </w:r>
      <w:r>
        <w:tab/>
      </w:r>
      <w:r>
        <w:fldChar w:fldCharType="begin"/>
      </w:r>
      <w:r>
        <w:instrText xml:space="preserve"> PAGEREF _Toc448312502 \h </w:instrText>
      </w:r>
      <w:r>
        <w:fldChar w:fldCharType="separate"/>
      </w:r>
      <w:r w:rsidR="00457D54">
        <w:t>58</w:t>
      </w:r>
      <w:r>
        <w:fldChar w:fldCharType="end"/>
      </w:r>
    </w:p>
    <w:p w:rsidR="00B8782D" w:rsidRDefault="00B8782D">
      <w:pPr>
        <w:pStyle w:val="TOC2"/>
        <w:tabs>
          <w:tab w:val="left" w:pos="1100"/>
        </w:tabs>
        <w:rPr>
          <w:rFonts w:asciiTheme="minorHAnsi" w:eastAsiaTheme="minorEastAsia" w:hAnsiTheme="minorHAnsi" w:cstheme="minorBidi"/>
          <w:lang w:eastAsia="en-AU"/>
        </w:rPr>
      </w:pPr>
      <w:r>
        <w:t>4.10</w:t>
      </w:r>
      <w:r>
        <w:rPr>
          <w:rFonts w:asciiTheme="minorHAnsi" w:eastAsiaTheme="minorEastAsia" w:hAnsiTheme="minorHAnsi" w:cstheme="minorBidi"/>
          <w:lang w:eastAsia="en-AU"/>
        </w:rPr>
        <w:tab/>
      </w:r>
      <w:r>
        <w:t>Codling moth</w:t>
      </w:r>
      <w:r>
        <w:tab/>
      </w:r>
      <w:r>
        <w:fldChar w:fldCharType="begin"/>
      </w:r>
      <w:r>
        <w:instrText xml:space="preserve"> PAGEREF _Toc448312503 \h </w:instrText>
      </w:r>
      <w:r>
        <w:fldChar w:fldCharType="separate"/>
      </w:r>
      <w:r w:rsidR="00457D54">
        <w:t>62</w:t>
      </w:r>
      <w:r>
        <w:fldChar w:fldCharType="end"/>
      </w:r>
    </w:p>
    <w:p w:rsidR="00B8782D" w:rsidRDefault="00B8782D">
      <w:pPr>
        <w:pStyle w:val="TOC2"/>
        <w:tabs>
          <w:tab w:val="left" w:pos="1100"/>
        </w:tabs>
        <w:rPr>
          <w:rFonts w:asciiTheme="minorHAnsi" w:eastAsiaTheme="minorEastAsia" w:hAnsiTheme="minorHAnsi" w:cstheme="minorBidi"/>
          <w:lang w:eastAsia="en-AU"/>
        </w:rPr>
      </w:pPr>
      <w:r>
        <w:t>4.11</w:t>
      </w:r>
      <w:r>
        <w:rPr>
          <w:rFonts w:asciiTheme="minorHAnsi" w:eastAsiaTheme="minorEastAsia" w:hAnsiTheme="minorHAnsi" w:cstheme="minorBidi"/>
          <w:lang w:eastAsia="en-AU"/>
        </w:rPr>
        <w:tab/>
      </w:r>
      <w:r>
        <w:t>Grapholita moths</w:t>
      </w:r>
      <w:r>
        <w:tab/>
      </w:r>
      <w:r>
        <w:fldChar w:fldCharType="begin"/>
      </w:r>
      <w:r>
        <w:instrText xml:space="preserve"> PAGEREF _Toc448312504 \h </w:instrText>
      </w:r>
      <w:r>
        <w:fldChar w:fldCharType="separate"/>
      </w:r>
      <w:r w:rsidR="00457D54">
        <w:t>66</w:t>
      </w:r>
      <w:r>
        <w:fldChar w:fldCharType="end"/>
      </w:r>
    </w:p>
    <w:p w:rsidR="00B8782D" w:rsidRDefault="00B8782D">
      <w:pPr>
        <w:pStyle w:val="TOC2"/>
        <w:tabs>
          <w:tab w:val="left" w:pos="1100"/>
        </w:tabs>
        <w:rPr>
          <w:rFonts w:asciiTheme="minorHAnsi" w:eastAsiaTheme="minorEastAsia" w:hAnsiTheme="minorHAnsi" w:cstheme="minorBidi"/>
          <w:lang w:eastAsia="en-AU"/>
        </w:rPr>
      </w:pPr>
      <w:r>
        <w:t>4.12</w:t>
      </w:r>
      <w:r>
        <w:rPr>
          <w:rFonts w:asciiTheme="minorHAnsi" w:eastAsiaTheme="minorEastAsia" w:hAnsiTheme="minorHAnsi" w:cstheme="minorBidi"/>
          <w:lang w:eastAsia="en-AU"/>
        </w:rPr>
        <w:tab/>
      </w:r>
      <w:r>
        <w:t>Peach twig borer</w:t>
      </w:r>
      <w:r>
        <w:tab/>
      </w:r>
      <w:r>
        <w:fldChar w:fldCharType="begin"/>
      </w:r>
      <w:r>
        <w:instrText xml:space="preserve"> PAGEREF _Toc448312505 \h </w:instrText>
      </w:r>
      <w:r>
        <w:fldChar w:fldCharType="separate"/>
      </w:r>
      <w:r w:rsidR="00457D54">
        <w:t>70</w:t>
      </w:r>
      <w:r>
        <w:fldChar w:fldCharType="end"/>
      </w:r>
    </w:p>
    <w:p w:rsidR="00B8782D" w:rsidRDefault="00B8782D">
      <w:pPr>
        <w:pStyle w:val="TOC2"/>
        <w:tabs>
          <w:tab w:val="left" w:pos="1100"/>
        </w:tabs>
        <w:rPr>
          <w:rFonts w:asciiTheme="minorHAnsi" w:eastAsiaTheme="minorEastAsia" w:hAnsiTheme="minorHAnsi" w:cstheme="minorBidi"/>
          <w:lang w:eastAsia="en-AU"/>
        </w:rPr>
      </w:pPr>
      <w:r>
        <w:t>4.13</w:t>
      </w:r>
      <w:r>
        <w:rPr>
          <w:rFonts w:asciiTheme="minorHAnsi" w:eastAsiaTheme="minorEastAsia" w:hAnsiTheme="minorHAnsi" w:cstheme="minorBidi"/>
          <w:lang w:eastAsia="en-AU"/>
        </w:rPr>
        <w:tab/>
      </w:r>
      <w:r>
        <w:t>Peach fruit borer</w:t>
      </w:r>
      <w:r>
        <w:tab/>
      </w:r>
      <w:r>
        <w:fldChar w:fldCharType="begin"/>
      </w:r>
      <w:r>
        <w:instrText xml:space="preserve"> PAGEREF _Toc448312506 \h </w:instrText>
      </w:r>
      <w:r>
        <w:fldChar w:fldCharType="separate"/>
      </w:r>
      <w:r w:rsidR="00457D54">
        <w:t>74</w:t>
      </w:r>
      <w:r>
        <w:fldChar w:fldCharType="end"/>
      </w:r>
    </w:p>
    <w:p w:rsidR="00B8782D" w:rsidRDefault="00B8782D">
      <w:pPr>
        <w:pStyle w:val="TOC2"/>
        <w:tabs>
          <w:tab w:val="left" w:pos="1100"/>
        </w:tabs>
        <w:rPr>
          <w:rFonts w:asciiTheme="minorHAnsi" w:eastAsiaTheme="minorEastAsia" w:hAnsiTheme="minorHAnsi" w:cstheme="minorBidi"/>
          <w:lang w:eastAsia="en-AU"/>
        </w:rPr>
      </w:pPr>
      <w:r>
        <w:t>4.14</w:t>
      </w:r>
      <w:r>
        <w:rPr>
          <w:rFonts w:asciiTheme="minorHAnsi" w:eastAsiaTheme="minorEastAsia" w:hAnsiTheme="minorHAnsi" w:cstheme="minorBidi"/>
          <w:lang w:eastAsia="en-AU"/>
        </w:rPr>
        <w:tab/>
      </w:r>
      <w:r>
        <w:t>Thrips</w:t>
      </w:r>
      <w:r>
        <w:tab/>
      </w:r>
      <w:r>
        <w:fldChar w:fldCharType="begin"/>
      </w:r>
      <w:r>
        <w:instrText xml:space="preserve"> PAGEREF _Toc448312507 \h </w:instrText>
      </w:r>
      <w:r>
        <w:fldChar w:fldCharType="separate"/>
      </w:r>
      <w:r w:rsidR="00457D54">
        <w:t>77</w:t>
      </w:r>
      <w:r>
        <w:fldChar w:fldCharType="end"/>
      </w:r>
    </w:p>
    <w:p w:rsidR="00B8782D" w:rsidRDefault="00B8782D">
      <w:pPr>
        <w:pStyle w:val="TOC2"/>
        <w:tabs>
          <w:tab w:val="left" w:pos="1100"/>
        </w:tabs>
        <w:rPr>
          <w:rFonts w:asciiTheme="minorHAnsi" w:eastAsiaTheme="minorEastAsia" w:hAnsiTheme="minorHAnsi" w:cstheme="minorBidi"/>
          <w:lang w:eastAsia="en-AU"/>
        </w:rPr>
      </w:pPr>
      <w:r>
        <w:t>4.15</w:t>
      </w:r>
      <w:r>
        <w:rPr>
          <w:rFonts w:asciiTheme="minorHAnsi" w:eastAsiaTheme="minorEastAsia" w:hAnsiTheme="minorHAnsi" w:cstheme="minorBidi"/>
          <w:lang w:eastAsia="en-AU"/>
        </w:rPr>
        <w:tab/>
      </w:r>
      <w:r>
        <w:t>Brown rot</w:t>
      </w:r>
      <w:r>
        <w:tab/>
      </w:r>
      <w:r>
        <w:fldChar w:fldCharType="begin"/>
      </w:r>
      <w:r>
        <w:instrText xml:space="preserve"> PAGEREF _Toc448312508 \h </w:instrText>
      </w:r>
      <w:r>
        <w:fldChar w:fldCharType="separate"/>
      </w:r>
      <w:r w:rsidR="00457D54">
        <w:t>81</w:t>
      </w:r>
      <w:r>
        <w:fldChar w:fldCharType="end"/>
      </w:r>
    </w:p>
    <w:p w:rsidR="00B8782D" w:rsidRDefault="00B8782D">
      <w:pPr>
        <w:pStyle w:val="TOC2"/>
        <w:tabs>
          <w:tab w:val="left" w:pos="1100"/>
        </w:tabs>
        <w:rPr>
          <w:rFonts w:asciiTheme="minorHAnsi" w:eastAsiaTheme="minorEastAsia" w:hAnsiTheme="minorHAnsi" w:cstheme="minorBidi"/>
          <w:lang w:eastAsia="en-AU"/>
        </w:rPr>
      </w:pPr>
      <w:r>
        <w:t>4.16</w:t>
      </w:r>
      <w:r>
        <w:rPr>
          <w:rFonts w:asciiTheme="minorHAnsi" w:eastAsiaTheme="minorEastAsia" w:hAnsiTheme="minorHAnsi" w:cstheme="minorBidi"/>
          <w:lang w:eastAsia="en-AU"/>
        </w:rPr>
        <w:tab/>
      </w:r>
      <w:r>
        <w:t>Apple scar skin or apple dapple</w:t>
      </w:r>
      <w:r>
        <w:tab/>
      </w:r>
      <w:r>
        <w:fldChar w:fldCharType="begin"/>
      </w:r>
      <w:r>
        <w:instrText xml:space="preserve"> PAGEREF _Toc448312509 \h </w:instrText>
      </w:r>
      <w:r>
        <w:fldChar w:fldCharType="separate"/>
      </w:r>
      <w:r w:rsidR="00457D54">
        <w:t>85</w:t>
      </w:r>
      <w:r>
        <w:fldChar w:fldCharType="end"/>
      </w:r>
    </w:p>
    <w:p w:rsidR="00B8782D" w:rsidRDefault="00B8782D">
      <w:pPr>
        <w:pStyle w:val="TOC2"/>
        <w:tabs>
          <w:tab w:val="left" w:pos="1100"/>
        </w:tabs>
        <w:rPr>
          <w:rFonts w:asciiTheme="minorHAnsi" w:eastAsiaTheme="minorEastAsia" w:hAnsiTheme="minorHAnsi" w:cstheme="minorBidi"/>
          <w:lang w:eastAsia="en-AU"/>
        </w:rPr>
      </w:pPr>
      <w:r>
        <w:t>4.17</w:t>
      </w:r>
      <w:r>
        <w:rPr>
          <w:rFonts w:asciiTheme="minorHAnsi" w:eastAsiaTheme="minorEastAsia" w:hAnsiTheme="minorHAnsi" w:cstheme="minorBidi"/>
          <w:lang w:eastAsia="en-AU"/>
        </w:rPr>
        <w:tab/>
      </w:r>
      <w:r>
        <w:t>Tobacco necrosis viruses</w:t>
      </w:r>
      <w:r>
        <w:tab/>
      </w:r>
      <w:r>
        <w:fldChar w:fldCharType="begin"/>
      </w:r>
      <w:r>
        <w:instrText xml:space="preserve"> PAGEREF _Toc448312510 \h </w:instrText>
      </w:r>
      <w:r>
        <w:fldChar w:fldCharType="separate"/>
      </w:r>
      <w:r w:rsidR="00457D54">
        <w:t>88</w:t>
      </w:r>
      <w:r>
        <w:fldChar w:fldCharType="end"/>
      </w:r>
    </w:p>
    <w:p w:rsidR="00B8782D" w:rsidRDefault="00B8782D">
      <w:pPr>
        <w:pStyle w:val="TOC2"/>
        <w:tabs>
          <w:tab w:val="left" w:pos="1100"/>
        </w:tabs>
        <w:rPr>
          <w:rFonts w:asciiTheme="minorHAnsi" w:eastAsiaTheme="minorEastAsia" w:hAnsiTheme="minorHAnsi" w:cstheme="minorBidi"/>
          <w:lang w:eastAsia="en-AU"/>
        </w:rPr>
      </w:pPr>
      <w:r>
        <w:lastRenderedPageBreak/>
        <w:t>4.18</w:t>
      </w:r>
      <w:r>
        <w:rPr>
          <w:rFonts w:asciiTheme="minorHAnsi" w:eastAsiaTheme="minorEastAsia" w:hAnsiTheme="minorHAnsi" w:cstheme="minorBidi"/>
          <w:lang w:eastAsia="en-AU"/>
        </w:rPr>
        <w:tab/>
      </w:r>
      <w:r>
        <w:t>Plum pox virus</w:t>
      </w:r>
      <w:r>
        <w:tab/>
      </w:r>
      <w:r>
        <w:fldChar w:fldCharType="begin"/>
      </w:r>
      <w:r>
        <w:instrText xml:space="preserve"> PAGEREF _Toc448312511 \h </w:instrText>
      </w:r>
      <w:r>
        <w:fldChar w:fldCharType="separate"/>
      </w:r>
      <w:r w:rsidR="00457D54">
        <w:t>93</w:t>
      </w:r>
      <w:r>
        <w:fldChar w:fldCharType="end"/>
      </w:r>
    </w:p>
    <w:p w:rsidR="00B8782D" w:rsidRDefault="00B8782D">
      <w:pPr>
        <w:pStyle w:val="TOC2"/>
        <w:tabs>
          <w:tab w:val="left" w:pos="1100"/>
        </w:tabs>
        <w:rPr>
          <w:rFonts w:asciiTheme="minorHAnsi" w:eastAsiaTheme="minorEastAsia" w:hAnsiTheme="minorHAnsi" w:cstheme="minorBidi"/>
          <w:lang w:eastAsia="en-AU"/>
        </w:rPr>
      </w:pPr>
      <w:r>
        <w:t>4.19</w:t>
      </w:r>
      <w:r>
        <w:rPr>
          <w:rFonts w:asciiTheme="minorHAnsi" w:eastAsiaTheme="minorEastAsia" w:hAnsiTheme="minorHAnsi" w:cstheme="minorBidi"/>
          <w:lang w:eastAsia="en-AU"/>
        </w:rPr>
        <w:tab/>
      </w:r>
      <w:r>
        <w:t>Pest risk assessment conclusions</w:t>
      </w:r>
      <w:r>
        <w:tab/>
      </w:r>
      <w:r>
        <w:fldChar w:fldCharType="begin"/>
      </w:r>
      <w:r>
        <w:instrText xml:space="preserve"> PAGEREF _Toc448312512 \h </w:instrText>
      </w:r>
      <w:r>
        <w:fldChar w:fldCharType="separate"/>
      </w:r>
      <w:r w:rsidR="00457D54">
        <w:t>97</w:t>
      </w:r>
      <w:r>
        <w:fldChar w:fldCharType="end"/>
      </w:r>
    </w:p>
    <w:p w:rsidR="00B8782D" w:rsidRDefault="00B8782D">
      <w:pPr>
        <w:pStyle w:val="TOC1"/>
        <w:rPr>
          <w:rFonts w:asciiTheme="minorHAnsi" w:eastAsiaTheme="minorEastAsia" w:hAnsiTheme="minorHAnsi" w:cstheme="minorBidi"/>
          <w:b w:val="0"/>
          <w:lang w:eastAsia="en-AU"/>
        </w:rPr>
      </w:pPr>
      <w:r>
        <w:t>5</w:t>
      </w:r>
      <w:r>
        <w:rPr>
          <w:rFonts w:asciiTheme="minorHAnsi" w:eastAsiaTheme="minorEastAsia" w:hAnsiTheme="minorHAnsi" w:cstheme="minorBidi"/>
          <w:b w:val="0"/>
          <w:lang w:eastAsia="en-AU"/>
        </w:rPr>
        <w:tab/>
      </w:r>
      <w:r>
        <w:t>Pest risk management</w:t>
      </w:r>
      <w:r>
        <w:tab/>
      </w:r>
      <w:r>
        <w:fldChar w:fldCharType="begin"/>
      </w:r>
      <w:r>
        <w:instrText xml:space="preserve"> PAGEREF _Toc448312513 \h </w:instrText>
      </w:r>
      <w:r>
        <w:fldChar w:fldCharType="separate"/>
      </w:r>
      <w:r w:rsidR="00457D54">
        <w:t>101</w:t>
      </w:r>
      <w:r>
        <w:fldChar w:fldCharType="end"/>
      </w:r>
    </w:p>
    <w:p w:rsidR="00B8782D" w:rsidRDefault="00B8782D">
      <w:pPr>
        <w:pStyle w:val="TOC2"/>
        <w:tabs>
          <w:tab w:val="left" w:pos="1100"/>
        </w:tabs>
        <w:rPr>
          <w:rFonts w:asciiTheme="minorHAnsi" w:eastAsiaTheme="minorEastAsia" w:hAnsiTheme="minorHAnsi" w:cstheme="minorBidi"/>
          <w:lang w:eastAsia="en-AU"/>
        </w:rPr>
      </w:pPr>
      <w:r>
        <w:t>5.1</w:t>
      </w:r>
      <w:r>
        <w:rPr>
          <w:rFonts w:asciiTheme="minorHAnsi" w:eastAsiaTheme="minorEastAsia" w:hAnsiTheme="minorHAnsi" w:cstheme="minorBidi"/>
          <w:lang w:eastAsia="en-AU"/>
        </w:rPr>
        <w:tab/>
      </w:r>
      <w:r>
        <w:t>Pest risk management measures and phytosanitary procedures</w:t>
      </w:r>
      <w:r>
        <w:tab/>
      </w:r>
      <w:r>
        <w:fldChar w:fldCharType="begin"/>
      </w:r>
      <w:r>
        <w:instrText xml:space="preserve"> PAGEREF _Toc448312514 \h </w:instrText>
      </w:r>
      <w:r>
        <w:fldChar w:fldCharType="separate"/>
      </w:r>
      <w:r w:rsidR="00457D54">
        <w:t>101</w:t>
      </w:r>
      <w:r>
        <w:fldChar w:fldCharType="end"/>
      </w:r>
    </w:p>
    <w:p w:rsidR="00B8782D" w:rsidRDefault="00B8782D">
      <w:pPr>
        <w:pStyle w:val="TOC2"/>
        <w:tabs>
          <w:tab w:val="left" w:pos="1100"/>
        </w:tabs>
        <w:rPr>
          <w:rFonts w:asciiTheme="minorHAnsi" w:eastAsiaTheme="minorEastAsia" w:hAnsiTheme="minorHAnsi" w:cstheme="minorBidi"/>
          <w:lang w:eastAsia="en-AU"/>
        </w:rPr>
      </w:pPr>
      <w:r>
        <w:t>5.2</w:t>
      </w:r>
      <w:r>
        <w:rPr>
          <w:rFonts w:asciiTheme="minorHAnsi" w:eastAsiaTheme="minorEastAsia" w:hAnsiTheme="minorHAnsi" w:cstheme="minorBidi"/>
          <w:lang w:eastAsia="en-AU"/>
        </w:rPr>
        <w:tab/>
      </w:r>
      <w:r>
        <w:t>Operational system for the maintenance and verification of phytosanitary status</w:t>
      </w:r>
      <w:r>
        <w:tab/>
      </w:r>
      <w:r>
        <w:fldChar w:fldCharType="begin"/>
      </w:r>
      <w:r>
        <w:instrText xml:space="preserve"> PAGEREF _Toc448312515 \h </w:instrText>
      </w:r>
      <w:r>
        <w:fldChar w:fldCharType="separate"/>
      </w:r>
      <w:r w:rsidR="00457D54">
        <w:t>113</w:t>
      </w:r>
      <w:r>
        <w:fldChar w:fldCharType="end"/>
      </w:r>
    </w:p>
    <w:p w:rsidR="00B8782D" w:rsidRDefault="00B8782D">
      <w:pPr>
        <w:pStyle w:val="TOC2"/>
        <w:tabs>
          <w:tab w:val="left" w:pos="1100"/>
        </w:tabs>
        <w:rPr>
          <w:rFonts w:asciiTheme="minorHAnsi" w:eastAsiaTheme="minorEastAsia" w:hAnsiTheme="minorHAnsi" w:cstheme="minorBidi"/>
          <w:lang w:eastAsia="en-AU"/>
        </w:rPr>
      </w:pPr>
      <w:r>
        <w:t>5.3</w:t>
      </w:r>
      <w:r>
        <w:rPr>
          <w:rFonts w:asciiTheme="minorHAnsi" w:eastAsiaTheme="minorEastAsia" w:hAnsiTheme="minorHAnsi" w:cstheme="minorBidi"/>
          <w:lang w:eastAsia="en-AU"/>
        </w:rPr>
        <w:tab/>
      </w:r>
      <w:r>
        <w:t>Uncategorised pests</w:t>
      </w:r>
      <w:r>
        <w:tab/>
      </w:r>
      <w:r>
        <w:fldChar w:fldCharType="begin"/>
      </w:r>
      <w:r>
        <w:instrText xml:space="preserve"> PAGEREF _Toc448312516 \h </w:instrText>
      </w:r>
      <w:r>
        <w:fldChar w:fldCharType="separate"/>
      </w:r>
      <w:r w:rsidR="00457D54">
        <w:t>116</w:t>
      </w:r>
      <w:r>
        <w:fldChar w:fldCharType="end"/>
      </w:r>
    </w:p>
    <w:p w:rsidR="00B8782D" w:rsidRDefault="00B8782D">
      <w:pPr>
        <w:pStyle w:val="TOC2"/>
        <w:tabs>
          <w:tab w:val="left" w:pos="1100"/>
        </w:tabs>
        <w:rPr>
          <w:rFonts w:asciiTheme="minorHAnsi" w:eastAsiaTheme="minorEastAsia" w:hAnsiTheme="minorHAnsi" w:cstheme="minorBidi"/>
          <w:lang w:eastAsia="en-AU"/>
        </w:rPr>
      </w:pPr>
      <w:r>
        <w:t>5.4</w:t>
      </w:r>
      <w:r>
        <w:rPr>
          <w:rFonts w:asciiTheme="minorHAnsi" w:eastAsiaTheme="minorEastAsia" w:hAnsiTheme="minorHAnsi" w:cstheme="minorBidi"/>
          <w:lang w:eastAsia="en-AU"/>
        </w:rPr>
        <w:tab/>
      </w:r>
      <w:r>
        <w:t>Review of processes</w:t>
      </w:r>
      <w:r>
        <w:tab/>
      </w:r>
      <w:r>
        <w:fldChar w:fldCharType="begin"/>
      </w:r>
      <w:r>
        <w:instrText xml:space="preserve"> PAGEREF _Toc448312517 \h </w:instrText>
      </w:r>
      <w:r>
        <w:fldChar w:fldCharType="separate"/>
      </w:r>
      <w:r w:rsidR="00457D54">
        <w:t>116</w:t>
      </w:r>
      <w:r>
        <w:fldChar w:fldCharType="end"/>
      </w:r>
    </w:p>
    <w:p w:rsidR="00B8782D" w:rsidRDefault="00B8782D">
      <w:pPr>
        <w:pStyle w:val="TOC2"/>
        <w:tabs>
          <w:tab w:val="left" w:pos="1100"/>
        </w:tabs>
        <w:rPr>
          <w:rFonts w:asciiTheme="minorHAnsi" w:eastAsiaTheme="minorEastAsia" w:hAnsiTheme="minorHAnsi" w:cstheme="minorBidi"/>
          <w:lang w:eastAsia="en-AU"/>
        </w:rPr>
      </w:pPr>
      <w:r>
        <w:t>5.5</w:t>
      </w:r>
      <w:r>
        <w:rPr>
          <w:rFonts w:asciiTheme="minorHAnsi" w:eastAsiaTheme="minorEastAsia" w:hAnsiTheme="minorHAnsi" w:cstheme="minorBidi"/>
          <w:lang w:eastAsia="en-AU"/>
        </w:rPr>
        <w:tab/>
      </w:r>
      <w:r>
        <w:t>Meeting Australia’s food standards</w:t>
      </w:r>
      <w:r>
        <w:tab/>
      </w:r>
      <w:r>
        <w:fldChar w:fldCharType="begin"/>
      </w:r>
      <w:r>
        <w:instrText xml:space="preserve"> PAGEREF _Toc448312518 \h </w:instrText>
      </w:r>
      <w:r>
        <w:fldChar w:fldCharType="separate"/>
      </w:r>
      <w:r w:rsidR="00457D54">
        <w:t>117</w:t>
      </w:r>
      <w:r>
        <w:fldChar w:fldCharType="end"/>
      </w:r>
    </w:p>
    <w:p w:rsidR="00B8782D" w:rsidRDefault="00B8782D">
      <w:pPr>
        <w:pStyle w:val="TOC1"/>
        <w:rPr>
          <w:rFonts w:asciiTheme="minorHAnsi" w:eastAsiaTheme="minorEastAsia" w:hAnsiTheme="minorHAnsi" w:cstheme="minorBidi"/>
          <w:b w:val="0"/>
          <w:lang w:eastAsia="en-AU"/>
        </w:rPr>
      </w:pPr>
      <w:r>
        <w:t>6</w:t>
      </w:r>
      <w:r>
        <w:rPr>
          <w:rFonts w:asciiTheme="minorHAnsi" w:eastAsiaTheme="minorEastAsia" w:hAnsiTheme="minorHAnsi" w:cstheme="minorBidi"/>
          <w:b w:val="0"/>
          <w:lang w:eastAsia="en-AU"/>
        </w:rPr>
        <w:tab/>
      </w:r>
      <w:r>
        <w:t>Conclusion</w:t>
      </w:r>
      <w:r>
        <w:tab/>
      </w:r>
      <w:r>
        <w:fldChar w:fldCharType="begin"/>
      </w:r>
      <w:r>
        <w:instrText xml:space="preserve"> PAGEREF _Toc448312519 \h </w:instrText>
      </w:r>
      <w:r>
        <w:fldChar w:fldCharType="separate"/>
      </w:r>
      <w:r w:rsidR="00457D54">
        <w:t>118</w:t>
      </w:r>
      <w:r>
        <w:fldChar w:fldCharType="end"/>
      </w:r>
    </w:p>
    <w:p w:rsidR="00B8782D" w:rsidRDefault="00B8782D">
      <w:pPr>
        <w:pStyle w:val="TOC1"/>
        <w:tabs>
          <w:tab w:val="left" w:pos="1540"/>
        </w:tabs>
        <w:rPr>
          <w:rFonts w:asciiTheme="minorHAnsi" w:eastAsiaTheme="minorEastAsia" w:hAnsiTheme="minorHAnsi" w:cstheme="minorBidi"/>
          <w:b w:val="0"/>
          <w:lang w:eastAsia="en-AU"/>
        </w:rPr>
      </w:pPr>
      <w:r>
        <w:t>Appendix A</w:t>
      </w:r>
      <w:r>
        <w:rPr>
          <w:rFonts w:asciiTheme="minorHAnsi" w:eastAsiaTheme="minorEastAsia" w:hAnsiTheme="minorHAnsi" w:cstheme="minorBidi"/>
          <w:b w:val="0"/>
          <w:lang w:eastAsia="en-AU"/>
        </w:rPr>
        <w:tab/>
      </w:r>
      <w:r>
        <w:t>Initiation and categorisation for pests of fresh nectarine fruit from China</w:t>
      </w:r>
      <w:r>
        <w:tab/>
      </w:r>
      <w:r>
        <w:tab/>
      </w:r>
      <w:r>
        <w:fldChar w:fldCharType="begin"/>
      </w:r>
      <w:r>
        <w:instrText xml:space="preserve"> PAGEREF _Toc448312520 \h </w:instrText>
      </w:r>
      <w:r>
        <w:fldChar w:fldCharType="separate"/>
      </w:r>
      <w:r w:rsidR="00457D54">
        <w:t>119</w:t>
      </w:r>
      <w:r>
        <w:fldChar w:fldCharType="end"/>
      </w:r>
    </w:p>
    <w:p w:rsidR="00B8782D" w:rsidRDefault="00B8782D">
      <w:pPr>
        <w:pStyle w:val="TOC1"/>
        <w:tabs>
          <w:tab w:val="left" w:pos="1540"/>
        </w:tabs>
        <w:rPr>
          <w:rFonts w:asciiTheme="minorHAnsi" w:eastAsiaTheme="minorEastAsia" w:hAnsiTheme="minorHAnsi" w:cstheme="minorBidi"/>
          <w:b w:val="0"/>
          <w:lang w:eastAsia="en-AU"/>
        </w:rPr>
      </w:pPr>
      <w:r>
        <w:t>Appendix B</w:t>
      </w:r>
      <w:r>
        <w:rPr>
          <w:rFonts w:asciiTheme="minorHAnsi" w:eastAsiaTheme="minorEastAsia" w:hAnsiTheme="minorHAnsi" w:cstheme="minorBidi"/>
          <w:b w:val="0"/>
          <w:lang w:eastAsia="en-AU"/>
        </w:rPr>
        <w:tab/>
      </w:r>
      <w:r>
        <w:t>Biosecurity framework</w:t>
      </w:r>
      <w:r>
        <w:tab/>
      </w:r>
      <w:r>
        <w:fldChar w:fldCharType="begin"/>
      </w:r>
      <w:r>
        <w:instrText xml:space="preserve"> PAGEREF _Toc448312521 \h </w:instrText>
      </w:r>
      <w:r>
        <w:fldChar w:fldCharType="separate"/>
      </w:r>
      <w:r w:rsidR="00457D54">
        <w:t>247</w:t>
      </w:r>
      <w:r>
        <w:fldChar w:fldCharType="end"/>
      </w:r>
    </w:p>
    <w:p w:rsidR="00B8782D" w:rsidRDefault="00B8782D">
      <w:pPr>
        <w:pStyle w:val="TOC1"/>
        <w:rPr>
          <w:rFonts w:asciiTheme="minorHAnsi" w:eastAsiaTheme="minorEastAsia" w:hAnsiTheme="minorHAnsi" w:cstheme="minorBidi"/>
          <w:b w:val="0"/>
          <w:lang w:eastAsia="en-AU"/>
        </w:rPr>
      </w:pPr>
      <w:r>
        <w:t>Glossary</w:t>
      </w:r>
      <w:r>
        <w:tab/>
      </w:r>
      <w:r>
        <w:fldChar w:fldCharType="begin"/>
      </w:r>
      <w:r>
        <w:instrText xml:space="preserve"> PAGEREF _Toc448312522 \h </w:instrText>
      </w:r>
      <w:r>
        <w:fldChar w:fldCharType="separate"/>
      </w:r>
      <w:r w:rsidR="00457D54">
        <w:t>252</w:t>
      </w:r>
      <w:r>
        <w:fldChar w:fldCharType="end"/>
      </w:r>
    </w:p>
    <w:p w:rsidR="00B8782D" w:rsidRDefault="00B8782D">
      <w:pPr>
        <w:pStyle w:val="TOC1"/>
        <w:rPr>
          <w:rFonts w:asciiTheme="minorHAnsi" w:eastAsiaTheme="minorEastAsia" w:hAnsiTheme="minorHAnsi" w:cstheme="minorBidi"/>
          <w:b w:val="0"/>
          <w:lang w:eastAsia="en-AU"/>
        </w:rPr>
      </w:pPr>
      <w:r>
        <w:t>References</w:t>
      </w:r>
      <w:r>
        <w:tab/>
      </w:r>
      <w:r>
        <w:fldChar w:fldCharType="begin"/>
      </w:r>
      <w:r>
        <w:instrText xml:space="preserve"> PAGEREF _Toc448312523 \h </w:instrText>
      </w:r>
      <w:r>
        <w:fldChar w:fldCharType="separate"/>
      </w:r>
      <w:r w:rsidR="00457D54">
        <w:t>256</w:t>
      </w:r>
      <w:r>
        <w:fldChar w:fldCharType="end"/>
      </w:r>
    </w:p>
    <w:p w:rsidR="00B8782D" w:rsidRDefault="00B8782D">
      <w:pPr>
        <w:pStyle w:val="TOCHeading"/>
      </w:pPr>
      <w:r>
        <w:fldChar w:fldCharType="end"/>
      </w:r>
      <w:r>
        <w:t>Figures</w:t>
      </w:r>
    </w:p>
    <w:p w:rsidR="00B8782D" w:rsidRDefault="00B8782D">
      <w:pPr>
        <w:pStyle w:val="TableofFigures"/>
        <w:tabs>
          <w:tab w:val="right" w:leader="dot" w:pos="9060"/>
        </w:tabs>
        <w:rPr>
          <w:rFonts w:asciiTheme="minorHAnsi" w:eastAsiaTheme="minorEastAsia" w:hAnsiTheme="minorHAnsi" w:cstheme="minorBidi"/>
          <w:noProof/>
          <w:lang w:eastAsia="en-AU"/>
        </w:rPr>
      </w:pPr>
      <w:r>
        <w:rPr>
          <w:rFonts w:ascii="Calibri" w:hAnsi="Calibri"/>
        </w:rPr>
        <w:fldChar w:fldCharType="begin"/>
      </w:r>
      <w:r>
        <w:instrText xml:space="preserve"> TOC \c "Figure" </w:instrText>
      </w:r>
      <w:r>
        <w:rPr>
          <w:rFonts w:ascii="Calibri" w:hAnsi="Calibri"/>
        </w:rPr>
        <w:fldChar w:fldCharType="separate"/>
      </w:r>
      <w:r>
        <w:rPr>
          <w:noProof/>
        </w:rPr>
        <w:t>Figure 1 Diagram of fresh nectarine fruit</w:t>
      </w:r>
      <w:r>
        <w:rPr>
          <w:noProof/>
        </w:rPr>
        <w:tab/>
      </w:r>
      <w:r>
        <w:rPr>
          <w:noProof/>
        </w:rPr>
        <w:fldChar w:fldCharType="begin"/>
      </w:r>
      <w:r>
        <w:rPr>
          <w:noProof/>
        </w:rPr>
        <w:instrText xml:space="preserve"> PAGEREF _Toc448236035 \h </w:instrText>
      </w:r>
      <w:r>
        <w:rPr>
          <w:noProof/>
        </w:rPr>
      </w:r>
      <w:r>
        <w:rPr>
          <w:noProof/>
        </w:rPr>
        <w:fldChar w:fldCharType="separate"/>
      </w:r>
      <w:r w:rsidR="00457D54">
        <w:rPr>
          <w:noProof/>
        </w:rPr>
        <w:t>viii</w:t>
      </w:r>
      <w:r>
        <w:rPr>
          <w:noProof/>
        </w:rPr>
        <w:fldChar w:fldCharType="end"/>
      </w:r>
    </w:p>
    <w:p w:rsidR="00B8782D" w:rsidRDefault="00B8782D">
      <w:pPr>
        <w:pStyle w:val="TableofFigures"/>
        <w:tabs>
          <w:tab w:val="right" w:leader="dot" w:pos="9060"/>
        </w:tabs>
        <w:rPr>
          <w:rFonts w:asciiTheme="minorHAnsi" w:eastAsiaTheme="minorEastAsia" w:hAnsiTheme="minorHAnsi" w:cstheme="minorBidi"/>
          <w:noProof/>
          <w:lang w:eastAsia="en-AU"/>
        </w:rPr>
      </w:pPr>
      <w:r>
        <w:rPr>
          <w:noProof/>
        </w:rPr>
        <w:t>Figure 2 Mean monthly rainfall and mean maximum and minimum temperatures for the main nectarine producing provinces of China</w:t>
      </w:r>
      <w:r>
        <w:rPr>
          <w:noProof/>
        </w:rPr>
        <w:tab/>
      </w:r>
      <w:r>
        <w:rPr>
          <w:noProof/>
        </w:rPr>
        <w:fldChar w:fldCharType="begin"/>
      </w:r>
      <w:r>
        <w:rPr>
          <w:noProof/>
        </w:rPr>
        <w:instrText xml:space="preserve"> PAGEREF _Toc448236036 \h </w:instrText>
      </w:r>
      <w:r>
        <w:rPr>
          <w:noProof/>
        </w:rPr>
      </w:r>
      <w:r>
        <w:rPr>
          <w:noProof/>
        </w:rPr>
        <w:fldChar w:fldCharType="separate"/>
      </w:r>
      <w:r w:rsidR="00457D54">
        <w:rPr>
          <w:noProof/>
        </w:rPr>
        <w:t>19</w:t>
      </w:r>
      <w:r>
        <w:rPr>
          <w:noProof/>
        </w:rPr>
        <w:fldChar w:fldCharType="end"/>
      </w:r>
    </w:p>
    <w:p w:rsidR="00B8782D" w:rsidRDefault="00B8782D">
      <w:pPr>
        <w:pStyle w:val="TableofFigures"/>
        <w:tabs>
          <w:tab w:val="right" w:leader="dot" w:pos="9060"/>
        </w:tabs>
        <w:rPr>
          <w:rFonts w:asciiTheme="minorHAnsi" w:eastAsiaTheme="minorEastAsia" w:hAnsiTheme="minorHAnsi" w:cstheme="minorBidi"/>
          <w:noProof/>
          <w:lang w:eastAsia="en-AU"/>
        </w:rPr>
      </w:pPr>
      <w:r>
        <w:rPr>
          <w:noProof/>
        </w:rPr>
        <w:t>Figure 3 Summary of orchard and post-harvest steps for peaches and nectarines grown in China for export</w:t>
      </w:r>
      <w:r>
        <w:rPr>
          <w:noProof/>
        </w:rPr>
        <w:tab/>
      </w:r>
      <w:r>
        <w:rPr>
          <w:noProof/>
        </w:rPr>
        <w:fldChar w:fldCharType="begin"/>
      </w:r>
      <w:r>
        <w:rPr>
          <w:noProof/>
        </w:rPr>
        <w:instrText xml:space="preserve"> PAGEREF _Toc448236037 \h </w:instrText>
      </w:r>
      <w:r>
        <w:rPr>
          <w:noProof/>
        </w:rPr>
      </w:r>
      <w:r>
        <w:rPr>
          <w:noProof/>
        </w:rPr>
        <w:fldChar w:fldCharType="separate"/>
      </w:r>
      <w:r w:rsidR="00457D54">
        <w:rPr>
          <w:noProof/>
        </w:rPr>
        <w:t>26</w:t>
      </w:r>
      <w:r>
        <w:rPr>
          <w:noProof/>
        </w:rPr>
        <w:fldChar w:fldCharType="end"/>
      </w:r>
    </w:p>
    <w:p w:rsidR="00B8782D" w:rsidRDefault="00B8782D">
      <w:pPr>
        <w:pStyle w:val="TOCHeading"/>
      </w:pPr>
      <w:r>
        <w:rPr>
          <w:rFonts w:ascii="Cambria" w:hAnsi="Cambria"/>
          <w:color w:val="auto"/>
          <w:sz w:val="22"/>
          <w:szCs w:val="24"/>
        </w:rPr>
        <w:fldChar w:fldCharType="end"/>
      </w:r>
      <w:r>
        <w:t>Tables</w:t>
      </w:r>
    </w:p>
    <w:p w:rsidR="00B8782D" w:rsidRDefault="00B8782D">
      <w:pPr>
        <w:pStyle w:val="TableofFigures"/>
        <w:tabs>
          <w:tab w:val="right" w:leader="dot" w:pos="9060"/>
        </w:tabs>
        <w:rPr>
          <w:rFonts w:asciiTheme="minorHAnsi" w:eastAsiaTheme="minorEastAsia" w:hAnsiTheme="minorHAnsi" w:cstheme="minorBidi"/>
          <w:noProof/>
          <w:lang w:eastAsia="en-AU"/>
        </w:rPr>
      </w:pPr>
      <w:r>
        <w:rPr>
          <w:bCs/>
          <w:szCs w:val="24"/>
        </w:rPr>
        <w:fldChar w:fldCharType="begin"/>
      </w:r>
      <w:r>
        <w:rPr>
          <w:bCs/>
        </w:rPr>
        <w:instrText xml:space="preserve"> TOC \c "Table" </w:instrText>
      </w:r>
      <w:r>
        <w:rPr>
          <w:bCs/>
          <w:szCs w:val="24"/>
        </w:rPr>
        <w:fldChar w:fldCharType="separate"/>
      </w:r>
      <w:r>
        <w:rPr>
          <w:noProof/>
        </w:rPr>
        <w:t>Table 2.1 Nomenclature of qualitative likelihoods</w:t>
      </w:r>
      <w:r>
        <w:rPr>
          <w:noProof/>
        </w:rPr>
        <w:tab/>
      </w:r>
      <w:r>
        <w:rPr>
          <w:noProof/>
        </w:rPr>
        <w:fldChar w:fldCharType="begin"/>
      </w:r>
      <w:r>
        <w:rPr>
          <w:noProof/>
        </w:rPr>
        <w:instrText xml:space="preserve"> PAGEREF _Toc448236038 \h </w:instrText>
      </w:r>
      <w:r>
        <w:rPr>
          <w:noProof/>
        </w:rPr>
      </w:r>
      <w:r>
        <w:rPr>
          <w:noProof/>
        </w:rPr>
        <w:fldChar w:fldCharType="separate"/>
      </w:r>
      <w:r w:rsidR="00457D54">
        <w:rPr>
          <w:noProof/>
        </w:rPr>
        <w:t>10</w:t>
      </w:r>
      <w:r>
        <w:rPr>
          <w:noProof/>
        </w:rPr>
        <w:fldChar w:fldCharType="end"/>
      </w:r>
    </w:p>
    <w:p w:rsidR="00B8782D" w:rsidRDefault="00B8782D">
      <w:pPr>
        <w:pStyle w:val="TableofFigures"/>
        <w:tabs>
          <w:tab w:val="right" w:leader="dot" w:pos="9060"/>
        </w:tabs>
        <w:rPr>
          <w:rFonts w:asciiTheme="minorHAnsi" w:eastAsiaTheme="minorEastAsia" w:hAnsiTheme="minorHAnsi" w:cstheme="minorBidi"/>
          <w:noProof/>
          <w:lang w:eastAsia="en-AU"/>
        </w:rPr>
      </w:pPr>
      <w:r>
        <w:rPr>
          <w:noProof/>
        </w:rPr>
        <w:t>Table 2.2 Matrix of rules for combining qualitative likelihoods</w:t>
      </w:r>
      <w:r>
        <w:rPr>
          <w:noProof/>
        </w:rPr>
        <w:tab/>
      </w:r>
      <w:r>
        <w:rPr>
          <w:noProof/>
        </w:rPr>
        <w:fldChar w:fldCharType="begin"/>
      </w:r>
      <w:r>
        <w:rPr>
          <w:noProof/>
        </w:rPr>
        <w:instrText xml:space="preserve"> PAGEREF _Toc448236039 \h </w:instrText>
      </w:r>
      <w:r>
        <w:rPr>
          <w:noProof/>
        </w:rPr>
      </w:r>
      <w:r>
        <w:rPr>
          <w:noProof/>
        </w:rPr>
        <w:fldChar w:fldCharType="separate"/>
      </w:r>
      <w:r w:rsidR="00457D54">
        <w:rPr>
          <w:noProof/>
        </w:rPr>
        <w:t>11</w:t>
      </w:r>
      <w:r>
        <w:rPr>
          <w:noProof/>
        </w:rPr>
        <w:fldChar w:fldCharType="end"/>
      </w:r>
    </w:p>
    <w:p w:rsidR="00B8782D" w:rsidRDefault="00B8782D">
      <w:pPr>
        <w:pStyle w:val="TableofFigures"/>
        <w:tabs>
          <w:tab w:val="right" w:leader="dot" w:pos="9060"/>
        </w:tabs>
        <w:rPr>
          <w:rFonts w:asciiTheme="minorHAnsi" w:eastAsiaTheme="minorEastAsia" w:hAnsiTheme="minorHAnsi" w:cstheme="minorBidi"/>
          <w:noProof/>
          <w:lang w:eastAsia="en-AU"/>
        </w:rPr>
      </w:pPr>
      <w:r>
        <w:rPr>
          <w:noProof/>
        </w:rPr>
        <w:t>Table 2.3 Decision rules for determining the consequence impact score based on the magnitude of consequences at four geographic scales</w:t>
      </w:r>
      <w:r>
        <w:rPr>
          <w:noProof/>
        </w:rPr>
        <w:tab/>
      </w:r>
      <w:r>
        <w:rPr>
          <w:noProof/>
        </w:rPr>
        <w:fldChar w:fldCharType="begin"/>
      </w:r>
      <w:r>
        <w:rPr>
          <w:noProof/>
        </w:rPr>
        <w:instrText xml:space="preserve"> PAGEREF _Toc448236040 \h </w:instrText>
      </w:r>
      <w:r>
        <w:rPr>
          <w:noProof/>
        </w:rPr>
      </w:r>
      <w:r>
        <w:rPr>
          <w:noProof/>
        </w:rPr>
        <w:fldChar w:fldCharType="separate"/>
      </w:r>
      <w:r w:rsidR="00457D54">
        <w:rPr>
          <w:noProof/>
        </w:rPr>
        <w:t>14</w:t>
      </w:r>
      <w:r>
        <w:rPr>
          <w:noProof/>
        </w:rPr>
        <w:fldChar w:fldCharType="end"/>
      </w:r>
    </w:p>
    <w:p w:rsidR="00B8782D" w:rsidRDefault="00B8782D">
      <w:pPr>
        <w:pStyle w:val="TableofFigures"/>
        <w:tabs>
          <w:tab w:val="right" w:leader="dot" w:pos="9060"/>
        </w:tabs>
        <w:rPr>
          <w:rFonts w:asciiTheme="minorHAnsi" w:eastAsiaTheme="minorEastAsia" w:hAnsiTheme="minorHAnsi" w:cstheme="minorBidi"/>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_Toc448236041 \h </w:instrText>
      </w:r>
      <w:r>
        <w:rPr>
          <w:noProof/>
        </w:rPr>
      </w:r>
      <w:r>
        <w:rPr>
          <w:noProof/>
        </w:rPr>
        <w:fldChar w:fldCharType="separate"/>
      </w:r>
      <w:r w:rsidR="00457D54">
        <w:rPr>
          <w:noProof/>
        </w:rPr>
        <w:t>14</w:t>
      </w:r>
      <w:r>
        <w:rPr>
          <w:noProof/>
        </w:rPr>
        <w:fldChar w:fldCharType="end"/>
      </w:r>
    </w:p>
    <w:p w:rsidR="00B8782D" w:rsidRDefault="00B8782D">
      <w:pPr>
        <w:pStyle w:val="TableofFigures"/>
        <w:tabs>
          <w:tab w:val="right" w:leader="dot" w:pos="9060"/>
        </w:tabs>
        <w:rPr>
          <w:rFonts w:asciiTheme="minorHAnsi" w:eastAsiaTheme="minorEastAsia" w:hAnsiTheme="minorHAnsi" w:cstheme="minorBidi"/>
          <w:noProof/>
          <w:lang w:eastAsia="en-AU"/>
        </w:rPr>
      </w:pPr>
      <w:r>
        <w:rPr>
          <w:noProof/>
        </w:rPr>
        <w:t>Table 2.5 Risk estimation matrix</w:t>
      </w:r>
      <w:r>
        <w:rPr>
          <w:noProof/>
        </w:rPr>
        <w:tab/>
      </w:r>
      <w:r>
        <w:rPr>
          <w:noProof/>
        </w:rPr>
        <w:fldChar w:fldCharType="begin"/>
      </w:r>
      <w:r>
        <w:rPr>
          <w:noProof/>
        </w:rPr>
        <w:instrText xml:space="preserve"> PAGEREF _Toc448236042 \h </w:instrText>
      </w:r>
      <w:r>
        <w:rPr>
          <w:noProof/>
        </w:rPr>
      </w:r>
      <w:r>
        <w:rPr>
          <w:noProof/>
        </w:rPr>
        <w:fldChar w:fldCharType="separate"/>
      </w:r>
      <w:r w:rsidR="00457D54">
        <w:rPr>
          <w:noProof/>
        </w:rPr>
        <w:t>15</w:t>
      </w:r>
      <w:r>
        <w:rPr>
          <w:noProof/>
        </w:rPr>
        <w:fldChar w:fldCharType="end"/>
      </w:r>
    </w:p>
    <w:p w:rsidR="00B8782D" w:rsidRDefault="00B8782D">
      <w:pPr>
        <w:pStyle w:val="TableofFigures"/>
        <w:tabs>
          <w:tab w:val="right" w:leader="dot" w:pos="9060"/>
        </w:tabs>
        <w:rPr>
          <w:rFonts w:asciiTheme="minorHAnsi" w:eastAsiaTheme="minorEastAsia" w:hAnsiTheme="minorHAnsi" w:cstheme="minorBidi"/>
          <w:noProof/>
          <w:lang w:eastAsia="en-AU"/>
        </w:rPr>
      </w:pPr>
      <w:r>
        <w:rPr>
          <w:noProof/>
        </w:rPr>
        <w:t>Table 3.1 China’s main peache/nectarine production provinces</w:t>
      </w:r>
      <w:r>
        <w:rPr>
          <w:noProof/>
        </w:rPr>
        <w:tab/>
      </w:r>
      <w:r>
        <w:rPr>
          <w:noProof/>
        </w:rPr>
        <w:fldChar w:fldCharType="begin"/>
      </w:r>
      <w:r>
        <w:rPr>
          <w:noProof/>
        </w:rPr>
        <w:instrText xml:space="preserve"> PAGEREF _Toc448236043 \h </w:instrText>
      </w:r>
      <w:r>
        <w:rPr>
          <w:noProof/>
        </w:rPr>
      </w:r>
      <w:r>
        <w:rPr>
          <w:noProof/>
        </w:rPr>
        <w:fldChar w:fldCharType="separate"/>
      </w:r>
      <w:r w:rsidR="00457D54">
        <w:rPr>
          <w:noProof/>
        </w:rPr>
        <w:t>27</w:t>
      </w:r>
      <w:r>
        <w:rPr>
          <w:noProof/>
        </w:rPr>
        <w:fldChar w:fldCharType="end"/>
      </w:r>
    </w:p>
    <w:p w:rsidR="00B8782D" w:rsidRDefault="00B8782D">
      <w:pPr>
        <w:pStyle w:val="TableofFigures"/>
        <w:tabs>
          <w:tab w:val="right" w:leader="dot" w:pos="9060"/>
        </w:tabs>
        <w:rPr>
          <w:rFonts w:asciiTheme="minorHAnsi" w:eastAsiaTheme="minorEastAsia" w:hAnsiTheme="minorHAnsi" w:cstheme="minorBidi"/>
          <w:noProof/>
          <w:lang w:eastAsia="en-AU"/>
        </w:rPr>
      </w:pPr>
      <w:r>
        <w:rPr>
          <w:noProof/>
        </w:rPr>
        <w:t>Table 4.1 Quarantine pests for fresh nectarine fruit from China</w:t>
      </w:r>
      <w:r>
        <w:rPr>
          <w:noProof/>
        </w:rPr>
        <w:tab/>
      </w:r>
      <w:r>
        <w:rPr>
          <w:noProof/>
        </w:rPr>
        <w:fldChar w:fldCharType="begin"/>
      </w:r>
      <w:r>
        <w:rPr>
          <w:noProof/>
        </w:rPr>
        <w:instrText xml:space="preserve"> PAGEREF _Toc448236044 \h </w:instrText>
      </w:r>
      <w:r>
        <w:rPr>
          <w:noProof/>
        </w:rPr>
      </w:r>
      <w:r>
        <w:rPr>
          <w:noProof/>
        </w:rPr>
        <w:fldChar w:fldCharType="separate"/>
      </w:r>
      <w:r w:rsidR="00457D54">
        <w:rPr>
          <w:noProof/>
        </w:rPr>
        <w:t>29</w:t>
      </w:r>
      <w:r>
        <w:rPr>
          <w:noProof/>
        </w:rPr>
        <w:fldChar w:fldCharType="end"/>
      </w:r>
    </w:p>
    <w:p w:rsidR="00B8782D" w:rsidRDefault="00B8782D">
      <w:pPr>
        <w:pStyle w:val="TableofFigures"/>
        <w:tabs>
          <w:tab w:val="right" w:leader="dot" w:pos="9060"/>
        </w:tabs>
        <w:rPr>
          <w:rFonts w:asciiTheme="minorHAnsi" w:eastAsiaTheme="minorEastAsia" w:hAnsiTheme="minorHAnsi" w:cstheme="minorBidi"/>
          <w:noProof/>
          <w:lang w:eastAsia="en-AU"/>
        </w:rPr>
      </w:pPr>
      <w:r>
        <w:rPr>
          <w:noProof/>
        </w:rPr>
        <w:t>Table 4.2 Summary of unrestricted risk estimates for quarantine pests associated with fresh nectarine fruit from China</w:t>
      </w:r>
      <w:r>
        <w:rPr>
          <w:noProof/>
        </w:rPr>
        <w:tab/>
      </w:r>
      <w:r>
        <w:rPr>
          <w:noProof/>
        </w:rPr>
        <w:fldChar w:fldCharType="begin"/>
      </w:r>
      <w:r>
        <w:rPr>
          <w:noProof/>
        </w:rPr>
        <w:instrText xml:space="preserve"> PAGEREF _Toc448236045 \h </w:instrText>
      </w:r>
      <w:r>
        <w:rPr>
          <w:noProof/>
        </w:rPr>
      </w:r>
      <w:r>
        <w:rPr>
          <w:noProof/>
        </w:rPr>
        <w:fldChar w:fldCharType="separate"/>
      </w:r>
      <w:r w:rsidR="00457D54">
        <w:rPr>
          <w:noProof/>
        </w:rPr>
        <w:t>98</w:t>
      </w:r>
      <w:r>
        <w:rPr>
          <w:noProof/>
        </w:rPr>
        <w:fldChar w:fldCharType="end"/>
      </w:r>
    </w:p>
    <w:p w:rsidR="00B8782D" w:rsidRDefault="00B8782D">
      <w:pPr>
        <w:pStyle w:val="TableofFigures"/>
        <w:tabs>
          <w:tab w:val="right" w:leader="dot" w:pos="9060"/>
        </w:tabs>
        <w:rPr>
          <w:rFonts w:asciiTheme="minorHAnsi" w:eastAsiaTheme="minorEastAsia" w:hAnsiTheme="minorHAnsi" w:cstheme="minorBidi"/>
          <w:noProof/>
          <w:lang w:eastAsia="en-AU"/>
        </w:rPr>
      </w:pPr>
      <w:r>
        <w:rPr>
          <w:noProof/>
        </w:rPr>
        <w:t>Table 5.1 Phytosanitary measures recommended for quarantine pests for fresh nectarine fruit from China</w:t>
      </w:r>
      <w:r>
        <w:rPr>
          <w:noProof/>
        </w:rPr>
        <w:tab/>
      </w:r>
      <w:r>
        <w:rPr>
          <w:noProof/>
        </w:rPr>
        <w:fldChar w:fldCharType="begin"/>
      </w:r>
      <w:r>
        <w:rPr>
          <w:noProof/>
        </w:rPr>
        <w:instrText xml:space="preserve"> PAGEREF _Toc448236046 \h </w:instrText>
      </w:r>
      <w:r>
        <w:rPr>
          <w:noProof/>
        </w:rPr>
      </w:r>
      <w:r>
        <w:rPr>
          <w:noProof/>
        </w:rPr>
        <w:fldChar w:fldCharType="separate"/>
      </w:r>
      <w:r w:rsidR="00457D54">
        <w:rPr>
          <w:noProof/>
        </w:rPr>
        <w:t>102</w:t>
      </w:r>
      <w:r>
        <w:rPr>
          <w:noProof/>
        </w:rPr>
        <w:fldChar w:fldCharType="end"/>
      </w:r>
    </w:p>
    <w:p w:rsidR="00B8782D" w:rsidRDefault="00B8782D">
      <w:pPr>
        <w:pStyle w:val="TOCHeading"/>
      </w:pPr>
      <w:r>
        <w:lastRenderedPageBreak/>
        <w:fldChar w:fldCharType="end"/>
      </w:r>
      <w:r>
        <w:t>Maps</w:t>
      </w:r>
    </w:p>
    <w:p w:rsidR="00B8782D" w:rsidRDefault="00B8782D">
      <w:pPr>
        <w:pStyle w:val="TableofFigures"/>
        <w:tabs>
          <w:tab w:val="right" w:leader="dot" w:pos="9060"/>
        </w:tabs>
        <w:rPr>
          <w:rFonts w:asciiTheme="minorHAnsi" w:eastAsiaTheme="minorEastAsia" w:hAnsiTheme="minorHAnsi" w:cstheme="minorBidi"/>
          <w:noProof/>
          <w:lang w:eastAsia="en-AU"/>
        </w:rPr>
      </w:pPr>
      <w:r>
        <w:fldChar w:fldCharType="begin"/>
      </w:r>
      <w:r>
        <w:instrText xml:space="preserve"> TOC \c "Map" </w:instrText>
      </w:r>
      <w:r>
        <w:fldChar w:fldCharType="separate"/>
      </w:r>
      <w:r>
        <w:rPr>
          <w:noProof/>
        </w:rPr>
        <w:t>Map 1 Map of Australia</w:t>
      </w:r>
      <w:r>
        <w:rPr>
          <w:noProof/>
        </w:rPr>
        <w:tab/>
      </w:r>
      <w:r>
        <w:rPr>
          <w:noProof/>
        </w:rPr>
        <w:fldChar w:fldCharType="begin"/>
      </w:r>
      <w:r>
        <w:rPr>
          <w:noProof/>
        </w:rPr>
        <w:instrText xml:space="preserve"> PAGEREF _Toc448236047 \h </w:instrText>
      </w:r>
      <w:r>
        <w:rPr>
          <w:noProof/>
        </w:rPr>
      </w:r>
      <w:r>
        <w:rPr>
          <w:noProof/>
        </w:rPr>
        <w:fldChar w:fldCharType="separate"/>
      </w:r>
      <w:r w:rsidR="00457D54">
        <w:rPr>
          <w:noProof/>
        </w:rPr>
        <w:t>vi</w:t>
      </w:r>
      <w:r>
        <w:rPr>
          <w:noProof/>
        </w:rPr>
        <w:fldChar w:fldCharType="end"/>
      </w:r>
    </w:p>
    <w:p w:rsidR="00B8782D" w:rsidRDefault="00B8782D">
      <w:pPr>
        <w:pStyle w:val="TableofFigures"/>
        <w:tabs>
          <w:tab w:val="right" w:leader="dot" w:pos="9060"/>
        </w:tabs>
        <w:rPr>
          <w:rFonts w:asciiTheme="minorHAnsi" w:eastAsiaTheme="minorEastAsia" w:hAnsiTheme="minorHAnsi" w:cstheme="minorBidi"/>
          <w:noProof/>
          <w:lang w:eastAsia="en-AU"/>
        </w:rPr>
      </w:pPr>
      <w:r>
        <w:rPr>
          <w:noProof/>
        </w:rPr>
        <w:t>Map 2 A guide to Australia’s bio-climatic zones</w:t>
      </w:r>
      <w:r>
        <w:rPr>
          <w:noProof/>
        </w:rPr>
        <w:tab/>
      </w:r>
      <w:r>
        <w:rPr>
          <w:noProof/>
        </w:rPr>
        <w:fldChar w:fldCharType="begin"/>
      </w:r>
      <w:r>
        <w:rPr>
          <w:noProof/>
        </w:rPr>
        <w:instrText xml:space="preserve"> PAGEREF _Toc448236048 \h </w:instrText>
      </w:r>
      <w:r>
        <w:rPr>
          <w:noProof/>
        </w:rPr>
      </w:r>
      <w:r>
        <w:rPr>
          <w:noProof/>
        </w:rPr>
        <w:fldChar w:fldCharType="separate"/>
      </w:r>
      <w:r w:rsidR="00457D54">
        <w:rPr>
          <w:noProof/>
        </w:rPr>
        <w:t>vi</w:t>
      </w:r>
      <w:r>
        <w:rPr>
          <w:noProof/>
        </w:rPr>
        <w:fldChar w:fldCharType="end"/>
      </w:r>
    </w:p>
    <w:p w:rsidR="00B8782D" w:rsidRDefault="00B8782D">
      <w:pPr>
        <w:pStyle w:val="TableofFigures"/>
        <w:tabs>
          <w:tab w:val="right" w:leader="dot" w:pos="9060"/>
        </w:tabs>
        <w:rPr>
          <w:rFonts w:asciiTheme="minorHAnsi" w:eastAsiaTheme="minorEastAsia" w:hAnsiTheme="minorHAnsi" w:cstheme="minorBidi"/>
          <w:noProof/>
          <w:lang w:eastAsia="en-AU"/>
        </w:rPr>
      </w:pPr>
      <w:r>
        <w:rPr>
          <w:noProof/>
        </w:rPr>
        <w:t>Map 3 Main nectarine production areas in Australia</w:t>
      </w:r>
      <w:r>
        <w:rPr>
          <w:noProof/>
        </w:rPr>
        <w:tab/>
      </w:r>
      <w:r>
        <w:rPr>
          <w:noProof/>
        </w:rPr>
        <w:fldChar w:fldCharType="begin"/>
      </w:r>
      <w:r>
        <w:rPr>
          <w:noProof/>
        </w:rPr>
        <w:instrText xml:space="preserve"> PAGEREF _Toc448236049 \h </w:instrText>
      </w:r>
      <w:r>
        <w:rPr>
          <w:noProof/>
        </w:rPr>
      </w:r>
      <w:r>
        <w:rPr>
          <w:noProof/>
        </w:rPr>
        <w:fldChar w:fldCharType="separate"/>
      </w:r>
      <w:r w:rsidR="00457D54">
        <w:rPr>
          <w:noProof/>
        </w:rPr>
        <w:t>vii</w:t>
      </w:r>
      <w:r>
        <w:rPr>
          <w:noProof/>
        </w:rPr>
        <w:fldChar w:fldCharType="end"/>
      </w:r>
    </w:p>
    <w:p w:rsidR="00B8782D" w:rsidRDefault="00B8782D">
      <w:pPr>
        <w:pStyle w:val="TableofFigures"/>
        <w:tabs>
          <w:tab w:val="right" w:leader="dot" w:pos="9060"/>
        </w:tabs>
        <w:rPr>
          <w:rFonts w:asciiTheme="minorHAnsi" w:eastAsiaTheme="minorEastAsia" w:hAnsiTheme="minorHAnsi" w:cstheme="minorBidi"/>
          <w:noProof/>
          <w:lang w:eastAsia="en-AU"/>
        </w:rPr>
      </w:pPr>
      <w:r>
        <w:rPr>
          <w:noProof/>
        </w:rPr>
        <w:t>Map 4 Main peach and nectarine production areas in China</w:t>
      </w:r>
      <w:r>
        <w:rPr>
          <w:noProof/>
        </w:rPr>
        <w:tab/>
      </w:r>
      <w:r>
        <w:rPr>
          <w:noProof/>
        </w:rPr>
        <w:fldChar w:fldCharType="begin"/>
      </w:r>
      <w:r>
        <w:rPr>
          <w:noProof/>
        </w:rPr>
        <w:instrText xml:space="preserve"> PAGEREF _Toc448236050 \h </w:instrText>
      </w:r>
      <w:r>
        <w:rPr>
          <w:noProof/>
        </w:rPr>
      </w:r>
      <w:r>
        <w:rPr>
          <w:noProof/>
        </w:rPr>
        <w:fldChar w:fldCharType="separate"/>
      </w:r>
      <w:r w:rsidR="00457D54">
        <w:rPr>
          <w:noProof/>
        </w:rPr>
        <w:t>18</w:t>
      </w:r>
      <w:r>
        <w:rPr>
          <w:noProof/>
        </w:rPr>
        <w:fldChar w:fldCharType="end"/>
      </w:r>
    </w:p>
    <w:p w:rsidR="00B8782D" w:rsidRDefault="00B8782D" w:rsidP="00372149">
      <w:r>
        <w:fldChar w:fldCharType="end"/>
      </w:r>
      <w:bookmarkStart w:id="0" w:name="_Toc384979272"/>
      <w:bookmarkStart w:id="1" w:name="_Toc384979287"/>
    </w:p>
    <w:p w:rsidR="00B8782D" w:rsidRDefault="00B8782D" w:rsidP="00447961">
      <w:pPr>
        <w:pStyle w:val="Body"/>
        <w:sectPr w:rsidR="00B8782D">
          <w:headerReference w:type="default" r:id="rId18"/>
          <w:footerReference w:type="default" r:id="rId19"/>
          <w:pgSz w:w="11906" w:h="16838"/>
          <w:pgMar w:top="1418" w:right="1418" w:bottom="1418" w:left="1418" w:header="567" w:footer="283" w:gutter="0"/>
          <w:pgNumType w:fmt="lowerRoman"/>
          <w:cols w:space="708"/>
          <w:docGrid w:linePitch="360"/>
        </w:sectPr>
      </w:pPr>
    </w:p>
    <w:p w:rsidR="00B8782D" w:rsidRDefault="00B8782D">
      <w:pPr>
        <w:pStyle w:val="Caption"/>
      </w:pPr>
      <w:bookmarkStart w:id="2" w:name="_Toc447201673"/>
      <w:bookmarkStart w:id="3" w:name="_Toc448236047"/>
      <w:r>
        <w:lastRenderedPageBreak/>
        <w:t xml:space="preserve">Map </w:t>
      </w:r>
      <w:r w:rsidR="00EA0C11">
        <w:fldChar w:fldCharType="begin"/>
      </w:r>
      <w:r w:rsidR="00EA0C11">
        <w:instrText xml:space="preserve"> SEQ Map \* ARABIC </w:instrText>
      </w:r>
      <w:r w:rsidR="00EA0C11">
        <w:fldChar w:fldCharType="separate"/>
      </w:r>
      <w:r w:rsidR="00457D54">
        <w:rPr>
          <w:noProof/>
        </w:rPr>
        <w:t>1</w:t>
      </w:r>
      <w:r w:rsidR="00EA0C11">
        <w:rPr>
          <w:noProof/>
        </w:rPr>
        <w:fldChar w:fldCharType="end"/>
      </w:r>
      <w:r>
        <w:t xml:space="preserve"> Map of Australia</w:t>
      </w:r>
      <w:bookmarkEnd w:id="0"/>
      <w:bookmarkEnd w:id="1"/>
      <w:bookmarkEnd w:id="2"/>
      <w:bookmarkEnd w:id="3"/>
    </w:p>
    <w:p w:rsidR="00B8782D" w:rsidRDefault="00B8782D">
      <w:r>
        <w:rPr>
          <w:noProof/>
          <w:lang w:eastAsia="zh-CN"/>
        </w:rPr>
        <w:drawing>
          <wp:inline distT="0" distB="0" distL="0" distR="0" wp14:anchorId="5E11A173" wp14:editId="656BA067">
            <wp:extent cx="4089400" cy="3533140"/>
            <wp:effectExtent l="19050" t="0" r="6350" b="0"/>
            <wp:docPr id="3" name="Picture 4" descr="Map of Australia highlighting where the states and territories and capital citi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0"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rsidR="00B8782D" w:rsidRDefault="00B8782D">
      <w:pPr>
        <w:pStyle w:val="Caption"/>
      </w:pPr>
      <w:bookmarkStart w:id="4" w:name="_Toc384979273"/>
      <w:bookmarkStart w:id="5" w:name="_Toc384979288"/>
      <w:bookmarkStart w:id="6" w:name="_Toc447201674"/>
      <w:bookmarkStart w:id="7" w:name="_Toc448236048"/>
      <w:r>
        <w:t xml:space="preserve">Map </w:t>
      </w:r>
      <w:r w:rsidR="00EA0C11">
        <w:fldChar w:fldCharType="begin"/>
      </w:r>
      <w:r w:rsidR="00EA0C11">
        <w:instrText xml:space="preserve"> SEQ Map \* ARABIC </w:instrText>
      </w:r>
      <w:r w:rsidR="00EA0C11">
        <w:fldChar w:fldCharType="separate"/>
      </w:r>
      <w:r w:rsidR="00457D54">
        <w:rPr>
          <w:noProof/>
        </w:rPr>
        <w:t>2</w:t>
      </w:r>
      <w:r w:rsidR="00EA0C11">
        <w:rPr>
          <w:noProof/>
        </w:rPr>
        <w:fldChar w:fldCharType="end"/>
      </w:r>
      <w:r>
        <w:t xml:space="preserve"> A guide to Australia’s bio-climatic zones</w:t>
      </w:r>
      <w:bookmarkEnd w:id="4"/>
      <w:bookmarkEnd w:id="5"/>
      <w:bookmarkEnd w:id="6"/>
      <w:bookmarkEnd w:id="7"/>
    </w:p>
    <w:p w:rsidR="00B8782D" w:rsidRDefault="00B8782D">
      <w:pPr>
        <w:pStyle w:val="Caption"/>
      </w:pPr>
      <w:r>
        <w:rPr>
          <w:noProof/>
          <w:lang w:eastAsia="zh-CN"/>
        </w:rPr>
        <w:drawing>
          <wp:inline distT="0" distB="0" distL="0" distR="0" wp14:anchorId="6CF57146" wp14:editId="1F076CD0">
            <wp:extent cx="5106035" cy="3649980"/>
            <wp:effectExtent l="19050" t="0" r="0" b="0"/>
            <wp:docPr id="4" name="Picture 5" descr="Map of Australia showing where the different climate classes are.&#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pic:cNvPicPr>
                      <a:picLocks noChangeAspect="1" noChangeArrowheads="1"/>
                    </pic:cNvPicPr>
                  </pic:nvPicPr>
                  <pic:blipFill>
                    <a:blip r:embed="rId21" cstate="print"/>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rsidR="00B8782D" w:rsidRDefault="00B8782D">
      <w:pPr>
        <w:pStyle w:val="Caption"/>
        <w:rPr>
          <w:b w:val="0"/>
        </w:rPr>
      </w:pPr>
      <w:r>
        <w:br w:type="page"/>
      </w:r>
      <w:bookmarkStart w:id="8" w:name="_Toc384979274"/>
      <w:bookmarkStart w:id="9" w:name="_Toc384979289"/>
      <w:bookmarkStart w:id="10" w:name="_Toc447201675"/>
      <w:bookmarkStart w:id="11" w:name="_Toc448236049"/>
      <w:r>
        <w:rPr>
          <w:bCs w:val="0"/>
          <w:noProof/>
          <w:lang w:eastAsia="zh-CN"/>
        </w:rPr>
        <w:lastRenderedPageBreak/>
        <w:drawing>
          <wp:anchor distT="0" distB="0" distL="114300" distR="114300" simplePos="0" relativeHeight="251659264" behindDoc="0" locked="0" layoutInCell="1" allowOverlap="1" wp14:anchorId="7AE62E11" wp14:editId="6B823F74">
            <wp:simplePos x="0" y="0"/>
            <wp:positionH relativeFrom="column">
              <wp:posOffset>-17780</wp:posOffset>
            </wp:positionH>
            <wp:positionV relativeFrom="paragraph">
              <wp:posOffset>356870</wp:posOffset>
            </wp:positionV>
            <wp:extent cx="4997450" cy="4610100"/>
            <wp:effectExtent l="19050" t="0" r="0" b="0"/>
            <wp:wrapTopAndBottom/>
            <wp:docPr id="27" name="Picture 1" descr="Map of Australia showing the main nectarine production areas&#10;The perferred exproting regions are numbered in yellow:&#10;1 Riverland, South Australia&#10;2 Sunraysia, Victoria&#10;3 Shepparton/Cobram, Victoria&#10;5 Orange/Young Central New South Wales and&#10;11 Tasmania.&#10;&#10;Other main nectarine growing regions are numbered in blue&#10;4 Sydney Hills, New South Wales&#10;6 Northern New South Wales&#10;7 Stanthorpe, Queensland&#10;8 Sunshine Coast, Gatton, Kumbia, Queensland&#10;9 Donnybrook, Western Australia and &#10;10 Perth Hills,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Australia showing the main nectarine production areas&#10;The perferred exproting regions are numbered in yellow:&#10;1 Riverland, South Australia&#10;2 Sunraysia, Victoria&#10;3 Shepparton/Cobram, Victoria&#10;5 Orange/Young Central New South Wales and&#10;11 Tasmania.&#10;&#10;Other main nectarine growing regions are numbered in blue&#10;4 Sydney Hills, New South Wales&#10;6 Northern New South Wales&#10;7 Stanthorpe, Queensland&#10;8 Sunshine Coast, Gatton, Kumbia, Queensland&#10;9 Donnybrook, Western Australia and &#10;10 Perth Hills, Western Australia."/>
                    <pic:cNvPicPr>
                      <a:picLocks noChangeAspect="1" noChangeArrowheads="1"/>
                    </pic:cNvPicPr>
                  </pic:nvPicPr>
                  <pic:blipFill>
                    <a:blip r:embed="rId22" cstate="print"/>
                    <a:srcRect r="6960" b="12486"/>
                    <a:stretch>
                      <a:fillRect/>
                    </a:stretch>
                  </pic:blipFill>
                  <pic:spPr bwMode="auto">
                    <a:xfrm>
                      <a:off x="0" y="0"/>
                      <a:ext cx="4997450" cy="4610100"/>
                    </a:xfrm>
                    <a:prstGeom prst="rect">
                      <a:avLst/>
                    </a:prstGeom>
                    <a:noFill/>
                    <a:ln w="9525">
                      <a:noFill/>
                      <a:miter lim="800000"/>
                      <a:headEnd/>
                      <a:tailEnd/>
                    </a:ln>
                  </pic:spPr>
                </pic:pic>
              </a:graphicData>
            </a:graphic>
          </wp:anchor>
        </w:drawing>
      </w:r>
      <w:r>
        <w:t xml:space="preserve">Map </w:t>
      </w:r>
      <w:r w:rsidR="00EA0C11">
        <w:fldChar w:fldCharType="begin"/>
      </w:r>
      <w:r w:rsidR="00EA0C11">
        <w:instrText xml:space="preserve"> SEQ Map \* ARABIC </w:instrText>
      </w:r>
      <w:r w:rsidR="00EA0C11">
        <w:fldChar w:fldCharType="separate"/>
      </w:r>
      <w:r w:rsidR="00457D54">
        <w:rPr>
          <w:noProof/>
        </w:rPr>
        <w:t>3</w:t>
      </w:r>
      <w:r w:rsidR="00EA0C11">
        <w:rPr>
          <w:noProof/>
        </w:rPr>
        <w:fldChar w:fldCharType="end"/>
      </w:r>
      <w:r>
        <w:t xml:space="preserve"> Main nectarine production areas in Australia</w:t>
      </w:r>
      <w:bookmarkEnd w:id="8"/>
      <w:bookmarkEnd w:id="9"/>
      <w:bookmarkEnd w:id="10"/>
      <w:bookmarkEnd w:id="11"/>
    </w:p>
    <w:p w:rsidR="00B8782D" w:rsidRDefault="00B8782D">
      <w:pPr>
        <w:pStyle w:val="Caption"/>
        <w:rPr>
          <w:b w:val="0"/>
        </w:rPr>
      </w:pPr>
      <w:r>
        <w:t>1</w:t>
      </w:r>
      <w:r>
        <w:rPr>
          <w:b w:val="0"/>
        </w:rPr>
        <w:t xml:space="preserve"> Riverland, South Australia. </w:t>
      </w:r>
      <w:r>
        <w:t>2</w:t>
      </w:r>
      <w:r>
        <w:rPr>
          <w:b w:val="0"/>
        </w:rPr>
        <w:t xml:space="preserve"> Sunraysia, Victoria. </w:t>
      </w:r>
      <w:r>
        <w:t>3</w:t>
      </w:r>
      <w:r>
        <w:rPr>
          <w:b w:val="0"/>
        </w:rPr>
        <w:t xml:space="preserve"> Shepparton/Cobram, Victoria. </w:t>
      </w:r>
      <w:r>
        <w:t>4</w:t>
      </w:r>
      <w:r>
        <w:rPr>
          <w:b w:val="0"/>
        </w:rPr>
        <w:t xml:space="preserve"> Sydney Hills, New South Wales. </w:t>
      </w:r>
      <w:r>
        <w:t>5</w:t>
      </w:r>
      <w:r>
        <w:rPr>
          <w:b w:val="0"/>
        </w:rPr>
        <w:t xml:space="preserve"> Orange/Young, Central New South Wales. </w:t>
      </w:r>
      <w:r>
        <w:t>6</w:t>
      </w:r>
      <w:r>
        <w:rPr>
          <w:b w:val="0"/>
        </w:rPr>
        <w:t xml:space="preserve"> Northern New South Wales. </w:t>
      </w:r>
      <w:r>
        <w:t>7</w:t>
      </w:r>
      <w:r>
        <w:rPr>
          <w:b w:val="0"/>
        </w:rPr>
        <w:t xml:space="preserve"> Stanthorpe, Queensland. </w:t>
      </w:r>
      <w:r>
        <w:t xml:space="preserve">8 </w:t>
      </w:r>
      <w:r>
        <w:rPr>
          <w:b w:val="0"/>
        </w:rPr>
        <w:t xml:space="preserve">Sunshine Coast, Gatton and Kumbia, Queensland. </w:t>
      </w:r>
      <w:r>
        <w:t>9</w:t>
      </w:r>
      <w:r>
        <w:rPr>
          <w:b w:val="0"/>
        </w:rPr>
        <w:t xml:space="preserve"> Donnybrook, Western Australia. </w:t>
      </w:r>
      <w:r>
        <w:t>10</w:t>
      </w:r>
      <w:r>
        <w:rPr>
          <w:b w:val="0"/>
        </w:rPr>
        <w:t xml:space="preserve"> Perth Hills, Western Australia. </w:t>
      </w:r>
      <w:r>
        <w:t>11</w:t>
      </w:r>
      <w:r>
        <w:rPr>
          <w:b w:val="0"/>
        </w:rPr>
        <w:t xml:space="preserve"> Tasmania.</w:t>
      </w:r>
    </w:p>
    <w:p w:rsidR="00B8782D" w:rsidRDefault="00B8782D">
      <w:pPr>
        <w:pStyle w:val="FigureTableNoteSource"/>
      </w:pPr>
      <w:r>
        <w:t>Source: Information provided by Summerfruit Australia Ltd., August 2014</w:t>
      </w:r>
    </w:p>
    <w:p w:rsidR="00B8782D" w:rsidRDefault="00B8782D">
      <w:pPr>
        <w:sectPr w:rsidR="00B8782D">
          <w:headerReference w:type="default" r:id="rId23"/>
          <w:pgSz w:w="11906" w:h="16838"/>
          <w:pgMar w:top="1418" w:right="1418" w:bottom="1418" w:left="1418" w:header="567" w:footer="283" w:gutter="0"/>
          <w:pgNumType w:fmt="lowerRoman"/>
          <w:cols w:space="708"/>
          <w:docGrid w:linePitch="360"/>
        </w:sectPr>
      </w:pPr>
    </w:p>
    <w:p w:rsidR="00B8782D" w:rsidRDefault="00B8782D">
      <w:pPr>
        <w:pStyle w:val="Caption"/>
      </w:pPr>
      <w:bookmarkStart w:id="12" w:name="_Toc448236035"/>
      <w:r>
        <w:rPr>
          <w:b w:val="0"/>
          <w:bCs w:val="0"/>
          <w:noProof/>
          <w:lang w:eastAsia="zh-CN"/>
        </w:rPr>
        <w:lastRenderedPageBreak/>
        <w:drawing>
          <wp:anchor distT="0" distB="0" distL="114300" distR="114300" simplePos="0" relativeHeight="251662336" behindDoc="0" locked="0" layoutInCell="1" allowOverlap="1" wp14:anchorId="7EC939F3" wp14:editId="08C12660">
            <wp:simplePos x="0" y="0"/>
            <wp:positionH relativeFrom="column">
              <wp:posOffset>17145</wp:posOffset>
            </wp:positionH>
            <wp:positionV relativeFrom="paragraph">
              <wp:posOffset>820420</wp:posOffset>
            </wp:positionV>
            <wp:extent cx="5074920" cy="2174240"/>
            <wp:effectExtent l="19050" t="0" r="0" b="0"/>
            <wp:wrapTopAndBottom/>
            <wp:docPr id="26" name="Picture 3" descr="Image of a whole nectarine and a second image of nectarine cut in half to show the stem, stone and fl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a whole nectarine and a second image of nectarine cut in half to show the stem, stone and flesh."/>
                    <pic:cNvPicPr>
                      <a:picLocks noChangeAspect="1" noChangeArrowheads="1"/>
                    </pic:cNvPicPr>
                  </pic:nvPicPr>
                  <pic:blipFill>
                    <a:blip r:embed="rId24" cstate="print"/>
                    <a:srcRect/>
                    <a:stretch>
                      <a:fillRect/>
                    </a:stretch>
                  </pic:blipFill>
                  <pic:spPr bwMode="auto">
                    <a:xfrm>
                      <a:off x="0" y="0"/>
                      <a:ext cx="5074920" cy="2174240"/>
                    </a:xfrm>
                    <a:prstGeom prst="rect">
                      <a:avLst/>
                    </a:prstGeom>
                    <a:noFill/>
                    <a:ln w="9525">
                      <a:noFill/>
                      <a:miter lim="800000"/>
                      <a:headEnd/>
                      <a:tailEnd/>
                    </a:ln>
                  </pic:spPr>
                </pic:pic>
              </a:graphicData>
            </a:graphic>
          </wp:anchor>
        </w:drawing>
      </w:r>
      <w:r>
        <w:t xml:space="preserve">Figure </w:t>
      </w:r>
      <w:r w:rsidR="00EA0C11">
        <w:fldChar w:fldCharType="begin"/>
      </w:r>
      <w:r w:rsidR="00EA0C11">
        <w:instrText xml:space="preserve"> SEQ Figure \* ARABIC </w:instrText>
      </w:r>
      <w:r w:rsidR="00EA0C11">
        <w:fldChar w:fldCharType="separate"/>
      </w:r>
      <w:r w:rsidR="00457D54">
        <w:rPr>
          <w:noProof/>
        </w:rPr>
        <w:t>1</w:t>
      </w:r>
      <w:r w:rsidR="00EA0C11">
        <w:rPr>
          <w:noProof/>
        </w:rPr>
        <w:fldChar w:fldCharType="end"/>
      </w:r>
      <w:r>
        <w:t xml:space="preserve"> Diagram of fresh nectarine fruit</w:t>
      </w:r>
      <w:bookmarkEnd w:id="12"/>
    </w:p>
    <w:p w:rsidR="00B8782D" w:rsidRDefault="00B8782D">
      <w:pPr>
        <w:pStyle w:val="Picture"/>
      </w:pPr>
    </w:p>
    <w:p w:rsidR="00B8782D" w:rsidRDefault="00B8782D"/>
    <w:p w:rsidR="00B8782D" w:rsidRDefault="00B8782D">
      <w:pPr>
        <w:sectPr w:rsidR="00B8782D">
          <w:headerReference w:type="default" r:id="rId25"/>
          <w:pgSz w:w="11906" w:h="16838"/>
          <w:pgMar w:top="1418" w:right="1418" w:bottom="1418" w:left="1418" w:header="567" w:footer="283" w:gutter="0"/>
          <w:pgNumType w:fmt="lowerRoman"/>
          <w:cols w:space="708"/>
          <w:docGrid w:linePitch="360"/>
        </w:sectPr>
      </w:pPr>
    </w:p>
    <w:p w:rsidR="00B8782D" w:rsidRDefault="00B8782D">
      <w:pPr>
        <w:pStyle w:val="Heading1nonumbers"/>
      </w:pPr>
      <w:bookmarkStart w:id="13" w:name="_Toc448312477"/>
      <w:r>
        <w:lastRenderedPageBreak/>
        <w:t>Acronyms and abbreviations</w:t>
      </w:r>
      <w:bookmarkEnd w:id="13"/>
    </w:p>
    <w:tbl>
      <w:tblPr>
        <w:tblpPr w:leftFromText="180" w:rightFromText="180" w:vertAnchor="text" w:tblpY="1"/>
        <w:tblOverlap w:val="never"/>
        <w:tblW w:w="5000" w:type="pct"/>
        <w:tblBorders>
          <w:top w:val="single" w:sz="4" w:space="0" w:color="auto"/>
          <w:bottom w:val="single" w:sz="4" w:space="0" w:color="auto"/>
        </w:tblBorders>
        <w:tblLook w:val="04A0" w:firstRow="1" w:lastRow="0" w:firstColumn="1" w:lastColumn="0" w:noHBand="0" w:noVBand="1"/>
      </w:tblPr>
      <w:tblGrid>
        <w:gridCol w:w="2422"/>
        <w:gridCol w:w="6648"/>
      </w:tblGrid>
      <w:tr w:rsidR="00B8782D" w:rsidTr="006F0451">
        <w:trPr>
          <w:trHeight w:val="510"/>
          <w:tblHeader/>
        </w:trPr>
        <w:tc>
          <w:tcPr>
            <w:tcW w:w="1335" w:type="pct"/>
            <w:tcBorders>
              <w:top w:val="single" w:sz="4" w:space="0" w:color="auto"/>
            </w:tcBorders>
          </w:tcPr>
          <w:p w:rsidR="00B8782D" w:rsidRDefault="00B8782D" w:rsidP="006F0451">
            <w:pPr>
              <w:pStyle w:val="TableHeading"/>
            </w:pPr>
            <w:r>
              <w:t>Term or abbreviation</w:t>
            </w:r>
          </w:p>
        </w:tc>
        <w:tc>
          <w:tcPr>
            <w:tcW w:w="3665" w:type="pct"/>
            <w:tcBorders>
              <w:top w:val="single" w:sz="4" w:space="0" w:color="auto"/>
            </w:tcBorders>
          </w:tcPr>
          <w:p w:rsidR="00B8782D" w:rsidRDefault="00B8782D" w:rsidP="006F0451">
            <w:pPr>
              <w:pStyle w:val="TableHeading"/>
            </w:pPr>
            <w:r>
              <w:t>Definition</w:t>
            </w:r>
          </w:p>
        </w:tc>
      </w:tr>
      <w:tr w:rsidR="00B8782D" w:rsidTr="006F0451">
        <w:trPr>
          <w:trHeight w:val="510"/>
        </w:trPr>
        <w:tc>
          <w:tcPr>
            <w:tcW w:w="1335" w:type="pct"/>
          </w:tcPr>
          <w:p w:rsidR="00B8782D" w:rsidRDefault="00B8782D" w:rsidP="006F0451">
            <w:pPr>
              <w:pStyle w:val="TableText"/>
            </w:pPr>
            <w:r>
              <w:t>ACT</w:t>
            </w:r>
          </w:p>
        </w:tc>
        <w:tc>
          <w:tcPr>
            <w:tcW w:w="3665" w:type="pct"/>
          </w:tcPr>
          <w:p w:rsidR="00B8782D" w:rsidRDefault="00B8782D" w:rsidP="006F0451">
            <w:pPr>
              <w:pStyle w:val="TableText"/>
            </w:pPr>
            <w:r>
              <w:t>Australian Capital Territory</w:t>
            </w:r>
          </w:p>
        </w:tc>
      </w:tr>
      <w:tr w:rsidR="00B8782D" w:rsidTr="006F0451">
        <w:trPr>
          <w:trHeight w:val="510"/>
        </w:trPr>
        <w:tc>
          <w:tcPr>
            <w:tcW w:w="1335" w:type="pct"/>
          </w:tcPr>
          <w:p w:rsidR="00B8782D" w:rsidRDefault="00B8782D" w:rsidP="006F0451">
            <w:pPr>
              <w:pStyle w:val="TableText"/>
            </w:pPr>
            <w:r>
              <w:t>ALOP</w:t>
            </w:r>
          </w:p>
        </w:tc>
        <w:tc>
          <w:tcPr>
            <w:tcW w:w="3665" w:type="pct"/>
          </w:tcPr>
          <w:p w:rsidR="00B8782D" w:rsidRDefault="00B8782D" w:rsidP="006F0451">
            <w:pPr>
              <w:pStyle w:val="TableText"/>
            </w:pPr>
            <w:r>
              <w:t>Appropriate level of protection</w:t>
            </w:r>
          </w:p>
        </w:tc>
      </w:tr>
      <w:tr w:rsidR="00B8782D" w:rsidTr="006F0451">
        <w:trPr>
          <w:trHeight w:val="510"/>
        </w:trPr>
        <w:tc>
          <w:tcPr>
            <w:tcW w:w="1335" w:type="pct"/>
          </w:tcPr>
          <w:p w:rsidR="00B8782D" w:rsidRDefault="00B8782D" w:rsidP="006F0451">
            <w:pPr>
              <w:pStyle w:val="TableText"/>
            </w:pPr>
            <w:r>
              <w:t>AQSIQ</w:t>
            </w:r>
          </w:p>
        </w:tc>
        <w:tc>
          <w:tcPr>
            <w:tcW w:w="3665" w:type="pct"/>
          </w:tcPr>
          <w:p w:rsidR="00B8782D" w:rsidRDefault="00B8782D" w:rsidP="006F0451">
            <w:pPr>
              <w:pStyle w:val="TableText"/>
            </w:pPr>
            <w:r>
              <w:t>General Administration for Quality Supervision, Inspection and Quarantine of the People’s Republic of China (formerly CIQSA)</w:t>
            </w:r>
          </w:p>
        </w:tc>
      </w:tr>
      <w:tr w:rsidR="00B8782D" w:rsidTr="006F0451">
        <w:trPr>
          <w:trHeight w:val="510"/>
        </w:trPr>
        <w:tc>
          <w:tcPr>
            <w:tcW w:w="1335" w:type="pct"/>
          </w:tcPr>
          <w:p w:rsidR="00B8782D" w:rsidRDefault="00B8782D" w:rsidP="006F0451">
            <w:pPr>
              <w:pStyle w:val="TableText"/>
            </w:pPr>
            <w:r>
              <w:t>BA</w:t>
            </w:r>
          </w:p>
        </w:tc>
        <w:tc>
          <w:tcPr>
            <w:tcW w:w="3665" w:type="pct"/>
          </w:tcPr>
          <w:p w:rsidR="00B8782D" w:rsidRDefault="00B8782D" w:rsidP="006F0451">
            <w:pPr>
              <w:pStyle w:val="TableText"/>
            </w:pPr>
            <w:r>
              <w:t>Biosecurity Advice</w:t>
            </w:r>
          </w:p>
        </w:tc>
      </w:tr>
      <w:tr w:rsidR="00B8782D" w:rsidTr="006F0451">
        <w:trPr>
          <w:trHeight w:val="510"/>
        </w:trPr>
        <w:tc>
          <w:tcPr>
            <w:tcW w:w="1335" w:type="pct"/>
          </w:tcPr>
          <w:p w:rsidR="00B8782D" w:rsidRDefault="00B8782D" w:rsidP="006F0451">
            <w:pPr>
              <w:pStyle w:val="TableText"/>
            </w:pPr>
            <w:r>
              <w:t>CIQ</w:t>
            </w:r>
          </w:p>
        </w:tc>
        <w:tc>
          <w:tcPr>
            <w:tcW w:w="3665" w:type="pct"/>
          </w:tcPr>
          <w:p w:rsidR="00B8782D" w:rsidRDefault="00B8782D" w:rsidP="006F0451">
            <w:pPr>
              <w:pStyle w:val="TableText"/>
            </w:pPr>
            <w:r>
              <w:t>China Entry-Exit Inspection and Quarantine Bureau</w:t>
            </w:r>
          </w:p>
        </w:tc>
      </w:tr>
      <w:tr w:rsidR="00B8782D" w:rsidTr="006F0451">
        <w:trPr>
          <w:trHeight w:val="510"/>
        </w:trPr>
        <w:tc>
          <w:tcPr>
            <w:tcW w:w="1335" w:type="pct"/>
          </w:tcPr>
          <w:p w:rsidR="00B8782D" w:rsidRDefault="00B8782D" w:rsidP="006F0451">
            <w:pPr>
              <w:pStyle w:val="TableText"/>
            </w:pPr>
            <w:r>
              <w:t>CIQSA</w:t>
            </w:r>
          </w:p>
        </w:tc>
        <w:tc>
          <w:tcPr>
            <w:tcW w:w="3665" w:type="pct"/>
          </w:tcPr>
          <w:p w:rsidR="00B8782D" w:rsidRDefault="00B8782D" w:rsidP="006F0451">
            <w:pPr>
              <w:pStyle w:val="TableText"/>
            </w:pPr>
            <w:r>
              <w:t>State Administration for Entry-Exit Inspection and Quarantine of the People’s Republic of China (now AQSIQ)</w:t>
            </w:r>
          </w:p>
        </w:tc>
      </w:tr>
      <w:tr w:rsidR="00B8782D" w:rsidTr="006F0451">
        <w:trPr>
          <w:trHeight w:val="510"/>
        </w:trPr>
        <w:tc>
          <w:tcPr>
            <w:tcW w:w="1335" w:type="pct"/>
          </w:tcPr>
          <w:p w:rsidR="00B8782D" w:rsidRDefault="00B8782D" w:rsidP="006F0451">
            <w:pPr>
              <w:pStyle w:val="TableText"/>
            </w:pPr>
            <w:r>
              <w:t>DAFF</w:t>
            </w:r>
          </w:p>
        </w:tc>
        <w:tc>
          <w:tcPr>
            <w:tcW w:w="3665" w:type="pct"/>
          </w:tcPr>
          <w:p w:rsidR="00B8782D" w:rsidRDefault="00B8782D" w:rsidP="006F0451">
            <w:pPr>
              <w:pStyle w:val="TableText"/>
            </w:pPr>
            <w:r>
              <w:t>Acronym of the former Australian Government Department of Agriculture, Fisheries and Forestry, which is now the Australian Government Department of Agriculture and Water Resources</w:t>
            </w:r>
          </w:p>
        </w:tc>
      </w:tr>
      <w:tr w:rsidR="00B8782D" w:rsidTr="006F0451">
        <w:trPr>
          <w:trHeight w:val="510"/>
        </w:trPr>
        <w:tc>
          <w:tcPr>
            <w:tcW w:w="1335" w:type="pct"/>
          </w:tcPr>
          <w:p w:rsidR="00B8782D" w:rsidRDefault="00B8782D" w:rsidP="006F0451">
            <w:pPr>
              <w:pStyle w:val="TableText"/>
            </w:pPr>
            <w:r>
              <w:t>DAFWA</w:t>
            </w:r>
          </w:p>
        </w:tc>
        <w:tc>
          <w:tcPr>
            <w:tcW w:w="3665" w:type="pct"/>
          </w:tcPr>
          <w:p w:rsidR="00B8782D" w:rsidRDefault="00B8782D" w:rsidP="006F0451">
            <w:pPr>
              <w:pStyle w:val="TableText"/>
            </w:pPr>
            <w:r>
              <w:t>Department of Agriculture and Food, Western Australia (formerly DAWA: Department of Agriculture, Western Australia)</w:t>
            </w:r>
          </w:p>
        </w:tc>
      </w:tr>
      <w:tr w:rsidR="00B8782D" w:rsidTr="006F0451">
        <w:trPr>
          <w:trHeight w:val="510"/>
        </w:trPr>
        <w:tc>
          <w:tcPr>
            <w:tcW w:w="1335" w:type="pct"/>
          </w:tcPr>
          <w:p w:rsidR="00B8782D" w:rsidRDefault="00B8782D" w:rsidP="006F0451">
            <w:pPr>
              <w:pStyle w:val="TableText"/>
            </w:pPr>
            <w:r>
              <w:t>EP</w:t>
            </w:r>
          </w:p>
        </w:tc>
        <w:tc>
          <w:tcPr>
            <w:tcW w:w="3665" w:type="pct"/>
          </w:tcPr>
          <w:p w:rsidR="00B8782D" w:rsidRDefault="00B8782D" w:rsidP="006F0451">
            <w:pPr>
              <w:pStyle w:val="TableText"/>
            </w:pPr>
            <w:r>
              <w:t>Existing policy</w:t>
            </w:r>
          </w:p>
        </w:tc>
      </w:tr>
      <w:tr w:rsidR="00B8782D" w:rsidTr="006F0451">
        <w:trPr>
          <w:trHeight w:val="510"/>
        </w:trPr>
        <w:tc>
          <w:tcPr>
            <w:tcW w:w="1335" w:type="pct"/>
          </w:tcPr>
          <w:p w:rsidR="00B8782D" w:rsidRDefault="00B8782D" w:rsidP="006F0451">
            <w:pPr>
              <w:pStyle w:val="TableText"/>
            </w:pPr>
            <w:r>
              <w:t>EPPO</w:t>
            </w:r>
          </w:p>
        </w:tc>
        <w:tc>
          <w:tcPr>
            <w:tcW w:w="3665" w:type="pct"/>
          </w:tcPr>
          <w:p w:rsidR="00B8782D" w:rsidRDefault="00B8782D" w:rsidP="006F0451">
            <w:pPr>
              <w:pStyle w:val="TableText"/>
            </w:pPr>
            <w:r>
              <w:t>European and Mediterranean Plant Protection Organisation</w:t>
            </w:r>
          </w:p>
        </w:tc>
      </w:tr>
      <w:tr w:rsidR="00B8782D" w:rsidTr="006F0451">
        <w:trPr>
          <w:trHeight w:val="510"/>
        </w:trPr>
        <w:tc>
          <w:tcPr>
            <w:tcW w:w="1335" w:type="pct"/>
          </w:tcPr>
          <w:p w:rsidR="00B8782D" w:rsidRDefault="00B8782D" w:rsidP="006F0451">
            <w:pPr>
              <w:pStyle w:val="TableText"/>
            </w:pPr>
            <w:r>
              <w:t>FAO</w:t>
            </w:r>
          </w:p>
        </w:tc>
        <w:tc>
          <w:tcPr>
            <w:tcW w:w="3665" w:type="pct"/>
          </w:tcPr>
          <w:p w:rsidR="00B8782D" w:rsidRDefault="00B8782D" w:rsidP="006F0451">
            <w:pPr>
              <w:pStyle w:val="TableText"/>
            </w:pPr>
            <w:r>
              <w:t>Food and Agriculture Organization of the United Nations</w:t>
            </w:r>
          </w:p>
        </w:tc>
      </w:tr>
      <w:tr w:rsidR="00B8782D" w:rsidTr="006F0451">
        <w:trPr>
          <w:trHeight w:val="510"/>
        </w:trPr>
        <w:tc>
          <w:tcPr>
            <w:tcW w:w="1335" w:type="pct"/>
          </w:tcPr>
          <w:p w:rsidR="00B8782D" w:rsidRDefault="00B8782D" w:rsidP="006F0451">
            <w:pPr>
              <w:pStyle w:val="TableText"/>
            </w:pPr>
            <w:r>
              <w:t>IPC</w:t>
            </w:r>
          </w:p>
        </w:tc>
        <w:tc>
          <w:tcPr>
            <w:tcW w:w="3665" w:type="pct"/>
          </w:tcPr>
          <w:p w:rsidR="00B8782D" w:rsidRDefault="00B8782D" w:rsidP="006F0451">
            <w:pPr>
              <w:pStyle w:val="TableText"/>
            </w:pPr>
            <w:r>
              <w:t>International Phytosanitary Certificate</w:t>
            </w:r>
          </w:p>
        </w:tc>
      </w:tr>
      <w:tr w:rsidR="00B8782D" w:rsidTr="006F0451">
        <w:trPr>
          <w:trHeight w:val="510"/>
        </w:trPr>
        <w:tc>
          <w:tcPr>
            <w:tcW w:w="1335" w:type="pct"/>
          </w:tcPr>
          <w:p w:rsidR="00B8782D" w:rsidRDefault="00B8782D" w:rsidP="006F0451">
            <w:pPr>
              <w:pStyle w:val="TableText"/>
            </w:pPr>
            <w:r>
              <w:t>IPM</w:t>
            </w:r>
          </w:p>
        </w:tc>
        <w:tc>
          <w:tcPr>
            <w:tcW w:w="3665" w:type="pct"/>
          </w:tcPr>
          <w:p w:rsidR="00B8782D" w:rsidRDefault="00B8782D" w:rsidP="006F0451">
            <w:pPr>
              <w:pStyle w:val="TableText"/>
            </w:pPr>
            <w:r>
              <w:t>Integrated Pest Management</w:t>
            </w:r>
          </w:p>
        </w:tc>
      </w:tr>
      <w:tr w:rsidR="00B8782D" w:rsidTr="006F0451">
        <w:trPr>
          <w:trHeight w:val="510"/>
        </w:trPr>
        <w:tc>
          <w:tcPr>
            <w:tcW w:w="1335" w:type="pct"/>
          </w:tcPr>
          <w:p w:rsidR="00B8782D" w:rsidRDefault="00B8782D" w:rsidP="006F0451">
            <w:pPr>
              <w:pStyle w:val="TableText"/>
            </w:pPr>
            <w:r>
              <w:t>IPPC</w:t>
            </w:r>
          </w:p>
        </w:tc>
        <w:tc>
          <w:tcPr>
            <w:tcW w:w="3665" w:type="pct"/>
          </w:tcPr>
          <w:p w:rsidR="00B8782D" w:rsidRDefault="00B8782D" w:rsidP="006F0451">
            <w:pPr>
              <w:pStyle w:val="TableText"/>
            </w:pPr>
            <w:r>
              <w:t>International Plant Protection Convention</w:t>
            </w:r>
          </w:p>
        </w:tc>
      </w:tr>
      <w:tr w:rsidR="00B8782D" w:rsidTr="006F0451">
        <w:trPr>
          <w:trHeight w:val="510"/>
        </w:trPr>
        <w:tc>
          <w:tcPr>
            <w:tcW w:w="1335" w:type="pct"/>
          </w:tcPr>
          <w:p w:rsidR="00B8782D" w:rsidRDefault="00B8782D" w:rsidP="006F0451">
            <w:pPr>
              <w:pStyle w:val="TableText"/>
            </w:pPr>
            <w:r>
              <w:t>ISPM</w:t>
            </w:r>
          </w:p>
        </w:tc>
        <w:tc>
          <w:tcPr>
            <w:tcW w:w="3665" w:type="pct"/>
          </w:tcPr>
          <w:p w:rsidR="00B8782D" w:rsidRDefault="00B8782D" w:rsidP="006F0451">
            <w:pPr>
              <w:pStyle w:val="TableText"/>
            </w:pPr>
            <w:r>
              <w:t>International Standard for Phytosanitary Measures</w:t>
            </w:r>
          </w:p>
        </w:tc>
      </w:tr>
      <w:tr w:rsidR="00B8782D" w:rsidTr="006F0451">
        <w:trPr>
          <w:trHeight w:val="510"/>
        </w:trPr>
        <w:tc>
          <w:tcPr>
            <w:tcW w:w="1335" w:type="pct"/>
          </w:tcPr>
          <w:p w:rsidR="00B8782D" w:rsidRDefault="00B8782D" w:rsidP="006F0451">
            <w:pPr>
              <w:pStyle w:val="TableText"/>
            </w:pPr>
            <w:r>
              <w:t>NPPO</w:t>
            </w:r>
          </w:p>
        </w:tc>
        <w:tc>
          <w:tcPr>
            <w:tcW w:w="3665" w:type="pct"/>
          </w:tcPr>
          <w:p w:rsidR="00B8782D" w:rsidRDefault="00B8782D" w:rsidP="006F0451">
            <w:pPr>
              <w:pStyle w:val="TableText"/>
            </w:pPr>
            <w:r>
              <w:t>National Plant Protection Organisation</w:t>
            </w:r>
          </w:p>
        </w:tc>
      </w:tr>
      <w:tr w:rsidR="00B8782D" w:rsidTr="006F0451">
        <w:trPr>
          <w:trHeight w:val="510"/>
        </w:trPr>
        <w:tc>
          <w:tcPr>
            <w:tcW w:w="1335" w:type="pct"/>
          </w:tcPr>
          <w:p w:rsidR="00B8782D" w:rsidRDefault="00B8782D" w:rsidP="006F0451">
            <w:pPr>
              <w:pStyle w:val="TableText"/>
            </w:pPr>
            <w:r>
              <w:t>NSW</w:t>
            </w:r>
          </w:p>
        </w:tc>
        <w:tc>
          <w:tcPr>
            <w:tcW w:w="3665" w:type="pct"/>
          </w:tcPr>
          <w:p w:rsidR="00B8782D" w:rsidRDefault="00B8782D" w:rsidP="006F0451">
            <w:pPr>
              <w:pStyle w:val="TableText"/>
            </w:pPr>
            <w:r>
              <w:t>New South Wales</w:t>
            </w:r>
          </w:p>
        </w:tc>
      </w:tr>
      <w:tr w:rsidR="00B8782D" w:rsidTr="006F0451">
        <w:trPr>
          <w:trHeight w:val="510"/>
        </w:trPr>
        <w:tc>
          <w:tcPr>
            <w:tcW w:w="1335" w:type="pct"/>
          </w:tcPr>
          <w:p w:rsidR="00B8782D" w:rsidRDefault="00B8782D" w:rsidP="006F0451">
            <w:pPr>
              <w:pStyle w:val="TableText"/>
            </w:pPr>
            <w:r>
              <w:t>NT</w:t>
            </w:r>
          </w:p>
        </w:tc>
        <w:tc>
          <w:tcPr>
            <w:tcW w:w="3665" w:type="pct"/>
          </w:tcPr>
          <w:p w:rsidR="00B8782D" w:rsidRDefault="00B8782D" w:rsidP="006F0451">
            <w:pPr>
              <w:pStyle w:val="TableText"/>
            </w:pPr>
            <w:r>
              <w:t>Northern Territory</w:t>
            </w:r>
          </w:p>
        </w:tc>
      </w:tr>
      <w:tr w:rsidR="00B8782D" w:rsidTr="006F0451">
        <w:trPr>
          <w:trHeight w:val="510"/>
        </w:trPr>
        <w:tc>
          <w:tcPr>
            <w:tcW w:w="1335" w:type="pct"/>
          </w:tcPr>
          <w:p w:rsidR="00B8782D" w:rsidRDefault="00B8782D" w:rsidP="006F0451">
            <w:pPr>
              <w:pStyle w:val="TableText"/>
            </w:pPr>
            <w:r>
              <w:t>PHA</w:t>
            </w:r>
          </w:p>
        </w:tc>
        <w:tc>
          <w:tcPr>
            <w:tcW w:w="3665" w:type="pct"/>
          </w:tcPr>
          <w:p w:rsidR="00B8782D" w:rsidRDefault="00B8782D" w:rsidP="006F0451">
            <w:pPr>
              <w:pStyle w:val="TableText"/>
            </w:pPr>
            <w:r>
              <w:t xml:space="preserve">Plant Health Australia Limited </w:t>
            </w:r>
          </w:p>
        </w:tc>
      </w:tr>
      <w:tr w:rsidR="00B8782D" w:rsidTr="006F0451">
        <w:trPr>
          <w:trHeight w:val="510"/>
        </w:trPr>
        <w:tc>
          <w:tcPr>
            <w:tcW w:w="1335" w:type="pct"/>
          </w:tcPr>
          <w:p w:rsidR="00B8782D" w:rsidRDefault="00B8782D" w:rsidP="006F0451">
            <w:pPr>
              <w:pStyle w:val="TableText"/>
            </w:pPr>
            <w:r>
              <w:t>PRA</w:t>
            </w:r>
          </w:p>
        </w:tc>
        <w:tc>
          <w:tcPr>
            <w:tcW w:w="3665" w:type="pct"/>
          </w:tcPr>
          <w:p w:rsidR="00B8782D" w:rsidRDefault="00B8782D" w:rsidP="006F0451">
            <w:pPr>
              <w:pStyle w:val="TableText"/>
            </w:pPr>
            <w:r>
              <w:t>Pest risk assessment</w:t>
            </w:r>
          </w:p>
        </w:tc>
      </w:tr>
      <w:tr w:rsidR="00B8782D" w:rsidTr="006F0451">
        <w:trPr>
          <w:trHeight w:val="510"/>
        </w:trPr>
        <w:tc>
          <w:tcPr>
            <w:tcW w:w="1335" w:type="pct"/>
          </w:tcPr>
          <w:p w:rsidR="00B8782D" w:rsidRDefault="00B8782D" w:rsidP="006F0451">
            <w:pPr>
              <w:pStyle w:val="TableText"/>
            </w:pPr>
            <w:r>
              <w:t>Qld</w:t>
            </w:r>
          </w:p>
        </w:tc>
        <w:tc>
          <w:tcPr>
            <w:tcW w:w="3665" w:type="pct"/>
          </w:tcPr>
          <w:p w:rsidR="00B8782D" w:rsidRDefault="00B8782D" w:rsidP="006F0451">
            <w:pPr>
              <w:pStyle w:val="TableText"/>
            </w:pPr>
            <w:r>
              <w:t>Queensland</w:t>
            </w:r>
          </w:p>
        </w:tc>
      </w:tr>
      <w:tr w:rsidR="00B8782D" w:rsidTr="006F0451">
        <w:trPr>
          <w:trHeight w:val="510"/>
        </w:trPr>
        <w:tc>
          <w:tcPr>
            <w:tcW w:w="1335" w:type="pct"/>
          </w:tcPr>
          <w:p w:rsidR="00B8782D" w:rsidRDefault="00B8782D" w:rsidP="006F0451">
            <w:pPr>
              <w:pStyle w:val="TableText"/>
            </w:pPr>
            <w:r>
              <w:t>SA</w:t>
            </w:r>
          </w:p>
        </w:tc>
        <w:tc>
          <w:tcPr>
            <w:tcW w:w="3665" w:type="pct"/>
          </w:tcPr>
          <w:p w:rsidR="00B8782D" w:rsidRDefault="00B8782D" w:rsidP="006F0451">
            <w:pPr>
              <w:pStyle w:val="TableText"/>
            </w:pPr>
            <w:r>
              <w:t>South Australia</w:t>
            </w:r>
          </w:p>
        </w:tc>
      </w:tr>
      <w:tr w:rsidR="00B8782D" w:rsidTr="006F0451">
        <w:trPr>
          <w:trHeight w:val="510"/>
        </w:trPr>
        <w:tc>
          <w:tcPr>
            <w:tcW w:w="1335" w:type="pct"/>
          </w:tcPr>
          <w:p w:rsidR="00B8782D" w:rsidRDefault="00B8782D" w:rsidP="006F0451">
            <w:pPr>
              <w:pStyle w:val="TableText"/>
            </w:pPr>
            <w:r>
              <w:t>SAL</w:t>
            </w:r>
          </w:p>
        </w:tc>
        <w:tc>
          <w:tcPr>
            <w:tcW w:w="3665" w:type="pct"/>
          </w:tcPr>
          <w:p w:rsidR="00B8782D" w:rsidRDefault="00B8782D" w:rsidP="006F0451">
            <w:pPr>
              <w:pStyle w:val="TableText"/>
            </w:pPr>
            <w:r>
              <w:t xml:space="preserve">Summerfruit Australia Limited </w:t>
            </w:r>
          </w:p>
        </w:tc>
      </w:tr>
      <w:tr w:rsidR="00B8782D" w:rsidTr="006F0451">
        <w:trPr>
          <w:trHeight w:val="510"/>
        </w:trPr>
        <w:tc>
          <w:tcPr>
            <w:tcW w:w="1335" w:type="pct"/>
          </w:tcPr>
          <w:p w:rsidR="00B8782D" w:rsidRDefault="00B8782D" w:rsidP="006F0451">
            <w:pPr>
              <w:pStyle w:val="TableText"/>
            </w:pPr>
            <w:r>
              <w:t>SPS</w:t>
            </w:r>
          </w:p>
        </w:tc>
        <w:tc>
          <w:tcPr>
            <w:tcW w:w="3665" w:type="pct"/>
          </w:tcPr>
          <w:p w:rsidR="00B8782D" w:rsidRDefault="00B8782D" w:rsidP="006F0451">
            <w:pPr>
              <w:pStyle w:val="TableText"/>
            </w:pPr>
            <w:r>
              <w:t>Sanitary and Phytosanitary</w:t>
            </w:r>
          </w:p>
        </w:tc>
      </w:tr>
      <w:tr w:rsidR="00B8782D" w:rsidTr="006F0451">
        <w:trPr>
          <w:trHeight w:val="510"/>
        </w:trPr>
        <w:tc>
          <w:tcPr>
            <w:tcW w:w="1335" w:type="pct"/>
          </w:tcPr>
          <w:p w:rsidR="00B8782D" w:rsidRDefault="00B8782D" w:rsidP="006F0451">
            <w:pPr>
              <w:pStyle w:val="TableText"/>
            </w:pPr>
            <w:r>
              <w:lastRenderedPageBreak/>
              <w:t>Tas.</w:t>
            </w:r>
          </w:p>
        </w:tc>
        <w:tc>
          <w:tcPr>
            <w:tcW w:w="3665" w:type="pct"/>
          </w:tcPr>
          <w:p w:rsidR="00B8782D" w:rsidRDefault="00B8782D" w:rsidP="006F0451">
            <w:pPr>
              <w:pStyle w:val="TableText"/>
            </w:pPr>
            <w:r>
              <w:t>Tasmania</w:t>
            </w:r>
          </w:p>
        </w:tc>
      </w:tr>
      <w:tr w:rsidR="00B8782D" w:rsidTr="006F0451">
        <w:trPr>
          <w:trHeight w:val="510"/>
        </w:trPr>
        <w:tc>
          <w:tcPr>
            <w:tcW w:w="1335" w:type="pct"/>
          </w:tcPr>
          <w:p w:rsidR="00B8782D" w:rsidRDefault="00B8782D" w:rsidP="006F0451">
            <w:pPr>
              <w:pStyle w:val="TableText"/>
            </w:pPr>
            <w:r>
              <w:t>USA</w:t>
            </w:r>
          </w:p>
        </w:tc>
        <w:tc>
          <w:tcPr>
            <w:tcW w:w="3665" w:type="pct"/>
          </w:tcPr>
          <w:p w:rsidR="00B8782D" w:rsidRDefault="00B8782D" w:rsidP="006F0451">
            <w:pPr>
              <w:pStyle w:val="TableText"/>
            </w:pPr>
            <w:r>
              <w:t>The United States of America</w:t>
            </w:r>
          </w:p>
        </w:tc>
      </w:tr>
      <w:tr w:rsidR="00B8782D" w:rsidTr="006F0451">
        <w:trPr>
          <w:trHeight w:val="510"/>
        </w:trPr>
        <w:tc>
          <w:tcPr>
            <w:tcW w:w="1335" w:type="pct"/>
          </w:tcPr>
          <w:p w:rsidR="00B8782D" w:rsidRDefault="00B8782D" w:rsidP="006F0451">
            <w:pPr>
              <w:pStyle w:val="TableText"/>
            </w:pPr>
            <w:r>
              <w:t>Vic.</w:t>
            </w:r>
          </w:p>
        </w:tc>
        <w:tc>
          <w:tcPr>
            <w:tcW w:w="3665" w:type="pct"/>
          </w:tcPr>
          <w:p w:rsidR="00B8782D" w:rsidRDefault="00B8782D" w:rsidP="006F0451">
            <w:pPr>
              <w:pStyle w:val="TableText"/>
            </w:pPr>
            <w:r>
              <w:t>Victoria</w:t>
            </w:r>
          </w:p>
        </w:tc>
      </w:tr>
      <w:tr w:rsidR="00B8782D" w:rsidTr="006F0451">
        <w:trPr>
          <w:trHeight w:val="510"/>
        </w:trPr>
        <w:tc>
          <w:tcPr>
            <w:tcW w:w="1335" w:type="pct"/>
          </w:tcPr>
          <w:p w:rsidR="00B8782D" w:rsidRDefault="00B8782D" w:rsidP="006F0451">
            <w:pPr>
              <w:pStyle w:val="TableText"/>
            </w:pPr>
            <w:r>
              <w:t>WA</w:t>
            </w:r>
          </w:p>
        </w:tc>
        <w:tc>
          <w:tcPr>
            <w:tcW w:w="3665" w:type="pct"/>
          </w:tcPr>
          <w:p w:rsidR="00B8782D" w:rsidRDefault="00B8782D" w:rsidP="006F0451">
            <w:pPr>
              <w:pStyle w:val="TableText"/>
            </w:pPr>
            <w:r>
              <w:t>Western Australia</w:t>
            </w:r>
          </w:p>
        </w:tc>
      </w:tr>
      <w:tr w:rsidR="00B8782D" w:rsidTr="006F0451">
        <w:trPr>
          <w:trHeight w:val="510"/>
        </w:trPr>
        <w:tc>
          <w:tcPr>
            <w:tcW w:w="1335" w:type="pct"/>
          </w:tcPr>
          <w:p w:rsidR="00B8782D" w:rsidRDefault="00B8782D" w:rsidP="006F0451">
            <w:pPr>
              <w:pStyle w:val="TableText"/>
            </w:pPr>
            <w:r>
              <w:t>WTO</w:t>
            </w:r>
          </w:p>
        </w:tc>
        <w:tc>
          <w:tcPr>
            <w:tcW w:w="3665" w:type="pct"/>
          </w:tcPr>
          <w:p w:rsidR="00B8782D" w:rsidRDefault="00B8782D" w:rsidP="006F0451">
            <w:pPr>
              <w:pStyle w:val="TableText"/>
            </w:pPr>
            <w:r>
              <w:t>World Trade Organization</w:t>
            </w:r>
          </w:p>
        </w:tc>
      </w:tr>
    </w:tbl>
    <w:p w:rsidR="00B8782D" w:rsidRDefault="00B8782D"/>
    <w:p w:rsidR="00B8782D" w:rsidRDefault="00B8782D">
      <w:pPr>
        <w:sectPr w:rsidR="00B8782D">
          <w:headerReference w:type="default" r:id="rId26"/>
          <w:pgSz w:w="11906" w:h="16838"/>
          <w:pgMar w:top="1418" w:right="1418" w:bottom="1418" w:left="1418" w:header="567" w:footer="283" w:gutter="0"/>
          <w:pgNumType w:fmt="lowerRoman"/>
          <w:cols w:space="708"/>
          <w:docGrid w:linePitch="360"/>
        </w:sectPr>
      </w:pPr>
    </w:p>
    <w:p w:rsidR="00B8782D" w:rsidRDefault="00B8782D">
      <w:pPr>
        <w:pStyle w:val="Heading1nonumbers"/>
      </w:pPr>
      <w:bookmarkStart w:id="14" w:name="_Toc448312478"/>
      <w:r>
        <w:lastRenderedPageBreak/>
        <w:t>Summary</w:t>
      </w:r>
      <w:bookmarkEnd w:id="14"/>
    </w:p>
    <w:p w:rsidR="00B8782D" w:rsidRDefault="00B8782D">
      <w:r>
        <w:t>The Australian Government Department of Agriculture and Water Resources has prepared this final report to assess the proposal by China for market access to Australia for fresh nectarine fruit.</w:t>
      </w:r>
    </w:p>
    <w:p w:rsidR="00B8782D" w:rsidRDefault="00B8782D">
      <w:r>
        <w:t>The final report recommends that the importation of fresh nectarine fruit to Australia from all commercial production areas of China be permitted, subject to a range of quarantine conditions.</w:t>
      </w:r>
    </w:p>
    <w:p w:rsidR="00B8782D" w:rsidRDefault="00B8782D">
      <w:r>
        <w:t>The final report takes into account stakeholder comments on the draft report. Information about China’s nectarine production systems and packinghouse procedures gathered during a verification visit in June 2015 to Shanxi province, one of China’s major nectarine production areas, has also been taken into account.</w:t>
      </w:r>
    </w:p>
    <w:p w:rsidR="00B8782D" w:rsidRDefault="00B8782D">
      <w:r>
        <w:t xml:space="preserve">The final report identifies 19 pests that require phytosanitary measures to manage risks to a very low level in order to achieve Australia’s appropriate level of protection (ALOP). The pests requiring measures are </w:t>
      </w:r>
      <w:r>
        <w:rPr>
          <w:i/>
        </w:rPr>
        <w:t>Amphitetranychus viennensis</w:t>
      </w:r>
      <w:r>
        <w:t xml:space="preserve"> (hawthorn spider mite), </w:t>
      </w:r>
      <w:r>
        <w:rPr>
          <w:i/>
        </w:rPr>
        <w:t>Pseudococcus comstocki</w:t>
      </w:r>
      <w:r>
        <w:t xml:space="preserve"> (comstock mealybug), </w:t>
      </w:r>
      <w:r>
        <w:rPr>
          <w:i/>
        </w:rPr>
        <w:t>Frankliniella intonsa</w:t>
      </w:r>
      <w:r>
        <w:t xml:space="preserve"> (Eurasian flower thrips), </w:t>
      </w:r>
      <w:r>
        <w:rPr>
          <w:i/>
        </w:rPr>
        <w:t>Frankliniella occidentalis</w:t>
      </w:r>
      <w:r>
        <w:t xml:space="preserve"> (western flower thrips), </w:t>
      </w:r>
      <w:r>
        <w:rPr>
          <w:i/>
        </w:rPr>
        <w:t xml:space="preserve">Bactrocera correcta </w:t>
      </w:r>
      <w:r>
        <w:t xml:space="preserve">(guava fruit fly), </w:t>
      </w:r>
      <w:r>
        <w:rPr>
          <w:i/>
        </w:rPr>
        <w:t>Bactrocera dorsalis</w:t>
      </w:r>
      <w:r>
        <w:t xml:space="preserve"> (Oriental fruit fly), </w:t>
      </w:r>
      <w:r>
        <w:rPr>
          <w:i/>
        </w:rPr>
        <w:t>Drosophila suzukii</w:t>
      </w:r>
      <w:r>
        <w:t xml:space="preserve"> (spotted wing drosophila), </w:t>
      </w:r>
      <w:r>
        <w:rPr>
          <w:i/>
        </w:rPr>
        <w:t xml:space="preserve">Adoxophyes orana </w:t>
      </w:r>
      <w:r>
        <w:t xml:space="preserve">(summerfruit tortrix), </w:t>
      </w:r>
      <w:r>
        <w:rPr>
          <w:i/>
        </w:rPr>
        <w:t>Argyrotaenia ljungiana</w:t>
      </w:r>
      <w:r>
        <w:t xml:space="preserve"> (grape tortrix), </w:t>
      </w:r>
      <w:r>
        <w:rPr>
          <w:i/>
        </w:rPr>
        <w:t>Carposina sasakii</w:t>
      </w:r>
      <w:r>
        <w:t xml:space="preserve"> (peach fruit moth), </w:t>
      </w:r>
      <w:r>
        <w:rPr>
          <w:i/>
        </w:rPr>
        <w:t>Grapholita funebrana</w:t>
      </w:r>
      <w:r>
        <w:t xml:space="preserve"> (plum fruit moth), </w:t>
      </w:r>
      <w:r>
        <w:rPr>
          <w:i/>
        </w:rPr>
        <w:t xml:space="preserve">Grapholita molesta </w:t>
      </w:r>
      <w:r>
        <w:t xml:space="preserve">(Oriental fruit moth), </w:t>
      </w:r>
      <w:r>
        <w:rPr>
          <w:i/>
        </w:rPr>
        <w:t xml:space="preserve">Spilonota albicana </w:t>
      </w:r>
      <w:r>
        <w:t xml:space="preserve">(white fruit moth), </w:t>
      </w:r>
      <w:r>
        <w:rPr>
          <w:i/>
        </w:rPr>
        <w:t xml:space="preserve">Anarsia lineatella </w:t>
      </w:r>
      <w:r>
        <w:t xml:space="preserve">(peach twig borer), </w:t>
      </w:r>
      <w:r>
        <w:rPr>
          <w:i/>
        </w:rPr>
        <w:t>Monilinia fructigena</w:t>
      </w:r>
      <w:r>
        <w:t xml:space="preserve"> (brown rot), </w:t>
      </w:r>
      <w:r>
        <w:rPr>
          <w:i/>
        </w:rPr>
        <w:t>Monilia mumecola</w:t>
      </w:r>
      <w:r>
        <w:t xml:space="preserve"> (brown rot), </w:t>
      </w:r>
      <w:r>
        <w:rPr>
          <w:i/>
        </w:rPr>
        <w:t>Monilia polystroma</w:t>
      </w:r>
      <w:r>
        <w:t xml:space="preserve"> (brown rot), </w:t>
      </w:r>
      <w:r>
        <w:rPr>
          <w:i/>
        </w:rPr>
        <w:t>Monilinia yunnanensis</w:t>
      </w:r>
      <w:r>
        <w:t xml:space="preserve"> (brown rot) and </w:t>
      </w:r>
      <w:r>
        <w:rPr>
          <w:i/>
        </w:rPr>
        <w:t>Plum pox virus</w:t>
      </w:r>
      <w:r>
        <w:t>.</w:t>
      </w:r>
    </w:p>
    <w:p w:rsidR="00B8782D" w:rsidRDefault="00B8782D">
      <w:r>
        <w:t xml:space="preserve">The recommended phytosanitary measures take account of regional differences within Australia. Two pests that require risk mitigation, </w:t>
      </w:r>
      <w:r>
        <w:rPr>
          <w:i/>
        </w:rPr>
        <w:t>Grapholita molesta</w:t>
      </w:r>
      <w:r>
        <w:t xml:space="preserve"> and </w:t>
      </w:r>
      <w:r>
        <w:rPr>
          <w:i/>
        </w:rPr>
        <w:t>Frankliniella occidentalis</w:t>
      </w:r>
      <w:r>
        <w:t xml:space="preserve"> have been identified as a regional quarantine pest for Western Australia and Northern Territory respectively.</w:t>
      </w:r>
    </w:p>
    <w:p w:rsidR="00B8782D" w:rsidRDefault="00B8782D">
      <w:r>
        <w:t xml:space="preserve">The final report </w:t>
      </w:r>
      <w:r>
        <w:rPr>
          <w:color w:val="000000"/>
        </w:rPr>
        <w:t xml:space="preserve">recommends </w:t>
      </w:r>
      <w:r>
        <w:t>a combination of risk management measures and operational systems that will reduce the risk associated with the importation of fresh nectarine fruit from China into Australia to achieve Australia’s ALOP, that include:</w:t>
      </w:r>
    </w:p>
    <w:p w:rsidR="00B8782D" w:rsidRDefault="00B8782D">
      <w:pPr>
        <w:pStyle w:val="ListBullet"/>
      </w:pPr>
      <w:r>
        <w:t>visual inspection and remedial action for leaf rollers, mealybug, spider mite and thrips</w:t>
      </w:r>
    </w:p>
    <w:p w:rsidR="00B8782D" w:rsidRDefault="00B8782D">
      <w:pPr>
        <w:pStyle w:val="ListBullet"/>
      </w:pPr>
      <w:r>
        <w:t>area freedom or fruit treatment (cold disinfestation or irradiation) for fruit flies</w:t>
      </w:r>
    </w:p>
    <w:p w:rsidR="00B8782D" w:rsidRDefault="00B8782D">
      <w:pPr>
        <w:pStyle w:val="ListBullet"/>
      </w:pPr>
      <w:r>
        <w:t>area freedom or fruit treatment (methyl bromide fumigation or irradiation) or a systems approach approved by the Australian Government Department of Agriculture and Water Resources for spotted wing drosophila</w:t>
      </w:r>
    </w:p>
    <w:p w:rsidR="00B8782D" w:rsidRDefault="00B8782D">
      <w:pPr>
        <w:pStyle w:val="ListBullet"/>
      </w:pPr>
      <w:r>
        <w:t>area freedom or area of low pest prevalence or fruit treatment (methyl bromide fumigation or irradiation) or a systems approach approved by the Australian Government Department of Agriculture and Water Resources for fruit borers</w:t>
      </w:r>
    </w:p>
    <w:p w:rsidR="00B8782D" w:rsidRDefault="00B8782D">
      <w:pPr>
        <w:pStyle w:val="ListBullet"/>
      </w:pPr>
      <w:r>
        <w:t>area freedom or area of low pest prevalence or alternative equivalent measures approved by the Australian Government Department of Agriculture and Water Resources for brown rots</w:t>
      </w:r>
    </w:p>
    <w:p w:rsidR="00B8782D" w:rsidRDefault="00B8782D">
      <w:pPr>
        <w:pStyle w:val="ListBullet"/>
      </w:pPr>
      <w:r>
        <w:lastRenderedPageBreak/>
        <w:t>area freedom or systems approach approved by the Australian Government Department of Agriculture and Water Resources for plum pox virus.</w:t>
      </w:r>
    </w:p>
    <w:p w:rsidR="00B8782D" w:rsidRDefault="00B8782D">
      <w:pPr>
        <w:ind w:left="720"/>
        <w:sectPr w:rsidR="00B8782D">
          <w:headerReference w:type="default" r:id="rId27"/>
          <w:footerReference w:type="default" r:id="rId28"/>
          <w:pgSz w:w="11906" w:h="16838"/>
          <w:pgMar w:top="1418" w:right="1418" w:bottom="1418" w:left="1418" w:header="567" w:footer="283" w:gutter="0"/>
          <w:pgNumType w:start="1"/>
          <w:cols w:space="708"/>
          <w:docGrid w:linePitch="360"/>
        </w:sectPr>
      </w:pPr>
      <w:r>
        <w:t xml:space="preserve"> </w:t>
      </w:r>
    </w:p>
    <w:p w:rsidR="00B8782D" w:rsidRDefault="00B8782D" w:rsidP="00B8782D">
      <w:pPr>
        <w:pStyle w:val="Heading1"/>
        <w:numPr>
          <w:ilvl w:val="0"/>
          <w:numId w:val="13"/>
        </w:numPr>
      </w:pPr>
      <w:bookmarkStart w:id="15" w:name="_Toc448312479"/>
      <w:r>
        <w:lastRenderedPageBreak/>
        <w:t>Introduction</w:t>
      </w:r>
      <w:bookmarkEnd w:id="15"/>
    </w:p>
    <w:p w:rsidR="00B8782D" w:rsidRDefault="00B8782D" w:rsidP="00B8782D">
      <w:pPr>
        <w:pStyle w:val="Heading2"/>
        <w:numPr>
          <w:ilvl w:val="1"/>
          <w:numId w:val="20"/>
        </w:numPr>
      </w:pPr>
      <w:bookmarkStart w:id="16" w:name="_Toc448312480"/>
      <w:r>
        <w:t>Australia’s biosecurity policy framework</w:t>
      </w:r>
      <w:bookmarkEnd w:id="16"/>
    </w:p>
    <w:p w:rsidR="00B8782D" w:rsidRDefault="00B8782D">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rsidR="00B8782D" w:rsidRDefault="00B8782D">
      <w:r>
        <w:t>The risk analysis process is an important part of Australia’s biosecurity policies. It enables the Australian Government to formally consider the risks that could be associated with proposals to import new products into Australia. If the risks are found to exceed Australia’s ALOP, risk management measures are recommended to reduce the risks to an acceptable level. But, if it is not possible to reduce the risks to an acceptable level, then no trade will be allowed.</w:t>
      </w:r>
    </w:p>
    <w:p w:rsidR="00B8782D" w:rsidRDefault="00B8782D">
      <w:r>
        <w:t>Successive Australian Governments have maintained a stringent, but not a zero risk, approach to the management of biosecurity risks. This approach is expressed in terms of Australia’s ALOP, which reflects community expectations through government policy and is currently described as providing a high level of protection aimed at reducing risk to a very low level, but not to zero.</w:t>
      </w:r>
    </w:p>
    <w:p w:rsidR="00B8782D" w:rsidRDefault="00B8782D">
      <w:r>
        <w:t>Australia’s risk analyses are undertaken by the Australian Government Department of Agriculture and Water Resources using technical and scientific experts in relevant fields, and involve consultation with stakeholders at various stages during the process.</w:t>
      </w:r>
    </w:p>
    <w:p w:rsidR="00B8782D" w:rsidRDefault="00B8782D">
      <w:r>
        <w:t>The Australian Government Department of Agriculture and Water Resources’ assessment may take the form of an import risk analysis (IRA), a non-regulated analysis of existing policy, or technical advice.</w:t>
      </w:r>
    </w:p>
    <w:p w:rsidR="00B8782D" w:rsidRDefault="00B8782D">
      <w:r>
        <w:t xml:space="preserve">Further information about Australia’s biosecurity framework is provided in Appendix B of this report and in the </w:t>
      </w:r>
      <w:r>
        <w:rPr>
          <w:i/>
        </w:rPr>
        <w:t>Import Risk Analysis Handbook 2011</w:t>
      </w:r>
      <w:r>
        <w:t xml:space="preserve"> located on the </w:t>
      </w:r>
      <w:hyperlink r:id="rId29" w:history="1">
        <w:r>
          <w:rPr>
            <w:rStyle w:val="Hyperlink"/>
          </w:rPr>
          <w:t>Australian Government Department of Agriculture and Water Resources</w:t>
        </w:r>
      </w:hyperlink>
      <w:r>
        <w:t xml:space="preserve"> website.</w:t>
      </w:r>
    </w:p>
    <w:p w:rsidR="00B8782D" w:rsidRDefault="00B8782D" w:rsidP="00B8782D">
      <w:pPr>
        <w:pStyle w:val="Heading2"/>
        <w:numPr>
          <w:ilvl w:val="1"/>
          <w:numId w:val="20"/>
        </w:numPr>
      </w:pPr>
      <w:bookmarkStart w:id="17" w:name="_Toc448312481"/>
      <w:r>
        <w:t>This import risk analysis</w:t>
      </w:r>
      <w:bookmarkEnd w:id="17"/>
    </w:p>
    <w:p w:rsidR="00B8782D" w:rsidRDefault="00B8782D" w:rsidP="00B8782D">
      <w:pPr>
        <w:pStyle w:val="Heading3"/>
        <w:numPr>
          <w:ilvl w:val="2"/>
          <w:numId w:val="20"/>
        </w:numPr>
      </w:pPr>
      <w:r>
        <w:t>Background</w:t>
      </w:r>
    </w:p>
    <w:p w:rsidR="00B8782D" w:rsidRDefault="00B8782D">
      <w:r>
        <w:t xml:space="preserve">The State Administration of Entry-Exit Inspection and Quarantine of the People’s Republic of China (CIQSA), now known as the General Administration of Quality Supervision, Inspection and Quarantine of the People’s Republic of China (AQSIQ), requested market access for fresh peach fruit from Shandong province to Australia in 2001 </w:t>
      </w:r>
      <w:r>
        <w:rPr>
          <w:noProof/>
        </w:rPr>
        <w:t>(CIQSA 2001c)</w:t>
      </w:r>
      <w:r>
        <w:t>. This submission included information on the pests associated with peach and nectarine crops in China, including the plant parts affected, and some standard commercial production practices for fresh peach fruit in China.</w:t>
      </w:r>
    </w:p>
    <w:p w:rsidR="00B8782D" w:rsidRDefault="00B8782D">
      <w:r>
        <w:t xml:space="preserve">In 2006, AQSIQ extended this market access request to include peaches, nectarines, plums and apricot from all China </w:t>
      </w:r>
      <w:r>
        <w:rPr>
          <w:noProof/>
        </w:rPr>
        <w:t>(AQSIQ 2006b)</w:t>
      </w:r>
      <w:r>
        <w:t>. In September 2014, AQSIQ confirmed that nectarine fruit is its top summerfruit priority.</w:t>
      </w:r>
    </w:p>
    <w:p w:rsidR="00B8782D" w:rsidRDefault="00B8782D">
      <w:r>
        <w:lastRenderedPageBreak/>
        <w:t xml:space="preserve">On 4 February 2015, the Australian Government Department of Agriculture and Water Resources formally announced the commencement of this risk analysis, advising that it would be progressed as a non-regulated analysis of existing policy or review, using the process described in the </w:t>
      </w:r>
      <w:r>
        <w:rPr>
          <w:i/>
        </w:rPr>
        <w:t>Import Risk Analysis Handbook 2011</w:t>
      </w:r>
      <w:r>
        <w:t>.</w:t>
      </w:r>
    </w:p>
    <w:p w:rsidR="00B8782D" w:rsidRDefault="00B8782D">
      <w:r>
        <w:t>Officers from the Australian Government Department of Agriculture and Water Resources</w:t>
      </w:r>
      <w:r w:rsidRPr="00E30750">
        <w:t xml:space="preserve"> conducted a verification visit </w:t>
      </w:r>
      <w:r>
        <w:t xml:space="preserve">to Shanxi province, one of </w:t>
      </w:r>
      <w:r w:rsidRPr="00E30750">
        <w:t xml:space="preserve">China’s </w:t>
      </w:r>
      <w:r>
        <w:t xml:space="preserve">major </w:t>
      </w:r>
      <w:r w:rsidRPr="00E30750">
        <w:t>nectarine production areas</w:t>
      </w:r>
      <w:r>
        <w:t>,</w:t>
      </w:r>
      <w:r w:rsidRPr="00E30750">
        <w:t xml:space="preserve"> </w:t>
      </w:r>
      <w:r>
        <w:t>to observe nectarine production systems and packinghouse operations</w:t>
      </w:r>
      <w:r w:rsidRPr="00E30750">
        <w:t xml:space="preserve"> on 6-1</w:t>
      </w:r>
      <w:r>
        <w:t>3</w:t>
      </w:r>
      <w:r w:rsidRPr="00E30750">
        <w:t xml:space="preserve"> June 2015.</w:t>
      </w:r>
    </w:p>
    <w:p w:rsidR="00B8782D" w:rsidRDefault="00B8782D" w:rsidP="00B8782D">
      <w:pPr>
        <w:pStyle w:val="Heading3"/>
        <w:numPr>
          <w:ilvl w:val="2"/>
          <w:numId w:val="20"/>
        </w:numPr>
      </w:pPr>
      <w:r>
        <w:t>Scope</w:t>
      </w:r>
    </w:p>
    <w:p w:rsidR="00B8782D" w:rsidRDefault="00B8782D">
      <w:r>
        <w:t>The scope of this risk analysis is to consider the biosecurity risk that may be associated with the importation of commercially produced fresh nectarine fruit (</w:t>
      </w:r>
      <w:r>
        <w:rPr>
          <w:i/>
        </w:rPr>
        <w:t>Prunus persica</w:t>
      </w:r>
      <w:r>
        <w:t xml:space="preserve"> var. </w:t>
      </w:r>
      <w:r>
        <w:rPr>
          <w:i/>
        </w:rPr>
        <w:t>nectarina</w:t>
      </w:r>
      <w:r>
        <w:t>), free from trash, from China, for human consumption in Australia.</w:t>
      </w:r>
    </w:p>
    <w:p w:rsidR="00B8782D" w:rsidRDefault="00B8782D">
      <w:r>
        <w:t>In this risk analysis, nectarine fruit is defined as fruit with or without a fruit stem (Figure 1). This risk analysis covers all commercially produced fresh nectarine fruit of all cultivars/varieties and the provinces or regions of China in which they are grown for export.</w:t>
      </w:r>
    </w:p>
    <w:p w:rsidR="00B8782D" w:rsidRDefault="00B8782D" w:rsidP="00B8782D">
      <w:pPr>
        <w:pStyle w:val="Heading3"/>
        <w:numPr>
          <w:ilvl w:val="2"/>
          <w:numId w:val="20"/>
        </w:numPr>
      </w:pPr>
      <w:r>
        <w:t>Existing policy</w:t>
      </w:r>
    </w:p>
    <w:p w:rsidR="00B8782D" w:rsidRDefault="00B8782D">
      <w:pPr>
        <w:pStyle w:val="Heading4"/>
      </w:pPr>
      <w:r>
        <w:t>International policy</w:t>
      </w:r>
    </w:p>
    <w:p w:rsidR="00B8782D" w:rsidRDefault="00B8782D">
      <w:r>
        <w:t xml:space="preserve">Import policy exists for fresh stonefruit including nectarines from the USA (California, Idaho, Oregon and Washington) </w:t>
      </w:r>
      <w:r>
        <w:rPr>
          <w:noProof/>
        </w:rPr>
        <w:t>(Biosecurity Australia 2010b)</w:t>
      </w:r>
      <w:r>
        <w:t xml:space="preserve"> and New Zealand </w:t>
      </w:r>
      <w:r>
        <w:rPr>
          <w:noProof/>
        </w:rPr>
        <w:t>(Biosecurity Australia 2006b)</w:t>
      </w:r>
      <w:r>
        <w:t xml:space="preserve">. The import of stonefruit including nectarines has occurred. Import policy also exists for apples, table grapes, pears and lychees and longans from China </w:t>
      </w:r>
      <w:r>
        <w:rPr>
          <w:noProof/>
        </w:rPr>
        <w:t>(Biosecurity Australia 2005b, 2010a, 2011; DAFF 2004)</w:t>
      </w:r>
      <w:r>
        <w:t xml:space="preserve">. The import of apples, pears and lychee and longan has also occurred. The </w:t>
      </w:r>
      <w:hyperlink r:id="rId30" w:history="1">
        <w:r>
          <w:rPr>
            <w:rStyle w:val="Hyperlink"/>
          </w:rPr>
          <w:t>import requirements</w:t>
        </w:r>
      </w:hyperlink>
      <w:r>
        <w:t xml:space="preserve"> for these commodities can be found at the Australian Government Department of Agriculture and Water Resources website.</w:t>
      </w:r>
    </w:p>
    <w:p w:rsidR="00B8782D" w:rsidRDefault="00B8782D">
      <w:r>
        <w:t>The Australian Government Department of Agriculture and Water Resources has previously considered all the pest groups in existing policies and, where relevant, the information in these assessments has been taken into account in this risk analysis. The Australian Government Department of Agriculture and Water Resources recognises the similarity of other stonefruit species (apricot, peach and plum) to nectarine fruit and the significant overlap of pests associated with these additional species. This policy is likely to form the basis of import conditions for these similar risk commodities.</w:t>
      </w:r>
    </w:p>
    <w:p w:rsidR="00B8782D" w:rsidRDefault="00B8782D">
      <w:pPr>
        <w:pStyle w:val="Heading4"/>
      </w:pPr>
      <w:r>
        <w:t>Domestic arrangements</w:t>
      </w:r>
    </w:p>
    <w:p w:rsidR="00B8782D" w:rsidRDefault="00B8782D">
      <w:r>
        <w:t>The Commonwealth Government is responsible for regulating the movement of plants and plant products into and out of Australia. However, 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Once plant and plant products have been cleared by Australian biosecurity officers, they may be subject to interstate movement conditions. It is the importer’s responsibility to identify, and ensure compliance with all requirements.</w:t>
      </w:r>
    </w:p>
    <w:p w:rsidR="00B8782D" w:rsidRDefault="00B8782D" w:rsidP="00B8782D">
      <w:pPr>
        <w:pStyle w:val="Heading3"/>
        <w:numPr>
          <w:ilvl w:val="2"/>
          <w:numId w:val="20"/>
        </w:numPr>
      </w:pPr>
      <w:r>
        <w:lastRenderedPageBreak/>
        <w:t>Contaminating pests</w:t>
      </w:r>
    </w:p>
    <w:p w:rsidR="00B8782D" w:rsidRDefault="00B8782D">
      <w:r>
        <w:t>In addition to the pests of nectarine fruit from China that are assessed in this risk analysis, there are other organisms that may arrive with the imported commodity. These organisms could include pests of other crops or predators and parasitoids of other arthropods. The Australian Government Department of Agriculture and Water Resources considers these organisms to be contaminating pests that could pose sanitary and phytosanitary risks. These risks are addressed by existing operational procedures that require a 600 unit inspection of all consignments, or equivalent, and investigation of any pest that may be of quarantine concern to Australia.</w:t>
      </w:r>
    </w:p>
    <w:p w:rsidR="00B8782D" w:rsidRDefault="00B8782D" w:rsidP="00B8782D">
      <w:pPr>
        <w:pStyle w:val="Heading3"/>
        <w:numPr>
          <w:ilvl w:val="2"/>
          <w:numId w:val="20"/>
        </w:numPr>
      </w:pPr>
      <w:r>
        <w:t>Consultation</w:t>
      </w:r>
    </w:p>
    <w:p w:rsidR="00B8782D" w:rsidRDefault="00B8782D">
      <w:r>
        <w:t>On 4 February 2015, the Australian Government Department of Agriculture and Water Resources notified stakeholders in Biosecurity Advice 2015/02 of the formal commencement of a non-regulated analysis of existing policy to consider a proposal from China for market access to Australia for fresh nectarine fruit.</w:t>
      </w:r>
    </w:p>
    <w:p w:rsidR="00B8782D" w:rsidRDefault="00B8782D">
      <w:r>
        <w:t>The draft report was released on 28 May 2015 (BA 2015/04) for comment and consultation with stakeholders, for a period of 30 days that concluded on 28 June 2015. Written submissions were received from 7 stakeholders. All submissions were carefully considered and, where relevant, changes were made to the final report.</w:t>
      </w:r>
    </w:p>
    <w:p w:rsidR="00B8782D" w:rsidRDefault="00B8782D">
      <w:pPr>
        <w:sectPr w:rsidR="00B8782D">
          <w:headerReference w:type="default" r:id="rId31"/>
          <w:pgSz w:w="11906" w:h="16838"/>
          <w:pgMar w:top="1418" w:right="1418" w:bottom="1418" w:left="1418" w:header="567" w:footer="283" w:gutter="0"/>
          <w:cols w:space="708"/>
          <w:docGrid w:linePitch="360"/>
        </w:sectPr>
      </w:pPr>
    </w:p>
    <w:p w:rsidR="00B8782D" w:rsidRDefault="00B8782D" w:rsidP="00B8782D">
      <w:pPr>
        <w:pStyle w:val="Heading1"/>
        <w:numPr>
          <w:ilvl w:val="0"/>
          <w:numId w:val="20"/>
        </w:numPr>
      </w:pPr>
      <w:bookmarkStart w:id="18" w:name="_Toc448312482"/>
      <w:r>
        <w:lastRenderedPageBreak/>
        <w:t>Method for pest risk analysis</w:t>
      </w:r>
      <w:bookmarkEnd w:id="18"/>
    </w:p>
    <w:p w:rsidR="00B8782D" w:rsidRDefault="00B8782D">
      <w:r>
        <w:t xml:space="preserve">This chapter sets out the method used for the pest risk analysis (PRA) in this report. The Australian Government Department of Agriculture and Water Resources has conducted this PRA in accordance with the International Standards for Phytosanitary Measures (ISPMs), including ISPM 2: </w:t>
      </w:r>
      <w:r>
        <w:rPr>
          <w:i/>
        </w:rPr>
        <w:t>Framework for pest risk analysis</w:t>
      </w:r>
      <w:r>
        <w:t xml:space="preserve"> </w:t>
      </w:r>
      <w:r>
        <w:rPr>
          <w:noProof/>
        </w:rPr>
        <w:t>(FAO 2007b)</w:t>
      </w:r>
      <w:r>
        <w:t xml:space="preserve"> and ISPM 11: </w:t>
      </w:r>
      <w:r>
        <w:rPr>
          <w:i/>
        </w:rPr>
        <w:t>Pest risk analysis for quarantine pests</w:t>
      </w:r>
      <w:r>
        <w:t xml:space="preserve"> </w:t>
      </w:r>
      <w:r>
        <w:rPr>
          <w:noProof/>
        </w:rPr>
        <w:t>(FAO 2013)</w:t>
      </w:r>
      <w:r>
        <w:t xml:space="preserve"> that have been developed under the SPS Agreement </w:t>
      </w:r>
      <w:r>
        <w:rPr>
          <w:noProof/>
        </w:rPr>
        <w:t>(WTO 1995)</w:t>
      </w:r>
      <w:r>
        <w:t>.</w:t>
      </w:r>
    </w:p>
    <w:p w:rsidR="00B8782D" w:rsidRDefault="00B8782D">
      <w:r>
        <w:t xml:space="preserve">A PRA is ‘the process of evaluating biological or other scientific and economic evidence to determine whether an organism is a pest, whether it should be regulated, and the strength of any phytosanitary measures to be taken against it’ </w:t>
      </w:r>
      <w:r>
        <w:rPr>
          <w:noProof/>
        </w:rPr>
        <w:t>(FAO 2015a)</w:t>
      </w:r>
      <w:r>
        <w:t xml:space="preserve">. A pest is ‘any species, strain or biotype of plant, animal, or pathogenic agent injurious to plants or plant products’ </w:t>
      </w:r>
      <w:r>
        <w:rPr>
          <w:noProof/>
        </w:rPr>
        <w:t>(FAO 2015a)</w:t>
      </w:r>
      <w:r>
        <w:t>.</w:t>
      </w:r>
    </w:p>
    <w:p w:rsidR="00B8782D" w:rsidRDefault="00B8782D">
      <w:r>
        <w:t>Quarantine risk consists of two major components: the probability of a pest entering, establishing and spreading in Australia from imports; and the consequences should this happen. These two components are combined to give an overall estimate of the risk.</w:t>
      </w:r>
    </w:p>
    <w:p w:rsidR="00B8782D" w:rsidRDefault="00B8782D">
      <w:r>
        <w:t>Unrestricted risk is estimated taking into account the existing commercial production practices of the exporting country and that, on arrival in Australia, the Australian Government Department of Agriculture and Water Resources will verify that the consignment received is as described on the commercial documents and its integrity has been maintained.</w:t>
      </w:r>
    </w:p>
    <w:p w:rsidR="00B8782D" w:rsidRDefault="00B8782D">
      <w:r>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w:t>
      </w:r>
      <w:r>
        <w:rPr>
          <w:noProof/>
        </w:rPr>
        <w:t>(FAO 2015a)</w:t>
      </w:r>
      <w:r>
        <w:t>.</w:t>
      </w:r>
    </w:p>
    <w:p w:rsidR="00B8782D" w:rsidRDefault="00B8782D">
      <w:r>
        <w:t>A glossary of the terms used is provided at the back of this report.</w:t>
      </w:r>
    </w:p>
    <w:p w:rsidR="00B8782D" w:rsidRDefault="00B8782D">
      <w:r>
        <w:t>The PRAs are conducted in the following three consecutive stages: initiation, pest risk assessment and pest risk management.</w:t>
      </w:r>
    </w:p>
    <w:p w:rsidR="00B8782D" w:rsidRDefault="00B8782D" w:rsidP="00B8782D">
      <w:pPr>
        <w:pStyle w:val="Heading2"/>
        <w:numPr>
          <w:ilvl w:val="1"/>
          <w:numId w:val="20"/>
        </w:numPr>
      </w:pPr>
      <w:bookmarkStart w:id="19" w:name="_Toc448312483"/>
      <w:r>
        <w:t>Stage 1 Initiation</w:t>
      </w:r>
      <w:bookmarkEnd w:id="19"/>
    </w:p>
    <w:p w:rsidR="00B8782D" w:rsidRDefault="00B8782D">
      <w:r>
        <w:t>Initiation identifies the pest(s) and pathway(s) that are of quarantine concern and should be considered for risk analysis in relation to the identified PRA area.</w:t>
      </w:r>
    </w:p>
    <w:p w:rsidR="00B8782D" w:rsidRDefault="00B8782D">
      <w:r>
        <w:t>Appendix A of this risk analysis report lists the pests with the potential to be associated with the exported commodity produced using commercial production and packing procedures. Appendix 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w:t>
      </w:r>
    </w:p>
    <w:p w:rsidR="00B8782D" w:rsidRDefault="00B8782D">
      <w:r>
        <w:t>The identity of the pests is given in Appendix A. The species name is used in most instances but a lower taxonomic level is used where appropriate. Synonyms are provided where the current scientific name differs from that provided by the exporting country’s National Plant Protection Organisation (NPPO) or where the cited literature used a different scientific name.</w:t>
      </w:r>
    </w:p>
    <w:p w:rsidR="00B8782D" w:rsidRDefault="00B8782D">
      <w:r>
        <w:lastRenderedPageBreak/>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rsidR="00B8782D" w:rsidRDefault="00B8782D">
      <w:r>
        <w:t>For pests that have been considered by the Australian Government Department of Agriculture and Water Resources in other risk assessments and for which import policies already exist, a judgement was made on the probability of entry of pests on the commodity and whether existing policy is adequate to manage the risks associated with its import. Where appropriate, the previous risk assessment was taken into consideration when developing the new policy.</w:t>
      </w:r>
    </w:p>
    <w:p w:rsidR="00B8782D" w:rsidRDefault="00B8782D" w:rsidP="00B8782D">
      <w:pPr>
        <w:pStyle w:val="Heading2"/>
        <w:numPr>
          <w:ilvl w:val="1"/>
          <w:numId w:val="20"/>
        </w:numPr>
      </w:pPr>
      <w:bookmarkStart w:id="20" w:name="_Toc448312484"/>
      <w:r>
        <w:t>Stage 2 Pest risk assessment</w:t>
      </w:r>
      <w:bookmarkEnd w:id="20"/>
    </w:p>
    <w:p w:rsidR="00B8782D" w:rsidRDefault="00B8782D">
      <w:r>
        <w:t xml:space="preserve">A pest risk assessment (for quarantine pests) is the ‘evaluation of the probability of the introduction and spread of a pest and of the magnitude of the associated potential economic consequences’ </w:t>
      </w:r>
      <w:r>
        <w:rPr>
          <w:noProof/>
        </w:rPr>
        <w:t>(FAO 2015a)</w:t>
      </w:r>
      <w:r>
        <w:t>.</w:t>
      </w:r>
    </w:p>
    <w:p w:rsidR="00B8782D" w:rsidRDefault="00B8782D">
      <w:r>
        <w:t>The following three, consecutive steps were used in pest risk assessment:</w:t>
      </w:r>
    </w:p>
    <w:p w:rsidR="00B8782D" w:rsidRDefault="00B8782D" w:rsidP="00B8782D">
      <w:pPr>
        <w:pStyle w:val="Heading3"/>
        <w:numPr>
          <w:ilvl w:val="2"/>
          <w:numId w:val="20"/>
        </w:numPr>
      </w:pPr>
      <w:r>
        <w:t>Pest categorisation</w:t>
      </w:r>
    </w:p>
    <w:p w:rsidR="00B8782D" w:rsidRDefault="00B8782D">
      <w: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Pr>
          <w:noProof/>
        </w:rPr>
        <w:t>(FAO 2015a)</w:t>
      </w:r>
      <w:r>
        <w:t>.</w:t>
      </w:r>
    </w:p>
    <w:p w:rsidR="00B8782D" w:rsidRDefault="00B8782D">
      <w:r>
        <w:t>The pests identified in Stage 1 were categorised using the following primary elements to identify the quarantine pests for the commodity being assessed:</w:t>
      </w:r>
    </w:p>
    <w:p w:rsidR="00B8782D" w:rsidRDefault="00B8782D">
      <w:pPr>
        <w:pStyle w:val="ListBullet"/>
      </w:pPr>
      <w:r>
        <w:t>identity of the pest</w:t>
      </w:r>
    </w:p>
    <w:p w:rsidR="00B8782D" w:rsidRDefault="00B8782D">
      <w:pPr>
        <w:pStyle w:val="ListBullet"/>
      </w:pPr>
      <w:r>
        <w:t>presence or absence in the PRA area</w:t>
      </w:r>
    </w:p>
    <w:p w:rsidR="00B8782D" w:rsidRDefault="00B8782D">
      <w:pPr>
        <w:pStyle w:val="ListBullet"/>
      </w:pPr>
      <w:r>
        <w:t>regulatory status</w:t>
      </w:r>
    </w:p>
    <w:p w:rsidR="00B8782D" w:rsidRDefault="00B8782D">
      <w:pPr>
        <w:pStyle w:val="ListBullet"/>
      </w:pPr>
      <w:r>
        <w:t>potential for establishment and spread in the PRA area</w:t>
      </w:r>
    </w:p>
    <w:p w:rsidR="00B8782D" w:rsidRDefault="00B8782D">
      <w:pPr>
        <w:pStyle w:val="ListBullet"/>
      </w:pPr>
      <w:r>
        <w:t>potential for economic consequences (including environmental consequences) in the PRA area.</w:t>
      </w:r>
    </w:p>
    <w:p w:rsidR="00B8782D" w:rsidRDefault="00B8782D">
      <w:r>
        <w:t>The results of pest categorisation are set out in Appendix A. The quarantine pests identified during categorisation were carried forward for pest risk assessment and are listed in Table 4.1.</w:t>
      </w:r>
    </w:p>
    <w:p w:rsidR="00B8782D" w:rsidRDefault="00B8782D" w:rsidP="00B8782D">
      <w:pPr>
        <w:pStyle w:val="Heading3"/>
        <w:numPr>
          <w:ilvl w:val="2"/>
          <w:numId w:val="20"/>
        </w:numPr>
      </w:pPr>
      <w:r>
        <w:t>Assessment of the probability of entry, establishment and spread</w:t>
      </w:r>
    </w:p>
    <w:p w:rsidR="00B8782D" w:rsidRDefault="00B8782D">
      <w:r>
        <w:t xml:space="preserve">Details of how to assess the ‘probability of entry’, ‘probability of establishment’ and ‘probability of spread’ of a pest are given in ISPM 11 </w:t>
      </w:r>
      <w:r>
        <w:rPr>
          <w:noProof/>
        </w:rPr>
        <w:t>(FAO 2013)</w:t>
      </w:r>
      <w:r>
        <w:t>. A summary of this process is given below, followed by a description of the qualitative methodology used in this risk analysis.</w:t>
      </w:r>
    </w:p>
    <w:p w:rsidR="00B8782D" w:rsidRDefault="00B8782D">
      <w:pPr>
        <w:pStyle w:val="Heading4"/>
      </w:pPr>
      <w:r>
        <w:t>Probability of entry</w:t>
      </w:r>
    </w:p>
    <w:p w:rsidR="00B8782D" w:rsidRDefault="00B8782D">
      <w:r>
        <w:t xml:space="preserve">The probability of entry describes the probability that a quarantine pest will enter Australia as a result of trade in a given commodity, be distributed in a viable state in the PRA area and </w:t>
      </w:r>
      <w:r>
        <w:lastRenderedPageBreak/>
        <w:t>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rsidR="00B8782D" w:rsidRDefault="00B8782D">
      <w:r>
        <w:t>The probability of entry estimates for the quarantine pests for a commodity are based on the use of the existing commercial production, packaging and shipping practices of the exporting country. Details of the existing commercial production practices for the commodity are set out in Chapter 3. These practices are taken into consideration by the Australian Government Department of Agriculture and Water Resources when estimating the probability of entry.</w:t>
      </w:r>
    </w:p>
    <w:p w:rsidR="00B8782D" w:rsidRDefault="00B8782D">
      <w:r>
        <w:t>For the purpose of considering the probability of entry, the Australian Government Department of Agriculture and Water Resources divides this step into two components:</w:t>
      </w:r>
    </w:p>
    <w:p w:rsidR="00B8782D" w:rsidRDefault="00B8782D">
      <w:pPr>
        <w:pStyle w:val="ListBullet"/>
      </w:pPr>
      <w:r>
        <w:rPr>
          <w:b/>
        </w:rPr>
        <w:t>Probability of importation—</w:t>
      </w:r>
      <w:r>
        <w:t>the probability that a pest will arrive in Australia when a given commodity is imported.</w:t>
      </w:r>
    </w:p>
    <w:p w:rsidR="00B8782D" w:rsidRDefault="00B8782D">
      <w:pPr>
        <w:pStyle w:val="ListBullet"/>
      </w:pPr>
      <w:r>
        <w:rPr>
          <w:b/>
        </w:rPr>
        <w:t>Probability of distribution—</w:t>
      </w:r>
      <w:r>
        <w:t>the probability that the pest will be distributed, as a result of the processing, sale or disposal of the commodity, in the PRA area and subsequently transfer to a susceptible part of a host.</w:t>
      </w:r>
    </w:p>
    <w:p w:rsidR="00B8782D" w:rsidRDefault="00B8782D">
      <w:r>
        <w:t>Factors considered in the probability of importation include:</w:t>
      </w:r>
    </w:p>
    <w:p w:rsidR="00B8782D" w:rsidRDefault="00B8782D">
      <w:pPr>
        <w:pStyle w:val="ListBullet"/>
      </w:pPr>
      <w:r>
        <w:t>distribution and incidence of the pest in the source area</w:t>
      </w:r>
    </w:p>
    <w:p w:rsidR="00B8782D" w:rsidRDefault="00B8782D">
      <w:pPr>
        <w:pStyle w:val="ListBullet"/>
      </w:pPr>
      <w:r>
        <w:t>occurrence of the pest in a life-stage that would be associated with the commodity</w:t>
      </w:r>
    </w:p>
    <w:p w:rsidR="00B8782D" w:rsidRDefault="00B8782D">
      <w:pPr>
        <w:pStyle w:val="ListBullet"/>
      </w:pPr>
      <w:r>
        <w:t>mode of trade (for example, bulk, packed)</w:t>
      </w:r>
    </w:p>
    <w:p w:rsidR="00B8782D" w:rsidRDefault="00B8782D">
      <w:pPr>
        <w:pStyle w:val="ListBullet"/>
      </w:pPr>
      <w:r>
        <w:t>volume and frequency of movement of the commodity along each pathway</w:t>
      </w:r>
    </w:p>
    <w:p w:rsidR="00B8782D" w:rsidRDefault="00B8782D">
      <w:pPr>
        <w:pStyle w:val="ListBullet"/>
      </w:pPr>
      <w:r>
        <w:t>seasonal timing of imports</w:t>
      </w:r>
    </w:p>
    <w:p w:rsidR="00B8782D" w:rsidRDefault="00B8782D">
      <w:pPr>
        <w:pStyle w:val="ListBullet"/>
      </w:pPr>
      <w:r>
        <w:t>pest management, cultural and commercial procedures applied at the place of origin</w:t>
      </w:r>
    </w:p>
    <w:p w:rsidR="00B8782D" w:rsidRDefault="00B8782D">
      <w:pPr>
        <w:pStyle w:val="ListBullet"/>
      </w:pPr>
      <w:r>
        <w:t>speed of transport and conditions of storage compared with the duration of the lifecycle of the pest</w:t>
      </w:r>
    </w:p>
    <w:p w:rsidR="00B8782D" w:rsidRDefault="00B8782D">
      <w:pPr>
        <w:pStyle w:val="ListBullet"/>
      </w:pPr>
      <w:r>
        <w:t>vulnerability of the life-stages of the pest during transport or storage</w:t>
      </w:r>
    </w:p>
    <w:p w:rsidR="00B8782D" w:rsidRDefault="00B8782D">
      <w:pPr>
        <w:pStyle w:val="ListBullet"/>
      </w:pPr>
      <w:r>
        <w:t>incidence of the pest likely to be associated with a consignment</w:t>
      </w:r>
    </w:p>
    <w:p w:rsidR="00B8782D" w:rsidRDefault="00B8782D">
      <w:pPr>
        <w:pStyle w:val="ListBullet"/>
      </w:pPr>
      <w:r>
        <w:t>commercial procedures (for example, refrigeration) applied to consignments during transport and storage in the country of origin, and during transport to Australia.</w:t>
      </w:r>
    </w:p>
    <w:p w:rsidR="00B8782D" w:rsidRDefault="00B8782D">
      <w:r>
        <w:t>Factors considered in the probability of distribution include:</w:t>
      </w:r>
    </w:p>
    <w:p w:rsidR="00B8782D" w:rsidRDefault="00B8782D">
      <w:pPr>
        <w:pStyle w:val="ListBullet"/>
      </w:pPr>
      <w:r>
        <w:t>commercial procedures (for example, refrigeration) applied to consignments during distribution in Australia</w:t>
      </w:r>
    </w:p>
    <w:p w:rsidR="00B8782D" w:rsidRDefault="00B8782D">
      <w:pPr>
        <w:pStyle w:val="ListBullet"/>
      </w:pPr>
      <w:r>
        <w:t>dispersal mechanisms of the pest, including vectors, to allow movement from the pathway to a host</w:t>
      </w:r>
    </w:p>
    <w:p w:rsidR="00B8782D" w:rsidRDefault="00B8782D">
      <w:pPr>
        <w:pStyle w:val="ListBullet"/>
      </w:pPr>
      <w:r>
        <w:t>whether the imported commodity is to be sent to a few or many destination points in the PRA area</w:t>
      </w:r>
    </w:p>
    <w:p w:rsidR="00B8782D" w:rsidRDefault="00B8782D">
      <w:pPr>
        <w:pStyle w:val="ListBullet"/>
      </w:pPr>
      <w:r>
        <w:lastRenderedPageBreak/>
        <w:t>proximity of entry, transit and destination points to hosts</w:t>
      </w:r>
    </w:p>
    <w:p w:rsidR="00B8782D" w:rsidRDefault="00B8782D">
      <w:pPr>
        <w:pStyle w:val="ListBullet"/>
      </w:pPr>
      <w:r>
        <w:t>time of year at which import takes place</w:t>
      </w:r>
    </w:p>
    <w:p w:rsidR="00B8782D" w:rsidRDefault="00B8782D">
      <w:pPr>
        <w:pStyle w:val="ListBullet"/>
      </w:pPr>
      <w:r>
        <w:t>intended use of the commodity (for example, for planting, processing or consumption)</w:t>
      </w:r>
    </w:p>
    <w:p w:rsidR="00B8782D" w:rsidRDefault="00B8782D">
      <w:pPr>
        <w:pStyle w:val="ListBullet"/>
      </w:pPr>
      <w:r>
        <w:t>risks from by-products and waste.</w:t>
      </w:r>
    </w:p>
    <w:p w:rsidR="00B8782D" w:rsidRDefault="00B8782D">
      <w:pPr>
        <w:pStyle w:val="Heading4"/>
      </w:pPr>
      <w:r>
        <w:t>Probability of establishment</w:t>
      </w:r>
    </w:p>
    <w:p w:rsidR="00B8782D" w:rsidRDefault="00B8782D">
      <w:r>
        <w:t xml:space="preserve">Establishment is defined as the ‘perpetuation for the foreseeable future, of a pest within an area after entry’ </w:t>
      </w:r>
      <w:r>
        <w:rPr>
          <w:noProof/>
        </w:rPr>
        <w:t>(FAO 2015a)</w:t>
      </w:r>
      <w:r>
        <w:t>. In order to estimate the probability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probability of establishment.</w:t>
      </w:r>
    </w:p>
    <w:p w:rsidR="00B8782D" w:rsidRDefault="00B8782D">
      <w:r>
        <w:t>Factors considered in the probability of establishment in the PRA area include:</w:t>
      </w:r>
    </w:p>
    <w:p w:rsidR="00B8782D" w:rsidRDefault="00B8782D">
      <w:pPr>
        <w:pStyle w:val="ListBullet"/>
      </w:pPr>
      <w:r>
        <w:t>availability of hosts, alternative hosts and vectors</w:t>
      </w:r>
    </w:p>
    <w:p w:rsidR="00B8782D" w:rsidRDefault="00B8782D">
      <w:pPr>
        <w:pStyle w:val="ListBullet"/>
      </w:pPr>
      <w:r>
        <w:t>suitability of the environment</w:t>
      </w:r>
    </w:p>
    <w:p w:rsidR="00B8782D" w:rsidRDefault="00B8782D">
      <w:pPr>
        <w:pStyle w:val="ListBullet"/>
      </w:pPr>
      <w:r>
        <w:t>reproductive strategy and potential for adaptation</w:t>
      </w:r>
    </w:p>
    <w:p w:rsidR="00B8782D" w:rsidRDefault="00B8782D">
      <w:pPr>
        <w:pStyle w:val="ListBullet"/>
      </w:pPr>
      <w:r>
        <w:t>minimum population needed for establishment</w:t>
      </w:r>
    </w:p>
    <w:p w:rsidR="00B8782D" w:rsidRDefault="00B8782D">
      <w:pPr>
        <w:pStyle w:val="ListBullet"/>
      </w:pPr>
      <w:r>
        <w:t>cultural practices and control measures.</w:t>
      </w:r>
    </w:p>
    <w:p w:rsidR="00B8782D" w:rsidRDefault="00B8782D">
      <w:pPr>
        <w:pStyle w:val="Heading4"/>
      </w:pPr>
      <w:r>
        <w:t>Probability of spread</w:t>
      </w:r>
    </w:p>
    <w:p w:rsidR="00B8782D" w:rsidRDefault="00B8782D">
      <w:r>
        <w:t xml:space="preserve">Spread is defined as ‘the expansion of the geographical distribution of a pest within an area’ </w:t>
      </w:r>
      <w:r>
        <w:rPr>
          <w:noProof/>
        </w:rPr>
        <w:t>(FAO 2015a)</w:t>
      </w:r>
      <w:r>
        <w:t>. The probability of spread considers the factors relevant to the movement of the pest, after establishment on a host plant or plants, to other susceptible host plants of the same or different species in other areas. In order to estimate the probability of spread of the pest, reliable biological information is obtained from areas where the pest currently occurs. The situation in the PRA area is then carefully compared with that in the areas where the pest currently occurs and expert judgement used to assess the probability of spread.</w:t>
      </w:r>
    </w:p>
    <w:p w:rsidR="00B8782D" w:rsidRDefault="00B8782D">
      <w:r>
        <w:t>Factors considered in the probability of spread include:</w:t>
      </w:r>
    </w:p>
    <w:p w:rsidR="00B8782D" w:rsidRDefault="00B8782D">
      <w:pPr>
        <w:pStyle w:val="ListBullet"/>
      </w:pPr>
      <w:r>
        <w:t>suitability of the natural and/or managed environment for natural spread of the pest</w:t>
      </w:r>
    </w:p>
    <w:p w:rsidR="00B8782D" w:rsidRDefault="00B8782D">
      <w:pPr>
        <w:pStyle w:val="ListBullet"/>
      </w:pPr>
      <w:r>
        <w:t>presence of natural barriers</w:t>
      </w:r>
    </w:p>
    <w:p w:rsidR="00B8782D" w:rsidRDefault="00B8782D">
      <w:pPr>
        <w:pStyle w:val="ListBullet"/>
      </w:pPr>
      <w:r>
        <w:t>potential for movement with commodities, conveyances or by vectors</w:t>
      </w:r>
    </w:p>
    <w:p w:rsidR="00B8782D" w:rsidRDefault="00B8782D">
      <w:pPr>
        <w:pStyle w:val="ListBullet"/>
      </w:pPr>
      <w:r>
        <w:t>intended use of the commodity</w:t>
      </w:r>
    </w:p>
    <w:p w:rsidR="00B8782D" w:rsidRDefault="00B8782D">
      <w:pPr>
        <w:pStyle w:val="ListBullet"/>
      </w:pPr>
      <w:r>
        <w:t>potential vectors of the pest in the PRA area</w:t>
      </w:r>
    </w:p>
    <w:p w:rsidR="00B8782D" w:rsidRDefault="00B8782D">
      <w:pPr>
        <w:pStyle w:val="ListBullet"/>
      </w:pPr>
      <w:r>
        <w:t>potential natural enemies of the pest in the PRA area.</w:t>
      </w:r>
    </w:p>
    <w:p w:rsidR="00B8782D" w:rsidRDefault="00B8782D">
      <w:pPr>
        <w:pStyle w:val="Heading5"/>
      </w:pPr>
      <w:r>
        <w:t>Assigning qualitative likelihoods for entry, establishment and spread</w:t>
      </w:r>
    </w:p>
    <w:p w:rsidR="00B8782D" w:rsidRDefault="00B8782D">
      <w:r>
        <w:t xml:space="preserve">In its qualitative PRAs, the Australian Government Department of Agriculture and Water Resources uses the term ‘likelihood’ for the descriptors it uses for its estimates of probability of entry, establishment and spread. Qualitative likelihoods are assigned to each step of entry, </w:t>
      </w:r>
      <w:r>
        <w:lastRenderedPageBreak/>
        <w:t>establishment and spread. Six descriptors are used: high; moderate; low; very low; extremely low; and negligible (Table 2.1). Descriptive definitions for these descriptors and their indicative likelihood ranges are given in Table 2.1. The indicative likelihood ranges are only provided to illustrate the boundaries of the descriptors and are not used beyond this purpose in qualitative PRAs. These indicative likelihood ranges provide guidance to the risk analyst and promote consistency between different pest risk assessments.</w:t>
      </w:r>
    </w:p>
    <w:p w:rsidR="00B8782D" w:rsidRDefault="00B8782D">
      <w:pPr>
        <w:pStyle w:val="Caption"/>
      </w:pPr>
      <w:bookmarkStart w:id="21" w:name="_Toc448236038"/>
      <w:r>
        <w:t xml:space="preserve">Table </w:t>
      </w:r>
      <w:r w:rsidR="00EA0C11">
        <w:fldChar w:fldCharType="begin"/>
      </w:r>
      <w:r w:rsidR="00EA0C11">
        <w:instrText xml:space="preserve"> STYLEREF 1 \s </w:instrText>
      </w:r>
      <w:r w:rsidR="00EA0C11">
        <w:fldChar w:fldCharType="separate"/>
      </w:r>
      <w:r w:rsidR="00457D54">
        <w:rPr>
          <w:noProof/>
        </w:rPr>
        <w:t>2</w:t>
      </w:r>
      <w:r w:rsidR="00EA0C11">
        <w:rPr>
          <w:noProof/>
        </w:rPr>
        <w:fldChar w:fldCharType="end"/>
      </w:r>
      <w:r>
        <w:t>.</w:t>
      </w:r>
      <w:r w:rsidR="00EA0C11">
        <w:fldChar w:fldCharType="begin"/>
      </w:r>
      <w:r w:rsidR="00EA0C11">
        <w:instrText xml:space="preserve"> SEQ Table \* ARABIC \s 1 </w:instrText>
      </w:r>
      <w:r w:rsidR="00EA0C11">
        <w:fldChar w:fldCharType="separate"/>
      </w:r>
      <w:r w:rsidR="00457D54">
        <w:rPr>
          <w:noProof/>
        </w:rPr>
        <w:t>1</w:t>
      </w:r>
      <w:r w:rsidR="00EA0C11">
        <w:rPr>
          <w:noProof/>
        </w:rPr>
        <w:fldChar w:fldCharType="end"/>
      </w:r>
      <w:r>
        <w:t xml:space="preserve"> Nomenclature of qualitative likelihoods</w:t>
      </w:r>
      <w:bookmarkEnd w:id="21"/>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B8782D">
        <w:tc>
          <w:tcPr>
            <w:tcW w:w="1051" w:type="pct"/>
          </w:tcPr>
          <w:p w:rsidR="00B8782D" w:rsidRDefault="00B8782D">
            <w:pPr>
              <w:pStyle w:val="TableHeading"/>
            </w:pPr>
            <w:r>
              <w:t>Likelihood</w:t>
            </w:r>
          </w:p>
        </w:tc>
        <w:tc>
          <w:tcPr>
            <w:tcW w:w="2282" w:type="pct"/>
          </w:tcPr>
          <w:p w:rsidR="00B8782D" w:rsidRDefault="00B8782D">
            <w:pPr>
              <w:pStyle w:val="TableHeading"/>
            </w:pPr>
            <w:r>
              <w:t>Descriptive definition</w:t>
            </w:r>
          </w:p>
        </w:tc>
        <w:tc>
          <w:tcPr>
            <w:tcW w:w="1667" w:type="pct"/>
          </w:tcPr>
          <w:p w:rsidR="00B8782D" w:rsidRDefault="00B8782D">
            <w:pPr>
              <w:pStyle w:val="TableHeading"/>
            </w:pPr>
            <w:r>
              <w:t>Indicative probability (P) range</w:t>
            </w:r>
          </w:p>
        </w:tc>
      </w:tr>
      <w:tr w:rsidR="00B8782D">
        <w:tc>
          <w:tcPr>
            <w:tcW w:w="1051" w:type="pct"/>
          </w:tcPr>
          <w:p w:rsidR="00B8782D" w:rsidRDefault="00B8782D">
            <w:pPr>
              <w:pStyle w:val="TableText"/>
            </w:pPr>
            <w:r>
              <w:t>High</w:t>
            </w:r>
          </w:p>
        </w:tc>
        <w:tc>
          <w:tcPr>
            <w:tcW w:w="2282" w:type="pct"/>
          </w:tcPr>
          <w:p w:rsidR="00B8782D" w:rsidRDefault="00B8782D">
            <w:pPr>
              <w:pStyle w:val="TableText"/>
            </w:pPr>
            <w:r>
              <w:t>The event would be very likely to occur</w:t>
            </w:r>
          </w:p>
        </w:tc>
        <w:tc>
          <w:tcPr>
            <w:tcW w:w="1667" w:type="pct"/>
          </w:tcPr>
          <w:p w:rsidR="00B8782D" w:rsidRDefault="00B8782D">
            <w:pPr>
              <w:pStyle w:val="TableText"/>
            </w:pPr>
            <w:r>
              <w:t>0.7 &lt; P ≤ 1</w:t>
            </w:r>
          </w:p>
        </w:tc>
      </w:tr>
      <w:tr w:rsidR="00B8782D">
        <w:tc>
          <w:tcPr>
            <w:tcW w:w="1051" w:type="pct"/>
          </w:tcPr>
          <w:p w:rsidR="00B8782D" w:rsidRDefault="00B8782D">
            <w:pPr>
              <w:pStyle w:val="TableText"/>
            </w:pPr>
            <w:r>
              <w:t>Moderate</w:t>
            </w:r>
          </w:p>
        </w:tc>
        <w:tc>
          <w:tcPr>
            <w:tcW w:w="2282" w:type="pct"/>
          </w:tcPr>
          <w:p w:rsidR="00B8782D" w:rsidRDefault="00B8782D">
            <w:pPr>
              <w:pStyle w:val="TableText"/>
            </w:pPr>
            <w:r>
              <w:t>The event would occur with an even likelihood</w:t>
            </w:r>
          </w:p>
        </w:tc>
        <w:tc>
          <w:tcPr>
            <w:tcW w:w="1667" w:type="pct"/>
          </w:tcPr>
          <w:p w:rsidR="00B8782D" w:rsidRDefault="00B8782D">
            <w:pPr>
              <w:pStyle w:val="TableText"/>
            </w:pPr>
            <w:r>
              <w:t>0.3 &lt; P ≤ 0.7</w:t>
            </w:r>
          </w:p>
        </w:tc>
      </w:tr>
      <w:tr w:rsidR="00B8782D">
        <w:tc>
          <w:tcPr>
            <w:tcW w:w="1051" w:type="pct"/>
          </w:tcPr>
          <w:p w:rsidR="00B8782D" w:rsidRDefault="00B8782D">
            <w:pPr>
              <w:pStyle w:val="TableText"/>
            </w:pPr>
            <w:r>
              <w:t>Low</w:t>
            </w:r>
          </w:p>
        </w:tc>
        <w:tc>
          <w:tcPr>
            <w:tcW w:w="2282" w:type="pct"/>
          </w:tcPr>
          <w:p w:rsidR="00B8782D" w:rsidRDefault="00B8782D">
            <w:pPr>
              <w:pStyle w:val="TableText"/>
            </w:pPr>
            <w:r>
              <w:t>The event would be unlikely to occur</w:t>
            </w:r>
          </w:p>
        </w:tc>
        <w:tc>
          <w:tcPr>
            <w:tcW w:w="1667" w:type="pct"/>
          </w:tcPr>
          <w:p w:rsidR="00B8782D" w:rsidRDefault="00B8782D">
            <w:pPr>
              <w:pStyle w:val="TableText"/>
            </w:pPr>
            <w:r>
              <w:t>0.05 &lt; P ≤ 0.3</w:t>
            </w:r>
          </w:p>
        </w:tc>
      </w:tr>
      <w:tr w:rsidR="00B8782D">
        <w:tc>
          <w:tcPr>
            <w:tcW w:w="1051" w:type="pct"/>
          </w:tcPr>
          <w:p w:rsidR="00B8782D" w:rsidRDefault="00B8782D">
            <w:pPr>
              <w:pStyle w:val="TableText"/>
            </w:pPr>
            <w:r>
              <w:t>Very low</w:t>
            </w:r>
          </w:p>
        </w:tc>
        <w:tc>
          <w:tcPr>
            <w:tcW w:w="2282" w:type="pct"/>
          </w:tcPr>
          <w:p w:rsidR="00B8782D" w:rsidRDefault="00B8782D">
            <w:pPr>
              <w:pStyle w:val="TableText"/>
            </w:pPr>
            <w:r>
              <w:t>The event would be very unlikely to occur</w:t>
            </w:r>
          </w:p>
        </w:tc>
        <w:tc>
          <w:tcPr>
            <w:tcW w:w="1667" w:type="pct"/>
          </w:tcPr>
          <w:p w:rsidR="00B8782D" w:rsidRDefault="00B8782D">
            <w:pPr>
              <w:pStyle w:val="TableText"/>
            </w:pPr>
            <w:r>
              <w:t>0.001 &lt; P ≤ 0.05</w:t>
            </w:r>
          </w:p>
        </w:tc>
      </w:tr>
      <w:tr w:rsidR="00B8782D">
        <w:tc>
          <w:tcPr>
            <w:tcW w:w="1051" w:type="pct"/>
          </w:tcPr>
          <w:p w:rsidR="00B8782D" w:rsidRDefault="00B8782D">
            <w:pPr>
              <w:pStyle w:val="TableText"/>
            </w:pPr>
            <w:r>
              <w:t>Extremely low</w:t>
            </w:r>
          </w:p>
        </w:tc>
        <w:tc>
          <w:tcPr>
            <w:tcW w:w="2282" w:type="pct"/>
          </w:tcPr>
          <w:p w:rsidR="00B8782D" w:rsidRDefault="00B8782D">
            <w:pPr>
              <w:pStyle w:val="TableText"/>
            </w:pPr>
            <w:r>
              <w:t>The event would be extremely unlikely to occur</w:t>
            </w:r>
          </w:p>
        </w:tc>
        <w:tc>
          <w:tcPr>
            <w:tcW w:w="1667" w:type="pct"/>
          </w:tcPr>
          <w:p w:rsidR="00B8782D" w:rsidRDefault="00B8782D">
            <w:pPr>
              <w:pStyle w:val="TableText"/>
            </w:pPr>
            <w:r>
              <w:t>0.000001 &lt; P ≤ 0.001</w:t>
            </w:r>
          </w:p>
        </w:tc>
      </w:tr>
      <w:tr w:rsidR="00B8782D">
        <w:tc>
          <w:tcPr>
            <w:tcW w:w="1051" w:type="pct"/>
          </w:tcPr>
          <w:p w:rsidR="00B8782D" w:rsidRDefault="00B8782D">
            <w:pPr>
              <w:pStyle w:val="TableText"/>
            </w:pPr>
            <w:r>
              <w:t>Negligible</w:t>
            </w:r>
          </w:p>
        </w:tc>
        <w:tc>
          <w:tcPr>
            <w:tcW w:w="2282" w:type="pct"/>
          </w:tcPr>
          <w:p w:rsidR="00B8782D" w:rsidRDefault="00B8782D">
            <w:pPr>
              <w:pStyle w:val="TableText"/>
            </w:pPr>
            <w:r>
              <w:t>The event would almost certainly not occur</w:t>
            </w:r>
          </w:p>
        </w:tc>
        <w:tc>
          <w:tcPr>
            <w:tcW w:w="1667" w:type="pct"/>
          </w:tcPr>
          <w:p w:rsidR="00B8782D" w:rsidRDefault="00B8782D">
            <w:pPr>
              <w:pStyle w:val="TableText"/>
            </w:pPr>
            <w:r>
              <w:t>0 &lt; P ≤ 0.000001</w:t>
            </w:r>
          </w:p>
        </w:tc>
      </w:tr>
    </w:tbl>
    <w:p w:rsidR="00B8782D" w:rsidRDefault="00B8782D">
      <w:r>
        <w:t>The likelihood of entry is determined by combining the likelihood that the pest will be imported into the PRA area and the likelihood that the pest will be distributed within the PRA area, using a matrix of rules (Table 2.2). This matrix is then used to combine the likelihood of entry and the likelihood of establishment, and the likelihood of entry and establishment is then combined with the likelihood of spread to determine the overall likelihood of entry, establishment and spread.</w:t>
      </w:r>
    </w:p>
    <w:p w:rsidR="00B8782D" w:rsidRDefault="00B8782D">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rsidR="00B8782D" w:rsidRDefault="00B8782D">
      <w:pPr>
        <w:tabs>
          <w:tab w:val="left" w:pos="4536"/>
        </w:tabs>
      </w:pPr>
      <w:r>
        <w:t>importation x distribution = entry [E]</w:t>
      </w:r>
      <w:r>
        <w:tab/>
      </w:r>
      <w:r>
        <w:rPr>
          <w:b/>
        </w:rPr>
        <w:t>low x moderate = low</w:t>
      </w:r>
    </w:p>
    <w:p w:rsidR="00B8782D" w:rsidRDefault="00EA0C11">
      <w:pPr>
        <w:tabs>
          <w:tab w:val="left" w:pos="4536"/>
        </w:tabs>
      </w:pPr>
      <w:r>
        <w:t xml:space="preserve">entry x </w:t>
      </w:r>
      <w:r w:rsidR="00B8782D">
        <w:t>establishment = [EE]</w:t>
      </w:r>
      <w:r w:rsidR="00B8782D">
        <w:tab/>
      </w:r>
      <w:r w:rsidR="00B8782D">
        <w:rPr>
          <w:b/>
        </w:rPr>
        <w:t>low x high = low</w:t>
      </w:r>
    </w:p>
    <w:p w:rsidR="00B8782D" w:rsidRDefault="00B8782D">
      <w:pPr>
        <w:tabs>
          <w:tab w:val="left" w:pos="4536"/>
        </w:tabs>
        <w:rPr>
          <w:b/>
        </w:rPr>
      </w:pPr>
      <w:r>
        <w:t>[EE] x spread = [EES]</w:t>
      </w:r>
      <w:r>
        <w:tab/>
      </w:r>
      <w:r>
        <w:rPr>
          <w:b/>
        </w:rPr>
        <w:t>low x very low = very low</w:t>
      </w:r>
    </w:p>
    <w:p w:rsidR="00B8782D" w:rsidRDefault="00B8782D">
      <w:pPr>
        <w:pStyle w:val="Caption"/>
      </w:pPr>
      <w:r>
        <w:br w:type="page"/>
      </w:r>
      <w:bookmarkStart w:id="22" w:name="_Toc448236039"/>
      <w:r>
        <w:lastRenderedPageBreak/>
        <w:t xml:space="preserve">Table </w:t>
      </w:r>
      <w:r w:rsidR="00EA0C11">
        <w:fldChar w:fldCharType="begin"/>
      </w:r>
      <w:r w:rsidR="00EA0C11">
        <w:instrText xml:space="preserve"> STYLEREF 1 \s </w:instrText>
      </w:r>
      <w:r w:rsidR="00EA0C11">
        <w:fldChar w:fldCharType="separate"/>
      </w:r>
      <w:r w:rsidR="00457D54">
        <w:rPr>
          <w:noProof/>
        </w:rPr>
        <w:t>2</w:t>
      </w:r>
      <w:r w:rsidR="00EA0C11">
        <w:rPr>
          <w:noProof/>
        </w:rPr>
        <w:fldChar w:fldCharType="end"/>
      </w:r>
      <w:r>
        <w:t>.</w:t>
      </w:r>
      <w:r w:rsidR="00EA0C11">
        <w:fldChar w:fldCharType="begin"/>
      </w:r>
      <w:r w:rsidR="00EA0C11">
        <w:instrText xml:space="preserve"> SEQ Table \* ARABIC \s 1 </w:instrText>
      </w:r>
      <w:r w:rsidR="00EA0C11">
        <w:fldChar w:fldCharType="separate"/>
      </w:r>
      <w:r w:rsidR="00457D54">
        <w:rPr>
          <w:noProof/>
        </w:rPr>
        <w:t>2</w:t>
      </w:r>
      <w:r w:rsidR="00EA0C11">
        <w:rPr>
          <w:noProof/>
        </w:rPr>
        <w:fldChar w:fldCharType="end"/>
      </w:r>
      <w:r>
        <w:t xml:space="preserve"> Matrix of rules for combining qualitative likelihoods</w:t>
      </w:r>
      <w:bookmarkEnd w:id="22"/>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B8782D">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rsidR="00B8782D" w:rsidRDefault="00B8782D">
            <w:pPr>
              <w:pStyle w:val="TableText0"/>
              <w:rPr>
                <w:rFonts w:ascii="Cambria" w:hAnsi="Cambria" w:cs="Arial"/>
                <w:sz w:val="18"/>
                <w:szCs w:val="18"/>
              </w:rPr>
            </w:pPr>
          </w:p>
        </w:tc>
        <w:tc>
          <w:tcPr>
            <w:tcW w:w="723" w:type="pct"/>
            <w:tcBorders>
              <w:top w:val="single" w:sz="8" w:space="0" w:color="auto"/>
              <w:left w:val="nil"/>
              <w:bottom w:val="single" w:sz="8" w:space="0" w:color="C0C0C0"/>
            </w:tcBorders>
            <w:shd w:val="clear" w:color="auto" w:fill="auto"/>
          </w:tcPr>
          <w:p w:rsidR="00B8782D" w:rsidRDefault="00B8782D">
            <w:pPr>
              <w:pStyle w:val="TableHeading"/>
            </w:pPr>
            <w:r>
              <w:t>High</w:t>
            </w:r>
          </w:p>
        </w:tc>
        <w:tc>
          <w:tcPr>
            <w:tcW w:w="724" w:type="pct"/>
            <w:tcBorders>
              <w:top w:val="single" w:sz="8" w:space="0" w:color="auto"/>
              <w:bottom w:val="single" w:sz="8" w:space="0" w:color="C0C0C0"/>
            </w:tcBorders>
            <w:shd w:val="clear" w:color="auto" w:fill="auto"/>
          </w:tcPr>
          <w:p w:rsidR="00B8782D" w:rsidRDefault="00B8782D">
            <w:pPr>
              <w:pStyle w:val="TableHeading"/>
            </w:pPr>
            <w:r>
              <w:t>Moderate</w:t>
            </w:r>
          </w:p>
        </w:tc>
        <w:tc>
          <w:tcPr>
            <w:tcW w:w="723" w:type="pct"/>
            <w:tcBorders>
              <w:top w:val="single" w:sz="8" w:space="0" w:color="auto"/>
              <w:bottom w:val="single" w:sz="8" w:space="0" w:color="C0C0C0"/>
            </w:tcBorders>
            <w:shd w:val="clear" w:color="auto" w:fill="auto"/>
          </w:tcPr>
          <w:p w:rsidR="00B8782D" w:rsidRDefault="00B8782D">
            <w:pPr>
              <w:pStyle w:val="TableHeading"/>
            </w:pPr>
            <w:r>
              <w:t>Low</w:t>
            </w:r>
          </w:p>
        </w:tc>
        <w:tc>
          <w:tcPr>
            <w:tcW w:w="723" w:type="pct"/>
            <w:tcBorders>
              <w:top w:val="single" w:sz="8" w:space="0" w:color="auto"/>
              <w:bottom w:val="single" w:sz="8" w:space="0" w:color="C0C0C0"/>
            </w:tcBorders>
            <w:shd w:val="clear" w:color="auto" w:fill="auto"/>
          </w:tcPr>
          <w:p w:rsidR="00B8782D" w:rsidRDefault="00B8782D">
            <w:pPr>
              <w:pStyle w:val="TableHeading"/>
            </w:pPr>
            <w:r>
              <w:t>Very low</w:t>
            </w:r>
          </w:p>
        </w:tc>
        <w:tc>
          <w:tcPr>
            <w:tcW w:w="724" w:type="pct"/>
            <w:tcBorders>
              <w:top w:val="single" w:sz="8" w:space="0" w:color="auto"/>
              <w:bottom w:val="single" w:sz="8" w:space="0" w:color="C0C0C0"/>
            </w:tcBorders>
            <w:shd w:val="clear" w:color="auto" w:fill="auto"/>
          </w:tcPr>
          <w:p w:rsidR="00B8782D" w:rsidRDefault="00B8782D">
            <w:pPr>
              <w:pStyle w:val="TableHeading"/>
            </w:pPr>
            <w:r>
              <w:t>Extremely low</w:t>
            </w:r>
          </w:p>
        </w:tc>
        <w:tc>
          <w:tcPr>
            <w:tcW w:w="723" w:type="pct"/>
            <w:tcBorders>
              <w:top w:val="single" w:sz="8" w:space="0" w:color="auto"/>
              <w:bottom w:val="single" w:sz="8" w:space="0" w:color="C0C0C0"/>
              <w:right w:val="single" w:sz="8" w:space="0" w:color="auto"/>
            </w:tcBorders>
            <w:shd w:val="clear" w:color="auto" w:fill="auto"/>
          </w:tcPr>
          <w:p w:rsidR="00B8782D" w:rsidRDefault="00B8782D">
            <w:pPr>
              <w:pStyle w:val="TableHeading"/>
            </w:pPr>
            <w:r>
              <w:t>Negligible</w:t>
            </w:r>
          </w:p>
        </w:tc>
      </w:tr>
      <w:tr w:rsidR="00B8782D">
        <w:trPr>
          <w:cantSplit/>
        </w:trPr>
        <w:tc>
          <w:tcPr>
            <w:tcW w:w="660" w:type="pct"/>
            <w:tcBorders>
              <w:top w:val="nil"/>
              <w:left w:val="single" w:sz="8" w:space="0" w:color="auto"/>
              <w:bottom w:val="single" w:sz="8" w:space="0" w:color="C0C0C0"/>
            </w:tcBorders>
            <w:vAlign w:val="center"/>
          </w:tcPr>
          <w:p w:rsidR="00B8782D" w:rsidRDefault="00B8782D">
            <w:pPr>
              <w:pStyle w:val="TableHeading"/>
            </w:pPr>
            <w:r>
              <w:t>High</w:t>
            </w:r>
          </w:p>
        </w:tc>
        <w:tc>
          <w:tcPr>
            <w:tcW w:w="723" w:type="pct"/>
            <w:tcBorders>
              <w:top w:val="single" w:sz="8" w:space="0" w:color="C0C0C0"/>
              <w:bottom w:val="single" w:sz="8" w:space="0" w:color="C0C0C0"/>
            </w:tcBorders>
            <w:shd w:val="clear" w:color="auto" w:fill="FF99CC"/>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High</w:t>
            </w:r>
          </w:p>
        </w:tc>
        <w:tc>
          <w:tcPr>
            <w:tcW w:w="724" w:type="pct"/>
            <w:tcBorders>
              <w:top w:val="single" w:sz="8" w:space="0" w:color="C0C0C0"/>
            </w:tcBorders>
            <w:shd w:val="clear" w:color="auto" w:fill="FFCC99"/>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Moderate</w:t>
            </w:r>
          </w:p>
        </w:tc>
        <w:tc>
          <w:tcPr>
            <w:tcW w:w="723" w:type="pct"/>
            <w:tcBorders>
              <w:top w:val="single" w:sz="8" w:space="0" w:color="C0C0C0"/>
            </w:tcBorders>
            <w:shd w:val="clear" w:color="auto" w:fill="FFFF99"/>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Low</w:t>
            </w:r>
          </w:p>
        </w:tc>
        <w:tc>
          <w:tcPr>
            <w:tcW w:w="723" w:type="pct"/>
            <w:tcBorders>
              <w:top w:val="single" w:sz="8" w:space="0" w:color="C0C0C0"/>
            </w:tcBorders>
            <w:shd w:val="clear" w:color="auto" w:fill="CCFFCC"/>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Very low</w:t>
            </w:r>
          </w:p>
        </w:tc>
        <w:tc>
          <w:tcPr>
            <w:tcW w:w="724" w:type="pct"/>
            <w:tcBorders>
              <w:top w:val="single" w:sz="8" w:space="0" w:color="C0C0C0"/>
            </w:tcBorders>
            <w:shd w:val="clear" w:color="auto" w:fill="CCFFFF"/>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Extremely low</w:t>
            </w:r>
          </w:p>
        </w:tc>
        <w:tc>
          <w:tcPr>
            <w:tcW w:w="723" w:type="pct"/>
            <w:tcBorders>
              <w:top w:val="single" w:sz="8" w:space="0" w:color="C0C0C0"/>
              <w:right w:val="single" w:sz="8" w:space="0" w:color="auto"/>
            </w:tcBorders>
            <w:shd w:val="clear" w:color="auto" w:fill="F2F2F2"/>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Negligible</w:t>
            </w:r>
          </w:p>
        </w:tc>
      </w:tr>
      <w:tr w:rsidR="00B8782D">
        <w:trPr>
          <w:cantSplit/>
        </w:trPr>
        <w:tc>
          <w:tcPr>
            <w:tcW w:w="1382" w:type="pct"/>
            <w:gridSpan w:val="2"/>
            <w:tcBorders>
              <w:top w:val="single" w:sz="8" w:space="0" w:color="C0C0C0"/>
              <w:left w:val="single" w:sz="8" w:space="0" w:color="auto"/>
              <w:bottom w:val="single" w:sz="8" w:space="0" w:color="C0C0C0"/>
            </w:tcBorders>
            <w:vAlign w:val="center"/>
          </w:tcPr>
          <w:p w:rsidR="00B8782D" w:rsidRDefault="00B8782D">
            <w:pPr>
              <w:pStyle w:val="TableHeading"/>
            </w:pPr>
            <w:r>
              <w:t>Moderate</w:t>
            </w:r>
          </w:p>
        </w:tc>
        <w:tc>
          <w:tcPr>
            <w:tcW w:w="724" w:type="pct"/>
            <w:tcBorders>
              <w:bottom w:val="single" w:sz="8" w:space="0" w:color="C0C0C0"/>
            </w:tcBorders>
            <w:shd w:val="clear" w:color="auto" w:fill="FFFF99"/>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Low</w:t>
            </w:r>
          </w:p>
        </w:tc>
        <w:tc>
          <w:tcPr>
            <w:tcW w:w="723" w:type="pct"/>
            <w:shd w:val="clear" w:color="auto" w:fill="FFFF99"/>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Low</w:t>
            </w:r>
          </w:p>
        </w:tc>
        <w:tc>
          <w:tcPr>
            <w:tcW w:w="723" w:type="pct"/>
            <w:shd w:val="clear" w:color="auto" w:fill="CCFFCC"/>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Very low</w:t>
            </w:r>
          </w:p>
        </w:tc>
        <w:tc>
          <w:tcPr>
            <w:tcW w:w="724" w:type="pct"/>
            <w:shd w:val="clear" w:color="auto" w:fill="CCFFFF"/>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Extremely low</w:t>
            </w:r>
          </w:p>
        </w:tc>
        <w:tc>
          <w:tcPr>
            <w:tcW w:w="723" w:type="pct"/>
            <w:tcBorders>
              <w:right w:val="single" w:sz="8" w:space="0" w:color="auto"/>
            </w:tcBorders>
            <w:shd w:val="clear" w:color="auto" w:fill="F2F2F2"/>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Negligible</w:t>
            </w:r>
          </w:p>
        </w:tc>
      </w:tr>
      <w:tr w:rsidR="00B8782D">
        <w:trPr>
          <w:cantSplit/>
        </w:trPr>
        <w:tc>
          <w:tcPr>
            <w:tcW w:w="2106" w:type="pct"/>
            <w:gridSpan w:val="3"/>
            <w:tcBorders>
              <w:top w:val="single" w:sz="8" w:space="0" w:color="C0C0C0"/>
              <w:left w:val="single" w:sz="8" w:space="0" w:color="auto"/>
              <w:bottom w:val="single" w:sz="8" w:space="0" w:color="C0C0C0"/>
            </w:tcBorders>
            <w:vAlign w:val="center"/>
          </w:tcPr>
          <w:p w:rsidR="00B8782D" w:rsidRDefault="00B8782D">
            <w:pPr>
              <w:pStyle w:val="TableHeading"/>
            </w:pPr>
            <w:r>
              <w:t>Low</w:t>
            </w:r>
          </w:p>
        </w:tc>
        <w:tc>
          <w:tcPr>
            <w:tcW w:w="723" w:type="pct"/>
            <w:tcBorders>
              <w:bottom w:val="single" w:sz="8" w:space="0" w:color="C0C0C0"/>
            </w:tcBorders>
            <w:shd w:val="clear" w:color="auto" w:fill="CCFFCC"/>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Very low</w:t>
            </w:r>
          </w:p>
        </w:tc>
        <w:tc>
          <w:tcPr>
            <w:tcW w:w="723" w:type="pct"/>
            <w:shd w:val="clear" w:color="auto" w:fill="CCFFCC"/>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Very low</w:t>
            </w:r>
          </w:p>
        </w:tc>
        <w:tc>
          <w:tcPr>
            <w:tcW w:w="724" w:type="pct"/>
            <w:shd w:val="clear" w:color="auto" w:fill="CCFFFF"/>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Extremely low</w:t>
            </w:r>
          </w:p>
        </w:tc>
        <w:tc>
          <w:tcPr>
            <w:tcW w:w="723" w:type="pct"/>
            <w:tcBorders>
              <w:right w:val="single" w:sz="8" w:space="0" w:color="auto"/>
            </w:tcBorders>
            <w:shd w:val="clear" w:color="auto" w:fill="F2F2F2"/>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Negligible</w:t>
            </w:r>
          </w:p>
        </w:tc>
      </w:tr>
      <w:tr w:rsidR="00B8782D">
        <w:trPr>
          <w:cantSplit/>
        </w:trPr>
        <w:tc>
          <w:tcPr>
            <w:tcW w:w="2830" w:type="pct"/>
            <w:gridSpan w:val="4"/>
            <w:tcBorders>
              <w:top w:val="single" w:sz="8" w:space="0" w:color="C0C0C0"/>
              <w:left w:val="single" w:sz="8" w:space="0" w:color="auto"/>
              <w:bottom w:val="single" w:sz="8" w:space="0" w:color="C0C0C0"/>
            </w:tcBorders>
            <w:vAlign w:val="center"/>
          </w:tcPr>
          <w:p w:rsidR="00B8782D" w:rsidRDefault="00B8782D">
            <w:pPr>
              <w:pStyle w:val="TableHeading"/>
            </w:pPr>
            <w:r>
              <w:t>Very low</w:t>
            </w:r>
          </w:p>
        </w:tc>
        <w:tc>
          <w:tcPr>
            <w:tcW w:w="723" w:type="pct"/>
            <w:tcBorders>
              <w:bottom w:val="single" w:sz="8" w:space="0" w:color="C0C0C0"/>
            </w:tcBorders>
            <w:shd w:val="clear" w:color="auto" w:fill="CCFFFF"/>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Extremely low</w:t>
            </w:r>
          </w:p>
        </w:tc>
        <w:tc>
          <w:tcPr>
            <w:tcW w:w="724" w:type="pct"/>
            <w:shd w:val="clear" w:color="auto" w:fill="CCFFFF"/>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Extremely low</w:t>
            </w:r>
          </w:p>
        </w:tc>
        <w:tc>
          <w:tcPr>
            <w:tcW w:w="723" w:type="pct"/>
            <w:tcBorders>
              <w:right w:val="single" w:sz="8" w:space="0" w:color="auto"/>
            </w:tcBorders>
            <w:shd w:val="clear" w:color="auto" w:fill="F2F2F2"/>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Negligible</w:t>
            </w:r>
          </w:p>
        </w:tc>
      </w:tr>
      <w:tr w:rsidR="00B8782D">
        <w:trPr>
          <w:cantSplit/>
        </w:trPr>
        <w:tc>
          <w:tcPr>
            <w:tcW w:w="3553" w:type="pct"/>
            <w:gridSpan w:val="5"/>
            <w:tcBorders>
              <w:top w:val="single" w:sz="8" w:space="0" w:color="C0C0C0"/>
              <w:left w:val="single" w:sz="8" w:space="0" w:color="auto"/>
              <w:bottom w:val="single" w:sz="8" w:space="0" w:color="C0C0C0"/>
            </w:tcBorders>
            <w:vAlign w:val="center"/>
          </w:tcPr>
          <w:p w:rsidR="00B8782D" w:rsidRDefault="00B8782D">
            <w:pPr>
              <w:pStyle w:val="TableHeading"/>
            </w:pPr>
            <w:r>
              <w:t>Extremely low</w:t>
            </w:r>
          </w:p>
        </w:tc>
        <w:tc>
          <w:tcPr>
            <w:tcW w:w="724" w:type="pct"/>
            <w:tcBorders>
              <w:bottom w:val="single" w:sz="8" w:space="0" w:color="C0C0C0"/>
            </w:tcBorders>
            <w:shd w:val="clear" w:color="auto" w:fill="F2F2F2"/>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Negligible</w:t>
            </w:r>
          </w:p>
        </w:tc>
        <w:tc>
          <w:tcPr>
            <w:tcW w:w="723" w:type="pct"/>
            <w:tcBorders>
              <w:right w:val="single" w:sz="8" w:space="0" w:color="auto"/>
            </w:tcBorders>
            <w:shd w:val="clear" w:color="auto" w:fill="F2F2F2"/>
            <w:vAlign w:val="center"/>
          </w:tcPr>
          <w:p w:rsidR="00B8782D" w:rsidRDefault="00B8782D">
            <w:pPr>
              <w:pStyle w:val="TableText0"/>
              <w:rPr>
                <w:rFonts w:ascii="Cambria" w:hAnsi="Cambria" w:cs="Arial"/>
                <w:snapToGrid w:val="0"/>
                <w:sz w:val="18"/>
                <w:szCs w:val="18"/>
              </w:rPr>
            </w:pPr>
            <w:r>
              <w:rPr>
                <w:rFonts w:ascii="Cambria" w:hAnsi="Cambria" w:cs="Arial"/>
                <w:snapToGrid w:val="0"/>
                <w:sz w:val="18"/>
                <w:szCs w:val="18"/>
              </w:rPr>
              <w:t>Negligible</w:t>
            </w:r>
          </w:p>
        </w:tc>
      </w:tr>
      <w:tr w:rsidR="00B8782D">
        <w:trPr>
          <w:cantSplit/>
        </w:trPr>
        <w:tc>
          <w:tcPr>
            <w:tcW w:w="4277" w:type="pct"/>
            <w:gridSpan w:val="6"/>
            <w:tcBorders>
              <w:top w:val="single" w:sz="8" w:space="0" w:color="C0C0C0"/>
              <w:left w:val="single" w:sz="8" w:space="0" w:color="auto"/>
              <w:bottom w:val="single" w:sz="8" w:space="0" w:color="auto"/>
            </w:tcBorders>
            <w:vAlign w:val="center"/>
          </w:tcPr>
          <w:p w:rsidR="00B8782D" w:rsidRDefault="00B8782D">
            <w:pPr>
              <w:pStyle w:val="TableHeading"/>
            </w:pPr>
            <w:r>
              <w:t>Negligible</w:t>
            </w:r>
          </w:p>
        </w:tc>
        <w:tc>
          <w:tcPr>
            <w:tcW w:w="723" w:type="pct"/>
            <w:tcBorders>
              <w:bottom w:val="single" w:sz="8" w:space="0" w:color="auto"/>
              <w:right w:val="single" w:sz="8" w:space="0" w:color="auto"/>
            </w:tcBorders>
            <w:shd w:val="clear" w:color="auto" w:fill="F2F2F2"/>
            <w:vAlign w:val="center"/>
          </w:tcPr>
          <w:p w:rsidR="00B8782D" w:rsidRDefault="00B8782D">
            <w:pPr>
              <w:pStyle w:val="TableText0"/>
              <w:rPr>
                <w:rFonts w:ascii="Cambria" w:hAnsi="Cambria" w:cs="Arial"/>
                <w:sz w:val="18"/>
                <w:szCs w:val="18"/>
              </w:rPr>
            </w:pPr>
            <w:r>
              <w:rPr>
                <w:rFonts w:ascii="Cambria" w:hAnsi="Cambria" w:cs="Arial"/>
                <w:snapToGrid w:val="0"/>
                <w:sz w:val="18"/>
                <w:szCs w:val="18"/>
              </w:rPr>
              <w:t>Negligible</w:t>
            </w:r>
          </w:p>
        </w:tc>
      </w:tr>
    </w:tbl>
    <w:p w:rsidR="00B8782D" w:rsidRDefault="00B8782D">
      <w:pPr>
        <w:pStyle w:val="Heading5"/>
      </w:pPr>
      <w:r>
        <w:t>Time and volume of trade</w:t>
      </w:r>
    </w:p>
    <w:p w:rsidR="00B8782D" w:rsidRDefault="00B8782D">
      <w:r>
        <w:t>One factor affecting the likelihood of entry is the volume and duration of trade. If all other conditions remain the same, the overall likelihood of entry will increase as time passes and the overall volume of trade increases.</w:t>
      </w:r>
    </w:p>
    <w:p w:rsidR="00B8782D" w:rsidRDefault="00B8782D">
      <w:r>
        <w:t>The Australian Government Department of Agriculture and Water Resources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rsidR="00B8782D" w:rsidRDefault="00B8782D">
      <w:r>
        <w:t>The use of a one year volume of trade has been taken into account when setting up the matrix that is used to estimate the risk and therefore any policy based on this analysis does not simply apply to one year of trade. Policy decisions that are based on the Australian Government Department of Agriculture and Water Resources’ method that uses the estimated volume of one year’s trade are consistent with Australia’s policy on appropriate level of protection and meet the Australian Government’s requirement for ongoing quarantine protection. Of course if there are substantial changes in the volume and nature of the trade in specific commodities then the Australian Government Department of Agriculture and Water Resources has an obligation to review the risk analysis and, if necessary, provide updated policy advice.</w:t>
      </w:r>
    </w:p>
    <w:p w:rsidR="00B8782D" w:rsidRDefault="00B8782D">
      <w:pPr>
        <w:rPr>
          <w:shd w:val="clear" w:color="auto" w:fill="DBE5F1"/>
        </w:rPr>
      </w:pPr>
      <w:r>
        <w:t>In assessing the volume of trade in this risk analysis, the Australian Government Department of Agriculture and Water Resources assumed that a substantial volume of trade will occur</w:t>
      </w:r>
      <w:r>
        <w:rPr>
          <w:color w:val="1F497D"/>
        </w:rPr>
        <w:t>.</w:t>
      </w:r>
    </w:p>
    <w:p w:rsidR="00B8782D" w:rsidRDefault="00B8782D" w:rsidP="00B8782D">
      <w:pPr>
        <w:pStyle w:val="Heading3"/>
        <w:numPr>
          <w:ilvl w:val="2"/>
          <w:numId w:val="20"/>
        </w:numPr>
      </w:pPr>
      <w:r>
        <w:t>Assessment of potential consequences</w:t>
      </w:r>
    </w:p>
    <w:p w:rsidR="00B8782D" w:rsidRDefault="00B8782D">
      <w:r>
        <w:t xml:space="preserve">The objective of the consequence assessment is to provide a structured and transparent analysis of the likely consequences if the pests or disease agents were to enter, establish and spread in Australia. The assessment considers direct and indirect pest effects and their economic and </w:t>
      </w:r>
      <w:r>
        <w:lastRenderedPageBreak/>
        <w:t xml:space="preserve">environmental consequences. The requirements for assessing potential consequences are given in Article 5.3 of the SPS Agreement </w:t>
      </w:r>
      <w:r>
        <w:rPr>
          <w:noProof/>
        </w:rPr>
        <w:t>(WTO 1995)</w:t>
      </w:r>
      <w:r>
        <w:t xml:space="preserve">, ISPM 5 </w:t>
      </w:r>
      <w:r>
        <w:rPr>
          <w:noProof/>
        </w:rPr>
        <w:t>(FAO 2015a)</w:t>
      </w:r>
      <w:r>
        <w:t xml:space="preserve"> and ISPM 11 </w:t>
      </w:r>
      <w:r>
        <w:rPr>
          <w:noProof/>
        </w:rPr>
        <w:t>(FAO 2013)</w:t>
      </w:r>
      <w:r>
        <w:t>.</w:t>
      </w:r>
    </w:p>
    <w:p w:rsidR="00B8782D" w:rsidRDefault="00B8782D">
      <w:r>
        <w:t>Direct pest effects are considered in the context of the effects on:</w:t>
      </w:r>
    </w:p>
    <w:p w:rsidR="00B8782D" w:rsidRDefault="00B8782D">
      <w:pPr>
        <w:pStyle w:val="ListBullet"/>
      </w:pPr>
      <w:r>
        <w:t>plant life or health</w:t>
      </w:r>
    </w:p>
    <w:p w:rsidR="00B8782D" w:rsidRDefault="00B8782D">
      <w:pPr>
        <w:pStyle w:val="ListBullet"/>
      </w:pPr>
      <w:r>
        <w:t>other aspects of the environment.</w:t>
      </w:r>
    </w:p>
    <w:p w:rsidR="00B8782D" w:rsidRDefault="00B8782D">
      <w:r>
        <w:t>Indirect pest effects are considered in the context of the effects on:</w:t>
      </w:r>
    </w:p>
    <w:p w:rsidR="00B8782D" w:rsidRDefault="00B8782D">
      <w:pPr>
        <w:pStyle w:val="ListBullet"/>
      </w:pPr>
      <w:r>
        <w:t>eradication, control</w:t>
      </w:r>
    </w:p>
    <w:p w:rsidR="00B8782D" w:rsidRDefault="00B8782D">
      <w:pPr>
        <w:pStyle w:val="ListBullet"/>
      </w:pPr>
      <w:r>
        <w:t>domestic trade</w:t>
      </w:r>
    </w:p>
    <w:p w:rsidR="00B8782D" w:rsidRDefault="00B8782D">
      <w:pPr>
        <w:pStyle w:val="ListBullet"/>
      </w:pPr>
      <w:r>
        <w:t>international trade</w:t>
      </w:r>
    </w:p>
    <w:p w:rsidR="00B8782D" w:rsidRDefault="00B8782D">
      <w:pPr>
        <w:pStyle w:val="ListBullet"/>
      </w:pPr>
      <w:r>
        <w:t>environment.</w:t>
      </w:r>
    </w:p>
    <w:p w:rsidR="00B8782D" w:rsidRDefault="00B8782D">
      <w:r>
        <w:t>For each of these six criteria, the consequences were estimated over four geographic levels, defined as:</w:t>
      </w:r>
    </w:p>
    <w:p w:rsidR="00B8782D" w:rsidRDefault="00B8782D">
      <w:r>
        <w:rPr>
          <w:b/>
        </w:rPr>
        <w:t>Local</w:t>
      </w:r>
      <w:r>
        <w:t>—an aggregate of households or enterprises (a rural community, a town or a local government area).</w:t>
      </w:r>
    </w:p>
    <w:p w:rsidR="00B8782D" w:rsidRDefault="00B8782D">
      <w:r>
        <w:rPr>
          <w:b/>
        </w:rPr>
        <w:t>District</w:t>
      </w:r>
      <w:r>
        <w:t>—a geographically or geopolitically associated collection of aggregates (generally a recognised section of a state or territory, such as ‘Far North Queensland’).</w:t>
      </w:r>
    </w:p>
    <w:p w:rsidR="00B8782D" w:rsidRDefault="00B8782D">
      <w:r>
        <w:rPr>
          <w:b/>
        </w:rPr>
        <w:t>Regional</w:t>
      </w:r>
      <w:r>
        <w:t>—a geographically or geopolitically associated collection of districts in a geographic area (generally a state or territory, although there may be exceptions with larger states such as Western Australia).</w:t>
      </w:r>
    </w:p>
    <w:p w:rsidR="00B8782D" w:rsidRDefault="00B8782D">
      <w:r>
        <w:rPr>
          <w:b/>
        </w:rPr>
        <w:t>National</w:t>
      </w:r>
      <w:r>
        <w:t>—Australia wide (Australian mainland states and territories and Tasmania).</w:t>
      </w:r>
    </w:p>
    <w:p w:rsidR="00B8782D" w:rsidRDefault="00B8782D">
      <w:r>
        <w:t>For each criterion, the magnitude of the potential consequence at each of these levels was described using four categories, defined as:</w:t>
      </w:r>
    </w:p>
    <w:p w:rsidR="00B8782D" w:rsidRDefault="00B8782D">
      <w:r>
        <w:rPr>
          <w:b/>
        </w:rPr>
        <w:t>Indiscernible</w:t>
      </w:r>
      <w:r>
        <w:t>—pest impact unlikely to be noticeable.</w:t>
      </w:r>
    </w:p>
    <w:p w:rsidR="00B8782D" w:rsidRDefault="00B8782D">
      <w:r>
        <w:rPr>
          <w:b/>
        </w:rPr>
        <w:t>Minor</w:t>
      </w:r>
      <w:r>
        <w:t xml:space="preserve"> </w:t>
      </w:r>
      <w:r>
        <w:rPr>
          <w:b/>
        </w:rPr>
        <w:t>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rsidR="00B8782D" w:rsidRDefault="00B8782D">
      <w:r>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rsidR="00B8782D" w:rsidRDefault="00B8782D">
      <w:r>
        <w:rPr>
          <w:b/>
        </w:rPr>
        <w:t>Major</w:t>
      </w:r>
      <w:r>
        <w:t xml:space="preserve"> </w:t>
      </w:r>
      <w:r>
        <w:rPr>
          <w:b/>
        </w:rPr>
        <w:t>significance</w:t>
      </w:r>
      <w:r>
        <w:t>—expected to threaten the economic viability through a large increase in mortality/morbidity of hosts, or a large decrease in production. Expected to severely or irreversibly damage the intrinsic ‘value’ of non-commercial criteria.</w:t>
      </w:r>
    </w:p>
    <w:p w:rsidR="00B8782D" w:rsidRDefault="00B8782D">
      <w:r>
        <w:lastRenderedPageBreak/>
        <w:t>The estimates of the magnitude of the potential consequences over the four geographic levels were translated into a qualitative impact score (A</w:t>
      </w:r>
      <w:r>
        <w:noBreakHyphen/>
        <w:t>G) using Table 2.3. For example, a consequence with a magnitude of ‘significant’ at the ‘district’ level will have a consequence impact score of D.</w:t>
      </w:r>
      <w:bookmarkStart w:id="23" w:name="_Toc384979278"/>
    </w:p>
    <w:p w:rsidR="00B8782D" w:rsidRDefault="00B8782D">
      <w:pPr>
        <w:pStyle w:val="Caption"/>
      </w:pPr>
      <w:r>
        <w:br w:type="page"/>
      </w:r>
      <w:bookmarkStart w:id="24" w:name="_Toc448236040"/>
      <w:r>
        <w:lastRenderedPageBreak/>
        <w:t xml:space="preserve">Table </w:t>
      </w:r>
      <w:r w:rsidR="00EA0C11">
        <w:fldChar w:fldCharType="begin"/>
      </w:r>
      <w:r w:rsidR="00EA0C11">
        <w:instrText xml:space="preserve"> STYLEREF 1 \s </w:instrText>
      </w:r>
      <w:r w:rsidR="00EA0C11">
        <w:fldChar w:fldCharType="separate"/>
      </w:r>
      <w:r w:rsidR="00457D54">
        <w:rPr>
          <w:noProof/>
        </w:rPr>
        <w:t>2</w:t>
      </w:r>
      <w:r w:rsidR="00EA0C11">
        <w:rPr>
          <w:noProof/>
        </w:rPr>
        <w:fldChar w:fldCharType="end"/>
      </w:r>
      <w:r>
        <w:t>.</w:t>
      </w:r>
      <w:r w:rsidR="00EA0C11">
        <w:fldChar w:fldCharType="begin"/>
      </w:r>
      <w:r w:rsidR="00EA0C11">
        <w:instrText xml:space="preserve"> SEQ Table \* ARABIC \s 1 </w:instrText>
      </w:r>
      <w:r w:rsidR="00EA0C11">
        <w:fldChar w:fldCharType="separate"/>
      </w:r>
      <w:r w:rsidR="00457D54">
        <w:rPr>
          <w:noProof/>
        </w:rPr>
        <w:t>3</w:t>
      </w:r>
      <w:r w:rsidR="00EA0C11">
        <w:rPr>
          <w:noProof/>
        </w:rPr>
        <w:fldChar w:fldCharType="end"/>
      </w:r>
      <w:r>
        <w:t xml:space="preserve"> Decision rules for determining the consequence impact score based on the magnitude of consequences at four geographic scales</w:t>
      </w:r>
      <w:bookmarkEnd w:id="23"/>
      <w:bookmarkEnd w:id="24"/>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B8782D">
        <w:trPr>
          <w:cantSplit/>
        </w:trPr>
        <w:tc>
          <w:tcPr>
            <w:tcW w:w="1158" w:type="pct"/>
            <w:vMerge w:val="restart"/>
            <w:tcBorders>
              <w:top w:val="single" w:sz="4" w:space="0" w:color="000000"/>
              <w:bottom w:val="nil"/>
              <w:right w:val="nil"/>
              <w:tl2br w:val="nil"/>
            </w:tcBorders>
            <w:vAlign w:val="bottom"/>
          </w:tcPr>
          <w:p w:rsidR="00B8782D" w:rsidRDefault="00B8782D">
            <w:pPr>
              <w:pStyle w:val="TableHeading"/>
            </w:pPr>
            <w:r>
              <w:t>Magnitude</w:t>
            </w:r>
          </w:p>
        </w:tc>
        <w:tc>
          <w:tcPr>
            <w:tcW w:w="3842" w:type="pct"/>
            <w:gridSpan w:val="4"/>
            <w:tcBorders>
              <w:top w:val="single" w:sz="4" w:space="0" w:color="000000"/>
              <w:left w:val="nil"/>
              <w:bottom w:val="single" w:sz="4" w:space="0" w:color="BFBFBF"/>
              <w:right w:val="single" w:sz="4" w:space="0" w:color="000000"/>
            </w:tcBorders>
          </w:tcPr>
          <w:p w:rsidR="00B8782D" w:rsidRDefault="00B8782D">
            <w:pPr>
              <w:pStyle w:val="TableHeading"/>
              <w:jc w:val="center"/>
            </w:pPr>
            <w:r>
              <w:t>Geographic scale</w:t>
            </w:r>
          </w:p>
        </w:tc>
      </w:tr>
      <w:tr w:rsidR="00B8782D">
        <w:trPr>
          <w:cantSplit/>
        </w:trPr>
        <w:tc>
          <w:tcPr>
            <w:tcW w:w="1158" w:type="pct"/>
            <w:vMerge/>
            <w:tcBorders>
              <w:top w:val="single" w:sz="4" w:space="0" w:color="auto"/>
              <w:bottom w:val="single" w:sz="4" w:space="0" w:color="BFBFBF"/>
              <w:right w:val="nil"/>
              <w:tl2br w:val="nil"/>
            </w:tcBorders>
          </w:tcPr>
          <w:p w:rsidR="00B8782D" w:rsidRDefault="00B8782D">
            <w:pPr>
              <w:pStyle w:val="TableText"/>
            </w:pPr>
          </w:p>
        </w:tc>
        <w:tc>
          <w:tcPr>
            <w:tcW w:w="961" w:type="pct"/>
            <w:tcBorders>
              <w:top w:val="single" w:sz="4" w:space="0" w:color="BFBFBF"/>
              <w:left w:val="nil"/>
              <w:bottom w:val="single" w:sz="4" w:space="0" w:color="BFBFBF"/>
            </w:tcBorders>
          </w:tcPr>
          <w:p w:rsidR="00B8782D" w:rsidRDefault="00B8782D">
            <w:pPr>
              <w:pStyle w:val="TableText"/>
            </w:pPr>
            <w:r>
              <w:t>Local</w:t>
            </w:r>
          </w:p>
        </w:tc>
        <w:tc>
          <w:tcPr>
            <w:tcW w:w="961" w:type="pct"/>
            <w:tcBorders>
              <w:top w:val="single" w:sz="4" w:space="0" w:color="BFBFBF"/>
              <w:bottom w:val="single" w:sz="4" w:space="0" w:color="BFBFBF"/>
            </w:tcBorders>
          </w:tcPr>
          <w:p w:rsidR="00B8782D" w:rsidRDefault="00B8782D">
            <w:pPr>
              <w:pStyle w:val="TableText"/>
            </w:pPr>
            <w:r>
              <w:t>District</w:t>
            </w:r>
          </w:p>
        </w:tc>
        <w:tc>
          <w:tcPr>
            <w:tcW w:w="960" w:type="pct"/>
            <w:tcBorders>
              <w:top w:val="single" w:sz="4" w:space="0" w:color="BFBFBF"/>
              <w:bottom w:val="single" w:sz="4" w:space="0" w:color="BFBFBF"/>
            </w:tcBorders>
          </w:tcPr>
          <w:p w:rsidR="00B8782D" w:rsidRDefault="00B8782D">
            <w:pPr>
              <w:pStyle w:val="TableText"/>
            </w:pPr>
            <w:r>
              <w:t>Region</w:t>
            </w:r>
          </w:p>
        </w:tc>
        <w:tc>
          <w:tcPr>
            <w:tcW w:w="960" w:type="pct"/>
            <w:tcBorders>
              <w:top w:val="single" w:sz="4" w:space="0" w:color="BFBFBF"/>
              <w:bottom w:val="single" w:sz="4" w:space="0" w:color="BFBFBF"/>
              <w:right w:val="single" w:sz="4" w:space="0" w:color="000000"/>
            </w:tcBorders>
          </w:tcPr>
          <w:p w:rsidR="00B8782D" w:rsidRDefault="00B8782D">
            <w:pPr>
              <w:pStyle w:val="TableText"/>
            </w:pPr>
            <w:r>
              <w:t>Nation</w:t>
            </w:r>
          </w:p>
        </w:tc>
      </w:tr>
      <w:tr w:rsidR="00B8782D">
        <w:trPr>
          <w:cantSplit/>
        </w:trPr>
        <w:tc>
          <w:tcPr>
            <w:tcW w:w="1158" w:type="pct"/>
            <w:tcBorders>
              <w:top w:val="single" w:sz="4" w:space="0" w:color="BFBFBF"/>
              <w:left w:val="single" w:sz="4" w:space="0" w:color="000000"/>
              <w:bottom w:val="single" w:sz="4" w:space="0" w:color="BFBFBF"/>
              <w:right w:val="single" w:sz="4" w:space="0" w:color="BFBFBF"/>
            </w:tcBorders>
            <w:shd w:val="clear" w:color="auto" w:fill="auto"/>
            <w:vAlign w:val="center"/>
          </w:tcPr>
          <w:p w:rsidR="00B8782D" w:rsidRDefault="00B8782D">
            <w:pPr>
              <w:pStyle w:val="TableText"/>
            </w:pPr>
            <w:r>
              <w:t>Indiscernible</w:t>
            </w:r>
          </w:p>
        </w:tc>
        <w:tc>
          <w:tcPr>
            <w:tcW w:w="961" w:type="pct"/>
            <w:tcBorders>
              <w:top w:val="single" w:sz="4" w:space="0" w:color="BFBFBF"/>
              <w:left w:val="single" w:sz="4" w:space="0" w:color="BFBFBF"/>
              <w:bottom w:val="single" w:sz="4" w:space="0" w:color="BFBFBF"/>
              <w:right w:val="single" w:sz="4" w:space="0" w:color="BFBFBF"/>
            </w:tcBorders>
            <w:shd w:val="clear" w:color="auto" w:fill="F2F2F2"/>
            <w:vAlign w:val="center"/>
          </w:tcPr>
          <w:p w:rsidR="00B8782D" w:rsidRDefault="00B8782D">
            <w:pPr>
              <w:pStyle w:val="TableText"/>
            </w:pPr>
            <w:r>
              <w:t>A</w:t>
            </w:r>
          </w:p>
        </w:tc>
        <w:tc>
          <w:tcPr>
            <w:tcW w:w="961" w:type="pct"/>
            <w:tcBorders>
              <w:top w:val="single" w:sz="4" w:space="0" w:color="BFBFBF"/>
              <w:left w:val="single" w:sz="4" w:space="0" w:color="BFBFBF"/>
              <w:bottom w:val="single" w:sz="4" w:space="0" w:color="BFBFBF"/>
              <w:right w:val="single" w:sz="4" w:space="0" w:color="BFBFBF"/>
            </w:tcBorders>
            <w:shd w:val="clear" w:color="auto" w:fill="F2F2F2"/>
            <w:vAlign w:val="center"/>
          </w:tcPr>
          <w:p w:rsidR="00B8782D" w:rsidRDefault="00B8782D">
            <w:pPr>
              <w:pStyle w:val="TableText"/>
            </w:pPr>
            <w:r>
              <w:t>A</w:t>
            </w:r>
          </w:p>
        </w:tc>
        <w:tc>
          <w:tcPr>
            <w:tcW w:w="960" w:type="pct"/>
            <w:tcBorders>
              <w:top w:val="single" w:sz="4" w:space="0" w:color="BFBFBF"/>
              <w:left w:val="single" w:sz="4" w:space="0" w:color="BFBFBF"/>
              <w:bottom w:val="single" w:sz="4" w:space="0" w:color="BFBFBF"/>
              <w:right w:val="single" w:sz="4" w:space="0" w:color="BFBFBF"/>
            </w:tcBorders>
            <w:shd w:val="clear" w:color="auto" w:fill="F2F2F2"/>
            <w:vAlign w:val="center"/>
          </w:tcPr>
          <w:p w:rsidR="00B8782D" w:rsidRDefault="00B8782D">
            <w:pPr>
              <w:pStyle w:val="TableText"/>
            </w:pPr>
            <w:r>
              <w:t>A</w:t>
            </w:r>
          </w:p>
        </w:tc>
        <w:tc>
          <w:tcPr>
            <w:tcW w:w="960" w:type="pct"/>
            <w:tcBorders>
              <w:top w:val="single" w:sz="4" w:space="0" w:color="BFBFBF"/>
              <w:left w:val="single" w:sz="4" w:space="0" w:color="BFBFBF"/>
              <w:bottom w:val="single" w:sz="4" w:space="0" w:color="BFBFBF"/>
              <w:right w:val="single" w:sz="4" w:space="0" w:color="000000"/>
            </w:tcBorders>
            <w:shd w:val="clear" w:color="auto" w:fill="F2F2F2"/>
            <w:vAlign w:val="center"/>
          </w:tcPr>
          <w:p w:rsidR="00B8782D" w:rsidRDefault="00B8782D">
            <w:pPr>
              <w:pStyle w:val="TableText"/>
            </w:pPr>
            <w:r>
              <w:t>A</w:t>
            </w:r>
          </w:p>
        </w:tc>
      </w:tr>
      <w:tr w:rsidR="00B8782D">
        <w:trPr>
          <w:cantSplit/>
        </w:trPr>
        <w:tc>
          <w:tcPr>
            <w:tcW w:w="1158" w:type="pct"/>
            <w:tcBorders>
              <w:top w:val="single" w:sz="4" w:space="0" w:color="BFBFBF"/>
              <w:left w:val="single" w:sz="4" w:space="0" w:color="000000"/>
              <w:bottom w:val="single" w:sz="4" w:space="0" w:color="BFBFBF"/>
              <w:right w:val="single" w:sz="4" w:space="0" w:color="BFBFBF"/>
            </w:tcBorders>
            <w:shd w:val="clear" w:color="auto" w:fill="auto"/>
            <w:vAlign w:val="center"/>
          </w:tcPr>
          <w:p w:rsidR="00B8782D" w:rsidRDefault="00B8782D">
            <w:pPr>
              <w:pStyle w:val="TableText"/>
            </w:pPr>
            <w:r>
              <w:t>Minor significance</w:t>
            </w:r>
          </w:p>
        </w:tc>
        <w:tc>
          <w:tcPr>
            <w:tcW w:w="961" w:type="pct"/>
            <w:tcBorders>
              <w:top w:val="single" w:sz="4" w:space="0" w:color="BFBFBF"/>
              <w:left w:val="single" w:sz="4" w:space="0" w:color="BFBFBF"/>
              <w:bottom w:val="single" w:sz="4" w:space="0" w:color="BFBFBF"/>
              <w:right w:val="single" w:sz="4" w:space="0" w:color="BFBFBF"/>
            </w:tcBorders>
            <w:shd w:val="clear" w:color="auto" w:fill="CFE7FD"/>
            <w:vAlign w:val="center"/>
          </w:tcPr>
          <w:p w:rsidR="00B8782D" w:rsidRDefault="00B8782D">
            <w:pPr>
              <w:pStyle w:val="TableText"/>
              <w:rPr>
                <w:rFonts w:cs="Arial"/>
                <w:snapToGrid w:val="0"/>
                <w:szCs w:val="18"/>
              </w:rPr>
            </w:pPr>
            <w:r>
              <w:rPr>
                <w:rFonts w:cs="Arial"/>
                <w:snapToGrid w:val="0"/>
                <w:szCs w:val="18"/>
              </w:rPr>
              <w:t>B</w:t>
            </w:r>
          </w:p>
        </w:tc>
        <w:tc>
          <w:tcPr>
            <w:tcW w:w="961" w:type="pct"/>
            <w:tcBorders>
              <w:top w:val="single" w:sz="4" w:space="0" w:color="BFBFBF"/>
              <w:left w:val="single" w:sz="4" w:space="0" w:color="BFBFBF"/>
              <w:bottom w:val="single" w:sz="4" w:space="0" w:color="BFBFBF"/>
              <w:right w:val="single" w:sz="4" w:space="0" w:color="BFBFBF"/>
            </w:tcBorders>
            <w:shd w:val="clear" w:color="auto" w:fill="CCFFFF"/>
            <w:vAlign w:val="center"/>
          </w:tcPr>
          <w:p w:rsidR="00B8782D" w:rsidRDefault="00B8782D">
            <w:pPr>
              <w:pStyle w:val="TableText"/>
              <w:rPr>
                <w:rFonts w:cs="Arial"/>
                <w:snapToGrid w:val="0"/>
                <w:szCs w:val="18"/>
              </w:rPr>
            </w:pPr>
            <w:r>
              <w:rPr>
                <w:rFonts w:cs="Arial"/>
                <w:snapToGrid w:val="0"/>
                <w:szCs w:val="18"/>
              </w:rPr>
              <w:t>C</w:t>
            </w:r>
          </w:p>
        </w:tc>
        <w:tc>
          <w:tcPr>
            <w:tcW w:w="960" w:type="pct"/>
            <w:tcBorders>
              <w:top w:val="single" w:sz="4" w:space="0" w:color="BFBFBF"/>
              <w:left w:val="single" w:sz="4" w:space="0" w:color="BFBFBF"/>
              <w:bottom w:val="single" w:sz="4" w:space="0" w:color="BFBFBF"/>
              <w:right w:val="single" w:sz="4" w:space="0" w:color="BFBFBF"/>
            </w:tcBorders>
            <w:shd w:val="clear" w:color="auto" w:fill="CCFFCC"/>
          </w:tcPr>
          <w:p w:rsidR="00B8782D" w:rsidRDefault="00B8782D">
            <w:pPr>
              <w:pStyle w:val="TableText"/>
              <w:rPr>
                <w:rFonts w:cs="Arial"/>
                <w:snapToGrid w:val="0"/>
                <w:szCs w:val="18"/>
              </w:rPr>
            </w:pPr>
            <w:r>
              <w:rPr>
                <w:rFonts w:cs="Arial"/>
                <w:snapToGrid w:val="0"/>
                <w:szCs w:val="18"/>
              </w:rPr>
              <w:t>D</w:t>
            </w:r>
          </w:p>
        </w:tc>
        <w:tc>
          <w:tcPr>
            <w:tcW w:w="960" w:type="pct"/>
            <w:tcBorders>
              <w:top w:val="single" w:sz="4" w:space="0" w:color="BFBFBF"/>
              <w:left w:val="single" w:sz="4" w:space="0" w:color="BFBFBF"/>
              <w:bottom w:val="single" w:sz="4" w:space="0" w:color="BFBFBF"/>
              <w:right w:val="single" w:sz="4" w:space="0" w:color="000000"/>
            </w:tcBorders>
            <w:shd w:val="clear" w:color="auto" w:fill="FFFF99"/>
          </w:tcPr>
          <w:p w:rsidR="00B8782D" w:rsidRDefault="00B8782D">
            <w:pPr>
              <w:pStyle w:val="TableText"/>
            </w:pPr>
            <w:r>
              <w:t>E</w:t>
            </w:r>
          </w:p>
        </w:tc>
      </w:tr>
      <w:tr w:rsidR="00B8782D">
        <w:trPr>
          <w:cantSplit/>
        </w:trPr>
        <w:tc>
          <w:tcPr>
            <w:tcW w:w="1158" w:type="pct"/>
            <w:tcBorders>
              <w:top w:val="single" w:sz="4" w:space="0" w:color="BFBFBF"/>
              <w:left w:val="single" w:sz="4" w:space="0" w:color="000000"/>
              <w:bottom w:val="single" w:sz="4" w:space="0" w:color="BFBFBF"/>
              <w:right w:val="single" w:sz="4" w:space="0" w:color="BFBFBF"/>
            </w:tcBorders>
            <w:shd w:val="clear" w:color="auto" w:fill="auto"/>
            <w:vAlign w:val="center"/>
          </w:tcPr>
          <w:p w:rsidR="00B8782D" w:rsidRDefault="00B8782D">
            <w:pPr>
              <w:pStyle w:val="TableText"/>
            </w:pPr>
            <w:r>
              <w:t>Significant</w:t>
            </w:r>
          </w:p>
        </w:tc>
        <w:tc>
          <w:tcPr>
            <w:tcW w:w="961" w:type="pct"/>
            <w:tcBorders>
              <w:top w:val="single" w:sz="4" w:space="0" w:color="BFBFBF"/>
              <w:left w:val="single" w:sz="4" w:space="0" w:color="BFBFBF"/>
              <w:bottom w:val="single" w:sz="4" w:space="0" w:color="D9D9D9"/>
              <w:right w:val="single" w:sz="4" w:space="0" w:color="BFBFBF"/>
            </w:tcBorders>
            <w:shd w:val="clear" w:color="auto" w:fill="CCFFFF"/>
            <w:vAlign w:val="center"/>
          </w:tcPr>
          <w:p w:rsidR="00B8782D" w:rsidRDefault="00B8782D">
            <w:pPr>
              <w:pStyle w:val="TableText"/>
              <w:rPr>
                <w:rFonts w:cs="Arial"/>
                <w:snapToGrid w:val="0"/>
                <w:szCs w:val="18"/>
              </w:rPr>
            </w:pPr>
            <w:r>
              <w:rPr>
                <w:rFonts w:cs="Arial"/>
                <w:snapToGrid w:val="0"/>
                <w:szCs w:val="18"/>
              </w:rPr>
              <w:t>C</w:t>
            </w:r>
          </w:p>
        </w:tc>
        <w:tc>
          <w:tcPr>
            <w:tcW w:w="961" w:type="pct"/>
            <w:tcBorders>
              <w:top w:val="single" w:sz="4" w:space="0" w:color="BFBFBF"/>
              <w:left w:val="single" w:sz="4" w:space="0" w:color="BFBFBF"/>
              <w:bottom w:val="single" w:sz="4" w:space="0" w:color="D9D9D9"/>
              <w:right w:val="single" w:sz="4" w:space="0" w:color="BFBFBF"/>
            </w:tcBorders>
            <w:shd w:val="clear" w:color="auto" w:fill="CCFFCC"/>
            <w:vAlign w:val="center"/>
          </w:tcPr>
          <w:p w:rsidR="00B8782D" w:rsidRDefault="00B8782D">
            <w:pPr>
              <w:pStyle w:val="TableText"/>
              <w:rPr>
                <w:rFonts w:cs="Arial"/>
                <w:snapToGrid w:val="0"/>
                <w:szCs w:val="18"/>
              </w:rPr>
            </w:pPr>
            <w:r>
              <w:rPr>
                <w:rFonts w:cs="Arial"/>
                <w:snapToGrid w:val="0"/>
                <w:szCs w:val="18"/>
              </w:rPr>
              <w:t>D</w:t>
            </w:r>
          </w:p>
        </w:tc>
        <w:tc>
          <w:tcPr>
            <w:tcW w:w="960" w:type="pct"/>
            <w:tcBorders>
              <w:top w:val="single" w:sz="4" w:space="0" w:color="BFBFBF"/>
              <w:left w:val="single" w:sz="4" w:space="0" w:color="BFBFBF"/>
              <w:bottom w:val="single" w:sz="4" w:space="0" w:color="D9D9D9"/>
              <w:right w:val="single" w:sz="4" w:space="0" w:color="BFBFBF"/>
            </w:tcBorders>
            <w:shd w:val="clear" w:color="auto" w:fill="FFFF99"/>
          </w:tcPr>
          <w:p w:rsidR="00B8782D" w:rsidRDefault="00B8782D">
            <w:pPr>
              <w:pStyle w:val="TableText"/>
            </w:pPr>
            <w:r>
              <w:t>E</w:t>
            </w:r>
          </w:p>
        </w:tc>
        <w:tc>
          <w:tcPr>
            <w:tcW w:w="960" w:type="pct"/>
            <w:tcBorders>
              <w:top w:val="single" w:sz="4" w:space="0" w:color="BFBFBF"/>
              <w:left w:val="single" w:sz="4" w:space="0" w:color="BFBFBF"/>
              <w:bottom w:val="single" w:sz="4" w:space="0" w:color="D9D9D9"/>
              <w:right w:val="single" w:sz="4" w:space="0" w:color="000000"/>
            </w:tcBorders>
            <w:shd w:val="clear" w:color="auto" w:fill="FFCC99"/>
          </w:tcPr>
          <w:p w:rsidR="00B8782D" w:rsidRDefault="00B8782D">
            <w:pPr>
              <w:pStyle w:val="TableText"/>
            </w:pPr>
            <w:r>
              <w:t>F</w:t>
            </w:r>
          </w:p>
        </w:tc>
      </w:tr>
      <w:tr w:rsidR="00B8782D">
        <w:trPr>
          <w:cantSplit/>
        </w:trPr>
        <w:tc>
          <w:tcPr>
            <w:tcW w:w="1158" w:type="pct"/>
            <w:tcBorders>
              <w:top w:val="single" w:sz="4" w:space="0" w:color="BFBFBF"/>
              <w:left w:val="single" w:sz="4" w:space="0" w:color="000000"/>
              <w:bottom w:val="single" w:sz="4" w:space="0" w:color="000000"/>
              <w:right w:val="single" w:sz="4" w:space="0" w:color="BFBFBF"/>
            </w:tcBorders>
            <w:shd w:val="clear" w:color="auto" w:fill="auto"/>
            <w:vAlign w:val="center"/>
          </w:tcPr>
          <w:p w:rsidR="00B8782D" w:rsidRDefault="00B8782D">
            <w:pPr>
              <w:pStyle w:val="TableText"/>
            </w:pPr>
            <w:r>
              <w:t>Major significance</w:t>
            </w:r>
          </w:p>
        </w:tc>
        <w:tc>
          <w:tcPr>
            <w:tcW w:w="961" w:type="pct"/>
            <w:tcBorders>
              <w:top w:val="single" w:sz="4" w:space="0" w:color="D9D9D9"/>
              <w:left w:val="single" w:sz="4" w:space="0" w:color="BFBFBF"/>
              <w:bottom w:val="single" w:sz="4" w:space="0" w:color="000000"/>
              <w:right w:val="single" w:sz="4" w:space="0" w:color="BFBFBF"/>
            </w:tcBorders>
            <w:shd w:val="clear" w:color="auto" w:fill="CCFFCC"/>
            <w:vAlign w:val="center"/>
          </w:tcPr>
          <w:p w:rsidR="00B8782D" w:rsidRDefault="00B8782D">
            <w:pPr>
              <w:pStyle w:val="TableText"/>
              <w:rPr>
                <w:rFonts w:cs="Arial"/>
                <w:snapToGrid w:val="0"/>
                <w:szCs w:val="18"/>
              </w:rPr>
            </w:pPr>
            <w:r>
              <w:rPr>
                <w:rFonts w:cs="Arial"/>
                <w:snapToGrid w:val="0"/>
                <w:szCs w:val="18"/>
              </w:rPr>
              <w:t>D</w:t>
            </w:r>
          </w:p>
        </w:tc>
        <w:tc>
          <w:tcPr>
            <w:tcW w:w="961" w:type="pct"/>
            <w:tcBorders>
              <w:top w:val="single" w:sz="4" w:space="0" w:color="D9D9D9"/>
              <w:left w:val="single" w:sz="4" w:space="0" w:color="BFBFBF"/>
              <w:bottom w:val="single" w:sz="4" w:space="0" w:color="000000"/>
              <w:right w:val="single" w:sz="4" w:space="0" w:color="BFBFBF"/>
            </w:tcBorders>
            <w:shd w:val="clear" w:color="auto" w:fill="FFFF99"/>
            <w:vAlign w:val="center"/>
          </w:tcPr>
          <w:p w:rsidR="00B8782D" w:rsidRDefault="00B8782D">
            <w:pPr>
              <w:pStyle w:val="TableText"/>
            </w:pPr>
            <w:r>
              <w:rPr>
                <w:rFonts w:cs="Arial"/>
                <w:snapToGrid w:val="0"/>
                <w:szCs w:val="18"/>
              </w:rPr>
              <w:t>E</w:t>
            </w:r>
          </w:p>
        </w:tc>
        <w:tc>
          <w:tcPr>
            <w:tcW w:w="960" w:type="pct"/>
            <w:tcBorders>
              <w:top w:val="single" w:sz="4" w:space="0" w:color="D9D9D9"/>
              <w:left w:val="single" w:sz="4" w:space="0" w:color="BFBFBF"/>
              <w:bottom w:val="single" w:sz="4" w:space="0" w:color="000000"/>
              <w:right w:val="single" w:sz="4" w:space="0" w:color="BFBFBF"/>
            </w:tcBorders>
            <w:shd w:val="clear" w:color="auto" w:fill="FFCC99"/>
            <w:vAlign w:val="center"/>
          </w:tcPr>
          <w:p w:rsidR="00B8782D" w:rsidRDefault="00B8782D">
            <w:pPr>
              <w:pStyle w:val="TableText"/>
            </w:pPr>
            <w:r>
              <w:t>F</w:t>
            </w:r>
          </w:p>
        </w:tc>
        <w:tc>
          <w:tcPr>
            <w:tcW w:w="960" w:type="pct"/>
            <w:tcBorders>
              <w:top w:val="single" w:sz="4" w:space="0" w:color="D9D9D9"/>
              <w:left w:val="single" w:sz="4" w:space="0" w:color="BFBFBF"/>
              <w:bottom w:val="single" w:sz="4" w:space="0" w:color="000000"/>
              <w:right w:val="single" w:sz="4" w:space="0" w:color="000000"/>
            </w:tcBorders>
            <w:shd w:val="clear" w:color="auto" w:fill="FF99CC"/>
          </w:tcPr>
          <w:p w:rsidR="00B8782D" w:rsidRDefault="00B8782D">
            <w:pPr>
              <w:pStyle w:val="TableText"/>
            </w:pPr>
            <w:r>
              <w:t>G</w:t>
            </w:r>
          </w:p>
        </w:tc>
      </w:tr>
    </w:tbl>
    <w:p w:rsidR="00B8782D" w:rsidRDefault="00B8782D">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G and a new lowest category A (‘indiscernible’ at all four levels) was added. The rules for combining impacts in Table 2.4 were adjusted accordingly.</w:t>
      </w:r>
    </w:p>
    <w:p w:rsidR="00B8782D" w:rsidRDefault="00B8782D">
      <w:r>
        <w:t>The overall consequence for each pest is achieved by combining the qualitative impact scores (A–G) for each direct and indirect consequence using a series of decision rules (Table 2.4). These rules are mutually exclusive, and are assessed in numerical order until one applies.</w:t>
      </w:r>
    </w:p>
    <w:p w:rsidR="00B8782D" w:rsidRDefault="00B8782D">
      <w:pPr>
        <w:pStyle w:val="Caption"/>
      </w:pPr>
      <w:bookmarkStart w:id="25" w:name="_Toc384979279"/>
      <w:bookmarkStart w:id="26" w:name="_Toc448236041"/>
      <w:r>
        <w:t xml:space="preserve">Table </w:t>
      </w:r>
      <w:r w:rsidR="00EA0C11">
        <w:fldChar w:fldCharType="begin"/>
      </w:r>
      <w:r w:rsidR="00EA0C11">
        <w:instrText xml:space="preserve"> STYLEREF 1 \s </w:instrText>
      </w:r>
      <w:r w:rsidR="00EA0C11">
        <w:fldChar w:fldCharType="separate"/>
      </w:r>
      <w:r w:rsidR="00457D54">
        <w:rPr>
          <w:noProof/>
        </w:rPr>
        <w:t>2</w:t>
      </w:r>
      <w:r w:rsidR="00EA0C11">
        <w:rPr>
          <w:noProof/>
        </w:rPr>
        <w:fldChar w:fldCharType="end"/>
      </w:r>
      <w:r>
        <w:t>.</w:t>
      </w:r>
      <w:r w:rsidR="00EA0C11">
        <w:fldChar w:fldCharType="begin"/>
      </w:r>
      <w:r w:rsidR="00EA0C11">
        <w:instrText xml:space="preserve"> SEQ Table \* ARABIC \s 1 </w:instrText>
      </w:r>
      <w:r w:rsidR="00EA0C11">
        <w:fldChar w:fldCharType="separate"/>
      </w:r>
      <w:r w:rsidR="00457D54">
        <w:rPr>
          <w:noProof/>
        </w:rPr>
        <w:t>4</w:t>
      </w:r>
      <w:r w:rsidR="00EA0C11">
        <w:rPr>
          <w:noProof/>
        </w:rPr>
        <w:fldChar w:fldCharType="end"/>
      </w:r>
      <w:r>
        <w:t xml:space="preserve"> Decision rules for determining the overall consequence rating for each pest</w:t>
      </w:r>
      <w:bookmarkEnd w:id="25"/>
      <w:bookmarkEnd w:id="26"/>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B8782D">
        <w:trPr>
          <w:trHeight w:val="414"/>
        </w:trPr>
        <w:tc>
          <w:tcPr>
            <w:tcW w:w="440" w:type="pct"/>
          </w:tcPr>
          <w:p w:rsidR="00B8782D" w:rsidRDefault="00B8782D">
            <w:pPr>
              <w:pStyle w:val="TableHeading"/>
            </w:pPr>
            <w:r>
              <w:t>Rule</w:t>
            </w:r>
          </w:p>
        </w:tc>
        <w:tc>
          <w:tcPr>
            <w:tcW w:w="3206" w:type="pct"/>
          </w:tcPr>
          <w:p w:rsidR="00B8782D" w:rsidRDefault="00B8782D">
            <w:pPr>
              <w:pStyle w:val="TableHeading"/>
            </w:pPr>
            <w:r>
              <w:t>The impact scores for consequences of direct and indirect criteria</w:t>
            </w:r>
          </w:p>
        </w:tc>
        <w:tc>
          <w:tcPr>
            <w:tcW w:w="1354" w:type="pct"/>
          </w:tcPr>
          <w:p w:rsidR="00B8782D" w:rsidRDefault="00B8782D">
            <w:pPr>
              <w:pStyle w:val="TableHeading"/>
            </w:pPr>
            <w:r>
              <w:t>Overall consequence rating</w:t>
            </w:r>
          </w:p>
        </w:tc>
      </w:tr>
      <w:tr w:rsidR="00B8782D">
        <w:trPr>
          <w:trHeight w:val="414"/>
        </w:trPr>
        <w:tc>
          <w:tcPr>
            <w:tcW w:w="440" w:type="pct"/>
          </w:tcPr>
          <w:p w:rsidR="00B8782D" w:rsidRDefault="00B8782D">
            <w:pPr>
              <w:pStyle w:val="TableText"/>
            </w:pPr>
            <w:r>
              <w:t>1</w:t>
            </w:r>
          </w:p>
        </w:tc>
        <w:tc>
          <w:tcPr>
            <w:tcW w:w="3206" w:type="pct"/>
          </w:tcPr>
          <w:p w:rsidR="00B8782D" w:rsidRDefault="00B8782D">
            <w:pPr>
              <w:pStyle w:val="TableText"/>
            </w:pPr>
            <w:r>
              <w:t>Any criterion has an impact of ‘G’; or</w:t>
            </w:r>
            <w:r>
              <w:br/>
              <w:t>more than one criterion has an impact of ‘F’; or</w:t>
            </w:r>
            <w:r>
              <w:br/>
              <w:t>a single criterion has an impact of ‘F’ and each remaining criterion an ‘E’.</w:t>
            </w:r>
          </w:p>
        </w:tc>
        <w:tc>
          <w:tcPr>
            <w:tcW w:w="1354" w:type="pct"/>
          </w:tcPr>
          <w:p w:rsidR="00B8782D" w:rsidRDefault="00B8782D">
            <w:pPr>
              <w:pStyle w:val="TableText"/>
            </w:pPr>
            <w:r>
              <w:t>Extreme</w:t>
            </w:r>
          </w:p>
        </w:tc>
      </w:tr>
      <w:tr w:rsidR="00B8782D">
        <w:trPr>
          <w:trHeight w:val="414"/>
        </w:trPr>
        <w:tc>
          <w:tcPr>
            <w:tcW w:w="440" w:type="pct"/>
          </w:tcPr>
          <w:p w:rsidR="00B8782D" w:rsidRDefault="00B8782D">
            <w:pPr>
              <w:pStyle w:val="TableText"/>
            </w:pPr>
            <w:r>
              <w:t>2</w:t>
            </w:r>
          </w:p>
        </w:tc>
        <w:tc>
          <w:tcPr>
            <w:tcW w:w="3206" w:type="pct"/>
          </w:tcPr>
          <w:p w:rsidR="00B8782D" w:rsidRDefault="00B8782D">
            <w:pPr>
              <w:pStyle w:val="TableText"/>
            </w:pPr>
            <w:r>
              <w:t>A single criterion has an impact of ‘F’; or</w:t>
            </w:r>
            <w:r>
              <w:br/>
              <w:t>all criteria have an impact of ‘E’.</w:t>
            </w:r>
          </w:p>
        </w:tc>
        <w:tc>
          <w:tcPr>
            <w:tcW w:w="1354" w:type="pct"/>
          </w:tcPr>
          <w:p w:rsidR="00B8782D" w:rsidRDefault="00B8782D">
            <w:pPr>
              <w:pStyle w:val="TableText"/>
            </w:pPr>
            <w:r>
              <w:t>High</w:t>
            </w:r>
          </w:p>
        </w:tc>
      </w:tr>
      <w:tr w:rsidR="00B8782D">
        <w:trPr>
          <w:trHeight w:val="414"/>
        </w:trPr>
        <w:tc>
          <w:tcPr>
            <w:tcW w:w="440" w:type="pct"/>
          </w:tcPr>
          <w:p w:rsidR="00B8782D" w:rsidRDefault="00B8782D">
            <w:pPr>
              <w:pStyle w:val="TableText"/>
            </w:pPr>
            <w:r>
              <w:t>3</w:t>
            </w:r>
          </w:p>
        </w:tc>
        <w:tc>
          <w:tcPr>
            <w:tcW w:w="3206" w:type="pct"/>
          </w:tcPr>
          <w:p w:rsidR="00B8782D" w:rsidRDefault="00B8782D">
            <w:pPr>
              <w:pStyle w:val="TableText"/>
            </w:pPr>
            <w:r>
              <w:t>One or more criteria have an impact of ‘E’; or</w:t>
            </w:r>
            <w:r>
              <w:br/>
              <w:t>all criteria have an impact of ‘D’.</w:t>
            </w:r>
          </w:p>
        </w:tc>
        <w:tc>
          <w:tcPr>
            <w:tcW w:w="1354" w:type="pct"/>
          </w:tcPr>
          <w:p w:rsidR="00B8782D" w:rsidRDefault="00B8782D">
            <w:pPr>
              <w:pStyle w:val="TableText"/>
            </w:pPr>
            <w:r>
              <w:t>Moderate</w:t>
            </w:r>
          </w:p>
        </w:tc>
      </w:tr>
      <w:tr w:rsidR="00B8782D">
        <w:trPr>
          <w:trHeight w:val="414"/>
        </w:trPr>
        <w:tc>
          <w:tcPr>
            <w:tcW w:w="440" w:type="pct"/>
          </w:tcPr>
          <w:p w:rsidR="00B8782D" w:rsidRDefault="00B8782D">
            <w:pPr>
              <w:pStyle w:val="TableText"/>
            </w:pPr>
            <w:r>
              <w:t>4</w:t>
            </w:r>
          </w:p>
        </w:tc>
        <w:tc>
          <w:tcPr>
            <w:tcW w:w="3206" w:type="pct"/>
          </w:tcPr>
          <w:p w:rsidR="00B8782D" w:rsidRDefault="00B8782D">
            <w:pPr>
              <w:pStyle w:val="TableText"/>
            </w:pPr>
            <w:r>
              <w:t>One or more criteria have an impact of ‘D’; or</w:t>
            </w:r>
            <w:r>
              <w:br/>
              <w:t>all criteria have an impact of ‘C’.</w:t>
            </w:r>
          </w:p>
        </w:tc>
        <w:tc>
          <w:tcPr>
            <w:tcW w:w="1354" w:type="pct"/>
          </w:tcPr>
          <w:p w:rsidR="00B8782D" w:rsidRDefault="00B8782D">
            <w:pPr>
              <w:pStyle w:val="TableText"/>
            </w:pPr>
            <w:r>
              <w:t>Low</w:t>
            </w:r>
          </w:p>
        </w:tc>
      </w:tr>
      <w:tr w:rsidR="00B8782D">
        <w:trPr>
          <w:trHeight w:val="414"/>
        </w:trPr>
        <w:tc>
          <w:tcPr>
            <w:tcW w:w="440" w:type="pct"/>
          </w:tcPr>
          <w:p w:rsidR="00B8782D" w:rsidRDefault="00B8782D">
            <w:pPr>
              <w:pStyle w:val="TableText"/>
            </w:pPr>
            <w:r>
              <w:t>5</w:t>
            </w:r>
          </w:p>
        </w:tc>
        <w:tc>
          <w:tcPr>
            <w:tcW w:w="3206" w:type="pct"/>
          </w:tcPr>
          <w:p w:rsidR="00B8782D" w:rsidRDefault="00B8782D">
            <w:pPr>
              <w:pStyle w:val="TableText"/>
            </w:pPr>
            <w:r>
              <w:t>One or more criteria have an impact of ‘C’; or</w:t>
            </w:r>
            <w:r>
              <w:br/>
              <w:t>all criteria have an impact of ‘B’.</w:t>
            </w:r>
          </w:p>
        </w:tc>
        <w:tc>
          <w:tcPr>
            <w:tcW w:w="1354" w:type="pct"/>
          </w:tcPr>
          <w:p w:rsidR="00B8782D" w:rsidRDefault="00B8782D">
            <w:pPr>
              <w:pStyle w:val="TableText"/>
            </w:pPr>
            <w:r>
              <w:t>Very Low</w:t>
            </w:r>
          </w:p>
        </w:tc>
      </w:tr>
      <w:tr w:rsidR="00B8782D">
        <w:trPr>
          <w:trHeight w:val="414"/>
        </w:trPr>
        <w:tc>
          <w:tcPr>
            <w:tcW w:w="440" w:type="pct"/>
          </w:tcPr>
          <w:p w:rsidR="00B8782D" w:rsidRDefault="00B8782D">
            <w:pPr>
              <w:pStyle w:val="TableText"/>
            </w:pPr>
            <w:r>
              <w:t>6</w:t>
            </w:r>
          </w:p>
        </w:tc>
        <w:tc>
          <w:tcPr>
            <w:tcW w:w="3206" w:type="pct"/>
          </w:tcPr>
          <w:p w:rsidR="00B8782D" w:rsidRDefault="00B8782D">
            <w:pPr>
              <w:pStyle w:val="TableText"/>
            </w:pPr>
            <w:r>
              <w:t>One or more but not all criteria have an impact of ‘B’, and</w:t>
            </w:r>
            <w:r>
              <w:br/>
              <w:t>all remaining criteria have an impact of ‘A’.</w:t>
            </w:r>
          </w:p>
        </w:tc>
        <w:tc>
          <w:tcPr>
            <w:tcW w:w="1354" w:type="pct"/>
          </w:tcPr>
          <w:p w:rsidR="00B8782D" w:rsidRDefault="00B8782D">
            <w:pPr>
              <w:pStyle w:val="TableText"/>
            </w:pPr>
            <w:r>
              <w:t>Negligible</w:t>
            </w:r>
          </w:p>
        </w:tc>
      </w:tr>
    </w:tbl>
    <w:p w:rsidR="00B8782D" w:rsidRDefault="00B8782D" w:rsidP="00B8782D">
      <w:pPr>
        <w:pStyle w:val="Heading3"/>
        <w:numPr>
          <w:ilvl w:val="2"/>
          <w:numId w:val="20"/>
        </w:numPr>
      </w:pPr>
      <w:r>
        <w:t>Estimation of the unrestricted risk</w:t>
      </w:r>
    </w:p>
    <w:p w:rsidR="00B8782D" w:rsidRDefault="00B8782D">
      <w:r>
        <w:t>Once the assessment of the probability of entry, establishment and spread and for potential consequences are completed, the unrestricted risk can be determined for each pest or groups of pests. This is determined by using a risk estimation matrix (Table 2.5) to combine the estimates of the probability of entry, establishment and spread and the overall consequences of pest establishment and spread. Therefore, risk is the product of likelihood and consequence.</w:t>
      </w:r>
    </w:p>
    <w:p w:rsidR="00B8782D" w:rsidRDefault="00B8782D">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27" w:name="_Toc384979280"/>
    </w:p>
    <w:p w:rsidR="00B8782D" w:rsidRDefault="00B8782D">
      <w:pPr>
        <w:pStyle w:val="Caption"/>
      </w:pPr>
      <w:r>
        <w:br w:type="page"/>
      </w:r>
      <w:bookmarkStart w:id="28" w:name="_Toc448236042"/>
      <w:r>
        <w:lastRenderedPageBreak/>
        <w:t xml:space="preserve">Table </w:t>
      </w:r>
      <w:r w:rsidR="00EA0C11">
        <w:fldChar w:fldCharType="begin"/>
      </w:r>
      <w:r w:rsidR="00EA0C11">
        <w:instrText xml:space="preserve"> STYLEREF 1 \s </w:instrText>
      </w:r>
      <w:r w:rsidR="00EA0C11">
        <w:fldChar w:fldCharType="separate"/>
      </w:r>
      <w:r w:rsidR="00457D54">
        <w:rPr>
          <w:noProof/>
        </w:rPr>
        <w:t>2</w:t>
      </w:r>
      <w:r w:rsidR="00EA0C11">
        <w:rPr>
          <w:noProof/>
        </w:rPr>
        <w:fldChar w:fldCharType="end"/>
      </w:r>
      <w:r>
        <w:t>.</w:t>
      </w:r>
      <w:r w:rsidR="00EA0C11">
        <w:fldChar w:fldCharType="begin"/>
      </w:r>
      <w:r w:rsidR="00EA0C11">
        <w:instrText xml:space="preserve"> SEQ Table \* ARABIC \s 1 </w:instrText>
      </w:r>
      <w:r w:rsidR="00EA0C11">
        <w:fldChar w:fldCharType="separate"/>
      </w:r>
      <w:r w:rsidR="00457D54">
        <w:rPr>
          <w:noProof/>
        </w:rPr>
        <w:t>5</w:t>
      </w:r>
      <w:r w:rsidR="00EA0C11">
        <w:rPr>
          <w:noProof/>
        </w:rPr>
        <w:fldChar w:fldCharType="end"/>
      </w:r>
      <w:r>
        <w:t xml:space="preserve"> Risk estimation matrix</w:t>
      </w:r>
      <w:bookmarkEnd w:id="27"/>
      <w:bookmarkEnd w:id="28"/>
    </w:p>
    <w:tbl>
      <w:tblPr>
        <w:tblW w:w="5000" w:type="pct"/>
        <w:tblLook w:val="0000" w:firstRow="0" w:lastRow="0" w:firstColumn="0" w:lastColumn="0" w:noHBand="0" w:noVBand="0"/>
      </w:tblPr>
      <w:tblGrid>
        <w:gridCol w:w="1438"/>
        <w:gridCol w:w="1270"/>
        <w:gridCol w:w="1270"/>
        <w:gridCol w:w="1272"/>
        <w:gridCol w:w="1270"/>
        <w:gridCol w:w="1270"/>
        <w:gridCol w:w="1270"/>
      </w:tblGrid>
      <w:tr w:rsidR="00B8782D">
        <w:trPr>
          <w:cantSplit/>
          <w:trHeight w:val="551"/>
        </w:trPr>
        <w:tc>
          <w:tcPr>
            <w:tcW w:w="793" w:type="pct"/>
            <w:vMerge w:val="restart"/>
            <w:tcBorders>
              <w:top w:val="single" w:sz="4" w:space="0" w:color="auto"/>
              <w:left w:val="single" w:sz="4" w:space="0" w:color="auto"/>
              <w:bottom w:val="single" w:sz="4" w:space="0" w:color="BFBFBF"/>
            </w:tcBorders>
            <w:vAlign w:val="bottom"/>
          </w:tcPr>
          <w:p w:rsidR="00B8782D" w:rsidRDefault="00B8782D">
            <w:pPr>
              <w:pStyle w:val="TableHeading"/>
            </w:pPr>
            <w:r>
              <w:t>Likelihood of pest entry, establishment and spread</w:t>
            </w:r>
          </w:p>
        </w:tc>
        <w:tc>
          <w:tcPr>
            <w:tcW w:w="4207" w:type="pct"/>
            <w:gridSpan w:val="6"/>
            <w:tcBorders>
              <w:top w:val="single" w:sz="4" w:space="0" w:color="auto"/>
              <w:left w:val="nil"/>
              <w:bottom w:val="single" w:sz="4" w:space="0" w:color="BFBFBF"/>
              <w:right w:val="single" w:sz="4" w:space="0" w:color="auto"/>
            </w:tcBorders>
            <w:shd w:val="clear" w:color="auto" w:fill="auto"/>
            <w:vAlign w:val="bottom"/>
          </w:tcPr>
          <w:p w:rsidR="00B8782D" w:rsidRDefault="00B8782D">
            <w:pPr>
              <w:pStyle w:val="TableHeading"/>
              <w:jc w:val="center"/>
            </w:pPr>
            <w:r>
              <w:t>Consequences of pest entry, establishment and spread</w:t>
            </w:r>
          </w:p>
        </w:tc>
      </w:tr>
      <w:tr w:rsidR="00B8782D">
        <w:trPr>
          <w:cantSplit/>
        </w:trPr>
        <w:tc>
          <w:tcPr>
            <w:tcW w:w="793" w:type="pct"/>
            <w:vMerge/>
            <w:tcBorders>
              <w:top w:val="single" w:sz="4" w:space="0" w:color="BFBFBF"/>
              <w:left w:val="single" w:sz="4" w:space="0" w:color="auto"/>
              <w:bottom w:val="single" w:sz="4" w:space="0" w:color="BFBFBF"/>
            </w:tcBorders>
          </w:tcPr>
          <w:p w:rsidR="00B8782D" w:rsidRDefault="00B8782D">
            <w:pPr>
              <w:pStyle w:val="TableText"/>
              <w:rPr>
                <w:color w:val="FFFFFF"/>
              </w:rPr>
            </w:pPr>
          </w:p>
        </w:tc>
        <w:tc>
          <w:tcPr>
            <w:tcW w:w="701" w:type="pct"/>
            <w:tcBorders>
              <w:top w:val="single" w:sz="4" w:space="0" w:color="BFBFBF"/>
              <w:left w:val="nil"/>
              <w:bottom w:val="single" w:sz="8" w:space="0" w:color="C0C0C0"/>
            </w:tcBorders>
            <w:shd w:val="clear" w:color="auto" w:fill="auto"/>
            <w:vAlign w:val="bottom"/>
          </w:tcPr>
          <w:p w:rsidR="00B8782D" w:rsidRDefault="00B8782D">
            <w:pPr>
              <w:pStyle w:val="TableText"/>
              <w:rPr>
                <w:b/>
              </w:rPr>
            </w:pPr>
            <w:r>
              <w:rPr>
                <w:b/>
              </w:rPr>
              <w:t xml:space="preserve">Negligible </w:t>
            </w:r>
          </w:p>
        </w:tc>
        <w:tc>
          <w:tcPr>
            <w:tcW w:w="701" w:type="pct"/>
            <w:tcBorders>
              <w:top w:val="single" w:sz="4" w:space="0" w:color="BFBFBF"/>
              <w:bottom w:val="single" w:sz="8" w:space="0" w:color="C0C0C0"/>
            </w:tcBorders>
            <w:shd w:val="clear" w:color="auto" w:fill="auto"/>
            <w:vAlign w:val="bottom"/>
          </w:tcPr>
          <w:p w:rsidR="00B8782D" w:rsidRDefault="00B8782D">
            <w:pPr>
              <w:pStyle w:val="TableText"/>
              <w:rPr>
                <w:b/>
              </w:rPr>
            </w:pPr>
            <w:r>
              <w:rPr>
                <w:b/>
              </w:rPr>
              <w:t>Very low</w:t>
            </w:r>
          </w:p>
        </w:tc>
        <w:tc>
          <w:tcPr>
            <w:tcW w:w="702" w:type="pct"/>
            <w:tcBorders>
              <w:top w:val="single" w:sz="4" w:space="0" w:color="BFBFBF"/>
              <w:bottom w:val="single" w:sz="8" w:space="0" w:color="C0C0C0"/>
            </w:tcBorders>
            <w:shd w:val="clear" w:color="auto" w:fill="auto"/>
            <w:vAlign w:val="bottom"/>
          </w:tcPr>
          <w:p w:rsidR="00B8782D" w:rsidRDefault="00B8782D">
            <w:pPr>
              <w:pStyle w:val="TableText"/>
              <w:rPr>
                <w:b/>
              </w:rPr>
            </w:pPr>
            <w:r>
              <w:rPr>
                <w:b/>
              </w:rPr>
              <w:t xml:space="preserve">Low </w:t>
            </w:r>
          </w:p>
        </w:tc>
        <w:tc>
          <w:tcPr>
            <w:tcW w:w="701" w:type="pct"/>
            <w:tcBorders>
              <w:top w:val="single" w:sz="4" w:space="0" w:color="BFBFBF"/>
              <w:bottom w:val="single" w:sz="8" w:space="0" w:color="C0C0C0"/>
            </w:tcBorders>
            <w:shd w:val="clear" w:color="auto" w:fill="auto"/>
            <w:vAlign w:val="bottom"/>
          </w:tcPr>
          <w:p w:rsidR="00B8782D" w:rsidRDefault="00B8782D">
            <w:pPr>
              <w:pStyle w:val="TableText"/>
              <w:rPr>
                <w:b/>
              </w:rPr>
            </w:pPr>
            <w:r>
              <w:rPr>
                <w:b/>
              </w:rPr>
              <w:t>Moderate</w:t>
            </w:r>
          </w:p>
        </w:tc>
        <w:tc>
          <w:tcPr>
            <w:tcW w:w="701" w:type="pct"/>
            <w:tcBorders>
              <w:top w:val="single" w:sz="4" w:space="0" w:color="BFBFBF"/>
              <w:bottom w:val="single" w:sz="8" w:space="0" w:color="C0C0C0"/>
            </w:tcBorders>
            <w:shd w:val="clear" w:color="auto" w:fill="auto"/>
            <w:vAlign w:val="bottom"/>
          </w:tcPr>
          <w:p w:rsidR="00B8782D" w:rsidRDefault="00B8782D">
            <w:pPr>
              <w:pStyle w:val="TableText"/>
              <w:rPr>
                <w:b/>
              </w:rPr>
            </w:pPr>
            <w:r>
              <w:rPr>
                <w:b/>
              </w:rPr>
              <w:t>High</w:t>
            </w:r>
          </w:p>
        </w:tc>
        <w:tc>
          <w:tcPr>
            <w:tcW w:w="701" w:type="pct"/>
            <w:tcBorders>
              <w:top w:val="single" w:sz="4" w:space="0" w:color="BFBFBF"/>
              <w:bottom w:val="single" w:sz="8" w:space="0" w:color="C0C0C0"/>
              <w:right w:val="single" w:sz="4" w:space="0" w:color="auto"/>
            </w:tcBorders>
            <w:shd w:val="clear" w:color="auto" w:fill="auto"/>
            <w:vAlign w:val="bottom"/>
          </w:tcPr>
          <w:p w:rsidR="00B8782D" w:rsidRDefault="00B8782D">
            <w:pPr>
              <w:pStyle w:val="TableText"/>
              <w:rPr>
                <w:b/>
              </w:rPr>
            </w:pPr>
            <w:r>
              <w:rPr>
                <w:b/>
              </w:rPr>
              <w:t xml:space="preserve">Extreme </w:t>
            </w:r>
          </w:p>
        </w:tc>
      </w:tr>
      <w:tr w:rsidR="00B8782D">
        <w:trPr>
          <w:cantSplit/>
        </w:trPr>
        <w:tc>
          <w:tcPr>
            <w:tcW w:w="793" w:type="pct"/>
            <w:tcBorders>
              <w:top w:val="single" w:sz="4" w:space="0" w:color="BFBFBF"/>
              <w:left w:val="single" w:sz="4" w:space="0" w:color="auto"/>
              <w:bottom w:val="single" w:sz="4" w:space="0" w:color="BFBFBF"/>
              <w:right w:val="single" w:sz="4" w:space="0" w:color="D9D9D9"/>
            </w:tcBorders>
          </w:tcPr>
          <w:p w:rsidR="00B8782D" w:rsidRDefault="00B8782D">
            <w:pPr>
              <w:pStyle w:val="TableText"/>
              <w:rPr>
                <w:b/>
              </w:rPr>
            </w:pPr>
            <w:r>
              <w:rPr>
                <w:b/>
              </w:rPr>
              <w:t xml:space="preserve">High </w:t>
            </w:r>
          </w:p>
        </w:tc>
        <w:tc>
          <w:tcPr>
            <w:tcW w:w="701" w:type="pct"/>
            <w:tcBorders>
              <w:top w:val="single" w:sz="4" w:space="0" w:color="D9D9D9"/>
              <w:left w:val="single" w:sz="4" w:space="0" w:color="D9D9D9"/>
              <w:bottom w:val="single" w:sz="8" w:space="0" w:color="C0C0C0"/>
              <w:right w:val="single" w:sz="8" w:space="0" w:color="C0C0C0"/>
            </w:tcBorders>
            <w:shd w:val="clear" w:color="auto" w:fill="F2F2F2"/>
          </w:tcPr>
          <w:p w:rsidR="00B8782D" w:rsidRDefault="00B8782D">
            <w:pPr>
              <w:pStyle w:val="TableText"/>
            </w:pPr>
            <w:r>
              <w:t>Negligible risk</w:t>
            </w:r>
          </w:p>
        </w:tc>
        <w:tc>
          <w:tcPr>
            <w:tcW w:w="701" w:type="pct"/>
            <w:tcBorders>
              <w:top w:val="single" w:sz="4" w:space="0" w:color="D9D9D9"/>
              <w:left w:val="single" w:sz="8" w:space="0" w:color="C0C0C0"/>
              <w:bottom w:val="single" w:sz="8" w:space="0" w:color="C0C0C0"/>
              <w:right w:val="single" w:sz="8" w:space="0" w:color="C0C0C0"/>
            </w:tcBorders>
            <w:shd w:val="clear" w:color="auto" w:fill="000000"/>
          </w:tcPr>
          <w:p w:rsidR="00B8782D" w:rsidRDefault="00B8782D">
            <w:pPr>
              <w:pStyle w:val="TableText"/>
              <w:rPr>
                <w:color w:val="FFFFFF"/>
              </w:rPr>
            </w:pPr>
            <w:r>
              <w:rPr>
                <w:color w:val="FFFFFF"/>
              </w:rPr>
              <w:t>Very low risk</w:t>
            </w:r>
          </w:p>
        </w:tc>
        <w:tc>
          <w:tcPr>
            <w:tcW w:w="702" w:type="pct"/>
            <w:tcBorders>
              <w:top w:val="single" w:sz="4" w:space="0" w:color="D9D9D9"/>
              <w:left w:val="single" w:sz="8" w:space="0" w:color="C0C0C0"/>
              <w:bottom w:val="single" w:sz="8" w:space="0" w:color="C0C0C0"/>
              <w:right w:val="single" w:sz="8" w:space="0" w:color="C0C0C0"/>
            </w:tcBorders>
            <w:shd w:val="clear" w:color="auto" w:fill="CCFFCC"/>
          </w:tcPr>
          <w:p w:rsidR="00B8782D" w:rsidRDefault="00B8782D">
            <w:pPr>
              <w:pStyle w:val="TableText"/>
            </w:pPr>
            <w:r>
              <w:t>Low risk</w:t>
            </w:r>
          </w:p>
        </w:tc>
        <w:tc>
          <w:tcPr>
            <w:tcW w:w="701" w:type="pct"/>
            <w:tcBorders>
              <w:top w:val="single" w:sz="4" w:space="0" w:color="D9D9D9"/>
              <w:left w:val="single" w:sz="8" w:space="0" w:color="C0C0C0"/>
              <w:bottom w:val="single" w:sz="8" w:space="0" w:color="C0C0C0"/>
              <w:right w:val="single" w:sz="8" w:space="0" w:color="C0C0C0"/>
            </w:tcBorders>
            <w:shd w:val="clear" w:color="auto" w:fill="FFFF99"/>
          </w:tcPr>
          <w:p w:rsidR="00B8782D" w:rsidRDefault="00B8782D">
            <w:pPr>
              <w:pStyle w:val="TableText"/>
            </w:pPr>
            <w:r>
              <w:t>Moderate risk</w:t>
            </w:r>
          </w:p>
        </w:tc>
        <w:tc>
          <w:tcPr>
            <w:tcW w:w="701" w:type="pct"/>
            <w:tcBorders>
              <w:top w:val="single" w:sz="4" w:space="0" w:color="D9D9D9"/>
              <w:left w:val="single" w:sz="8" w:space="0" w:color="C0C0C0"/>
              <w:bottom w:val="single" w:sz="8" w:space="0" w:color="C0C0C0"/>
              <w:right w:val="single" w:sz="8" w:space="0" w:color="C0C0C0"/>
            </w:tcBorders>
            <w:shd w:val="clear" w:color="auto" w:fill="FFCC99"/>
          </w:tcPr>
          <w:p w:rsidR="00B8782D" w:rsidRDefault="00B8782D">
            <w:pPr>
              <w:pStyle w:val="TableText"/>
            </w:pPr>
            <w:r>
              <w:t>High risk</w:t>
            </w:r>
          </w:p>
        </w:tc>
        <w:tc>
          <w:tcPr>
            <w:tcW w:w="701" w:type="pct"/>
            <w:tcBorders>
              <w:top w:val="single" w:sz="4" w:space="0" w:color="D9D9D9"/>
              <w:left w:val="single" w:sz="8" w:space="0" w:color="C0C0C0"/>
              <w:bottom w:val="single" w:sz="8" w:space="0" w:color="C0C0C0"/>
              <w:right w:val="single" w:sz="4" w:space="0" w:color="auto"/>
            </w:tcBorders>
            <w:shd w:val="clear" w:color="auto" w:fill="FF99CC"/>
          </w:tcPr>
          <w:p w:rsidR="00B8782D" w:rsidRDefault="00B8782D">
            <w:pPr>
              <w:pStyle w:val="TableText"/>
            </w:pPr>
            <w:r>
              <w:t>Extreme risk</w:t>
            </w:r>
          </w:p>
        </w:tc>
      </w:tr>
      <w:tr w:rsidR="00B8782D">
        <w:trPr>
          <w:cantSplit/>
        </w:trPr>
        <w:tc>
          <w:tcPr>
            <w:tcW w:w="793" w:type="pct"/>
            <w:tcBorders>
              <w:top w:val="single" w:sz="4" w:space="0" w:color="BFBFBF"/>
              <w:left w:val="single" w:sz="4" w:space="0" w:color="auto"/>
              <w:bottom w:val="single" w:sz="4" w:space="0" w:color="BFBFBF"/>
              <w:right w:val="single" w:sz="4" w:space="0" w:color="D9D9D9"/>
            </w:tcBorders>
          </w:tcPr>
          <w:p w:rsidR="00B8782D" w:rsidRDefault="00B8782D">
            <w:pPr>
              <w:pStyle w:val="TableText"/>
              <w:rPr>
                <w:b/>
              </w:rPr>
            </w:pPr>
            <w:r>
              <w:rPr>
                <w:b/>
              </w:rPr>
              <w:t>Moderate</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rsidR="00B8782D" w:rsidRDefault="00B8782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B8782D" w:rsidRDefault="00B8782D">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rsidR="00B8782D" w:rsidRDefault="00B8782D">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B8782D" w:rsidRDefault="00B8782D">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rsidR="00B8782D" w:rsidRDefault="00B8782D">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rsidR="00B8782D" w:rsidRDefault="00B8782D">
            <w:pPr>
              <w:pStyle w:val="TableText"/>
            </w:pPr>
            <w:r>
              <w:t>Extreme risk</w:t>
            </w:r>
          </w:p>
        </w:tc>
      </w:tr>
      <w:tr w:rsidR="00B8782D">
        <w:trPr>
          <w:cantSplit/>
        </w:trPr>
        <w:tc>
          <w:tcPr>
            <w:tcW w:w="793" w:type="pct"/>
            <w:tcBorders>
              <w:top w:val="single" w:sz="4" w:space="0" w:color="BFBFBF"/>
              <w:left w:val="single" w:sz="4" w:space="0" w:color="auto"/>
              <w:bottom w:val="single" w:sz="4" w:space="0" w:color="BFBFBF"/>
              <w:right w:val="single" w:sz="4" w:space="0" w:color="D9D9D9"/>
            </w:tcBorders>
          </w:tcPr>
          <w:p w:rsidR="00B8782D" w:rsidRDefault="00B8782D">
            <w:pPr>
              <w:pStyle w:val="TableText"/>
              <w:rPr>
                <w:b/>
              </w:rPr>
            </w:pPr>
            <w:r>
              <w:rPr>
                <w:b/>
              </w:rPr>
              <w:t>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rsidR="00B8782D" w:rsidRDefault="00B8782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rsidR="00B8782D" w:rsidRDefault="00B8782D">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rsidR="00B8782D" w:rsidRDefault="00B8782D">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B8782D" w:rsidRDefault="00B8782D">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B8782D" w:rsidRDefault="00B8782D">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rsidR="00B8782D" w:rsidRDefault="00B8782D">
            <w:pPr>
              <w:pStyle w:val="TableText"/>
            </w:pPr>
            <w:r>
              <w:t>High risk</w:t>
            </w:r>
          </w:p>
        </w:tc>
      </w:tr>
      <w:tr w:rsidR="00B8782D">
        <w:trPr>
          <w:cantSplit/>
        </w:trPr>
        <w:tc>
          <w:tcPr>
            <w:tcW w:w="793" w:type="pct"/>
            <w:tcBorders>
              <w:top w:val="single" w:sz="4" w:space="0" w:color="BFBFBF"/>
              <w:left w:val="single" w:sz="4" w:space="0" w:color="auto"/>
              <w:bottom w:val="single" w:sz="4" w:space="0" w:color="BFBFBF"/>
              <w:right w:val="single" w:sz="4" w:space="0" w:color="D9D9D9"/>
            </w:tcBorders>
          </w:tcPr>
          <w:p w:rsidR="00B8782D" w:rsidRDefault="00B8782D">
            <w:pPr>
              <w:pStyle w:val="TableText"/>
              <w:rPr>
                <w:b/>
              </w:rPr>
            </w:pPr>
            <w:r>
              <w:rPr>
                <w:b/>
              </w:rPr>
              <w:t>Very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rsidR="00B8782D" w:rsidRDefault="00B8782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rsidR="00B8782D" w:rsidRDefault="00B8782D">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cPr>
          <w:p w:rsidR="00B8782D" w:rsidRDefault="00B8782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B8782D" w:rsidRDefault="00B8782D">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B8782D" w:rsidRDefault="00B8782D">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rsidR="00B8782D" w:rsidRDefault="00B8782D">
            <w:pPr>
              <w:pStyle w:val="TableText"/>
            </w:pPr>
            <w:r>
              <w:t>Moderate risk</w:t>
            </w:r>
          </w:p>
        </w:tc>
      </w:tr>
      <w:tr w:rsidR="00B8782D">
        <w:trPr>
          <w:cantSplit/>
        </w:trPr>
        <w:tc>
          <w:tcPr>
            <w:tcW w:w="793" w:type="pct"/>
            <w:tcBorders>
              <w:top w:val="single" w:sz="4" w:space="0" w:color="BFBFBF"/>
              <w:left w:val="single" w:sz="4" w:space="0" w:color="auto"/>
              <w:bottom w:val="single" w:sz="4" w:space="0" w:color="BFBFBF"/>
              <w:right w:val="single" w:sz="4" w:space="0" w:color="D9D9D9"/>
            </w:tcBorders>
          </w:tcPr>
          <w:p w:rsidR="00B8782D" w:rsidRDefault="00B8782D">
            <w:pPr>
              <w:pStyle w:val="TableText"/>
              <w:rPr>
                <w:b/>
              </w:rPr>
            </w:pPr>
            <w:r>
              <w:rPr>
                <w:b/>
              </w:rPr>
              <w:t>Extremely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rsidR="00B8782D" w:rsidRDefault="00B8782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rsidR="00B8782D" w:rsidRDefault="00B8782D">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cPr>
          <w:p w:rsidR="00B8782D" w:rsidRDefault="00B8782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rsidR="00B8782D" w:rsidRDefault="00B8782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B8782D" w:rsidRDefault="00B8782D">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rsidR="00B8782D" w:rsidRDefault="00B8782D">
            <w:pPr>
              <w:pStyle w:val="TableText"/>
            </w:pPr>
            <w:r>
              <w:t>Low risk</w:t>
            </w:r>
          </w:p>
        </w:tc>
      </w:tr>
      <w:tr w:rsidR="00B8782D">
        <w:trPr>
          <w:cantSplit/>
        </w:trPr>
        <w:tc>
          <w:tcPr>
            <w:tcW w:w="793" w:type="pct"/>
            <w:tcBorders>
              <w:top w:val="single" w:sz="4" w:space="0" w:color="BFBFBF"/>
              <w:left w:val="single" w:sz="4" w:space="0" w:color="auto"/>
              <w:bottom w:val="single" w:sz="4" w:space="0" w:color="auto"/>
              <w:right w:val="single" w:sz="4" w:space="0" w:color="D9D9D9"/>
            </w:tcBorders>
          </w:tcPr>
          <w:p w:rsidR="00B8782D" w:rsidRDefault="00B8782D">
            <w:pPr>
              <w:pStyle w:val="TableText"/>
              <w:rPr>
                <w:b/>
              </w:rPr>
            </w:pPr>
            <w:r>
              <w:rPr>
                <w:b/>
              </w:rPr>
              <w:t xml:space="preserve">Negligible </w:t>
            </w:r>
          </w:p>
        </w:tc>
        <w:tc>
          <w:tcPr>
            <w:tcW w:w="701" w:type="pct"/>
            <w:tcBorders>
              <w:top w:val="single" w:sz="8" w:space="0" w:color="C0C0C0"/>
              <w:left w:val="single" w:sz="4" w:space="0" w:color="D9D9D9"/>
              <w:bottom w:val="single" w:sz="4" w:space="0" w:color="auto"/>
              <w:right w:val="single" w:sz="8" w:space="0" w:color="C0C0C0"/>
            </w:tcBorders>
            <w:shd w:val="clear" w:color="auto" w:fill="F2F2F2"/>
          </w:tcPr>
          <w:p w:rsidR="00B8782D" w:rsidRDefault="00B8782D">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rsidR="00B8782D" w:rsidRDefault="00B8782D">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cPr>
          <w:p w:rsidR="00B8782D" w:rsidRDefault="00B8782D">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rsidR="00B8782D" w:rsidRDefault="00B8782D">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rsidR="00B8782D" w:rsidRDefault="00B8782D">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rsidR="00B8782D" w:rsidRDefault="00B8782D">
            <w:pPr>
              <w:pStyle w:val="TableText"/>
              <w:rPr>
                <w:color w:val="FFFFFF"/>
              </w:rPr>
            </w:pPr>
            <w:r>
              <w:rPr>
                <w:color w:val="FFFFFF"/>
              </w:rPr>
              <w:t>Very low risk</w:t>
            </w:r>
          </w:p>
        </w:tc>
      </w:tr>
    </w:tbl>
    <w:p w:rsidR="00B8782D" w:rsidRDefault="00B8782D" w:rsidP="00B8782D">
      <w:pPr>
        <w:pStyle w:val="Heading3"/>
        <w:numPr>
          <w:ilvl w:val="2"/>
          <w:numId w:val="20"/>
        </w:numPr>
      </w:pPr>
      <w:r>
        <w:t>Australia’s appropriate level of protection (ALOP)</w:t>
      </w:r>
    </w:p>
    <w:p w:rsidR="00B8782D" w:rsidRDefault="00B8782D">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rsidR="00B8782D" w:rsidRDefault="00B8782D">
      <w:r>
        <w:t>Like many other countries, Australia expresses its ALOP in qualitative terms. Australia’s ALOP, which reflects community expectations through government policy, is currently expressed as providing a high level of sanitary or phytosanitary protection aimed at reducing risk to a very low level, but not to zero. The band of cells in Table 2.5 marked ‘very low risk’ represents Australia’s ALOP.</w:t>
      </w:r>
    </w:p>
    <w:p w:rsidR="00B8782D" w:rsidRDefault="00B8782D" w:rsidP="00B8782D">
      <w:pPr>
        <w:pStyle w:val="Heading2"/>
        <w:numPr>
          <w:ilvl w:val="1"/>
          <w:numId w:val="20"/>
        </w:numPr>
      </w:pPr>
      <w:bookmarkStart w:id="29" w:name="_Toc448312485"/>
      <w:r>
        <w:t>Stage 3 Pest risk management</w:t>
      </w:r>
      <w:bookmarkEnd w:id="29"/>
    </w:p>
    <w:p w:rsidR="00B8782D" w:rsidRDefault="00B8782D">
      <w:r>
        <w:t>Pest risk management describes the process of identifying and implementing phytosanitary measures to manage risks to achieve Australia’s ALOP, while ensuring that any negative effects on trade are minimised.</w:t>
      </w:r>
    </w:p>
    <w:p w:rsidR="00B8782D" w:rsidRDefault="00B8782D">
      <w:r>
        <w:t>The conclusions from pest risk assessment are used to decide whether risk management is required and if so, the appropriate measures to be used. Where the unrestricted risk estimate exceeds Australia’s ALOP, risk management measures are required to reduce this risk to a very low level. The guiding principle for risk management is to manage risk to achieve Australia’s ALOP. The effectiveness of any recommended phytosanitary measures (or combination of measures) is evaluated, using the same approach as used to evaluate the unrestricted risk, to ensure it reduces the restricted risk for the relevant pest or pests to meet Australia’s ALOP.</w:t>
      </w:r>
    </w:p>
    <w:p w:rsidR="00B8782D" w:rsidRDefault="00B8782D">
      <w:r>
        <w:t xml:space="preserve">ISPM 11 </w:t>
      </w:r>
      <w:r>
        <w:rPr>
          <w:noProof/>
        </w:rPr>
        <w:t>(FAO 2013)</w:t>
      </w:r>
      <w:r>
        <w:t xml:space="preserve"> provides details on the identification and selection of appropriate risk management options and notes that the choice of measures should be based on their effectiveness in reducing the probability of entry of the pest.</w:t>
      </w:r>
    </w:p>
    <w:p w:rsidR="00B8782D" w:rsidRDefault="00B8782D">
      <w:r>
        <w:t>Examples given of measures commonly applied to traded commodities include:</w:t>
      </w:r>
    </w:p>
    <w:p w:rsidR="00B8782D" w:rsidRDefault="00B8782D">
      <w:pPr>
        <w:pStyle w:val="ListBullet"/>
      </w:pPr>
      <w:r>
        <w:lastRenderedPageBreak/>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rsidR="00B8782D" w:rsidRDefault="00B8782D">
      <w:pPr>
        <w:pStyle w:val="ListBullet"/>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to the year, production in a certification scheme</w:t>
      </w:r>
    </w:p>
    <w:p w:rsidR="00B8782D" w:rsidRDefault="00B8782D">
      <w:pPr>
        <w:pStyle w:val="ListBullet"/>
      </w:pPr>
      <w:r>
        <w:t>options ensuring that the area, place or site of production or crop is free from the pest—for example, pest-free area, pest-free place of production or pest-free production site</w:t>
      </w:r>
    </w:p>
    <w:p w:rsidR="00B8782D" w:rsidRDefault="00B8782D">
      <w:pPr>
        <w:pStyle w:val="ListBullet"/>
      </w:pPr>
      <w:r>
        <w:t>options for other types of pathways—for example, consider natural spread, measures for human travellers and their baggage, cleaning or disinfestations of contaminated machinery</w:t>
      </w:r>
    </w:p>
    <w:p w:rsidR="00B8782D" w:rsidRDefault="00B8782D">
      <w:pPr>
        <w:pStyle w:val="ListBullet"/>
      </w:pPr>
      <w:r>
        <w:t>options within the importing country—for example, surveillance and eradication programs</w:t>
      </w:r>
    </w:p>
    <w:p w:rsidR="00B8782D" w:rsidRDefault="00B8782D">
      <w:pPr>
        <w:pStyle w:val="ListBullet"/>
      </w:pPr>
      <w:r>
        <w:t>prohibition of commodities—if no satisfactory measure can be found.</w:t>
      </w:r>
    </w:p>
    <w:p w:rsidR="00B8782D" w:rsidRDefault="00B8782D">
      <w:r>
        <w:t>Risk management measures are identified for each quarantine pest where the risk exceeds Australia’s ALOP. These are presented in Chapter 5: Pest risk management, of this report.</w:t>
      </w:r>
    </w:p>
    <w:p w:rsidR="00B8782D" w:rsidRDefault="00B8782D"/>
    <w:p w:rsidR="00B8782D" w:rsidRDefault="00B8782D">
      <w:pPr>
        <w:sectPr w:rsidR="00B8782D">
          <w:headerReference w:type="default" r:id="rId32"/>
          <w:pgSz w:w="11906" w:h="16838"/>
          <w:pgMar w:top="1418" w:right="1418" w:bottom="1418" w:left="1418" w:header="567" w:footer="283" w:gutter="0"/>
          <w:cols w:space="708"/>
          <w:docGrid w:linePitch="360"/>
        </w:sectPr>
      </w:pPr>
    </w:p>
    <w:p w:rsidR="00B8782D" w:rsidRDefault="00B8782D" w:rsidP="00B8782D">
      <w:pPr>
        <w:pStyle w:val="Heading1"/>
        <w:numPr>
          <w:ilvl w:val="0"/>
          <w:numId w:val="20"/>
        </w:numPr>
      </w:pPr>
      <w:bookmarkStart w:id="30" w:name="_Toc448312486"/>
      <w:r>
        <w:lastRenderedPageBreak/>
        <w:t>China’s commercial production practices for nectarines</w:t>
      </w:r>
      <w:bookmarkEnd w:id="30"/>
    </w:p>
    <w:p w:rsidR="00B8782D" w:rsidRDefault="00B8782D">
      <w:r>
        <w:t>This chapter provides information on the pre-harvest, harvest and post-harvest practices, considered to be standard practices in China for the production of fresh nectarine fruit for export. The export capability of China is also outlined.</w:t>
      </w:r>
    </w:p>
    <w:p w:rsidR="00B8782D" w:rsidRDefault="00B8782D" w:rsidP="00B8782D">
      <w:pPr>
        <w:pStyle w:val="Heading2"/>
        <w:numPr>
          <w:ilvl w:val="1"/>
          <w:numId w:val="20"/>
        </w:numPr>
      </w:pPr>
      <w:bookmarkStart w:id="31" w:name="_Toc448312487"/>
      <w:r>
        <w:t>Assumptions used in estimating unrestricted risk</w:t>
      </w:r>
      <w:bookmarkEnd w:id="31"/>
    </w:p>
    <w:p w:rsidR="00B8782D" w:rsidRDefault="00B8782D">
      <w:r>
        <w:t>China provided Australia with information on the standard commercial practices used in the production of peaches and nectarines in different regions for all commercially produced peaches and nectarines varieties in China. This information was complemented with data from other sources and was taken into consideration when estimating the unrestricted risks of pests that may be associated with the import of nectarines.</w:t>
      </w:r>
    </w:p>
    <w:p w:rsidR="00B8782D" w:rsidRDefault="00B8782D">
      <w:r>
        <w:t xml:space="preserve">Officers from the Australian Government Department of Agriculture and Water Resources visited Yuncheng, Shanxi province, one of China’s major nectarine production areas, during 8–11 June 2015. During this visit officers were able to observe and verify commercial production practices related to pest management in orchards and packinghouses. Based on the information gathered during this verification visit, where relevant, changes were made to this Chapter. </w:t>
      </w:r>
    </w:p>
    <w:p w:rsidR="00B8782D" w:rsidRDefault="00B8782D">
      <w:r>
        <w:t>In estimating the likelihood of pest introduction, it was assumed that the pre-harvest, harvest and post-harvest production practices for peaches and nectarines, as described in this chapter, are implemented for all regions for nectarine varieties within the scope of this analysis. Where a specific practice described in this chapter is not taken into account to estimate the unrestricted risk, it is clearly identified and explained in Chapter 4.</w:t>
      </w:r>
    </w:p>
    <w:p w:rsidR="00B8782D" w:rsidRDefault="00B8782D" w:rsidP="00B8782D">
      <w:pPr>
        <w:pStyle w:val="Heading2"/>
        <w:numPr>
          <w:ilvl w:val="1"/>
          <w:numId w:val="20"/>
        </w:numPr>
      </w:pPr>
      <w:bookmarkStart w:id="32" w:name="_Toc448312488"/>
      <w:r>
        <w:t>Climate in production areas</w:t>
      </w:r>
      <w:bookmarkEnd w:id="32"/>
    </w:p>
    <w:p w:rsidR="00B8782D" w:rsidRDefault="00B8782D">
      <w:r>
        <w:t xml:space="preserve">Peaches and nectarines are widely planted in China. China’s main peach and nectarine production areas include Anhui, Beijing, Hebei, Henan, Hubei, Jiangsu, Liaoning, Shaanxi, Shandong, Shanxi, Sichuan and Zhejiang provinces </w:t>
      </w:r>
      <w:r>
        <w:rPr>
          <w:noProof/>
        </w:rPr>
        <w:t>(Moore et al. 2012; Scott et al. 2014)</w:t>
      </w:r>
      <w:r>
        <w:t>(Map 4).</w:t>
      </w:r>
    </w:p>
    <w:p w:rsidR="00B8782D" w:rsidRDefault="00B8782D">
      <w:r>
        <w:t>Climate data including the mean maximum and minimum temperatures and the mean monthly rainfall for these provinces of China are presented in Figure 2.</w:t>
      </w:r>
    </w:p>
    <w:p w:rsidR="00B8782D" w:rsidRDefault="00B8782D">
      <w:pPr>
        <w:pStyle w:val="Caption"/>
      </w:pPr>
      <w:r>
        <w:br w:type="page"/>
      </w:r>
      <w:bookmarkStart w:id="33" w:name="_Toc447201676"/>
      <w:bookmarkStart w:id="34" w:name="_Toc448236050"/>
      <w:r>
        <w:lastRenderedPageBreak/>
        <w:t xml:space="preserve">Map </w:t>
      </w:r>
      <w:r w:rsidR="00EA0C11">
        <w:fldChar w:fldCharType="begin"/>
      </w:r>
      <w:r w:rsidR="00EA0C11">
        <w:instrText xml:space="preserve"> SEQ Map \* ARABIC </w:instrText>
      </w:r>
      <w:r w:rsidR="00EA0C11">
        <w:fldChar w:fldCharType="separate"/>
      </w:r>
      <w:r w:rsidR="00457D54">
        <w:rPr>
          <w:noProof/>
        </w:rPr>
        <w:t>4</w:t>
      </w:r>
      <w:r w:rsidR="00EA0C11">
        <w:rPr>
          <w:noProof/>
        </w:rPr>
        <w:fldChar w:fldCharType="end"/>
      </w:r>
      <w:r>
        <w:t xml:space="preserve"> Main peach and nectarine production areas in China</w:t>
      </w:r>
      <w:bookmarkEnd w:id="33"/>
      <w:bookmarkEnd w:id="34"/>
    </w:p>
    <w:p w:rsidR="00B8782D" w:rsidRDefault="00B8782D">
      <w:r>
        <w:rPr>
          <w:noProof/>
          <w:lang w:eastAsia="zh-CN"/>
        </w:rPr>
        <w:drawing>
          <wp:inline distT="0" distB="0" distL="0" distR="0" wp14:anchorId="74E9F788" wp14:editId="4ECA0142">
            <wp:extent cx="5274310" cy="3884295"/>
            <wp:effectExtent l="19050" t="0" r="2540" b="0"/>
            <wp:docPr id="5" name="Picture 35" descr="Liaoning, Beijing, Hebei, Shanxi, Shandong, Henan, Shaansi, Jiangsu, Anhur, Hubei, Zhejiang, Sich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aoning, Beijing, Hebei, Shanxi, Shandong, Henan, Shaansi, Jiangsu, Anhur, Hubei, Zhejiang, Sichuan"/>
                    <pic:cNvPicPr>
                      <a:picLocks noChangeAspect="1" noChangeArrowheads="1"/>
                    </pic:cNvPicPr>
                  </pic:nvPicPr>
                  <pic:blipFill>
                    <a:blip r:embed="rId33" cstate="print"/>
                    <a:srcRect/>
                    <a:stretch>
                      <a:fillRect/>
                    </a:stretch>
                  </pic:blipFill>
                  <pic:spPr bwMode="auto">
                    <a:xfrm>
                      <a:off x="0" y="0"/>
                      <a:ext cx="5274310" cy="3884295"/>
                    </a:xfrm>
                    <a:prstGeom prst="rect">
                      <a:avLst/>
                    </a:prstGeom>
                    <a:noFill/>
                    <a:ln w="9525">
                      <a:noFill/>
                      <a:miter lim="800000"/>
                      <a:headEnd/>
                      <a:tailEnd/>
                    </a:ln>
                  </pic:spPr>
                </pic:pic>
              </a:graphicData>
            </a:graphic>
          </wp:inline>
        </w:drawing>
      </w:r>
    </w:p>
    <w:p w:rsidR="00B8782D" w:rsidRDefault="00B8782D">
      <w:pPr>
        <w:pStyle w:val="FigureTableNoteSource"/>
      </w:pPr>
      <w:r>
        <w:t xml:space="preserve">Source: </w:t>
      </w:r>
      <w:r>
        <w:rPr>
          <w:noProof/>
        </w:rPr>
        <w:t xml:space="preserve">Scott et al. </w:t>
      </w:r>
      <w:r w:rsidR="00EA0C11">
        <w:rPr>
          <w:noProof/>
        </w:rPr>
        <w:t>(</w:t>
      </w:r>
      <w:r>
        <w:rPr>
          <w:noProof/>
        </w:rPr>
        <w:t>2014)</w:t>
      </w:r>
    </w:p>
    <w:p w:rsidR="00B8782D" w:rsidRDefault="00B8782D">
      <w:pPr>
        <w:spacing w:before="0" w:after="0" w:line="240" w:lineRule="auto"/>
        <w:sectPr w:rsidR="00B8782D">
          <w:headerReference w:type="default" r:id="rId34"/>
          <w:pgSz w:w="11906" w:h="16838"/>
          <w:pgMar w:top="1440" w:right="1416" w:bottom="1440" w:left="1418" w:header="708" w:footer="708" w:gutter="0"/>
          <w:cols w:space="708"/>
          <w:docGrid w:linePitch="360"/>
        </w:sectPr>
      </w:pPr>
    </w:p>
    <w:p w:rsidR="00B8782D" w:rsidRDefault="00B8782D">
      <w:pPr>
        <w:pStyle w:val="Caption"/>
      </w:pPr>
      <w:bookmarkStart w:id="35" w:name="_Toc448236036"/>
      <w:r>
        <w:lastRenderedPageBreak/>
        <w:t xml:space="preserve">Figure </w:t>
      </w:r>
      <w:r w:rsidR="00EA0C11">
        <w:fldChar w:fldCharType="begin"/>
      </w:r>
      <w:r w:rsidR="00EA0C11">
        <w:instrText xml:space="preserve"> SEQ Figure \* ARABIC </w:instrText>
      </w:r>
      <w:r w:rsidR="00EA0C11">
        <w:fldChar w:fldCharType="separate"/>
      </w:r>
      <w:r w:rsidR="00457D54">
        <w:rPr>
          <w:noProof/>
        </w:rPr>
        <w:t>2</w:t>
      </w:r>
      <w:r w:rsidR="00EA0C11">
        <w:rPr>
          <w:noProof/>
        </w:rPr>
        <w:fldChar w:fldCharType="end"/>
      </w:r>
      <w:r>
        <w:t xml:space="preserve"> Mean monthly rainfall and mean maximum and minimum temperatures for the main nectarine producing provinces of China</w:t>
      </w:r>
      <w:bookmarkEnd w:id="35"/>
    </w:p>
    <w:p w:rsidR="00B8782D" w:rsidRDefault="00B8782D">
      <w:pPr>
        <w:pStyle w:val="Caption"/>
      </w:pPr>
      <w:r>
        <w:rPr>
          <w:noProof/>
          <w:lang w:eastAsia="zh-CN"/>
        </w:rPr>
        <w:drawing>
          <wp:inline distT="0" distB="0" distL="0" distR="0" wp14:anchorId="369F2DB3" wp14:editId="13A8F503">
            <wp:extent cx="2874645" cy="1726565"/>
            <wp:effectExtent l="19050" t="0" r="1905" b="0"/>
            <wp:docPr id="6" name="Picture 1" descr="Average monthly rainfall and mean maximum and minimum temperatures for the main nectarine producing provinces of China - this graph shows data for Hefei of Anhui provi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874645" cy="1726565"/>
                    </a:xfrm>
                    <a:prstGeom prst="rect">
                      <a:avLst/>
                    </a:prstGeom>
                    <a:noFill/>
                    <a:ln w="9525">
                      <a:noFill/>
                      <a:miter lim="800000"/>
                      <a:headEnd/>
                      <a:tailEnd/>
                    </a:ln>
                  </pic:spPr>
                </pic:pic>
              </a:graphicData>
            </a:graphic>
          </wp:inline>
        </w:drawing>
      </w:r>
      <w:r>
        <w:rPr>
          <w:noProof/>
          <w:lang w:eastAsia="zh-CN"/>
        </w:rPr>
        <w:drawing>
          <wp:inline distT="0" distB="0" distL="0" distR="0" wp14:anchorId="53CC246B" wp14:editId="599DFCC7">
            <wp:extent cx="2882265" cy="1726565"/>
            <wp:effectExtent l="19050" t="0" r="0" b="0"/>
            <wp:docPr id="7" name="Picture 2" descr="Average monthly rainfall and mean maximum and minimum temperatures for the main nectarine producing provinces of China - this graph shows data for Beijing of the Beijing provi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882265" cy="1726565"/>
                    </a:xfrm>
                    <a:prstGeom prst="rect">
                      <a:avLst/>
                    </a:prstGeom>
                    <a:noFill/>
                    <a:ln w="9525">
                      <a:noFill/>
                      <a:miter lim="800000"/>
                      <a:headEnd/>
                      <a:tailEnd/>
                    </a:ln>
                  </pic:spPr>
                </pic:pic>
              </a:graphicData>
            </a:graphic>
          </wp:inline>
        </w:drawing>
      </w:r>
      <w:r>
        <w:rPr>
          <w:noProof/>
          <w:lang w:eastAsia="zh-CN"/>
        </w:rPr>
        <w:drawing>
          <wp:inline distT="0" distB="0" distL="0" distR="0" wp14:anchorId="1CF74B51" wp14:editId="561120EA">
            <wp:extent cx="2872800" cy="1722306"/>
            <wp:effectExtent l="19050" t="0" r="22800" b="0"/>
            <wp:docPr id="8" name="Chart 5" descr="Average monthly rainfall and mean maximum and minimum temperatures for the main nectarine producing provinces of China - this graph shows data for Shijiazhuzang of Hebei provi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lang w:eastAsia="zh-CN"/>
        </w:rPr>
        <w:drawing>
          <wp:inline distT="0" distB="0" distL="0" distR="0" wp14:anchorId="6A289D94" wp14:editId="3332182C">
            <wp:extent cx="2874645" cy="1726565"/>
            <wp:effectExtent l="19050" t="0" r="1905" b="0"/>
            <wp:docPr id="9" name="Picture 4" descr="Average monthly rainfall and mean maximum and minimum temperatures for the main nectarine producing provinces of China - this graph shows data for Zhengzhou of Henan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874645" cy="1726565"/>
                    </a:xfrm>
                    <a:prstGeom prst="rect">
                      <a:avLst/>
                    </a:prstGeom>
                    <a:noFill/>
                    <a:ln w="9525">
                      <a:noFill/>
                      <a:miter lim="800000"/>
                      <a:headEnd/>
                      <a:tailEnd/>
                    </a:ln>
                  </pic:spPr>
                </pic:pic>
              </a:graphicData>
            </a:graphic>
          </wp:inline>
        </w:drawing>
      </w:r>
      <w:r>
        <w:rPr>
          <w:noProof/>
          <w:lang w:eastAsia="zh-CN"/>
        </w:rPr>
        <w:drawing>
          <wp:inline distT="0" distB="0" distL="0" distR="0" wp14:anchorId="23D62EEC" wp14:editId="6AD2CC87">
            <wp:extent cx="2882265" cy="1726565"/>
            <wp:effectExtent l="19050" t="0" r="0" b="0"/>
            <wp:docPr id="10" name="Picture 5" descr="Mean monthly rainfall and mean maximum and minimum temperatures for the main nectarine producing provinces of China - this graph shows data for Nanjing of Jiangsu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2882265" cy="1726565"/>
                    </a:xfrm>
                    <a:prstGeom prst="rect">
                      <a:avLst/>
                    </a:prstGeom>
                    <a:noFill/>
                    <a:ln w="9525">
                      <a:noFill/>
                      <a:miter lim="800000"/>
                      <a:headEnd/>
                      <a:tailEnd/>
                    </a:ln>
                  </pic:spPr>
                </pic:pic>
              </a:graphicData>
            </a:graphic>
          </wp:inline>
        </w:drawing>
      </w:r>
      <w:r>
        <w:rPr>
          <w:noProof/>
          <w:lang w:eastAsia="zh-CN"/>
        </w:rPr>
        <w:drawing>
          <wp:inline distT="0" distB="0" distL="0" distR="0" wp14:anchorId="33FD4B1C" wp14:editId="17373296">
            <wp:extent cx="2882265" cy="1726565"/>
            <wp:effectExtent l="19050" t="0" r="0" b="0"/>
            <wp:docPr id="11" name="Picture 6" descr="Mean monthly rainfall and mean maximum and minimum temperatures for the main nectarine producing provinces of China - graph shows data for Xian of Shaanxi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2882265" cy="1726565"/>
                    </a:xfrm>
                    <a:prstGeom prst="rect">
                      <a:avLst/>
                    </a:prstGeom>
                    <a:noFill/>
                    <a:ln w="9525">
                      <a:noFill/>
                      <a:miter lim="800000"/>
                      <a:headEnd/>
                      <a:tailEnd/>
                    </a:ln>
                  </pic:spPr>
                </pic:pic>
              </a:graphicData>
            </a:graphic>
          </wp:inline>
        </w:drawing>
      </w:r>
    </w:p>
    <w:p w:rsidR="00B8782D" w:rsidRDefault="00B8782D">
      <w:pPr>
        <w:rPr>
          <w:noProof/>
          <w:lang w:eastAsia="en-AU"/>
        </w:rPr>
      </w:pPr>
      <w:r>
        <w:rPr>
          <w:noProof/>
          <w:lang w:eastAsia="zh-CN"/>
        </w:rPr>
        <w:drawing>
          <wp:inline distT="0" distB="0" distL="0" distR="0" wp14:anchorId="3B9C6DEC" wp14:editId="7B31D0DF">
            <wp:extent cx="4110990" cy="424180"/>
            <wp:effectExtent l="19050" t="0" r="381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r="2058"/>
                    <a:stretch>
                      <a:fillRect/>
                    </a:stretch>
                  </pic:blipFill>
                  <pic:spPr bwMode="auto">
                    <a:xfrm>
                      <a:off x="0" y="0"/>
                      <a:ext cx="4110990" cy="424180"/>
                    </a:xfrm>
                    <a:prstGeom prst="rect">
                      <a:avLst/>
                    </a:prstGeom>
                    <a:noFill/>
                    <a:ln w="9525">
                      <a:noFill/>
                      <a:miter lim="800000"/>
                      <a:headEnd/>
                      <a:tailEnd/>
                    </a:ln>
                  </pic:spPr>
                </pic:pic>
              </a:graphicData>
            </a:graphic>
          </wp:inline>
        </w:drawing>
      </w:r>
    </w:p>
    <w:p w:rsidR="00B8782D" w:rsidRDefault="00B8782D">
      <w:r>
        <w:rPr>
          <w:noProof/>
          <w:lang w:eastAsia="zh-CN"/>
        </w:rPr>
        <w:lastRenderedPageBreak/>
        <w:drawing>
          <wp:inline distT="0" distB="0" distL="0" distR="0" wp14:anchorId="4126E88F" wp14:editId="0CB47F02">
            <wp:extent cx="2874645" cy="1726565"/>
            <wp:effectExtent l="19050" t="0" r="1905" b="0"/>
            <wp:docPr id="13" name="Picture 7" descr="Mean monthly rainfall and mean maximum and minimum temperatures for the main nectarine producing provinces of China - this graph shows data for Jinan of Shandong provi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2874645" cy="1726565"/>
                    </a:xfrm>
                    <a:prstGeom prst="rect">
                      <a:avLst/>
                    </a:prstGeom>
                    <a:noFill/>
                    <a:ln w="9525">
                      <a:noFill/>
                      <a:miter lim="800000"/>
                      <a:headEnd/>
                      <a:tailEnd/>
                    </a:ln>
                  </pic:spPr>
                </pic:pic>
              </a:graphicData>
            </a:graphic>
          </wp:inline>
        </w:drawing>
      </w:r>
      <w:r>
        <w:rPr>
          <w:noProof/>
          <w:lang w:eastAsia="zh-CN"/>
        </w:rPr>
        <w:drawing>
          <wp:inline distT="0" distB="0" distL="0" distR="0" wp14:anchorId="03792707" wp14:editId="59DAECF7">
            <wp:extent cx="2874645" cy="1726565"/>
            <wp:effectExtent l="19050" t="0" r="1905" b="0"/>
            <wp:docPr id="14" name="Picture 8" descr="Mean monthly rainfall and mean maximum and minimum temperatures for the main nectarine producing provinces of China - this graph shows data for Taiyuan of Shanxi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2874645" cy="1726565"/>
                    </a:xfrm>
                    <a:prstGeom prst="rect">
                      <a:avLst/>
                    </a:prstGeom>
                    <a:noFill/>
                    <a:ln w="9525">
                      <a:noFill/>
                      <a:miter lim="800000"/>
                      <a:headEnd/>
                      <a:tailEnd/>
                    </a:ln>
                  </pic:spPr>
                </pic:pic>
              </a:graphicData>
            </a:graphic>
          </wp:inline>
        </w:drawing>
      </w:r>
      <w:r>
        <w:rPr>
          <w:noProof/>
          <w:lang w:eastAsia="zh-CN"/>
        </w:rPr>
        <w:drawing>
          <wp:inline distT="0" distB="0" distL="0" distR="0" wp14:anchorId="3EC1AD20" wp14:editId="271B85F5">
            <wp:extent cx="2882265" cy="1726565"/>
            <wp:effectExtent l="19050" t="0" r="0" b="0"/>
            <wp:docPr id="20" name="Picture 11" descr="Mean monthly rainfall and mean maximum and minimum temperatures for the main nectarine producing provinces of China - this graph shows data for Hangzhou of Zhejiang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2882265" cy="1726565"/>
                    </a:xfrm>
                    <a:prstGeom prst="rect">
                      <a:avLst/>
                    </a:prstGeom>
                    <a:noFill/>
                    <a:ln w="9525">
                      <a:noFill/>
                      <a:miter lim="800000"/>
                      <a:headEnd/>
                      <a:tailEnd/>
                    </a:ln>
                  </pic:spPr>
                </pic:pic>
              </a:graphicData>
            </a:graphic>
          </wp:inline>
        </w:drawing>
      </w:r>
      <w:r>
        <w:rPr>
          <w:noProof/>
          <w:lang w:eastAsia="zh-CN"/>
        </w:rPr>
        <w:drawing>
          <wp:inline distT="0" distB="0" distL="0" distR="0" wp14:anchorId="65EEDFF8" wp14:editId="18131060">
            <wp:extent cx="2874645" cy="1726565"/>
            <wp:effectExtent l="19050" t="0" r="1905" b="0"/>
            <wp:docPr id="15" name="Picture 9" descr="Mean monthly rainfall and mean maximum and minimum temperatures for the main nectarine producing provinces of China - this graph shows data for Shenyan of Liaoning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2874645" cy="1726565"/>
                    </a:xfrm>
                    <a:prstGeom prst="rect">
                      <a:avLst/>
                    </a:prstGeom>
                    <a:noFill/>
                    <a:ln w="9525">
                      <a:noFill/>
                      <a:miter lim="800000"/>
                      <a:headEnd/>
                      <a:tailEnd/>
                    </a:ln>
                  </pic:spPr>
                </pic:pic>
              </a:graphicData>
            </a:graphic>
          </wp:inline>
        </w:drawing>
      </w:r>
      <w:r>
        <w:rPr>
          <w:noProof/>
          <w:lang w:eastAsia="zh-CN"/>
        </w:rPr>
        <w:drawing>
          <wp:inline distT="0" distB="0" distL="0" distR="0" wp14:anchorId="2E680034" wp14:editId="66DC8FBF">
            <wp:extent cx="2882265" cy="1726565"/>
            <wp:effectExtent l="19050" t="0" r="0" b="0"/>
            <wp:docPr id="16" name="Picture 10" descr="Mean monthly rainfall and mean maximum and minimum temperatures for the main nectarine producing provinces of China - this graph shows data for Chengdu of Sichuan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2882265" cy="1726565"/>
                    </a:xfrm>
                    <a:prstGeom prst="rect">
                      <a:avLst/>
                    </a:prstGeom>
                    <a:noFill/>
                    <a:ln w="9525">
                      <a:noFill/>
                      <a:miter lim="800000"/>
                      <a:headEnd/>
                      <a:tailEnd/>
                    </a:ln>
                  </pic:spPr>
                </pic:pic>
              </a:graphicData>
            </a:graphic>
          </wp:inline>
        </w:drawing>
      </w:r>
      <w:r>
        <w:rPr>
          <w:noProof/>
          <w:lang w:eastAsia="zh-CN"/>
        </w:rPr>
        <w:drawing>
          <wp:inline distT="0" distB="0" distL="0" distR="0" wp14:anchorId="36838FD1" wp14:editId="7031214F">
            <wp:extent cx="2874645" cy="1726565"/>
            <wp:effectExtent l="19050" t="0" r="1905" b="0"/>
            <wp:docPr id="24" name="Picture 12" descr="Mean monthly rainfall and mean maximum and minimum temperatures for the main nectarine producing provinces of China - this graph shows data for Wuhan of Hubei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2874645" cy="1726565"/>
                    </a:xfrm>
                    <a:prstGeom prst="rect">
                      <a:avLst/>
                    </a:prstGeom>
                    <a:noFill/>
                    <a:ln w="9525">
                      <a:noFill/>
                      <a:miter lim="800000"/>
                      <a:headEnd/>
                      <a:tailEnd/>
                    </a:ln>
                  </pic:spPr>
                </pic:pic>
              </a:graphicData>
            </a:graphic>
          </wp:inline>
        </w:drawing>
      </w:r>
    </w:p>
    <w:p w:rsidR="00B8782D" w:rsidRDefault="00B8782D"/>
    <w:p w:rsidR="00B8782D" w:rsidRDefault="00B8782D">
      <w:r>
        <w:rPr>
          <w:noProof/>
          <w:lang w:eastAsia="zh-CN"/>
        </w:rPr>
        <w:drawing>
          <wp:inline distT="0" distB="0" distL="0" distR="0" wp14:anchorId="27D7D27B" wp14:editId="1DB2790D">
            <wp:extent cx="4110990" cy="424180"/>
            <wp:effectExtent l="19050" t="0" r="381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r="2058"/>
                    <a:stretch>
                      <a:fillRect/>
                    </a:stretch>
                  </pic:blipFill>
                  <pic:spPr bwMode="auto">
                    <a:xfrm>
                      <a:off x="0" y="0"/>
                      <a:ext cx="4110990" cy="424180"/>
                    </a:xfrm>
                    <a:prstGeom prst="rect">
                      <a:avLst/>
                    </a:prstGeom>
                    <a:noFill/>
                    <a:ln w="9525">
                      <a:noFill/>
                      <a:miter lim="800000"/>
                      <a:headEnd/>
                      <a:tailEnd/>
                    </a:ln>
                  </pic:spPr>
                </pic:pic>
              </a:graphicData>
            </a:graphic>
          </wp:inline>
        </w:drawing>
      </w:r>
    </w:p>
    <w:p w:rsidR="00B8782D" w:rsidRDefault="00B8782D">
      <w:pPr>
        <w:pStyle w:val="FigureTableNoteSource"/>
      </w:pPr>
      <w:r>
        <w:t xml:space="preserve">Source: </w:t>
      </w:r>
      <w:r>
        <w:rPr>
          <w:noProof/>
        </w:rPr>
        <w:t>(World Weather Online 2015)</w:t>
      </w:r>
    </w:p>
    <w:p w:rsidR="00B8782D" w:rsidRDefault="00B8782D"/>
    <w:p w:rsidR="00B8782D" w:rsidRDefault="00B8782D">
      <w:pPr>
        <w:sectPr w:rsidR="00B8782D">
          <w:pgSz w:w="11906" w:h="16838"/>
          <w:pgMar w:top="851" w:right="851" w:bottom="851" w:left="1418" w:header="709" w:footer="709" w:gutter="0"/>
          <w:cols w:space="708"/>
          <w:docGrid w:linePitch="360"/>
        </w:sectPr>
      </w:pPr>
    </w:p>
    <w:p w:rsidR="00B8782D" w:rsidRDefault="00B8782D" w:rsidP="00B8782D">
      <w:pPr>
        <w:pStyle w:val="Heading2"/>
        <w:numPr>
          <w:ilvl w:val="1"/>
          <w:numId w:val="20"/>
        </w:numPr>
      </w:pPr>
      <w:bookmarkStart w:id="36" w:name="_Toc448312489"/>
      <w:r>
        <w:lastRenderedPageBreak/>
        <w:t>Pre-harvest</w:t>
      </w:r>
      <w:bookmarkEnd w:id="36"/>
    </w:p>
    <w:p w:rsidR="00B8782D" w:rsidRDefault="00B8782D" w:rsidP="00B8782D">
      <w:pPr>
        <w:pStyle w:val="Heading3"/>
        <w:numPr>
          <w:ilvl w:val="2"/>
          <w:numId w:val="20"/>
        </w:numPr>
      </w:pPr>
      <w:r>
        <w:t>Cultivars</w:t>
      </w:r>
    </w:p>
    <w:p w:rsidR="00B8782D" w:rsidRDefault="00B8782D">
      <w:r>
        <w:t>Peach (</w:t>
      </w:r>
      <w:r>
        <w:rPr>
          <w:i/>
        </w:rPr>
        <w:t>Prunus persica</w:t>
      </w:r>
      <w:r>
        <w:t xml:space="preserve"> L.) has been grown in China for around 3 000 years. Peaches and nectarines are planted in most provinces. Varieties have been developed to accommodate diversified taste preferences in different localities. There are three major types of peaches, including common peach (</w:t>
      </w:r>
      <w:r>
        <w:rPr>
          <w:i/>
        </w:rPr>
        <w:t>Prunus persica</w:t>
      </w:r>
      <w:r>
        <w:t xml:space="preserve"> (L.) Batsch), nectarine (</w:t>
      </w:r>
      <w:r>
        <w:rPr>
          <w:i/>
        </w:rPr>
        <w:t>P .persica</w:t>
      </w:r>
      <w:r>
        <w:t xml:space="preserve"> var. </w:t>
      </w:r>
      <w:r>
        <w:rPr>
          <w:i/>
        </w:rPr>
        <w:t>nectarina</w:t>
      </w:r>
      <w:r>
        <w:t xml:space="preserve"> Maxim) and flat peach (</w:t>
      </w:r>
      <w:r>
        <w:rPr>
          <w:i/>
        </w:rPr>
        <w:t>P. persica</w:t>
      </w:r>
      <w:r>
        <w:t xml:space="preserve"> var. </w:t>
      </w:r>
      <w:r>
        <w:rPr>
          <w:i/>
        </w:rPr>
        <w:t>compressa</w:t>
      </w:r>
      <w:r>
        <w:t xml:space="preserve"> Bean) </w:t>
      </w:r>
      <w:r>
        <w:rPr>
          <w:noProof/>
        </w:rPr>
        <w:t>(AQSIQ 2006b)</w:t>
      </w:r>
      <w:r>
        <w:t>.</w:t>
      </w:r>
    </w:p>
    <w:p w:rsidR="00B8782D" w:rsidRDefault="00B8782D">
      <w:r>
        <w:t xml:space="preserve">The main nectarine varieties grown in China include Qian Niang Hong, Zao Hong Zhu, Zao Hong Bao Shi, Shu Guang, Hua Gang, Yuang Guang, Zhong You series, Lui Guang series, Zao Hong 2, Mei Gui Hong, Shuang Xi Hong, Qin Nan </w:t>
      </w:r>
      <w:r>
        <w:rPr>
          <w:noProof/>
        </w:rPr>
        <w:t>(AQSIQ 2006b)</w:t>
      </w:r>
      <w:r>
        <w:t xml:space="preserve"> and QinGuang series </w:t>
      </w:r>
      <w:r w:rsidRPr="001C33FE">
        <w:t>(China NorthWest A&amp;F University, 2015, pers. comm., 3 February).</w:t>
      </w:r>
    </w:p>
    <w:p w:rsidR="00B8782D" w:rsidRDefault="00B8782D" w:rsidP="00B8782D">
      <w:pPr>
        <w:pStyle w:val="Heading3"/>
        <w:numPr>
          <w:ilvl w:val="2"/>
          <w:numId w:val="20"/>
        </w:numPr>
      </w:pPr>
      <w:r>
        <w:t>Cultivation practices</w:t>
      </w:r>
    </w:p>
    <w:p w:rsidR="00B8782D" w:rsidRDefault="00B8782D">
      <w:r>
        <w:t>Stonefruit production in China is relatively labour-intensive with pollination, bud thinning and pesticide and fertiliser applications commonly performed by hand. Limited in-field mechanisation permits relatively high planting densities and use of sloping ground that would be unsuitable for mechanised production.</w:t>
      </w:r>
    </w:p>
    <w:p w:rsidR="00B8782D" w:rsidRDefault="00B8782D">
      <w:r>
        <w:rPr>
          <w:noProof/>
          <w:lang w:eastAsia="zh-CN"/>
        </w:rPr>
        <w:drawing>
          <wp:anchor distT="0" distB="0" distL="114300" distR="114300" simplePos="0" relativeHeight="251661312" behindDoc="0" locked="0" layoutInCell="1" allowOverlap="1" wp14:anchorId="62DA9C52" wp14:editId="77ABE342">
            <wp:simplePos x="0" y="0"/>
            <wp:positionH relativeFrom="column">
              <wp:posOffset>20320</wp:posOffset>
            </wp:positionH>
            <wp:positionV relativeFrom="paragraph">
              <wp:posOffset>798195</wp:posOffset>
            </wp:positionV>
            <wp:extent cx="2833370" cy="2063750"/>
            <wp:effectExtent l="19050" t="0" r="5080" b="0"/>
            <wp:wrapTopAndBottom/>
            <wp:docPr id="22" name="Picture 3" descr="Image shows nectarine tree canopy forms in China - open centre cano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2833370" cy="206375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60288" behindDoc="0" locked="0" layoutInCell="1" allowOverlap="1" wp14:anchorId="183A4348" wp14:editId="0E33CEA4">
            <wp:simplePos x="0" y="0"/>
            <wp:positionH relativeFrom="column">
              <wp:posOffset>2890520</wp:posOffset>
            </wp:positionH>
            <wp:positionV relativeFrom="paragraph">
              <wp:posOffset>795655</wp:posOffset>
            </wp:positionV>
            <wp:extent cx="2846705" cy="2065655"/>
            <wp:effectExtent l="19050" t="0" r="0" b="0"/>
            <wp:wrapTopAndBottom/>
            <wp:docPr id="23" name="Picture 2" descr="Image shows nectarine tree canopy forms in China - central leader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2846705" cy="2065655"/>
                    </a:xfrm>
                    <a:prstGeom prst="rect">
                      <a:avLst/>
                    </a:prstGeom>
                    <a:noFill/>
                    <a:ln w="9525">
                      <a:noFill/>
                      <a:miter lim="800000"/>
                      <a:headEnd/>
                      <a:tailEnd/>
                    </a:ln>
                  </pic:spPr>
                </pic:pic>
              </a:graphicData>
            </a:graphic>
          </wp:anchor>
        </w:drawing>
      </w:r>
      <w:r>
        <w:t>There are two major types of nectarine fruit tree canopies in China: open centre canopy and central leader canopy forms. Central leader canopy for high-density orchards is widely used in newly planted orchards (Figure 3).</w:t>
      </w:r>
    </w:p>
    <w:p w:rsidR="00B8782D" w:rsidRDefault="00B8782D">
      <w:pPr>
        <w:pStyle w:val="Caption"/>
      </w:pPr>
      <w:r>
        <w:t>Figure 3 Nectarine tree canopy forms in China—open centre canopy (left) and central leader canopy (right)</w:t>
      </w:r>
    </w:p>
    <w:p w:rsidR="00B8782D" w:rsidRDefault="00B8782D">
      <w:pPr>
        <w:pStyle w:val="FigureTableNoteSource"/>
      </w:pPr>
      <w:r>
        <w:t>Source: photo courtesy of China NorthWest A&amp;F University, February 2015</w:t>
      </w:r>
    </w:p>
    <w:p w:rsidR="00B8782D" w:rsidRDefault="00B8782D">
      <w:r>
        <w:t>Other commercial export peach and nectarine orchard management practices include orchard hygiene, irrigation, fertiliser application and pest management.</w:t>
      </w:r>
    </w:p>
    <w:p w:rsidR="00B8782D" w:rsidRDefault="00B8782D">
      <w:r>
        <w:t xml:space="preserve">Fruit bagging is no longer a standard commercial practice for nectarine production in China, which is contrary to that identified in the draft report which was based on the information provided by AQSIQ in 2001 and 2006. Shanxi Entry-Exit Inspection and Quarantine Bureau (CIQ) advised that, in general, nectarine fruits are not bagged in China due to the few pests and diseases associated with nectarine production, and high labour costs of bagging (nectarine fruits </w:t>
      </w:r>
      <w:r>
        <w:lastRenderedPageBreak/>
        <w:t xml:space="preserve">are relatively small compared with peaches and apples and therefore must attract a higher price to justify the expense of bagging). </w:t>
      </w:r>
    </w:p>
    <w:p w:rsidR="00B8782D" w:rsidRDefault="00B8782D" w:rsidP="00B8782D">
      <w:pPr>
        <w:pStyle w:val="Heading3"/>
        <w:numPr>
          <w:ilvl w:val="2"/>
          <w:numId w:val="20"/>
        </w:numPr>
      </w:pPr>
      <w:r>
        <w:t>Pest management</w:t>
      </w:r>
    </w:p>
    <w:p w:rsidR="00B8782D" w:rsidRDefault="00B8782D">
      <w:r>
        <w:t>Pest control programs (IPM, integrated pest management programs) may include physical, biological, cultural and chemical control. Good management of pests in the field is an important factor in reducing the number of pests associated with harvested fruit.</w:t>
      </w:r>
    </w:p>
    <w:p w:rsidR="00B8782D" w:rsidRDefault="00B8782D">
      <w:r>
        <w:t xml:space="preserve">Common pests of concern in peach and nectarine orchards include aphids, mites, moths, peach shot hole, gummosis and peach trunk canker </w:t>
      </w:r>
      <w:r>
        <w:rPr>
          <w:noProof/>
        </w:rPr>
        <w:t>(CIQSA 2001c; Moore et al. 2012)</w:t>
      </w:r>
      <w:r>
        <w:t>.</w:t>
      </w:r>
    </w:p>
    <w:p w:rsidR="00B8782D" w:rsidRDefault="00B8782D">
      <w:r>
        <w:t>General orchard surveillance for quarantine and non-regulated pests and disease is conducted by qualified Plant Protection officers every 10–15 days. Trees are selected for inspection using a five-point sampling plan and fruit cutting is not normally undertaken unless suspect external symptoms are found. Plant with suspect disease symptoms is routinely sampled and sent for laboratory identification at CIQ technical centres and/or Agricultural Universities. Each orchard presented inspection records for the current season during the verification visit</w:t>
      </w:r>
      <w:r w:rsidRPr="00126877">
        <w:t xml:space="preserve"> </w:t>
      </w:r>
      <w:r>
        <w:t>to the major nectarine production areas in Shanxi province in June 2015. The records confirmed that the inspection program has been implemented.</w:t>
      </w:r>
    </w:p>
    <w:p w:rsidR="00B8782D" w:rsidRDefault="00B8782D">
      <w:r>
        <w:t>Pest trapping and general monitoring form a critical component of the orchard management system. In Shanxi province, the following traps were observed in nectarine orchards registered for exports, during the verification visit, and CIQ outlined that additional trapping efforts will be put in place if required by importing countries. CIQ is responsible for setting up, servicing and inspecting the traps regularly.</w:t>
      </w:r>
    </w:p>
    <w:p w:rsidR="00B8782D" w:rsidRDefault="00B8782D" w:rsidP="00B8782D">
      <w:pPr>
        <w:pStyle w:val="ListParagraph"/>
        <w:numPr>
          <w:ilvl w:val="0"/>
          <w:numId w:val="35"/>
        </w:numPr>
      </w:pPr>
      <w:r>
        <w:t>Fruit fly traps, such as methyl eugenol, trimedlure, cuelure, protein bait and sugar vinegar solution, for monitoring economically important species such as spotted wing drosophila (</w:t>
      </w:r>
      <w:r>
        <w:rPr>
          <w:i/>
        </w:rPr>
        <w:t>Drosophila suzukii</w:t>
      </w:r>
      <w:r>
        <w:t>), Oriental fruit fly (</w:t>
      </w:r>
      <w:r>
        <w:rPr>
          <w:i/>
        </w:rPr>
        <w:t>Bactrocera dorsalis</w:t>
      </w:r>
      <w:r>
        <w:t>) and guava fruit fly (</w:t>
      </w:r>
      <w:r>
        <w:rPr>
          <w:i/>
        </w:rPr>
        <w:t>B. correcta</w:t>
      </w:r>
      <w:r>
        <w:t>).</w:t>
      </w:r>
    </w:p>
    <w:p w:rsidR="00B8782D" w:rsidRDefault="00B8782D" w:rsidP="00B8782D">
      <w:pPr>
        <w:pStyle w:val="ListParagraph"/>
        <w:numPr>
          <w:ilvl w:val="0"/>
          <w:numId w:val="35"/>
        </w:numPr>
      </w:pPr>
      <w:r>
        <w:t>Pheromone traps for fruit borers</w:t>
      </w:r>
    </w:p>
    <w:p w:rsidR="00B8782D" w:rsidRDefault="00B8782D" w:rsidP="00B8782D">
      <w:pPr>
        <w:pStyle w:val="ListParagraph"/>
        <w:numPr>
          <w:ilvl w:val="0"/>
          <w:numId w:val="35"/>
        </w:numPr>
      </w:pPr>
      <w:r>
        <w:t>Codling moth and oriental fruit moth traps</w:t>
      </w:r>
    </w:p>
    <w:p w:rsidR="00B8782D" w:rsidRDefault="00B8782D">
      <w:r>
        <w:t>While the specific practices in orchards vary according to local conditions, pest pressures and availability of equipment, there are common practices across the industry. These practices minimise the presence of pests and diseases on the harvested nectarine fruits.</w:t>
      </w:r>
    </w:p>
    <w:p w:rsidR="00B8782D" w:rsidRDefault="00B8782D">
      <w:r>
        <w:t>Integrated pest and disease management programs (IPM and IDM) are often adopted to manage a range of pests and diseases that affect growth and development of fruit in peach and nectarine orchards. A range of effective, but low-toxicity and low-residue, insecticides and fungicides are used when required during the growing season to mitigate the impact of insects and diseases. Insect trapping devices and biological control agents are also used for surveillance and monitoring and control.</w:t>
      </w:r>
    </w:p>
    <w:p w:rsidR="00B8782D" w:rsidRDefault="00B8782D">
      <w:r>
        <w:t xml:space="preserve">The orchard management measures are undertaken throughout the year. These measures comprise nine stages and include cultural, mechanical and chemical methods </w:t>
      </w:r>
      <w:r>
        <w:rPr>
          <w:noProof/>
        </w:rPr>
        <w:t>(CIQSA 2001c)</w:t>
      </w:r>
      <w:r>
        <w:t>.</w:t>
      </w:r>
    </w:p>
    <w:p w:rsidR="00B8782D" w:rsidRDefault="00B8782D">
      <w:pPr>
        <w:pStyle w:val="ListNumber"/>
      </w:pPr>
      <w:r>
        <w:lastRenderedPageBreak/>
        <w:t>December to early March—orchard sanitation with removal of fallen leaves and twigs, winter pruning and management of dormant pests in the soil under nectarine trees.</w:t>
      </w:r>
    </w:p>
    <w:p w:rsidR="00B8782D" w:rsidRDefault="00B8782D">
      <w:pPr>
        <w:pStyle w:val="ListNumber"/>
      </w:pPr>
      <w:r>
        <w:t>Mid to late March—prior to bud sprouting, fertilisers are applied to stimulate leaf growth and bud sprouting. Also, the recommended pesticides are applied to manage insects and diseases.</w:t>
      </w:r>
    </w:p>
    <w:p w:rsidR="00B8782D" w:rsidRDefault="00B8782D">
      <w:pPr>
        <w:pStyle w:val="ListNumber"/>
      </w:pPr>
      <w:r>
        <w:t>April—general orchard operations include fertiliser application, blossom thinning and pollination and removal of late shoots. Chemicals are sprayed to manage aphids, shot hole, mites, moths, canker, peach brown rot and other pests.</w:t>
      </w:r>
    </w:p>
    <w:p w:rsidR="00B8782D" w:rsidRDefault="00B8782D">
      <w:pPr>
        <w:pStyle w:val="ListNumber"/>
      </w:pPr>
      <w:r>
        <w:t>May—fruit thinning, post-blooming fertiliser application, irrigation and removal of late shoots. A range of recommended pesticides and fungicides may be applied to manage aphids, shot hole, mites, moths, canker, peach brown rot and other pests, according to the pest prevalence.</w:t>
      </w:r>
    </w:p>
    <w:p w:rsidR="00B8782D" w:rsidRDefault="00B8782D">
      <w:pPr>
        <w:pStyle w:val="ListNumber"/>
      </w:pPr>
      <w:r>
        <w:t>June—the insects and pathogens (listed in May operations) are controlled, if required, with recommended pesticides and fungicides. Harvesting of early season varieties may commence.</w:t>
      </w:r>
    </w:p>
    <w:p w:rsidR="00B8782D" w:rsidRDefault="00B8782D">
      <w:pPr>
        <w:pStyle w:val="ListNumber"/>
      </w:pPr>
      <w:r>
        <w:t>July—general orchard operations include orchard draining, branch thinning and fertiliser application. Pest management measures continue for pests and diseases including leaf rollers and fruit borers. Harvest of the early season varieties may commence.</w:t>
      </w:r>
    </w:p>
    <w:p w:rsidR="00B8782D" w:rsidRDefault="00B8782D">
      <w:pPr>
        <w:pStyle w:val="ListNumber"/>
      </w:pPr>
      <w:r>
        <w:t>August—pest management practices are continued for the pests identified earlier in the season, if required. Withholding periods are observed to avoid potential chemical residues. Harvest may start for mid-season varieties.</w:t>
      </w:r>
    </w:p>
    <w:p w:rsidR="00B8782D" w:rsidRDefault="00B8782D">
      <w:pPr>
        <w:pStyle w:val="ListNumber"/>
      </w:pPr>
      <w:r>
        <w:t>September to October—harvest of late season varieties. Harvesting finishes and orchard operations such as branch thinning, orchard hygiene and winter irrigation are undertaken to safeguard fruit trees during the winter season.</w:t>
      </w:r>
    </w:p>
    <w:p w:rsidR="00B8782D" w:rsidRDefault="00B8782D">
      <w:pPr>
        <w:pStyle w:val="ListNumber"/>
      </w:pPr>
      <w:r>
        <w:t>November—complete cleaning of the orchards after leaf-fall.</w:t>
      </w:r>
    </w:p>
    <w:p w:rsidR="00B8782D" w:rsidRDefault="00B8782D">
      <w:r>
        <w:t>Chemicals prohibited by China’s Ministry of Agriculture are not permitted to be sold or used for control of pests on nectarines. Growers are allowed to purchase chemicals only from approved agents. Spraying in orchards is conducted under technical supervision.</w:t>
      </w:r>
    </w:p>
    <w:p w:rsidR="00B8782D" w:rsidRDefault="00B8782D" w:rsidP="00B8782D">
      <w:pPr>
        <w:pStyle w:val="Heading2"/>
        <w:numPr>
          <w:ilvl w:val="1"/>
          <w:numId w:val="20"/>
        </w:numPr>
      </w:pPr>
      <w:bookmarkStart w:id="37" w:name="_Toc448312490"/>
      <w:r>
        <w:t>Harvesting and handling procedures</w:t>
      </w:r>
      <w:bookmarkEnd w:id="37"/>
    </w:p>
    <w:p w:rsidR="00B8782D" w:rsidRDefault="00B8782D">
      <w:r>
        <w:t>Nectarines are harvested from June to October with the peak harvesting period between July and September. A small portion is grown in greenhouses with harvest starting in early May. Nectarine fruit usually have a thin peel, which may be damaged during the harvest and transportation process. Therefore, suitable containers must be used and care must be taken to minimise damage to fruits during harvesting and transportation to the packinghouses.</w:t>
      </w:r>
    </w:p>
    <w:p w:rsidR="00B8782D" w:rsidRDefault="00B8782D">
      <w:r>
        <w:t>The taste, quality and shelf life of nectarine fruit is greatly related to maturity. When fruit has reached a suitable size with specific colour and tight pulp, then it is time for harvest. Harvesting is done based on two maturity standards:</w:t>
      </w:r>
    </w:p>
    <w:p w:rsidR="00B8782D" w:rsidRDefault="00B8782D">
      <w:pPr>
        <w:pStyle w:val="ListBullet"/>
      </w:pPr>
      <w:r>
        <w:t>Two harvesting periods: hard maturity and full maturity. For export markets, nectarines are normally harvested at fruit hardness of 9 kilograms per square centimetre.</w:t>
      </w:r>
    </w:p>
    <w:p w:rsidR="00B8782D" w:rsidRDefault="00B8782D">
      <w:pPr>
        <w:pStyle w:val="ListBullet"/>
      </w:pPr>
      <w:r>
        <w:t>Four grades: 70 per cent mature, 80 per cent mature, 90 per cent mature and fully mature (100 per cent).</w:t>
      </w:r>
    </w:p>
    <w:p w:rsidR="00B8782D" w:rsidRDefault="00B8782D" w:rsidP="00B8782D">
      <w:pPr>
        <w:pStyle w:val="Heading2"/>
        <w:numPr>
          <w:ilvl w:val="1"/>
          <w:numId w:val="20"/>
        </w:numPr>
      </w:pPr>
      <w:bookmarkStart w:id="38" w:name="_Toc448312491"/>
      <w:r>
        <w:lastRenderedPageBreak/>
        <w:t>Post-harvest</w:t>
      </w:r>
      <w:bookmarkEnd w:id="38"/>
    </w:p>
    <w:p w:rsidR="00B8782D" w:rsidRDefault="00B8782D" w:rsidP="00B8782D">
      <w:pPr>
        <w:pStyle w:val="Heading3"/>
        <w:numPr>
          <w:ilvl w:val="2"/>
          <w:numId w:val="20"/>
        </w:numPr>
      </w:pPr>
      <w:r>
        <w:t>Packinghouse</w:t>
      </w:r>
    </w:p>
    <w:p w:rsidR="00B8782D" w:rsidRDefault="00B8782D">
      <w:r>
        <w:t>Fruit are processed as soon as possible after harvest. Packinghouse processes include pre-cooling, cleaning using a pressurised air gun, grading, packing and cold storage.</w:t>
      </w:r>
    </w:p>
    <w:p w:rsidR="00B8782D" w:rsidRDefault="00B8782D">
      <w:r>
        <w:t>Pre-cooling—harvested fruits should be cooled as quickly as possible, normally within 2–3 hours and for no more than 24 hours, to postpone the maturing process and maximise storage period.</w:t>
      </w:r>
    </w:p>
    <w:p w:rsidR="00B8782D" w:rsidRDefault="00B8782D">
      <w:r>
        <w:t>Cleaning—instead of washing and brushing, each individual nectarine fruit is cleaned using pressurised air gun and water trough (</w:t>
      </w:r>
      <w:r>
        <w:rPr>
          <w:b/>
        </w:rPr>
        <w:t>Figure 4</w:t>
      </w:r>
      <w:r>
        <w:t>).</w:t>
      </w:r>
    </w:p>
    <w:p w:rsidR="00B8782D" w:rsidRDefault="00B8782D">
      <w:r>
        <w:t>Grading—during the initial grading process, damaged, inferior, abnormal, dirty and perished fruit are discarded, and then fruits are graded by size. For shipments with specific requirements, the fruits are graded accordingly. There are usually three grade standards: grade one, grade two, and others.</w:t>
      </w:r>
    </w:p>
    <w:p w:rsidR="00B8782D" w:rsidRDefault="00B8782D">
      <w:r>
        <w:t>Packing—to minimise damage, suitable containers must be used and carefully handled during harvest. The most common containers used are cartons, wooden boxes and plastic boxes, with capacities of 5–10 kilograms. The usual inner liner is bubble wrap underlay.</w:t>
      </w:r>
    </w:p>
    <w:p w:rsidR="00B8782D" w:rsidRDefault="00B8782D">
      <w:r>
        <w:t>Cold storage—packed and sealed cartons are palletised and put into segregated post-processing cold storage rooms to bring the fruit temperature to 0.0 °C to 0.5 °C for short term storage.</w:t>
      </w:r>
    </w:p>
    <w:p w:rsidR="00B8782D" w:rsidRDefault="00B8782D">
      <w:r>
        <w:rPr>
          <w:b/>
          <w:noProof/>
          <w:lang w:eastAsia="zh-CN"/>
        </w:rPr>
        <w:drawing>
          <wp:anchor distT="0" distB="0" distL="114300" distR="114300" simplePos="0" relativeHeight="251663360" behindDoc="0" locked="0" layoutInCell="1" allowOverlap="1" wp14:anchorId="748B26DE" wp14:editId="195F02D2">
            <wp:simplePos x="0" y="0"/>
            <wp:positionH relativeFrom="column">
              <wp:posOffset>15240</wp:posOffset>
            </wp:positionH>
            <wp:positionV relativeFrom="paragraph">
              <wp:posOffset>316865</wp:posOffset>
            </wp:positionV>
            <wp:extent cx="5168265" cy="3874770"/>
            <wp:effectExtent l="19050" t="0" r="0" b="0"/>
            <wp:wrapTopAndBottom/>
            <wp:docPr id="21" name="Picture 1" descr="Image of a pressurised air gun and water trough to clean each invidual nectarin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ant Horticulture\Imports\China\Stonefruit\Verification visit 2015\Photos China June 2015\P1030500.JPG"/>
                    <pic:cNvPicPr>
                      <a:picLocks noChangeAspect="1" noChangeArrowheads="1"/>
                    </pic:cNvPicPr>
                  </pic:nvPicPr>
                  <pic:blipFill>
                    <a:blip r:embed="rId50" cstate="print"/>
                    <a:srcRect/>
                    <a:stretch>
                      <a:fillRect/>
                    </a:stretch>
                  </pic:blipFill>
                  <pic:spPr bwMode="auto">
                    <a:xfrm>
                      <a:off x="0" y="0"/>
                      <a:ext cx="5168265" cy="3874770"/>
                    </a:xfrm>
                    <a:prstGeom prst="rect">
                      <a:avLst/>
                    </a:prstGeom>
                    <a:noFill/>
                    <a:ln w="9525">
                      <a:noFill/>
                      <a:miter lim="800000"/>
                      <a:headEnd/>
                      <a:tailEnd/>
                    </a:ln>
                  </pic:spPr>
                </pic:pic>
              </a:graphicData>
            </a:graphic>
          </wp:anchor>
        </w:drawing>
      </w:r>
      <w:r>
        <w:rPr>
          <w:b/>
        </w:rPr>
        <w:t>Figure 4</w:t>
      </w:r>
      <w:r>
        <w:t xml:space="preserve"> Use of a pressurised air gun and water trough to clean each individual nectarine fruit.</w:t>
      </w:r>
    </w:p>
    <w:p w:rsidR="00B8782D" w:rsidRDefault="00B8782D"/>
    <w:p w:rsidR="00B8782D" w:rsidRDefault="00B8782D" w:rsidP="00B8782D">
      <w:pPr>
        <w:pStyle w:val="Heading3"/>
        <w:numPr>
          <w:ilvl w:val="2"/>
          <w:numId w:val="20"/>
        </w:numPr>
      </w:pPr>
      <w:r>
        <w:lastRenderedPageBreak/>
        <w:t>Post-harvest treatments</w:t>
      </w:r>
    </w:p>
    <w:p w:rsidR="00B8782D" w:rsidRDefault="00B8782D">
      <w:r>
        <w:t>Post-harvest treatments, such as fungicide dipping and calcium chloride solution dipping, may be used in some production areas, but are not standard commercial practices for nectarines. For example, in Shanxi province, these post-harvest treatments are not used.</w:t>
      </w:r>
    </w:p>
    <w:p w:rsidR="00B8782D" w:rsidRDefault="00B8782D" w:rsidP="00B8782D">
      <w:pPr>
        <w:pStyle w:val="Heading3"/>
        <w:numPr>
          <w:ilvl w:val="2"/>
          <w:numId w:val="20"/>
        </w:numPr>
      </w:pPr>
      <w:r>
        <w:t>Quality assurance inspection</w:t>
      </w:r>
    </w:p>
    <w:p w:rsidR="00B8782D" w:rsidRDefault="00B8782D">
      <w:r>
        <w:t>Packed cartons of nectarines are randomly selected from the line on a continuous basis. The fruits are checked on a designated inspection table by trained packinghouse staff for quality and the presence of quarantine pests identified by the importing country.</w:t>
      </w:r>
    </w:p>
    <w:p w:rsidR="00B8782D" w:rsidRDefault="00B8782D" w:rsidP="00B8782D">
      <w:pPr>
        <w:pStyle w:val="Heading3"/>
        <w:numPr>
          <w:ilvl w:val="2"/>
          <w:numId w:val="20"/>
        </w:numPr>
      </w:pPr>
      <w:r>
        <w:t>Transport</w:t>
      </w:r>
    </w:p>
    <w:p w:rsidR="00B8782D" w:rsidRDefault="00B8782D">
      <w:r>
        <w:t>Packed and sealed cartons should be transported and stored in cold storage rooms immediately to maintain the commercial quality of the fruit.</w:t>
      </w:r>
    </w:p>
    <w:p w:rsidR="00B8782D" w:rsidRDefault="00B8782D">
      <w:r>
        <w:t>A schematic diagram summarising the harvesting, processing, treatment and storage system for nectarines prior to export is shown in Figure 5.</w:t>
      </w:r>
    </w:p>
    <w:p w:rsidR="00B8782D" w:rsidRDefault="00B8782D">
      <w:pPr>
        <w:sectPr w:rsidR="00B8782D">
          <w:headerReference w:type="default" r:id="rId51"/>
          <w:pgSz w:w="11906" w:h="16838"/>
          <w:pgMar w:top="1418" w:right="1418" w:bottom="1418" w:left="1418" w:header="567" w:footer="283" w:gutter="0"/>
          <w:cols w:space="708"/>
          <w:docGrid w:linePitch="360"/>
        </w:sectPr>
      </w:pPr>
      <w:r>
        <w:t>While the unrestricted risk assessments undertaken in this policy review do not impose any mandatory measures during storage and transport, common commercial practices may impact the survival of some pests.</w:t>
      </w:r>
    </w:p>
    <w:p w:rsidR="00B8782D" w:rsidRDefault="00B8782D">
      <w:pPr>
        <w:pStyle w:val="Caption"/>
      </w:pPr>
      <w:bookmarkStart w:id="39" w:name="_Toc448236037"/>
      <w:r>
        <w:lastRenderedPageBreak/>
        <w:t xml:space="preserve">Figure </w:t>
      </w:r>
      <w:r w:rsidR="00EA0C11">
        <w:fldChar w:fldCharType="begin"/>
      </w:r>
      <w:r w:rsidR="00EA0C11">
        <w:instrText xml:space="preserve"> SEQ Figure \* ARABIC </w:instrText>
      </w:r>
      <w:r w:rsidR="00EA0C11">
        <w:fldChar w:fldCharType="separate"/>
      </w:r>
      <w:r w:rsidR="00457D54">
        <w:rPr>
          <w:noProof/>
        </w:rPr>
        <w:t>3</w:t>
      </w:r>
      <w:r w:rsidR="00EA0C11">
        <w:rPr>
          <w:noProof/>
        </w:rPr>
        <w:fldChar w:fldCharType="end"/>
      </w:r>
      <w:r>
        <w:t xml:space="preserve"> Summary of orchard and post-harvest steps for peaches and nectarines grown in China for export</w:t>
      </w:r>
      <w:bookmarkEnd w:id="39"/>
    </w:p>
    <w:p w:rsidR="00B8782D" w:rsidRDefault="00B8782D">
      <w:r>
        <w:rPr>
          <w:noProof/>
          <w:lang w:eastAsia="zh-CN"/>
        </w:rPr>
        <w:drawing>
          <wp:anchor distT="0" distB="0" distL="114300" distR="114300" simplePos="0" relativeHeight="251664384" behindDoc="0" locked="0" layoutInCell="1" allowOverlap="1" wp14:anchorId="6CFBE29E" wp14:editId="1631A74F">
            <wp:simplePos x="0" y="0"/>
            <wp:positionH relativeFrom="column">
              <wp:posOffset>15240</wp:posOffset>
            </wp:positionH>
            <wp:positionV relativeFrom="paragraph">
              <wp:posOffset>52705</wp:posOffset>
            </wp:positionV>
            <wp:extent cx="4575175" cy="8018145"/>
            <wp:effectExtent l="19050" t="0" r="0" b="0"/>
            <wp:wrapTopAndBottom/>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4575175" cy="8018145"/>
                    </a:xfrm>
                    <a:prstGeom prst="rect">
                      <a:avLst/>
                    </a:prstGeom>
                    <a:noFill/>
                    <a:ln w="9525">
                      <a:noFill/>
                      <a:miter lim="800000"/>
                      <a:headEnd/>
                      <a:tailEnd/>
                    </a:ln>
                  </pic:spPr>
                </pic:pic>
              </a:graphicData>
            </a:graphic>
          </wp:anchor>
        </w:drawing>
      </w:r>
    </w:p>
    <w:p w:rsidR="00B8782D" w:rsidRDefault="00B8782D">
      <w:pPr>
        <w:spacing w:before="0" w:after="0" w:line="240" w:lineRule="auto"/>
        <w:sectPr w:rsidR="00B8782D">
          <w:pgSz w:w="11906" w:h="16838"/>
          <w:pgMar w:top="1418" w:right="1418" w:bottom="1418" w:left="1418" w:header="567" w:footer="283" w:gutter="0"/>
          <w:cols w:space="708"/>
          <w:docGrid w:linePitch="360"/>
        </w:sectPr>
      </w:pPr>
    </w:p>
    <w:p w:rsidR="00B8782D" w:rsidRDefault="00B8782D" w:rsidP="00B8782D">
      <w:pPr>
        <w:pStyle w:val="Heading2"/>
        <w:numPr>
          <w:ilvl w:val="1"/>
          <w:numId w:val="20"/>
        </w:numPr>
      </w:pPr>
      <w:bookmarkStart w:id="40" w:name="_Toc448312492"/>
      <w:r>
        <w:lastRenderedPageBreak/>
        <w:t>Export capability</w:t>
      </w:r>
      <w:bookmarkEnd w:id="40"/>
    </w:p>
    <w:p w:rsidR="00B8782D" w:rsidRDefault="00B8782D" w:rsidP="00B8782D">
      <w:pPr>
        <w:pStyle w:val="Heading3"/>
        <w:numPr>
          <w:ilvl w:val="2"/>
          <w:numId w:val="20"/>
        </w:numPr>
      </w:pPr>
      <w:r>
        <w:t>Production statistics</w:t>
      </w:r>
    </w:p>
    <w:p w:rsidR="00B8782D" w:rsidRDefault="00B8782D">
      <w:r>
        <w:t xml:space="preserve">China is the largest peach and nectarine producer in the world. China’s main peach and nectarine production provinces are listed in Table 3.1. In 2012, the total peach/nectarine production area was 745 000 hectares which produced about 11.4 million tonnes of fruit, which accounts for more than 50 per cent of the world’s total peach/nectarine production </w:t>
      </w:r>
      <w:r>
        <w:rPr>
          <w:noProof/>
        </w:rPr>
        <w:t>(Scott et al. 2014)</w:t>
      </w:r>
      <w:r>
        <w:t>.</w:t>
      </w:r>
    </w:p>
    <w:p w:rsidR="00B8782D" w:rsidRDefault="00B8782D">
      <w:pPr>
        <w:pStyle w:val="Caption"/>
      </w:pPr>
      <w:bookmarkStart w:id="41" w:name="_Toc448236043"/>
      <w:r>
        <w:t xml:space="preserve">Table </w:t>
      </w:r>
      <w:r w:rsidR="00EA0C11">
        <w:fldChar w:fldCharType="begin"/>
      </w:r>
      <w:r w:rsidR="00EA0C11">
        <w:instrText xml:space="preserve"> STYLEREF 1 \s </w:instrText>
      </w:r>
      <w:r w:rsidR="00EA0C11">
        <w:fldChar w:fldCharType="separate"/>
      </w:r>
      <w:r w:rsidR="00457D54">
        <w:rPr>
          <w:noProof/>
        </w:rPr>
        <w:t>3</w:t>
      </w:r>
      <w:r w:rsidR="00EA0C11">
        <w:rPr>
          <w:noProof/>
        </w:rPr>
        <w:fldChar w:fldCharType="end"/>
      </w:r>
      <w:r>
        <w:t>.</w:t>
      </w:r>
      <w:r w:rsidR="00EA0C11">
        <w:fldChar w:fldCharType="begin"/>
      </w:r>
      <w:r w:rsidR="00EA0C11">
        <w:instrText xml:space="preserve"> SEQ</w:instrText>
      </w:r>
      <w:r w:rsidR="00EA0C11">
        <w:instrText xml:space="preserve"> Table \* ARABIC \s 1 </w:instrText>
      </w:r>
      <w:r w:rsidR="00EA0C11">
        <w:fldChar w:fldCharType="separate"/>
      </w:r>
      <w:r w:rsidR="00457D54">
        <w:rPr>
          <w:noProof/>
        </w:rPr>
        <w:t>1</w:t>
      </w:r>
      <w:r w:rsidR="00EA0C11">
        <w:rPr>
          <w:noProof/>
        </w:rPr>
        <w:fldChar w:fldCharType="end"/>
      </w:r>
      <w:r>
        <w:t xml:space="preserve"> China’s main peach/nectarine production provinces</w:t>
      </w:r>
      <w:bookmarkEnd w:id="41"/>
    </w:p>
    <w:tbl>
      <w:tblPr>
        <w:tblW w:w="5000" w:type="pct"/>
        <w:tblBorders>
          <w:top w:val="single" w:sz="4" w:space="0" w:color="auto"/>
          <w:bottom w:val="single" w:sz="4" w:space="0" w:color="auto"/>
        </w:tblBorders>
        <w:tblLook w:val="04A0" w:firstRow="1" w:lastRow="0" w:firstColumn="1" w:lastColumn="0" w:noHBand="0" w:noVBand="1"/>
      </w:tblPr>
      <w:tblGrid>
        <w:gridCol w:w="1214"/>
        <w:gridCol w:w="1466"/>
        <w:gridCol w:w="1206"/>
        <w:gridCol w:w="1295"/>
        <w:gridCol w:w="1297"/>
        <w:gridCol w:w="1297"/>
        <w:gridCol w:w="1295"/>
      </w:tblGrid>
      <w:tr w:rsidR="00B8782D">
        <w:tc>
          <w:tcPr>
            <w:tcW w:w="669" w:type="pct"/>
            <w:vMerge w:val="restart"/>
            <w:vAlign w:val="bottom"/>
          </w:tcPr>
          <w:p w:rsidR="00B8782D" w:rsidRDefault="00B8782D">
            <w:pPr>
              <w:pStyle w:val="TableHeading"/>
            </w:pPr>
            <w:r>
              <w:t>Province</w:t>
            </w:r>
          </w:p>
        </w:tc>
        <w:tc>
          <w:tcPr>
            <w:tcW w:w="1473" w:type="pct"/>
            <w:gridSpan w:val="2"/>
          </w:tcPr>
          <w:p w:rsidR="00B8782D" w:rsidRDefault="00B8782D">
            <w:pPr>
              <w:pStyle w:val="TableHeading"/>
              <w:jc w:val="center"/>
            </w:pPr>
            <w:r>
              <w:t>2010</w:t>
            </w:r>
          </w:p>
        </w:tc>
        <w:tc>
          <w:tcPr>
            <w:tcW w:w="1429" w:type="pct"/>
            <w:gridSpan w:val="2"/>
          </w:tcPr>
          <w:p w:rsidR="00B8782D" w:rsidRDefault="00B8782D">
            <w:pPr>
              <w:pStyle w:val="TableHeading"/>
              <w:jc w:val="center"/>
            </w:pPr>
            <w:r>
              <w:t>2011</w:t>
            </w:r>
          </w:p>
        </w:tc>
        <w:tc>
          <w:tcPr>
            <w:tcW w:w="1429" w:type="pct"/>
            <w:gridSpan w:val="2"/>
          </w:tcPr>
          <w:p w:rsidR="00B8782D" w:rsidRDefault="00B8782D">
            <w:pPr>
              <w:pStyle w:val="TableHeading"/>
              <w:jc w:val="center"/>
            </w:pPr>
            <w:r>
              <w:t>2012</w:t>
            </w:r>
          </w:p>
        </w:tc>
      </w:tr>
      <w:tr w:rsidR="00B8782D">
        <w:tc>
          <w:tcPr>
            <w:tcW w:w="669" w:type="pct"/>
            <w:vMerge/>
          </w:tcPr>
          <w:p w:rsidR="00B8782D" w:rsidRDefault="00B8782D">
            <w:pPr>
              <w:pStyle w:val="TableHeading"/>
            </w:pPr>
          </w:p>
        </w:tc>
        <w:tc>
          <w:tcPr>
            <w:tcW w:w="808" w:type="pct"/>
          </w:tcPr>
          <w:p w:rsidR="00B8782D" w:rsidRDefault="00B8782D">
            <w:pPr>
              <w:pStyle w:val="TableHeading"/>
            </w:pPr>
            <w:r>
              <w:t>Area ha (x1000)</w:t>
            </w:r>
          </w:p>
        </w:tc>
        <w:tc>
          <w:tcPr>
            <w:tcW w:w="665" w:type="pct"/>
          </w:tcPr>
          <w:p w:rsidR="00B8782D" w:rsidRDefault="00B8782D">
            <w:pPr>
              <w:pStyle w:val="TableHeading"/>
            </w:pPr>
            <w:r>
              <w:t>Yield MT (x1000)</w:t>
            </w:r>
          </w:p>
        </w:tc>
        <w:tc>
          <w:tcPr>
            <w:tcW w:w="714" w:type="pct"/>
          </w:tcPr>
          <w:p w:rsidR="00B8782D" w:rsidRDefault="00B8782D">
            <w:pPr>
              <w:pStyle w:val="TableHeading"/>
            </w:pPr>
            <w:r>
              <w:t>Area ha (x1000)</w:t>
            </w:r>
          </w:p>
        </w:tc>
        <w:tc>
          <w:tcPr>
            <w:tcW w:w="715" w:type="pct"/>
          </w:tcPr>
          <w:p w:rsidR="00B8782D" w:rsidRDefault="00B8782D">
            <w:pPr>
              <w:pStyle w:val="TableHeading"/>
            </w:pPr>
            <w:r>
              <w:t>Yield MT (x1000)</w:t>
            </w:r>
          </w:p>
        </w:tc>
        <w:tc>
          <w:tcPr>
            <w:tcW w:w="715" w:type="pct"/>
          </w:tcPr>
          <w:p w:rsidR="00B8782D" w:rsidRDefault="00B8782D">
            <w:pPr>
              <w:pStyle w:val="TableHeading"/>
            </w:pPr>
            <w:r>
              <w:t>Area ha (x1000)</w:t>
            </w:r>
          </w:p>
        </w:tc>
        <w:tc>
          <w:tcPr>
            <w:tcW w:w="714" w:type="pct"/>
          </w:tcPr>
          <w:p w:rsidR="00B8782D" w:rsidRDefault="00B8782D">
            <w:pPr>
              <w:pStyle w:val="TableHeading"/>
            </w:pPr>
            <w:r>
              <w:t>Yield MT (x1000)</w:t>
            </w:r>
          </w:p>
        </w:tc>
      </w:tr>
      <w:tr w:rsidR="00B8782D">
        <w:tc>
          <w:tcPr>
            <w:tcW w:w="669" w:type="pct"/>
          </w:tcPr>
          <w:p w:rsidR="00B8782D" w:rsidRDefault="00B8782D">
            <w:pPr>
              <w:pStyle w:val="TableText"/>
            </w:pPr>
            <w:r>
              <w:t>Shandong</w:t>
            </w:r>
          </w:p>
        </w:tc>
        <w:tc>
          <w:tcPr>
            <w:tcW w:w="808" w:type="pct"/>
          </w:tcPr>
          <w:p w:rsidR="00B8782D" w:rsidRDefault="00B8782D">
            <w:pPr>
              <w:pStyle w:val="TableText"/>
            </w:pPr>
            <w:r>
              <w:t>101.2</w:t>
            </w:r>
          </w:p>
        </w:tc>
        <w:tc>
          <w:tcPr>
            <w:tcW w:w="665" w:type="pct"/>
          </w:tcPr>
          <w:p w:rsidR="00B8782D" w:rsidRDefault="00B8782D">
            <w:pPr>
              <w:pStyle w:val="TableText"/>
            </w:pPr>
            <w:r>
              <w:t>2436</w:t>
            </w:r>
          </w:p>
        </w:tc>
        <w:tc>
          <w:tcPr>
            <w:tcW w:w="714" w:type="pct"/>
          </w:tcPr>
          <w:p w:rsidR="00B8782D" w:rsidRDefault="00B8782D">
            <w:pPr>
              <w:pStyle w:val="TableText"/>
            </w:pPr>
            <w:r>
              <w:t>96.4</w:t>
            </w:r>
          </w:p>
        </w:tc>
        <w:tc>
          <w:tcPr>
            <w:tcW w:w="715" w:type="pct"/>
          </w:tcPr>
          <w:p w:rsidR="00B8782D" w:rsidRDefault="00B8782D">
            <w:pPr>
              <w:pStyle w:val="TableText"/>
            </w:pPr>
            <w:r>
              <w:t>2401</w:t>
            </w:r>
          </w:p>
        </w:tc>
        <w:tc>
          <w:tcPr>
            <w:tcW w:w="715" w:type="pct"/>
          </w:tcPr>
          <w:p w:rsidR="00B8782D" w:rsidRDefault="00B8782D">
            <w:pPr>
              <w:pStyle w:val="TableText"/>
            </w:pPr>
            <w:r>
              <w:t>100.2</w:t>
            </w:r>
          </w:p>
        </w:tc>
        <w:tc>
          <w:tcPr>
            <w:tcW w:w="714" w:type="pct"/>
          </w:tcPr>
          <w:p w:rsidR="00B8782D" w:rsidRDefault="00B8782D">
            <w:pPr>
              <w:pStyle w:val="TableText"/>
            </w:pPr>
            <w:r>
              <w:t>2384</w:t>
            </w:r>
          </w:p>
        </w:tc>
      </w:tr>
      <w:tr w:rsidR="00B8782D">
        <w:tc>
          <w:tcPr>
            <w:tcW w:w="669" w:type="pct"/>
          </w:tcPr>
          <w:p w:rsidR="00B8782D" w:rsidRDefault="00B8782D">
            <w:pPr>
              <w:pStyle w:val="TableText"/>
            </w:pPr>
            <w:r>
              <w:t>Hebei</w:t>
            </w:r>
          </w:p>
        </w:tc>
        <w:tc>
          <w:tcPr>
            <w:tcW w:w="808" w:type="pct"/>
          </w:tcPr>
          <w:p w:rsidR="00B8782D" w:rsidRDefault="00B8782D">
            <w:pPr>
              <w:pStyle w:val="TableText"/>
            </w:pPr>
            <w:r>
              <w:t>85.8</w:t>
            </w:r>
          </w:p>
        </w:tc>
        <w:tc>
          <w:tcPr>
            <w:tcW w:w="665" w:type="pct"/>
          </w:tcPr>
          <w:p w:rsidR="00B8782D" w:rsidRDefault="00B8782D">
            <w:pPr>
              <w:pStyle w:val="TableText"/>
            </w:pPr>
            <w:r>
              <w:t>1462</w:t>
            </w:r>
          </w:p>
        </w:tc>
        <w:tc>
          <w:tcPr>
            <w:tcW w:w="714" w:type="pct"/>
          </w:tcPr>
          <w:p w:rsidR="00B8782D" w:rsidRDefault="00B8782D">
            <w:pPr>
              <w:pStyle w:val="TableText"/>
            </w:pPr>
            <w:r>
              <w:t>82.6</w:t>
            </w:r>
          </w:p>
        </w:tc>
        <w:tc>
          <w:tcPr>
            <w:tcW w:w="715" w:type="pct"/>
          </w:tcPr>
          <w:p w:rsidR="00B8782D" w:rsidRDefault="00B8782D">
            <w:pPr>
              <w:pStyle w:val="TableText"/>
            </w:pPr>
            <w:r>
              <w:t>1527</w:t>
            </w:r>
          </w:p>
        </w:tc>
        <w:tc>
          <w:tcPr>
            <w:tcW w:w="715" w:type="pct"/>
          </w:tcPr>
          <w:p w:rsidR="00B8782D" w:rsidRDefault="00B8782D">
            <w:pPr>
              <w:pStyle w:val="TableText"/>
            </w:pPr>
            <w:r>
              <w:t>82.0</w:t>
            </w:r>
          </w:p>
        </w:tc>
        <w:tc>
          <w:tcPr>
            <w:tcW w:w="714" w:type="pct"/>
          </w:tcPr>
          <w:p w:rsidR="00B8782D" w:rsidRDefault="00B8782D">
            <w:pPr>
              <w:pStyle w:val="TableText"/>
            </w:pPr>
            <w:r>
              <w:t>1573</w:t>
            </w:r>
          </w:p>
        </w:tc>
      </w:tr>
      <w:tr w:rsidR="00B8782D">
        <w:tc>
          <w:tcPr>
            <w:tcW w:w="669" w:type="pct"/>
          </w:tcPr>
          <w:p w:rsidR="00B8782D" w:rsidRDefault="00B8782D">
            <w:pPr>
              <w:pStyle w:val="TableText"/>
            </w:pPr>
            <w:r>
              <w:t>Henan</w:t>
            </w:r>
          </w:p>
        </w:tc>
        <w:tc>
          <w:tcPr>
            <w:tcW w:w="808" w:type="pct"/>
          </w:tcPr>
          <w:p w:rsidR="00B8782D" w:rsidRDefault="00B8782D">
            <w:pPr>
              <w:pStyle w:val="TableText"/>
            </w:pPr>
            <w:r>
              <w:t>73.9</w:t>
            </w:r>
          </w:p>
        </w:tc>
        <w:tc>
          <w:tcPr>
            <w:tcW w:w="665" w:type="pct"/>
          </w:tcPr>
          <w:p w:rsidR="00B8782D" w:rsidRDefault="00B8782D">
            <w:pPr>
              <w:pStyle w:val="TableText"/>
            </w:pPr>
            <w:r>
              <w:t>1017</w:t>
            </w:r>
          </w:p>
        </w:tc>
        <w:tc>
          <w:tcPr>
            <w:tcW w:w="714" w:type="pct"/>
          </w:tcPr>
          <w:p w:rsidR="00B8782D" w:rsidRDefault="00B8782D">
            <w:pPr>
              <w:pStyle w:val="TableText"/>
            </w:pPr>
            <w:r>
              <w:t>75.5</w:t>
            </w:r>
          </w:p>
        </w:tc>
        <w:tc>
          <w:tcPr>
            <w:tcW w:w="715" w:type="pct"/>
          </w:tcPr>
          <w:p w:rsidR="00B8782D" w:rsidRDefault="00B8782D">
            <w:pPr>
              <w:pStyle w:val="TableText"/>
            </w:pPr>
            <w:r>
              <w:t>1086</w:t>
            </w:r>
          </w:p>
        </w:tc>
        <w:tc>
          <w:tcPr>
            <w:tcW w:w="715" w:type="pct"/>
          </w:tcPr>
          <w:p w:rsidR="00B8782D" w:rsidRDefault="00B8782D">
            <w:pPr>
              <w:pStyle w:val="TableText"/>
            </w:pPr>
            <w:r>
              <w:t>76.3</w:t>
            </w:r>
          </w:p>
        </w:tc>
        <w:tc>
          <w:tcPr>
            <w:tcW w:w="714" w:type="pct"/>
          </w:tcPr>
          <w:p w:rsidR="00B8782D" w:rsidRDefault="00B8782D">
            <w:pPr>
              <w:pStyle w:val="TableText"/>
            </w:pPr>
            <w:r>
              <w:t>1106</w:t>
            </w:r>
          </w:p>
        </w:tc>
      </w:tr>
      <w:tr w:rsidR="00B8782D">
        <w:tc>
          <w:tcPr>
            <w:tcW w:w="669" w:type="pct"/>
          </w:tcPr>
          <w:p w:rsidR="00B8782D" w:rsidRDefault="00B8782D">
            <w:pPr>
              <w:pStyle w:val="TableText"/>
            </w:pPr>
            <w:r>
              <w:t>Hubei</w:t>
            </w:r>
          </w:p>
        </w:tc>
        <w:tc>
          <w:tcPr>
            <w:tcW w:w="808" w:type="pct"/>
          </w:tcPr>
          <w:p w:rsidR="00B8782D" w:rsidRDefault="00B8782D">
            <w:pPr>
              <w:pStyle w:val="TableText"/>
            </w:pPr>
            <w:r>
              <w:t>49.1</w:t>
            </w:r>
          </w:p>
        </w:tc>
        <w:tc>
          <w:tcPr>
            <w:tcW w:w="665" w:type="pct"/>
          </w:tcPr>
          <w:p w:rsidR="00B8782D" w:rsidRDefault="00B8782D">
            <w:pPr>
              <w:pStyle w:val="TableText"/>
            </w:pPr>
            <w:r>
              <w:t>607</w:t>
            </w:r>
          </w:p>
        </w:tc>
        <w:tc>
          <w:tcPr>
            <w:tcW w:w="714" w:type="pct"/>
          </w:tcPr>
          <w:p w:rsidR="00B8782D" w:rsidRDefault="00B8782D">
            <w:pPr>
              <w:pStyle w:val="TableText"/>
            </w:pPr>
            <w:r>
              <w:t>56.6</w:t>
            </w:r>
          </w:p>
        </w:tc>
        <w:tc>
          <w:tcPr>
            <w:tcW w:w="715" w:type="pct"/>
          </w:tcPr>
          <w:p w:rsidR="00B8782D" w:rsidRDefault="00B8782D">
            <w:pPr>
              <w:pStyle w:val="TableText"/>
            </w:pPr>
            <w:r>
              <w:t>690</w:t>
            </w:r>
          </w:p>
        </w:tc>
        <w:tc>
          <w:tcPr>
            <w:tcW w:w="715" w:type="pct"/>
          </w:tcPr>
          <w:p w:rsidR="00B8782D" w:rsidRDefault="00B8782D">
            <w:pPr>
              <w:pStyle w:val="TableText"/>
            </w:pPr>
            <w:r>
              <w:t>53.9</w:t>
            </w:r>
          </w:p>
        </w:tc>
        <w:tc>
          <w:tcPr>
            <w:tcW w:w="714" w:type="pct"/>
          </w:tcPr>
          <w:p w:rsidR="00B8782D" w:rsidRDefault="00B8782D">
            <w:pPr>
              <w:pStyle w:val="TableText"/>
            </w:pPr>
            <w:r>
              <w:t>674</w:t>
            </w:r>
          </w:p>
        </w:tc>
      </w:tr>
      <w:tr w:rsidR="00B8782D">
        <w:tc>
          <w:tcPr>
            <w:tcW w:w="669" w:type="pct"/>
          </w:tcPr>
          <w:p w:rsidR="00B8782D" w:rsidRDefault="00B8782D">
            <w:pPr>
              <w:pStyle w:val="TableText"/>
            </w:pPr>
            <w:r>
              <w:t>Shaanxi</w:t>
            </w:r>
          </w:p>
        </w:tc>
        <w:tc>
          <w:tcPr>
            <w:tcW w:w="808" w:type="pct"/>
          </w:tcPr>
          <w:p w:rsidR="00B8782D" w:rsidRDefault="00B8782D">
            <w:pPr>
              <w:pStyle w:val="TableText"/>
            </w:pPr>
            <w:r>
              <w:t>31.2</w:t>
            </w:r>
          </w:p>
        </w:tc>
        <w:tc>
          <w:tcPr>
            <w:tcW w:w="665" w:type="pct"/>
          </w:tcPr>
          <w:p w:rsidR="00B8782D" w:rsidRDefault="00B8782D">
            <w:pPr>
              <w:pStyle w:val="TableText"/>
            </w:pPr>
            <w:r>
              <w:t>594</w:t>
            </w:r>
          </w:p>
        </w:tc>
        <w:tc>
          <w:tcPr>
            <w:tcW w:w="714" w:type="pct"/>
          </w:tcPr>
          <w:p w:rsidR="00B8782D" w:rsidRDefault="00B8782D">
            <w:pPr>
              <w:pStyle w:val="TableText"/>
            </w:pPr>
            <w:r>
              <w:t>30.4</w:t>
            </w:r>
          </w:p>
        </w:tc>
        <w:tc>
          <w:tcPr>
            <w:tcW w:w="715" w:type="pct"/>
          </w:tcPr>
          <w:p w:rsidR="00B8782D" w:rsidRDefault="00B8782D">
            <w:pPr>
              <w:pStyle w:val="TableText"/>
            </w:pPr>
            <w:r>
              <w:t>567</w:t>
            </w:r>
          </w:p>
        </w:tc>
        <w:tc>
          <w:tcPr>
            <w:tcW w:w="715" w:type="pct"/>
          </w:tcPr>
          <w:p w:rsidR="00B8782D" w:rsidRDefault="00B8782D">
            <w:pPr>
              <w:pStyle w:val="TableText"/>
            </w:pPr>
            <w:r>
              <w:t>30.9</w:t>
            </w:r>
          </w:p>
        </w:tc>
        <w:tc>
          <w:tcPr>
            <w:tcW w:w="714" w:type="pct"/>
          </w:tcPr>
          <w:p w:rsidR="00B8782D" w:rsidRDefault="00B8782D">
            <w:pPr>
              <w:pStyle w:val="TableText"/>
            </w:pPr>
            <w:r>
              <w:t>641</w:t>
            </w:r>
          </w:p>
        </w:tc>
      </w:tr>
      <w:tr w:rsidR="00B8782D">
        <w:tc>
          <w:tcPr>
            <w:tcW w:w="669" w:type="pct"/>
          </w:tcPr>
          <w:p w:rsidR="00B8782D" w:rsidRDefault="00B8782D">
            <w:pPr>
              <w:pStyle w:val="TableText"/>
            </w:pPr>
            <w:r>
              <w:t>Liaoning</w:t>
            </w:r>
          </w:p>
        </w:tc>
        <w:tc>
          <w:tcPr>
            <w:tcW w:w="808" w:type="pct"/>
          </w:tcPr>
          <w:p w:rsidR="00B8782D" w:rsidRDefault="00B8782D">
            <w:pPr>
              <w:pStyle w:val="TableText"/>
            </w:pPr>
            <w:r>
              <w:t>25.1</w:t>
            </w:r>
          </w:p>
        </w:tc>
        <w:tc>
          <w:tcPr>
            <w:tcW w:w="665" w:type="pct"/>
          </w:tcPr>
          <w:p w:rsidR="00B8782D" w:rsidRDefault="00B8782D">
            <w:pPr>
              <w:pStyle w:val="TableText"/>
            </w:pPr>
            <w:r>
              <w:t>537</w:t>
            </w:r>
          </w:p>
        </w:tc>
        <w:tc>
          <w:tcPr>
            <w:tcW w:w="714" w:type="pct"/>
          </w:tcPr>
          <w:p w:rsidR="00B8782D" w:rsidRDefault="00B8782D">
            <w:pPr>
              <w:pStyle w:val="TableText"/>
            </w:pPr>
            <w:r>
              <w:t>23.9</w:t>
            </w:r>
          </w:p>
        </w:tc>
        <w:tc>
          <w:tcPr>
            <w:tcW w:w="715" w:type="pct"/>
          </w:tcPr>
          <w:p w:rsidR="00B8782D" w:rsidRDefault="00B8782D">
            <w:pPr>
              <w:pStyle w:val="TableText"/>
            </w:pPr>
            <w:r>
              <w:t>568</w:t>
            </w:r>
          </w:p>
        </w:tc>
        <w:tc>
          <w:tcPr>
            <w:tcW w:w="715" w:type="pct"/>
          </w:tcPr>
          <w:p w:rsidR="00B8782D" w:rsidRDefault="00B8782D">
            <w:pPr>
              <w:pStyle w:val="TableText"/>
            </w:pPr>
            <w:r>
              <w:t>22.2</w:t>
            </w:r>
          </w:p>
        </w:tc>
        <w:tc>
          <w:tcPr>
            <w:tcW w:w="714" w:type="pct"/>
          </w:tcPr>
          <w:p w:rsidR="00B8782D" w:rsidRDefault="00B8782D">
            <w:pPr>
              <w:pStyle w:val="TableText"/>
            </w:pPr>
            <w:r>
              <w:t>610</w:t>
            </w:r>
          </w:p>
        </w:tc>
      </w:tr>
      <w:tr w:rsidR="00B8782D">
        <w:tc>
          <w:tcPr>
            <w:tcW w:w="669" w:type="pct"/>
          </w:tcPr>
          <w:p w:rsidR="00B8782D" w:rsidRDefault="00B8782D">
            <w:pPr>
              <w:pStyle w:val="TableText"/>
            </w:pPr>
            <w:r>
              <w:t>Jiangsu</w:t>
            </w:r>
          </w:p>
        </w:tc>
        <w:tc>
          <w:tcPr>
            <w:tcW w:w="808" w:type="pct"/>
          </w:tcPr>
          <w:p w:rsidR="00B8782D" w:rsidRDefault="00B8782D">
            <w:pPr>
              <w:pStyle w:val="TableText"/>
            </w:pPr>
            <w:r>
              <w:t>35.6</w:t>
            </w:r>
          </w:p>
        </w:tc>
        <w:tc>
          <w:tcPr>
            <w:tcW w:w="665" w:type="pct"/>
          </w:tcPr>
          <w:p w:rsidR="00B8782D" w:rsidRDefault="00B8782D">
            <w:pPr>
              <w:pStyle w:val="TableText"/>
            </w:pPr>
            <w:r>
              <w:t>457</w:t>
            </w:r>
          </w:p>
        </w:tc>
        <w:tc>
          <w:tcPr>
            <w:tcW w:w="714" w:type="pct"/>
          </w:tcPr>
          <w:p w:rsidR="00B8782D" w:rsidRDefault="00B8782D">
            <w:pPr>
              <w:pStyle w:val="TableText"/>
            </w:pPr>
            <w:r>
              <w:t>37.5</w:t>
            </w:r>
          </w:p>
        </w:tc>
        <w:tc>
          <w:tcPr>
            <w:tcW w:w="715" w:type="pct"/>
          </w:tcPr>
          <w:p w:rsidR="00B8782D" w:rsidRDefault="00B8782D">
            <w:pPr>
              <w:pStyle w:val="TableText"/>
            </w:pPr>
            <w:r>
              <w:t>501</w:t>
            </w:r>
          </w:p>
        </w:tc>
        <w:tc>
          <w:tcPr>
            <w:tcW w:w="715" w:type="pct"/>
          </w:tcPr>
          <w:p w:rsidR="00B8782D" w:rsidRDefault="00B8782D">
            <w:pPr>
              <w:pStyle w:val="TableText"/>
            </w:pPr>
            <w:r>
              <w:t>37.8</w:t>
            </w:r>
          </w:p>
        </w:tc>
        <w:tc>
          <w:tcPr>
            <w:tcW w:w="714" w:type="pct"/>
          </w:tcPr>
          <w:p w:rsidR="00B8782D" w:rsidRDefault="00B8782D">
            <w:pPr>
              <w:pStyle w:val="TableText"/>
            </w:pPr>
            <w:r>
              <w:t>556</w:t>
            </w:r>
          </w:p>
        </w:tc>
      </w:tr>
      <w:tr w:rsidR="00B8782D">
        <w:tc>
          <w:tcPr>
            <w:tcW w:w="669" w:type="pct"/>
          </w:tcPr>
          <w:p w:rsidR="00B8782D" w:rsidRDefault="00B8782D">
            <w:pPr>
              <w:pStyle w:val="TableText"/>
            </w:pPr>
            <w:r>
              <w:t>Shanxi</w:t>
            </w:r>
          </w:p>
        </w:tc>
        <w:tc>
          <w:tcPr>
            <w:tcW w:w="808" w:type="pct"/>
          </w:tcPr>
          <w:p w:rsidR="00B8782D" w:rsidRDefault="00B8782D">
            <w:pPr>
              <w:pStyle w:val="TableText"/>
            </w:pPr>
            <w:r>
              <w:t>16.1</w:t>
            </w:r>
          </w:p>
        </w:tc>
        <w:tc>
          <w:tcPr>
            <w:tcW w:w="665" w:type="pct"/>
          </w:tcPr>
          <w:p w:rsidR="00B8782D" w:rsidRDefault="00B8782D">
            <w:pPr>
              <w:pStyle w:val="TableText"/>
            </w:pPr>
            <w:r>
              <w:t>321</w:t>
            </w:r>
          </w:p>
        </w:tc>
        <w:tc>
          <w:tcPr>
            <w:tcW w:w="714" w:type="pct"/>
          </w:tcPr>
          <w:p w:rsidR="00B8782D" w:rsidRDefault="00B8782D">
            <w:pPr>
              <w:pStyle w:val="TableText"/>
            </w:pPr>
            <w:r>
              <w:t>17.6</w:t>
            </w:r>
          </w:p>
        </w:tc>
        <w:tc>
          <w:tcPr>
            <w:tcW w:w="715" w:type="pct"/>
          </w:tcPr>
          <w:p w:rsidR="00B8782D" w:rsidRDefault="00B8782D">
            <w:pPr>
              <w:pStyle w:val="TableText"/>
            </w:pPr>
            <w:r>
              <w:t>441</w:t>
            </w:r>
          </w:p>
        </w:tc>
        <w:tc>
          <w:tcPr>
            <w:tcW w:w="715" w:type="pct"/>
          </w:tcPr>
          <w:p w:rsidR="00B8782D" w:rsidRDefault="00B8782D">
            <w:pPr>
              <w:pStyle w:val="TableText"/>
            </w:pPr>
            <w:r>
              <w:t>18.8</w:t>
            </w:r>
          </w:p>
        </w:tc>
        <w:tc>
          <w:tcPr>
            <w:tcW w:w="714" w:type="pct"/>
          </w:tcPr>
          <w:p w:rsidR="00B8782D" w:rsidRDefault="00B8782D">
            <w:pPr>
              <w:pStyle w:val="TableText"/>
            </w:pPr>
            <w:r>
              <w:t>512</w:t>
            </w:r>
          </w:p>
        </w:tc>
      </w:tr>
      <w:tr w:rsidR="00B8782D">
        <w:tc>
          <w:tcPr>
            <w:tcW w:w="669" w:type="pct"/>
          </w:tcPr>
          <w:p w:rsidR="00B8782D" w:rsidRDefault="00B8782D">
            <w:pPr>
              <w:pStyle w:val="TableText"/>
            </w:pPr>
            <w:r>
              <w:t>Anhui</w:t>
            </w:r>
          </w:p>
        </w:tc>
        <w:tc>
          <w:tcPr>
            <w:tcW w:w="808" w:type="pct"/>
          </w:tcPr>
          <w:p w:rsidR="00B8782D" w:rsidRDefault="00B8782D">
            <w:pPr>
              <w:pStyle w:val="TableText"/>
            </w:pPr>
            <w:r>
              <w:t>24.1</w:t>
            </w:r>
          </w:p>
        </w:tc>
        <w:tc>
          <w:tcPr>
            <w:tcW w:w="665" w:type="pct"/>
          </w:tcPr>
          <w:p w:rsidR="00B8782D" w:rsidRDefault="00B8782D">
            <w:pPr>
              <w:pStyle w:val="TableText"/>
            </w:pPr>
            <w:r>
              <w:t>430</w:t>
            </w:r>
          </w:p>
        </w:tc>
        <w:tc>
          <w:tcPr>
            <w:tcW w:w="714" w:type="pct"/>
          </w:tcPr>
          <w:p w:rsidR="00B8782D" w:rsidRDefault="00B8782D">
            <w:pPr>
              <w:pStyle w:val="TableText"/>
            </w:pPr>
            <w:r>
              <w:t>27.0</w:t>
            </w:r>
          </w:p>
        </w:tc>
        <w:tc>
          <w:tcPr>
            <w:tcW w:w="715" w:type="pct"/>
          </w:tcPr>
          <w:p w:rsidR="00B8782D" w:rsidRDefault="00B8782D">
            <w:pPr>
              <w:pStyle w:val="TableText"/>
            </w:pPr>
            <w:r>
              <w:t>424</w:t>
            </w:r>
          </w:p>
        </w:tc>
        <w:tc>
          <w:tcPr>
            <w:tcW w:w="715" w:type="pct"/>
          </w:tcPr>
          <w:p w:rsidR="00B8782D" w:rsidRDefault="00B8782D">
            <w:pPr>
              <w:pStyle w:val="TableText"/>
            </w:pPr>
            <w:r>
              <w:t>30.5</w:t>
            </w:r>
          </w:p>
        </w:tc>
        <w:tc>
          <w:tcPr>
            <w:tcW w:w="714" w:type="pct"/>
          </w:tcPr>
          <w:p w:rsidR="00B8782D" w:rsidRDefault="00B8782D">
            <w:pPr>
              <w:pStyle w:val="TableText"/>
            </w:pPr>
            <w:r>
              <w:t>478</w:t>
            </w:r>
          </w:p>
        </w:tc>
      </w:tr>
      <w:tr w:rsidR="00B8782D">
        <w:tc>
          <w:tcPr>
            <w:tcW w:w="669" w:type="pct"/>
          </w:tcPr>
          <w:p w:rsidR="00B8782D" w:rsidRDefault="00B8782D">
            <w:pPr>
              <w:pStyle w:val="TableText"/>
            </w:pPr>
            <w:r>
              <w:t>Sichuan</w:t>
            </w:r>
          </w:p>
        </w:tc>
        <w:tc>
          <w:tcPr>
            <w:tcW w:w="808" w:type="pct"/>
          </w:tcPr>
          <w:p w:rsidR="00B8782D" w:rsidRDefault="00B8782D">
            <w:pPr>
              <w:pStyle w:val="TableText"/>
            </w:pPr>
            <w:r>
              <w:t>45.1</w:t>
            </w:r>
          </w:p>
        </w:tc>
        <w:tc>
          <w:tcPr>
            <w:tcW w:w="665" w:type="pct"/>
          </w:tcPr>
          <w:p w:rsidR="00B8782D" w:rsidRDefault="00B8782D">
            <w:pPr>
              <w:pStyle w:val="TableText"/>
            </w:pPr>
            <w:r>
              <w:t>416</w:t>
            </w:r>
          </w:p>
        </w:tc>
        <w:tc>
          <w:tcPr>
            <w:tcW w:w="714" w:type="pct"/>
          </w:tcPr>
          <w:p w:rsidR="00B8782D" w:rsidRDefault="00B8782D">
            <w:pPr>
              <w:pStyle w:val="TableText"/>
            </w:pPr>
            <w:r>
              <w:t>47.0</w:t>
            </w:r>
          </w:p>
        </w:tc>
        <w:tc>
          <w:tcPr>
            <w:tcW w:w="715" w:type="pct"/>
          </w:tcPr>
          <w:p w:rsidR="00B8782D" w:rsidRDefault="00B8782D">
            <w:pPr>
              <w:pStyle w:val="TableText"/>
            </w:pPr>
            <w:r>
              <w:t>449</w:t>
            </w:r>
          </w:p>
        </w:tc>
        <w:tc>
          <w:tcPr>
            <w:tcW w:w="715" w:type="pct"/>
          </w:tcPr>
          <w:p w:rsidR="00B8782D" w:rsidRDefault="00B8782D">
            <w:pPr>
              <w:pStyle w:val="TableText"/>
            </w:pPr>
            <w:r>
              <w:t>47.2</w:t>
            </w:r>
          </w:p>
        </w:tc>
        <w:tc>
          <w:tcPr>
            <w:tcW w:w="714" w:type="pct"/>
          </w:tcPr>
          <w:p w:rsidR="00B8782D" w:rsidRDefault="00B8782D">
            <w:pPr>
              <w:pStyle w:val="TableText"/>
            </w:pPr>
            <w:r>
              <w:t>451</w:t>
            </w:r>
          </w:p>
        </w:tc>
      </w:tr>
      <w:tr w:rsidR="00B8782D">
        <w:tc>
          <w:tcPr>
            <w:tcW w:w="669" w:type="pct"/>
          </w:tcPr>
          <w:p w:rsidR="00B8782D" w:rsidRDefault="00B8782D">
            <w:pPr>
              <w:pStyle w:val="TableText"/>
            </w:pPr>
            <w:r>
              <w:t>Zhejiang</w:t>
            </w:r>
          </w:p>
        </w:tc>
        <w:tc>
          <w:tcPr>
            <w:tcW w:w="808" w:type="pct"/>
          </w:tcPr>
          <w:p w:rsidR="00B8782D" w:rsidRDefault="00B8782D">
            <w:pPr>
              <w:pStyle w:val="TableText"/>
            </w:pPr>
            <w:r>
              <w:t>26.2</w:t>
            </w:r>
          </w:p>
        </w:tc>
        <w:tc>
          <w:tcPr>
            <w:tcW w:w="665" w:type="pct"/>
          </w:tcPr>
          <w:p w:rsidR="00B8782D" w:rsidRDefault="00B8782D">
            <w:pPr>
              <w:pStyle w:val="TableText"/>
            </w:pPr>
            <w:r>
              <w:t>356</w:t>
            </w:r>
          </w:p>
        </w:tc>
        <w:tc>
          <w:tcPr>
            <w:tcW w:w="714" w:type="pct"/>
          </w:tcPr>
          <w:p w:rsidR="00B8782D" w:rsidRDefault="00B8782D">
            <w:pPr>
              <w:pStyle w:val="TableText"/>
            </w:pPr>
            <w:r>
              <w:t>25.9</w:t>
            </w:r>
          </w:p>
        </w:tc>
        <w:tc>
          <w:tcPr>
            <w:tcW w:w="715" w:type="pct"/>
          </w:tcPr>
          <w:p w:rsidR="00B8782D" w:rsidRDefault="00B8782D">
            <w:pPr>
              <w:pStyle w:val="TableText"/>
            </w:pPr>
            <w:r>
              <w:t>383</w:t>
            </w:r>
          </w:p>
        </w:tc>
        <w:tc>
          <w:tcPr>
            <w:tcW w:w="715" w:type="pct"/>
          </w:tcPr>
          <w:p w:rsidR="00B8782D" w:rsidRDefault="00B8782D">
            <w:pPr>
              <w:pStyle w:val="TableText"/>
            </w:pPr>
            <w:r>
              <w:t>26.2</w:t>
            </w:r>
          </w:p>
        </w:tc>
        <w:tc>
          <w:tcPr>
            <w:tcW w:w="714" w:type="pct"/>
          </w:tcPr>
          <w:p w:rsidR="00B8782D" w:rsidRDefault="00B8782D">
            <w:pPr>
              <w:pStyle w:val="TableText"/>
            </w:pPr>
            <w:r>
              <w:t>389</w:t>
            </w:r>
          </w:p>
        </w:tc>
      </w:tr>
      <w:tr w:rsidR="00B8782D">
        <w:tc>
          <w:tcPr>
            <w:tcW w:w="669" w:type="pct"/>
          </w:tcPr>
          <w:p w:rsidR="00B8782D" w:rsidRDefault="00B8782D">
            <w:pPr>
              <w:pStyle w:val="TableText"/>
            </w:pPr>
            <w:r>
              <w:t>Beijing</w:t>
            </w:r>
          </w:p>
        </w:tc>
        <w:tc>
          <w:tcPr>
            <w:tcW w:w="808" w:type="pct"/>
          </w:tcPr>
          <w:p w:rsidR="00B8782D" w:rsidRDefault="00B8782D">
            <w:pPr>
              <w:pStyle w:val="TableText"/>
            </w:pPr>
            <w:r>
              <w:t>20.9</w:t>
            </w:r>
          </w:p>
        </w:tc>
        <w:tc>
          <w:tcPr>
            <w:tcW w:w="665" w:type="pct"/>
          </w:tcPr>
          <w:p w:rsidR="00B8782D" w:rsidRDefault="00B8782D">
            <w:pPr>
              <w:pStyle w:val="TableText"/>
            </w:pPr>
            <w:r>
              <w:t>386</w:t>
            </w:r>
          </w:p>
        </w:tc>
        <w:tc>
          <w:tcPr>
            <w:tcW w:w="714" w:type="pct"/>
          </w:tcPr>
          <w:p w:rsidR="00B8782D" w:rsidRDefault="00B8782D">
            <w:pPr>
              <w:pStyle w:val="TableText"/>
            </w:pPr>
            <w:r>
              <w:t>20.4</w:t>
            </w:r>
          </w:p>
        </w:tc>
        <w:tc>
          <w:tcPr>
            <w:tcW w:w="715" w:type="pct"/>
          </w:tcPr>
          <w:p w:rsidR="00B8782D" w:rsidRDefault="00B8782D">
            <w:pPr>
              <w:pStyle w:val="TableText"/>
            </w:pPr>
            <w:r>
              <w:t>404</w:t>
            </w:r>
          </w:p>
        </w:tc>
        <w:tc>
          <w:tcPr>
            <w:tcW w:w="715" w:type="pct"/>
          </w:tcPr>
          <w:p w:rsidR="00B8782D" w:rsidRDefault="00B8782D">
            <w:pPr>
              <w:pStyle w:val="TableText"/>
            </w:pPr>
            <w:r>
              <w:t>20.0</w:t>
            </w:r>
          </w:p>
        </w:tc>
        <w:tc>
          <w:tcPr>
            <w:tcW w:w="714" w:type="pct"/>
          </w:tcPr>
          <w:p w:rsidR="00B8782D" w:rsidRDefault="00B8782D">
            <w:pPr>
              <w:pStyle w:val="TableText"/>
            </w:pPr>
            <w:r>
              <w:t>373</w:t>
            </w:r>
          </w:p>
        </w:tc>
      </w:tr>
    </w:tbl>
    <w:p w:rsidR="00B8782D" w:rsidRDefault="00B8782D">
      <w:pPr>
        <w:pStyle w:val="FigureTableNoteSource"/>
      </w:pPr>
      <w:r>
        <w:rPr>
          <w:b/>
        </w:rPr>
        <w:t>ha</w:t>
      </w:r>
      <w:r>
        <w:t xml:space="preserve"> hectare. </w:t>
      </w:r>
      <w:r>
        <w:rPr>
          <w:b/>
        </w:rPr>
        <w:t>MT</w:t>
      </w:r>
      <w:r>
        <w:t xml:space="preserve"> million tonnes</w:t>
      </w:r>
    </w:p>
    <w:p w:rsidR="00B8782D" w:rsidRDefault="00B8782D">
      <w:pPr>
        <w:pStyle w:val="FigureTableNoteSource"/>
      </w:pPr>
      <w:r>
        <w:t xml:space="preserve">Source: </w:t>
      </w:r>
      <w:r>
        <w:rPr>
          <w:noProof/>
        </w:rPr>
        <w:t>(Scott et al. 2014)</w:t>
      </w:r>
    </w:p>
    <w:p w:rsidR="00B8782D" w:rsidRDefault="00B8782D" w:rsidP="00B8782D">
      <w:pPr>
        <w:pStyle w:val="Heading3"/>
        <w:numPr>
          <w:ilvl w:val="2"/>
          <w:numId w:val="20"/>
        </w:numPr>
      </w:pPr>
      <w:r>
        <w:t>Export statistics</w:t>
      </w:r>
    </w:p>
    <w:p w:rsidR="00B8782D" w:rsidRDefault="00B8782D">
      <w:r>
        <w:t xml:space="preserve">Despite the high production volume, China is not a major peach and nectarine exporter. In 2013, China exported about 50 000 tonnes of fresh peaches and nectarines </w:t>
      </w:r>
      <w:r>
        <w:rPr>
          <w:noProof/>
        </w:rPr>
        <w:t>(Scott et al. 2014)</w:t>
      </w:r>
      <w:r>
        <w:t xml:space="preserve">. China’s main export markets include Southeast Asian markets (Hong Kong, Philippines, Malaysia, Singapore, Indonesia, Thailand), the United Arab Emirates and Russia </w:t>
      </w:r>
      <w:r>
        <w:rPr>
          <w:noProof/>
        </w:rPr>
        <w:t>(AQSIQ 2006b; Scott, Xu.F. &amp; Bugang 2013)</w:t>
      </w:r>
      <w:r>
        <w:t>.</w:t>
      </w:r>
    </w:p>
    <w:p w:rsidR="00B8782D" w:rsidRDefault="00B8782D" w:rsidP="00B8782D">
      <w:pPr>
        <w:pStyle w:val="Heading3"/>
        <w:numPr>
          <w:ilvl w:val="2"/>
          <w:numId w:val="20"/>
        </w:numPr>
      </w:pPr>
      <w:r>
        <w:t>Export season</w:t>
      </w:r>
    </w:p>
    <w:p w:rsidR="00B8782D" w:rsidRDefault="00B8782D">
      <w:r>
        <w:t>Peaches and nectarines are exported between May and October.</w:t>
      </w:r>
    </w:p>
    <w:p w:rsidR="00B8782D" w:rsidRDefault="00B8782D">
      <w:r>
        <w:t xml:space="preserve">Transportation of fruit from China to Australia would be either by air freight or general sea freight, with the total time in transit, from the orchard until arrival in Australia, expected to be from a few days to as long as 3–5 weeks (21–35 days) </w:t>
      </w:r>
      <w:r>
        <w:rPr>
          <w:noProof/>
        </w:rPr>
        <w:t>(China Shipping Australia 2014)</w:t>
      </w:r>
      <w:r>
        <w:t>.</w:t>
      </w:r>
    </w:p>
    <w:p w:rsidR="00B8782D" w:rsidRDefault="00B8782D"/>
    <w:p w:rsidR="00B8782D" w:rsidRDefault="00B8782D">
      <w:pPr>
        <w:sectPr w:rsidR="00B8782D">
          <w:pgSz w:w="11906" w:h="16838"/>
          <w:pgMar w:top="1418" w:right="1418" w:bottom="1418" w:left="1418" w:header="567" w:footer="283" w:gutter="0"/>
          <w:cols w:space="708"/>
          <w:docGrid w:linePitch="360"/>
        </w:sectPr>
      </w:pPr>
    </w:p>
    <w:p w:rsidR="00B8782D" w:rsidRDefault="00B8782D" w:rsidP="00B8782D">
      <w:pPr>
        <w:pStyle w:val="Heading1"/>
        <w:numPr>
          <w:ilvl w:val="0"/>
          <w:numId w:val="20"/>
        </w:numPr>
      </w:pPr>
      <w:bookmarkStart w:id="42" w:name="_Toc448312493"/>
      <w:r>
        <w:lastRenderedPageBreak/>
        <w:t>Pest risk assessments for quarantine pests</w:t>
      </w:r>
      <w:bookmarkEnd w:id="42"/>
    </w:p>
    <w:p w:rsidR="00B8782D" w:rsidRDefault="00B8782D">
      <w:r>
        <w:t>Quarantine pests associated with fresh nectarine fruit from China are identified in the pest categorisation process (Appendix A). This chapter assesses the likelihood of the entry, establishment and spread of these pests and the likelihood of associated potential economic, including environmental, consequences to provide an overall assessment of risk.</w:t>
      </w:r>
    </w:p>
    <w:p w:rsidR="00B8782D" w:rsidRDefault="00B8782D">
      <w:r>
        <w:t>Pest categorisation identified 29 quarantine pests associated with fresh nectarine fruit from China. Of these, 26 pests are of national concern and 3 are of regional concern. Table 4.1 identifies these quarantine pests, and full details of the pest categorisation are given in Appendix A.</w:t>
      </w:r>
    </w:p>
    <w:p w:rsidR="00B8782D" w:rsidRDefault="00B8782D">
      <w:r>
        <w:t>Pest risk assessments already exist for some of the pests considered here as they have been assessed previously by the Australian Government Department of Agriculture and Water Resources. For these pests, the likelihood of entry (importation and/or distribution) could be different from the previous assessment due to differences in the commodity, country and commercial production practices in the export areas, and hence may need to be re-assessed. Unless there is new information to suggest otherwise, the likelihood of establishment and of spread in the PRA area, and the consequences the pests may cause will be the same for any commodity/country with which the pests are imported. Accordingly, there is no need to re-assess these components and the risk ratings given in the previous assessment will be adopted. For a pest that has previously been assessed and a policy already exists, this will be stated in the introduction of the pest risk assessment, and the acronym ‘EP’ (existing policy) is used to highlight this.</w:t>
      </w:r>
    </w:p>
    <w:p w:rsidR="00B8782D" w:rsidRDefault="00B8782D">
      <w:r>
        <w:t>Some pests identified in this final report have been recorded in some regions of Australia, and due to interstate quarantine regulations are considered pests of regional concern. These pests are identified with the acronym, such as ‘WA’ (Western Australia), for the state for which the regional pest status is considered.</w:t>
      </w:r>
    </w:p>
    <w:p w:rsidR="00B8782D" w:rsidRDefault="00B8782D">
      <w:r>
        <w:t>The Australian Government Department of Agriculture and Water Resources is aware of the recent changes in fungal nomenclature which ended the separate naming of different states of fungi with a pleiomorphic life-cycle. However, as the nomenclature for these fungi is in a phase of transition, many priorities of names are still to be resolved and much of the primary literature uses the existing nomenclature, this report still uses dual names for most fungi. As official lists of accepted and rejected fungal names become available, these accepted names will be adopted.</w:t>
      </w:r>
    </w:p>
    <w:p w:rsidR="00B8782D" w:rsidRDefault="00B8782D"/>
    <w:p w:rsidR="00B8782D" w:rsidRDefault="00B8782D">
      <w:pPr>
        <w:sectPr w:rsidR="00B8782D">
          <w:headerReference w:type="default" r:id="rId53"/>
          <w:pgSz w:w="11906" w:h="16838"/>
          <w:pgMar w:top="1418" w:right="1418" w:bottom="1418" w:left="1418" w:header="567" w:footer="283" w:gutter="0"/>
          <w:cols w:space="708"/>
          <w:docGrid w:linePitch="360"/>
        </w:sectPr>
      </w:pPr>
    </w:p>
    <w:p w:rsidR="00B8782D" w:rsidRDefault="00B8782D">
      <w:pPr>
        <w:pStyle w:val="Caption"/>
      </w:pPr>
      <w:bookmarkStart w:id="43" w:name="_Toc384979284"/>
      <w:bookmarkStart w:id="44" w:name="_Toc448236044"/>
      <w:r>
        <w:lastRenderedPageBreak/>
        <w:t xml:space="preserve">Table </w:t>
      </w:r>
      <w:r w:rsidR="00EA0C11">
        <w:fldChar w:fldCharType="begin"/>
      </w:r>
      <w:r w:rsidR="00EA0C11">
        <w:instrText xml:space="preserve"> STYLEREF 1 \s </w:instrText>
      </w:r>
      <w:r w:rsidR="00EA0C11">
        <w:fldChar w:fldCharType="separate"/>
      </w:r>
      <w:r w:rsidR="00457D54">
        <w:rPr>
          <w:noProof/>
        </w:rPr>
        <w:t>4</w:t>
      </w:r>
      <w:r w:rsidR="00EA0C11">
        <w:rPr>
          <w:noProof/>
        </w:rPr>
        <w:fldChar w:fldCharType="end"/>
      </w:r>
      <w:r>
        <w:t>.</w:t>
      </w:r>
      <w:r w:rsidR="00EA0C11">
        <w:fldChar w:fldCharType="begin"/>
      </w:r>
      <w:r w:rsidR="00EA0C11">
        <w:instrText xml:space="preserve"> SEQ Table \* ARABIC \s 1 </w:instrText>
      </w:r>
      <w:r w:rsidR="00EA0C11">
        <w:fldChar w:fldCharType="separate"/>
      </w:r>
      <w:r w:rsidR="00457D54">
        <w:rPr>
          <w:noProof/>
        </w:rPr>
        <w:t>1</w:t>
      </w:r>
      <w:r w:rsidR="00EA0C11">
        <w:rPr>
          <w:noProof/>
        </w:rPr>
        <w:fldChar w:fldCharType="end"/>
      </w:r>
      <w:r>
        <w:t xml:space="preserve"> Quarantine pests for fresh nectarine fruit from China</w:t>
      </w:r>
      <w:bookmarkEnd w:id="43"/>
      <w:bookmarkEnd w:id="44"/>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B8782D">
        <w:tc>
          <w:tcPr>
            <w:tcW w:w="2500" w:type="pct"/>
            <w:tcBorders>
              <w:bottom w:val="single" w:sz="4" w:space="0" w:color="D9D9D9"/>
            </w:tcBorders>
          </w:tcPr>
          <w:p w:rsidR="00B8782D" w:rsidRDefault="00B8782D">
            <w:pPr>
              <w:pStyle w:val="TableHeading"/>
            </w:pPr>
            <w:r>
              <w:t>Pest scientific name</w:t>
            </w:r>
          </w:p>
        </w:tc>
        <w:tc>
          <w:tcPr>
            <w:tcW w:w="2500" w:type="pct"/>
            <w:tcBorders>
              <w:bottom w:val="single" w:sz="4" w:space="0" w:color="D9D9D9"/>
            </w:tcBorders>
          </w:tcPr>
          <w:p w:rsidR="00B8782D" w:rsidRDefault="00B8782D">
            <w:pPr>
              <w:pStyle w:val="TableHeading"/>
            </w:pPr>
            <w:r>
              <w:t>Common name</w:t>
            </w:r>
          </w:p>
        </w:tc>
      </w:tr>
      <w:tr w:rsidR="00B8782D">
        <w:tc>
          <w:tcPr>
            <w:tcW w:w="5000" w:type="pct"/>
            <w:gridSpan w:val="2"/>
            <w:tcBorders>
              <w:top w:val="single" w:sz="4" w:space="0" w:color="D9D9D9"/>
              <w:bottom w:val="nil"/>
            </w:tcBorders>
          </w:tcPr>
          <w:p w:rsidR="00B8782D" w:rsidRDefault="00B8782D">
            <w:pPr>
              <w:pStyle w:val="TableText"/>
            </w:pPr>
            <w:r>
              <w:rPr>
                <w:b/>
              </w:rPr>
              <w:t>Spider mites [Prostigmata: Tetranychidae]</w:t>
            </w:r>
          </w:p>
        </w:tc>
      </w:tr>
      <w:tr w:rsidR="00B8782D">
        <w:tc>
          <w:tcPr>
            <w:tcW w:w="2500" w:type="pct"/>
            <w:tcBorders>
              <w:top w:val="nil"/>
              <w:bottom w:val="single" w:sz="4" w:space="0" w:color="D9D9D9"/>
            </w:tcBorders>
          </w:tcPr>
          <w:p w:rsidR="00B8782D" w:rsidRDefault="00B8782D">
            <w:pPr>
              <w:pStyle w:val="TableText"/>
              <w:rPr>
                <w:i/>
              </w:rPr>
            </w:pPr>
            <w:r>
              <w:rPr>
                <w:i/>
              </w:rPr>
              <w:t xml:space="preserve">Amphitetranychus viennensis </w:t>
            </w:r>
            <w:r>
              <w:t>(EP)</w:t>
            </w:r>
          </w:p>
          <w:p w:rsidR="00B8782D" w:rsidRDefault="00B8782D">
            <w:pPr>
              <w:pStyle w:val="TableText"/>
            </w:pPr>
            <w:r>
              <w:rPr>
                <w:i/>
              </w:rPr>
              <w:t xml:space="preserve">Tetranychus turkestani </w:t>
            </w:r>
            <w:r>
              <w:t>(EP)</w:t>
            </w:r>
          </w:p>
        </w:tc>
        <w:tc>
          <w:tcPr>
            <w:tcW w:w="2500" w:type="pct"/>
            <w:tcBorders>
              <w:top w:val="nil"/>
              <w:bottom w:val="single" w:sz="4" w:space="0" w:color="D9D9D9"/>
            </w:tcBorders>
          </w:tcPr>
          <w:p w:rsidR="00B8782D" w:rsidRDefault="00B8782D">
            <w:pPr>
              <w:pStyle w:val="TableText"/>
            </w:pPr>
            <w:r>
              <w:t xml:space="preserve">hawthorn spider mite </w:t>
            </w:r>
          </w:p>
          <w:p w:rsidR="00B8782D" w:rsidRDefault="00B8782D">
            <w:pPr>
              <w:pStyle w:val="TableText"/>
            </w:pPr>
            <w:r>
              <w:t>strawberry spider mite</w:t>
            </w:r>
          </w:p>
        </w:tc>
      </w:tr>
      <w:tr w:rsidR="00B8782D">
        <w:tc>
          <w:tcPr>
            <w:tcW w:w="5000" w:type="pct"/>
            <w:gridSpan w:val="2"/>
            <w:tcBorders>
              <w:top w:val="single" w:sz="4" w:space="0" w:color="D9D9D9"/>
              <w:bottom w:val="nil"/>
            </w:tcBorders>
          </w:tcPr>
          <w:p w:rsidR="00B8782D" w:rsidRDefault="00B8782D">
            <w:pPr>
              <w:pStyle w:val="TableText"/>
            </w:pPr>
            <w:r>
              <w:rPr>
                <w:b/>
              </w:rPr>
              <w:t>Weevils [Coleoptera: Curcurlionidae]</w:t>
            </w:r>
          </w:p>
        </w:tc>
      </w:tr>
      <w:tr w:rsidR="00B8782D">
        <w:tc>
          <w:tcPr>
            <w:tcW w:w="2500" w:type="pct"/>
            <w:tcBorders>
              <w:top w:val="nil"/>
              <w:bottom w:val="single" w:sz="4" w:space="0" w:color="D9D9D9"/>
            </w:tcBorders>
          </w:tcPr>
          <w:p w:rsidR="00B8782D" w:rsidRDefault="00B8782D">
            <w:pPr>
              <w:pStyle w:val="TableText"/>
              <w:rPr>
                <w:i/>
              </w:rPr>
            </w:pPr>
            <w:r>
              <w:rPr>
                <w:i/>
              </w:rPr>
              <w:t xml:space="preserve">Rhynchites auratus </w:t>
            </w:r>
            <w:r>
              <w:t>(EP)</w:t>
            </w:r>
          </w:p>
          <w:p w:rsidR="00B8782D" w:rsidRDefault="00B8782D">
            <w:pPr>
              <w:pStyle w:val="TableText"/>
              <w:rPr>
                <w:i/>
              </w:rPr>
            </w:pPr>
            <w:r>
              <w:rPr>
                <w:i/>
              </w:rPr>
              <w:t xml:space="preserve">Rhynchites confragosicollis </w:t>
            </w:r>
            <w:r>
              <w:t>(EP)</w:t>
            </w:r>
          </w:p>
          <w:p w:rsidR="00B8782D" w:rsidRDefault="00B8782D">
            <w:pPr>
              <w:pStyle w:val="TableText"/>
              <w:rPr>
                <w:i/>
              </w:rPr>
            </w:pPr>
            <w:r>
              <w:rPr>
                <w:i/>
              </w:rPr>
              <w:t xml:space="preserve">Rhynchites faldermanni </w:t>
            </w:r>
            <w:r>
              <w:t>(EP)</w:t>
            </w:r>
          </w:p>
          <w:p w:rsidR="00B8782D" w:rsidRDefault="00B8782D">
            <w:pPr>
              <w:pStyle w:val="TableText"/>
            </w:pPr>
            <w:r>
              <w:rPr>
                <w:i/>
              </w:rPr>
              <w:t xml:space="preserve">Rhynchites heros </w:t>
            </w:r>
            <w:r>
              <w:t>(EP)</w:t>
            </w:r>
          </w:p>
        </w:tc>
        <w:tc>
          <w:tcPr>
            <w:tcW w:w="2500" w:type="pct"/>
            <w:tcBorders>
              <w:top w:val="nil"/>
              <w:bottom w:val="single" w:sz="4" w:space="0" w:color="D9D9D9"/>
            </w:tcBorders>
          </w:tcPr>
          <w:p w:rsidR="00B8782D" w:rsidRDefault="00B8782D">
            <w:pPr>
              <w:pStyle w:val="TableText"/>
            </w:pPr>
            <w:r>
              <w:t>cherry weevil</w:t>
            </w:r>
          </w:p>
          <w:p w:rsidR="00B8782D" w:rsidRDefault="00B8782D">
            <w:pPr>
              <w:pStyle w:val="TableText"/>
            </w:pPr>
            <w:r>
              <w:t>peach curculio</w:t>
            </w:r>
          </w:p>
          <w:p w:rsidR="00B8782D" w:rsidRDefault="00B8782D">
            <w:pPr>
              <w:pStyle w:val="TableText"/>
            </w:pPr>
            <w:r>
              <w:t>peach weevil</w:t>
            </w:r>
          </w:p>
          <w:p w:rsidR="00B8782D" w:rsidRDefault="00B8782D">
            <w:pPr>
              <w:pStyle w:val="TableText"/>
            </w:pPr>
            <w:r>
              <w:t>pear leaf weevil</w:t>
            </w:r>
          </w:p>
        </w:tc>
      </w:tr>
      <w:tr w:rsidR="00B8782D">
        <w:tc>
          <w:tcPr>
            <w:tcW w:w="5000" w:type="pct"/>
            <w:gridSpan w:val="2"/>
            <w:tcBorders>
              <w:top w:val="single" w:sz="4" w:space="0" w:color="D9D9D9"/>
              <w:bottom w:val="nil"/>
            </w:tcBorders>
          </w:tcPr>
          <w:p w:rsidR="00B8782D" w:rsidRDefault="00B8782D">
            <w:pPr>
              <w:pStyle w:val="TableText"/>
            </w:pPr>
            <w:r>
              <w:rPr>
                <w:b/>
              </w:rPr>
              <w:t>Fruit flies [Diptera: Tephritidae]</w:t>
            </w:r>
          </w:p>
        </w:tc>
      </w:tr>
      <w:tr w:rsidR="00B8782D">
        <w:tc>
          <w:tcPr>
            <w:tcW w:w="2500" w:type="pct"/>
            <w:tcBorders>
              <w:top w:val="nil"/>
              <w:bottom w:val="single" w:sz="4" w:space="0" w:color="D9D9D9"/>
            </w:tcBorders>
          </w:tcPr>
          <w:p w:rsidR="00B8782D" w:rsidRDefault="00B8782D">
            <w:pPr>
              <w:pStyle w:val="TableText"/>
              <w:rPr>
                <w:i/>
              </w:rPr>
            </w:pPr>
            <w:r>
              <w:rPr>
                <w:i/>
              </w:rPr>
              <w:t xml:space="preserve">Bactrocera correcta </w:t>
            </w:r>
            <w:r>
              <w:t>(EP)</w:t>
            </w:r>
          </w:p>
          <w:p w:rsidR="00B8782D" w:rsidRDefault="00B8782D">
            <w:pPr>
              <w:pStyle w:val="TableText"/>
              <w:rPr>
                <w:i/>
                <w:vertAlign w:val="superscript"/>
              </w:rPr>
            </w:pPr>
            <w:r>
              <w:rPr>
                <w:i/>
              </w:rPr>
              <w:t xml:space="preserve">Bactrocera dorsalis </w:t>
            </w:r>
            <w:r>
              <w:t>(EP)</w:t>
            </w:r>
          </w:p>
        </w:tc>
        <w:tc>
          <w:tcPr>
            <w:tcW w:w="2500" w:type="pct"/>
            <w:tcBorders>
              <w:top w:val="nil"/>
              <w:bottom w:val="single" w:sz="4" w:space="0" w:color="D9D9D9"/>
            </w:tcBorders>
          </w:tcPr>
          <w:p w:rsidR="00B8782D" w:rsidRDefault="00B8782D">
            <w:pPr>
              <w:pStyle w:val="TableText"/>
            </w:pPr>
            <w:r>
              <w:t>guava fruit fly</w:t>
            </w:r>
          </w:p>
          <w:p w:rsidR="00B8782D" w:rsidRDefault="00B8782D">
            <w:pPr>
              <w:pStyle w:val="TableText"/>
            </w:pPr>
            <w:r>
              <w:t>Oriental fruit fly</w:t>
            </w:r>
          </w:p>
        </w:tc>
      </w:tr>
      <w:tr w:rsidR="00B8782D">
        <w:tc>
          <w:tcPr>
            <w:tcW w:w="5000" w:type="pct"/>
            <w:gridSpan w:val="2"/>
            <w:tcBorders>
              <w:top w:val="single" w:sz="4" w:space="0" w:color="D9D9D9"/>
              <w:bottom w:val="nil"/>
            </w:tcBorders>
          </w:tcPr>
          <w:p w:rsidR="00B8782D" w:rsidRDefault="00B8782D">
            <w:pPr>
              <w:pStyle w:val="TableText"/>
            </w:pPr>
            <w:r>
              <w:rPr>
                <w:b/>
              </w:rPr>
              <w:t>Fruit fly [Diptera: Drosophilidae]</w:t>
            </w:r>
          </w:p>
        </w:tc>
      </w:tr>
      <w:tr w:rsidR="00B8782D">
        <w:tc>
          <w:tcPr>
            <w:tcW w:w="2500" w:type="pct"/>
            <w:tcBorders>
              <w:top w:val="nil"/>
              <w:bottom w:val="single" w:sz="4" w:space="0" w:color="D9D9D9"/>
            </w:tcBorders>
          </w:tcPr>
          <w:p w:rsidR="00B8782D" w:rsidRDefault="00B8782D">
            <w:pPr>
              <w:pStyle w:val="TableText"/>
              <w:rPr>
                <w:i/>
              </w:rPr>
            </w:pPr>
            <w:r>
              <w:rPr>
                <w:i/>
              </w:rPr>
              <w:t xml:space="preserve">Drosophila suzukii </w:t>
            </w:r>
            <w:r>
              <w:t>(EP)</w:t>
            </w:r>
          </w:p>
        </w:tc>
        <w:tc>
          <w:tcPr>
            <w:tcW w:w="2500" w:type="pct"/>
            <w:tcBorders>
              <w:top w:val="nil"/>
              <w:bottom w:val="single" w:sz="4" w:space="0" w:color="D9D9D9"/>
            </w:tcBorders>
          </w:tcPr>
          <w:p w:rsidR="00B8782D" w:rsidRDefault="00B8782D">
            <w:pPr>
              <w:pStyle w:val="TableText"/>
            </w:pPr>
            <w:r>
              <w:t>spotted wing drosophila</w:t>
            </w:r>
          </w:p>
        </w:tc>
      </w:tr>
      <w:tr w:rsidR="00B8782D">
        <w:tc>
          <w:tcPr>
            <w:tcW w:w="5000" w:type="pct"/>
            <w:gridSpan w:val="2"/>
            <w:tcBorders>
              <w:top w:val="single" w:sz="4" w:space="0" w:color="D9D9D9"/>
              <w:bottom w:val="nil"/>
            </w:tcBorders>
          </w:tcPr>
          <w:p w:rsidR="00B8782D" w:rsidRDefault="00B8782D">
            <w:pPr>
              <w:pStyle w:val="TableText"/>
            </w:pPr>
            <w:r>
              <w:rPr>
                <w:b/>
              </w:rPr>
              <w:t>Mealybugs [Hemiptera: Pseudococcidae]</w:t>
            </w:r>
          </w:p>
        </w:tc>
      </w:tr>
      <w:tr w:rsidR="00B8782D">
        <w:tc>
          <w:tcPr>
            <w:tcW w:w="2500" w:type="pct"/>
            <w:tcBorders>
              <w:top w:val="nil"/>
              <w:bottom w:val="single" w:sz="4" w:space="0" w:color="D9D9D9"/>
            </w:tcBorders>
          </w:tcPr>
          <w:p w:rsidR="00B8782D" w:rsidRDefault="00B8782D">
            <w:pPr>
              <w:pStyle w:val="TableText"/>
              <w:rPr>
                <w:i/>
              </w:rPr>
            </w:pPr>
            <w:r>
              <w:rPr>
                <w:i/>
              </w:rPr>
              <w:t xml:space="preserve">Pseudococcus comstocki </w:t>
            </w:r>
            <w:r>
              <w:t>(EP)</w:t>
            </w:r>
          </w:p>
        </w:tc>
        <w:tc>
          <w:tcPr>
            <w:tcW w:w="2500" w:type="pct"/>
            <w:tcBorders>
              <w:top w:val="nil"/>
              <w:bottom w:val="single" w:sz="4" w:space="0" w:color="D9D9D9"/>
            </w:tcBorders>
          </w:tcPr>
          <w:p w:rsidR="00B8782D" w:rsidRDefault="00B8782D">
            <w:pPr>
              <w:pStyle w:val="TableText"/>
            </w:pPr>
            <w:r>
              <w:t xml:space="preserve">comstock mealybug </w:t>
            </w:r>
          </w:p>
        </w:tc>
      </w:tr>
      <w:tr w:rsidR="00B8782D">
        <w:tc>
          <w:tcPr>
            <w:tcW w:w="5000" w:type="pct"/>
            <w:gridSpan w:val="2"/>
            <w:tcBorders>
              <w:top w:val="single" w:sz="4" w:space="0" w:color="D9D9D9"/>
              <w:bottom w:val="nil"/>
            </w:tcBorders>
          </w:tcPr>
          <w:p w:rsidR="00B8782D" w:rsidRDefault="00B8782D">
            <w:pPr>
              <w:pStyle w:val="TableText"/>
            </w:pPr>
            <w:r>
              <w:rPr>
                <w:b/>
              </w:rPr>
              <w:t>Scales [Hemiptera: Diaspididae]</w:t>
            </w:r>
          </w:p>
        </w:tc>
      </w:tr>
      <w:tr w:rsidR="00B8782D">
        <w:tc>
          <w:tcPr>
            <w:tcW w:w="2500" w:type="pct"/>
            <w:tcBorders>
              <w:top w:val="nil"/>
            </w:tcBorders>
          </w:tcPr>
          <w:p w:rsidR="00B8782D" w:rsidRDefault="00B8782D">
            <w:pPr>
              <w:pStyle w:val="TableText"/>
              <w:rPr>
                <w:i/>
              </w:rPr>
            </w:pPr>
            <w:r>
              <w:rPr>
                <w:i/>
              </w:rPr>
              <w:t xml:space="preserve">Pseudaonidia duplex </w:t>
            </w:r>
          </w:p>
        </w:tc>
        <w:tc>
          <w:tcPr>
            <w:tcW w:w="2500" w:type="pct"/>
            <w:tcBorders>
              <w:top w:val="nil"/>
            </w:tcBorders>
          </w:tcPr>
          <w:p w:rsidR="00B8782D" w:rsidRDefault="00B8782D">
            <w:pPr>
              <w:pStyle w:val="TableText"/>
            </w:pPr>
            <w:r>
              <w:t>camphor scale</w:t>
            </w:r>
          </w:p>
        </w:tc>
      </w:tr>
      <w:tr w:rsidR="00B8782D">
        <w:tc>
          <w:tcPr>
            <w:tcW w:w="2500" w:type="pct"/>
            <w:tcBorders>
              <w:bottom w:val="single" w:sz="4" w:space="0" w:color="D9D9D9"/>
            </w:tcBorders>
          </w:tcPr>
          <w:p w:rsidR="00B8782D" w:rsidRDefault="00B8782D">
            <w:pPr>
              <w:pStyle w:val="TableText"/>
              <w:rPr>
                <w:i/>
                <w:vertAlign w:val="superscript"/>
              </w:rPr>
            </w:pPr>
            <w:r>
              <w:rPr>
                <w:i/>
              </w:rPr>
              <w:t xml:space="preserve">Pseudaulacaspis prunicola </w:t>
            </w:r>
            <w:r>
              <w:t>(EP)</w:t>
            </w:r>
          </w:p>
        </w:tc>
        <w:tc>
          <w:tcPr>
            <w:tcW w:w="2500" w:type="pct"/>
            <w:tcBorders>
              <w:bottom w:val="single" w:sz="4" w:space="0" w:color="D9D9D9"/>
            </w:tcBorders>
          </w:tcPr>
          <w:p w:rsidR="00B8782D" w:rsidRDefault="00B8782D">
            <w:pPr>
              <w:pStyle w:val="TableText"/>
            </w:pPr>
            <w:r>
              <w:t>armoured scale</w:t>
            </w:r>
          </w:p>
        </w:tc>
      </w:tr>
      <w:tr w:rsidR="00B8782D">
        <w:tc>
          <w:tcPr>
            <w:tcW w:w="5000" w:type="pct"/>
            <w:gridSpan w:val="2"/>
            <w:tcBorders>
              <w:top w:val="single" w:sz="4" w:space="0" w:color="D9D9D9"/>
              <w:bottom w:val="nil"/>
            </w:tcBorders>
          </w:tcPr>
          <w:p w:rsidR="00B8782D" w:rsidRDefault="00B8782D">
            <w:pPr>
              <w:pStyle w:val="TableText"/>
            </w:pPr>
            <w:r>
              <w:rPr>
                <w:b/>
              </w:rPr>
              <w:t>Moths [Lepidoptera: Tortricidae]</w:t>
            </w:r>
          </w:p>
        </w:tc>
      </w:tr>
      <w:tr w:rsidR="00B8782D">
        <w:tc>
          <w:tcPr>
            <w:tcW w:w="2500" w:type="pct"/>
            <w:tcBorders>
              <w:top w:val="nil"/>
            </w:tcBorders>
          </w:tcPr>
          <w:p w:rsidR="00B8782D" w:rsidRDefault="00B8782D">
            <w:pPr>
              <w:pStyle w:val="TableText"/>
              <w:rPr>
                <w:i/>
              </w:rPr>
            </w:pPr>
            <w:r>
              <w:rPr>
                <w:i/>
              </w:rPr>
              <w:t xml:space="preserve">Adoxophyes orana </w:t>
            </w:r>
            <w:r>
              <w:t>(EP)</w:t>
            </w:r>
          </w:p>
          <w:p w:rsidR="00B8782D" w:rsidRDefault="00B8782D">
            <w:pPr>
              <w:pStyle w:val="TableText"/>
              <w:rPr>
                <w:i/>
              </w:rPr>
            </w:pPr>
            <w:r>
              <w:rPr>
                <w:i/>
              </w:rPr>
              <w:t xml:space="preserve">Argyrotaenia ljungiana </w:t>
            </w:r>
            <w:r>
              <w:t>(EP)</w:t>
            </w:r>
          </w:p>
          <w:p w:rsidR="00B8782D" w:rsidRDefault="00B8782D">
            <w:pPr>
              <w:pStyle w:val="TableText"/>
              <w:rPr>
                <w:i/>
              </w:rPr>
            </w:pPr>
            <w:r>
              <w:rPr>
                <w:i/>
              </w:rPr>
              <w:t xml:space="preserve">Grapholita funebrana </w:t>
            </w:r>
            <w:r>
              <w:t>(EP)</w:t>
            </w:r>
          </w:p>
          <w:p w:rsidR="00B8782D" w:rsidRDefault="00B8782D">
            <w:pPr>
              <w:pStyle w:val="TableText"/>
            </w:pPr>
            <w:r>
              <w:rPr>
                <w:i/>
              </w:rPr>
              <w:t xml:space="preserve">Spilonota albicana </w:t>
            </w:r>
            <w:r>
              <w:t>(EP)</w:t>
            </w:r>
          </w:p>
          <w:p w:rsidR="00B8782D" w:rsidRDefault="00B8782D">
            <w:pPr>
              <w:pStyle w:val="TableText"/>
              <w:rPr>
                <w:i/>
              </w:rPr>
            </w:pPr>
            <w:r>
              <w:rPr>
                <w:i/>
              </w:rPr>
              <w:t>Cydia pomonella</w:t>
            </w:r>
            <w:r>
              <w:t xml:space="preserve"> (EP, WA)</w:t>
            </w:r>
          </w:p>
        </w:tc>
        <w:tc>
          <w:tcPr>
            <w:tcW w:w="2500" w:type="pct"/>
            <w:tcBorders>
              <w:top w:val="nil"/>
            </w:tcBorders>
          </w:tcPr>
          <w:p w:rsidR="00B8782D" w:rsidRDefault="00B8782D">
            <w:pPr>
              <w:pStyle w:val="TableText"/>
            </w:pPr>
            <w:r>
              <w:t>summerfruit tortrix</w:t>
            </w:r>
          </w:p>
          <w:p w:rsidR="00B8782D" w:rsidRDefault="00B8782D">
            <w:pPr>
              <w:pStyle w:val="TableText"/>
            </w:pPr>
            <w:r>
              <w:t>grape tortrix</w:t>
            </w:r>
          </w:p>
          <w:p w:rsidR="00B8782D" w:rsidRDefault="00B8782D">
            <w:pPr>
              <w:pStyle w:val="TableText"/>
            </w:pPr>
            <w:r>
              <w:t>plum fruit moth</w:t>
            </w:r>
          </w:p>
          <w:p w:rsidR="00B8782D" w:rsidRDefault="00B8782D">
            <w:pPr>
              <w:pStyle w:val="TableText"/>
            </w:pPr>
            <w:r>
              <w:t>white fruit moth</w:t>
            </w:r>
          </w:p>
          <w:p w:rsidR="00B8782D" w:rsidRDefault="00B8782D">
            <w:pPr>
              <w:pStyle w:val="TableText"/>
            </w:pPr>
            <w:r>
              <w:t>codling moth</w:t>
            </w:r>
          </w:p>
        </w:tc>
      </w:tr>
      <w:tr w:rsidR="00B8782D">
        <w:tc>
          <w:tcPr>
            <w:tcW w:w="2500" w:type="pct"/>
            <w:tcBorders>
              <w:bottom w:val="single" w:sz="4" w:space="0" w:color="D9D9D9"/>
            </w:tcBorders>
          </w:tcPr>
          <w:p w:rsidR="00B8782D" w:rsidRDefault="00B8782D">
            <w:pPr>
              <w:pStyle w:val="TableText"/>
              <w:rPr>
                <w:i/>
              </w:rPr>
            </w:pPr>
            <w:r>
              <w:rPr>
                <w:i/>
              </w:rPr>
              <w:t xml:space="preserve">Grapholita molesta </w:t>
            </w:r>
            <w:r>
              <w:t>(EP, WA)</w:t>
            </w:r>
          </w:p>
        </w:tc>
        <w:tc>
          <w:tcPr>
            <w:tcW w:w="2500" w:type="pct"/>
            <w:tcBorders>
              <w:bottom w:val="single" w:sz="4" w:space="0" w:color="D9D9D9"/>
            </w:tcBorders>
          </w:tcPr>
          <w:p w:rsidR="00B8782D" w:rsidRDefault="00B8782D">
            <w:pPr>
              <w:pStyle w:val="TableText"/>
            </w:pPr>
            <w:r>
              <w:t>Oriental fruit moth</w:t>
            </w:r>
          </w:p>
        </w:tc>
      </w:tr>
      <w:tr w:rsidR="00B8782D">
        <w:tc>
          <w:tcPr>
            <w:tcW w:w="5000" w:type="pct"/>
            <w:gridSpan w:val="2"/>
            <w:tcBorders>
              <w:top w:val="single" w:sz="4" w:space="0" w:color="D9D9D9"/>
              <w:bottom w:val="nil"/>
            </w:tcBorders>
          </w:tcPr>
          <w:p w:rsidR="00B8782D" w:rsidRDefault="00B8782D">
            <w:pPr>
              <w:pStyle w:val="TableText"/>
            </w:pPr>
            <w:r>
              <w:rPr>
                <w:b/>
              </w:rPr>
              <w:t>Twig borer [Lepidoptera: Gelechiidae]</w:t>
            </w:r>
          </w:p>
        </w:tc>
      </w:tr>
      <w:tr w:rsidR="00B8782D">
        <w:tc>
          <w:tcPr>
            <w:tcW w:w="2500" w:type="pct"/>
            <w:tcBorders>
              <w:top w:val="nil"/>
              <w:bottom w:val="single" w:sz="4" w:space="0" w:color="D9D9D9"/>
            </w:tcBorders>
          </w:tcPr>
          <w:p w:rsidR="00B8782D" w:rsidRDefault="00B8782D">
            <w:pPr>
              <w:pStyle w:val="TableText"/>
              <w:rPr>
                <w:i/>
              </w:rPr>
            </w:pPr>
            <w:r>
              <w:rPr>
                <w:i/>
              </w:rPr>
              <w:t xml:space="preserve">Anarsia lineatella </w:t>
            </w:r>
            <w:r>
              <w:t>(EP)</w:t>
            </w:r>
          </w:p>
        </w:tc>
        <w:tc>
          <w:tcPr>
            <w:tcW w:w="2500" w:type="pct"/>
            <w:tcBorders>
              <w:top w:val="nil"/>
              <w:bottom w:val="single" w:sz="4" w:space="0" w:color="D9D9D9"/>
            </w:tcBorders>
          </w:tcPr>
          <w:p w:rsidR="00B8782D" w:rsidRDefault="00B8782D">
            <w:pPr>
              <w:pStyle w:val="TableText"/>
            </w:pPr>
            <w:r>
              <w:t>peach twig borer</w:t>
            </w:r>
          </w:p>
        </w:tc>
      </w:tr>
      <w:tr w:rsidR="00B8782D">
        <w:tc>
          <w:tcPr>
            <w:tcW w:w="5000" w:type="pct"/>
            <w:gridSpan w:val="2"/>
            <w:tcBorders>
              <w:top w:val="single" w:sz="4" w:space="0" w:color="D9D9D9"/>
              <w:bottom w:val="nil"/>
            </w:tcBorders>
          </w:tcPr>
          <w:p w:rsidR="00B8782D" w:rsidRDefault="00B8782D">
            <w:pPr>
              <w:pStyle w:val="TableText"/>
            </w:pPr>
            <w:r>
              <w:rPr>
                <w:b/>
              </w:rPr>
              <w:t>Fruit borer [Lepidoptera: Carposinidae]</w:t>
            </w:r>
          </w:p>
        </w:tc>
      </w:tr>
      <w:tr w:rsidR="00B8782D">
        <w:tc>
          <w:tcPr>
            <w:tcW w:w="2500" w:type="pct"/>
            <w:tcBorders>
              <w:top w:val="nil"/>
              <w:bottom w:val="single" w:sz="4" w:space="0" w:color="D9D9D9"/>
            </w:tcBorders>
          </w:tcPr>
          <w:p w:rsidR="00B8782D" w:rsidRDefault="00B8782D">
            <w:pPr>
              <w:pStyle w:val="TableText"/>
              <w:rPr>
                <w:i/>
              </w:rPr>
            </w:pPr>
            <w:r>
              <w:rPr>
                <w:i/>
              </w:rPr>
              <w:t xml:space="preserve">Carposina sasakii </w:t>
            </w:r>
            <w:r>
              <w:t>(EP)</w:t>
            </w:r>
          </w:p>
        </w:tc>
        <w:tc>
          <w:tcPr>
            <w:tcW w:w="2500" w:type="pct"/>
            <w:tcBorders>
              <w:top w:val="nil"/>
              <w:bottom w:val="single" w:sz="4" w:space="0" w:color="D9D9D9"/>
            </w:tcBorders>
          </w:tcPr>
          <w:p w:rsidR="00B8782D" w:rsidRDefault="00B8782D">
            <w:pPr>
              <w:pStyle w:val="TableText"/>
            </w:pPr>
            <w:r>
              <w:t>peach fruit borer</w:t>
            </w:r>
          </w:p>
        </w:tc>
      </w:tr>
      <w:tr w:rsidR="00B8782D">
        <w:tc>
          <w:tcPr>
            <w:tcW w:w="5000" w:type="pct"/>
            <w:gridSpan w:val="2"/>
            <w:tcBorders>
              <w:top w:val="single" w:sz="4" w:space="0" w:color="D9D9D9"/>
              <w:bottom w:val="nil"/>
            </w:tcBorders>
          </w:tcPr>
          <w:p w:rsidR="00B8782D" w:rsidRDefault="00B8782D">
            <w:pPr>
              <w:pStyle w:val="TableText"/>
              <w:rPr>
                <w:i/>
              </w:rPr>
            </w:pPr>
            <w:r>
              <w:rPr>
                <w:b/>
              </w:rPr>
              <w:t>Thrips [Thysanoptera: Thripidae]</w:t>
            </w:r>
          </w:p>
        </w:tc>
      </w:tr>
      <w:tr w:rsidR="00B8782D">
        <w:tc>
          <w:tcPr>
            <w:tcW w:w="2500" w:type="pct"/>
            <w:tcBorders>
              <w:top w:val="nil"/>
              <w:bottom w:val="single" w:sz="4" w:space="0" w:color="D9D9D9"/>
            </w:tcBorders>
          </w:tcPr>
          <w:p w:rsidR="00B8782D" w:rsidRDefault="00B8782D">
            <w:pPr>
              <w:pStyle w:val="TableText"/>
              <w:rPr>
                <w:i/>
              </w:rPr>
            </w:pPr>
            <w:r>
              <w:rPr>
                <w:i/>
              </w:rPr>
              <w:t xml:space="preserve">Frankliniella intonsa </w:t>
            </w:r>
            <w:r>
              <w:t>(EP)</w:t>
            </w:r>
          </w:p>
          <w:p w:rsidR="00B8782D" w:rsidRDefault="00B8782D">
            <w:pPr>
              <w:pStyle w:val="TableText"/>
              <w:rPr>
                <w:i/>
              </w:rPr>
            </w:pPr>
            <w:r>
              <w:rPr>
                <w:i/>
              </w:rPr>
              <w:t xml:space="preserve">Frankliniella occidentalis </w:t>
            </w:r>
            <w:r>
              <w:t>(EP, NT)</w:t>
            </w:r>
          </w:p>
        </w:tc>
        <w:tc>
          <w:tcPr>
            <w:tcW w:w="2500" w:type="pct"/>
            <w:tcBorders>
              <w:top w:val="nil"/>
              <w:bottom w:val="single" w:sz="4" w:space="0" w:color="D9D9D9"/>
            </w:tcBorders>
          </w:tcPr>
          <w:p w:rsidR="00B8782D" w:rsidRDefault="00B8782D">
            <w:pPr>
              <w:pStyle w:val="TableText"/>
            </w:pPr>
            <w:r>
              <w:t>Eurasian flower thrips</w:t>
            </w:r>
          </w:p>
          <w:p w:rsidR="00B8782D" w:rsidRDefault="00B8782D">
            <w:pPr>
              <w:pStyle w:val="TableText"/>
            </w:pPr>
            <w:r>
              <w:t>Western flower thrips</w:t>
            </w:r>
          </w:p>
        </w:tc>
      </w:tr>
      <w:tr w:rsidR="00B8782D">
        <w:tc>
          <w:tcPr>
            <w:tcW w:w="5000" w:type="pct"/>
            <w:gridSpan w:val="2"/>
            <w:tcBorders>
              <w:top w:val="single" w:sz="4" w:space="0" w:color="D9D9D9"/>
              <w:bottom w:val="nil"/>
            </w:tcBorders>
          </w:tcPr>
          <w:p w:rsidR="00B8782D" w:rsidRDefault="00B8782D">
            <w:pPr>
              <w:pStyle w:val="TableText"/>
            </w:pPr>
            <w:r>
              <w:rPr>
                <w:b/>
              </w:rPr>
              <w:t>Fungi</w:t>
            </w:r>
          </w:p>
        </w:tc>
      </w:tr>
      <w:tr w:rsidR="00B8782D">
        <w:tc>
          <w:tcPr>
            <w:tcW w:w="2500" w:type="pct"/>
            <w:tcBorders>
              <w:top w:val="nil"/>
              <w:bottom w:val="single" w:sz="4" w:space="0" w:color="D9D9D9"/>
            </w:tcBorders>
          </w:tcPr>
          <w:p w:rsidR="00B8782D" w:rsidRDefault="00B8782D">
            <w:pPr>
              <w:pStyle w:val="TableText"/>
            </w:pPr>
            <w:r>
              <w:rPr>
                <w:i/>
              </w:rPr>
              <w:t xml:space="preserve">Monilinia fructigena </w:t>
            </w:r>
            <w:r>
              <w:t>(EP)</w:t>
            </w:r>
          </w:p>
          <w:p w:rsidR="00B8782D" w:rsidRDefault="00B8782D">
            <w:pPr>
              <w:pStyle w:val="TableText"/>
              <w:rPr>
                <w:i/>
              </w:rPr>
            </w:pPr>
            <w:r>
              <w:rPr>
                <w:i/>
              </w:rPr>
              <w:t>Monilia mumecola</w:t>
            </w:r>
          </w:p>
          <w:p w:rsidR="00B8782D" w:rsidRDefault="00B8782D">
            <w:pPr>
              <w:pStyle w:val="TableText"/>
              <w:rPr>
                <w:i/>
              </w:rPr>
            </w:pPr>
            <w:r>
              <w:rPr>
                <w:i/>
              </w:rPr>
              <w:t>Monilia polystroma</w:t>
            </w:r>
          </w:p>
          <w:p w:rsidR="00B8782D" w:rsidRDefault="00B8782D">
            <w:pPr>
              <w:pStyle w:val="TableText"/>
              <w:rPr>
                <w:i/>
              </w:rPr>
            </w:pPr>
            <w:r>
              <w:rPr>
                <w:i/>
              </w:rPr>
              <w:t xml:space="preserve">Monilinia yunnanensis </w:t>
            </w:r>
          </w:p>
        </w:tc>
        <w:tc>
          <w:tcPr>
            <w:tcW w:w="2500" w:type="pct"/>
            <w:tcBorders>
              <w:top w:val="nil"/>
              <w:bottom w:val="single" w:sz="4" w:space="0" w:color="D9D9D9"/>
            </w:tcBorders>
          </w:tcPr>
          <w:p w:rsidR="00B8782D" w:rsidRDefault="00B8782D">
            <w:pPr>
              <w:pStyle w:val="TableText"/>
            </w:pPr>
            <w:r>
              <w:t>brown rot</w:t>
            </w:r>
          </w:p>
          <w:p w:rsidR="00B8782D" w:rsidRDefault="00B8782D">
            <w:pPr>
              <w:pStyle w:val="TableText"/>
            </w:pPr>
            <w:r>
              <w:t>brown rot</w:t>
            </w:r>
          </w:p>
          <w:p w:rsidR="00B8782D" w:rsidRDefault="00B8782D">
            <w:pPr>
              <w:pStyle w:val="TableText"/>
            </w:pPr>
            <w:r>
              <w:t>brown rot</w:t>
            </w:r>
          </w:p>
          <w:p w:rsidR="00B8782D" w:rsidRDefault="00B8782D">
            <w:pPr>
              <w:pStyle w:val="TableText"/>
            </w:pPr>
            <w:r>
              <w:t>brown rot</w:t>
            </w:r>
          </w:p>
        </w:tc>
      </w:tr>
      <w:tr w:rsidR="00B8782D">
        <w:tc>
          <w:tcPr>
            <w:tcW w:w="5000" w:type="pct"/>
            <w:gridSpan w:val="2"/>
            <w:tcBorders>
              <w:top w:val="single" w:sz="4" w:space="0" w:color="D9D9D9"/>
              <w:bottom w:val="nil"/>
            </w:tcBorders>
          </w:tcPr>
          <w:p w:rsidR="00B8782D" w:rsidRDefault="00B8782D">
            <w:pPr>
              <w:pStyle w:val="TableText"/>
            </w:pPr>
            <w:r>
              <w:rPr>
                <w:b/>
              </w:rPr>
              <w:t>Viroids and Viruses</w:t>
            </w:r>
          </w:p>
        </w:tc>
      </w:tr>
      <w:tr w:rsidR="00B8782D">
        <w:tc>
          <w:tcPr>
            <w:tcW w:w="2500" w:type="pct"/>
            <w:tcBorders>
              <w:top w:val="nil"/>
            </w:tcBorders>
          </w:tcPr>
          <w:p w:rsidR="00B8782D" w:rsidRDefault="00B8782D">
            <w:pPr>
              <w:pStyle w:val="TableText"/>
            </w:pPr>
            <w:r>
              <w:rPr>
                <w:i/>
              </w:rPr>
              <w:t xml:space="preserve">Apple scar skin viroid </w:t>
            </w:r>
            <w:r>
              <w:t>(EP)</w:t>
            </w:r>
          </w:p>
        </w:tc>
        <w:tc>
          <w:tcPr>
            <w:tcW w:w="2500" w:type="pct"/>
            <w:tcBorders>
              <w:top w:val="nil"/>
            </w:tcBorders>
          </w:tcPr>
          <w:p w:rsidR="00B8782D" w:rsidRDefault="00B8782D">
            <w:pPr>
              <w:pStyle w:val="TableText"/>
            </w:pPr>
            <w:r>
              <w:t>ASSVd</w:t>
            </w:r>
          </w:p>
        </w:tc>
      </w:tr>
      <w:tr w:rsidR="00B8782D">
        <w:tc>
          <w:tcPr>
            <w:tcW w:w="2500" w:type="pct"/>
            <w:tcBorders>
              <w:top w:val="nil"/>
            </w:tcBorders>
          </w:tcPr>
          <w:p w:rsidR="00B8782D" w:rsidRDefault="00B8782D">
            <w:pPr>
              <w:pStyle w:val="TableText"/>
              <w:rPr>
                <w:i/>
                <w:vertAlign w:val="superscript"/>
              </w:rPr>
            </w:pPr>
            <w:r>
              <w:rPr>
                <w:i/>
              </w:rPr>
              <w:t xml:space="preserve">Tobacco necrosis viruses </w:t>
            </w:r>
            <w:r>
              <w:t>(EP)</w:t>
            </w:r>
          </w:p>
        </w:tc>
        <w:tc>
          <w:tcPr>
            <w:tcW w:w="2500" w:type="pct"/>
            <w:tcBorders>
              <w:top w:val="nil"/>
            </w:tcBorders>
          </w:tcPr>
          <w:p w:rsidR="00B8782D" w:rsidRDefault="00B8782D">
            <w:pPr>
              <w:pStyle w:val="TableText"/>
            </w:pPr>
            <w:r>
              <w:t>TNV</w:t>
            </w:r>
          </w:p>
        </w:tc>
      </w:tr>
      <w:tr w:rsidR="00B8782D">
        <w:tc>
          <w:tcPr>
            <w:tcW w:w="2500" w:type="pct"/>
          </w:tcPr>
          <w:p w:rsidR="00B8782D" w:rsidRDefault="00B8782D">
            <w:pPr>
              <w:pStyle w:val="TableText"/>
              <w:rPr>
                <w:i/>
                <w:vertAlign w:val="superscript"/>
              </w:rPr>
            </w:pPr>
            <w:r>
              <w:rPr>
                <w:i/>
              </w:rPr>
              <w:t xml:space="preserve">Plum pox virus </w:t>
            </w:r>
            <w:r>
              <w:t>(EP)</w:t>
            </w:r>
          </w:p>
        </w:tc>
        <w:tc>
          <w:tcPr>
            <w:tcW w:w="2500" w:type="pct"/>
          </w:tcPr>
          <w:p w:rsidR="00B8782D" w:rsidRDefault="00B8782D">
            <w:pPr>
              <w:pStyle w:val="TableText"/>
            </w:pPr>
            <w:r>
              <w:t>PPV</w:t>
            </w:r>
          </w:p>
        </w:tc>
      </w:tr>
    </w:tbl>
    <w:p w:rsidR="00B8782D" w:rsidRDefault="00B8782D">
      <w:pPr>
        <w:rPr>
          <w:highlight w:val="yellow"/>
        </w:rPr>
        <w:sectPr w:rsidR="00B8782D">
          <w:pgSz w:w="11906" w:h="16838"/>
          <w:pgMar w:top="1418" w:right="1418" w:bottom="1418" w:left="1418" w:header="567" w:footer="283" w:gutter="0"/>
          <w:cols w:space="708"/>
          <w:docGrid w:linePitch="360"/>
        </w:sectPr>
      </w:pPr>
    </w:p>
    <w:p w:rsidR="00B8782D" w:rsidRDefault="00B8782D" w:rsidP="00B8782D">
      <w:pPr>
        <w:pStyle w:val="Heading2"/>
        <w:numPr>
          <w:ilvl w:val="1"/>
          <w:numId w:val="20"/>
        </w:numPr>
      </w:pPr>
      <w:bookmarkStart w:id="45" w:name="_Toc325618442"/>
      <w:bookmarkStart w:id="46" w:name="_Toc448312494"/>
      <w:r>
        <w:lastRenderedPageBreak/>
        <w:t>Hawthorn spider mite</w:t>
      </w:r>
      <w:bookmarkEnd w:id="45"/>
      <w:bookmarkEnd w:id="46"/>
    </w:p>
    <w:p w:rsidR="00B8782D" w:rsidRDefault="00B8782D">
      <w:pPr>
        <w:pStyle w:val="Heading3Nonumber"/>
      </w:pPr>
      <w:r>
        <w:rPr>
          <w:i/>
        </w:rPr>
        <w:t>Amphitetranychus viennensis</w:t>
      </w:r>
      <w:r>
        <w:t xml:space="preserve"> (EP)</w:t>
      </w:r>
    </w:p>
    <w:p w:rsidR="00B8782D" w:rsidRDefault="00B8782D">
      <w:r>
        <w:rPr>
          <w:i/>
        </w:rPr>
        <w:t xml:space="preserve">Amphitetranychus viennensis </w:t>
      </w:r>
      <w:r>
        <w:t>also known as</w:t>
      </w:r>
      <w:r>
        <w:rPr>
          <w:i/>
        </w:rPr>
        <w:t xml:space="preserve"> Tetranychus</w:t>
      </w:r>
      <w:r>
        <w:t xml:space="preserve"> </w:t>
      </w:r>
      <w:r>
        <w:rPr>
          <w:i/>
        </w:rPr>
        <w:t>viennensis</w:t>
      </w:r>
      <w:r>
        <w:t xml:space="preserve"> (hawthorn spider mite) belongs to the Tetranychidae family. Mites of this family are commonly referred to as spider mites due to their habit of spinning protective silken webbing on plants under which they feed </w:t>
      </w:r>
      <w:r>
        <w:rPr>
          <w:noProof/>
        </w:rPr>
        <w:t>(Zhang 2003)</w:t>
      </w:r>
      <w:r>
        <w:t xml:space="preserve">. The hawthorn spider mite has five life stages: egg, larva, two nymph stages (protonymph and deutonymph) and adult </w:t>
      </w:r>
      <w:r>
        <w:rPr>
          <w:noProof/>
        </w:rPr>
        <w:t>(Zhang 2003)</w:t>
      </w:r>
      <w:r>
        <w:t>.</w:t>
      </w:r>
    </w:p>
    <w:p w:rsidR="00B8782D" w:rsidRDefault="00B8782D">
      <w:r>
        <w:rPr>
          <w:i/>
        </w:rPr>
        <w:t>Amphitetranychus viennensis</w:t>
      </w:r>
      <w:r>
        <w:t xml:space="preserve"> was assessed in the existing import policy for apples from China </w:t>
      </w:r>
      <w:r>
        <w:rPr>
          <w:noProof/>
        </w:rPr>
        <w:t>(Biosecurity Australia 2010a)</w:t>
      </w:r>
      <w:r>
        <w:t>. The assessment of hawthorn spider mite presented here builds on this previous assessment.</w:t>
      </w:r>
    </w:p>
    <w:p w:rsidR="00B8782D" w:rsidRDefault="00B8782D">
      <w:r>
        <w:t xml:space="preserve">The risk scenario of concern for </w:t>
      </w:r>
      <w:r>
        <w:rPr>
          <w:i/>
        </w:rPr>
        <w:t xml:space="preserve">A. viennensis </w:t>
      </w:r>
      <w:r>
        <w:t>is the presence of eggs, nymphs and/or adults on imported nectarines.</w:t>
      </w:r>
    </w:p>
    <w:p w:rsidR="00B8782D" w:rsidRDefault="00B8782D">
      <w:r>
        <w:t xml:space="preserve">Differences in the commodity, horticultural practices, climatic conditions and the prevalence of </w:t>
      </w:r>
      <w:r>
        <w:rPr>
          <w:i/>
        </w:rPr>
        <w:t>A. viennensis</w:t>
      </w:r>
      <w:r>
        <w:t xml:space="preserve"> between previous export areas in China make it necessary to reassess the likelihood that </w:t>
      </w:r>
      <w:r>
        <w:rPr>
          <w:i/>
        </w:rPr>
        <w:t xml:space="preserve">A. viennensis </w:t>
      </w:r>
      <w:r>
        <w:t>will be imported into Australia with nectarines from China.</w:t>
      </w:r>
    </w:p>
    <w:p w:rsidR="00B8782D" w:rsidRDefault="00B8782D">
      <w:r>
        <w:t>Fresh nectarine fruit is expected to be imported from China from May to October which is similar to the timing of the import of apples from China. After importation, nectarines will be distributed throughout Australia for retail sale in a similar way to apples from China. Therefore, it is considered unnecessary to reassess the likelihood of distribution.</w:t>
      </w:r>
    </w:p>
    <w:p w:rsidR="00B8782D" w:rsidRDefault="00B8782D">
      <w:r>
        <w:t xml:space="preserve">The likelihood of establishment and spread of </w:t>
      </w:r>
      <w:r>
        <w:rPr>
          <w:i/>
        </w:rPr>
        <w:t xml:space="preserve">A. viennensis </w:t>
      </w:r>
      <w:r>
        <w:t xml:space="preserve">in Australia will be comparable regardless of the fresh fruit commodity in which </w:t>
      </w:r>
      <w:r>
        <w:rPr>
          <w:i/>
        </w:rPr>
        <w:t xml:space="preserve">A. viennensis </w:t>
      </w:r>
      <w:r>
        <w:t xml:space="preserve">is imported into Australia, as these likelihoods relate specifically to events that occur in Australia and are independent of the importation pathway. The consequences of </w:t>
      </w:r>
      <w:r>
        <w:rPr>
          <w:i/>
        </w:rPr>
        <w:t xml:space="preserve">A. viennensis </w:t>
      </w:r>
      <w:r>
        <w:t>are also independent of the importation pathway. Accordingly, there is no need to reassess these components of the risk.</w:t>
      </w:r>
    </w:p>
    <w:p w:rsidR="00B8782D" w:rsidRDefault="00B8782D">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A. viennensis </w:t>
      </w:r>
      <w:r>
        <w:t xml:space="preserve">in the existing policy for apples from China </w:t>
      </w:r>
      <w:r>
        <w:rPr>
          <w:noProof/>
        </w:rPr>
        <w:t>(Biosecurity Australia 2010a)</w:t>
      </w:r>
      <w:r>
        <w:t>. Therefore, those risk ratings will be adopted for this assessment.</w:t>
      </w:r>
    </w:p>
    <w:p w:rsidR="00B8782D" w:rsidRDefault="00B8782D" w:rsidP="00B8782D">
      <w:pPr>
        <w:pStyle w:val="Heading3"/>
        <w:numPr>
          <w:ilvl w:val="2"/>
          <w:numId w:val="20"/>
        </w:numPr>
      </w:pPr>
      <w:r>
        <w:t>Likelihood of entry</w:t>
      </w:r>
    </w:p>
    <w:p w:rsidR="00B8782D" w:rsidRDefault="00B8782D">
      <w:pPr>
        <w:rPr>
          <w:b/>
        </w:rPr>
      </w:pPr>
      <w:r>
        <w:t>The likelihood of entry is considered in two parts, the likelihood of importation and the likelihood of distribution, which consider pre-border and post-border issues, respectively.</w:t>
      </w:r>
    </w:p>
    <w:p w:rsidR="00B8782D" w:rsidRDefault="00B8782D" w:rsidP="00B8782D">
      <w:pPr>
        <w:pStyle w:val="Heading3"/>
        <w:numPr>
          <w:ilvl w:val="2"/>
          <w:numId w:val="20"/>
        </w:numPr>
      </w:pPr>
      <w:r>
        <w:t>Likelihood of importation</w:t>
      </w:r>
    </w:p>
    <w:p w:rsidR="00B8782D" w:rsidRDefault="00B8782D">
      <w:pPr>
        <w:rPr>
          <w:b/>
        </w:rPr>
      </w:pPr>
      <w:r>
        <w:t xml:space="preserve">The likelihood that </w:t>
      </w:r>
      <w:r>
        <w:rPr>
          <w:i/>
        </w:rPr>
        <w:t>A. viennensis</w:t>
      </w:r>
      <w:r>
        <w:t xml:space="preserve"> will arrive in Australia with the importation of fresh nectarines from China is: </w:t>
      </w:r>
      <w:r>
        <w:rPr>
          <w:b/>
        </w:rPr>
        <w:t>Moderate</w:t>
      </w:r>
      <w:r>
        <w:t>.</w:t>
      </w:r>
    </w:p>
    <w:p w:rsidR="00B8782D" w:rsidRDefault="00B8782D">
      <w:r>
        <w:t>The following information provides supporting evidence for this assessment.</w:t>
      </w:r>
    </w:p>
    <w:p w:rsidR="00B8782D" w:rsidRDefault="00B8782D">
      <w:pPr>
        <w:pStyle w:val="ListBullet"/>
      </w:pPr>
      <w:r>
        <w:lastRenderedPageBreak/>
        <w:t xml:space="preserve">Spider mites are associated with stonefruit (peach, nectarine, plum and apricot) production in China </w:t>
      </w:r>
      <w:r>
        <w:rPr>
          <w:noProof/>
        </w:rPr>
        <w:t>(Feng &amp; Wang 2004)</w:t>
      </w:r>
      <w:r>
        <w:t xml:space="preserve">. </w:t>
      </w:r>
      <w:r>
        <w:rPr>
          <w:i/>
        </w:rPr>
        <w:t>Amphitetranychus viennensis</w:t>
      </w:r>
      <w:r>
        <w:t xml:space="preserve"> is widespread in China including Henan, Liaoning, Shaanxi and Shandong provinces where China’s main stonefruit production areas are located </w:t>
      </w:r>
      <w:r>
        <w:rPr>
          <w:noProof/>
        </w:rPr>
        <w:t>(AQSIQ 2006b)</w:t>
      </w:r>
      <w:r>
        <w:t>.</w:t>
      </w:r>
    </w:p>
    <w:p w:rsidR="00B8782D" w:rsidRDefault="00B8782D">
      <w:pPr>
        <w:pStyle w:val="ListBullet"/>
      </w:pPr>
      <w:r>
        <w:t xml:space="preserve">Spider mite populations can rapidly increase, particularly in hot and dry conditions with severe infestations resulting in defoliation. The life cycle of spider mites depends on the species and environmental factors. For example, there are five generations of </w:t>
      </w:r>
      <w:r>
        <w:rPr>
          <w:i/>
        </w:rPr>
        <w:t>A. viennensis</w:t>
      </w:r>
      <w:r>
        <w:t xml:space="preserve"> per year </w:t>
      </w:r>
      <w:r>
        <w:rPr>
          <w:noProof/>
        </w:rPr>
        <w:t>(Alford 2007; David'yan 2009)</w:t>
      </w:r>
      <w:r>
        <w:t xml:space="preserve"> and on stonefruit in China spider mites produce from 6–10 generations a year depending on the conditions in the area of occurrence </w:t>
      </w:r>
      <w:r>
        <w:rPr>
          <w:noProof/>
        </w:rPr>
        <w:t>(Feng &amp; Wang 2004)</w:t>
      </w:r>
      <w:r>
        <w:t>.</w:t>
      </w:r>
    </w:p>
    <w:p w:rsidR="00B8782D" w:rsidRDefault="00B8782D">
      <w:pPr>
        <w:pStyle w:val="ListBullet"/>
      </w:pPr>
      <w:r>
        <w:t xml:space="preserve">Spider mites are primarily found on the leaves of plants and are reported to both feed and lay eggs on leaves </w:t>
      </w:r>
      <w:r>
        <w:rPr>
          <w:noProof/>
        </w:rPr>
        <w:t>(Alford 2007)</w:t>
      </w:r>
      <w:r>
        <w:fldChar w:fldCharType="begin"/>
      </w:r>
      <w:r>
        <w:instrText xml:space="preserve"> QUOTE "" </w:instrText>
      </w:r>
      <w:r>
        <w:rPr>
          <w:vanish/>
        </w:rPr>
        <w:fldChar w:fldCharType="begin"/>
      </w:r>
      <w:r>
        <w:rPr>
          <w:vanish/>
        </w:rPr>
        <w:instrText xml:space="preserve"> ADDIN PROCITE ÿ\11\05‘\19\02\00\00\00\00\01\00\00ß\05\00\00@J:\5CPlant\5CPublications\5CAmericas Team Publications\5CAmericasAll.pdt Bentley, Day, et al. 2006 #14264\01\04\00\07\00àà\00\00\00¿H\00p7\14\00\14\00\00\00\01\00\00\00\00\00\00\00\00\00\00\00\10\00\00\00\00\00\00\00\02\00\00\00\00\00\00\00\00\00,\00\00\00\01\00\00\00Lô\12\00=\11J\00,\00\00\00xô\12\00Lô\12\00\03\00àà\00\00\00¿H\00p7\14\00\14\00\00\00\01\00\00\00\00\00\00\00\00\00\00\00\10\00\00\00\00\00\00\00\14\00\00\00\00\00\00ÿÿÿÎÃÂwçÃÂw,\00\00\00Dò\12\00.ÄÂw,\00\00\00\00\00\00\00 </w:instrText>
      </w:r>
      <w:r>
        <w:rPr>
          <w:vanish/>
        </w:rPr>
        <w:fldChar w:fldCharType="end"/>
      </w:r>
      <w:r>
        <w:fldChar w:fldCharType="end"/>
      </w:r>
      <w:r>
        <w:t xml:space="preserve">. However, spider mites are highly mobile and have the capacity to move onto all parts of the plant and may move to other parts of the host plant when populations become high </w:t>
      </w:r>
      <w:r>
        <w:rPr>
          <w:noProof/>
        </w:rPr>
        <w:t>(Jeppson, Keifer &amp; Baker 1975)</w:t>
      </w:r>
      <w:r>
        <w:t>.</w:t>
      </w:r>
    </w:p>
    <w:p w:rsidR="00B8782D" w:rsidRDefault="00B8782D">
      <w:pPr>
        <w:pStyle w:val="ListBullet"/>
      </w:pPr>
      <w:r>
        <w:t xml:space="preserve">In colder climates, spider mites survive the winter temperatures by entering an inactive state or diapause. Only fertilised females overwinter under the bark or inside cracks on the stem and branches of the host plants </w:t>
      </w:r>
      <w:r>
        <w:rPr>
          <w:noProof/>
        </w:rPr>
        <w:t>(David'yan 2009)</w:t>
      </w:r>
      <w:r>
        <w:t xml:space="preserve">. They emerge in early spring and lay eggs on the underside of the leaves </w:t>
      </w:r>
      <w:r>
        <w:rPr>
          <w:noProof/>
        </w:rPr>
        <w:t>(Alford 2007)</w:t>
      </w:r>
      <w:r>
        <w:t>.</w:t>
      </w:r>
    </w:p>
    <w:p w:rsidR="00B8782D" w:rsidRDefault="00B8782D">
      <w:pPr>
        <w:pStyle w:val="ListBullet"/>
      </w:pPr>
      <w:r>
        <w:t xml:space="preserve">Spider mites are very small and difficult to see without the aid of a hand lens. Adult females of </w:t>
      </w:r>
      <w:r>
        <w:rPr>
          <w:i/>
        </w:rPr>
        <w:t>Amphitetranychus viennensis</w:t>
      </w:r>
      <w:r>
        <w:t xml:space="preserve"> range from 0.5 to 0.6 millimetres in length, males are 0.37 millimetres long and eggs are 0.17 millimetres in diameter </w:t>
      </w:r>
      <w:r>
        <w:rPr>
          <w:noProof/>
        </w:rPr>
        <w:t>(Alford 2007)</w:t>
      </w:r>
      <w:r>
        <w:t>. The small size of spider mites and their eggs may make them difficult to detect, especially at low population levels and when they are present in the depression on the stem-end of fruit. The sorting, grading and packing processes may not reliably remove lightly infested fruit from the export pathway.</w:t>
      </w:r>
    </w:p>
    <w:p w:rsidR="00B8782D" w:rsidRDefault="00B8782D">
      <w:pPr>
        <w:pStyle w:val="ListBullet"/>
      </w:pPr>
      <w:r>
        <w:t xml:space="preserve">All harvested nectarines are cleaned using a pressurised air gun following harvest. This process would likely dislodge any mobile spider mites present on the surface of the fruit. However, it may not completely remove spider mites and/or eggs located in the depression in the stem-end of nectarine fruit. Mites associated with webbing at the stem-end of fruit have been observed during packinghouse process </w:t>
      </w:r>
      <w:r>
        <w:rPr>
          <w:noProof/>
        </w:rPr>
        <w:t>(Curtis et al. 1992)</w:t>
      </w:r>
      <w:r>
        <w:t>.</w:t>
      </w:r>
    </w:p>
    <w:p w:rsidR="00B8782D" w:rsidRDefault="00B8782D">
      <w:pPr>
        <w:pStyle w:val="ListBullet"/>
      </w:pPr>
      <w:r>
        <w:t xml:space="preserve">After packing, nectarine fruit will be stored at 0.0 to 0.5 °C </w:t>
      </w:r>
      <w:r>
        <w:rPr>
          <w:noProof/>
        </w:rPr>
        <w:t>(AQSIQ 2006b)</w:t>
      </w:r>
      <w:r>
        <w:t xml:space="preserve">. Fertilised female spider mites overwinter and survive sub-zero temperatures </w:t>
      </w:r>
      <w:r>
        <w:rPr>
          <w:noProof/>
        </w:rPr>
        <w:t>(Veerman 1985)</w:t>
      </w:r>
      <w:r>
        <w:t xml:space="preserve"> and are likely to survive cold storage and transportation to Australia.</w:t>
      </w:r>
    </w:p>
    <w:p w:rsidR="00B8782D" w:rsidRDefault="00B8782D">
      <w:pPr>
        <w:pStyle w:val="ListBullet"/>
      </w:pPr>
      <w:r>
        <w:t>There is a potential for spider mites to be associated with summer fruit after storage and transportation as live spider mites (</w:t>
      </w:r>
      <w:r>
        <w:rPr>
          <w:i/>
        </w:rPr>
        <w:t>Tetranychus</w:t>
      </w:r>
      <w:r>
        <w:t xml:space="preserve"> spp.) have been intercepted numerous times on stonefruit exported from New Zealand to Australia. While the time in transit from China is likely to be longer than from New Zealand, the interception data demonstrates that spider mites can survive packinghouse procedures and in-transit cold storage.</w:t>
      </w:r>
    </w:p>
    <w:p w:rsidR="00B8782D" w:rsidRDefault="00B8782D">
      <w:r>
        <w:t xml:space="preserve">Hawthorn spider mites are small and may not be detected during routine packinghouse processes. Fertilised female spider mites are likely to survive cold storage and transportation to Australia. However, although spider mites can be associated with fruit when populations are high, they are primarily found on the leaves of the host plants. The stem end of the infested fruit often forms spider web, when the population is high, which makes the infestation readily visible </w:t>
      </w:r>
      <w:r>
        <w:lastRenderedPageBreak/>
        <w:t>and is likely to be removed during packinghouse procedures. But when the fruit is lightly infested, they may remain undetected. This information supports a likelihood estimate for importation of ‘moderate’.</w:t>
      </w:r>
    </w:p>
    <w:p w:rsidR="00B8782D" w:rsidRDefault="00B8782D">
      <w:pPr>
        <w:pStyle w:val="Heading4"/>
      </w:pPr>
      <w:r>
        <w:t>Likelihood of distribution</w:t>
      </w:r>
    </w:p>
    <w:p w:rsidR="00B8782D" w:rsidRDefault="00B8782D">
      <w:r>
        <w:t xml:space="preserve">The likelihood of distribution for </w:t>
      </w:r>
      <w:r>
        <w:rPr>
          <w:i/>
        </w:rPr>
        <w:t xml:space="preserve">A. viennensis </w:t>
      </w:r>
      <w:r>
        <w:t xml:space="preserve">assessed here would be the same as that for </w:t>
      </w:r>
      <w:r>
        <w:rPr>
          <w:i/>
        </w:rPr>
        <w:t xml:space="preserve">A. viennensis </w:t>
      </w:r>
      <w:r>
        <w:t xml:space="preserve">for apples from China </w:t>
      </w:r>
      <w:r>
        <w:rPr>
          <w:noProof/>
        </w:rPr>
        <w:t>(Biosecurity Australia 2010a)</w:t>
      </w:r>
      <w:r>
        <w:t xml:space="preserve">, that is </w:t>
      </w:r>
      <w:r>
        <w:rPr>
          <w:b/>
        </w:rPr>
        <w:t>Moderate</w:t>
      </w:r>
      <w:r>
        <w:t>.</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t xml:space="preserve">The likelihood that </w:t>
      </w:r>
      <w:r>
        <w:rPr>
          <w:i/>
        </w:rPr>
        <w:t xml:space="preserve">A. viennensis </w:t>
      </w:r>
      <w:r>
        <w:t xml:space="preserve">will enter Australia as a result of trade in nectarines from China and be distributed in a viable state to a susceptible host is: </w:t>
      </w:r>
      <w:r>
        <w:rPr>
          <w:b/>
        </w:rPr>
        <w:t>Low</w:t>
      </w:r>
      <w:r>
        <w:t>.</w:t>
      </w: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of spread for </w:t>
      </w:r>
      <w:r>
        <w:rPr>
          <w:i/>
        </w:rPr>
        <w:t>A. viennensis</w:t>
      </w:r>
      <w:r>
        <w:t xml:space="preserve"> is based on the assessment for apples from China </w:t>
      </w:r>
      <w:r>
        <w:rPr>
          <w:noProof/>
        </w:rPr>
        <w:t>(Biosecurity Australia 2010a)</w:t>
      </w:r>
      <w:r>
        <w:t>. That assessment used the same methodology as described in Chapter 2 of this report. The ratings from previous assessments are presented below:</w:t>
      </w:r>
    </w:p>
    <w:p w:rsidR="00B8782D" w:rsidRDefault="00B8782D">
      <w:r>
        <w:t xml:space="preserve">Likelihood of establishment: </w:t>
      </w:r>
      <w:r>
        <w:tab/>
      </w:r>
      <w:r>
        <w:tab/>
      </w:r>
      <w:r>
        <w:rPr>
          <w:b/>
        </w:rPr>
        <w:t>High</w:t>
      </w:r>
    </w:p>
    <w:p w:rsidR="00B8782D" w:rsidRDefault="00B8782D">
      <w:r>
        <w:t xml:space="preserve">Likelihood of spread: </w:t>
      </w:r>
      <w:r>
        <w:tab/>
      </w:r>
      <w:r>
        <w:tab/>
      </w:r>
      <w:r>
        <w:tab/>
      </w:r>
      <w:r>
        <w:rPr>
          <w:b/>
        </w:rPr>
        <w:t>Moderate</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of establishment and of spread using the matrix of rules shown in Table 2.2.</w:t>
      </w:r>
    </w:p>
    <w:p w:rsidR="00B8782D" w:rsidRDefault="00B8782D">
      <w:r>
        <w:t xml:space="preserve">The likelihood that </w:t>
      </w:r>
      <w:r>
        <w:rPr>
          <w:i/>
        </w:rPr>
        <w:t>A. viennensis</w:t>
      </w:r>
      <w:r>
        <w:t xml:space="preserve"> will enter Australia as a result of trade in nectarines from China, be distributed in a viable state to a susceptible host, establish in Australia and subsequently spread within Australia has been assessed as: </w:t>
      </w:r>
      <w:r>
        <w:rPr>
          <w:b/>
        </w:rPr>
        <w:t>Low</w:t>
      </w:r>
      <w:r>
        <w:t>.</w:t>
      </w:r>
    </w:p>
    <w:p w:rsidR="00B8782D" w:rsidRDefault="00B8782D" w:rsidP="00B8782D">
      <w:pPr>
        <w:pStyle w:val="Heading3"/>
        <w:numPr>
          <w:ilvl w:val="2"/>
          <w:numId w:val="20"/>
        </w:numPr>
      </w:pPr>
      <w:r>
        <w:t>Consequences</w:t>
      </w:r>
    </w:p>
    <w:p w:rsidR="00B8782D" w:rsidRDefault="00B8782D">
      <w:r>
        <w:t xml:space="preserve">The consequences of the establishment of </w:t>
      </w:r>
      <w:r>
        <w:rPr>
          <w:i/>
        </w:rPr>
        <w:t>A. viennensis</w:t>
      </w:r>
      <w:r>
        <w:t xml:space="preserve"> in Australia have been estimated previously for apples from China </w:t>
      </w:r>
      <w:r>
        <w:rPr>
          <w:noProof/>
        </w:rPr>
        <w:t>(Biosecurity Australia 2010a)</w:t>
      </w:r>
      <w:r>
        <w:t xml:space="preserve">. The overall consequences have been estimated to be </w:t>
      </w:r>
      <w:r>
        <w:rPr>
          <w:b/>
        </w:rPr>
        <w:t>Moderate</w:t>
      </w:r>
      <w:r>
        <w:t>.</w:t>
      </w:r>
    </w:p>
    <w:p w:rsidR="00B8782D" w:rsidRDefault="00B8782D" w:rsidP="00B8782D">
      <w:pPr>
        <w:pStyle w:val="Heading3"/>
        <w:numPr>
          <w:ilvl w:val="2"/>
          <w:numId w:val="20"/>
        </w:numPr>
      </w:pPr>
      <w:r>
        <w:t>Unrestricted risk estimate</w:t>
      </w:r>
    </w:p>
    <w:p w:rsidR="00B8782D" w:rsidRDefault="00B8782D">
      <w:pPr>
        <w:sectPr w:rsidR="00B8782D">
          <w:headerReference w:type="default" r:id="rId54"/>
          <w:pgSz w:w="11906" w:h="16838"/>
          <w:pgMar w:top="1418" w:right="1418" w:bottom="1418" w:left="1418" w:header="567" w:footer="283" w:gutter="0"/>
          <w:cols w:space="708"/>
          <w:docGrid w:linePitch="360"/>
        </w:sectPr>
      </w:pPr>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rPr>
                <w:bCs/>
              </w:rPr>
            </w:pPr>
            <w:r>
              <w:lastRenderedPageBreak/>
              <w:t xml:space="preserve">Unrestricted risk estimate for </w:t>
            </w:r>
            <w:r>
              <w:rPr>
                <w:i/>
                <w:szCs w:val="16"/>
              </w:rPr>
              <w:t xml:space="preserve">Amphitetranychus viennensis </w:t>
            </w:r>
          </w:p>
        </w:tc>
      </w:tr>
      <w:tr w:rsidR="00B8782D">
        <w:tc>
          <w:tcPr>
            <w:tcW w:w="6459" w:type="dxa"/>
          </w:tcPr>
          <w:p w:rsidR="00B8782D" w:rsidRDefault="00B8782D">
            <w:pPr>
              <w:pStyle w:val="TableText"/>
            </w:pPr>
            <w:r>
              <w:t>Overall likelihood of entry, establishment and spread</w:t>
            </w:r>
          </w:p>
        </w:tc>
        <w:tc>
          <w:tcPr>
            <w:tcW w:w="2977" w:type="dxa"/>
          </w:tcPr>
          <w:p w:rsidR="00B8782D" w:rsidRDefault="00B8782D">
            <w:pPr>
              <w:pStyle w:val="TableText"/>
            </w:pPr>
            <w:r>
              <w:t>Low</w:t>
            </w:r>
          </w:p>
        </w:tc>
      </w:tr>
      <w:tr w:rsidR="00B8782D">
        <w:tc>
          <w:tcPr>
            <w:tcW w:w="6459" w:type="dxa"/>
          </w:tcPr>
          <w:p w:rsidR="00B8782D" w:rsidRDefault="00B8782D">
            <w:pPr>
              <w:pStyle w:val="TableText"/>
            </w:pPr>
            <w:r>
              <w:t>Consequences</w:t>
            </w:r>
          </w:p>
        </w:tc>
        <w:tc>
          <w:tcPr>
            <w:tcW w:w="2977" w:type="dxa"/>
          </w:tcPr>
          <w:p w:rsidR="00B8782D" w:rsidRDefault="00B8782D">
            <w:pPr>
              <w:pStyle w:val="TableText"/>
            </w:pPr>
            <w:r>
              <w:t>Moderate</w:t>
            </w:r>
          </w:p>
        </w:tc>
      </w:tr>
      <w:tr w:rsidR="00B8782D">
        <w:tc>
          <w:tcPr>
            <w:tcW w:w="6459" w:type="dxa"/>
          </w:tcPr>
          <w:p w:rsidR="00B8782D" w:rsidRDefault="00B8782D">
            <w:pPr>
              <w:pStyle w:val="TableText"/>
            </w:pPr>
            <w:r>
              <w:t>Unrestricted risk</w:t>
            </w:r>
          </w:p>
        </w:tc>
        <w:tc>
          <w:tcPr>
            <w:tcW w:w="2977" w:type="dxa"/>
          </w:tcPr>
          <w:p w:rsidR="00B8782D" w:rsidRDefault="00B8782D">
            <w:pPr>
              <w:pStyle w:val="TableText"/>
            </w:pPr>
            <w:r>
              <w:t>Low</w:t>
            </w:r>
          </w:p>
        </w:tc>
      </w:tr>
    </w:tbl>
    <w:p w:rsidR="00B8782D" w:rsidRDefault="00B8782D">
      <w:pPr>
        <w:spacing w:before="180" w:line="280" w:lineRule="atLeast"/>
        <w:sectPr w:rsidR="00B8782D">
          <w:pgSz w:w="11906" w:h="16838"/>
          <w:pgMar w:top="1418" w:right="1418" w:bottom="1418" w:left="1418" w:header="567" w:footer="283" w:gutter="0"/>
          <w:cols w:space="708"/>
          <w:docGrid w:linePitch="360"/>
        </w:sectPr>
      </w:pPr>
      <w:r>
        <w:t xml:space="preserve">As indicated, the unrestricted risk estimate for </w:t>
      </w:r>
      <w:r>
        <w:rPr>
          <w:i/>
        </w:rPr>
        <w:t>A. viennensis</w:t>
      </w:r>
      <w:r>
        <w:t xml:space="preserve"> has been assessed as ‘low’, which is above Australia’s ALOP. Therefore, specific risk management measures are required for this pest.</w:t>
      </w:r>
      <w:bookmarkStart w:id="47" w:name="_Toc415486462"/>
      <w:bookmarkStart w:id="48" w:name="_Toc325618444"/>
      <w:bookmarkEnd w:id="47"/>
    </w:p>
    <w:p w:rsidR="00B8782D" w:rsidRDefault="00B8782D" w:rsidP="00B8782D">
      <w:pPr>
        <w:pStyle w:val="Heading2"/>
        <w:numPr>
          <w:ilvl w:val="1"/>
          <w:numId w:val="20"/>
        </w:numPr>
      </w:pPr>
      <w:bookmarkStart w:id="49" w:name="_Toc448312495"/>
      <w:r>
        <w:lastRenderedPageBreak/>
        <w:t>Strawberry spider mite</w:t>
      </w:r>
      <w:bookmarkEnd w:id="49"/>
    </w:p>
    <w:p w:rsidR="00B8782D" w:rsidRDefault="00B8782D">
      <w:pPr>
        <w:pStyle w:val="Heading3Nonumber"/>
      </w:pPr>
      <w:r>
        <w:rPr>
          <w:i/>
        </w:rPr>
        <w:t>Tetranychus turkestani</w:t>
      </w:r>
      <w:r>
        <w:t xml:space="preserve"> (EP)</w:t>
      </w:r>
    </w:p>
    <w:p w:rsidR="00B8782D" w:rsidRDefault="00B8782D">
      <w:r>
        <w:rPr>
          <w:i/>
        </w:rPr>
        <w:t>Tetranychus</w:t>
      </w:r>
      <w:r>
        <w:t xml:space="preserve"> </w:t>
      </w:r>
      <w:r>
        <w:rPr>
          <w:i/>
        </w:rPr>
        <w:t>turkestani</w:t>
      </w:r>
      <w:r>
        <w:t xml:space="preserve"> (strawberry spider mite) belongs to the Tetranychidae family. Mites of this family are commonly referred to as spider mites due to their habit of spinning protective silken webbing on plants under which they feed </w:t>
      </w:r>
      <w:r>
        <w:rPr>
          <w:noProof/>
        </w:rPr>
        <w:t>(Zhang 2003)</w:t>
      </w:r>
      <w:r>
        <w:t xml:space="preserve">. Spider mites have five life stages: egg, larva, two nymph stages (protonymph and deutonymph) and adult </w:t>
      </w:r>
      <w:r>
        <w:rPr>
          <w:noProof/>
        </w:rPr>
        <w:t>(Zhang 2003)</w:t>
      </w:r>
      <w:r>
        <w:t>.</w:t>
      </w:r>
    </w:p>
    <w:p w:rsidR="00B8782D" w:rsidRDefault="00B8782D">
      <w:r>
        <w:t xml:space="preserve">The risk scenario of concern for </w:t>
      </w:r>
      <w:r>
        <w:rPr>
          <w:i/>
        </w:rPr>
        <w:t xml:space="preserve">T. turkestani </w:t>
      </w:r>
      <w:r>
        <w:t>is the presence of eggs, nymphs or adults on imported nectarines.</w:t>
      </w:r>
    </w:p>
    <w:p w:rsidR="00B8782D" w:rsidRDefault="00B8782D">
      <w:r>
        <w:rPr>
          <w:i/>
        </w:rPr>
        <w:t>Tetranychus turkestani</w:t>
      </w:r>
      <w:r>
        <w:t xml:space="preserve"> was assessed in the existing policy for stonefruit from the USA (California, Idaho, Oregon and Washington) </w:t>
      </w:r>
      <w:r>
        <w:rPr>
          <w:noProof/>
        </w:rPr>
        <w:t>(Biosecurity Australia 2010b)</w:t>
      </w:r>
      <w:r>
        <w:t>. The assessment presented here builds on the previous assessment.</w:t>
      </w:r>
    </w:p>
    <w:p w:rsidR="00B8782D" w:rsidRDefault="00B8782D">
      <w:r>
        <w:t xml:space="preserve">Differences in horticultural practices, climatic conditions and the prevalence of </w:t>
      </w:r>
      <w:r>
        <w:rPr>
          <w:i/>
        </w:rPr>
        <w:t>T. turkestani</w:t>
      </w:r>
      <w:r>
        <w:t xml:space="preserve"> between export areas in the US and China make it necessary to reassess the likelihood that </w:t>
      </w:r>
      <w:r>
        <w:rPr>
          <w:i/>
        </w:rPr>
        <w:t>T. turkestani</w:t>
      </w:r>
      <w:r>
        <w:t xml:space="preserve"> will be imported into Australia with nectarines from China.</w:t>
      </w:r>
    </w:p>
    <w:p w:rsidR="00B8782D" w:rsidRDefault="00B8782D">
      <w:r>
        <w:t>Fresh nectarine fruit is expected to be imported from China from May to October which is similar to the timing of the import of stonefruit from the USA. After importation, nectarines will be distributed throughout Australia for retail sale in a similar way to stonefruit from the USA. Therefore, it is considered unnecessary to reassess the likelihood of distribution.</w:t>
      </w:r>
    </w:p>
    <w:p w:rsidR="00B8782D" w:rsidRDefault="00B8782D">
      <w:r>
        <w:t xml:space="preserve">The likelihood of establishment and spread of </w:t>
      </w:r>
      <w:r>
        <w:rPr>
          <w:i/>
        </w:rPr>
        <w:t>T. turkestani</w:t>
      </w:r>
      <w:r>
        <w:t xml:space="preserve"> in Australia will be comparable regardless of the fresh fruit commodity in which </w:t>
      </w:r>
      <w:r>
        <w:rPr>
          <w:i/>
        </w:rPr>
        <w:t>T. turkestani</w:t>
      </w:r>
      <w:r>
        <w:t xml:space="preserve"> is imported into Australia, as these likelihoods relate specifically to events that occur in Australia and are independent of the importation pathway. The consequences of </w:t>
      </w:r>
      <w:r>
        <w:rPr>
          <w:i/>
        </w:rPr>
        <w:t>T. turkestani</w:t>
      </w:r>
      <w:r>
        <w:t xml:space="preserve"> are also independent of the importation pathway. Accordingly, there is no need to reassess these components of the risk.</w:t>
      </w:r>
    </w:p>
    <w:p w:rsidR="00B8782D" w:rsidRDefault="00B8782D">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T. turkestani</w:t>
      </w:r>
      <w:r>
        <w:t xml:space="preserve"> in the existing policy for stonefruit from the USA (California, Idaho, Oregon and Washington)</w:t>
      </w:r>
      <w:r>
        <w:rPr>
          <w:noProof/>
        </w:rPr>
        <w:t>(Biosecurity Australia 2010b)</w:t>
      </w:r>
      <w:r>
        <w:t>. Therefore, those risk ratings will be adopted for this assessment.</w:t>
      </w:r>
    </w:p>
    <w:p w:rsidR="00B8782D" w:rsidRDefault="00B8782D" w:rsidP="00B8782D">
      <w:pPr>
        <w:pStyle w:val="Heading3"/>
        <w:numPr>
          <w:ilvl w:val="2"/>
          <w:numId w:val="20"/>
        </w:numPr>
      </w:pPr>
      <w:r>
        <w:t>Likelihood of entry</w:t>
      </w:r>
    </w:p>
    <w:p w:rsidR="00B8782D" w:rsidRDefault="00B8782D">
      <w:pPr>
        <w:rPr>
          <w:b/>
        </w:rPr>
      </w:pPr>
      <w:r>
        <w:t>The likelihood of entry is considered in two parts, the likelihood of importation and the likelihood of distribution, which consider pre-border and post-border issues, respectively.</w:t>
      </w:r>
    </w:p>
    <w:p w:rsidR="00B8782D" w:rsidRDefault="00B8782D" w:rsidP="00B8782D">
      <w:pPr>
        <w:pStyle w:val="Heading3"/>
        <w:numPr>
          <w:ilvl w:val="2"/>
          <w:numId w:val="20"/>
        </w:numPr>
      </w:pPr>
      <w:r>
        <w:t>Likelihood of importation</w:t>
      </w:r>
    </w:p>
    <w:p w:rsidR="00B8782D" w:rsidRDefault="00B8782D">
      <w:pPr>
        <w:rPr>
          <w:b/>
        </w:rPr>
      </w:pPr>
      <w:r>
        <w:t xml:space="preserve">The likelihood that </w:t>
      </w:r>
      <w:r>
        <w:rPr>
          <w:i/>
        </w:rPr>
        <w:t>T. turkestani</w:t>
      </w:r>
      <w:r>
        <w:t xml:space="preserve"> will arrive in Australia with the importation of fresh nectarines from China is: </w:t>
      </w:r>
      <w:r>
        <w:rPr>
          <w:b/>
        </w:rPr>
        <w:t>Low</w:t>
      </w:r>
      <w:r>
        <w:t>.</w:t>
      </w:r>
    </w:p>
    <w:p w:rsidR="00B8782D" w:rsidRDefault="00B8782D">
      <w:r>
        <w:t>The following information provides supporting evidence for this assessment.</w:t>
      </w:r>
    </w:p>
    <w:p w:rsidR="00B8782D" w:rsidRDefault="00B8782D" w:rsidP="0060047B">
      <w:pPr>
        <w:pStyle w:val="ListBullet"/>
      </w:pPr>
      <w:r>
        <w:rPr>
          <w:i/>
        </w:rPr>
        <w:lastRenderedPageBreak/>
        <w:t>Tetranychus turkestani</w:t>
      </w:r>
      <w:r>
        <w:t xml:space="preserve"> has been reported on banana and cotton in Hainan province </w:t>
      </w:r>
      <w:r>
        <w:rPr>
          <w:noProof/>
        </w:rPr>
        <w:t>(Migeon &amp; Dorkeld 2012; Zhang &amp; Fu 2004)</w:t>
      </w:r>
      <w:r>
        <w:t xml:space="preserve"> and the </w:t>
      </w:r>
      <w:r w:rsidRPr="0060047B">
        <w:t>Xinjiang Uyghur Autonomous Region</w:t>
      </w:r>
      <w:r>
        <w:t xml:space="preserve"> </w:t>
      </w:r>
      <w:r>
        <w:rPr>
          <w:noProof/>
        </w:rPr>
        <w:t>(Gu et al. 2010)</w:t>
      </w:r>
      <w:r>
        <w:t xml:space="preserve"> of China, which does not coincide with China’s major nectarine production regions. In addition, no report of </w:t>
      </w:r>
      <w:r>
        <w:rPr>
          <w:i/>
        </w:rPr>
        <w:t>T. turkestani</w:t>
      </w:r>
      <w:r>
        <w:t xml:space="preserve"> on stonefruit was found in China.</w:t>
      </w:r>
    </w:p>
    <w:p w:rsidR="00B8782D" w:rsidRDefault="00B8782D">
      <w:pPr>
        <w:pStyle w:val="ListBullet"/>
      </w:pPr>
      <w:r>
        <w:t xml:space="preserve">Peaches and nectarines are hosts of </w:t>
      </w:r>
      <w:r>
        <w:rPr>
          <w:i/>
        </w:rPr>
        <w:t>T. turkestani</w:t>
      </w:r>
      <w:r>
        <w:t xml:space="preserve"> </w:t>
      </w:r>
      <w:r>
        <w:rPr>
          <w:noProof/>
        </w:rPr>
        <w:t>(Migeon &amp; Dorkeld 2013)</w:t>
      </w:r>
      <w:r>
        <w:t xml:space="preserve">. This mite feeds in colonies mainly on the lower surface of the leaf, but the injury shows on the upper surface </w:t>
      </w:r>
      <w:r>
        <w:rPr>
          <w:noProof/>
        </w:rPr>
        <w:t>(Jeppson, Keifer &amp; Baker 1975)</w:t>
      </w:r>
      <w:r>
        <w:t>.</w:t>
      </w:r>
    </w:p>
    <w:p w:rsidR="00B8782D" w:rsidRDefault="00B8782D">
      <w:pPr>
        <w:pStyle w:val="ListBullet"/>
      </w:pPr>
      <w:r>
        <w:t>Spider mite populations can rapidly increase, particularly in hot and dry conditions with severe infestations resulting in defoliation. The life cycle of spider mites depends on the species and environmental factors.</w:t>
      </w:r>
    </w:p>
    <w:p w:rsidR="00B8782D" w:rsidRDefault="00B8782D">
      <w:pPr>
        <w:pStyle w:val="ListBullet"/>
      </w:pPr>
      <w:r>
        <w:t xml:space="preserve">Spider mites are primarily found on the leaves of plants and are reported to both feed and lay eggs on leaves </w:t>
      </w:r>
      <w:r>
        <w:rPr>
          <w:noProof/>
        </w:rPr>
        <w:t>(Alford 2007; David'yan 2009)</w:t>
      </w:r>
      <w:r>
        <w:fldChar w:fldCharType="begin"/>
      </w:r>
      <w:r>
        <w:instrText xml:space="preserve"> QUOTE "" </w:instrText>
      </w:r>
      <w:r>
        <w:rPr>
          <w:vanish/>
        </w:rPr>
        <w:fldChar w:fldCharType="begin"/>
      </w:r>
      <w:r>
        <w:rPr>
          <w:vanish/>
        </w:rPr>
        <w:instrText xml:space="preserve"> ADDIN PROCITE ÿ\11\05‘\19\02\00\00\00\00\01\00\00ß\05\00\00@J:\5CPlant\5CPublications\5CAmericas Team Publications\5CAmericasAll.pdt Bentley, Day, et al. 2006 #14264\01\04\00\07\00àà\00\00\00¿H\00p7\14\00\14\00\00\00\01\00\00\00\00\00\00\00\00\00\00\00\10\00\00\00\00\00\00\00\02\00\00\00\00\00\00\00\00\00,\00\00\00\01\00\00\00Lô\12\00=\11J\00,\00\00\00xô\12\00Lô\12\00\03\00àà\00\00\00¿H\00p7\14\00\14\00\00\00\01\00\00\00\00\00\00\00\00\00\00\00\10\00\00\00\00\00\00\00\14\00\00\00\00\00\00ÿÿÿÎÃÂwçÃÂw,\00\00\00Dò\12\00.ÄÂw,\00\00\00\00\00\00\00 </w:instrText>
      </w:r>
      <w:r>
        <w:rPr>
          <w:vanish/>
        </w:rPr>
        <w:fldChar w:fldCharType="end"/>
      </w:r>
      <w:r>
        <w:fldChar w:fldCharType="end"/>
      </w:r>
      <w:r>
        <w:t xml:space="preserve">. However, spider mites are highly mobile and have the capacity to move onto all parts of the plant </w:t>
      </w:r>
      <w:r>
        <w:rPr>
          <w:noProof/>
        </w:rPr>
        <w:t>(Jeppson, Keifer &amp; Baker 1975)</w:t>
      </w:r>
      <w:r>
        <w:t xml:space="preserve"> and may move to other parts of the host plant when populations become high </w:t>
      </w:r>
      <w:r>
        <w:rPr>
          <w:noProof/>
        </w:rPr>
        <w:t>(Jeppson, Keifer &amp; Baker 1975)</w:t>
      </w:r>
      <w:r>
        <w:t>.</w:t>
      </w:r>
    </w:p>
    <w:p w:rsidR="00B8782D" w:rsidRDefault="00B8782D">
      <w:pPr>
        <w:pStyle w:val="ListBullet"/>
      </w:pPr>
      <w:r>
        <w:t xml:space="preserve">In colder climates, spider mites survive the winter temperatures by entering an inactive state or diapause stage. Only fertilised females overwinter under the bark or inside cracks on the stem and branches of the host plants </w:t>
      </w:r>
      <w:r>
        <w:rPr>
          <w:noProof/>
        </w:rPr>
        <w:t>(David'yan 2009)</w:t>
      </w:r>
      <w:r>
        <w:t xml:space="preserve">. They emerge in early spring and lay eggs on the underside of the leaves </w:t>
      </w:r>
      <w:r>
        <w:rPr>
          <w:noProof/>
        </w:rPr>
        <w:t>(Alford 2007)</w:t>
      </w:r>
      <w:r>
        <w:t xml:space="preserve">. Female mites may overwinter in the depression on the stem-end of the mature fruit </w:t>
      </w:r>
      <w:r>
        <w:rPr>
          <w:noProof/>
        </w:rPr>
        <w:t>(Curtis et al. 1992)</w:t>
      </w:r>
      <w:r>
        <w:t>.</w:t>
      </w:r>
    </w:p>
    <w:p w:rsidR="00B8782D" w:rsidRDefault="00B8782D">
      <w:pPr>
        <w:pStyle w:val="ListBullet"/>
      </w:pPr>
      <w:r>
        <w:t xml:space="preserve">Spider mites are very small (0.25–0.5 millimetres) and difficult to see without the aid of a hand lens </w:t>
      </w:r>
      <w:r>
        <w:rPr>
          <w:noProof/>
        </w:rPr>
        <w:t>(Berry 1998)</w:t>
      </w:r>
      <w:r>
        <w:t>. The small size of spider mites and their eggs may make them difficult to detect, especially at low population levels and when they are present in the depression on the stem-end of fruit. The sorting, grading and packing processes may not reliably remove lightly infested fruit from the export pathway.</w:t>
      </w:r>
    </w:p>
    <w:p w:rsidR="00B8782D" w:rsidRDefault="00B8782D">
      <w:pPr>
        <w:pStyle w:val="ListBullet"/>
      </w:pPr>
      <w:r>
        <w:t xml:space="preserve">All harvested nectarines are cleaned using a pressurised air gun following harvest. This process would likely dislodge any mobile spider mites present on the surface of the fruit. However, it may not completely remove spider mites and/or eggs located in the depression in the stem-end of mature fruit. Mites associated with webbing at the stem-end of fruit have been observed during packinghouse process </w:t>
      </w:r>
      <w:r>
        <w:rPr>
          <w:noProof/>
        </w:rPr>
        <w:t>(Curtis et al. 1992)</w:t>
      </w:r>
      <w:r>
        <w:t>.</w:t>
      </w:r>
    </w:p>
    <w:p w:rsidR="00B8782D" w:rsidRDefault="00B8782D">
      <w:pPr>
        <w:pStyle w:val="ListBullet"/>
      </w:pPr>
      <w:r>
        <w:t xml:space="preserve">After packing, nectarine fruit will be stored at 0.0 °C to 0.5 °C </w:t>
      </w:r>
      <w:r>
        <w:rPr>
          <w:noProof/>
        </w:rPr>
        <w:t>(AQSIQ 2006b)</w:t>
      </w:r>
      <w:r>
        <w:t xml:space="preserve">. Fertilised female spider mites overwinter and survive sub-zero temperatures </w:t>
      </w:r>
      <w:r>
        <w:rPr>
          <w:noProof/>
        </w:rPr>
        <w:t>(Veerman 1985)</w:t>
      </w:r>
      <w:r>
        <w:t xml:space="preserve"> and are likely to survive cold storage and transportation to Australia.</w:t>
      </w:r>
    </w:p>
    <w:p w:rsidR="00B8782D" w:rsidRDefault="00B8782D">
      <w:pPr>
        <w:pStyle w:val="ListBullet"/>
      </w:pPr>
      <w:r>
        <w:t>There is a potential for spider mites to be associated with stonefruit after storage and transportation as live spider mites (</w:t>
      </w:r>
      <w:r>
        <w:rPr>
          <w:i/>
        </w:rPr>
        <w:t>Tetranychus</w:t>
      </w:r>
      <w:r>
        <w:t xml:space="preserve"> spp.) have been intercepted numerous times on stonefruit exported from New Zealand to Australia.</w:t>
      </w:r>
    </w:p>
    <w:p w:rsidR="00B8782D" w:rsidRDefault="00B8782D">
      <w:pPr>
        <w:pStyle w:val="ListBullet"/>
      </w:pPr>
      <w:r>
        <w:t>While the time in transit from China is likely to be longer than from New Zealand, the interception data demonstrates that spider mites can survive packinghouse procedures and in-transit cold storage.</w:t>
      </w:r>
    </w:p>
    <w:p w:rsidR="00B8782D" w:rsidRDefault="00B8782D">
      <w:r>
        <w:t xml:space="preserve">Spider mites are small and may not be detected during routine packinghouse processes. Fertilised female spider mites are likely to survive cold storage and transportation to Australia. However, the current distribution of the strawberry mite in China is limited and does not </w:t>
      </w:r>
      <w:r>
        <w:lastRenderedPageBreak/>
        <w:t>coincide with major nectarine production regions and no reports of strawberry spider mite associated with stonefruit in China have been found. This information supports a likelihood estimate for importation of ‘low’.</w:t>
      </w:r>
    </w:p>
    <w:p w:rsidR="00B8782D" w:rsidRDefault="00B8782D">
      <w:pPr>
        <w:pStyle w:val="Heading4"/>
      </w:pPr>
      <w:r>
        <w:t>Likelihood of distribution</w:t>
      </w:r>
    </w:p>
    <w:p w:rsidR="00B8782D" w:rsidRDefault="00B8782D">
      <w:r>
        <w:t xml:space="preserve">The likelihood of distribution for </w:t>
      </w:r>
      <w:r>
        <w:rPr>
          <w:i/>
        </w:rPr>
        <w:t>T. turkestani</w:t>
      </w:r>
      <w:r>
        <w:t xml:space="preserve"> assessed here would be the same as that for </w:t>
      </w:r>
      <w:r>
        <w:rPr>
          <w:i/>
        </w:rPr>
        <w:t>T. turkestani</w:t>
      </w:r>
      <w:r>
        <w:t xml:space="preserve"> for stonefruit from the USA (California, Idaho, Oregon and Washington) </w:t>
      </w:r>
      <w:r>
        <w:rPr>
          <w:noProof/>
        </w:rPr>
        <w:t>(Biosecurity Australia 2010b)</w:t>
      </w:r>
      <w:r>
        <w:t xml:space="preserve">, that is </w:t>
      </w:r>
      <w:r>
        <w:rPr>
          <w:b/>
        </w:rPr>
        <w:t>Moderate</w:t>
      </w:r>
      <w:r>
        <w:t>.</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t xml:space="preserve">The likelihood that </w:t>
      </w:r>
      <w:r>
        <w:rPr>
          <w:i/>
        </w:rPr>
        <w:t>T. turkestani</w:t>
      </w:r>
      <w:r>
        <w:t xml:space="preserve"> will enter Australia as a result of trade in nectarines from China and be distributed in a viable state to a susceptible host is: </w:t>
      </w:r>
      <w:r>
        <w:rPr>
          <w:b/>
        </w:rPr>
        <w:t>Low</w:t>
      </w:r>
      <w:r>
        <w:t>.</w:t>
      </w: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of spread for </w:t>
      </w:r>
      <w:r>
        <w:rPr>
          <w:i/>
        </w:rPr>
        <w:t>T. turkestani</w:t>
      </w:r>
      <w:r>
        <w:t xml:space="preserve"> is based on the assessment for stonefruit from the USA (California, Idaho, Oregon and Washington)</w:t>
      </w:r>
      <w:r>
        <w:rPr>
          <w:noProof/>
        </w:rPr>
        <w:t>(Biosecurity Australia 2010b)</w:t>
      </w:r>
      <w:r>
        <w:t>. That assessment used the same methodology as described in Chapter 2 of this report. The ratings from previous assessments are presented below:</w:t>
      </w:r>
    </w:p>
    <w:p w:rsidR="00B8782D" w:rsidRDefault="00B8782D">
      <w:r>
        <w:t xml:space="preserve">Likelihood of establishment: </w:t>
      </w:r>
      <w:r>
        <w:tab/>
      </w:r>
      <w:r>
        <w:tab/>
      </w:r>
      <w:r>
        <w:rPr>
          <w:b/>
        </w:rPr>
        <w:t>High</w:t>
      </w:r>
    </w:p>
    <w:p w:rsidR="00B8782D" w:rsidRDefault="00B8782D">
      <w:r>
        <w:t xml:space="preserve">Likelihood of spread: </w:t>
      </w:r>
      <w:r>
        <w:tab/>
      </w:r>
      <w:r>
        <w:tab/>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of establishment and of spread using the matrix of rules shown in Table 2.2.</w:t>
      </w:r>
    </w:p>
    <w:p w:rsidR="00B8782D" w:rsidRDefault="00B8782D">
      <w:r>
        <w:t xml:space="preserve">The likelihood that </w:t>
      </w:r>
      <w:r>
        <w:rPr>
          <w:i/>
        </w:rPr>
        <w:t>T. turkestani</w:t>
      </w:r>
      <w:r>
        <w:t xml:space="preserve"> will enter Australia as a result of trade in nectarines from China, be distributed in a viable state to a susceptible host, establish in Australia and subsequently spread within Australia has been assessed as: </w:t>
      </w:r>
      <w:r>
        <w:rPr>
          <w:b/>
        </w:rPr>
        <w:t>Low</w:t>
      </w:r>
      <w:r>
        <w:t>.</w:t>
      </w:r>
    </w:p>
    <w:p w:rsidR="00B8782D" w:rsidRDefault="00B8782D" w:rsidP="00B8782D">
      <w:pPr>
        <w:pStyle w:val="Heading3"/>
        <w:numPr>
          <w:ilvl w:val="2"/>
          <w:numId w:val="20"/>
        </w:numPr>
      </w:pPr>
      <w:r>
        <w:t>Consequences</w:t>
      </w:r>
    </w:p>
    <w:p w:rsidR="00B8782D" w:rsidRDefault="00B8782D">
      <w:r>
        <w:t xml:space="preserve">The consequences of the establishment of </w:t>
      </w:r>
      <w:r>
        <w:rPr>
          <w:i/>
        </w:rPr>
        <w:t xml:space="preserve">T. turkestani </w:t>
      </w:r>
      <w:r>
        <w:t>in Australia have been estimated previously for stonefruit from the USA (California, Idaho, Oregon and Washington)</w:t>
      </w:r>
      <w:r>
        <w:rPr>
          <w:noProof/>
        </w:rPr>
        <w:t>(Biosecurity Australia 2010b)</w:t>
      </w:r>
      <w:r>
        <w:t xml:space="preserve">. The overall consequences have been estimated to be </w:t>
      </w:r>
      <w:r>
        <w:rPr>
          <w:b/>
        </w:rPr>
        <w:t>Low</w:t>
      </w:r>
      <w:r>
        <w:t>.</w:t>
      </w:r>
    </w:p>
    <w:p w:rsidR="00B8782D" w:rsidRDefault="00B8782D" w:rsidP="00B8782D">
      <w:pPr>
        <w:pStyle w:val="Heading3"/>
        <w:numPr>
          <w:ilvl w:val="2"/>
          <w:numId w:val="20"/>
        </w:numPr>
      </w:pPr>
      <w:r>
        <w:t>Unrestricted risk estimate</w:t>
      </w:r>
    </w:p>
    <w:p w:rsidR="00B8782D" w:rsidRDefault="00B8782D">
      <w:pPr>
        <w:sectPr w:rsidR="00B8782D">
          <w:pgSz w:w="11906" w:h="16838"/>
          <w:pgMar w:top="1418" w:right="1418" w:bottom="1418" w:left="1418" w:header="567" w:footer="283" w:gutter="0"/>
          <w:cols w:space="708"/>
          <w:docGrid w:linePitch="360"/>
        </w:sectPr>
      </w:pPr>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rPr>
                <w:bCs/>
              </w:rPr>
            </w:pPr>
            <w:r>
              <w:lastRenderedPageBreak/>
              <w:t xml:space="preserve">Unrestricted risk estimate for </w:t>
            </w:r>
            <w:r>
              <w:rPr>
                <w:i/>
                <w:szCs w:val="16"/>
              </w:rPr>
              <w:t>Tetranychus turkestani</w:t>
            </w:r>
          </w:p>
        </w:tc>
      </w:tr>
      <w:tr w:rsidR="00B8782D">
        <w:tc>
          <w:tcPr>
            <w:tcW w:w="6459" w:type="dxa"/>
            <w:shd w:val="clear" w:color="auto" w:fill="auto"/>
          </w:tcPr>
          <w:p w:rsidR="00B8782D" w:rsidRDefault="00B8782D">
            <w:pPr>
              <w:pStyle w:val="TableText"/>
            </w:pPr>
            <w:r>
              <w:t>Overall likelihood of entry, establishment and spread</w:t>
            </w:r>
          </w:p>
        </w:tc>
        <w:tc>
          <w:tcPr>
            <w:tcW w:w="2977" w:type="dxa"/>
            <w:shd w:val="clear" w:color="auto" w:fill="auto"/>
          </w:tcPr>
          <w:p w:rsidR="00B8782D" w:rsidRDefault="00B8782D">
            <w:pPr>
              <w:pStyle w:val="TableText"/>
            </w:pPr>
            <w:r>
              <w:t>Low</w:t>
            </w:r>
          </w:p>
        </w:tc>
      </w:tr>
      <w:tr w:rsidR="00B8782D">
        <w:tc>
          <w:tcPr>
            <w:tcW w:w="6459" w:type="dxa"/>
            <w:shd w:val="clear" w:color="auto" w:fill="auto"/>
          </w:tcPr>
          <w:p w:rsidR="00B8782D" w:rsidRDefault="00B8782D">
            <w:pPr>
              <w:pStyle w:val="TableText"/>
            </w:pPr>
            <w:r>
              <w:t>Consequences</w:t>
            </w:r>
          </w:p>
        </w:tc>
        <w:tc>
          <w:tcPr>
            <w:tcW w:w="2977" w:type="dxa"/>
            <w:shd w:val="clear" w:color="auto" w:fill="auto"/>
          </w:tcPr>
          <w:p w:rsidR="00B8782D" w:rsidRDefault="00B8782D">
            <w:pPr>
              <w:pStyle w:val="TableText"/>
            </w:pPr>
            <w:r>
              <w:t>Low</w:t>
            </w:r>
          </w:p>
        </w:tc>
      </w:tr>
      <w:tr w:rsidR="00B8782D">
        <w:tc>
          <w:tcPr>
            <w:tcW w:w="6459" w:type="dxa"/>
            <w:shd w:val="clear" w:color="auto" w:fill="auto"/>
          </w:tcPr>
          <w:p w:rsidR="00B8782D" w:rsidRDefault="00B8782D">
            <w:pPr>
              <w:pStyle w:val="TableText"/>
            </w:pPr>
            <w:r>
              <w:t>Unrestricted risk</w:t>
            </w:r>
          </w:p>
        </w:tc>
        <w:tc>
          <w:tcPr>
            <w:tcW w:w="2977" w:type="dxa"/>
            <w:shd w:val="clear" w:color="auto" w:fill="auto"/>
          </w:tcPr>
          <w:p w:rsidR="00B8782D" w:rsidRDefault="00B8782D">
            <w:pPr>
              <w:pStyle w:val="TableText"/>
              <w:rPr>
                <w:bCs/>
              </w:rPr>
            </w:pPr>
            <w:r>
              <w:t>Very low</w:t>
            </w:r>
          </w:p>
        </w:tc>
      </w:tr>
    </w:tbl>
    <w:p w:rsidR="00B8782D" w:rsidRDefault="00B8782D">
      <w:pPr>
        <w:sectPr w:rsidR="00B8782D">
          <w:pgSz w:w="11906" w:h="16838"/>
          <w:pgMar w:top="1418" w:right="1418" w:bottom="1418" w:left="1418" w:header="567" w:footer="283" w:gutter="0"/>
          <w:cols w:space="708"/>
          <w:docGrid w:linePitch="360"/>
        </w:sectPr>
      </w:pPr>
      <w:r>
        <w:t xml:space="preserve">As indicated, the unrestricted risk estimate for </w:t>
      </w:r>
      <w:r>
        <w:rPr>
          <w:i/>
        </w:rPr>
        <w:t>T. turkestani</w:t>
      </w:r>
      <w:r>
        <w:t xml:space="preserve"> has been assessed as ‘very low’, which achieves Australia’s ALOP. Therefore, no specific risk management measures are required for this pest.</w:t>
      </w:r>
    </w:p>
    <w:p w:rsidR="00B8782D" w:rsidRDefault="00B8782D" w:rsidP="00B8782D">
      <w:pPr>
        <w:pStyle w:val="Heading2"/>
        <w:numPr>
          <w:ilvl w:val="1"/>
          <w:numId w:val="20"/>
        </w:numPr>
      </w:pPr>
      <w:bookmarkStart w:id="50" w:name="_Toc448312496"/>
      <w:r>
        <w:lastRenderedPageBreak/>
        <w:t>Rhynchites weevils</w:t>
      </w:r>
      <w:bookmarkEnd w:id="48"/>
      <w:bookmarkEnd w:id="50"/>
    </w:p>
    <w:p w:rsidR="00B8782D" w:rsidRDefault="00B8782D">
      <w:pPr>
        <w:pStyle w:val="Heading3Nonumber"/>
      </w:pPr>
      <w:r>
        <w:rPr>
          <w:i/>
        </w:rPr>
        <w:t xml:space="preserve">Rhynchites auratus </w:t>
      </w:r>
      <w:r>
        <w:t xml:space="preserve">(EP), </w:t>
      </w:r>
      <w:r>
        <w:rPr>
          <w:i/>
        </w:rPr>
        <w:t>Rhynchites confragosicollis</w:t>
      </w:r>
      <w:r>
        <w:t xml:space="preserve">, </w:t>
      </w:r>
      <w:r>
        <w:rPr>
          <w:i/>
        </w:rPr>
        <w:t>Rhynchites faldermani</w:t>
      </w:r>
      <w:r>
        <w:t xml:space="preserve">, </w:t>
      </w:r>
      <w:r>
        <w:rPr>
          <w:i/>
        </w:rPr>
        <w:t>Rhynchites heros</w:t>
      </w:r>
      <w:r>
        <w:t xml:space="preserve"> (EP)</w:t>
      </w:r>
    </w:p>
    <w:p w:rsidR="00B8782D" w:rsidRDefault="00B8782D">
      <w:r>
        <w:rPr>
          <w:i/>
        </w:rPr>
        <w:t xml:space="preserve">Rhynchites auratus </w:t>
      </w:r>
      <w:r>
        <w:t xml:space="preserve">(Korean pear weevil), </w:t>
      </w:r>
      <w:r>
        <w:rPr>
          <w:i/>
        </w:rPr>
        <w:t>R. confragosicollis</w:t>
      </w:r>
      <w:r>
        <w:t xml:space="preserve"> (peach curculio), </w:t>
      </w:r>
      <w:r>
        <w:rPr>
          <w:i/>
        </w:rPr>
        <w:t>R. faldermani</w:t>
      </w:r>
      <w:r>
        <w:t xml:space="preserve"> (peach weevil) and </w:t>
      </w:r>
      <w:r>
        <w:rPr>
          <w:i/>
        </w:rPr>
        <w:t>R. heros</w:t>
      </w:r>
      <w:r>
        <w:t xml:space="preserve"> (pear leaf weevil) belong to the weevil family </w:t>
      </w:r>
      <w:r>
        <w:rPr>
          <w:iCs/>
        </w:rPr>
        <w:t xml:space="preserve">Rhynchitidae. Weevils of this family are distinguished from other beetles by their </w:t>
      </w:r>
      <w:r>
        <w:t>long snouts and mouth parts modified to allow them to chew into flower heads</w:t>
      </w:r>
      <w:r>
        <w:rPr>
          <w:iCs/>
        </w:rPr>
        <w:t>.</w:t>
      </w:r>
    </w:p>
    <w:p w:rsidR="00B8782D" w:rsidRDefault="00B8782D">
      <w:r>
        <w:rPr>
          <w:i/>
        </w:rPr>
        <w:t>Rhynchites</w:t>
      </w:r>
      <w:r>
        <w:t xml:space="preserve"> weevils have four life stages: egg, larva, pupa and adult </w:t>
      </w:r>
      <w:r>
        <w:rPr>
          <w:noProof/>
        </w:rPr>
        <w:t>(Booth, Cox &amp; Madge 1990)</w:t>
      </w:r>
      <w:r>
        <w:t xml:space="preserve"> and one generation per year and both adult and larval stages overwinter in the soil </w:t>
      </w:r>
      <w:r>
        <w:rPr>
          <w:noProof/>
        </w:rPr>
        <w:t>(China Plant Pests 2007; USDA 1958)</w:t>
      </w:r>
      <w:r>
        <w:t xml:space="preserve">. In the northern hemisphere, overwintered adults emerge in April and start feeding on young foliage followed by mating within 3–4 days, and egg laying starts two days later </w:t>
      </w:r>
      <w:r>
        <w:rPr>
          <w:noProof/>
        </w:rPr>
        <w:t>(USDA 1958)</w:t>
      </w:r>
      <w:r>
        <w:t>.</w:t>
      </w:r>
    </w:p>
    <w:p w:rsidR="00B8782D" w:rsidRDefault="00B8782D">
      <w:r>
        <w:t xml:space="preserve">The biology and taxonomy of these four </w:t>
      </w:r>
      <w:r>
        <w:rPr>
          <w:i/>
        </w:rPr>
        <w:t>Rhynchites</w:t>
      </w:r>
      <w:r>
        <w:t xml:space="preserve"> weevil species are considered sufficiently similar to justify combining them into a single assessment. In this assessment, the term ‘</w:t>
      </w:r>
      <w:r>
        <w:rPr>
          <w:i/>
        </w:rPr>
        <w:t>Rhynchites</w:t>
      </w:r>
      <w:r>
        <w:t> weevils’ is used to refer to these four species unless otherwise specified.</w:t>
      </w:r>
    </w:p>
    <w:p w:rsidR="00B8782D" w:rsidRDefault="00B8782D">
      <w:r>
        <w:t xml:space="preserve">The risk scenario of concern for </w:t>
      </w:r>
      <w:r>
        <w:rPr>
          <w:i/>
        </w:rPr>
        <w:t>R. auratus</w:t>
      </w:r>
      <w:r>
        <w:t xml:space="preserve">, </w:t>
      </w:r>
      <w:r>
        <w:rPr>
          <w:i/>
        </w:rPr>
        <w:t>R. cofragosicollis</w:t>
      </w:r>
      <w:r>
        <w:t xml:space="preserve">, </w:t>
      </w:r>
      <w:r>
        <w:rPr>
          <w:i/>
        </w:rPr>
        <w:t>R. faldermani</w:t>
      </w:r>
      <w:r>
        <w:t xml:space="preserve"> and </w:t>
      </w:r>
      <w:r>
        <w:rPr>
          <w:i/>
        </w:rPr>
        <w:t>R. heros</w:t>
      </w:r>
      <w:r>
        <w:t xml:space="preserve"> is the presence of eggs and developing larvae within imported nectarines.</w:t>
      </w:r>
    </w:p>
    <w:p w:rsidR="00B8782D" w:rsidRDefault="00B8782D">
      <w:pPr>
        <w:rPr>
          <w:i/>
        </w:rPr>
      </w:pPr>
      <w:r>
        <w:rPr>
          <w:i/>
        </w:rPr>
        <w:t xml:space="preserve">Rhynchites auratus </w:t>
      </w:r>
      <w:r>
        <w:t xml:space="preserve">and </w:t>
      </w:r>
      <w:r>
        <w:rPr>
          <w:i/>
        </w:rPr>
        <w:t>R. heros</w:t>
      </w:r>
      <w:r>
        <w:t xml:space="preserve"> were assessed in the existing import policy for apples from China </w:t>
      </w:r>
      <w:r>
        <w:rPr>
          <w:noProof/>
        </w:rPr>
        <w:t>(Biosecurity Australia 2010a)</w:t>
      </w:r>
      <w:r>
        <w:t xml:space="preserve"> while </w:t>
      </w:r>
      <w:r>
        <w:rPr>
          <w:i/>
        </w:rPr>
        <w:t>R. heros</w:t>
      </w:r>
      <w:r>
        <w:t xml:space="preserve"> was also assessed in the final extension of policy for Chinese pears </w:t>
      </w:r>
      <w:r>
        <w:rPr>
          <w:noProof/>
        </w:rPr>
        <w:t>(Biosecurity Australia 2005b)</w:t>
      </w:r>
      <w:r>
        <w:t xml:space="preserve">. It is considered that these previous assessments for </w:t>
      </w:r>
      <w:r>
        <w:rPr>
          <w:i/>
        </w:rPr>
        <w:t xml:space="preserve">R. auratus </w:t>
      </w:r>
      <w:r>
        <w:t xml:space="preserve">and </w:t>
      </w:r>
      <w:r>
        <w:rPr>
          <w:i/>
        </w:rPr>
        <w:t>R. heros</w:t>
      </w:r>
      <w:r>
        <w:t xml:space="preserve"> can equally apply to </w:t>
      </w:r>
      <w:r>
        <w:rPr>
          <w:i/>
        </w:rPr>
        <w:t xml:space="preserve">R. cofragosicollis </w:t>
      </w:r>
      <w:r>
        <w:t xml:space="preserve">and </w:t>
      </w:r>
      <w:r>
        <w:rPr>
          <w:i/>
        </w:rPr>
        <w:t>R. faldermani</w:t>
      </w:r>
      <w:r>
        <w:t xml:space="preserve">. Therefore, the assessment of </w:t>
      </w:r>
      <w:r>
        <w:rPr>
          <w:i/>
        </w:rPr>
        <w:t>Rhynchites</w:t>
      </w:r>
      <w:r>
        <w:t xml:space="preserve"> weevils presented here builds on these previous assessments.</w:t>
      </w:r>
    </w:p>
    <w:p w:rsidR="00B8782D" w:rsidRDefault="00B8782D">
      <w:r>
        <w:t xml:space="preserve">Differences in commodity, horticultural practices, climatic conditions and the prevalence of </w:t>
      </w:r>
      <w:r>
        <w:rPr>
          <w:i/>
        </w:rPr>
        <w:t xml:space="preserve">R. auratus </w:t>
      </w:r>
      <w:r>
        <w:t xml:space="preserve">and </w:t>
      </w:r>
      <w:r>
        <w:rPr>
          <w:i/>
        </w:rPr>
        <w:t>R. heros</w:t>
      </w:r>
      <w:r>
        <w:t xml:space="preserve"> between previous export areas in China make it necessary to reassess the likelihood that </w:t>
      </w:r>
      <w:r>
        <w:rPr>
          <w:i/>
        </w:rPr>
        <w:t xml:space="preserve">R. auratus </w:t>
      </w:r>
      <w:r>
        <w:t xml:space="preserve">and </w:t>
      </w:r>
      <w:r>
        <w:rPr>
          <w:i/>
        </w:rPr>
        <w:t>R. heros</w:t>
      </w:r>
      <w:r>
        <w:t xml:space="preserve"> will be imported into Australia with nectarines from China.</w:t>
      </w:r>
    </w:p>
    <w:p w:rsidR="00B8782D" w:rsidRDefault="00B8782D">
      <w:r>
        <w:t>Fresh nectarine fruit may be imported from China from May to October which is similar to the timing of the import of pears and apples from China. After importation, nectarines will be distributed throughout Australia for retail sale in a similar way to apples and pears from China. Therefore, it is considered unnecessary to reassess the likelihood of distribution.</w:t>
      </w:r>
    </w:p>
    <w:p w:rsidR="00B8782D" w:rsidRDefault="00B8782D">
      <w:r>
        <w:t xml:space="preserve">The likelihood of establishment and spread of </w:t>
      </w:r>
      <w:r>
        <w:rPr>
          <w:i/>
        </w:rPr>
        <w:t xml:space="preserve">R. auratus </w:t>
      </w:r>
      <w:r>
        <w:t xml:space="preserve">and </w:t>
      </w:r>
      <w:r>
        <w:rPr>
          <w:i/>
        </w:rPr>
        <w:t xml:space="preserve">R. heros </w:t>
      </w:r>
      <w:r>
        <w:t xml:space="preserve">in Australia will be comparable regardless of the fresh fruit commodity in which </w:t>
      </w:r>
      <w:r>
        <w:rPr>
          <w:i/>
        </w:rPr>
        <w:t xml:space="preserve">R. auratus </w:t>
      </w:r>
      <w:r>
        <w:t xml:space="preserve">and </w:t>
      </w:r>
      <w:r>
        <w:rPr>
          <w:i/>
        </w:rPr>
        <w:t xml:space="preserve">R. heros </w:t>
      </w:r>
      <w:r>
        <w:t xml:space="preserve">are imported into Australia, as these likelihoods relate specifically to events that occur in Australia and are independent of the importation pathway. The consequences of </w:t>
      </w:r>
      <w:r>
        <w:rPr>
          <w:i/>
        </w:rPr>
        <w:t xml:space="preserve">R. auratus </w:t>
      </w:r>
      <w:r>
        <w:t xml:space="preserve">and </w:t>
      </w:r>
      <w:r>
        <w:rPr>
          <w:i/>
        </w:rPr>
        <w:t xml:space="preserve">R. heros </w:t>
      </w:r>
      <w:r>
        <w:t>are also independent of the importation pathway. Accordingly, there is no need to reassess these components of the risk.</w:t>
      </w:r>
    </w:p>
    <w:p w:rsidR="00B8782D" w:rsidRDefault="00B8782D">
      <w:r>
        <w:t xml:space="preserve">The establishment and spread of </w:t>
      </w:r>
      <w:r>
        <w:rPr>
          <w:i/>
        </w:rPr>
        <w:t xml:space="preserve">R. auratus </w:t>
      </w:r>
      <w:r>
        <w:t xml:space="preserve">and </w:t>
      </w:r>
      <w:r>
        <w:rPr>
          <w:i/>
        </w:rPr>
        <w:t xml:space="preserve">R. heros </w:t>
      </w:r>
      <w:r>
        <w:t xml:space="preserve">in Australia will be comparable for any commodity from which these species are imported into Australia, as these likelihoods relate specifically to events that occur in Australia and are largely independent of the importation </w:t>
      </w:r>
      <w:r>
        <w:lastRenderedPageBreak/>
        <w:t xml:space="preserve">pathway. Accordingly, there is no need to reassess these components, and the risk ratings for distribution, establishment, spread and consequences as set out for </w:t>
      </w:r>
      <w:r>
        <w:rPr>
          <w:i/>
        </w:rPr>
        <w:t>R. auratus</w:t>
      </w:r>
      <w:r>
        <w:t xml:space="preserve"> and </w:t>
      </w:r>
      <w:r>
        <w:rPr>
          <w:i/>
        </w:rPr>
        <w:t>R. heros</w:t>
      </w:r>
      <w:r>
        <w:t xml:space="preserve"> in the import risk analysis reports for apples and pears from China </w:t>
      </w:r>
      <w:r>
        <w:rPr>
          <w:noProof/>
        </w:rPr>
        <w:t>(Biosecurity Australia 2005a, 2010a)</w:t>
      </w:r>
      <w:r>
        <w:t>.</w:t>
      </w:r>
    </w:p>
    <w:p w:rsidR="00B8782D" w:rsidRDefault="00B8782D">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R. auratus </w:t>
      </w:r>
      <w:r>
        <w:t xml:space="preserve">and </w:t>
      </w:r>
      <w:r>
        <w:rPr>
          <w:i/>
        </w:rPr>
        <w:t>R. heros</w:t>
      </w:r>
      <w:r>
        <w:t xml:space="preserve"> in the existing policy for apples from China </w:t>
      </w:r>
      <w:r>
        <w:rPr>
          <w:noProof/>
        </w:rPr>
        <w:t>(Biosecurity Australia 2010a)</w:t>
      </w:r>
      <w:r>
        <w:t xml:space="preserve"> and for Chinese pears </w:t>
      </w:r>
      <w:r>
        <w:rPr>
          <w:noProof/>
        </w:rPr>
        <w:t>(Biosecurity Australia 2005b)</w:t>
      </w:r>
      <w:r>
        <w:t>. Therefore, those risk ratings will be adopted for this assessment.</w:t>
      </w:r>
    </w:p>
    <w:p w:rsidR="00B8782D" w:rsidRDefault="00B8782D" w:rsidP="00B8782D">
      <w:pPr>
        <w:pStyle w:val="Heading3"/>
        <w:numPr>
          <w:ilvl w:val="2"/>
          <w:numId w:val="20"/>
        </w:numPr>
      </w:pPr>
      <w:r>
        <w:t>Likelihood of entry</w:t>
      </w:r>
    </w:p>
    <w:p w:rsidR="00B8782D" w:rsidRDefault="00B8782D">
      <w:r>
        <w:t>The likelihood of entry is considered in two parts, the likelihood of importation and the likelihood of distribution, which consider pre-border and post-border issues, respectively.</w:t>
      </w:r>
    </w:p>
    <w:p w:rsidR="00B8782D" w:rsidRDefault="00B8782D" w:rsidP="00A90EF2">
      <w:pPr>
        <w:pStyle w:val="Heading4"/>
      </w:pPr>
      <w:r>
        <w:t>Likelihood of importation</w:t>
      </w:r>
    </w:p>
    <w:p w:rsidR="00B8782D" w:rsidRDefault="00B8782D">
      <w:r>
        <w:t xml:space="preserve">The likelihood that </w:t>
      </w:r>
      <w:r>
        <w:rPr>
          <w:i/>
        </w:rPr>
        <w:t>R. auratus</w:t>
      </w:r>
      <w:r>
        <w:t xml:space="preserve">, </w:t>
      </w:r>
      <w:r>
        <w:rPr>
          <w:i/>
        </w:rPr>
        <w:t>R. cofragosicollis</w:t>
      </w:r>
      <w:r>
        <w:t xml:space="preserve">, </w:t>
      </w:r>
      <w:r>
        <w:rPr>
          <w:i/>
        </w:rPr>
        <w:t>R. faldermani</w:t>
      </w:r>
      <w:r>
        <w:t xml:space="preserve"> and </w:t>
      </w:r>
      <w:r>
        <w:rPr>
          <w:i/>
        </w:rPr>
        <w:t xml:space="preserve">R. heros </w:t>
      </w:r>
      <w:r>
        <w:t xml:space="preserve">will arrive in Australia with the importation of fresh nectarines from China is: </w:t>
      </w:r>
      <w:r>
        <w:rPr>
          <w:b/>
        </w:rPr>
        <w:t>Very Low</w:t>
      </w:r>
      <w:r>
        <w:t>.</w:t>
      </w:r>
    </w:p>
    <w:p w:rsidR="00B8782D" w:rsidRDefault="00B8782D">
      <w:r>
        <w:t>The following information provides supporting evidence for this assessment.</w:t>
      </w:r>
    </w:p>
    <w:p w:rsidR="00B8782D" w:rsidRDefault="00B8782D">
      <w:pPr>
        <w:pStyle w:val="ListBullet"/>
        <w:rPr>
          <w:i/>
        </w:rPr>
      </w:pPr>
      <w:r>
        <w:rPr>
          <w:i/>
        </w:rPr>
        <w:t>Rhynchites</w:t>
      </w:r>
      <w:r>
        <w:t xml:space="preserve"> weevils are associated with summerfruit production in China and are widespread throughout the summerfruit production areas in China. </w:t>
      </w:r>
      <w:r>
        <w:rPr>
          <w:i/>
        </w:rPr>
        <w:t>Rhynchites auratus</w:t>
      </w:r>
      <w:r>
        <w:t xml:space="preserve"> is a pest of peach in Xinjiang and Hebei Provinces </w:t>
      </w:r>
      <w:r>
        <w:rPr>
          <w:noProof/>
        </w:rPr>
        <w:t>(CAAS 1992; Wang et al. 1998)</w:t>
      </w:r>
      <w:r>
        <w:t xml:space="preserve">. </w:t>
      </w:r>
      <w:r>
        <w:rPr>
          <w:i/>
        </w:rPr>
        <w:t>Rhynchites heros</w:t>
      </w:r>
      <w:r>
        <w:t xml:space="preserve"> has a wide host range including stonefruit and is widespread along the east coast and also extends to the west of China </w:t>
      </w:r>
      <w:r>
        <w:rPr>
          <w:noProof/>
        </w:rPr>
        <w:t>(Hanson 1963)</w:t>
      </w:r>
      <w:r>
        <w:t xml:space="preserve">. </w:t>
      </w:r>
      <w:r>
        <w:rPr>
          <w:i/>
        </w:rPr>
        <w:t>Rhynchites confragosicollis</w:t>
      </w:r>
      <w:r>
        <w:t xml:space="preserve"> is a pest of peach throughout southern China </w:t>
      </w:r>
      <w:r>
        <w:rPr>
          <w:noProof/>
        </w:rPr>
        <w:t>(Li, Wang &amp; Waterhouse 1997)</w:t>
      </w:r>
      <w:r>
        <w:t xml:space="preserve">. </w:t>
      </w:r>
      <w:r>
        <w:rPr>
          <w:i/>
        </w:rPr>
        <w:t>Rhynchites faldermani</w:t>
      </w:r>
      <w:r>
        <w:t xml:space="preserve"> is a pest of peach along the east coast and gradually spread towards inland including Sichuan province in southern west of China </w:t>
      </w:r>
      <w:r>
        <w:rPr>
          <w:noProof/>
        </w:rPr>
        <w:t>(China Plant Pests 2007)</w:t>
      </w:r>
      <w:r>
        <w:t xml:space="preserve">. </w:t>
      </w:r>
      <w:r>
        <w:rPr>
          <w:i/>
        </w:rPr>
        <w:t>Rhynchites confragosicollis</w:t>
      </w:r>
      <w:r>
        <w:t xml:space="preserve"> is an important pest of peach throughout Southern China </w:t>
      </w:r>
      <w:r>
        <w:rPr>
          <w:noProof/>
        </w:rPr>
        <w:t>(Li, Wang &amp; Waterhouse 1997)</w:t>
      </w:r>
      <w:r>
        <w:t>.</w:t>
      </w:r>
    </w:p>
    <w:p w:rsidR="00B8782D" w:rsidRDefault="00B8782D">
      <w:pPr>
        <w:pStyle w:val="ListBullet"/>
      </w:pPr>
      <w:r>
        <w:rPr>
          <w:i/>
        </w:rPr>
        <w:t xml:space="preserve">Rhynchites </w:t>
      </w:r>
      <w:r>
        <w:t xml:space="preserve">weevils lay eggs a few millimetres deep in the developing fruit and sever the stalk. The infested fruit usually falls from the tree within a few days to facilitate larvae entering and pupating in the soil </w:t>
      </w:r>
      <w:r>
        <w:rPr>
          <w:noProof/>
        </w:rPr>
        <w:t>(Hanson 1963)</w:t>
      </w:r>
      <w:r>
        <w:t>.</w:t>
      </w:r>
    </w:p>
    <w:p w:rsidR="00B8782D" w:rsidRDefault="00B8782D">
      <w:pPr>
        <w:pStyle w:val="ListBullet"/>
      </w:pPr>
      <w:r>
        <w:t xml:space="preserve">Some infested fruit may remain hanging on the tree for some time, although it will not develop due to injuries made by the </w:t>
      </w:r>
      <w:r>
        <w:rPr>
          <w:i/>
        </w:rPr>
        <w:t>Rhynchites</w:t>
      </w:r>
      <w:r>
        <w:t xml:space="preserve"> weevil female at the stalk and will shrink in size </w:t>
      </w:r>
      <w:r>
        <w:rPr>
          <w:noProof/>
        </w:rPr>
        <w:t>(Hanson 1963)</w:t>
      </w:r>
      <w:r>
        <w:t xml:space="preserve">. The egg laying site is easily recognisable due to dark pigmentation that develops around it </w:t>
      </w:r>
      <w:r>
        <w:rPr>
          <w:noProof/>
        </w:rPr>
        <w:t>(INRA 1997)</w:t>
      </w:r>
      <w:r>
        <w:t>. Such fruit is very likely to be removed during the harvesting and packinghouse procedures.</w:t>
      </w:r>
    </w:p>
    <w:p w:rsidR="00B8782D" w:rsidRDefault="00B8782D">
      <w:pPr>
        <w:pStyle w:val="ListBullet"/>
      </w:pPr>
      <w:r>
        <w:t xml:space="preserve">Adult </w:t>
      </w:r>
      <w:r>
        <w:rPr>
          <w:i/>
        </w:rPr>
        <w:t>Rhynchites</w:t>
      </w:r>
      <w:r>
        <w:t xml:space="preserve"> weevils are visible to the naked eye, for example </w:t>
      </w:r>
      <w:r>
        <w:rPr>
          <w:i/>
        </w:rPr>
        <w:t>R. auratus</w:t>
      </w:r>
      <w:r>
        <w:t xml:space="preserve"> range from 5.5 to 9.5 millimetres in size </w:t>
      </w:r>
      <w:r>
        <w:rPr>
          <w:noProof/>
        </w:rPr>
        <w:t>(Alford 2007)</w:t>
      </w:r>
      <w:r>
        <w:t xml:space="preserve">. Adult weevils feeding on the fruit will be disturbed during harvest and fall off the fruit. It is unlikely that the mature nectarines will be infested with adult </w:t>
      </w:r>
      <w:r>
        <w:rPr>
          <w:i/>
        </w:rPr>
        <w:t>Rhynchites</w:t>
      </w:r>
      <w:r>
        <w:t xml:space="preserve"> weevils.</w:t>
      </w:r>
    </w:p>
    <w:p w:rsidR="00B8782D" w:rsidRDefault="00B8782D">
      <w:pPr>
        <w:pStyle w:val="ListBullet"/>
      </w:pPr>
      <w:r>
        <w:lastRenderedPageBreak/>
        <w:t xml:space="preserve">After packing, nectarines will be stored at 0.0 °C to 0.5 °C </w:t>
      </w:r>
      <w:r>
        <w:rPr>
          <w:noProof/>
        </w:rPr>
        <w:t>(AQSIQ 2006b)</w:t>
      </w:r>
      <w:r>
        <w:t xml:space="preserve">. </w:t>
      </w:r>
      <w:r>
        <w:rPr>
          <w:i/>
        </w:rPr>
        <w:t>Rhynchites</w:t>
      </w:r>
      <w:r>
        <w:t xml:space="preserve"> weevil adults and larvae overwinter in cold climates </w:t>
      </w:r>
      <w:r>
        <w:rPr>
          <w:noProof/>
        </w:rPr>
        <w:t>(Alford 2007)</w:t>
      </w:r>
      <w:r>
        <w:t xml:space="preserve"> and are likely to survive cold storage and transportation to Australia if they are associated with commercial fruit.</w:t>
      </w:r>
    </w:p>
    <w:p w:rsidR="00B8782D" w:rsidRDefault="00B8782D">
      <w:r>
        <w:rPr>
          <w:i/>
        </w:rPr>
        <w:t xml:space="preserve">Rhynchites </w:t>
      </w:r>
      <w:r>
        <w:t xml:space="preserve">weevils are widely distributed in China and nectarine is one of the major hosts. </w:t>
      </w:r>
      <w:r>
        <w:rPr>
          <w:i/>
        </w:rPr>
        <w:t xml:space="preserve">Rhynchites </w:t>
      </w:r>
      <w:r>
        <w:t>weevil’s ability to survive cold temperatures would allow immature life stages of weevils to survive cold transportation to Australia. However, since infested fruit typically drop from the tree prior to harvest this would significantly reduce the likelihood that weevils would be associated with commercial quality fruit. In addition, any infested fruit that remains on the tree will have obvious signs of damage and is very likely to be removed during harvest and packinghouse procedures. This information supports a likelihood estimate for importation of ‘very low’.</w:t>
      </w:r>
    </w:p>
    <w:p w:rsidR="00B8782D" w:rsidRDefault="00B8782D">
      <w:pPr>
        <w:pStyle w:val="Heading4"/>
      </w:pPr>
      <w:r>
        <w:t>Likelihood of distribution</w:t>
      </w:r>
    </w:p>
    <w:p w:rsidR="00B8782D" w:rsidRDefault="00B8782D">
      <w:pPr>
        <w:pStyle w:val="Body"/>
        <w:spacing w:before="240"/>
        <w:rPr>
          <w:rFonts w:ascii="Cambria" w:eastAsia="Calibri" w:hAnsi="Cambria"/>
          <w:sz w:val="22"/>
          <w:szCs w:val="22"/>
        </w:rPr>
      </w:pPr>
      <w:r>
        <w:rPr>
          <w:rFonts w:ascii="Cambria" w:eastAsia="Calibri" w:hAnsi="Cambria"/>
          <w:sz w:val="22"/>
          <w:szCs w:val="22"/>
        </w:rPr>
        <w:t xml:space="preserve">The likelihood of distribution for </w:t>
      </w:r>
      <w:r>
        <w:rPr>
          <w:rFonts w:ascii="Cambria" w:eastAsia="Calibri" w:hAnsi="Cambria"/>
          <w:i/>
          <w:sz w:val="22"/>
          <w:szCs w:val="22"/>
        </w:rPr>
        <w:t>R. auratus</w:t>
      </w:r>
      <w:r>
        <w:rPr>
          <w:rFonts w:ascii="Cambria" w:eastAsia="Calibri" w:hAnsi="Cambria"/>
          <w:sz w:val="22"/>
          <w:szCs w:val="22"/>
        </w:rPr>
        <w:t xml:space="preserve"> and </w:t>
      </w:r>
      <w:r>
        <w:rPr>
          <w:rFonts w:ascii="Cambria" w:eastAsia="Calibri" w:hAnsi="Cambria"/>
          <w:i/>
          <w:sz w:val="22"/>
          <w:szCs w:val="22"/>
        </w:rPr>
        <w:t>R. heros</w:t>
      </w:r>
      <w:r>
        <w:rPr>
          <w:rFonts w:ascii="Cambria" w:eastAsia="Calibri" w:hAnsi="Cambria"/>
          <w:sz w:val="22"/>
          <w:szCs w:val="22"/>
        </w:rPr>
        <w:t xml:space="preserve"> assessed here would be the same as that for </w:t>
      </w:r>
      <w:r>
        <w:rPr>
          <w:rFonts w:ascii="Cambria" w:eastAsia="Calibri" w:hAnsi="Cambria"/>
          <w:i/>
          <w:sz w:val="22"/>
          <w:szCs w:val="22"/>
        </w:rPr>
        <w:t>R. auratus</w:t>
      </w:r>
      <w:r>
        <w:rPr>
          <w:rFonts w:ascii="Cambria" w:eastAsia="Calibri" w:hAnsi="Cambria"/>
          <w:sz w:val="22"/>
          <w:szCs w:val="22"/>
        </w:rPr>
        <w:t xml:space="preserve"> and </w:t>
      </w:r>
      <w:r>
        <w:rPr>
          <w:rFonts w:ascii="Cambria" w:eastAsia="Calibri" w:hAnsi="Cambria"/>
          <w:i/>
          <w:sz w:val="22"/>
          <w:szCs w:val="22"/>
        </w:rPr>
        <w:t>R. heros</w:t>
      </w:r>
      <w:r>
        <w:rPr>
          <w:rFonts w:ascii="Cambria" w:eastAsia="Calibri" w:hAnsi="Cambria"/>
          <w:sz w:val="22"/>
          <w:szCs w:val="22"/>
        </w:rPr>
        <w:t xml:space="preserve"> for apples and pears from China </w:t>
      </w:r>
      <w:r>
        <w:rPr>
          <w:noProof/>
        </w:rPr>
        <w:t>(Biosecurity Australia 2005a, 2010a)</w:t>
      </w:r>
      <w:r>
        <w:t xml:space="preserve">. </w:t>
      </w:r>
      <w:r>
        <w:rPr>
          <w:rFonts w:ascii="Cambria" w:eastAsia="Calibri" w:hAnsi="Cambria"/>
          <w:sz w:val="22"/>
          <w:szCs w:val="22"/>
        </w:rPr>
        <w:t xml:space="preserve">It is considered that </w:t>
      </w:r>
      <w:r>
        <w:rPr>
          <w:rFonts w:ascii="Cambria" w:eastAsia="Calibri" w:hAnsi="Cambria"/>
          <w:i/>
          <w:sz w:val="22"/>
          <w:szCs w:val="22"/>
        </w:rPr>
        <w:t>R. cofragosicollis</w:t>
      </w:r>
      <w:r>
        <w:rPr>
          <w:rFonts w:ascii="Cambria" w:eastAsia="Calibri" w:hAnsi="Cambria"/>
          <w:sz w:val="22"/>
          <w:szCs w:val="22"/>
        </w:rPr>
        <w:t xml:space="preserve"> and </w:t>
      </w:r>
      <w:r>
        <w:rPr>
          <w:rFonts w:ascii="Cambria" w:eastAsia="Calibri" w:hAnsi="Cambria"/>
          <w:i/>
          <w:sz w:val="22"/>
          <w:szCs w:val="22"/>
        </w:rPr>
        <w:t>R. faldermani</w:t>
      </w:r>
      <w:r>
        <w:rPr>
          <w:rFonts w:ascii="Cambria" w:eastAsia="Calibri" w:hAnsi="Cambria"/>
          <w:sz w:val="22"/>
          <w:szCs w:val="22"/>
        </w:rPr>
        <w:t xml:space="preserve"> would have the same likelihood of distribution, that is </w:t>
      </w:r>
      <w:r>
        <w:rPr>
          <w:rFonts w:ascii="Cambria" w:eastAsia="Calibri" w:hAnsi="Cambria"/>
          <w:b/>
          <w:sz w:val="22"/>
          <w:szCs w:val="22"/>
        </w:rPr>
        <w:t>Moderate</w:t>
      </w:r>
      <w:r>
        <w:rPr>
          <w:rFonts w:ascii="Cambria" w:eastAsia="Calibri" w:hAnsi="Cambria"/>
          <w:sz w:val="22"/>
          <w:szCs w:val="22"/>
        </w:rPr>
        <w:t>.</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t xml:space="preserve">The likelihood that </w:t>
      </w:r>
      <w:r>
        <w:rPr>
          <w:i/>
        </w:rPr>
        <w:t>R. auratus</w:t>
      </w:r>
      <w:r>
        <w:t xml:space="preserve">, </w:t>
      </w:r>
      <w:r>
        <w:rPr>
          <w:i/>
        </w:rPr>
        <w:t>R. cofragosicollis</w:t>
      </w:r>
      <w:r>
        <w:t xml:space="preserve">, </w:t>
      </w:r>
      <w:r>
        <w:rPr>
          <w:i/>
        </w:rPr>
        <w:t>R. faldermani</w:t>
      </w:r>
      <w:r>
        <w:t xml:space="preserve"> and </w:t>
      </w:r>
      <w:r>
        <w:rPr>
          <w:i/>
        </w:rPr>
        <w:t xml:space="preserve">R. heros </w:t>
      </w:r>
      <w:r>
        <w:t xml:space="preserve">will enter Australia as a result of trade in nectarines from China and be distributed in a viable state to a susceptible host is: </w:t>
      </w:r>
      <w:r>
        <w:rPr>
          <w:b/>
        </w:rPr>
        <w:t>Very low</w:t>
      </w:r>
      <w:r>
        <w:t>.</w:t>
      </w: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of spread for </w:t>
      </w:r>
      <w:r>
        <w:rPr>
          <w:i/>
        </w:rPr>
        <w:t>R. auratus</w:t>
      </w:r>
      <w:r>
        <w:t xml:space="preserve"> and </w:t>
      </w:r>
      <w:r>
        <w:rPr>
          <w:i/>
        </w:rPr>
        <w:t xml:space="preserve">R. heros </w:t>
      </w:r>
      <w:r>
        <w:t xml:space="preserve">is based on the assessment for apples and pears from China </w:t>
      </w:r>
      <w:r>
        <w:rPr>
          <w:noProof/>
        </w:rPr>
        <w:t>(Biosecurity Australia 2005a, 2010a)</w:t>
      </w:r>
      <w:r>
        <w:t xml:space="preserve">. Those assessments used the same methodology as described in Chapter 2 of this report. It is considered that </w:t>
      </w:r>
      <w:r>
        <w:rPr>
          <w:i/>
        </w:rPr>
        <w:t>R. cofragosicollis</w:t>
      </w:r>
      <w:r>
        <w:t xml:space="preserve"> and </w:t>
      </w:r>
      <w:r>
        <w:rPr>
          <w:i/>
        </w:rPr>
        <w:t>R. faldermani</w:t>
      </w:r>
      <w:r>
        <w:t xml:space="preserve"> would have the same likelihood of establishment and spread. The ratings from the previous assessment are presented below:</w:t>
      </w:r>
    </w:p>
    <w:p w:rsidR="00B8782D" w:rsidRDefault="00B8782D">
      <w:r>
        <w:t>Likelihood of establishment:</w:t>
      </w:r>
      <w:r>
        <w:tab/>
      </w:r>
      <w:r>
        <w:tab/>
      </w:r>
      <w:r>
        <w:rPr>
          <w:b/>
        </w:rPr>
        <w:t>Moderate</w:t>
      </w:r>
    </w:p>
    <w:p w:rsidR="00B8782D" w:rsidRDefault="00B8782D">
      <w:r>
        <w:t>Likelihood of spread:</w:t>
      </w:r>
      <w:r>
        <w:tab/>
      </w:r>
      <w:r>
        <w:tab/>
      </w:r>
      <w:r>
        <w:tab/>
      </w:r>
      <w:r>
        <w:rPr>
          <w:b/>
        </w:rPr>
        <w:t>Moderate</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of establishment and of spread using the matrix of rules shown in Table 2.2.</w:t>
      </w:r>
    </w:p>
    <w:p w:rsidR="00B8782D" w:rsidRDefault="00B8782D">
      <w:r>
        <w:t xml:space="preserve">The likelihood that </w:t>
      </w:r>
      <w:r>
        <w:rPr>
          <w:i/>
        </w:rPr>
        <w:t>R. auratus</w:t>
      </w:r>
      <w:r>
        <w:t xml:space="preserve">, </w:t>
      </w:r>
      <w:r>
        <w:rPr>
          <w:i/>
        </w:rPr>
        <w:t>R. cofragosicollis</w:t>
      </w:r>
      <w:r>
        <w:t xml:space="preserve">, </w:t>
      </w:r>
      <w:r>
        <w:rPr>
          <w:i/>
        </w:rPr>
        <w:t xml:space="preserve">R. faldermani </w:t>
      </w:r>
      <w:r>
        <w:t xml:space="preserve">and </w:t>
      </w:r>
      <w:r>
        <w:rPr>
          <w:i/>
        </w:rPr>
        <w:t xml:space="preserve">R. heros </w:t>
      </w:r>
      <w:r>
        <w:t xml:space="preserve">will enter Australia as a result of trade in nectarines from China, be distributed in a viable state to a susceptible host, establish in Australia and subsequently spread within Australia has been assessed as: </w:t>
      </w:r>
      <w:r>
        <w:rPr>
          <w:b/>
        </w:rPr>
        <w:t>Very Low</w:t>
      </w:r>
      <w:r>
        <w:t>.</w:t>
      </w:r>
    </w:p>
    <w:p w:rsidR="00B8782D" w:rsidRDefault="00B8782D" w:rsidP="00B8782D">
      <w:pPr>
        <w:pStyle w:val="Heading3"/>
        <w:numPr>
          <w:ilvl w:val="2"/>
          <w:numId w:val="20"/>
        </w:numPr>
      </w:pPr>
      <w:r>
        <w:lastRenderedPageBreak/>
        <w:t>Consequences</w:t>
      </w:r>
    </w:p>
    <w:p w:rsidR="00B8782D" w:rsidRDefault="00B8782D">
      <w:r>
        <w:t xml:space="preserve">The consequences of the establishment of </w:t>
      </w:r>
      <w:r>
        <w:rPr>
          <w:i/>
        </w:rPr>
        <w:t xml:space="preserve">R. auratus </w:t>
      </w:r>
      <w:r>
        <w:t xml:space="preserve">and </w:t>
      </w:r>
      <w:r>
        <w:rPr>
          <w:i/>
        </w:rPr>
        <w:t xml:space="preserve">R. heros </w:t>
      </w:r>
      <w:r>
        <w:t xml:space="preserve">in Australia have been estimated previously for apples and pears from China </w:t>
      </w:r>
      <w:r>
        <w:rPr>
          <w:noProof/>
        </w:rPr>
        <w:t>(Biosecurity Australia 2005b, 2010a)</w:t>
      </w:r>
      <w:r>
        <w:t xml:space="preserve">. </w:t>
      </w:r>
      <w:r>
        <w:rPr>
          <w:i/>
        </w:rPr>
        <w:t>Rhynchites cofragosicollis</w:t>
      </w:r>
      <w:r>
        <w:t xml:space="preserve"> and </w:t>
      </w:r>
      <w:r>
        <w:rPr>
          <w:i/>
        </w:rPr>
        <w:t xml:space="preserve">R. faldermani </w:t>
      </w:r>
      <w:r>
        <w:t>are considered to</w:t>
      </w:r>
      <w:r>
        <w:rPr>
          <w:i/>
        </w:rPr>
        <w:t xml:space="preserve"> </w:t>
      </w:r>
      <w:r>
        <w:t xml:space="preserve">have similar impact </w:t>
      </w:r>
      <w:r>
        <w:rPr>
          <w:noProof/>
        </w:rPr>
        <w:t>(Li, Wang &amp; Waterhouse 1997)</w:t>
      </w:r>
      <w:r>
        <w:t xml:space="preserve">. The overall consequences have been estimated to be </w:t>
      </w:r>
      <w:r>
        <w:rPr>
          <w:b/>
        </w:rPr>
        <w:t>Moderate.</w:t>
      </w:r>
    </w:p>
    <w:p w:rsidR="00B8782D" w:rsidRDefault="00B8782D" w:rsidP="00B8782D">
      <w:pPr>
        <w:pStyle w:val="Heading3"/>
        <w:numPr>
          <w:ilvl w:val="2"/>
          <w:numId w:val="20"/>
        </w:numPr>
      </w:pPr>
      <w:r>
        <w:t>Unrestricted risk estimate</w:t>
      </w:r>
    </w:p>
    <w:p w:rsidR="00B8782D" w:rsidRDefault="00B8782D">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pPr>
            <w:r>
              <w:t xml:space="preserve">Unrestricted risk estimate for </w:t>
            </w:r>
            <w:r>
              <w:rPr>
                <w:i/>
              </w:rPr>
              <w:t>R. auratus</w:t>
            </w:r>
            <w:r>
              <w:t xml:space="preserve">, </w:t>
            </w:r>
            <w:r>
              <w:rPr>
                <w:i/>
              </w:rPr>
              <w:t>R. cofragosicollis</w:t>
            </w:r>
            <w:r>
              <w:t>, R</w:t>
            </w:r>
            <w:r>
              <w:rPr>
                <w:i/>
              </w:rPr>
              <w:t>. faldermani</w:t>
            </w:r>
            <w:r>
              <w:t xml:space="preserve"> and </w:t>
            </w:r>
            <w:r>
              <w:rPr>
                <w:i/>
              </w:rPr>
              <w:t>R. heros</w:t>
            </w:r>
          </w:p>
        </w:tc>
      </w:tr>
      <w:tr w:rsidR="00B8782D">
        <w:tc>
          <w:tcPr>
            <w:tcW w:w="6459" w:type="dxa"/>
            <w:shd w:val="clear" w:color="auto" w:fill="auto"/>
          </w:tcPr>
          <w:p w:rsidR="00B8782D" w:rsidRDefault="00B8782D">
            <w:pPr>
              <w:pStyle w:val="TableText"/>
            </w:pPr>
            <w:r>
              <w:t>Overall likelihood of entry, establishment and spread</w:t>
            </w:r>
          </w:p>
        </w:tc>
        <w:tc>
          <w:tcPr>
            <w:tcW w:w="2977" w:type="dxa"/>
            <w:shd w:val="clear" w:color="auto" w:fill="auto"/>
          </w:tcPr>
          <w:p w:rsidR="00B8782D" w:rsidRDefault="00B8782D">
            <w:pPr>
              <w:pStyle w:val="TableText"/>
            </w:pPr>
            <w:r>
              <w:t xml:space="preserve">Very low </w:t>
            </w:r>
          </w:p>
        </w:tc>
      </w:tr>
      <w:tr w:rsidR="00B8782D">
        <w:tc>
          <w:tcPr>
            <w:tcW w:w="6459" w:type="dxa"/>
            <w:shd w:val="clear" w:color="auto" w:fill="auto"/>
          </w:tcPr>
          <w:p w:rsidR="00B8782D" w:rsidRDefault="00B8782D">
            <w:pPr>
              <w:pStyle w:val="TableText"/>
            </w:pPr>
            <w:r>
              <w:t>Consequences</w:t>
            </w:r>
          </w:p>
        </w:tc>
        <w:tc>
          <w:tcPr>
            <w:tcW w:w="2977" w:type="dxa"/>
            <w:shd w:val="clear" w:color="auto" w:fill="auto"/>
          </w:tcPr>
          <w:p w:rsidR="00B8782D" w:rsidRDefault="00B8782D">
            <w:pPr>
              <w:pStyle w:val="TableText"/>
            </w:pPr>
            <w:r>
              <w:t>Moderate</w:t>
            </w:r>
          </w:p>
        </w:tc>
      </w:tr>
      <w:tr w:rsidR="00B8782D">
        <w:tc>
          <w:tcPr>
            <w:tcW w:w="6459" w:type="dxa"/>
            <w:shd w:val="clear" w:color="auto" w:fill="auto"/>
          </w:tcPr>
          <w:p w:rsidR="00B8782D" w:rsidRDefault="00B8782D">
            <w:pPr>
              <w:pStyle w:val="TableText"/>
            </w:pPr>
            <w:r>
              <w:t>Unrestricted risk</w:t>
            </w:r>
          </w:p>
        </w:tc>
        <w:tc>
          <w:tcPr>
            <w:tcW w:w="2977" w:type="dxa"/>
            <w:shd w:val="clear" w:color="auto" w:fill="auto"/>
          </w:tcPr>
          <w:p w:rsidR="00B8782D" w:rsidRDefault="00B8782D">
            <w:pPr>
              <w:pStyle w:val="TableText"/>
            </w:pPr>
            <w:r>
              <w:t>Very Low</w:t>
            </w:r>
          </w:p>
        </w:tc>
      </w:tr>
    </w:tbl>
    <w:p w:rsidR="00B8782D" w:rsidRDefault="00B8782D">
      <w:pPr>
        <w:spacing w:before="180" w:line="280" w:lineRule="atLeast"/>
        <w:sectPr w:rsidR="00B8782D">
          <w:pgSz w:w="11906" w:h="16838"/>
          <w:pgMar w:top="1418" w:right="1418" w:bottom="1418" w:left="1418" w:header="567" w:footer="283" w:gutter="0"/>
          <w:cols w:space="708"/>
          <w:docGrid w:linePitch="360"/>
        </w:sectPr>
      </w:pPr>
      <w:r>
        <w:t>As indicated, the unrestricted risk estimate for R</w:t>
      </w:r>
      <w:r>
        <w:rPr>
          <w:i/>
        </w:rPr>
        <w:t xml:space="preserve">. auratus, R. cofragosicollis, R. faldermani </w:t>
      </w:r>
      <w:r>
        <w:t xml:space="preserve">and </w:t>
      </w:r>
      <w:r>
        <w:rPr>
          <w:i/>
        </w:rPr>
        <w:t>R. heros</w:t>
      </w:r>
      <w:r>
        <w:t xml:space="preserve"> has been assessed as ‘very low’, which achieves Australia’s ALOP. Therefore, no specific risk management measures are required for these pests.</w:t>
      </w:r>
    </w:p>
    <w:p w:rsidR="00B8782D" w:rsidRDefault="00B8782D" w:rsidP="00B8782D">
      <w:pPr>
        <w:pStyle w:val="Heading2"/>
        <w:numPr>
          <w:ilvl w:val="1"/>
          <w:numId w:val="20"/>
        </w:numPr>
      </w:pPr>
      <w:bookmarkStart w:id="51" w:name="_Toc448312497"/>
      <w:r>
        <w:lastRenderedPageBreak/>
        <w:t>Oriental fruit fly</w:t>
      </w:r>
      <w:bookmarkEnd w:id="51"/>
    </w:p>
    <w:p w:rsidR="00B8782D" w:rsidRDefault="00B8782D">
      <w:pPr>
        <w:pStyle w:val="Heading3Nonumber"/>
      </w:pPr>
      <w:r>
        <w:rPr>
          <w:i/>
        </w:rPr>
        <w:t>Bactrocera dorsalis</w:t>
      </w:r>
      <w:r>
        <w:t xml:space="preserve"> (EP)</w:t>
      </w:r>
    </w:p>
    <w:p w:rsidR="00B8782D" w:rsidRDefault="00B8782D">
      <w:r>
        <w:rPr>
          <w:i/>
        </w:rPr>
        <w:t xml:space="preserve">Bactrocera dorsalis </w:t>
      </w:r>
      <w:r>
        <w:t>(Oriental fruit fly) belongs to the Tephritidae family which is a group of pests considered to be among the most damaging pests of horticultural crops.</w:t>
      </w:r>
    </w:p>
    <w:p w:rsidR="00B8782D" w:rsidRDefault="00B8782D">
      <w:r>
        <w:rPr>
          <w:i/>
        </w:rPr>
        <w:t xml:space="preserve">Bactrocera dorsalis </w:t>
      </w:r>
      <w:r>
        <w:rPr>
          <w:iCs/>
        </w:rPr>
        <w:t xml:space="preserve">has four life stages: egg, larva, pupa and adult. </w:t>
      </w:r>
      <w:r>
        <w:t xml:space="preserve">Eggs deposited into the fruit hatch into larvae which feed and develop inside the fruit. There are three larval instars. </w:t>
      </w:r>
      <w:r>
        <w:rPr>
          <w:iCs/>
        </w:rPr>
        <w:t xml:space="preserve">Pupation occurs in the soil under the host plant. Adult fruit flies </w:t>
      </w:r>
      <w:r>
        <w:t xml:space="preserve">are long-lived and have high reproductive rates, </w:t>
      </w:r>
      <w:r>
        <w:rPr>
          <w:iCs/>
        </w:rPr>
        <w:t xml:space="preserve">producing several overlapping generations a year, depending on the temperature </w:t>
      </w:r>
      <w:r>
        <w:rPr>
          <w:noProof/>
        </w:rPr>
        <w:t>(White &amp; Elson-Harris 1992)</w:t>
      </w:r>
      <w:r>
        <w:t>.</w:t>
      </w:r>
    </w:p>
    <w:p w:rsidR="00B8782D" w:rsidRDefault="00B8782D">
      <w:r>
        <w:t xml:space="preserve">The risk scenario of concern for </w:t>
      </w:r>
      <w:r>
        <w:rPr>
          <w:i/>
        </w:rPr>
        <w:t>B. dorsalis</w:t>
      </w:r>
      <w:r>
        <w:t xml:space="preserve"> is the presence of eggs and developing larvae within imported nectarines.</w:t>
      </w:r>
    </w:p>
    <w:p w:rsidR="00B8782D" w:rsidRDefault="00B8782D">
      <w:r>
        <w:rPr>
          <w:i/>
          <w:iCs/>
        </w:rPr>
        <w:t>Bactrocera dorsalis</w:t>
      </w:r>
      <w:r>
        <w:t xml:space="preserve"> was assessed in the existing policy for longans and lychees from China and Thailand </w:t>
      </w:r>
      <w:r>
        <w:rPr>
          <w:noProof/>
        </w:rPr>
        <w:t>(DAFF 2004)</w:t>
      </w:r>
      <w:r>
        <w:t xml:space="preserve">, and mangoes from Taiwan and India </w:t>
      </w:r>
      <w:r>
        <w:rPr>
          <w:noProof/>
        </w:rPr>
        <w:t>(Biosecurity Australia 2006c, 2008)</w:t>
      </w:r>
      <w:r>
        <w:t xml:space="preserve">. Existing policy for </w:t>
      </w:r>
      <w:r>
        <w:rPr>
          <w:i/>
          <w:iCs/>
        </w:rPr>
        <w:t>B. dorsalis</w:t>
      </w:r>
      <w:r>
        <w:t xml:space="preserve"> was also adopted for a</w:t>
      </w:r>
      <w:r>
        <w:rPr>
          <w:iCs/>
        </w:rPr>
        <w:t xml:space="preserve">pples and table grapes from China </w:t>
      </w:r>
      <w:r>
        <w:rPr>
          <w:iCs/>
          <w:noProof/>
        </w:rPr>
        <w:t>(Biosecurity Australia 2010a, 2011)</w:t>
      </w:r>
      <w:r>
        <w:rPr>
          <w:iCs/>
        </w:rPr>
        <w:t>.</w:t>
      </w:r>
      <w:r>
        <w:t xml:space="preserve"> The assessment of </w:t>
      </w:r>
      <w:r>
        <w:rPr>
          <w:i/>
          <w:iCs/>
        </w:rPr>
        <w:t>B. dorsalis</w:t>
      </w:r>
      <w:r>
        <w:t xml:space="preserve"> presented here builds on these previous assessments.</w:t>
      </w:r>
    </w:p>
    <w:p w:rsidR="00B8782D" w:rsidRDefault="00B8782D">
      <w:r>
        <w:t xml:space="preserve">Differences in the commodity, horticultural practices, climatic conditions, and the prevalence of </w:t>
      </w:r>
      <w:r>
        <w:rPr>
          <w:i/>
          <w:iCs/>
        </w:rPr>
        <w:t xml:space="preserve">B. dorsalis </w:t>
      </w:r>
      <w:r>
        <w:t xml:space="preserve">between previous export areas (India, the Philippines, Taiwan and Thailand) and China make it necessary to reassess the likelihood that </w:t>
      </w:r>
      <w:r>
        <w:rPr>
          <w:i/>
          <w:iCs/>
        </w:rPr>
        <w:t xml:space="preserve">B. dorsalis </w:t>
      </w:r>
      <w:r>
        <w:t>will be imported into Australia with nectarines from China.</w:t>
      </w:r>
    </w:p>
    <w:p w:rsidR="00B8782D" w:rsidRDefault="00B8782D">
      <w:r>
        <w:t>Fresh nectarine fruit is expected to be imported from China from May to October which is similar to the timing of the import of apples, table grapes, longans and lychees from China, mangoes from Taiwan and India and longan and lychee from Thailand. After importation, nectarines will be distributed throughout Australia for retail sale in a similar way to apples, table grapes, mangoes, longans and lychees. Therefore, it is considered unnecessary to reassess the likelihood of distribution.</w:t>
      </w:r>
    </w:p>
    <w:p w:rsidR="00B8782D" w:rsidRDefault="00B8782D">
      <w:r>
        <w:t xml:space="preserve">The likelihood of establishment and spread of </w:t>
      </w:r>
      <w:r>
        <w:rPr>
          <w:i/>
          <w:iCs/>
        </w:rPr>
        <w:t>B. dorsalis</w:t>
      </w:r>
      <w:r>
        <w:t xml:space="preserve"> in Australia will be comparable regardless of the fresh fruit commodity in which </w:t>
      </w:r>
      <w:r>
        <w:rPr>
          <w:i/>
          <w:iCs/>
        </w:rPr>
        <w:t>B. dorsalis</w:t>
      </w:r>
      <w:r>
        <w:t xml:space="preserve"> is imported into Australia, as these likelihoods relate specifically to events that occur in Australia and are independent of the importation pathway. The consequences of </w:t>
      </w:r>
      <w:r>
        <w:rPr>
          <w:i/>
          <w:iCs/>
        </w:rPr>
        <w:t>B. dorsalis</w:t>
      </w:r>
      <w:r>
        <w:t xml:space="preserve"> are also independent of the importation pathway. Accordingly, there is no need to reassess these components of the risk.</w:t>
      </w:r>
    </w:p>
    <w:p w:rsidR="00B8782D" w:rsidRDefault="00B8782D">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w:t>
      </w:r>
      <w:r>
        <w:rPr>
          <w:i/>
          <w:iCs/>
        </w:rPr>
        <w:t>B. dorsalis</w:t>
      </w:r>
      <w:r>
        <w:t xml:space="preserve"> in the existing policies for longans and lychees from China and Thailand </w:t>
      </w:r>
      <w:r>
        <w:rPr>
          <w:noProof/>
        </w:rPr>
        <w:t>(DAFF 2004)</w:t>
      </w:r>
      <w:r>
        <w:t xml:space="preserve">, mangoes from Taiwan and India </w:t>
      </w:r>
      <w:r>
        <w:rPr>
          <w:noProof/>
        </w:rPr>
        <w:t>(Biosecurity Australia 2006c, 2008)</w:t>
      </w:r>
      <w:r>
        <w:t>, and a</w:t>
      </w:r>
      <w:r>
        <w:rPr>
          <w:iCs/>
        </w:rPr>
        <w:t xml:space="preserve">pples and table grapes from China </w:t>
      </w:r>
      <w:r>
        <w:rPr>
          <w:iCs/>
          <w:noProof/>
        </w:rPr>
        <w:t>(Biosecurity Australia 2010a, 2011)</w:t>
      </w:r>
      <w:r>
        <w:t>. Therefore, those risk ratings will be adopted for this assessment.</w:t>
      </w:r>
    </w:p>
    <w:p w:rsidR="00B8782D" w:rsidRDefault="00B8782D" w:rsidP="00B8782D">
      <w:pPr>
        <w:pStyle w:val="Heading3"/>
        <w:numPr>
          <w:ilvl w:val="2"/>
          <w:numId w:val="20"/>
        </w:numPr>
      </w:pPr>
      <w:r>
        <w:lastRenderedPageBreak/>
        <w:t>Likelihood of entry</w:t>
      </w:r>
    </w:p>
    <w:p w:rsidR="00B8782D" w:rsidRDefault="00B8782D">
      <w:pPr>
        <w:rPr>
          <w:b/>
        </w:rPr>
      </w:pPr>
      <w:r>
        <w:t>The likelihood of entry is considered in two parts, the likelihood of importation and the likelihood of distribution, which consider pre-border and post-border issues, respectively.</w:t>
      </w:r>
    </w:p>
    <w:p w:rsidR="00B8782D" w:rsidRDefault="00B8782D">
      <w:pPr>
        <w:pStyle w:val="Heading4"/>
      </w:pPr>
      <w:r>
        <w:t>Likelihood of importation</w:t>
      </w:r>
    </w:p>
    <w:p w:rsidR="00B8782D" w:rsidRDefault="00B8782D">
      <w:r>
        <w:t xml:space="preserve">The likelihood that </w:t>
      </w:r>
      <w:r>
        <w:rPr>
          <w:i/>
          <w:iCs/>
        </w:rPr>
        <w:t xml:space="preserve">Bactrocera dorsalis </w:t>
      </w:r>
      <w:r>
        <w:t xml:space="preserve">will arrive in Australia with the importation of fresh nectarines from China is: </w:t>
      </w:r>
      <w:r>
        <w:rPr>
          <w:b/>
        </w:rPr>
        <w:t>High</w:t>
      </w:r>
      <w:r>
        <w:t>.</w:t>
      </w:r>
    </w:p>
    <w:p w:rsidR="00B8782D" w:rsidRDefault="00B8782D">
      <w:r>
        <w:t>The following information provides supporting evidence for this assessment.</w:t>
      </w:r>
    </w:p>
    <w:p w:rsidR="00B8782D" w:rsidRDefault="00B8782D">
      <w:pPr>
        <w:pStyle w:val="ListBullet"/>
      </w:pPr>
      <w:r>
        <w:rPr>
          <w:i/>
        </w:rPr>
        <w:t>Bactrocera dorsalis</w:t>
      </w:r>
      <w:r>
        <w:t xml:space="preserve"> has a wide host range and peach and nectarine are major hosts </w:t>
      </w:r>
      <w:r>
        <w:rPr>
          <w:noProof/>
        </w:rPr>
        <w:t>(CABI 2015)</w:t>
      </w:r>
      <w:r>
        <w:t>.</w:t>
      </w:r>
    </w:p>
    <w:p w:rsidR="00B8782D" w:rsidRDefault="00B8782D" w:rsidP="001823C4">
      <w:pPr>
        <w:pStyle w:val="ListBullet"/>
      </w:pPr>
      <w:r>
        <w:rPr>
          <w:i/>
        </w:rPr>
        <w:t>Bactrocera dorsalis</w:t>
      </w:r>
      <w:r>
        <w:t xml:space="preserve"> is widespread in tropical Asia and is widespread in central, east, south and southwest regions of China </w:t>
      </w:r>
      <w:r>
        <w:rPr>
          <w:noProof/>
        </w:rPr>
        <w:t>(Yang 1988)</w:t>
      </w:r>
      <w:r>
        <w:t>.</w:t>
      </w:r>
    </w:p>
    <w:p w:rsidR="00B8782D" w:rsidRDefault="00B8782D" w:rsidP="00024206">
      <w:pPr>
        <w:pStyle w:val="ListBullet"/>
      </w:pPr>
      <w:r>
        <w:t xml:space="preserve">Studies indicate that the northernmost distribution of </w:t>
      </w:r>
      <w:r w:rsidRPr="001823C4">
        <w:rPr>
          <w:i/>
        </w:rPr>
        <w:t>B. dorsalis</w:t>
      </w:r>
      <w:r>
        <w:t xml:space="preserve"> distribution in China that would support permanent populations is 30 </w:t>
      </w:r>
      <w:r w:rsidRPr="001823C4">
        <w:rPr>
          <w:rFonts w:cs="Times"/>
        </w:rPr>
        <w:t xml:space="preserve">± </w:t>
      </w:r>
      <w:r>
        <w:t xml:space="preserve">2 degrees north latitude </w:t>
      </w:r>
      <w:r>
        <w:rPr>
          <w:noProof/>
        </w:rPr>
        <w:t>(Hou &amp; Zhang 2005; Wu 2005; Yang, Carey &amp; Dowell 1994)</w:t>
      </w:r>
      <w:r>
        <w:t xml:space="preserve"> including some of China’s major peach and nectarine production areas</w:t>
      </w:r>
      <w:r>
        <w:fldChar w:fldCharType="begin"/>
      </w:r>
      <w:r>
        <w:instrText xml:space="preserve"> QUOTE "" </w:instrText>
      </w:r>
      <w:r w:rsidRPr="001823C4">
        <w:rPr>
          <w:vanish/>
        </w:rPr>
        <w:fldChar w:fldCharType="begin"/>
      </w:r>
      <w:r w:rsidRPr="001823C4">
        <w:rPr>
          <w:vanish/>
        </w:rPr>
        <w:instrText xml:space="preserve"> ADDIN PROCITE ÿ\11\05‘\19\02\00\00\00\00\01\00\00\05\05\00\00EJ:\5CPlant\5CPublications\5CProject C Publications\5CProject_C_References.pdt\0DWu 2005 #1307\01\02\00\02\00àà\00\00\00¿H\00P;\14\00\14\00\00\00\01\00\00\00\00\00\00\00\00\00\00\00\10\00\00\00\00\00\00\00\0B\00\00\00\00\00\00ºI_ð\1FÌ\00\01\00\00\00\01\00\00\00\00\00\00\00tò\12\00€ÖX\00ÿÿÿÿ </w:instrText>
      </w:r>
      <w:r w:rsidRPr="001823C4">
        <w:rPr>
          <w:vanish/>
        </w:rPr>
        <w:fldChar w:fldCharType="end"/>
      </w:r>
      <w:r>
        <w:fldChar w:fldCharType="end"/>
      </w:r>
      <w:r>
        <w:t xml:space="preserve">. It has been reported to infest peach in Yunnan, Guangxi and Guangzhou area of Guangdong province </w:t>
      </w:r>
      <w:r>
        <w:rPr>
          <w:noProof/>
        </w:rPr>
        <w:t>(Chen &amp; Ye 2007; Yang 1988)</w:t>
      </w:r>
      <w:r>
        <w:t>.</w:t>
      </w:r>
    </w:p>
    <w:p w:rsidR="00B8782D" w:rsidRDefault="00B8782D">
      <w:pPr>
        <w:pStyle w:val="ListBullet"/>
      </w:pPr>
      <w:r>
        <w:rPr>
          <w:i/>
        </w:rPr>
        <w:t xml:space="preserve">Bactrocera dorsalis </w:t>
      </w:r>
      <w:r>
        <w:t xml:space="preserve">infestations can occur throughout the year in southern provinces and only seasonally in the northern region of China </w:t>
      </w:r>
      <w:r>
        <w:rPr>
          <w:noProof/>
        </w:rPr>
        <w:t>(Chen, Ye &amp; Liu 2006)</w:t>
      </w:r>
      <w:r>
        <w:t xml:space="preserve">. Females deposit eggs beneath the skin of host fruit and after hatching the larvae feed within the fruit until they are ready to pupate </w:t>
      </w:r>
      <w:r>
        <w:rPr>
          <w:noProof/>
        </w:rPr>
        <w:t>(Chen, Ye &amp; Liu 2006; Dhillon et al. 2005)</w:t>
      </w:r>
      <w:r>
        <w:t>.</w:t>
      </w:r>
    </w:p>
    <w:p w:rsidR="00B8782D" w:rsidRDefault="00B8782D">
      <w:pPr>
        <w:pStyle w:val="ListBullet"/>
      </w:pPr>
      <w:r>
        <w:t>Infested fruit may show obvious signs of attack or tissue decay. Such fruit will be removed during sorting, packing and quality inspection procedures.</w:t>
      </w:r>
    </w:p>
    <w:p w:rsidR="00B8782D" w:rsidRDefault="00B8782D">
      <w:pPr>
        <w:pStyle w:val="ListBullet"/>
      </w:pPr>
      <w:r>
        <w:t>However, newly infested fruit may not be distinguished from un-infested fruit. Such fruit is unlikely to be detected during sorting, packing and quality inspection procedures due to the absence of visual blemishes, bruising or damage to the skin; eggs and/or larvae are likely to escape detection.</w:t>
      </w:r>
    </w:p>
    <w:p w:rsidR="00B8782D" w:rsidRDefault="00B8782D">
      <w:pPr>
        <w:pStyle w:val="ListBullet"/>
      </w:pPr>
      <w:r>
        <w:t xml:space="preserve">Juvenile life stages are likely to survive the cold transportation to Australia from China as they are able to survive extended periods of cold </w:t>
      </w:r>
      <w:r>
        <w:rPr>
          <w:noProof/>
        </w:rPr>
        <w:t>(USDA 2010)</w:t>
      </w:r>
      <w:r>
        <w:t>.</w:t>
      </w:r>
    </w:p>
    <w:p w:rsidR="00B8782D" w:rsidRDefault="00B8782D">
      <w:r>
        <w:rPr>
          <w:i/>
        </w:rPr>
        <w:t xml:space="preserve">Bactrocera dorsalis </w:t>
      </w:r>
      <w:r>
        <w:t xml:space="preserve">is present in some of the major peach and nectarine production regions. Peach and nectarine are major hosts of </w:t>
      </w:r>
      <w:r>
        <w:rPr>
          <w:i/>
        </w:rPr>
        <w:t>B. dorsalis</w:t>
      </w:r>
      <w:r>
        <w:t>. Newly infested fruit may not be distinguished from un-infested fruit and such fruit is unlikely to be detected during sorting, packing and quality inspection procedures. The eggs and larvae are likely to survive the cold storage and transportation. This information supports a likelihood estimate for importation of ‘high’.</w:t>
      </w:r>
    </w:p>
    <w:p w:rsidR="00B8782D" w:rsidRDefault="00B8782D">
      <w:pPr>
        <w:pStyle w:val="Heading4"/>
      </w:pPr>
      <w:r>
        <w:t>Likelihood of distribution</w:t>
      </w:r>
    </w:p>
    <w:p w:rsidR="00B8782D" w:rsidRDefault="00B8782D">
      <w:r>
        <w:t xml:space="preserve">The likelihood of distribution for </w:t>
      </w:r>
      <w:r>
        <w:rPr>
          <w:i/>
        </w:rPr>
        <w:t>B. dorsalis</w:t>
      </w:r>
      <w:r>
        <w:t xml:space="preserve"> assessed here would be the same as that for </w:t>
      </w:r>
      <w:r>
        <w:rPr>
          <w:i/>
        </w:rPr>
        <w:t xml:space="preserve">B. dorsalis </w:t>
      </w:r>
      <w:r>
        <w:t xml:space="preserve">for longans and lychees from China and Thailand </w:t>
      </w:r>
      <w:r>
        <w:rPr>
          <w:noProof/>
        </w:rPr>
        <w:t>(DAFF 2004)</w:t>
      </w:r>
      <w:r>
        <w:t xml:space="preserve">, mangoes from Taiwan and India </w:t>
      </w:r>
      <w:r>
        <w:rPr>
          <w:noProof/>
        </w:rPr>
        <w:t>(Biosecurity Australia 2006c, 2008)</w:t>
      </w:r>
      <w:r>
        <w:t>, and a</w:t>
      </w:r>
      <w:r>
        <w:rPr>
          <w:iCs/>
        </w:rPr>
        <w:t xml:space="preserve">pples and table grapes from China </w:t>
      </w:r>
      <w:r>
        <w:rPr>
          <w:iCs/>
          <w:noProof/>
        </w:rPr>
        <w:t>(Biosecurity Australia 2010a, 2011)</w:t>
      </w:r>
      <w:r>
        <w:t xml:space="preserve">, that is </w:t>
      </w:r>
      <w:r>
        <w:rPr>
          <w:b/>
        </w:rPr>
        <w:t>High.</w:t>
      </w:r>
    </w:p>
    <w:p w:rsidR="00B8782D" w:rsidRDefault="00B8782D">
      <w:pPr>
        <w:pStyle w:val="Heading4"/>
      </w:pPr>
      <w:r>
        <w:lastRenderedPageBreak/>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t xml:space="preserve">The likelihood that </w:t>
      </w:r>
      <w:r>
        <w:rPr>
          <w:i/>
        </w:rPr>
        <w:t>B. dorsalis</w:t>
      </w:r>
      <w:r>
        <w:t xml:space="preserve"> will enter Australia as a result of trade in nectarines from China and be distributed in a viable state to a susceptible host is: </w:t>
      </w:r>
      <w:r>
        <w:rPr>
          <w:b/>
        </w:rPr>
        <w:t>High</w:t>
      </w:r>
      <w:r>
        <w:t>.</w:t>
      </w: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of spread for </w:t>
      </w:r>
      <w:r>
        <w:rPr>
          <w:i/>
          <w:iCs/>
        </w:rPr>
        <w:t xml:space="preserve">Bactrocera dorsalis </w:t>
      </w:r>
      <w:r>
        <w:t xml:space="preserve">is based on the assessment for longans and lychees from China and Thailand </w:t>
      </w:r>
      <w:r>
        <w:rPr>
          <w:noProof/>
        </w:rPr>
        <w:t>(DAFF 2004)</w:t>
      </w:r>
      <w:r>
        <w:t xml:space="preserve">, mangoes from Taiwan and India </w:t>
      </w:r>
      <w:r>
        <w:rPr>
          <w:noProof/>
        </w:rPr>
        <w:t>(Biosecurity Australia 2006c, 2008)</w:t>
      </w:r>
      <w:r>
        <w:t>, and a</w:t>
      </w:r>
      <w:r>
        <w:rPr>
          <w:iCs/>
        </w:rPr>
        <w:t xml:space="preserve">pples and table grapes from China </w:t>
      </w:r>
      <w:r>
        <w:rPr>
          <w:iCs/>
          <w:noProof/>
        </w:rPr>
        <w:t>(Biosecurity Australia 2010a, 2011)</w:t>
      </w:r>
      <w:r>
        <w:t>. The ratings from the previous assessments are presented below:</w:t>
      </w:r>
    </w:p>
    <w:p w:rsidR="00B8782D" w:rsidRDefault="00B8782D">
      <w:r>
        <w:t>Likelihood of establishment:</w:t>
      </w:r>
      <w:r>
        <w:tab/>
      </w:r>
      <w:r>
        <w:tab/>
      </w:r>
      <w:r>
        <w:rPr>
          <w:b/>
        </w:rPr>
        <w:t>High</w:t>
      </w:r>
    </w:p>
    <w:p w:rsidR="00B8782D" w:rsidRDefault="00B8782D">
      <w:r>
        <w:t>Likelihood of spread:</w:t>
      </w:r>
      <w:r>
        <w:tab/>
      </w:r>
      <w:r>
        <w:tab/>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establishment and spread using the matrix of rules shown in Table 2.2.</w:t>
      </w:r>
    </w:p>
    <w:p w:rsidR="00B8782D" w:rsidRDefault="00B8782D">
      <w:r>
        <w:t xml:space="preserve">The likelihood that </w:t>
      </w:r>
      <w:r>
        <w:rPr>
          <w:i/>
          <w:iCs/>
        </w:rPr>
        <w:t xml:space="preserve">Bactrocera dorsalis </w:t>
      </w:r>
      <w:r>
        <w:t xml:space="preserve">will enter Australia as a result of trade in nectarines from China, be distributed in a viable state to a susceptible host, establish in Australia and subsequently spread within Australia has been assessed as: </w:t>
      </w:r>
      <w:r>
        <w:rPr>
          <w:b/>
        </w:rPr>
        <w:t>High</w:t>
      </w:r>
      <w:r>
        <w:t>.</w:t>
      </w:r>
    </w:p>
    <w:p w:rsidR="00B8782D" w:rsidRDefault="00B8782D" w:rsidP="00B8782D">
      <w:pPr>
        <w:pStyle w:val="Heading3"/>
        <w:numPr>
          <w:ilvl w:val="2"/>
          <w:numId w:val="20"/>
        </w:numPr>
      </w:pPr>
      <w:r>
        <w:t>Consequences</w:t>
      </w:r>
    </w:p>
    <w:p w:rsidR="00B8782D" w:rsidRDefault="00B8782D">
      <w:r>
        <w:t xml:space="preserve">The consequences of the establishment of </w:t>
      </w:r>
      <w:r>
        <w:rPr>
          <w:i/>
          <w:iCs/>
        </w:rPr>
        <w:t xml:space="preserve">Bactrocera dorsalis </w:t>
      </w:r>
      <w:r>
        <w:t xml:space="preserve">in Australia have been estimated previously as high for longans and lychees from China and Thailand </w:t>
      </w:r>
      <w:r>
        <w:rPr>
          <w:noProof/>
        </w:rPr>
        <w:t>(DAFF 2004)</w:t>
      </w:r>
      <w:r>
        <w:t xml:space="preserve">, mangoes from Taiwan and India </w:t>
      </w:r>
      <w:r>
        <w:rPr>
          <w:noProof/>
        </w:rPr>
        <w:t>(Biosecurity Australia 2006c, 2008)</w:t>
      </w:r>
      <w:r>
        <w:t>, and a</w:t>
      </w:r>
      <w:r>
        <w:rPr>
          <w:iCs/>
        </w:rPr>
        <w:t xml:space="preserve">pples and table grapes from China </w:t>
      </w:r>
      <w:r>
        <w:rPr>
          <w:iCs/>
          <w:noProof/>
        </w:rPr>
        <w:t>(Biosecurity Australia 2010a, 2011)</w:t>
      </w:r>
      <w:r>
        <w:t xml:space="preserve">. The overall consequences have been estimated to be </w:t>
      </w:r>
      <w:r>
        <w:rPr>
          <w:b/>
        </w:rPr>
        <w:t>High</w:t>
      </w:r>
      <w:r>
        <w:t>.</w:t>
      </w:r>
    </w:p>
    <w:p w:rsidR="00B8782D" w:rsidRDefault="00B8782D" w:rsidP="00B8782D">
      <w:pPr>
        <w:pStyle w:val="Heading3"/>
        <w:numPr>
          <w:ilvl w:val="2"/>
          <w:numId w:val="20"/>
        </w:numPr>
      </w:pPr>
      <w:r>
        <w:t>Unrestricted risk estimate</w:t>
      </w:r>
    </w:p>
    <w:p w:rsidR="00B8782D" w:rsidRDefault="00B8782D">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pPr>
            <w:r>
              <w:t xml:space="preserve">Unrestricted risk estimate for </w:t>
            </w:r>
            <w:r>
              <w:rPr>
                <w:i/>
                <w:iCs/>
                <w:szCs w:val="16"/>
              </w:rPr>
              <w:t>Bactrocera dorsalis</w:t>
            </w:r>
          </w:p>
        </w:tc>
      </w:tr>
      <w:tr w:rsidR="00B8782D">
        <w:tc>
          <w:tcPr>
            <w:tcW w:w="6459" w:type="dxa"/>
            <w:shd w:val="clear" w:color="auto" w:fill="auto"/>
          </w:tcPr>
          <w:p w:rsidR="00B8782D" w:rsidRDefault="00B8782D">
            <w:pPr>
              <w:pStyle w:val="TableText"/>
            </w:pPr>
            <w:r>
              <w:t>Overall likelihood of entry, establishment and spread</w:t>
            </w:r>
          </w:p>
        </w:tc>
        <w:tc>
          <w:tcPr>
            <w:tcW w:w="2977" w:type="dxa"/>
            <w:shd w:val="clear" w:color="auto" w:fill="auto"/>
          </w:tcPr>
          <w:p w:rsidR="00B8782D" w:rsidRDefault="00B8782D">
            <w:pPr>
              <w:pStyle w:val="TableText"/>
            </w:pPr>
            <w:r>
              <w:t>High</w:t>
            </w:r>
          </w:p>
        </w:tc>
      </w:tr>
      <w:tr w:rsidR="00B8782D">
        <w:tc>
          <w:tcPr>
            <w:tcW w:w="6459" w:type="dxa"/>
            <w:shd w:val="clear" w:color="auto" w:fill="auto"/>
          </w:tcPr>
          <w:p w:rsidR="00B8782D" w:rsidRDefault="00B8782D">
            <w:pPr>
              <w:pStyle w:val="TableText"/>
            </w:pPr>
            <w:r>
              <w:t>Consequences</w:t>
            </w:r>
          </w:p>
        </w:tc>
        <w:tc>
          <w:tcPr>
            <w:tcW w:w="2977" w:type="dxa"/>
            <w:shd w:val="clear" w:color="auto" w:fill="auto"/>
          </w:tcPr>
          <w:p w:rsidR="00B8782D" w:rsidRDefault="00B8782D">
            <w:pPr>
              <w:pStyle w:val="TableText"/>
            </w:pPr>
            <w:r>
              <w:t>High</w:t>
            </w:r>
          </w:p>
        </w:tc>
      </w:tr>
      <w:tr w:rsidR="00B8782D">
        <w:tc>
          <w:tcPr>
            <w:tcW w:w="6459" w:type="dxa"/>
            <w:shd w:val="clear" w:color="auto" w:fill="auto"/>
          </w:tcPr>
          <w:p w:rsidR="00B8782D" w:rsidRDefault="00B8782D">
            <w:pPr>
              <w:pStyle w:val="TableText"/>
            </w:pPr>
            <w:r>
              <w:t>Unrestricted risk</w:t>
            </w:r>
          </w:p>
        </w:tc>
        <w:tc>
          <w:tcPr>
            <w:tcW w:w="2977" w:type="dxa"/>
            <w:shd w:val="clear" w:color="auto" w:fill="auto"/>
          </w:tcPr>
          <w:p w:rsidR="00B8782D" w:rsidRDefault="00B8782D">
            <w:pPr>
              <w:pStyle w:val="TableText"/>
            </w:pPr>
            <w:r>
              <w:t>High</w:t>
            </w:r>
          </w:p>
        </w:tc>
      </w:tr>
    </w:tbl>
    <w:p w:rsidR="00B8782D" w:rsidRDefault="00B8782D">
      <w:pPr>
        <w:spacing w:before="180" w:line="280" w:lineRule="atLeast"/>
        <w:sectPr w:rsidR="00B8782D">
          <w:pgSz w:w="11906" w:h="16838"/>
          <w:pgMar w:top="1418" w:right="1418" w:bottom="1418" w:left="1418" w:header="567" w:footer="283" w:gutter="0"/>
          <w:cols w:space="708"/>
          <w:docGrid w:linePitch="360"/>
        </w:sectPr>
      </w:pPr>
      <w:r>
        <w:t xml:space="preserve">As indicated, the unrestricted risk estimate for </w:t>
      </w:r>
      <w:r>
        <w:rPr>
          <w:i/>
        </w:rPr>
        <w:t>Bactrocera dorsalis</w:t>
      </w:r>
      <w:r>
        <w:t xml:space="preserve"> has been assessed as ‘high’, which is above Australia’s ALOP. Therefore, specific risk management measures are required for this pest.</w:t>
      </w:r>
    </w:p>
    <w:p w:rsidR="00B8782D" w:rsidRDefault="00B8782D" w:rsidP="00B8782D">
      <w:pPr>
        <w:pStyle w:val="Heading2"/>
        <w:numPr>
          <w:ilvl w:val="1"/>
          <w:numId w:val="20"/>
        </w:numPr>
      </w:pPr>
      <w:bookmarkStart w:id="52" w:name="_Toc448312498"/>
      <w:r>
        <w:lastRenderedPageBreak/>
        <w:t>Guava fruit fly</w:t>
      </w:r>
      <w:bookmarkEnd w:id="52"/>
    </w:p>
    <w:p w:rsidR="00B8782D" w:rsidRDefault="00B8782D">
      <w:pPr>
        <w:pStyle w:val="Heading3Nonumber"/>
      </w:pPr>
      <w:r>
        <w:rPr>
          <w:i/>
        </w:rPr>
        <w:t>Bactrocera correcta</w:t>
      </w:r>
      <w:r>
        <w:t xml:space="preserve"> (EP)</w:t>
      </w:r>
    </w:p>
    <w:p w:rsidR="00B8782D" w:rsidRDefault="00B8782D">
      <w:r>
        <w:rPr>
          <w:i/>
        </w:rPr>
        <w:t xml:space="preserve">Bactrocera correcta </w:t>
      </w:r>
      <w:r>
        <w:t>(guava fruit fly) belongs to the Tephritidae family which is a group considered to be among the most damaging pests of horticultural crops.</w:t>
      </w:r>
    </w:p>
    <w:p w:rsidR="00B8782D" w:rsidRDefault="00B8782D">
      <w:r>
        <w:rPr>
          <w:i/>
        </w:rPr>
        <w:t>Bactrocera correcta</w:t>
      </w:r>
      <w:r>
        <w:t xml:space="preserve"> </w:t>
      </w:r>
      <w:r>
        <w:rPr>
          <w:iCs/>
        </w:rPr>
        <w:t xml:space="preserve">has four life stages: egg, larva, pupa and adult. </w:t>
      </w:r>
      <w:r>
        <w:t xml:space="preserve">Eggs deposited into the fruit hatch into larvae which feed and develop inside the fruit. There are three larval instars. </w:t>
      </w:r>
      <w:r>
        <w:rPr>
          <w:iCs/>
        </w:rPr>
        <w:t xml:space="preserve">Pupation occurs in the soil under the host plant. Adult fruit flies </w:t>
      </w:r>
      <w:r>
        <w:t xml:space="preserve">are long-lived and have high reproductive rates, </w:t>
      </w:r>
      <w:r>
        <w:rPr>
          <w:iCs/>
        </w:rPr>
        <w:t xml:space="preserve">producing several overlapping generations a year, depending on the temperature </w:t>
      </w:r>
      <w:r>
        <w:rPr>
          <w:noProof/>
        </w:rPr>
        <w:t>(White &amp; Elson-Harris 1992)</w:t>
      </w:r>
      <w:r>
        <w:t>.</w:t>
      </w:r>
    </w:p>
    <w:p w:rsidR="00B8782D" w:rsidRDefault="00B8782D">
      <w:r>
        <w:t xml:space="preserve">The risk scenario of concern for </w:t>
      </w:r>
      <w:r>
        <w:rPr>
          <w:i/>
        </w:rPr>
        <w:t>B. correcta </w:t>
      </w:r>
      <w:r>
        <w:t>is the presence of eggs and developing larvae within imported nectarines.</w:t>
      </w:r>
    </w:p>
    <w:p w:rsidR="00B8782D" w:rsidRDefault="00B8782D">
      <w:r>
        <w:rPr>
          <w:i/>
          <w:iCs/>
        </w:rPr>
        <w:t>Bactrocera correcta</w:t>
      </w:r>
      <w:r>
        <w:rPr>
          <w:iCs/>
        </w:rPr>
        <w:t xml:space="preserve"> was assessed in the existing policy for mangoes from India </w:t>
      </w:r>
      <w:r>
        <w:rPr>
          <w:noProof/>
        </w:rPr>
        <w:t>(Biosecurity Australia 2008)</w:t>
      </w:r>
      <w:r>
        <w:t xml:space="preserve">. The assessment of </w:t>
      </w:r>
      <w:r>
        <w:rPr>
          <w:i/>
          <w:iCs/>
        </w:rPr>
        <w:t>Bactrocera correcta</w:t>
      </w:r>
      <w:r>
        <w:rPr>
          <w:iCs/>
        </w:rPr>
        <w:t xml:space="preserve"> </w:t>
      </w:r>
      <w:r>
        <w:t>presented here builds on this previous assessment.</w:t>
      </w:r>
    </w:p>
    <w:p w:rsidR="00B8782D" w:rsidRDefault="00B8782D">
      <w:r>
        <w:t xml:space="preserve">Differences in the commodity, horticultural practices, climatic conditions, and the prevalence of </w:t>
      </w:r>
      <w:r>
        <w:rPr>
          <w:i/>
          <w:iCs/>
        </w:rPr>
        <w:t xml:space="preserve">B. correcta </w:t>
      </w:r>
      <w:r>
        <w:t xml:space="preserve">between previous export areas (India) and China make it necessary to reassess the likelihood that </w:t>
      </w:r>
      <w:r>
        <w:rPr>
          <w:i/>
          <w:iCs/>
        </w:rPr>
        <w:t xml:space="preserve">B. </w:t>
      </w:r>
      <w:r>
        <w:rPr>
          <w:i/>
        </w:rPr>
        <w:t>correcta</w:t>
      </w:r>
      <w:r>
        <w:t xml:space="preserve"> will be imported into Australia with nectarines from China.</w:t>
      </w:r>
    </w:p>
    <w:p w:rsidR="00B8782D" w:rsidRDefault="00B8782D">
      <w:r>
        <w:t>Fresh nectarine fruit is expected to be imported from China from May to October which is similar to the timing of the import of mangoes from India. After importation, nectarines will be distributed throughout Australia for retail sale in a similar way to mangoes from India. Therefore, it is considered unnecessary to reassess the likelihood of distribution.</w:t>
      </w:r>
    </w:p>
    <w:p w:rsidR="00B8782D" w:rsidRDefault="00B8782D">
      <w:r>
        <w:t xml:space="preserve">The likelihood of establishment and spread of </w:t>
      </w:r>
      <w:r>
        <w:rPr>
          <w:i/>
          <w:iCs/>
        </w:rPr>
        <w:t xml:space="preserve">B. correcta </w:t>
      </w:r>
      <w:r>
        <w:t xml:space="preserve">in Australia will be comparable regardless of the fresh fruit commodity in which </w:t>
      </w:r>
      <w:r>
        <w:rPr>
          <w:i/>
          <w:iCs/>
        </w:rPr>
        <w:t xml:space="preserve">B. correcta </w:t>
      </w:r>
      <w:r>
        <w:t xml:space="preserve">is imported into Australia, as these likelihoods relate specifically to events that occur in Australia and are independent of the importation pathway. The consequences of </w:t>
      </w:r>
      <w:r>
        <w:rPr>
          <w:i/>
          <w:iCs/>
        </w:rPr>
        <w:t xml:space="preserve">B. correcta </w:t>
      </w:r>
      <w:r>
        <w:t>are also independent of the importation pathway. Accordingly, there is no need to reassess these components of the risk.</w:t>
      </w:r>
    </w:p>
    <w:p w:rsidR="00B8782D" w:rsidRDefault="00B8782D">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w:t>
      </w:r>
      <w:r>
        <w:rPr>
          <w:i/>
          <w:iCs/>
        </w:rPr>
        <w:t xml:space="preserve">B. </w:t>
      </w:r>
      <w:r>
        <w:rPr>
          <w:i/>
        </w:rPr>
        <w:t>correcta</w:t>
      </w:r>
      <w:r>
        <w:t xml:space="preserve"> in the existing policy for mangoes from India </w:t>
      </w:r>
      <w:r>
        <w:rPr>
          <w:noProof/>
        </w:rPr>
        <w:t>(Biosecurity Australia 2008)</w:t>
      </w:r>
      <w:r>
        <w:t>. Therefore, those risk ratings will be adopted for this assessment.</w:t>
      </w:r>
    </w:p>
    <w:p w:rsidR="00B8782D" w:rsidRDefault="00B8782D" w:rsidP="00B8782D">
      <w:pPr>
        <w:pStyle w:val="Heading3"/>
        <w:numPr>
          <w:ilvl w:val="2"/>
          <w:numId w:val="20"/>
        </w:numPr>
      </w:pPr>
      <w:r>
        <w:t>Likelihood of entry</w:t>
      </w:r>
    </w:p>
    <w:p w:rsidR="00B8782D" w:rsidRDefault="00B8782D">
      <w:r>
        <w:t>The likelihood of entry is considered in two parts, the likelihood of importation and the likelihood of distribution, which consider pre-border and post-border issues, respectively.</w:t>
      </w:r>
    </w:p>
    <w:p w:rsidR="00B8782D" w:rsidRDefault="00B8782D">
      <w:pPr>
        <w:pStyle w:val="Heading4"/>
      </w:pPr>
      <w:r>
        <w:t>Likelihood of importation</w:t>
      </w:r>
    </w:p>
    <w:p w:rsidR="00B8782D" w:rsidRDefault="00B8782D">
      <w:r>
        <w:t xml:space="preserve">The likelihood that </w:t>
      </w:r>
      <w:r>
        <w:rPr>
          <w:i/>
          <w:iCs/>
        </w:rPr>
        <w:t xml:space="preserve">B. correcta </w:t>
      </w:r>
      <w:r>
        <w:t xml:space="preserve">will arrive in Australia with the importation of fresh nectarines from China is: </w:t>
      </w:r>
      <w:r>
        <w:rPr>
          <w:b/>
        </w:rPr>
        <w:t>Low</w:t>
      </w:r>
      <w:r>
        <w:t>.</w:t>
      </w:r>
    </w:p>
    <w:p w:rsidR="00B8782D" w:rsidRDefault="00B8782D">
      <w:r>
        <w:lastRenderedPageBreak/>
        <w:t>The following information provides supporting evidence for this assessment.</w:t>
      </w:r>
    </w:p>
    <w:p w:rsidR="00B8782D" w:rsidRDefault="00B8782D" w:rsidP="00024206">
      <w:pPr>
        <w:pStyle w:val="ListBullet"/>
      </w:pPr>
      <w:r w:rsidRPr="001823C4">
        <w:rPr>
          <w:i/>
        </w:rPr>
        <w:t>Bactrocera correcta</w:t>
      </w:r>
      <w:r>
        <w:t xml:space="preserve"> is a tropical species that is recorded from south and southwest China </w:t>
      </w:r>
      <w:r>
        <w:rPr>
          <w:noProof/>
        </w:rPr>
        <w:t>(Yang 1988)</w:t>
      </w:r>
      <w:r>
        <w:t xml:space="preserve"> including Guangdong and Yunnan provinces which are not major peach and nectarine production areas </w:t>
      </w:r>
      <w:r>
        <w:rPr>
          <w:noProof/>
        </w:rPr>
        <w:t>(Li, Wang &amp; Waterhouse 1997; Liang et al. 1993)</w:t>
      </w:r>
      <w:r>
        <w:t>.</w:t>
      </w:r>
    </w:p>
    <w:p w:rsidR="00B8782D" w:rsidRDefault="00B8782D">
      <w:pPr>
        <w:pStyle w:val="ListBullet"/>
      </w:pPr>
      <w:r>
        <w:rPr>
          <w:i/>
        </w:rPr>
        <w:t>Bactrocera correcta</w:t>
      </w:r>
      <w:r>
        <w:t xml:space="preserve"> is a quarantine pest for China and is considered absent from northern regions of China.</w:t>
      </w:r>
    </w:p>
    <w:p w:rsidR="00B8782D" w:rsidRDefault="00B8782D">
      <w:pPr>
        <w:pStyle w:val="ListBullet"/>
      </w:pPr>
      <w:r>
        <w:t xml:space="preserve">Peach and nectarine are known hosts of </w:t>
      </w:r>
      <w:r>
        <w:rPr>
          <w:i/>
        </w:rPr>
        <w:t>B. correcta</w:t>
      </w:r>
      <w:r>
        <w:t xml:space="preserve"> </w:t>
      </w:r>
      <w:r>
        <w:rPr>
          <w:noProof/>
        </w:rPr>
        <w:t>(Steck 2002)</w:t>
      </w:r>
      <w:r>
        <w:t xml:space="preserve"> which are sometimes heavily infested as it is for example in India </w:t>
      </w:r>
      <w:r>
        <w:rPr>
          <w:noProof/>
        </w:rPr>
        <w:t>(Kapoor 2002)</w:t>
      </w:r>
      <w:r>
        <w:t>.</w:t>
      </w:r>
    </w:p>
    <w:p w:rsidR="00B8782D" w:rsidRDefault="00B8782D" w:rsidP="00024206">
      <w:pPr>
        <w:pStyle w:val="ListBullet"/>
      </w:pPr>
      <w:r w:rsidRPr="001823C4">
        <w:rPr>
          <w:i/>
        </w:rPr>
        <w:t>Bactrocera correcta</w:t>
      </w:r>
      <w:r>
        <w:t xml:space="preserve"> has</w:t>
      </w:r>
      <w:r w:rsidRPr="001823C4">
        <w:rPr>
          <w:i/>
        </w:rPr>
        <w:t xml:space="preserve"> </w:t>
      </w:r>
      <w:r>
        <w:t xml:space="preserve">4–5 generations per year in the Guangzhou area </w:t>
      </w:r>
      <w:r>
        <w:rPr>
          <w:noProof/>
        </w:rPr>
        <w:t>(Yang 1988)</w:t>
      </w:r>
      <w:r>
        <w:t xml:space="preserve"> and in Yunnan </w:t>
      </w:r>
      <w:r w:rsidRPr="001823C4">
        <w:rPr>
          <w:i/>
        </w:rPr>
        <w:t>B. correcta</w:t>
      </w:r>
      <w:r>
        <w:t xml:space="preserve"> and </w:t>
      </w:r>
      <w:r w:rsidRPr="001823C4">
        <w:rPr>
          <w:i/>
        </w:rPr>
        <w:t>B. dorsalis</w:t>
      </w:r>
      <w:r>
        <w:t xml:space="preserve"> are present in mixed populations throughout the year </w:t>
      </w:r>
      <w:r>
        <w:rPr>
          <w:noProof/>
        </w:rPr>
        <w:t>(Liu &amp; Ye 2009)</w:t>
      </w:r>
      <w:r>
        <w:t>.</w:t>
      </w:r>
    </w:p>
    <w:p w:rsidR="00B8782D" w:rsidRDefault="00B8782D">
      <w:pPr>
        <w:pStyle w:val="ListBullet"/>
      </w:pPr>
      <w:r>
        <w:t xml:space="preserve">Females deposit eggs beneath the skin of host fruit and after hatching the larvae feed within the fruit until they are ready to pupate </w:t>
      </w:r>
      <w:r>
        <w:rPr>
          <w:noProof/>
        </w:rPr>
        <w:t>(Chen, Ye &amp; Liu 2006; Dhillon et al. 2005)</w:t>
      </w:r>
      <w:r>
        <w:t>.</w:t>
      </w:r>
    </w:p>
    <w:p w:rsidR="00B8782D" w:rsidRDefault="00B8782D">
      <w:pPr>
        <w:pStyle w:val="ListBullet"/>
      </w:pPr>
      <w:r>
        <w:t>Infested fruit normally show obvious signs of attack or tissue decay. Such fruit will be removed during sorting, packing and quality inspection procedures.</w:t>
      </w:r>
    </w:p>
    <w:p w:rsidR="00B8782D" w:rsidRDefault="00B8782D">
      <w:pPr>
        <w:pStyle w:val="ListBullet"/>
      </w:pPr>
      <w:r>
        <w:t>However, newly infested fruit may not be distinguished from un-infested fruit. Such fruit is unlikely to be detected during sorting, packing and quality inspection procedures due to the absence of visual blemishes, bruising or damage to the skin; eggs and/or larvae are likely to escape detection.</w:t>
      </w:r>
    </w:p>
    <w:p w:rsidR="00B8782D" w:rsidRDefault="00B8782D">
      <w:pPr>
        <w:pStyle w:val="ListBullet"/>
      </w:pPr>
      <w:r>
        <w:t xml:space="preserve"> Juvenile life stages are likely to survive the cold transportation to Australia from China although </w:t>
      </w:r>
      <w:r>
        <w:rPr>
          <w:i/>
        </w:rPr>
        <w:t>B. correcta</w:t>
      </w:r>
      <w:r>
        <w:t xml:space="preserve"> is more sensitive to cold temperatures as it has higher developmental threshold temperatures compare to </w:t>
      </w:r>
      <w:r>
        <w:rPr>
          <w:i/>
        </w:rPr>
        <w:t>B. dorsalis</w:t>
      </w:r>
      <w:r>
        <w:t xml:space="preserve"> </w:t>
      </w:r>
      <w:r>
        <w:rPr>
          <w:noProof/>
        </w:rPr>
        <w:t>(Liu &amp; Ye 2009)</w:t>
      </w:r>
      <w:r>
        <w:t>.</w:t>
      </w:r>
    </w:p>
    <w:p w:rsidR="00B8782D" w:rsidRDefault="00B8782D">
      <w:r>
        <w:t xml:space="preserve">Peach and nectarine are hosts of </w:t>
      </w:r>
      <w:r>
        <w:rPr>
          <w:i/>
        </w:rPr>
        <w:t>B. correcta</w:t>
      </w:r>
      <w:r>
        <w:t xml:space="preserve">. Newly infested fruit may not be distinguished from un-infested fruit and such fruit is unlikely to be detected during sorting, packing and quality inspection procedures. </w:t>
      </w:r>
      <w:r>
        <w:rPr>
          <w:i/>
        </w:rPr>
        <w:t>Bactrocera correcta</w:t>
      </w:r>
      <w:r>
        <w:t xml:space="preserve"> is a tropical species and is sensitive to cold temperatures but some eggs and larvae would be likely to survive the cold storage and transportation. However, </w:t>
      </w:r>
      <w:r>
        <w:rPr>
          <w:i/>
        </w:rPr>
        <w:t xml:space="preserve">Bactrocera correcta </w:t>
      </w:r>
      <w:r>
        <w:t>is not present in major peach and nectarine production regions and is a regional quarantine pest of China. This information supports a likelihood estimate for importation of ‘low’.</w:t>
      </w:r>
    </w:p>
    <w:p w:rsidR="00B8782D" w:rsidRDefault="00B8782D">
      <w:pPr>
        <w:pStyle w:val="Heading4"/>
      </w:pPr>
      <w:r>
        <w:t>Likelihood of distribution</w:t>
      </w:r>
    </w:p>
    <w:p w:rsidR="00B8782D" w:rsidRDefault="00B8782D">
      <w:r>
        <w:t xml:space="preserve">The likelihood of distribution for </w:t>
      </w:r>
      <w:r>
        <w:rPr>
          <w:i/>
        </w:rPr>
        <w:t>B. correcta</w:t>
      </w:r>
      <w:r>
        <w:t xml:space="preserve"> assessed here would be the same as that for </w:t>
      </w:r>
      <w:r>
        <w:rPr>
          <w:i/>
        </w:rPr>
        <w:t>B. correcta</w:t>
      </w:r>
      <w:r>
        <w:t xml:space="preserve"> for </w:t>
      </w:r>
      <w:r>
        <w:rPr>
          <w:iCs/>
        </w:rPr>
        <w:t xml:space="preserve">mangoes from India </w:t>
      </w:r>
      <w:r>
        <w:rPr>
          <w:noProof/>
        </w:rPr>
        <w:t>(Biosecurity Australia 2008)</w:t>
      </w:r>
      <w:r>
        <w:t xml:space="preserve">, that is </w:t>
      </w:r>
      <w:r>
        <w:rPr>
          <w:b/>
        </w:rPr>
        <w:t>High.</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t xml:space="preserve">The likelihood that </w:t>
      </w:r>
      <w:r>
        <w:rPr>
          <w:i/>
        </w:rPr>
        <w:t>B. correcta</w:t>
      </w:r>
      <w:r>
        <w:t xml:space="preserve"> will enter Australia as a result of trade in nectarines from China and be distributed in a viable state to a susceptible host is: </w:t>
      </w:r>
      <w:r>
        <w:rPr>
          <w:b/>
        </w:rPr>
        <w:t>Low</w:t>
      </w:r>
      <w:r>
        <w:t>.</w:t>
      </w:r>
    </w:p>
    <w:p w:rsidR="00B8782D" w:rsidRDefault="00B8782D" w:rsidP="00B8782D">
      <w:pPr>
        <w:pStyle w:val="Heading3"/>
        <w:numPr>
          <w:ilvl w:val="2"/>
          <w:numId w:val="20"/>
        </w:numPr>
      </w:pPr>
      <w:r>
        <w:lastRenderedPageBreak/>
        <w:t>Likelihood of establishment and spread</w:t>
      </w:r>
    </w:p>
    <w:p w:rsidR="00B8782D" w:rsidRDefault="00B8782D">
      <w:r>
        <w:t xml:space="preserve">The likelihood of establishment and of spread for </w:t>
      </w:r>
      <w:r>
        <w:rPr>
          <w:i/>
          <w:iCs/>
        </w:rPr>
        <w:t xml:space="preserve">Bactrocera correcta </w:t>
      </w:r>
      <w:r>
        <w:t xml:space="preserve">is based on the assessment for mangoes from India </w:t>
      </w:r>
      <w:r>
        <w:rPr>
          <w:noProof/>
        </w:rPr>
        <w:t>(Biosecurity Australia 2008)</w:t>
      </w:r>
      <w:r>
        <w:t>. The ratings from the previous assessment are presented below:</w:t>
      </w:r>
    </w:p>
    <w:p w:rsidR="00B8782D" w:rsidRDefault="00B8782D">
      <w:r>
        <w:t>Likelihood of establishment:</w:t>
      </w:r>
      <w:r>
        <w:tab/>
      </w:r>
      <w:r>
        <w:tab/>
      </w:r>
      <w:r>
        <w:rPr>
          <w:b/>
        </w:rPr>
        <w:t>High</w:t>
      </w:r>
    </w:p>
    <w:p w:rsidR="00B8782D" w:rsidRDefault="00B8782D">
      <w:r>
        <w:t>Likelihood of spread:</w:t>
      </w:r>
      <w:r>
        <w:tab/>
      </w:r>
      <w:r>
        <w:tab/>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of establishment and of spread using the matrix of rules shown in Table 2.2.</w:t>
      </w:r>
    </w:p>
    <w:p w:rsidR="00B8782D" w:rsidRDefault="00B8782D">
      <w:r>
        <w:t xml:space="preserve">The likelihood that </w:t>
      </w:r>
      <w:r>
        <w:rPr>
          <w:i/>
          <w:iCs/>
        </w:rPr>
        <w:t xml:space="preserve">Bactrocera correcta </w:t>
      </w:r>
      <w:r>
        <w:t xml:space="preserve">will enter Australia as a result of trade in nectarines from China, be distributed in a viable state to a susceptible host, establish in Australia and subsequently spread within Australia has been assessed as: </w:t>
      </w:r>
      <w:r>
        <w:rPr>
          <w:b/>
        </w:rPr>
        <w:t>Low</w:t>
      </w:r>
      <w:r>
        <w:t>.</w:t>
      </w:r>
    </w:p>
    <w:p w:rsidR="00B8782D" w:rsidRDefault="00B8782D" w:rsidP="00B8782D">
      <w:pPr>
        <w:pStyle w:val="Heading3"/>
        <w:numPr>
          <w:ilvl w:val="2"/>
          <w:numId w:val="20"/>
        </w:numPr>
        <w:tabs>
          <w:tab w:val="num" w:pos="720"/>
        </w:tabs>
        <w:spacing w:before="240" w:after="120"/>
        <w:ind w:left="720" w:hanging="720"/>
      </w:pPr>
      <w:r>
        <w:t>Consequences</w:t>
      </w:r>
    </w:p>
    <w:p w:rsidR="00B8782D" w:rsidRDefault="00B8782D">
      <w:r>
        <w:t xml:space="preserve">The consequences of the establishment of </w:t>
      </w:r>
      <w:r>
        <w:rPr>
          <w:i/>
          <w:iCs/>
        </w:rPr>
        <w:t xml:space="preserve">Bactrocera correcta </w:t>
      </w:r>
      <w:r>
        <w:t xml:space="preserve">in Australia have been estimated previously as high for mangoes from India </w:t>
      </w:r>
      <w:r>
        <w:rPr>
          <w:noProof/>
        </w:rPr>
        <w:t>(Biosecurity Australia 2008)</w:t>
      </w:r>
      <w:r>
        <w:t xml:space="preserve">. The overall consequences have been estimated to be </w:t>
      </w:r>
      <w:r>
        <w:rPr>
          <w:b/>
        </w:rPr>
        <w:t>High</w:t>
      </w:r>
      <w:r>
        <w:t>.</w:t>
      </w:r>
    </w:p>
    <w:p w:rsidR="00B8782D" w:rsidRDefault="00B8782D" w:rsidP="00B8782D">
      <w:pPr>
        <w:pStyle w:val="Heading3"/>
        <w:numPr>
          <w:ilvl w:val="2"/>
          <w:numId w:val="20"/>
        </w:numPr>
      </w:pPr>
      <w:r>
        <w:t>Unrestricted risk estimate</w:t>
      </w:r>
    </w:p>
    <w:p w:rsidR="00B8782D" w:rsidRDefault="00B8782D">
      <w:pPr>
        <w:spacing w:before="180" w:after="180" w:line="280" w:lineRule="atLeast"/>
      </w:pPr>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pPr>
            <w:r>
              <w:t xml:space="preserve">Unrestricted risk estimate for </w:t>
            </w:r>
            <w:r>
              <w:rPr>
                <w:i/>
                <w:iCs/>
                <w:szCs w:val="16"/>
              </w:rPr>
              <w:t xml:space="preserve">Bactrocera </w:t>
            </w:r>
            <w:r>
              <w:rPr>
                <w:i/>
                <w:szCs w:val="16"/>
              </w:rPr>
              <w:t>correcta</w:t>
            </w:r>
          </w:p>
        </w:tc>
      </w:tr>
      <w:tr w:rsidR="00B8782D">
        <w:tc>
          <w:tcPr>
            <w:tcW w:w="6459" w:type="dxa"/>
            <w:shd w:val="clear" w:color="auto" w:fill="auto"/>
          </w:tcPr>
          <w:p w:rsidR="00B8782D" w:rsidRDefault="00B8782D">
            <w:pPr>
              <w:pStyle w:val="TableText"/>
            </w:pPr>
            <w:r>
              <w:t>Overall likelihood of entry, establishment and spread</w:t>
            </w:r>
          </w:p>
        </w:tc>
        <w:tc>
          <w:tcPr>
            <w:tcW w:w="2977" w:type="dxa"/>
            <w:shd w:val="clear" w:color="auto" w:fill="auto"/>
          </w:tcPr>
          <w:p w:rsidR="00B8782D" w:rsidRDefault="00B8782D">
            <w:pPr>
              <w:pStyle w:val="TableText"/>
            </w:pPr>
            <w:r>
              <w:t>Low</w:t>
            </w:r>
          </w:p>
        </w:tc>
      </w:tr>
      <w:tr w:rsidR="00B8782D">
        <w:tc>
          <w:tcPr>
            <w:tcW w:w="6459" w:type="dxa"/>
            <w:shd w:val="clear" w:color="auto" w:fill="auto"/>
          </w:tcPr>
          <w:p w:rsidR="00B8782D" w:rsidRDefault="00B8782D">
            <w:pPr>
              <w:pStyle w:val="TableText"/>
            </w:pPr>
            <w:r>
              <w:t>Consequences</w:t>
            </w:r>
          </w:p>
        </w:tc>
        <w:tc>
          <w:tcPr>
            <w:tcW w:w="2977" w:type="dxa"/>
            <w:shd w:val="clear" w:color="auto" w:fill="auto"/>
          </w:tcPr>
          <w:p w:rsidR="00B8782D" w:rsidRDefault="00B8782D">
            <w:pPr>
              <w:pStyle w:val="TableText"/>
            </w:pPr>
            <w:r>
              <w:t>High</w:t>
            </w:r>
          </w:p>
        </w:tc>
      </w:tr>
      <w:tr w:rsidR="00B8782D">
        <w:tc>
          <w:tcPr>
            <w:tcW w:w="6459" w:type="dxa"/>
            <w:shd w:val="clear" w:color="auto" w:fill="auto"/>
          </w:tcPr>
          <w:p w:rsidR="00B8782D" w:rsidRDefault="00B8782D">
            <w:pPr>
              <w:pStyle w:val="TableText"/>
            </w:pPr>
            <w:r>
              <w:t>Unrestricted risk</w:t>
            </w:r>
          </w:p>
        </w:tc>
        <w:tc>
          <w:tcPr>
            <w:tcW w:w="2977" w:type="dxa"/>
            <w:shd w:val="clear" w:color="auto" w:fill="auto"/>
          </w:tcPr>
          <w:p w:rsidR="00B8782D" w:rsidRDefault="00B8782D">
            <w:pPr>
              <w:pStyle w:val="TableText"/>
            </w:pPr>
            <w:r>
              <w:t>Moderate</w:t>
            </w:r>
          </w:p>
        </w:tc>
      </w:tr>
    </w:tbl>
    <w:p w:rsidR="00B8782D" w:rsidRDefault="00B8782D">
      <w:pPr>
        <w:sectPr w:rsidR="00B8782D">
          <w:pgSz w:w="11906" w:h="16838"/>
          <w:pgMar w:top="1418" w:right="1418" w:bottom="1418" w:left="1418" w:header="567" w:footer="283" w:gutter="0"/>
          <w:cols w:space="708"/>
          <w:docGrid w:linePitch="360"/>
        </w:sectPr>
      </w:pPr>
      <w:r>
        <w:t xml:space="preserve">As indicated, the unrestricted risk estimate for </w:t>
      </w:r>
      <w:r>
        <w:rPr>
          <w:i/>
        </w:rPr>
        <w:t>Bactrocera correcta</w:t>
      </w:r>
      <w:r>
        <w:t xml:space="preserve"> has been assessed as ‘moderate’, which is above Australia’s ALOP. Therefore, specific risk management measures are required for this pest</w:t>
      </w:r>
      <w:bookmarkStart w:id="53" w:name="_Toc415486468"/>
      <w:bookmarkEnd w:id="53"/>
      <w:r>
        <w:t>.</w:t>
      </w:r>
    </w:p>
    <w:p w:rsidR="00B8782D" w:rsidRDefault="00B8782D" w:rsidP="00B8782D">
      <w:pPr>
        <w:pStyle w:val="Heading2"/>
        <w:numPr>
          <w:ilvl w:val="1"/>
          <w:numId w:val="20"/>
        </w:numPr>
      </w:pPr>
      <w:bookmarkStart w:id="54" w:name="_Toc448312499"/>
      <w:r>
        <w:lastRenderedPageBreak/>
        <w:t>Spotted wing drosophila</w:t>
      </w:r>
      <w:bookmarkEnd w:id="54"/>
    </w:p>
    <w:p w:rsidR="00B8782D" w:rsidRDefault="00B8782D">
      <w:pPr>
        <w:pStyle w:val="Heading4"/>
      </w:pPr>
      <w:r>
        <w:rPr>
          <w:i/>
        </w:rPr>
        <w:t>Drosophila suzukii</w:t>
      </w:r>
      <w:r>
        <w:t xml:space="preserve"> (EP)</w:t>
      </w:r>
    </w:p>
    <w:p w:rsidR="00B8782D" w:rsidRDefault="00B8782D">
      <w:r>
        <w:t xml:space="preserve">The quarantine risks posed by </w:t>
      </w:r>
      <w:r>
        <w:rPr>
          <w:i/>
        </w:rPr>
        <w:t>Drosophila suzukii</w:t>
      </w:r>
      <w:r>
        <w:t xml:space="preserve"> from all countries and for all commodities has been assessed in a separate pest risk analysis </w:t>
      </w:r>
      <w:r>
        <w:rPr>
          <w:noProof/>
        </w:rPr>
        <w:t>(Department of Agriculture 2013)</w:t>
      </w:r>
      <w:r>
        <w:t xml:space="preserve">. This pest attacks a range of soft fruits including stonefruit (peaches, nectarines, plums, apricots and cherries). It is also described as a major pest on cherry in China </w:t>
      </w:r>
      <w:r>
        <w:rPr>
          <w:noProof/>
        </w:rPr>
        <w:t>(Dai &amp; Shi 2013)</w:t>
      </w:r>
      <w:r>
        <w:t xml:space="preserve">. The pest risk analysis report identified fresh fruit imports as a potential pathway for the introduction of </w:t>
      </w:r>
      <w:r>
        <w:rPr>
          <w:i/>
        </w:rPr>
        <w:t>Drosophila suzukii</w:t>
      </w:r>
      <w:r>
        <w:t xml:space="preserve"> with an unrestricted risk that exceeds Australia’s ALOP.</w:t>
      </w:r>
    </w:p>
    <w:p w:rsidR="00B8782D" w:rsidRDefault="00B8782D">
      <w:r>
        <w:rPr>
          <w:i/>
        </w:rPr>
        <w:t>Drosophila suzukii</w:t>
      </w:r>
      <w:r>
        <w:t xml:space="preserve"> is considered native to several Asian countries including China, where it is widespread (Anhui, Beijing, Fujian, Guangdong, Guangxi, Guizhou, Hainan, Heilongjiang, Henan, Hubei, Hunan, Jiangsu, Jiangxi, Jilin, Liaoning, Shaanxi, Shandong, Shanghai, Shanxi, Sichuan, Yunnan, Zhejiang) </w:t>
      </w:r>
      <w:r>
        <w:rPr>
          <w:noProof/>
        </w:rPr>
        <w:t>(CABI 2015; Dai &amp; Shi 2013; Kai, Zhang &amp; Carson 1993)</w:t>
      </w:r>
      <w:r>
        <w:t>.</w:t>
      </w:r>
    </w:p>
    <w:p w:rsidR="00B8782D" w:rsidRDefault="00B8782D">
      <w:r>
        <w:t xml:space="preserve">The risk scenario of concern for </w:t>
      </w:r>
      <w:r>
        <w:rPr>
          <w:i/>
        </w:rPr>
        <w:t>D. suzukii</w:t>
      </w:r>
      <w:r>
        <w:t xml:space="preserve"> is the presence of the eggs and larvae in imported nectarines.</w:t>
      </w:r>
    </w:p>
    <w:p w:rsidR="00B8782D" w:rsidRDefault="00B8782D">
      <w:pPr>
        <w:rPr>
          <w:sz w:val="24"/>
        </w:rPr>
      </w:pPr>
      <w:r>
        <w:t xml:space="preserve">The likelihood estimates from the </w:t>
      </w:r>
      <w:r>
        <w:rPr>
          <w:i/>
        </w:rPr>
        <w:t>Final pest risk analysis report for Drosophila suzukii</w:t>
      </w:r>
      <w:r>
        <w:t xml:space="preserve"> </w:t>
      </w:r>
      <w:r>
        <w:rPr>
          <w:noProof/>
        </w:rPr>
        <w:t>(Department of Agriculture 2013)</w:t>
      </w:r>
      <w:r>
        <w:t xml:space="preserve"> are presented below.</w:t>
      </w:r>
    </w:p>
    <w:p w:rsidR="00B8782D" w:rsidRDefault="00B8782D" w:rsidP="00B8782D">
      <w:pPr>
        <w:pStyle w:val="Heading3"/>
        <w:numPr>
          <w:ilvl w:val="2"/>
          <w:numId w:val="20"/>
        </w:numPr>
      </w:pPr>
      <w:r>
        <w:t>Likelihood of entry, establishment and spread</w:t>
      </w:r>
    </w:p>
    <w:p w:rsidR="00B8782D" w:rsidRDefault="00B8782D">
      <w:r>
        <w:t>Likelihood of importation:</w:t>
      </w:r>
      <w:r>
        <w:tab/>
      </w:r>
      <w:r>
        <w:tab/>
      </w:r>
      <w:r>
        <w:rPr>
          <w:b/>
        </w:rPr>
        <w:t>High</w:t>
      </w:r>
    </w:p>
    <w:p w:rsidR="00B8782D" w:rsidRDefault="00B8782D">
      <w:r>
        <w:t>Likelihood of distribution:</w:t>
      </w:r>
      <w:r>
        <w:tab/>
      </w:r>
      <w:r>
        <w:tab/>
      </w:r>
      <w:r>
        <w:rPr>
          <w:b/>
        </w:rPr>
        <w:t>High</w:t>
      </w:r>
    </w:p>
    <w:p w:rsidR="00B8782D" w:rsidRDefault="00B8782D">
      <w:pPr>
        <w:rPr>
          <w:b/>
        </w:rPr>
      </w:pPr>
      <w:r>
        <w:t>Overall likelihood of entry:</w:t>
      </w:r>
      <w:r>
        <w:tab/>
      </w:r>
      <w:r>
        <w:tab/>
      </w:r>
      <w:r>
        <w:rPr>
          <w:b/>
        </w:rPr>
        <w:t>High</w:t>
      </w:r>
    </w:p>
    <w:p w:rsidR="00B8782D" w:rsidRDefault="00B8782D">
      <w:r>
        <w:t>Likelihood of establishment:</w:t>
      </w:r>
      <w:r>
        <w:tab/>
      </w:r>
      <w:r>
        <w:tab/>
      </w:r>
      <w:r>
        <w:rPr>
          <w:b/>
        </w:rPr>
        <w:t>High</w:t>
      </w:r>
    </w:p>
    <w:p w:rsidR="00B8782D" w:rsidRDefault="00B8782D">
      <w:r>
        <w:t>Likelihood of spread:</w:t>
      </w:r>
      <w:r>
        <w:tab/>
      </w:r>
      <w:r>
        <w:tab/>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of establishment and of spread using the matrix of rules shown in Table 2.2.</w:t>
      </w:r>
    </w:p>
    <w:p w:rsidR="00B8782D" w:rsidRDefault="00B8782D">
      <w:r>
        <w:t xml:space="preserve">The likelihood that </w:t>
      </w:r>
      <w:r>
        <w:rPr>
          <w:i/>
        </w:rPr>
        <w:t xml:space="preserve">Drosophila suzukii </w:t>
      </w:r>
      <w:r>
        <w:t xml:space="preserve">will enter Australia as a result of trade in nectarines from China, be distributed in a viable state to a susceptible host, establish in Australia and subsequently spread within Australia has been assessed as: </w:t>
      </w:r>
      <w:r>
        <w:rPr>
          <w:b/>
        </w:rPr>
        <w:t>High</w:t>
      </w:r>
      <w:r>
        <w:t>.</w:t>
      </w:r>
    </w:p>
    <w:p w:rsidR="00B8782D" w:rsidRDefault="00B8782D" w:rsidP="00B8782D">
      <w:pPr>
        <w:pStyle w:val="Heading3"/>
        <w:numPr>
          <w:ilvl w:val="2"/>
          <w:numId w:val="20"/>
        </w:numPr>
      </w:pPr>
      <w:r>
        <w:t>Consequences</w:t>
      </w:r>
    </w:p>
    <w:p w:rsidR="00B8782D" w:rsidRDefault="00B8782D">
      <w:r>
        <w:t xml:space="preserve">The consequences of the establishment of </w:t>
      </w:r>
      <w:r>
        <w:rPr>
          <w:i/>
        </w:rPr>
        <w:t xml:space="preserve">Drosophila suzukii </w:t>
      </w:r>
      <w:r>
        <w:t xml:space="preserve">in Australia have been estimated previously in the </w:t>
      </w:r>
      <w:r>
        <w:rPr>
          <w:i/>
        </w:rPr>
        <w:t>Final pest risk analysis report for Drosophila suzukii</w:t>
      </w:r>
      <w:r>
        <w:t xml:space="preserve"> </w:t>
      </w:r>
      <w:r>
        <w:rPr>
          <w:noProof/>
        </w:rPr>
        <w:t>(Department of Agriculture 2013)</w:t>
      </w:r>
      <w:r>
        <w:t xml:space="preserve">. The overall consequences are estimated to be </w:t>
      </w:r>
      <w:r>
        <w:rPr>
          <w:b/>
        </w:rPr>
        <w:t>High</w:t>
      </w:r>
      <w:r>
        <w:t>.</w:t>
      </w:r>
    </w:p>
    <w:p w:rsidR="00B8782D" w:rsidRDefault="00B8782D" w:rsidP="00B8782D">
      <w:pPr>
        <w:pStyle w:val="Heading3"/>
        <w:numPr>
          <w:ilvl w:val="2"/>
          <w:numId w:val="20"/>
        </w:numPr>
      </w:pPr>
      <w:r>
        <w:lastRenderedPageBreak/>
        <w:t>Unrestricted risk estimate</w:t>
      </w:r>
    </w:p>
    <w:p w:rsidR="00B8782D" w:rsidRDefault="00B8782D">
      <w:pPr>
        <w:spacing w:before="180" w:after="180" w:line="280" w:lineRule="atLeast"/>
      </w:pPr>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pPr>
            <w:r>
              <w:t xml:space="preserve">Unrestricted risk estimate for </w:t>
            </w:r>
            <w:r>
              <w:rPr>
                <w:i/>
              </w:rPr>
              <w:t>Drosophila suzukii</w:t>
            </w:r>
          </w:p>
        </w:tc>
      </w:tr>
      <w:tr w:rsidR="00B8782D">
        <w:tc>
          <w:tcPr>
            <w:tcW w:w="6459" w:type="dxa"/>
            <w:shd w:val="clear" w:color="auto" w:fill="auto"/>
          </w:tcPr>
          <w:p w:rsidR="00B8782D" w:rsidRDefault="00B8782D">
            <w:pPr>
              <w:pStyle w:val="TableText"/>
            </w:pPr>
            <w:r>
              <w:t>Overall likelihood of entry, establishment and spread</w:t>
            </w:r>
          </w:p>
        </w:tc>
        <w:tc>
          <w:tcPr>
            <w:tcW w:w="2977" w:type="dxa"/>
            <w:shd w:val="clear" w:color="auto" w:fill="auto"/>
          </w:tcPr>
          <w:p w:rsidR="00B8782D" w:rsidRDefault="00B8782D">
            <w:pPr>
              <w:pStyle w:val="TableText"/>
            </w:pPr>
            <w:r>
              <w:t>High</w:t>
            </w:r>
          </w:p>
        </w:tc>
      </w:tr>
      <w:tr w:rsidR="00B8782D">
        <w:tc>
          <w:tcPr>
            <w:tcW w:w="6459" w:type="dxa"/>
            <w:shd w:val="clear" w:color="auto" w:fill="auto"/>
          </w:tcPr>
          <w:p w:rsidR="00B8782D" w:rsidRDefault="00B8782D">
            <w:pPr>
              <w:pStyle w:val="TableText"/>
            </w:pPr>
            <w:r>
              <w:t>Consequences</w:t>
            </w:r>
          </w:p>
        </w:tc>
        <w:tc>
          <w:tcPr>
            <w:tcW w:w="2977" w:type="dxa"/>
            <w:shd w:val="clear" w:color="auto" w:fill="auto"/>
          </w:tcPr>
          <w:p w:rsidR="00B8782D" w:rsidRDefault="00B8782D">
            <w:pPr>
              <w:pStyle w:val="TableText"/>
            </w:pPr>
            <w:r>
              <w:t>High</w:t>
            </w:r>
          </w:p>
        </w:tc>
      </w:tr>
      <w:tr w:rsidR="00B8782D">
        <w:tc>
          <w:tcPr>
            <w:tcW w:w="6459" w:type="dxa"/>
            <w:shd w:val="clear" w:color="auto" w:fill="auto"/>
          </w:tcPr>
          <w:p w:rsidR="00B8782D" w:rsidRDefault="00B8782D">
            <w:pPr>
              <w:pStyle w:val="TableText"/>
            </w:pPr>
            <w:r>
              <w:t>Unrestricted risk</w:t>
            </w:r>
          </w:p>
        </w:tc>
        <w:tc>
          <w:tcPr>
            <w:tcW w:w="2977" w:type="dxa"/>
            <w:shd w:val="clear" w:color="auto" w:fill="auto"/>
          </w:tcPr>
          <w:p w:rsidR="00B8782D" w:rsidRDefault="00B8782D">
            <w:pPr>
              <w:pStyle w:val="TableText"/>
            </w:pPr>
            <w:r>
              <w:t>High</w:t>
            </w:r>
          </w:p>
        </w:tc>
      </w:tr>
    </w:tbl>
    <w:p w:rsidR="00B8782D" w:rsidRDefault="00B8782D">
      <w:pPr>
        <w:sectPr w:rsidR="00B8782D">
          <w:pgSz w:w="11906" w:h="16838"/>
          <w:pgMar w:top="1418" w:right="1418" w:bottom="1418" w:left="1418" w:header="567" w:footer="283" w:gutter="0"/>
          <w:cols w:space="708"/>
          <w:docGrid w:linePitch="360"/>
        </w:sectPr>
      </w:pPr>
      <w:r>
        <w:t xml:space="preserve">As indicated, the unrestricted risk estimate for </w:t>
      </w:r>
      <w:r>
        <w:rPr>
          <w:i/>
        </w:rPr>
        <w:t>Drosophila suzukii</w:t>
      </w:r>
      <w:r>
        <w:t xml:space="preserve"> has been assessed as ‘high’, which is above Australia’s ALOP. Therefore, specific risk management measures are required for this pest.</w:t>
      </w:r>
      <w:bookmarkStart w:id="55" w:name="_Toc415486470"/>
      <w:bookmarkEnd w:id="55"/>
    </w:p>
    <w:p w:rsidR="00B8782D" w:rsidRDefault="00B8782D" w:rsidP="00B8782D">
      <w:pPr>
        <w:pStyle w:val="Heading2"/>
        <w:numPr>
          <w:ilvl w:val="1"/>
          <w:numId w:val="20"/>
        </w:numPr>
      </w:pPr>
      <w:bookmarkStart w:id="56" w:name="_Toc448312500"/>
      <w:r>
        <w:lastRenderedPageBreak/>
        <w:t>Comstock mealybug</w:t>
      </w:r>
      <w:bookmarkEnd w:id="56"/>
    </w:p>
    <w:p w:rsidR="00B8782D" w:rsidRDefault="00B8782D">
      <w:pPr>
        <w:pStyle w:val="Heading4"/>
      </w:pPr>
      <w:r>
        <w:rPr>
          <w:i/>
        </w:rPr>
        <w:t>Pseudococcus comstocki</w:t>
      </w:r>
      <w:r>
        <w:t xml:space="preserve"> (EP)</w:t>
      </w:r>
    </w:p>
    <w:p w:rsidR="00B8782D" w:rsidRDefault="00B8782D">
      <w:r>
        <w:rPr>
          <w:i/>
        </w:rPr>
        <w:t>Pseudococcus comstocki</w:t>
      </w:r>
      <w:r>
        <w:t xml:space="preserve"> (comstock mealybug) belongs to the Pseudococcidae or mealybug family. It has been recorded on </w:t>
      </w:r>
      <w:r>
        <w:rPr>
          <w:i/>
        </w:rPr>
        <w:t>Prunus persica</w:t>
      </w:r>
      <w:r>
        <w:t xml:space="preserve"> </w:t>
      </w:r>
      <w:r>
        <w:rPr>
          <w:noProof/>
        </w:rPr>
        <w:t>(Ben-Dov 2014c; CABI 2015)</w:t>
      </w:r>
      <w:r>
        <w:t xml:space="preserve"> and heavily infested peach and nectarine orchards in Europe after accidental introduction </w:t>
      </w:r>
      <w:r>
        <w:rPr>
          <w:noProof/>
        </w:rPr>
        <w:t>(Pellizzari et al. 2012)</w:t>
      </w:r>
      <w:r>
        <w:t>.</w:t>
      </w:r>
    </w:p>
    <w:p w:rsidR="00B8782D" w:rsidRDefault="00B8782D">
      <w:r>
        <w:t>The risk scenario of concern for this mealybug is the presence of crawlers, immobile juveniles or adult mealybugs in the stem-end cavity of imported nectarines.</w:t>
      </w:r>
    </w:p>
    <w:p w:rsidR="00B8782D" w:rsidRDefault="00B8782D">
      <w:r>
        <w:rPr>
          <w:i/>
        </w:rPr>
        <w:t>Pseudococcus comstocki</w:t>
      </w:r>
      <w:r>
        <w:t xml:space="preserve"> was assessed in the existing import policies, such as for stonefruit from the USA (California, Idaho, Oregon and Washington) </w:t>
      </w:r>
      <w:r>
        <w:rPr>
          <w:noProof/>
        </w:rPr>
        <w:t>(Biosecurity Australia 2010b)</w:t>
      </w:r>
      <w:r>
        <w:t xml:space="preserve">, apples and table grapes from China </w:t>
      </w:r>
      <w:r>
        <w:rPr>
          <w:noProof/>
        </w:rPr>
        <w:t>(Biosecurity Australia 2010a, 2011)</w:t>
      </w:r>
      <w:r>
        <w:t xml:space="preserve"> and Unshu mandarins from Japan </w:t>
      </w:r>
      <w:r>
        <w:rPr>
          <w:noProof/>
        </w:rPr>
        <w:t>(Biosecurity Australia 2009)</w:t>
      </w:r>
      <w:r>
        <w:t>.</w:t>
      </w:r>
      <w:r>
        <w:rPr>
          <w:i/>
        </w:rPr>
        <w:t xml:space="preserve"> </w:t>
      </w:r>
      <w:r>
        <w:t xml:space="preserve">The assessment of </w:t>
      </w:r>
      <w:r>
        <w:rPr>
          <w:i/>
        </w:rPr>
        <w:t>P. comstocki</w:t>
      </w:r>
      <w:r>
        <w:t xml:space="preserve"> presented here builds on these previous assessments.</w:t>
      </w:r>
    </w:p>
    <w:p w:rsidR="00B8782D" w:rsidRDefault="00B8782D">
      <w:r>
        <w:t xml:space="preserve">Differences in horticultural practices, climatic conditions and the prevalence of </w:t>
      </w:r>
      <w:r>
        <w:rPr>
          <w:i/>
        </w:rPr>
        <w:t xml:space="preserve">Pseudococcus comstocki </w:t>
      </w:r>
      <w:r>
        <w:t xml:space="preserve">between previous export areas in Japan, the USA and China make it necessary to reassess the likelihood that </w:t>
      </w:r>
      <w:r>
        <w:rPr>
          <w:i/>
        </w:rPr>
        <w:t>P. comstocki</w:t>
      </w:r>
      <w:r>
        <w:t xml:space="preserve"> will be imported into Australia with nectarines from China.</w:t>
      </w:r>
    </w:p>
    <w:p w:rsidR="00B8782D" w:rsidRDefault="00B8782D">
      <w:r>
        <w:t>Fresh nectarine fruit is expected to be imported from China from May to October which is similar to the timing of the import of stonefruit from the USA (California, Idaho, Oregon and Washington) and apples and table grapes from China. After importation, nectarines will be distributed throughout Australia for retail sale in a similar way to stonefruit from the USA. Therefore, it is considered unnecessary to reassess the likelihood of distribution.</w:t>
      </w:r>
    </w:p>
    <w:p w:rsidR="00B8782D" w:rsidRDefault="00B8782D">
      <w:r>
        <w:t xml:space="preserve">The likelihood of establishment and spread of </w:t>
      </w:r>
      <w:r>
        <w:rPr>
          <w:i/>
        </w:rPr>
        <w:t>P. comstocki</w:t>
      </w:r>
      <w:r>
        <w:t xml:space="preserve"> in Australia will be comparable regardless of the fresh fruit commodity in which </w:t>
      </w:r>
      <w:r>
        <w:rPr>
          <w:i/>
        </w:rPr>
        <w:t>P. comstocki</w:t>
      </w:r>
      <w:r>
        <w:t xml:space="preserve"> is imported into Australia, as these likelihoods relate specifically to events that occur in Australia and are independent of the importation pathway. The consequences of </w:t>
      </w:r>
      <w:r>
        <w:rPr>
          <w:i/>
        </w:rPr>
        <w:t>P. comstocki</w:t>
      </w:r>
      <w:r>
        <w:t xml:space="preserve"> are also independent of the importation pathway. Accordingly, there is no need to reassess these components of the risk.</w:t>
      </w:r>
    </w:p>
    <w:p w:rsidR="00B8782D" w:rsidRDefault="00B8782D">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P. comstocki</w:t>
      </w:r>
      <w:r>
        <w:t xml:space="preserve"> in the existing policies, such as for stonefruit from the USA </w:t>
      </w:r>
      <w:r>
        <w:rPr>
          <w:noProof/>
        </w:rPr>
        <w:t>(Biosecurity Australia 2010b)</w:t>
      </w:r>
      <w:r>
        <w:t xml:space="preserve">, apples and table grapes from China </w:t>
      </w:r>
      <w:r>
        <w:rPr>
          <w:noProof/>
        </w:rPr>
        <w:t>(Biosecurity Australia 2010a, 2011)</w:t>
      </w:r>
      <w:r>
        <w:t xml:space="preserve"> and Unshu mandarins from Japan </w:t>
      </w:r>
      <w:r>
        <w:rPr>
          <w:noProof/>
        </w:rPr>
        <w:t>(Biosecurity Australia 2009)</w:t>
      </w:r>
      <w:r>
        <w:t>. Therefore, those risk ratings will be adopted for this assessment.</w:t>
      </w:r>
    </w:p>
    <w:p w:rsidR="00B8782D" w:rsidRDefault="00B8782D" w:rsidP="00B8782D">
      <w:pPr>
        <w:pStyle w:val="Heading3"/>
        <w:numPr>
          <w:ilvl w:val="2"/>
          <w:numId w:val="20"/>
        </w:numPr>
      </w:pPr>
      <w:r>
        <w:t>Likelihood of entry</w:t>
      </w:r>
    </w:p>
    <w:p w:rsidR="00B8782D" w:rsidRDefault="00B8782D">
      <w:r>
        <w:t>The likelihood of entry is considered in two parts, the likelihood of importation and the likelihood of distribution, which consider pre-border and post-border issues, respectively.</w:t>
      </w:r>
    </w:p>
    <w:p w:rsidR="00B8782D" w:rsidRDefault="00B8782D">
      <w:pPr>
        <w:pStyle w:val="Heading4"/>
      </w:pPr>
      <w:r>
        <w:t>Likelihood of importation</w:t>
      </w:r>
    </w:p>
    <w:p w:rsidR="00B8782D" w:rsidRDefault="00B8782D">
      <w:r>
        <w:t xml:space="preserve">The likelihood that </w:t>
      </w:r>
      <w:r>
        <w:rPr>
          <w:i/>
        </w:rPr>
        <w:t>P. comstocki</w:t>
      </w:r>
      <w:r>
        <w:t xml:space="preserve"> will arrive in Australia with the importation of fresh nectarines from China is: </w:t>
      </w:r>
      <w:r>
        <w:rPr>
          <w:b/>
        </w:rPr>
        <w:t>High</w:t>
      </w:r>
      <w:r>
        <w:t>.</w:t>
      </w:r>
    </w:p>
    <w:p w:rsidR="00B8782D" w:rsidRDefault="00B8782D">
      <w:r>
        <w:lastRenderedPageBreak/>
        <w:t>The following information provides supporting evidence for this assessment.</w:t>
      </w:r>
    </w:p>
    <w:p w:rsidR="00B8782D" w:rsidRDefault="00B8782D">
      <w:pPr>
        <w:pStyle w:val="ListBullet"/>
      </w:pPr>
      <w:r>
        <w:rPr>
          <w:i/>
        </w:rPr>
        <w:t>Pseudococcus comstocki</w:t>
      </w:r>
      <w:r>
        <w:t xml:space="preserve"> is widely distributed in China’s major peach/nectarine production regions including Beijing, Hebei, Henan, Liaoning, Shaanxi, Shandong, Shanxi </w:t>
      </w:r>
      <w:r>
        <w:rPr>
          <w:noProof/>
        </w:rPr>
        <w:t>(AQSIQ 2005; Yang et al. 2011)</w:t>
      </w:r>
      <w:r>
        <w:t>.</w:t>
      </w:r>
    </w:p>
    <w:p w:rsidR="00B8782D" w:rsidRDefault="00B8782D">
      <w:pPr>
        <w:pStyle w:val="ListBullet"/>
      </w:pPr>
      <w:r>
        <w:t xml:space="preserve">Fruit bagging is not effective in preventing </w:t>
      </w:r>
      <w:r>
        <w:rPr>
          <w:i/>
        </w:rPr>
        <w:t>P. comstocki</w:t>
      </w:r>
      <w:r>
        <w:t xml:space="preserve"> from infesting fruit as, with large populations, it still access to the fruit via the openings in the bag </w:t>
      </w:r>
      <w:r>
        <w:rPr>
          <w:noProof/>
        </w:rPr>
        <w:t>(Yang et al. 2011)</w:t>
      </w:r>
      <w:r>
        <w:t>.</w:t>
      </w:r>
    </w:p>
    <w:p w:rsidR="00B8782D" w:rsidRDefault="00B8782D">
      <w:pPr>
        <w:pStyle w:val="ListBullet"/>
      </w:pPr>
      <w:r>
        <w:t xml:space="preserve"> </w:t>
      </w:r>
      <w:r>
        <w:rPr>
          <w:i/>
        </w:rPr>
        <w:t>Pseudococcus comstocki</w:t>
      </w:r>
      <w:r>
        <w:t xml:space="preserve"> has up to three generations a year in China and causes damage to nectarine and peach fruit, resulting in heavy economic loss </w:t>
      </w:r>
      <w:r>
        <w:rPr>
          <w:noProof/>
        </w:rPr>
        <w:t>(Ben-Dov 2014c; Pellizzari et al. 2012; Yang et al. 2011)</w:t>
      </w:r>
      <w:r>
        <w:t>.</w:t>
      </w:r>
    </w:p>
    <w:p w:rsidR="00B8782D" w:rsidRDefault="00B8782D">
      <w:pPr>
        <w:pStyle w:val="ListBullet"/>
      </w:pPr>
      <w:r>
        <w:t xml:space="preserve">Third instar mealybug nymphs seek sheltered feeding sites such as in the fruit stem cavity </w:t>
      </w:r>
      <w:r>
        <w:rPr>
          <w:noProof/>
        </w:rPr>
        <w:t>(Pellizzari et al. 2012)</w:t>
      </w:r>
      <w:r>
        <w:t xml:space="preserve">. Their small size (0.3-2.5 millimetres) makes them hard to detect </w:t>
      </w:r>
      <w:r>
        <w:rPr>
          <w:noProof/>
        </w:rPr>
        <w:t>(CABI 2015; Taverner &amp; Bailey 1995b)</w:t>
      </w:r>
      <w:r>
        <w:t>.</w:t>
      </w:r>
    </w:p>
    <w:p w:rsidR="00B8782D" w:rsidRDefault="00B8782D">
      <w:pPr>
        <w:pStyle w:val="ListBullet"/>
      </w:pPr>
      <w:r>
        <w:t xml:space="preserve">Females search for sheltered places to lay their eggs often in the stem end of nectarines and peaches </w:t>
      </w:r>
      <w:r>
        <w:rPr>
          <w:noProof/>
        </w:rPr>
        <w:t>(Pellizzari et al. 2012)</w:t>
      </w:r>
      <w:r>
        <w:t>.</w:t>
      </w:r>
    </w:p>
    <w:p w:rsidR="00B8782D" w:rsidRDefault="00B8782D">
      <w:pPr>
        <w:pStyle w:val="ListBullet"/>
      </w:pPr>
      <w:r>
        <w:t xml:space="preserve">The tendency for </w:t>
      </w:r>
      <w:r>
        <w:rPr>
          <w:i/>
        </w:rPr>
        <w:t>P. comstocki</w:t>
      </w:r>
      <w:r>
        <w:t xml:space="preserve"> to move from leaves to trunks, branches, fruits or other protected places increases in the second and third generation adult females, typically from the end of July to early August </w:t>
      </w:r>
      <w:r>
        <w:rPr>
          <w:noProof/>
        </w:rPr>
        <w:t>(Pellizzari et al. 2012)</w:t>
      </w:r>
      <w:r>
        <w:t>. There is potential for viable mealybug eggs, nymphs or adults to remain associated with fruit after harvesting.</w:t>
      </w:r>
    </w:p>
    <w:p w:rsidR="00B8782D" w:rsidRDefault="00B8782D">
      <w:pPr>
        <w:pStyle w:val="ListBullet"/>
      </w:pPr>
      <w:r>
        <w:t xml:space="preserve">Mealybugs that may be firmly anchored to the fruit or that are hidden in the stem-end cavity of fruit </w:t>
      </w:r>
      <w:r>
        <w:rPr>
          <w:noProof/>
        </w:rPr>
        <w:t>(Taverner &amp; Bailey 1995a)</w:t>
      </w:r>
      <w:r>
        <w:t xml:space="preserve"> may not be completely removed by cleaning using pressurised air gun in the packinghouses. Eggs deposited in secluded places such as in the stem-end cavity of nectarine fruit also may not be completely removed by this cleaning process.</w:t>
      </w:r>
    </w:p>
    <w:p w:rsidR="00B8782D" w:rsidRDefault="00B8782D">
      <w:pPr>
        <w:pStyle w:val="ListBullet"/>
      </w:pPr>
      <w:r>
        <w:t>Sorting and grading would remove some mealybug infested fruit if clear symptoms of infestation are present. Low level infestations may be difficult to detect and it is expected that some infested fruit would remain undetected.</w:t>
      </w:r>
    </w:p>
    <w:p w:rsidR="00B8782D" w:rsidRDefault="00B8782D">
      <w:pPr>
        <w:pStyle w:val="ListBullet"/>
      </w:pPr>
      <w:r>
        <w:t xml:space="preserve">Fruit is ideally stored at between 0 and 2 °C </w:t>
      </w:r>
      <w:r>
        <w:rPr>
          <w:noProof/>
        </w:rPr>
        <w:t>(Curtis et al. 1992; Summerfruit Australia 2014; Yokoyama, Miller &amp; Crisosto 1999)</w:t>
      </w:r>
      <w:r>
        <w:t xml:space="preserve">. Overwintering egg masses of </w:t>
      </w:r>
      <w:r>
        <w:rPr>
          <w:i/>
        </w:rPr>
        <w:t>Pseudococcus comstocki</w:t>
      </w:r>
      <w:r>
        <w:t xml:space="preserve"> have apparently not been affected by absolute minimum temperatures of –3.0 °C and –5.4 °C </w:t>
      </w:r>
      <w:r>
        <w:rPr>
          <w:noProof/>
        </w:rPr>
        <w:t>(Pellizzari et al. 2012)</w:t>
      </w:r>
      <w:r>
        <w:t xml:space="preserve">. </w:t>
      </w:r>
      <w:r>
        <w:rPr>
          <w:i/>
        </w:rPr>
        <w:t>Pseudococcus comstocki</w:t>
      </w:r>
      <w:r>
        <w:t xml:space="preserve"> also overwinters on trunks and branches of vines in northern China </w:t>
      </w:r>
      <w:r>
        <w:rPr>
          <w:noProof/>
        </w:rPr>
        <w:t>(Li, Liu &amp; Wu 2004; Zhang 2005)</w:t>
      </w:r>
      <w:r>
        <w:t xml:space="preserve"> and would be likely to survive cold storage and transportation. A related species, </w:t>
      </w:r>
      <w:r>
        <w:rPr>
          <w:i/>
        </w:rPr>
        <w:t>Pseudococcus affinis</w:t>
      </w:r>
      <w:r>
        <w:t xml:space="preserve"> (now </w:t>
      </w:r>
      <w:r>
        <w:rPr>
          <w:i/>
        </w:rPr>
        <w:t>Pseudococcus viburni</w:t>
      </w:r>
      <w:r>
        <w:t xml:space="preserve">), can survive for up to 42 days at 0 °C </w:t>
      </w:r>
      <w:r>
        <w:rPr>
          <w:noProof/>
        </w:rPr>
        <w:t>(Hoy &amp; Whiting 1997)</w:t>
      </w:r>
      <w:r>
        <w:t xml:space="preserve"> indicating that mealybugs are likely to survive cold storage during transportation to Australia.</w:t>
      </w:r>
    </w:p>
    <w:p w:rsidR="00B8782D" w:rsidRDefault="00B8782D">
      <w:r>
        <w:rPr>
          <w:i/>
        </w:rPr>
        <w:t>Pseudococcus comstocki</w:t>
      </w:r>
      <w:r>
        <w:t xml:space="preserve"> is widely distributed in China’s major peach and nectarine production regions. Fruit bagging is not effective in reducing </w:t>
      </w:r>
      <w:r>
        <w:rPr>
          <w:i/>
        </w:rPr>
        <w:t>P. comstocki</w:t>
      </w:r>
      <w:r>
        <w:t xml:space="preserve"> infestation. Packinghouse processes may not remove all </w:t>
      </w:r>
      <w:r>
        <w:rPr>
          <w:i/>
        </w:rPr>
        <w:t>P. comstocki</w:t>
      </w:r>
      <w:r>
        <w:t xml:space="preserve"> from the infested fruit. The size of </w:t>
      </w:r>
      <w:r>
        <w:rPr>
          <w:i/>
        </w:rPr>
        <w:t>P. comstocki</w:t>
      </w:r>
      <w:r>
        <w:t xml:space="preserve"> is small and it may not be detected during routine packinghouse processes.</w:t>
      </w:r>
      <w:r>
        <w:rPr>
          <w:i/>
        </w:rPr>
        <w:t xml:space="preserve"> Pseudococcus comstocki</w:t>
      </w:r>
      <w:r>
        <w:t xml:space="preserve"> is likely to survive cold storage and transportation. This information supports a likelihood estimate for importation of ‘high’.</w:t>
      </w:r>
    </w:p>
    <w:p w:rsidR="00B8782D" w:rsidRDefault="00B8782D">
      <w:pPr>
        <w:pStyle w:val="Heading4"/>
      </w:pPr>
      <w:r>
        <w:lastRenderedPageBreak/>
        <w:t>Likelihood of distribution</w:t>
      </w:r>
    </w:p>
    <w:p w:rsidR="00B8782D" w:rsidRDefault="00B8782D">
      <w:r>
        <w:t xml:space="preserve">The likelihood of distribution for </w:t>
      </w:r>
      <w:r>
        <w:rPr>
          <w:i/>
        </w:rPr>
        <w:t>P. comstocki</w:t>
      </w:r>
      <w:r>
        <w:t xml:space="preserve"> assessed here would be the same as that for stonefruit from the USA (California, Idaho, Oregon and Washington) </w:t>
      </w:r>
      <w:r>
        <w:rPr>
          <w:noProof/>
        </w:rPr>
        <w:t>(Biosecurity Australia 2010b)</w:t>
      </w:r>
      <w:r>
        <w:t xml:space="preserve">, apples and table grapes from China </w:t>
      </w:r>
      <w:r>
        <w:rPr>
          <w:noProof/>
        </w:rPr>
        <w:t>(Biosecurity Australia 2010a, 2011)</w:t>
      </w:r>
      <w:r>
        <w:t xml:space="preserve"> and Unshu mandarins from Japan </w:t>
      </w:r>
      <w:r>
        <w:rPr>
          <w:noProof/>
        </w:rPr>
        <w:t>(Biosecurity Australia 2009)</w:t>
      </w:r>
      <w:r>
        <w:t xml:space="preserve">, that is </w:t>
      </w:r>
      <w:r>
        <w:rPr>
          <w:b/>
        </w:rPr>
        <w:t>Moderate.</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t xml:space="preserve">The likelihood that </w:t>
      </w:r>
      <w:r>
        <w:rPr>
          <w:i/>
        </w:rPr>
        <w:t>P. comstocki</w:t>
      </w:r>
      <w:r>
        <w:t xml:space="preserve"> will enter Australia as a result of trade in nectarines from China and be distributed in a viable state to a susceptible host is: </w:t>
      </w:r>
      <w:r>
        <w:rPr>
          <w:b/>
        </w:rPr>
        <w:t>Moderate</w:t>
      </w:r>
      <w:r>
        <w:t>.</w:t>
      </w: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spread for </w:t>
      </w:r>
      <w:r>
        <w:rPr>
          <w:i/>
        </w:rPr>
        <w:t>P. comstocki</w:t>
      </w:r>
      <w:r>
        <w:t xml:space="preserve"> is based on the assessment for stonefruit from the USA (California, Idaho, Oregon and Washington)</w:t>
      </w:r>
      <w:r>
        <w:rPr>
          <w:noProof/>
        </w:rPr>
        <w:t>(Biosecurity Australia 2010b)</w:t>
      </w:r>
      <w:r>
        <w:t xml:space="preserve">, apples and table grapes from China </w:t>
      </w:r>
      <w:r>
        <w:rPr>
          <w:noProof/>
        </w:rPr>
        <w:t>(Biosecurity Australia 2010a, 2011)</w:t>
      </w:r>
      <w:r>
        <w:t xml:space="preserve"> and Unshu mandarins from Japan </w:t>
      </w:r>
      <w:r>
        <w:rPr>
          <w:noProof/>
        </w:rPr>
        <w:t>(Biosecurity Australia 2009)</w:t>
      </w:r>
      <w:r>
        <w:t>. Those assessments used the same methodology as described in Chapter 2 of this report. The ratings from the previous assessments are presented below:</w:t>
      </w:r>
    </w:p>
    <w:p w:rsidR="00B8782D" w:rsidRDefault="00B8782D">
      <w:r>
        <w:t>Likelihood of establishment:</w:t>
      </w:r>
      <w:r>
        <w:tab/>
      </w:r>
      <w:r>
        <w:tab/>
      </w:r>
      <w:r>
        <w:rPr>
          <w:b/>
        </w:rPr>
        <w:t>High</w:t>
      </w:r>
    </w:p>
    <w:p w:rsidR="00B8782D" w:rsidRDefault="00B8782D">
      <w:r>
        <w:t>Likelihood of spread:</w:t>
      </w:r>
      <w:r>
        <w:tab/>
      </w:r>
      <w:r>
        <w:tab/>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of establishment and of spread using the matrix of rules shown in Table 2.2.</w:t>
      </w:r>
    </w:p>
    <w:p w:rsidR="00B8782D" w:rsidRDefault="00B8782D">
      <w:r>
        <w:t xml:space="preserve">The likelihood that </w:t>
      </w:r>
      <w:r>
        <w:rPr>
          <w:i/>
        </w:rPr>
        <w:t>P. comstocki</w:t>
      </w:r>
      <w:r>
        <w:t xml:space="preserve"> will enter Australia as a result of trade in nectarines from China, be distributed in a viable state to a susceptible host, establish in Australia and subsequently spread within Australia has been assessed as: </w:t>
      </w:r>
      <w:r>
        <w:rPr>
          <w:b/>
        </w:rPr>
        <w:t>Moderate</w:t>
      </w:r>
      <w:r>
        <w:t>.</w:t>
      </w:r>
    </w:p>
    <w:p w:rsidR="00B8782D" w:rsidRDefault="00B8782D" w:rsidP="00B8782D">
      <w:pPr>
        <w:pStyle w:val="Heading3"/>
        <w:numPr>
          <w:ilvl w:val="2"/>
          <w:numId w:val="20"/>
        </w:numPr>
      </w:pPr>
      <w:r>
        <w:t>Consequences</w:t>
      </w:r>
    </w:p>
    <w:p w:rsidR="00B8782D" w:rsidRDefault="00B8782D">
      <w:r>
        <w:t xml:space="preserve">The consequences of the establishment of </w:t>
      </w:r>
      <w:r>
        <w:rPr>
          <w:i/>
        </w:rPr>
        <w:t>P. comstocki</w:t>
      </w:r>
      <w:r>
        <w:t xml:space="preserve"> in Australia are being based on the assessments for stonefruit from the USA (California, Idaho, Oregon and Washington)</w:t>
      </w:r>
      <w:r>
        <w:rPr>
          <w:noProof/>
        </w:rPr>
        <w:t>(Biosecurity Australia 2010b)</w:t>
      </w:r>
      <w:r>
        <w:t xml:space="preserve">, apples and table grapes from China </w:t>
      </w:r>
      <w:r>
        <w:rPr>
          <w:noProof/>
        </w:rPr>
        <w:t>(Biosecurity Australia 2010a, 2011)</w:t>
      </w:r>
      <w:r>
        <w:t xml:space="preserve"> and Unshu mandarins from Japan </w:t>
      </w:r>
      <w:r>
        <w:rPr>
          <w:noProof/>
        </w:rPr>
        <w:t>(Biosecurity Australia 2009)</w:t>
      </w:r>
      <w:r>
        <w:t xml:space="preserve">. The overall consequences have been estimated to be </w:t>
      </w:r>
      <w:r>
        <w:rPr>
          <w:b/>
        </w:rPr>
        <w:t>Low</w:t>
      </w:r>
      <w:r>
        <w:t>.</w:t>
      </w:r>
    </w:p>
    <w:p w:rsidR="00B8782D" w:rsidRDefault="00B8782D" w:rsidP="00B8782D">
      <w:pPr>
        <w:pStyle w:val="Heading3"/>
        <w:numPr>
          <w:ilvl w:val="2"/>
          <w:numId w:val="20"/>
        </w:numPr>
      </w:pPr>
      <w:r>
        <w:t>Unrestricted risk estimate</w:t>
      </w:r>
    </w:p>
    <w:p w:rsidR="00B8782D" w:rsidRDefault="00B8782D">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pPr>
            <w:r>
              <w:lastRenderedPageBreak/>
              <w:t xml:space="preserve">Unrestricted risk estimate for </w:t>
            </w:r>
            <w:r>
              <w:rPr>
                <w:i/>
                <w:szCs w:val="16"/>
              </w:rPr>
              <w:t>Pseudococcus comstocki</w:t>
            </w:r>
          </w:p>
        </w:tc>
      </w:tr>
      <w:tr w:rsidR="00B8782D">
        <w:tc>
          <w:tcPr>
            <w:tcW w:w="6459" w:type="dxa"/>
            <w:shd w:val="clear" w:color="auto" w:fill="auto"/>
          </w:tcPr>
          <w:p w:rsidR="00B8782D" w:rsidRDefault="00B8782D">
            <w:pPr>
              <w:pStyle w:val="TableText"/>
            </w:pPr>
            <w:r>
              <w:t>Overall likelihood of entry, establishment and spread</w:t>
            </w:r>
          </w:p>
        </w:tc>
        <w:tc>
          <w:tcPr>
            <w:tcW w:w="2977" w:type="dxa"/>
            <w:shd w:val="clear" w:color="auto" w:fill="auto"/>
          </w:tcPr>
          <w:p w:rsidR="00B8782D" w:rsidRDefault="00B8782D">
            <w:pPr>
              <w:pStyle w:val="TableText"/>
            </w:pPr>
            <w:r>
              <w:t xml:space="preserve">Moderate </w:t>
            </w:r>
          </w:p>
        </w:tc>
      </w:tr>
      <w:tr w:rsidR="00B8782D">
        <w:tc>
          <w:tcPr>
            <w:tcW w:w="6459" w:type="dxa"/>
            <w:shd w:val="clear" w:color="auto" w:fill="auto"/>
          </w:tcPr>
          <w:p w:rsidR="00B8782D" w:rsidRDefault="00B8782D">
            <w:pPr>
              <w:pStyle w:val="TableText"/>
            </w:pPr>
            <w:r>
              <w:t>Consequences</w:t>
            </w:r>
          </w:p>
        </w:tc>
        <w:tc>
          <w:tcPr>
            <w:tcW w:w="2977" w:type="dxa"/>
            <w:shd w:val="clear" w:color="auto" w:fill="auto"/>
          </w:tcPr>
          <w:p w:rsidR="00B8782D" w:rsidRDefault="00B8782D">
            <w:pPr>
              <w:pStyle w:val="TableText"/>
            </w:pPr>
            <w:r>
              <w:t>Low</w:t>
            </w:r>
          </w:p>
        </w:tc>
      </w:tr>
      <w:tr w:rsidR="00B8782D">
        <w:tc>
          <w:tcPr>
            <w:tcW w:w="6459" w:type="dxa"/>
            <w:shd w:val="clear" w:color="auto" w:fill="auto"/>
          </w:tcPr>
          <w:p w:rsidR="00B8782D" w:rsidRDefault="00B8782D">
            <w:pPr>
              <w:pStyle w:val="TableText"/>
            </w:pPr>
            <w:r>
              <w:t>Unrestricted risk</w:t>
            </w:r>
          </w:p>
        </w:tc>
        <w:tc>
          <w:tcPr>
            <w:tcW w:w="2977" w:type="dxa"/>
            <w:shd w:val="clear" w:color="auto" w:fill="auto"/>
          </w:tcPr>
          <w:p w:rsidR="00B8782D" w:rsidRDefault="00B8782D">
            <w:pPr>
              <w:pStyle w:val="TableText"/>
            </w:pPr>
            <w:r>
              <w:t>Low</w:t>
            </w:r>
          </w:p>
        </w:tc>
      </w:tr>
    </w:tbl>
    <w:p w:rsidR="00B8782D" w:rsidRDefault="00B8782D">
      <w:pPr>
        <w:sectPr w:rsidR="00B8782D">
          <w:pgSz w:w="11906" w:h="16838"/>
          <w:pgMar w:top="1418" w:right="1418" w:bottom="1418" w:left="1418" w:header="567" w:footer="283" w:gutter="0"/>
          <w:cols w:space="708"/>
          <w:docGrid w:linePitch="360"/>
        </w:sectPr>
      </w:pPr>
      <w:bookmarkStart w:id="57" w:name="_Toc411241726"/>
      <w:bookmarkStart w:id="58" w:name="_Toc412119044"/>
      <w:bookmarkStart w:id="59" w:name="_Toc412467927"/>
      <w:bookmarkStart w:id="60" w:name="_Toc415486472"/>
      <w:bookmarkStart w:id="61" w:name="_Toc416870125"/>
      <w:r>
        <w:t xml:space="preserve">As indicated, the unrestricted risk estimate for </w:t>
      </w:r>
      <w:r>
        <w:rPr>
          <w:i/>
        </w:rPr>
        <w:t>P. comstocki</w:t>
      </w:r>
      <w:r>
        <w:t xml:space="preserve"> has been assessed as ‘low’, which is above Australia’s ALOP. Therefore, specific risk management measures are required for this pest.</w:t>
      </w:r>
      <w:bookmarkStart w:id="62" w:name="_Toc415486473"/>
      <w:bookmarkEnd w:id="57"/>
      <w:bookmarkEnd w:id="58"/>
      <w:bookmarkEnd w:id="59"/>
      <w:bookmarkEnd w:id="60"/>
      <w:bookmarkEnd w:id="61"/>
      <w:bookmarkEnd w:id="62"/>
    </w:p>
    <w:p w:rsidR="00B8782D" w:rsidRDefault="00B8782D" w:rsidP="00B8782D">
      <w:pPr>
        <w:pStyle w:val="Heading2"/>
        <w:numPr>
          <w:ilvl w:val="1"/>
          <w:numId w:val="20"/>
        </w:numPr>
      </w:pPr>
      <w:bookmarkStart w:id="63" w:name="_Toc448312501"/>
      <w:r>
        <w:lastRenderedPageBreak/>
        <w:t>Armoured scales</w:t>
      </w:r>
      <w:bookmarkEnd w:id="63"/>
    </w:p>
    <w:p w:rsidR="00B8782D" w:rsidRDefault="00B8782D">
      <w:pPr>
        <w:pStyle w:val="Heading4"/>
      </w:pPr>
      <w:r>
        <w:rPr>
          <w:i/>
        </w:rPr>
        <w:t>Pseudaonidia duplex</w:t>
      </w:r>
      <w:r>
        <w:t xml:space="preserve"> and </w:t>
      </w:r>
      <w:r>
        <w:rPr>
          <w:i/>
        </w:rPr>
        <w:t>Pseudaulacaspis prunicola</w:t>
      </w:r>
      <w:r>
        <w:t xml:space="preserve"> (EP)</w:t>
      </w:r>
    </w:p>
    <w:p w:rsidR="00B8782D" w:rsidRDefault="00B8782D">
      <w:r>
        <w:rPr>
          <w:i/>
        </w:rPr>
        <w:t xml:space="preserve">Pseudaonidia duplex </w:t>
      </w:r>
      <w:r>
        <w:t>(camphor scale) and</w:t>
      </w:r>
      <w:r>
        <w:rPr>
          <w:i/>
        </w:rPr>
        <w:t xml:space="preserve"> Pseudaulacaspis prunicola </w:t>
      </w:r>
      <w:r>
        <w:t xml:space="preserve">belong to the Diaspididae family. Scales of this family are commonly referred to as armoured scales due to the insect’s production of a hard, fibrous, wax like covering that attaches the scale to the host plant </w:t>
      </w:r>
      <w:r>
        <w:rPr>
          <w:noProof/>
        </w:rPr>
        <w:t>(Carver, Gross &amp; Woodward 1991)</w:t>
      </w:r>
      <w:r>
        <w:t>. These scale species share similar biology and taxonomy and cause similar impact on host plants.</w:t>
      </w:r>
    </w:p>
    <w:p w:rsidR="00B8782D" w:rsidRDefault="00B8782D">
      <w:r>
        <w:rPr>
          <w:i/>
        </w:rPr>
        <w:t>Pseudaulacaspis prunicola</w:t>
      </w:r>
      <w:r>
        <w:t xml:space="preserve"> was considered as a synonym of </w:t>
      </w:r>
      <w:r>
        <w:rPr>
          <w:i/>
        </w:rPr>
        <w:t xml:space="preserve">Pseudaulacaspis pentagona </w:t>
      </w:r>
      <w:r>
        <w:t xml:space="preserve">but was reinstated as a separate species in 1980 </w:t>
      </w:r>
      <w:r>
        <w:rPr>
          <w:noProof/>
        </w:rPr>
        <w:t>(Miller &amp; Davidson 1990)</w:t>
      </w:r>
      <w:r>
        <w:t>.</w:t>
      </w:r>
    </w:p>
    <w:p w:rsidR="00B8782D" w:rsidRDefault="00B8782D">
      <w:r>
        <w:t>The biology and taxonomy of these two armoured scales species are considered sufficiently similar to justify combining them into a single assessment. In this assessment, the term ‘armoured scales’ is used to refer to both species unless otherwise specified.</w:t>
      </w:r>
    </w:p>
    <w:p w:rsidR="00B8782D" w:rsidRDefault="00B8782D">
      <w:r>
        <w:t>The risk scenario of concern for armoured scales is the presence of mobile or immobile juveniles or adult scales in the depression at the stem end of imported nectarines.</w:t>
      </w:r>
    </w:p>
    <w:p w:rsidR="00B8782D" w:rsidRDefault="00B8782D">
      <w:r>
        <w:rPr>
          <w:i/>
        </w:rPr>
        <w:t>Pseudaulacaspis prunicola</w:t>
      </w:r>
      <w:r>
        <w:t xml:space="preserve"> was assessed in the existing import policy for stonefruit from the USA (California, Idaho, Oregon and Washington)</w:t>
      </w:r>
      <w:r>
        <w:rPr>
          <w:noProof/>
        </w:rPr>
        <w:t>(Biosecurity Australia 2010b)</w:t>
      </w:r>
      <w:r>
        <w:t xml:space="preserve">. Although </w:t>
      </w:r>
      <w:r>
        <w:rPr>
          <w:i/>
        </w:rPr>
        <w:t>P. duplex</w:t>
      </w:r>
      <w:r>
        <w:t xml:space="preserve"> has not been assessed previously, it is considered that the previous assessment for </w:t>
      </w:r>
      <w:r>
        <w:rPr>
          <w:i/>
        </w:rPr>
        <w:t>P. prunicola</w:t>
      </w:r>
      <w:r>
        <w:t xml:space="preserve"> could be equally applied to </w:t>
      </w:r>
      <w:r>
        <w:rPr>
          <w:i/>
        </w:rPr>
        <w:t>P. duplex</w:t>
      </w:r>
      <w:r>
        <w:t xml:space="preserve"> due to the similarity of biology, taxonomy and economic impacts. Therefore, the assessment of </w:t>
      </w:r>
      <w:r>
        <w:rPr>
          <w:i/>
        </w:rPr>
        <w:t>P. duplex and P. prunicola</w:t>
      </w:r>
      <w:r>
        <w:t xml:space="preserve"> presented here builds on the previous assessment for </w:t>
      </w:r>
      <w:r>
        <w:rPr>
          <w:i/>
        </w:rPr>
        <w:t>Pseudaulacaspis prunicola</w:t>
      </w:r>
      <w:r>
        <w:t>.</w:t>
      </w:r>
    </w:p>
    <w:p w:rsidR="00B8782D" w:rsidRDefault="00B8782D">
      <w:r>
        <w:t xml:space="preserve">Differences in horticultural practices, climatic conditions and the prevalence of </w:t>
      </w:r>
      <w:r>
        <w:rPr>
          <w:i/>
        </w:rPr>
        <w:t>P. prunicola</w:t>
      </w:r>
      <w:r>
        <w:t xml:space="preserve"> between the previous export area (the USA) and China make it necessary to reassess the likelihood that </w:t>
      </w:r>
      <w:r>
        <w:rPr>
          <w:i/>
        </w:rPr>
        <w:t>P. prunicola</w:t>
      </w:r>
      <w:r>
        <w:t xml:space="preserve"> will be imported into Australia with nectarines from China.</w:t>
      </w:r>
    </w:p>
    <w:p w:rsidR="00B8782D" w:rsidRDefault="00B8782D">
      <w:r>
        <w:t>Fresh nectarine fruit may be imported from China from May to October which is similar to the timing of the import of stonefruit from the USA. After importation, nectarines will be distributed throughout Australia for retail sale in a similar way to stonefruit from the USA. Therefore, it is considered unnecessary to reassess the likelihood of distribution.</w:t>
      </w:r>
    </w:p>
    <w:p w:rsidR="00B8782D" w:rsidRDefault="00B8782D">
      <w:r>
        <w:t xml:space="preserve">The likelihood of establishment and spread of </w:t>
      </w:r>
      <w:r>
        <w:rPr>
          <w:i/>
        </w:rPr>
        <w:t xml:space="preserve">P. prunicola </w:t>
      </w:r>
      <w:r>
        <w:t xml:space="preserve">in Australia will be comparable regardless of the fresh fruit commodity in which </w:t>
      </w:r>
      <w:r>
        <w:rPr>
          <w:i/>
        </w:rPr>
        <w:t xml:space="preserve">P. prunicola </w:t>
      </w:r>
      <w:r>
        <w:t xml:space="preserve">is imported into Australia, as these likelihoods relate specifically to events that occur in Australia and are independent of the importation pathway. The consequences of </w:t>
      </w:r>
      <w:r>
        <w:rPr>
          <w:i/>
        </w:rPr>
        <w:t xml:space="preserve">P. prunicola </w:t>
      </w:r>
      <w:r>
        <w:t>are also independent of the importation pathway. Accordingly, there is no need to reassess these components of the risk.</w:t>
      </w:r>
    </w:p>
    <w:p w:rsidR="00B8782D" w:rsidRDefault="00B8782D">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P. prunicola </w:t>
      </w:r>
      <w:r>
        <w:t xml:space="preserve">in the existing policy for stonefruit from the USA (California, Idaho, Oregon and Washington) </w:t>
      </w:r>
      <w:r>
        <w:rPr>
          <w:noProof/>
        </w:rPr>
        <w:t>(Biosecurity Australia 2010b)</w:t>
      </w:r>
      <w:r>
        <w:t>. Therefore, those risk ratings will be adopted for this assessment.</w:t>
      </w:r>
    </w:p>
    <w:p w:rsidR="00B8782D" w:rsidRDefault="00B8782D" w:rsidP="00B8782D">
      <w:pPr>
        <w:pStyle w:val="Heading3"/>
        <w:numPr>
          <w:ilvl w:val="2"/>
          <w:numId w:val="20"/>
        </w:numPr>
      </w:pPr>
      <w:r>
        <w:lastRenderedPageBreak/>
        <w:t>Likelihood of entry</w:t>
      </w:r>
    </w:p>
    <w:p w:rsidR="00B8782D" w:rsidRDefault="00B8782D">
      <w:pPr>
        <w:pStyle w:val="Body"/>
        <w:rPr>
          <w:rFonts w:ascii="Cambria" w:eastAsia="Calibri" w:hAnsi="Cambria"/>
          <w:sz w:val="22"/>
          <w:szCs w:val="22"/>
        </w:rPr>
      </w:pPr>
      <w:r>
        <w:rPr>
          <w:rFonts w:ascii="Cambria" w:eastAsia="Calibri" w:hAnsi="Cambria"/>
          <w:sz w:val="22"/>
          <w:szCs w:val="22"/>
        </w:rPr>
        <w:t>The likelihood of entry is considered in two parts, the likelihood of importation and the likelihood of distribution, which consider pre-border and post-border issues, respectively.</w:t>
      </w:r>
    </w:p>
    <w:p w:rsidR="00B8782D" w:rsidRDefault="00B8782D">
      <w:pPr>
        <w:pStyle w:val="Heading4"/>
      </w:pPr>
      <w:r>
        <w:t>Likelihood of importation</w:t>
      </w:r>
    </w:p>
    <w:p w:rsidR="00B8782D" w:rsidRDefault="00B8782D">
      <w:r>
        <w:t>The likelihood that</w:t>
      </w:r>
      <w:r>
        <w:rPr>
          <w:i/>
        </w:rPr>
        <w:t xml:space="preserve"> Pseudaonidia duplex</w:t>
      </w:r>
      <w:r>
        <w:t xml:space="preserve"> and</w:t>
      </w:r>
      <w:r>
        <w:rPr>
          <w:i/>
        </w:rPr>
        <w:t xml:space="preserve"> Pseudaulacaspis prunicola</w:t>
      </w:r>
      <w:r>
        <w:t xml:space="preserve"> will arrive in Australia with the importation of fresh nectarines from China is: </w:t>
      </w:r>
      <w:r>
        <w:rPr>
          <w:b/>
        </w:rPr>
        <w:t>Low</w:t>
      </w:r>
      <w:r>
        <w:t>.</w:t>
      </w:r>
    </w:p>
    <w:p w:rsidR="00B8782D" w:rsidRDefault="00B8782D">
      <w:r>
        <w:t>The following information provides supporting evidence for this assessment.</w:t>
      </w:r>
    </w:p>
    <w:p w:rsidR="00B8782D" w:rsidRDefault="00B8782D">
      <w:pPr>
        <w:pStyle w:val="ListBullet"/>
      </w:pPr>
      <w:r>
        <w:t xml:space="preserve">The armoured scales assessed here are widely distributed and are important pests of tea tree, citrus and figs in China </w:t>
      </w:r>
      <w:r>
        <w:rPr>
          <w:noProof/>
        </w:rPr>
        <w:t>(Li, Wang &amp; Waterhouse 1997)</w:t>
      </w:r>
      <w:r>
        <w:t>.</w:t>
      </w:r>
    </w:p>
    <w:p w:rsidR="00B8782D" w:rsidRDefault="00B8782D">
      <w:pPr>
        <w:pStyle w:val="ListBullet"/>
      </w:pPr>
      <w:r>
        <w:rPr>
          <w:i/>
        </w:rPr>
        <w:t xml:space="preserve">Pseudaonidia duplex </w:t>
      </w:r>
      <w:r>
        <w:t xml:space="preserve">and </w:t>
      </w:r>
      <w:r>
        <w:rPr>
          <w:i/>
        </w:rPr>
        <w:t>Pseudaulacaspis prunicola</w:t>
      </w:r>
      <w:r>
        <w:t xml:space="preserve"> attack a wide range of deciduous plants and fruit trees </w:t>
      </w:r>
      <w:r>
        <w:rPr>
          <w:noProof/>
        </w:rPr>
        <w:t>(CABI 2015)</w:t>
      </w:r>
      <w:r>
        <w:t xml:space="preserve">. They feed, reproduce and develop on young shoots and leaves of their host plants, with occasional fruit infestation when the populations are high </w:t>
      </w:r>
      <w:r>
        <w:rPr>
          <w:noProof/>
        </w:rPr>
        <w:t>(Watson 2005)</w:t>
      </w:r>
      <w:r>
        <w:t>.</w:t>
      </w:r>
    </w:p>
    <w:p w:rsidR="00B8782D" w:rsidRDefault="00B8782D">
      <w:pPr>
        <w:pStyle w:val="ListBullet"/>
      </w:pPr>
      <w:r>
        <w:t xml:space="preserve">No reports of </w:t>
      </w:r>
      <w:r>
        <w:rPr>
          <w:i/>
        </w:rPr>
        <w:t xml:space="preserve">Pseudaonidia duplex </w:t>
      </w:r>
      <w:r>
        <w:t xml:space="preserve">on peaches and nectarines in China were found. However, </w:t>
      </w:r>
      <w:r>
        <w:rPr>
          <w:i/>
        </w:rPr>
        <w:t>P. duplex</w:t>
      </w:r>
      <w:r>
        <w:t xml:space="preserve"> was reported to occasionally infest peaches in the USA </w:t>
      </w:r>
      <w:r>
        <w:rPr>
          <w:noProof/>
        </w:rPr>
        <w:t>(Hodges 2005)</w:t>
      </w:r>
      <w:r>
        <w:t>.</w:t>
      </w:r>
    </w:p>
    <w:p w:rsidR="00B8782D" w:rsidRDefault="00B8782D">
      <w:pPr>
        <w:pStyle w:val="ListBullet"/>
      </w:pPr>
      <w:r>
        <w:rPr>
          <w:i/>
        </w:rPr>
        <w:t>Pseudaulacaspis prunicola</w:t>
      </w:r>
      <w:r>
        <w:t xml:space="preserve"> primarily infests bark and fruit of host plants. It has been frequently confused with </w:t>
      </w:r>
      <w:r>
        <w:rPr>
          <w:i/>
        </w:rPr>
        <w:t>P. pentagona</w:t>
      </w:r>
      <w:r>
        <w:t xml:space="preserve"> </w:t>
      </w:r>
      <w:r>
        <w:rPr>
          <w:noProof/>
        </w:rPr>
        <w:t>(Miller &amp; Davidson 2005)</w:t>
      </w:r>
      <w:r>
        <w:t>.</w:t>
      </w:r>
    </w:p>
    <w:p w:rsidR="00B8782D" w:rsidRDefault="00B8782D">
      <w:pPr>
        <w:pStyle w:val="ListBullet"/>
      </w:pPr>
      <w:r>
        <w:t>Armoured scale infestations can cause visible symptoms on fruit and are likely to cause the fruit to be rejected during harvesting, sorting and packinghouse processes. However, armoured scales are small and low infestations in the stem end may remain undetected.</w:t>
      </w:r>
    </w:p>
    <w:p w:rsidR="00B8782D" w:rsidRDefault="00B8782D">
      <w:pPr>
        <w:pStyle w:val="ListBullet"/>
      </w:pPr>
      <w:r>
        <w:t>The cleaning process using pressurised air gun would likely dislodge crawlers and a proportion of the sessile armoured scales present on the surface of the fruit. However, this cleaning process may not completely remove armoured scales and/or eggs located in the stem-end of nectarines.</w:t>
      </w:r>
    </w:p>
    <w:p w:rsidR="00B8782D" w:rsidRDefault="00B8782D">
      <w:pPr>
        <w:pStyle w:val="ListBullet"/>
      </w:pPr>
      <w:r>
        <w:t xml:space="preserve">Armoured scales are likely to survive the cold temperatures during storage and transportation although low temperatures would slow development of scales. </w:t>
      </w:r>
      <w:r>
        <w:rPr>
          <w:i/>
        </w:rPr>
        <w:t xml:space="preserve">Pseudaonidia duplex </w:t>
      </w:r>
      <w:r>
        <w:t xml:space="preserve">and </w:t>
      </w:r>
      <w:r>
        <w:rPr>
          <w:i/>
        </w:rPr>
        <w:t>Pseudaulacaspis prunicola</w:t>
      </w:r>
      <w:r>
        <w:t xml:space="preserve"> overwinter as fertilised females in continental climates </w:t>
      </w:r>
      <w:r>
        <w:rPr>
          <w:noProof/>
        </w:rPr>
        <w:t>(Li, Wang &amp; Waterhouse 1997)</w:t>
      </w:r>
      <w:r>
        <w:t>.</w:t>
      </w:r>
    </w:p>
    <w:p w:rsidR="00B8782D" w:rsidRDefault="00B8782D">
      <w:r>
        <w:t xml:space="preserve">The armoured scales are widely distributed in China. Peaches and nectarines are hosts of </w:t>
      </w:r>
      <w:r>
        <w:rPr>
          <w:i/>
        </w:rPr>
        <w:t xml:space="preserve">Pseudaonidia duplex </w:t>
      </w:r>
      <w:r>
        <w:t xml:space="preserve">and </w:t>
      </w:r>
      <w:r>
        <w:rPr>
          <w:i/>
        </w:rPr>
        <w:t>Pseudaulacaspis prunicola</w:t>
      </w:r>
      <w:r>
        <w:t xml:space="preserve">. Harvesting and packinghouse processes is unlikely to remove all armoured scales from the stem end of the infested fruit. Armoured scales are likely to survive the cold temperatures during storage and transportation. However, </w:t>
      </w:r>
      <w:r>
        <w:rPr>
          <w:i/>
        </w:rPr>
        <w:t xml:space="preserve">Pseudaonidia duplex </w:t>
      </w:r>
      <w:r>
        <w:t xml:space="preserve">and </w:t>
      </w:r>
      <w:r>
        <w:rPr>
          <w:i/>
        </w:rPr>
        <w:t>Pseudaulacaspis prunicola</w:t>
      </w:r>
      <w:r>
        <w:t xml:space="preserve"> only occasionally infest commercial fruit when populations are high. No reports of </w:t>
      </w:r>
      <w:r>
        <w:rPr>
          <w:i/>
        </w:rPr>
        <w:t xml:space="preserve">Pseudaonidia duplex </w:t>
      </w:r>
      <w:r>
        <w:t xml:space="preserve">and </w:t>
      </w:r>
      <w:r>
        <w:rPr>
          <w:i/>
        </w:rPr>
        <w:t>Pseudaulacaspis prunicola</w:t>
      </w:r>
      <w:r>
        <w:t xml:space="preserve"> on commercial nectarine fruit have been found in China. This information supports a likelihood estimate for importation of ‘low’.</w:t>
      </w:r>
    </w:p>
    <w:p w:rsidR="00B8782D" w:rsidRDefault="00B8782D">
      <w:pPr>
        <w:pStyle w:val="Heading4"/>
      </w:pPr>
      <w:r>
        <w:t>Likelihood of distribution</w:t>
      </w:r>
    </w:p>
    <w:p w:rsidR="00B8782D" w:rsidRDefault="00B8782D">
      <w:r>
        <w:t xml:space="preserve">The likelihood of distribution for </w:t>
      </w:r>
      <w:r>
        <w:rPr>
          <w:i/>
        </w:rPr>
        <w:t>Pseudaulacaspis prunicola</w:t>
      </w:r>
      <w:r>
        <w:t xml:space="preserve"> assessed here would be the same as that for </w:t>
      </w:r>
      <w:r>
        <w:rPr>
          <w:i/>
        </w:rPr>
        <w:t>Pseudaulacaspis prunicola</w:t>
      </w:r>
      <w:r>
        <w:t xml:space="preserve"> for stonefruit from the USA (California, Idaho, Oregon and </w:t>
      </w:r>
      <w:r>
        <w:lastRenderedPageBreak/>
        <w:t xml:space="preserve">Washington) </w:t>
      </w:r>
      <w:r>
        <w:rPr>
          <w:noProof/>
        </w:rPr>
        <w:t>(Biosecurity Australia 2010b)</w:t>
      </w:r>
      <w:r>
        <w:t xml:space="preserve"> and </w:t>
      </w:r>
      <w:r>
        <w:rPr>
          <w:i/>
        </w:rPr>
        <w:t>Pseudaonidia duple</w:t>
      </w:r>
      <w:r>
        <w:t xml:space="preserve"> is considered to have the same likelihood of distribution, that is </w:t>
      </w:r>
      <w:r>
        <w:rPr>
          <w:b/>
        </w:rPr>
        <w:t>Low.</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t xml:space="preserve">The likelihood that </w:t>
      </w:r>
      <w:r>
        <w:rPr>
          <w:i/>
        </w:rPr>
        <w:t xml:space="preserve">Pseudaonidia duplex </w:t>
      </w:r>
      <w:r>
        <w:t xml:space="preserve">and </w:t>
      </w:r>
      <w:r>
        <w:rPr>
          <w:i/>
        </w:rPr>
        <w:t>Pseudaulacaspis prunicola</w:t>
      </w:r>
      <w:r>
        <w:t xml:space="preserve"> will enter Australia as a result of trade in nectarines from China and be distributed in a viable state to a susceptible host is: </w:t>
      </w:r>
      <w:r>
        <w:rPr>
          <w:b/>
        </w:rPr>
        <w:t>Low</w:t>
      </w:r>
      <w:r>
        <w:t>.</w:t>
      </w: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spread for </w:t>
      </w:r>
      <w:r>
        <w:rPr>
          <w:i/>
        </w:rPr>
        <w:t>Pseudaulacaspis prunicola</w:t>
      </w:r>
      <w:r>
        <w:t xml:space="preserve"> is based on the assessment for stonefruit from the USA (California, Idaho, Oregon and Washington) </w:t>
      </w:r>
      <w:r>
        <w:rPr>
          <w:noProof/>
        </w:rPr>
        <w:t>(Biosecurity Australia 2010b)</w:t>
      </w:r>
      <w:r>
        <w:t xml:space="preserve">. That assessment used the same methodology as described in Chapter 2 of this report. </w:t>
      </w:r>
      <w:r>
        <w:rPr>
          <w:i/>
        </w:rPr>
        <w:t xml:space="preserve">Pseudaonidia </w:t>
      </w:r>
      <w:r>
        <w:t>duplex is considered to have the same likelihood of establishment and spread. The ratings from the previous assessment are presented below:</w:t>
      </w:r>
    </w:p>
    <w:p w:rsidR="00B8782D" w:rsidRDefault="00B8782D">
      <w:r>
        <w:t>Likelihood of establishment:</w:t>
      </w:r>
      <w:r>
        <w:tab/>
      </w:r>
      <w:r>
        <w:tab/>
      </w:r>
      <w:r>
        <w:rPr>
          <w:b/>
        </w:rPr>
        <w:t>High</w:t>
      </w:r>
    </w:p>
    <w:p w:rsidR="00B8782D" w:rsidRDefault="00B8782D">
      <w:r>
        <w:t>Likelihood of spread:</w:t>
      </w:r>
      <w:r>
        <w:tab/>
      </w:r>
      <w:r>
        <w:tab/>
      </w:r>
      <w:r>
        <w:tab/>
      </w:r>
      <w:r>
        <w:rPr>
          <w:b/>
        </w:rPr>
        <w:t>Moderate</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of establishment and of spread using the matrix of rules shown in Table 2.2.</w:t>
      </w:r>
    </w:p>
    <w:p w:rsidR="00B8782D" w:rsidRDefault="00B8782D">
      <w:r>
        <w:t xml:space="preserve">The likelihood that </w:t>
      </w:r>
      <w:r>
        <w:rPr>
          <w:i/>
        </w:rPr>
        <w:t xml:space="preserve">Pseudaonidia duplex </w:t>
      </w:r>
      <w:r>
        <w:t xml:space="preserve">and </w:t>
      </w:r>
      <w:r>
        <w:rPr>
          <w:i/>
        </w:rPr>
        <w:t>Pseudaulacaspis prunicola</w:t>
      </w:r>
      <w:r>
        <w:t xml:space="preserve"> will enter Australia as a result of trade in nectarines from China, be distributed in a viable state to a susceptible host, establish in Australia and subsequently spread within Australia has been assessed as: </w:t>
      </w:r>
      <w:r>
        <w:rPr>
          <w:b/>
        </w:rPr>
        <w:t>Very low</w:t>
      </w:r>
      <w:r>
        <w:t>.</w:t>
      </w:r>
    </w:p>
    <w:p w:rsidR="00B8782D" w:rsidRDefault="00B8782D" w:rsidP="00B8782D">
      <w:pPr>
        <w:pStyle w:val="Heading3"/>
        <w:numPr>
          <w:ilvl w:val="2"/>
          <w:numId w:val="20"/>
        </w:numPr>
      </w:pPr>
      <w:r>
        <w:t>Consequences</w:t>
      </w:r>
    </w:p>
    <w:p w:rsidR="00B8782D" w:rsidRDefault="00B8782D">
      <w:r>
        <w:t xml:space="preserve">The consequences of the establishment of </w:t>
      </w:r>
      <w:r>
        <w:rPr>
          <w:i/>
        </w:rPr>
        <w:t>Pseudaulacaspis prunicola</w:t>
      </w:r>
      <w:r>
        <w:t xml:space="preserve"> are being based on the assessment for stonefruit from the USA </w:t>
      </w:r>
      <w:r>
        <w:rPr>
          <w:noProof/>
        </w:rPr>
        <w:t>(Biosecurity Australia 2010b)</w:t>
      </w:r>
      <w:r>
        <w:t xml:space="preserve"> for </w:t>
      </w:r>
      <w:r>
        <w:rPr>
          <w:i/>
        </w:rPr>
        <w:t>Pseudaulacaspis prunicola</w:t>
      </w:r>
      <w:r>
        <w:t xml:space="preserve">. </w:t>
      </w:r>
      <w:r>
        <w:rPr>
          <w:i/>
        </w:rPr>
        <w:t xml:space="preserve">Pseudaonidia duplex </w:t>
      </w:r>
      <w:r>
        <w:t xml:space="preserve">is considered to have similar impact. The overall consequences have been estimated to be </w:t>
      </w:r>
      <w:r>
        <w:rPr>
          <w:b/>
        </w:rPr>
        <w:t>Low</w:t>
      </w:r>
      <w:r>
        <w:t>.</w:t>
      </w:r>
    </w:p>
    <w:p w:rsidR="00B8782D" w:rsidRDefault="00B8782D" w:rsidP="00B8782D">
      <w:pPr>
        <w:pStyle w:val="Heading3"/>
        <w:numPr>
          <w:ilvl w:val="2"/>
          <w:numId w:val="20"/>
        </w:numPr>
      </w:pPr>
      <w:r>
        <w:t>Unrestricted risk estimate</w:t>
      </w:r>
    </w:p>
    <w:p w:rsidR="00B8782D" w:rsidRDefault="00B8782D">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pPr>
            <w:r>
              <w:t xml:space="preserve">Unrestricted risk estimate for </w:t>
            </w:r>
            <w:r>
              <w:rPr>
                <w:i/>
              </w:rPr>
              <w:t>Pseudaonidia duplex</w:t>
            </w:r>
            <w:r>
              <w:t xml:space="preserve"> and </w:t>
            </w:r>
            <w:r>
              <w:rPr>
                <w:i/>
              </w:rPr>
              <w:t>Pseudaulacaspis prunicola</w:t>
            </w:r>
          </w:p>
        </w:tc>
      </w:tr>
      <w:tr w:rsidR="00B8782D">
        <w:tc>
          <w:tcPr>
            <w:tcW w:w="6459" w:type="dxa"/>
            <w:shd w:val="clear" w:color="auto" w:fill="auto"/>
          </w:tcPr>
          <w:p w:rsidR="00B8782D" w:rsidRDefault="00B8782D">
            <w:pPr>
              <w:pStyle w:val="TableText"/>
            </w:pPr>
            <w:r>
              <w:t>Overall likelihood of entry, establishment and spread</w:t>
            </w:r>
          </w:p>
        </w:tc>
        <w:tc>
          <w:tcPr>
            <w:tcW w:w="2977" w:type="dxa"/>
            <w:shd w:val="clear" w:color="auto" w:fill="auto"/>
          </w:tcPr>
          <w:p w:rsidR="00B8782D" w:rsidRDefault="00B8782D">
            <w:pPr>
              <w:pStyle w:val="TableText"/>
            </w:pPr>
            <w:r>
              <w:t>Very low</w:t>
            </w:r>
          </w:p>
        </w:tc>
      </w:tr>
      <w:tr w:rsidR="00B8782D">
        <w:tc>
          <w:tcPr>
            <w:tcW w:w="6459" w:type="dxa"/>
            <w:shd w:val="clear" w:color="auto" w:fill="auto"/>
          </w:tcPr>
          <w:p w:rsidR="00B8782D" w:rsidRDefault="00B8782D">
            <w:pPr>
              <w:pStyle w:val="TableText"/>
            </w:pPr>
            <w:r>
              <w:t>Consequences</w:t>
            </w:r>
          </w:p>
        </w:tc>
        <w:tc>
          <w:tcPr>
            <w:tcW w:w="2977" w:type="dxa"/>
            <w:shd w:val="clear" w:color="auto" w:fill="auto"/>
          </w:tcPr>
          <w:p w:rsidR="00B8782D" w:rsidRDefault="00B8782D">
            <w:pPr>
              <w:pStyle w:val="TableText"/>
            </w:pPr>
            <w:r>
              <w:t>Low</w:t>
            </w:r>
          </w:p>
        </w:tc>
      </w:tr>
      <w:tr w:rsidR="00B8782D">
        <w:tc>
          <w:tcPr>
            <w:tcW w:w="6459" w:type="dxa"/>
            <w:shd w:val="clear" w:color="auto" w:fill="auto"/>
          </w:tcPr>
          <w:p w:rsidR="00B8782D" w:rsidRDefault="00B8782D">
            <w:pPr>
              <w:pStyle w:val="TableText"/>
            </w:pPr>
            <w:r>
              <w:t>Unrestricted risk</w:t>
            </w:r>
          </w:p>
        </w:tc>
        <w:tc>
          <w:tcPr>
            <w:tcW w:w="2977" w:type="dxa"/>
            <w:shd w:val="clear" w:color="auto" w:fill="auto"/>
          </w:tcPr>
          <w:p w:rsidR="00B8782D" w:rsidRDefault="00B8782D">
            <w:pPr>
              <w:pStyle w:val="TableText"/>
            </w:pPr>
            <w:r>
              <w:t>Very Low</w:t>
            </w:r>
          </w:p>
        </w:tc>
      </w:tr>
    </w:tbl>
    <w:p w:rsidR="00B8782D" w:rsidRDefault="00B8782D">
      <w:pPr>
        <w:sectPr w:rsidR="00B8782D">
          <w:pgSz w:w="11906" w:h="16838"/>
          <w:pgMar w:top="1418" w:right="1418" w:bottom="1418" w:left="1418" w:header="567" w:footer="283" w:gutter="0"/>
          <w:cols w:space="708"/>
          <w:docGrid w:linePitch="360"/>
        </w:sectPr>
      </w:pPr>
      <w:bookmarkStart w:id="64" w:name="_Toc411241728"/>
      <w:bookmarkStart w:id="65" w:name="_Toc412119046"/>
      <w:bookmarkStart w:id="66" w:name="_Toc412467929"/>
      <w:bookmarkStart w:id="67" w:name="_Toc415486475"/>
      <w:bookmarkStart w:id="68" w:name="_Toc416870127"/>
      <w:r>
        <w:lastRenderedPageBreak/>
        <w:t xml:space="preserve">As indicated, the unrestricted risk estimate for </w:t>
      </w:r>
      <w:r>
        <w:rPr>
          <w:i/>
        </w:rPr>
        <w:t>Pseudaonidia duplex</w:t>
      </w:r>
      <w:r>
        <w:t xml:space="preserve"> and </w:t>
      </w:r>
      <w:r>
        <w:rPr>
          <w:i/>
        </w:rPr>
        <w:t>Pseudaulacaspis prunicola</w:t>
      </w:r>
      <w:r>
        <w:t xml:space="preserve"> has been assessed as ‘very low’, which achieves Australia’s ALOP. Therefore, no specific risk management measures are required for these pests.</w:t>
      </w:r>
      <w:bookmarkEnd w:id="64"/>
      <w:bookmarkEnd w:id="65"/>
      <w:bookmarkEnd w:id="66"/>
      <w:bookmarkEnd w:id="67"/>
      <w:bookmarkEnd w:id="68"/>
    </w:p>
    <w:p w:rsidR="00B8782D" w:rsidRDefault="00B8782D" w:rsidP="00B8782D">
      <w:pPr>
        <w:pStyle w:val="Heading2"/>
        <w:numPr>
          <w:ilvl w:val="1"/>
          <w:numId w:val="20"/>
        </w:numPr>
      </w:pPr>
      <w:bookmarkStart w:id="69" w:name="_Toc448312502"/>
      <w:r>
        <w:lastRenderedPageBreak/>
        <w:t>Leaf rollers</w:t>
      </w:r>
      <w:bookmarkEnd w:id="69"/>
    </w:p>
    <w:p w:rsidR="00B8782D" w:rsidRDefault="00B8782D">
      <w:pPr>
        <w:pStyle w:val="Heading4"/>
      </w:pPr>
      <w:r>
        <w:rPr>
          <w:i/>
        </w:rPr>
        <w:t>Adoxophyes orana</w:t>
      </w:r>
      <w:r>
        <w:t xml:space="preserve"> (EP), </w:t>
      </w:r>
      <w:r>
        <w:rPr>
          <w:i/>
        </w:rPr>
        <w:t>Argyrotaenia ljungiana</w:t>
      </w:r>
      <w:r>
        <w:t xml:space="preserve"> and </w:t>
      </w:r>
      <w:r>
        <w:rPr>
          <w:i/>
        </w:rPr>
        <w:t>Spilonota albicana</w:t>
      </w:r>
      <w:r>
        <w:t xml:space="preserve"> (EP)</w:t>
      </w:r>
    </w:p>
    <w:p w:rsidR="00B8782D" w:rsidRDefault="00B8782D">
      <w:r>
        <w:rPr>
          <w:i/>
        </w:rPr>
        <w:t>Adoxophyes orana</w:t>
      </w:r>
      <w:r>
        <w:rPr>
          <w:i/>
          <w:vertAlign w:val="superscript"/>
        </w:rPr>
        <w:t xml:space="preserve"> </w:t>
      </w:r>
      <w:r>
        <w:t xml:space="preserve">(summerfruit tortrix), </w:t>
      </w:r>
      <w:r>
        <w:rPr>
          <w:i/>
        </w:rPr>
        <w:t>Argyrotaenia ljungiana</w:t>
      </w:r>
      <w:r>
        <w:t xml:space="preserve"> (grape tortrix) and </w:t>
      </w:r>
      <w:r>
        <w:rPr>
          <w:i/>
        </w:rPr>
        <w:t xml:space="preserve">Spilonota albicana </w:t>
      </w:r>
      <w:r>
        <w:t>(white fruit moth)</w:t>
      </w:r>
      <w:r>
        <w:rPr>
          <w:i/>
        </w:rPr>
        <w:t xml:space="preserve"> </w:t>
      </w:r>
      <w:r>
        <w:t>belong to the Tortricidae family. Moths of</w:t>
      </w:r>
      <w:r>
        <w:rPr>
          <w:i/>
        </w:rPr>
        <w:t xml:space="preserve"> </w:t>
      </w:r>
      <w:r>
        <w:t xml:space="preserve">this family are an economically important group commonly referred as leaf rollers due to their habit of spinning leaves together or rolling leaves of their host plants for shelter </w:t>
      </w:r>
      <w:r>
        <w:rPr>
          <w:noProof/>
        </w:rPr>
        <w:t>(Alford 2007)</w:t>
      </w:r>
      <w:r>
        <w:t>.</w:t>
      </w:r>
    </w:p>
    <w:p w:rsidR="00B8782D" w:rsidRDefault="00B8782D">
      <w:r>
        <w:t xml:space="preserve">Leaf rollers damage fruit crops through larval feeding on buds, foliage, bracts, fruitlets and fruit </w:t>
      </w:r>
      <w:r>
        <w:rPr>
          <w:noProof/>
        </w:rPr>
        <w:t>(Alford 2007; Ovsyannikova &amp; Grichanov 2009)</w:t>
      </w:r>
      <w:r>
        <w:t>. Leaf roller larval attack on maturing fruit causes considerable damage in quality rendering fruit blemished and unmarketable.</w:t>
      </w:r>
      <w:r>
        <w:rPr>
          <w:color w:val="000000"/>
        </w:rPr>
        <w:t xml:space="preserve"> Infestations of leaf rollers may also result in secondary infections by fungal pathogens causing fruit to rot </w:t>
      </w:r>
      <w:r>
        <w:rPr>
          <w:noProof/>
          <w:color w:val="000000"/>
        </w:rPr>
        <w:t>(Alford 2007)</w:t>
      </w:r>
      <w:r>
        <w:rPr>
          <w:color w:val="000000"/>
        </w:rPr>
        <w:t>.</w:t>
      </w:r>
    </w:p>
    <w:p w:rsidR="00B8782D" w:rsidRDefault="00B8782D">
      <w:r>
        <w:t>Leaf rollers have four life stages: egg, larva, pupa and adult. Females lay eggs in batches on leaves of the host plants. Newly hatched larvae feed on the underside of the leaves, close to the mid-rib. Once they have rolled or webbed leaves together with silk to form a shelter, the larvae feed more extensively, usually at the shoot tips. Foliage is often rolled or webbed against the fruit and fruitlets, which are then also attacked.</w:t>
      </w:r>
    </w:p>
    <w:p w:rsidR="00B8782D" w:rsidRDefault="00B8782D">
      <w:r>
        <w:t>The biology and taxonomy of these three leafroller species and the impacts on host plants are considered sufficiently similar to justify combining them into a single assessment. In this assessment, the term ‘leaf rollers’ is used to refer to these three species unless otherwise specified.</w:t>
      </w:r>
    </w:p>
    <w:p w:rsidR="00B8782D" w:rsidRDefault="00B8782D">
      <w:r>
        <w:t>The risk scenario of concern for leaf rollers is the presence of eggs on or larvae inside imported nectarines.</w:t>
      </w:r>
    </w:p>
    <w:p w:rsidR="00B8782D" w:rsidRDefault="00B8782D">
      <w:r>
        <w:rPr>
          <w:i/>
        </w:rPr>
        <w:t xml:space="preserve">Adoxophyes orana </w:t>
      </w:r>
      <w:r>
        <w:t xml:space="preserve">and </w:t>
      </w:r>
      <w:r>
        <w:rPr>
          <w:i/>
        </w:rPr>
        <w:t>S. albicana</w:t>
      </w:r>
      <w:r>
        <w:t xml:space="preserve"> were assessed in the existing import policy for apples from China </w:t>
      </w:r>
      <w:r>
        <w:rPr>
          <w:noProof/>
        </w:rPr>
        <w:t>(Biosecurity Australia 2010a)</w:t>
      </w:r>
      <w:r>
        <w:t xml:space="preserve">. </w:t>
      </w:r>
      <w:r>
        <w:rPr>
          <w:i/>
        </w:rPr>
        <w:t>Adoxophyes orana</w:t>
      </w:r>
      <w:r>
        <w:t xml:space="preserve"> was also assessed in the existing import policy for longan and lychees from China and Thailand </w:t>
      </w:r>
      <w:r>
        <w:rPr>
          <w:noProof/>
        </w:rPr>
        <w:t>(DAFF 2004)</w:t>
      </w:r>
      <w:r>
        <w:t xml:space="preserve">. It is considered that these previous assessment for </w:t>
      </w:r>
      <w:r>
        <w:rPr>
          <w:i/>
        </w:rPr>
        <w:t xml:space="preserve">A. orana </w:t>
      </w:r>
      <w:r>
        <w:t xml:space="preserve">and </w:t>
      </w:r>
      <w:r>
        <w:rPr>
          <w:i/>
        </w:rPr>
        <w:t>S. albicana</w:t>
      </w:r>
      <w:r>
        <w:t xml:space="preserve"> can also equally apply to </w:t>
      </w:r>
      <w:r>
        <w:rPr>
          <w:i/>
        </w:rPr>
        <w:t>A. ljungiana</w:t>
      </w:r>
      <w:r>
        <w:t>. Therefore, the assessment of the above-listed leaf rollers presented here builds on these previous assessments.</w:t>
      </w:r>
    </w:p>
    <w:p w:rsidR="00B8782D" w:rsidRDefault="00B8782D">
      <w:r>
        <w:t>Differences in commodities, horticultural practices, climatic conditions and the prevalence of leaf rollers between previous export areas in China and Thailand and new export areas in China make it necessary to reassess the likelihood that leaf rollers will be imported into Australia with nectarines from China.</w:t>
      </w:r>
    </w:p>
    <w:p w:rsidR="00B8782D" w:rsidRDefault="00B8782D">
      <w:r>
        <w:t>Fresh nectarine fruit is expected to be imported from China from May to October which is similar to the timing of the import of apples from China and longans and lychees from Thailand and China. After importation, nectarines will be distributed throughout Australia for retail sale in a similar way to these fresh fruit commodities. Therefore, it is considered unnecessary to reassess the likelihood of distribution.</w:t>
      </w:r>
    </w:p>
    <w:p w:rsidR="00B8782D" w:rsidRDefault="00B8782D">
      <w:r>
        <w:t xml:space="preserve">The likelihood of establishment and spread of </w:t>
      </w:r>
      <w:r>
        <w:rPr>
          <w:i/>
        </w:rPr>
        <w:t xml:space="preserve">A. orana </w:t>
      </w:r>
      <w:r>
        <w:t xml:space="preserve">and </w:t>
      </w:r>
      <w:r>
        <w:rPr>
          <w:i/>
        </w:rPr>
        <w:t>S. albicana</w:t>
      </w:r>
      <w:r>
        <w:t xml:space="preserve"> in Australia will be comparable regardless of the fresh fruit commodity in which </w:t>
      </w:r>
      <w:r>
        <w:rPr>
          <w:i/>
        </w:rPr>
        <w:t xml:space="preserve">A. orana </w:t>
      </w:r>
      <w:r>
        <w:t xml:space="preserve">and </w:t>
      </w:r>
      <w:r>
        <w:rPr>
          <w:i/>
        </w:rPr>
        <w:t>S. albicana</w:t>
      </w:r>
      <w:r>
        <w:t xml:space="preserve"> are imported into Australia, as these likelihoods relate specifically to events that occur in Australia </w:t>
      </w:r>
      <w:r>
        <w:lastRenderedPageBreak/>
        <w:t xml:space="preserve">and are independent of the importation pathway. The consequences of </w:t>
      </w:r>
      <w:r>
        <w:rPr>
          <w:i/>
        </w:rPr>
        <w:t xml:space="preserve">A. orana </w:t>
      </w:r>
      <w:r>
        <w:t xml:space="preserve">and </w:t>
      </w:r>
      <w:r>
        <w:rPr>
          <w:i/>
        </w:rPr>
        <w:t>S. albicana</w:t>
      </w:r>
      <w:r>
        <w:t xml:space="preserve"> are also independent of the importation pathway. Accordingly, there is no need to reassess these components of the risk.</w:t>
      </w:r>
    </w:p>
    <w:p w:rsidR="00B8782D" w:rsidRDefault="00B8782D">
      <w:r>
        <w:t>The likelihood of establishment and of spread of the above-listed leaf rollers in Australia, and the consequences they may cause will be comparable for any fruit commodity from which these species are imported into Australia, as these likelihoods relate specifically to events that occur in Australia and are largely independent of the importation pathway. Accordingly, there is no need to reassess these components.</w:t>
      </w:r>
    </w:p>
    <w:p w:rsidR="00B8782D" w:rsidRDefault="00B8782D">
      <w:r>
        <w:t xml:space="preserve">In addition, the Australian Government Department of Agriculture and Water Resources has reviewed the latest literature and no new information is available that would significantly change the risk ratings for distribution, establishment, spread and consequences as set out for </w:t>
      </w:r>
      <w:r>
        <w:rPr>
          <w:i/>
        </w:rPr>
        <w:t xml:space="preserve">A. orana </w:t>
      </w:r>
      <w:r>
        <w:t xml:space="preserve">and </w:t>
      </w:r>
      <w:r>
        <w:rPr>
          <w:i/>
        </w:rPr>
        <w:t>S. albicana</w:t>
      </w:r>
      <w:r>
        <w:t xml:space="preserve"> in the existing policy for apples from China </w:t>
      </w:r>
      <w:r>
        <w:rPr>
          <w:noProof/>
        </w:rPr>
        <w:t>(Biosecurity Australia 2010a)</w:t>
      </w:r>
      <w:r>
        <w:t>. Therefore, those risk ratings will be adopted for this assessment.</w:t>
      </w:r>
    </w:p>
    <w:p w:rsidR="00B8782D" w:rsidRDefault="00B8782D" w:rsidP="00B8782D">
      <w:pPr>
        <w:pStyle w:val="Heading3"/>
        <w:numPr>
          <w:ilvl w:val="2"/>
          <w:numId w:val="20"/>
        </w:numPr>
      </w:pPr>
      <w:r>
        <w:t>Likelihood of entry</w:t>
      </w:r>
    </w:p>
    <w:p w:rsidR="00B8782D" w:rsidRDefault="00B8782D">
      <w:pPr>
        <w:rPr>
          <w:b/>
        </w:rPr>
      </w:pPr>
      <w:r>
        <w:t>The likelihood of entry is considered in two parts, the likelihood of importation and the likelihood of distribution, which consider pre-border and post-border issues, respectively.</w:t>
      </w:r>
    </w:p>
    <w:p w:rsidR="00B8782D" w:rsidRDefault="00B8782D">
      <w:pPr>
        <w:pStyle w:val="Heading4"/>
      </w:pPr>
      <w:r>
        <w:t>Likelihood of importation</w:t>
      </w:r>
    </w:p>
    <w:p w:rsidR="00B8782D" w:rsidRDefault="00B8782D">
      <w:r>
        <w:t xml:space="preserve">The likelihood that </w:t>
      </w:r>
      <w:r>
        <w:rPr>
          <w:i/>
        </w:rPr>
        <w:t xml:space="preserve">Adoxophyes orana, Argyrotaenia ljungiana </w:t>
      </w:r>
      <w:r>
        <w:t xml:space="preserve">and </w:t>
      </w:r>
      <w:r>
        <w:rPr>
          <w:i/>
        </w:rPr>
        <w:t>Spilonota albicana</w:t>
      </w:r>
      <w:r>
        <w:t xml:space="preserve"> will arrive in Australia with the importation of fresh nectarines from China is: </w:t>
      </w:r>
      <w:r>
        <w:rPr>
          <w:b/>
        </w:rPr>
        <w:t>Low</w:t>
      </w:r>
      <w:r>
        <w:t>.</w:t>
      </w:r>
    </w:p>
    <w:p w:rsidR="00B8782D" w:rsidRDefault="00B8782D">
      <w:r>
        <w:t>The following information provides supporting evidence for this assessment.</w:t>
      </w:r>
    </w:p>
    <w:p w:rsidR="00B8782D" w:rsidRDefault="00B8782D">
      <w:pPr>
        <w:pStyle w:val="ListBullet"/>
      </w:pPr>
      <w:r>
        <w:rPr>
          <w:i/>
        </w:rPr>
        <w:t xml:space="preserve">Adoxophyes orana, A. ljungiana </w:t>
      </w:r>
      <w:r>
        <w:t xml:space="preserve">and </w:t>
      </w:r>
      <w:r>
        <w:rPr>
          <w:i/>
        </w:rPr>
        <w:t>S. albicana</w:t>
      </w:r>
      <w:r>
        <w:t xml:space="preserve"> are widely distributed in China including major peach and nectarine production regions and are major pests of a range of horticultural commodities including stonefruit and apples </w:t>
      </w:r>
      <w:r>
        <w:rPr>
          <w:noProof/>
        </w:rPr>
        <w:t>(Hua &amp; Wang 2006; Ma 2006)</w:t>
      </w:r>
      <w:r>
        <w:t>.</w:t>
      </w:r>
    </w:p>
    <w:p w:rsidR="00B8782D" w:rsidRDefault="00B8782D">
      <w:pPr>
        <w:pStyle w:val="ListBullet"/>
        <w:rPr>
          <w:i/>
        </w:rPr>
      </w:pPr>
      <w:r>
        <w:rPr>
          <w:i/>
        </w:rPr>
        <w:t>Adoxophyes orana</w:t>
      </w:r>
      <w:r>
        <w:t xml:space="preserve"> females lay eggs on the surface of leaves or fruit of the host plants </w:t>
      </w:r>
      <w:r>
        <w:rPr>
          <w:noProof/>
        </w:rPr>
        <w:t>(Byun, Yan &amp; Li 2003)</w:t>
      </w:r>
      <w:r>
        <w:t>.</w:t>
      </w:r>
      <w:r>
        <w:rPr>
          <w:i/>
        </w:rPr>
        <w:t xml:space="preserve"> </w:t>
      </w:r>
      <w:r>
        <w:t xml:space="preserve">First instar larvae hatch in 8-20 days and feed under a silk web on the underside of a leaf. Later instars feed inside rolled leaves or web leaves to fruit and feed on the surface. Larvae complete five instars and pupation occurs in the final larval nest. Second or third instar larvae of the last generation hibernate until spring and complete development by feeding on buds and young leaves </w:t>
      </w:r>
      <w:r>
        <w:rPr>
          <w:noProof/>
        </w:rPr>
        <w:t>(Gilligan &amp; Epstein 2014)</w:t>
      </w:r>
      <w:r>
        <w:t xml:space="preserve">. Larval feeding of the fruit includes external fruit damage (point-like holes) in the fruit tissue </w:t>
      </w:r>
      <w:r>
        <w:rPr>
          <w:rFonts w:cs="Cambria"/>
        </w:rPr>
        <w:t xml:space="preserve">and grazing damage on fruit surface </w:t>
      </w:r>
      <w:r>
        <w:rPr>
          <w:rFonts w:cs="Cambria"/>
          <w:noProof/>
        </w:rPr>
        <w:t>(Noma et al. 2010)</w:t>
      </w:r>
      <w:r>
        <w:t>.</w:t>
      </w:r>
    </w:p>
    <w:p w:rsidR="00B8782D" w:rsidRDefault="00B8782D">
      <w:pPr>
        <w:pStyle w:val="ListBullet"/>
      </w:pPr>
      <w:r>
        <w:rPr>
          <w:i/>
        </w:rPr>
        <w:t xml:space="preserve"> Argyrotaenia ljungiana </w:t>
      </w:r>
      <w:r>
        <w:t xml:space="preserve">females deposit eggs in batches usually on the upper surface of host plant leaves. The newly hatched larvae skeletonise the undersides of leaves along the midrib, later dispersing to feed inside leaves spun together or against fruit </w:t>
      </w:r>
      <w:r>
        <w:rPr>
          <w:noProof/>
        </w:rPr>
        <w:t>(Meijerman &amp; Ulenberg 2000a)</w:t>
      </w:r>
      <w:r>
        <w:t>. Beginning from the 3</w:t>
      </w:r>
      <w:r>
        <w:rPr>
          <w:vertAlign w:val="superscript"/>
        </w:rPr>
        <w:t>rd</w:t>
      </w:r>
      <w:r>
        <w:t xml:space="preserve"> instar, they live in rolled or folded leaves and damage buds or fruits adjoining to those leaves, gnawing out surface cavities in fruits </w:t>
      </w:r>
      <w:r>
        <w:rPr>
          <w:noProof/>
        </w:rPr>
        <w:t>(Afonin et al. 2008)</w:t>
      </w:r>
      <w:r>
        <w:t xml:space="preserve">. The infested fruit will be readily detected. </w:t>
      </w:r>
    </w:p>
    <w:p w:rsidR="00B8782D" w:rsidRDefault="00B8782D">
      <w:pPr>
        <w:pStyle w:val="ListBullet"/>
      </w:pPr>
      <w:r>
        <w:t xml:space="preserve">Eggs laid on the surface of fruit would likely be dislodged by pressurised air gun cleaning. However, </w:t>
      </w:r>
      <w:r>
        <w:rPr>
          <w:i/>
        </w:rPr>
        <w:t xml:space="preserve">S. albicana </w:t>
      </w:r>
      <w:r>
        <w:t xml:space="preserve">(mainly a pome fruit pest) females may lay eggs in the calyx of its host fruit </w:t>
      </w:r>
      <w:r>
        <w:rPr>
          <w:noProof/>
        </w:rPr>
        <w:t>(CAAS 1992)</w:t>
      </w:r>
      <w:r>
        <w:t xml:space="preserve">. In the case of peach and nectarine fruit, it may lay its eggs in the </w:t>
      </w:r>
      <w:r>
        <w:lastRenderedPageBreak/>
        <w:t>depression at the stem end and these eggs may not be completely removed during the cleaning process.</w:t>
      </w:r>
    </w:p>
    <w:p w:rsidR="00B8782D" w:rsidRDefault="00B8782D">
      <w:pPr>
        <w:pStyle w:val="ListBullet"/>
      </w:pPr>
      <w:r>
        <w:t xml:space="preserve">Newly hatched later generations of </w:t>
      </w:r>
      <w:r>
        <w:rPr>
          <w:i/>
        </w:rPr>
        <w:t>S. albicana</w:t>
      </w:r>
      <w:r>
        <w:t xml:space="preserve"> larvae may bore into fruit from the calyx or stem end of the fruit. A spot or swelling is formed on fruit surface because of congestion of frass and would be readily detected </w:t>
      </w:r>
      <w:r>
        <w:rPr>
          <w:noProof/>
        </w:rPr>
        <w:t>(Afonin et al. 2008)</w:t>
      </w:r>
      <w:r>
        <w:t>. However, newly infested fruit is less likely to have any obvious symptoms of presence of eggs or larvae on the fruit. Such fruit may escape detection during the packinghouse procedures.</w:t>
      </w:r>
    </w:p>
    <w:p w:rsidR="00B8782D" w:rsidRDefault="00B8782D">
      <w:pPr>
        <w:pStyle w:val="ListBullet"/>
      </w:pPr>
      <w:r>
        <w:rPr>
          <w:i/>
        </w:rPr>
        <w:t>Adoxophyes orana</w:t>
      </w:r>
      <w:r>
        <w:t xml:space="preserve"> and </w:t>
      </w:r>
      <w:r>
        <w:rPr>
          <w:i/>
        </w:rPr>
        <w:t>S. albicana</w:t>
      </w:r>
      <w:r>
        <w:t xml:space="preserve"> are present in the far North East region in China </w:t>
      </w:r>
      <w:r>
        <w:rPr>
          <w:noProof/>
        </w:rPr>
        <w:t>(Byun, Yan &amp; Li 2003; Zhang &amp; Li 2005)</w:t>
      </w:r>
      <w:r>
        <w:t>. Their larvae survive the extreme winter temperatures in Liaoning and Heilongjiang provinces respectively. This indicates that these species have the potential to survive cold temperatures during the transportation of nectarines from China to Australia, hence, are likely to survive storage and transportation.</w:t>
      </w:r>
    </w:p>
    <w:p w:rsidR="00B8782D" w:rsidRDefault="00B8782D">
      <w:r>
        <w:t>Leaf rollers are widely distributed in China’s major peach and nectarine production regions and are associated with peach and nectarine fruit. Leaf roller larvae and eggs are likely to survive the cold temperatures during storage and transportation. Obvious visible symptoms on fruit significantly reduce the risk of these pests on the packed commercial quality fruit. This information supports a likelihood estimate for importation of ‘low’.</w:t>
      </w:r>
    </w:p>
    <w:p w:rsidR="00B8782D" w:rsidRDefault="00B8782D">
      <w:pPr>
        <w:pStyle w:val="Heading4"/>
      </w:pPr>
      <w:r>
        <w:t>Likelihood of distribution</w:t>
      </w:r>
    </w:p>
    <w:p w:rsidR="00B8782D" w:rsidRDefault="00B8782D">
      <w:r>
        <w:t xml:space="preserve">The likelihood of distribution for </w:t>
      </w:r>
      <w:r>
        <w:rPr>
          <w:i/>
        </w:rPr>
        <w:t xml:space="preserve">A. orana </w:t>
      </w:r>
      <w:r>
        <w:t xml:space="preserve">and </w:t>
      </w:r>
      <w:r>
        <w:rPr>
          <w:i/>
        </w:rPr>
        <w:t>S. albicana</w:t>
      </w:r>
      <w:r>
        <w:t xml:space="preserve"> assessed here would be the same as that for </w:t>
      </w:r>
      <w:r>
        <w:rPr>
          <w:i/>
        </w:rPr>
        <w:t xml:space="preserve">A. orana </w:t>
      </w:r>
      <w:r>
        <w:t xml:space="preserve">and </w:t>
      </w:r>
      <w:r>
        <w:rPr>
          <w:i/>
        </w:rPr>
        <w:t>S. albicana</w:t>
      </w:r>
      <w:r>
        <w:t xml:space="preserve"> for apples from China </w:t>
      </w:r>
      <w:r>
        <w:rPr>
          <w:noProof/>
        </w:rPr>
        <w:t>(Biosecurity Australia 2010a)</w:t>
      </w:r>
      <w:r>
        <w:t xml:space="preserve"> and it is considered that </w:t>
      </w:r>
      <w:r>
        <w:rPr>
          <w:i/>
        </w:rPr>
        <w:t>A. ljungiana</w:t>
      </w:r>
      <w:r>
        <w:t xml:space="preserve"> would have the same likelihood of distribution, that is </w:t>
      </w:r>
      <w:r>
        <w:rPr>
          <w:b/>
        </w:rPr>
        <w:t>Moderate.</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t xml:space="preserve">The likelihood that </w:t>
      </w:r>
      <w:r>
        <w:rPr>
          <w:i/>
        </w:rPr>
        <w:t xml:space="preserve">A. orana, A. ljungiana </w:t>
      </w:r>
      <w:r>
        <w:t xml:space="preserve">and </w:t>
      </w:r>
      <w:r>
        <w:rPr>
          <w:i/>
        </w:rPr>
        <w:t>S. albicana</w:t>
      </w:r>
      <w:r>
        <w:t xml:space="preserve"> will enter Australia as a result of trade in nectarines from China and be distributed in a viable state to a susceptible host is: </w:t>
      </w:r>
      <w:r>
        <w:rPr>
          <w:b/>
        </w:rPr>
        <w:t>Low</w:t>
      </w:r>
      <w:r>
        <w:t>.</w:t>
      </w: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of spread for the above-listed leaf rollers is based on the assessment for </w:t>
      </w:r>
      <w:r>
        <w:rPr>
          <w:i/>
        </w:rPr>
        <w:t xml:space="preserve">A. orana </w:t>
      </w:r>
      <w:r>
        <w:t xml:space="preserve">and </w:t>
      </w:r>
      <w:r>
        <w:rPr>
          <w:i/>
        </w:rPr>
        <w:t>S. albicana</w:t>
      </w:r>
      <w:r>
        <w:t xml:space="preserve"> for apples from China </w:t>
      </w:r>
      <w:r>
        <w:rPr>
          <w:noProof/>
        </w:rPr>
        <w:t>(Biosecurity Australia 2010a)</w:t>
      </w:r>
      <w:r>
        <w:t xml:space="preserve">. It is considered that </w:t>
      </w:r>
      <w:r>
        <w:rPr>
          <w:i/>
        </w:rPr>
        <w:t>A. ljungiana</w:t>
      </w:r>
      <w:r>
        <w:t xml:space="preserve"> would have the same likelihoods of establishment and spread. The ratings from the previous assessment are presented below:</w:t>
      </w:r>
    </w:p>
    <w:p w:rsidR="00B8782D" w:rsidRDefault="00B8782D">
      <w:r>
        <w:t>Likelihood of establishment:</w:t>
      </w:r>
      <w:r>
        <w:tab/>
      </w:r>
      <w:r>
        <w:tab/>
      </w:r>
      <w:r>
        <w:rPr>
          <w:b/>
        </w:rPr>
        <w:t>High</w:t>
      </w:r>
    </w:p>
    <w:p w:rsidR="00B8782D" w:rsidRDefault="00B8782D">
      <w:r>
        <w:t>Likelihood of spread:</w:t>
      </w:r>
      <w:r>
        <w:tab/>
      </w:r>
      <w:r>
        <w:tab/>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of establishment and of spread using the matrix of rules shown in Table 2.2.</w:t>
      </w:r>
    </w:p>
    <w:p w:rsidR="00B8782D" w:rsidRDefault="00B8782D">
      <w:r>
        <w:lastRenderedPageBreak/>
        <w:t xml:space="preserve">The likelihood that the above-listed leaf rollers will enter Australia as a result of trade in nectarines from China, be distributed in a viable state to a susceptible host, establish in Australia and subsequently spread within Australia has been assessed as: </w:t>
      </w:r>
      <w:r>
        <w:rPr>
          <w:b/>
        </w:rPr>
        <w:t>Low</w:t>
      </w:r>
      <w:r>
        <w:t>.</w:t>
      </w:r>
    </w:p>
    <w:p w:rsidR="00B8782D" w:rsidRDefault="00B8782D" w:rsidP="00B8782D">
      <w:pPr>
        <w:pStyle w:val="Heading3"/>
        <w:numPr>
          <w:ilvl w:val="2"/>
          <w:numId w:val="20"/>
        </w:numPr>
      </w:pPr>
      <w:r>
        <w:t>Consequences</w:t>
      </w:r>
    </w:p>
    <w:p w:rsidR="00B8782D" w:rsidRDefault="00B8782D">
      <w:r>
        <w:t xml:space="preserve">It is considered that the overall consequences of </w:t>
      </w:r>
      <w:r>
        <w:rPr>
          <w:i/>
        </w:rPr>
        <w:t xml:space="preserve">A. ljungiana </w:t>
      </w:r>
      <w:r>
        <w:t xml:space="preserve">would be similar as previously assessed for </w:t>
      </w:r>
      <w:r>
        <w:rPr>
          <w:i/>
        </w:rPr>
        <w:t>A. orana</w:t>
      </w:r>
      <w:r>
        <w:t xml:space="preserve"> and </w:t>
      </w:r>
      <w:r>
        <w:rPr>
          <w:i/>
        </w:rPr>
        <w:t>S. albicana</w:t>
      </w:r>
      <w:r>
        <w:t xml:space="preserve">. The consequences of the establishment of </w:t>
      </w:r>
      <w:r>
        <w:rPr>
          <w:i/>
        </w:rPr>
        <w:t>A. orana</w:t>
      </w:r>
      <w:r>
        <w:t xml:space="preserve"> and </w:t>
      </w:r>
      <w:r>
        <w:rPr>
          <w:i/>
        </w:rPr>
        <w:t>S. albicana</w:t>
      </w:r>
      <w:r>
        <w:t xml:space="preserve"> in Australia have been estimated previously for apples from China </w:t>
      </w:r>
      <w:r>
        <w:rPr>
          <w:noProof/>
        </w:rPr>
        <w:t>(Biosecurity Australia 2010a)</w:t>
      </w:r>
      <w:r>
        <w:t xml:space="preserve">. The overall consequences have been estimated to be </w:t>
      </w:r>
      <w:r>
        <w:rPr>
          <w:b/>
        </w:rPr>
        <w:t>Moderate</w:t>
      </w:r>
      <w:r>
        <w:t>.</w:t>
      </w:r>
    </w:p>
    <w:p w:rsidR="00B8782D" w:rsidRDefault="00B8782D" w:rsidP="00B8782D">
      <w:pPr>
        <w:pStyle w:val="Heading3"/>
        <w:numPr>
          <w:ilvl w:val="2"/>
          <w:numId w:val="20"/>
        </w:numPr>
      </w:pPr>
      <w:r>
        <w:t>Unrestricted risk estimate</w:t>
      </w:r>
    </w:p>
    <w:p w:rsidR="00B8782D" w:rsidRDefault="00B8782D">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pPr>
            <w:r>
              <w:t xml:space="preserve">Unrestricted risk estimate for </w:t>
            </w:r>
            <w:r>
              <w:rPr>
                <w:i/>
              </w:rPr>
              <w:t>Adoxophyes orana</w:t>
            </w:r>
            <w:r>
              <w:t xml:space="preserve">, </w:t>
            </w:r>
            <w:r>
              <w:rPr>
                <w:i/>
              </w:rPr>
              <w:t>Argyrotaenia ljungiana</w:t>
            </w:r>
            <w:r>
              <w:t xml:space="preserve"> and </w:t>
            </w:r>
            <w:r>
              <w:rPr>
                <w:i/>
              </w:rPr>
              <w:t>Spilonota albicana</w:t>
            </w:r>
          </w:p>
        </w:tc>
      </w:tr>
      <w:tr w:rsidR="00B8782D">
        <w:tc>
          <w:tcPr>
            <w:tcW w:w="6459" w:type="dxa"/>
            <w:shd w:val="clear" w:color="auto" w:fill="auto"/>
          </w:tcPr>
          <w:p w:rsidR="00B8782D" w:rsidRDefault="00B8782D">
            <w:pPr>
              <w:pStyle w:val="TableText"/>
            </w:pPr>
            <w:r>
              <w:t>Overall likelihood of entry, establishment and spread</w:t>
            </w:r>
          </w:p>
        </w:tc>
        <w:tc>
          <w:tcPr>
            <w:tcW w:w="2977" w:type="dxa"/>
            <w:shd w:val="clear" w:color="auto" w:fill="auto"/>
          </w:tcPr>
          <w:p w:rsidR="00B8782D" w:rsidRDefault="00B8782D">
            <w:pPr>
              <w:pStyle w:val="TableText"/>
            </w:pPr>
            <w:r>
              <w:t>Low</w:t>
            </w:r>
          </w:p>
        </w:tc>
      </w:tr>
      <w:tr w:rsidR="00B8782D">
        <w:tc>
          <w:tcPr>
            <w:tcW w:w="6459" w:type="dxa"/>
            <w:shd w:val="clear" w:color="auto" w:fill="auto"/>
          </w:tcPr>
          <w:p w:rsidR="00B8782D" w:rsidRDefault="00B8782D">
            <w:pPr>
              <w:pStyle w:val="TableText"/>
            </w:pPr>
            <w:r>
              <w:t>Consequences</w:t>
            </w:r>
          </w:p>
        </w:tc>
        <w:tc>
          <w:tcPr>
            <w:tcW w:w="2977" w:type="dxa"/>
            <w:shd w:val="clear" w:color="auto" w:fill="auto"/>
          </w:tcPr>
          <w:p w:rsidR="00B8782D" w:rsidRDefault="00B8782D">
            <w:pPr>
              <w:pStyle w:val="TableText"/>
            </w:pPr>
            <w:r>
              <w:t>Moderate</w:t>
            </w:r>
          </w:p>
        </w:tc>
      </w:tr>
      <w:tr w:rsidR="00B8782D">
        <w:tc>
          <w:tcPr>
            <w:tcW w:w="6459" w:type="dxa"/>
            <w:shd w:val="clear" w:color="auto" w:fill="auto"/>
          </w:tcPr>
          <w:p w:rsidR="00B8782D" w:rsidRDefault="00B8782D">
            <w:pPr>
              <w:pStyle w:val="TableText"/>
            </w:pPr>
            <w:r>
              <w:t>Unrestricted risk</w:t>
            </w:r>
          </w:p>
        </w:tc>
        <w:tc>
          <w:tcPr>
            <w:tcW w:w="2977" w:type="dxa"/>
            <w:shd w:val="clear" w:color="auto" w:fill="auto"/>
          </w:tcPr>
          <w:p w:rsidR="00B8782D" w:rsidRDefault="00B8782D">
            <w:pPr>
              <w:pStyle w:val="TableText"/>
            </w:pPr>
            <w:r>
              <w:t>Low</w:t>
            </w:r>
          </w:p>
        </w:tc>
      </w:tr>
    </w:tbl>
    <w:p w:rsidR="00B8782D" w:rsidRDefault="00B8782D">
      <w:pPr>
        <w:sectPr w:rsidR="00B8782D">
          <w:pgSz w:w="11906" w:h="16838"/>
          <w:pgMar w:top="1418" w:right="1418" w:bottom="1418" w:left="1418" w:header="567" w:footer="283" w:gutter="0"/>
          <w:cols w:space="708"/>
          <w:docGrid w:linePitch="360"/>
        </w:sectPr>
      </w:pPr>
      <w:r>
        <w:t xml:space="preserve">As indicated, the unrestricted risk estimate for </w:t>
      </w:r>
      <w:r>
        <w:rPr>
          <w:i/>
        </w:rPr>
        <w:t>A. orana</w:t>
      </w:r>
      <w:r>
        <w:t xml:space="preserve">, </w:t>
      </w:r>
      <w:r>
        <w:rPr>
          <w:i/>
        </w:rPr>
        <w:t>A. ljungiana</w:t>
      </w:r>
      <w:r>
        <w:t xml:space="preserve"> and </w:t>
      </w:r>
      <w:r>
        <w:rPr>
          <w:i/>
        </w:rPr>
        <w:t>S. albicana</w:t>
      </w:r>
      <w:r>
        <w:t xml:space="preserve"> has been assessed as ‘low’, which is above Australia’s ALOP. Therefore, specific risk management measures are required for these pests.</w:t>
      </w:r>
    </w:p>
    <w:p w:rsidR="00B8782D" w:rsidRDefault="00B8782D" w:rsidP="00B8782D">
      <w:pPr>
        <w:pStyle w:val="Heading2"/>
        <w:numPr>
          <w:ilvl w:val="1"/>
          <w:numId w:val="20"/>
        </w:numPr>
      </w:pPr>
      <w:bookmarkStart w:id="70" w:name="_Toc448312503"/>
      <w:r>
        <w:lastRenderedPageBreak/>
        <w:t>Codling moth</w:t>
      </w:r>
      <w:bookmarkEnd w:id="70"/>
    </w:p>
    <w:p w:rsidR="00B8782D" w:rsidRDefault="00B8782D">
      <w:pPr>
        <w:pStyle w:val="Heading4"/>
      </w:pPr>
      <w:r>
        <w:rPr>
          <w:i/>
        </w:rPr>
        <w:t>Cydia pomonella</w:t>
      </w:r>
      <w:r>
        <w:t xml:space="preserve"> (EP, WA)</w:t>
      </w:r>
    </w:p>
    <w:p w:rsidR="00B8782D" w:rsidRDefault="00B8782D">
      <w:pPr>
        <w:rPr>
          <w:i/>
        </w:rPr>
      </w:pPr>
      <w:r>
        <w:rPr>
          <w:i/>
        </w:rPr>
        <w:t>Cydia pomonella</w:t>
      </w:r>
      <w:r>
        <w:t xml:space="preserve"> is not present in Western Australia and is pest of regional quarantine concern for that state. </w:t>
      </w:r>
      <w:r>
        <w:rPr>
          <w:i/>
        </w:rPr>
        <w:t>Cydia pomonella</w:t>
      </w:r>
      <w:r>
        <w:t xml:space="preserve"> (codling moth)</w:t>
      </w:r>
      <w:r>
        <w:rPr>
          <w:i/>
        </w:rPr>
        <w:t xml:space="preserve"> </w:t>
      </w:r>
      <w:r>
        <w:t>belongs to the Tortricidae family.</w:t>
      </w:r>
    </w:p>
    <w:p w:rsidR="00B8782D" w:rsidRDefault="00B8782D">
      <w:r>
        <w:rPr>
          <w:i/>
        </w:rPr>
        <w:t>Cydia pomonella</w:t>
      </w:r>
      <w:r>
        <w:t xml:space="preserve"> is a serious pest of pome fruit (apples and pears) throughout temperate regions of the world except Japan and Korea. It has also been shown to feed in nectarine and peach, as well as apricot, plum, quince and walnut </w:t>
      </w:r>
      <w:r>
        <w:rPr>
          <w:noProof/>
        </w:rPr>
        <w:t>(Alford 2007; Blomefield &amp; Giliomee 2012; Men et al. 2013; Neven 2013)</w:t>
      </w:r>
      <w:r>
        <w:t xml:space="preserve">. </w:t>
      </w:r>
      <w:r>
        <w:rPr>
          <w:i/>
        </w:rPr>
        <w:t>Cydia pomonella</w:t>
      </w:r>
      <w:r>
        <w:t xml:space="preserve"> is considered to occur only very rarely on stonefruit </w:t>
      </w:r>
      <w:r>
        <w:rPr>
          <w:noProof/>
        </w:rPr>
        <w:t>(Hely, Pasfield &amp; Gellatley 1982; McLaren et al. 1999)</w:t>
      </w:r>
      <w:r>
        <w:t xml:space="preserve">. In China, it was first reported in 1957 and has since spread throughout Xinjiang, Gansu and Heilongjiang provinces </w:t>
      </w:r>
      <w:r>
        <w:rPr>
          <w:noProof/>
        </w:rPr>
        <w:t>(Men et al. 2013; Yang, Tulake &amp; Li 2005)</w:t>
      </w:r>
      <w:r>
        <w:t>.</w:t>
      </w:r>
    </w:p>
    <w:p w:rsidR="00B8782D" w:rsidRDefault="00B8782D">
      <w:r>
        <w:t xml:space="preserve">The risk scenario of concern for </w:t>
      </w:r>
      <w:r>
        <w:rPr>
          <w:i/>
        </w:rPr>
        <w:t>C. pomonella</w:t>
      </w:r>
      <w:r>
        <w:t xml:space="preserve"> is the presence of larvae inside imported nectarines.</w:t>
      </w:r>
    </w:p>
    <w:p w:rsidR="00B8782D" w:rsidRDefault="00B8782D">
      <w:r>
        <w:rPr>
          <w:i/>
        </w:rPr>
        <w:t xml:space="preserve">Cydia pomonella </w:t>
      </w:r>
      <w:r>
        <w:t>was assessed in the existing policies for stonefruit from New Zealand and the USA (California, Idaho, Oregon and Washington)</w:t>
      </w:r>
      <w:r>
        <w:rPr>
          <w:noProof/>
        </w:rPr>
        <w:t>(Biosecurity Australia 2006b, 2010b)</w:t>
      </w:r>
      <w:r>
        <w:t xml:space="preserve"> and apples from New Zealand and China </w:t>
      </w:r>
      <w:r>
        <w:rPr>
          <w:noProof/>
        </w:rPr>
        <w:t>(Biosecurity Australia 2006a, 2010a)</w:t>
      </w:r>
      <w:r>
        <w:t>.</w:t>
      </w:r>
    </w:p>
    <w:p w:rsidR="00B8782D" w:rsidRDefault="00B8782D">
      <w:r>
        <w:t>Differences in commodities, horticultural practices, climatic conditions and the prevalence of codling moth between previous export areas (New Zealand, the USA and China) make it necessary to reassess the likelihood that codling moth will be imported into Western Australia with nectarines from China.</w:t>
      </w:r>
    </w:p>
    <w:p w:rsidR="00B8782D" w:rsidRDefault="00B8782D">
      <w:r>
        <w:t>Fresh nectarine fruit is expected to be imported from China from May to October which is similar to the timing of the import of apples from China and stonefruit from the USA. After importation, nectarines will be distributed throughout Australia for retail sale in a similar way to apples from China and stonefruits from the USA (California, Idaho, Oregon and Washington). Therefore, it is considered unnecessary to reassess the likelihood of distribution.</w:t>
      </w:r>
    </w:p>
    <w:p w:rsidR="00B8782D" w:rsidRDefault="00B8782D">
      <w:r>
        <w:t xml:space="preserve">The likelihood of establishment and spread of </w:t>
      </w:r>
      <w:r>
        <w:rPr>
          <w:i/>
        </w:rPr>
        <w:t>C. pomonella</w:t>
      </w:r>
      <w:r>
        <w:t xml:space="preserve"> in Australia will be comparable regardless of the fresh fruit commodity in which </w:t>
      </w:r>
      <w:r>
        <w:rPr>
          <w:i/>
        </w:rPr>
        <w:t>C. pomonella</w:t>
      </w:r>
      <w:r>
        <w:t xml:space="preserve"> is imported into Australia, as these likelihoods relate specifically to events that occur in Australia and are independent of the importation pathway. The consequences of </w:t>
      </w:r>
      <w:r>
        <w:rPr>
          <w:i/>
        </w:rPr>
        <w:t>C. pomonella</w:t>
      </w:r>
      <w:r>
        <w:t xml:space="preserve"> are also independent of the importation pathway. Accordingly, there is no need to reassess these components of the risk.</w:t>
      </w:r>
    </w:p>
    <w:p w:rsidR="00B8782D" w:rsidRDefault="00B8782D">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Cydia pomonella</w:t>
      </w:r>
      <w:r>
        <w:t xml:space="preserve"> in the existing policies for stonefruit from New Zealand and the USA (California, Idaho, Oregon and Washington)</w:t>
      </w:r>
      <w:r>
        <w:rPr>
          <w:noProof/>
        </w:rPr>
        <w:t>(Biosecurity Australia 2006b, 2010b)</w:t>
      </w:r>
      <w:r>
        <w:t xml:space="preserve"> and apples from New Zealand and China </w:t>
      </w:r>
      <w:r>
        <w:rPr>
          <w:noProof/>
        </w:rPr>
        <w:t>(Biosecurity Australia 2006a, 2010a)</w:t>
      </w:r>
      <w:r>
        <w:t>. Therefore, those risk ratings will be adopted for this assessment.</w:t>
      </w:r>
    </w:p>
    <w:p w:rsidR="00B8782D" w:rsidRDefault="00B8782D" w:rsidP="00B8782D">
      <w:pPr>
        <w:pStyle w:val="Heading3"/>
        <w:numPr>
          <w:ilvl w:val="2"/>
          <w:numId w:val="20"/>
        </w:numPr>
      </w:pPr>
      <w:r>
        <w:lastRenderedPageBreak/>
        <w:t>Likelihood of entry</w:t>
      </w:r>
    </w:p>
    <w:p w:rsidR="00B8782D" w:rsidRDefault="00B8782D">
      <w:pPr>
        <w:rPr>
          <w:b/>
        </w:rPr>
      </w:pPr>
      <w:r>
        <w:t>The likelihood of entry is considered in two parts, the likelihood of importation and the likelihood of distribution, which consider pre-border and post-border issues, respectively.</w:t>
      </w:r>
    </w:p>
    <w:p w:rsidR="00B8782D" w:rsidRDefault="00B8782D">
      <w:pPr>
        <w:pStyle w:val="Heading4"/>
      </w:pPr>
      <w:r>
        <w:t>Likelihood of importation</w:t>
      </w:r>
    </w:p>
    <w:p w:rsidR="00B8782D" w:rsidRDefault="00B8782D">
      <w:r>
        <w:t xml:space="preserve">The likelihood that </w:t>
      </w:r>
      <w:r>
        <w:rPr>
          <w:i/>
        </w:rPr>
        <w:t>Cydia pomonella</w:t>
      </w:r>
      <w:r>
        <w:t xml:space="preserve"> will arrive in Western Australia with the importation of fresh nectarines from China is: </w:t>
      </w:r>
      <w:r>
        <w:rPr>
          <w:b/>
        </w:rPr>
        <w:t>Extremely low</w:t>
      </w:r>
      <w:r>
        <w:t>.</w:t>
      </w:r>
    </w:p>
    <w:p w:rsidR="00B8782D" w:rsidRDefault="00B8782D">
      <w:r>
        <w:t>The following information provides supporting evidence for this assessment.</w:t>
      </w:r>
    </w:p>
    <w:p w:rsidR="00B8782D" w:rsidRDefault="00B8782D">
      <w:pPr>
        <w:pStyle w:val="ListBullet"/>
      </w:pPr>
      <w:r>
        <w:rPr>
          <w:i/>
        </w:rPr>
        <w:t>Cydia pomonella</w:t>
      </w:r>
      <w:r>
        <w:t xml:space="preserve"> is widespread throughout Xinjiang, Gansu and Heilongjiang provinces in China </w:t>
      </w:r>
      <w:r>
        <w:rPr>
          <w:noProof/>
        </w:rPr>
        <w:t>(Men et al. 2013)</w:t>
      </w:r>
      <w:r>
        <w:t>.</w:t>
      </w:r>
    </w:p>
    <w:p w:rsidR="00B8782D" w:rsidRDefault="00B8782D">
      <w:pPr>
        <w:pStyle w:val="ListBullet"/>
      </w:pPr>
      <w:r>
        <w:rPr>
          <w:i/>
        </w:rPr>
        <w:t>Cydia pomonella</w:t>
      </w:r>
      <w:r>
        <w:t xml:space="preserve"> is a major pest of apple and pear worldwide but can also feed nectarine and peach as well as apricot, plum, quince and walnut under certain conditions </w:t>
      </w:r>
      <w:r>
        <w:rPr>
          <w:noProof/>
        </w:rPr>
        <w:t>(Alford 2007; Blomefield &amp; Giliomee 2012; Men et al. 2013; Neven 2013)</w:t>
      </w:r>
      <w:r>
        <w:t>.</w:t>
      </w:r>
    </w:p>
    <w:p w:rsidR="00B8782D" w:rsidRDefault="00B8782D">
      <w:pPr>
        <w:pStyle w:val="ListBullet"/>
      </w:pPr>
      <w:r>
        <w:t xml:space="preserve">There is no evidence that </w:t>
      </w:r>
      <w:r>
        <w:rPr>
          <w:i/>
        </w:rPr>
        <w:t>C. pomonella</w:t>
      </w:r>
      <w:r>
        <w:t xml:space="preserve"> can maintain populations in orchards of </w:t>
      </w:r>
      <w:r>
        <w:rPr>
          <w:i/>
        </w:rPr>
        <w:t>Prunus persica</w:t>
      </w:r>
      <w:r>
        <w:t xml:space="preserve"> </w:t>
      </w:r>
      <w:r>
        <w:rPr>
          <w:noProof/>
        </w:rPr>
        <w:t>(Barnes 1991)</w:t>
      </w:r>
      <w:r>
        <w:t>.</w:t>
      </w:r>
    </w:p>
    <w:p w:rsidR="00B8782D" w:rsidRDefault="00B8782D">
      <w:pPr>
        <w:pStyle w:val="ListBullet"/>
      </w:pPr>
      <w:r>
        <w:rPr>
          <w:i/>
        </w:rPr>
        <w:t>Cydia pomonella</w:t>
      </w:r>
      <w:r>
        <w:t xml:space="preserve"> is considered to occur only very rarely on stonefruit and is essentially a pest of apple and pear fruit </w:t>
      </w:r>
      <w:r>
        <w:rPr>
          <w:noProof/>
        </w:rPr>
        <w:t>(Hely, Pasfield &amp; Gellatley 1982; McLaren et al. 1999)</w:t>
      </w:r>
      <w:r>
        <w:t>.</w:t>
      </w:r>
    </w:p>
    <w:p w:rsidR="00B8782D" w:rsidRDefault="00B8782D">
      <w:pPr>
        <w:pStyle w:val="ListBullet"/>
      </w:pPr>
      <w:r>
        <w:t xml:space="preserve">Fruit infested with </w:t>
      </w:r>
      <w:r>
        <w:rPr>
          <w:i/>
        </w:rPr>
        <w:t>C. pomonella</w:t>
      </w:r>
      <w:r>
        <w:t xml:space="preserve"> can have prominent entry and exit holes. Such fruit will be removed during the sorting and grading procedures.</w:t>
      </w:r>
    </w:p>
    <w:p w:rsidR="00B8782D" w:rsidRDefault="00B8782D">
      <w:pPr>
        <w:pStyle w:val="ListBullet"/>
      </w:pPr>
      <w:r>
        <w:t xml:space="preserve">Fully-grown larvae are 20 millimetres long and pupae are 8.0 to 11.5 millimetres. Consequently, there is a high likelihood that codling moth would be detected during packinghouse procedures. </w:t>
      </w:r>
      <w:r>
        <w:rPr>
          <w:i/>
        </w:rPr>
        <w:t>Cydia pomonella</w:t>
      </w:r>
      <w:r>
        <w:t xml:space="preserve"> is very rarely found in fruit that has passed packinghouse procedures undetected.</w:t>
      </w:r>
    </w:p>
    <w:p w:rsidR="00B8782D" w:rsidRDefault="00B8782D">
      <w:pPr>
        <w:pStyle w:val="ListBullet"/>
      </w:pPr>
      <w:r>
        <w:rPr>
          <w:i/>
        </w:rPr>
        <w:t>Cydia pomonella</w:t>
      </w:r>
      <w:r>
        <w:t xml:space="preserve"> larvae feed internally within the fruit. The fruit infested at harvest time may not show any signs of infestation and may escape packinghouse procedures.</w:t>
      </w:r>
    </w:p>
    <w:p w:rsidR="00B8782D" w:rsidRDefault="00B8782D">
      <w:pPr>
        <w:pStyle w:val="ListBullet"/>
      </w:pPr>
      <w:r>
        <w:rPr>
          <w:i/>
        </w:rPr>
        <w:t>Cydia pomonella</w:t>
      </w:r>
      <w:r>
        <w:t xml:space="preserve"> larvae are reported to be cannibals. Rarely more than two young larvae penetrate the same fruit, however, only one survives to complete development </w:t>
      </w:r>
      <w:r>
        <w:rPr>
          <w:noProof/>
        </w:rPr>
        <w:t>(Chapman &amp; Lienk 1971)</w:t>
      </w:r>
      <w:r>
        <w:t>.</w:t>
      </w:r>
    </w:p>
    <w:p w:rsidR="00B8782D" w:rsidRDefault="00B8782D">
      <w:pPr>
        <w:pStyle w:val="ListBullet"/>
        <w:rPr>
          <w:i/>
        </w:rPr>
      </w:pPr>
      <w:r>
        <w:t xml:space="preserve">Fifth instar </w:t>
      </w:r>
      <w:r>
        <w:rPr>
          <w:i/>
        </w:rPr>
        <w:t>C. pomonella</w:t>
      </w:r>
      <w:r>
        <w:t xml:space="preserve"> larvae exit the fruit to diapause during winter in cocoons. Overwintering </w:t>
      </w:r>
      <w:r>
        <w:rPr>
          <w:i/>
        </w:rPr>
        <w:t>C. pomonella</w:t>
      </w:r>
      <w:r>
        <w:t xml:space="preserve"> larvae survive severe winter temperatures in the Pacific North West region which may drop as low as –25 °C </w:t>
      </w:r>
      <w:r>
        <w:rPr>
          <w:noProof/>
        </w:rPr>
        <w:t>(Neven 1999)</w:t>
      </w:r>
      <w:r>
        <w:t xml:space="preserve">. </w:t>
      </w:r>
      <w:r>
        <w:rPr>
          <w:color w:val="000000"/>
        </w:rPr>
        <w:t>This indicates that this species would be able to survive cold temperatures during the transportation of nectarines from China to Australia.</w:t>
      </w:r>
    </w:p>
    <w:p w:rsidR="00B8782D" w:rsidRDefault="00B8782D">
      <w:r>
        <w:t xml:space="preserve">Nectarine is a very poor host for </w:t>
      </w:r>
      <w:r>
        <w:rPr>
          <w:i/>
        </w:rPr>
        <w:t>C. pomonella</w:t>
      </w:r>
      <w:r>
        <w:t>. It is very unlikely the larvae would be present inside the nectarine fruit for export. In addition, infested fruit often show visible symptoms of damage and is very likely to be removed during the harvesting and packinghouse processes. This information supports a likelihood estimate for importation of ‘extremely low’.</w:t>
      </w:r>
    </w:p>
    <w:p w:rsidR="00B8782D" w:rsidRDefault="00B8782D">
      <w:pPr>
        <w:pStyle w:val="Heading4"/>
      </w:pPr>
      <w:r>
        <w:lastRenderedPageBreak/>
        <w:t>Likelihood of distribution</w:t>
      </w:r>
    </w:p>
    <w:p w:rsidR="00B8782D" w:rsidRDefault="00B8782D">
      <w:r>
        <w:t xml:space="preserve">The likelihood of distribution for </w:t>
      </w:r>
      <w:r>
        <w:rPr>
          <w:i/>
        </w:rPr>
        <w:t>C. pomonella</w:t>
      </w:r>
      <w:r>
        <w:t xml:space="preserve"> assessed here would be the same as that for </w:t>
      </w:r>
      <w:r>
        <w:rPr>
          <w:i/>
        </w:rPr>
        <w:t>C. pomonella</w:t>
      </w:r>
      <w:r>
        <w:t xml:space="preserve"> for stonefruit from New Zealand and the USA (California, Idaho, Oregon and Washington)</w:t>
      </w:r>
      <w:r>
        <w:rPr>
          <w:noProof/>
        </w:rPr>
        <w:t>(Biosecurity Australia 2006b, 2010b)</w:t>
      </w:r>
      <w:r>
        <w:t xml:space="preserve"> and apples from New Zealand and China </w:t>
      </w:r>
      <w:r>
        <w:rPr>
          <w:noProof/>
        </w:rPr>
        <w:t>(Biosecurity Australia 2006a, 2010a)</w:t>
      </w:r>
      <w:r>
        <w:t xml:space="preserve">, that is </w:t>
      </w:r>
      <w:r>
        <w:rPr>
          <w:b/>
        </w:rPr>
        <w:t>Moderate.</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t xml:space="preserve">The likelihood that </w:t>
      </w:r>
      <w:r>
        <w:rPr>
          <w:i/>
        </w:rPr>
        <w:t>C. pomonella</w:t>
      </w:r>
      <w:r>
        <w:t xml:space="preserve"> will enter Australia as a result of trade in nectarines from China and be distributed in a viable state to a susceptible host is: </w:t>
      </w:r>
      <w:r>
        <w:rPr>
          <w:b/>
        </w:rPr>
        <w:t>Extremely low</w:t>
      </w:r>
      <w:r>
        <w:t>.</w:t>
      </w: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of spread for </w:t>
      </w:r>
      <w:r>
        <w:rPr>
          <w:i/>
        </w:rPr>
        <w:t>C. pomonella</w:t>
      </w:r>
      <w:r>
        <w:t xml:space="preserve"> is based on the assessment for stonefruit from New Zealand and the USA (California, Idaho, Oregon and Washington)</w:t>
      </w:r>
      <w:r>
        <w:rPr>
          <w:noProof/>
        </w:rPr>
        <w:t>(Biosecurity Australia 2006b, 2010b)</w:t>
      </w:r>
      <w:r>
        <w:t xml:space="preserve"> and apples from New Zealand and China </w:t>
      </w:r>
      <w:r>
        <w:rPr>
          <w:noProof/>
        </w:rPr>
        <w:t>(Biosecurity Australia 2006a, 2010a)</w:t>
      </w:r>
      <w:r>
        <w:t>. The ratings from the previous assessments are presented below:</w:t>
      </w:r>
    </w:p>
    <w:p w:rsidR="00B8782D" w:rsidRDefault="00B8782D">
      <w:r>
        <w:t>Likelihood of establishment:</w:t>
      </w:r>
      <w:r>
        <w:tab/>
      </w:r>
      <w:r>
        <w:tab/>
      </w:r>
      <w:r>
        <w:rPr>
          <w:b/>
        </w:rPr>
        <w:t>High</w:t>
      </w:r>
    </w:p>
    <w:p w:rsidR="00B8782D" w:rsidRDefault="00B8782D">
      <w:r>
        <w:t>Likelihood of spread:</w:t>
      </w:r>
      <w:r>
        <w:tab/>
      </w:r>
      <w:r>
        <w:tab/>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of establishment and of spread using the matrix of rules shown in Table 2.2.</w:t>
      </w:r>
    </w:p>
    <w:p w:rsidR="00B8782D" w:rsidRDefault="00B8782D">
      <w:r>
        <w:t xml:space="preserve">The likelihood that </w:t>
      </w:r>
      <w:r>
        <w:rPr>
          <w:i/>
        </w:rPr>
        <w:t>C. pomonella</w:t>
      </w:r>
      <w:r>
        <w:t xml:space="preserve"> will enter Western Australia as a result of trade in nectarines from China, be distributed in a viable state to a susceptible host, establish in Western Australia and subsequently spread within Western Australia has been assessed as: </w:t>
      </w:r>
      <w:r>
        <w:rPr>
          <w:b/>
        </w:rPr>
        <w:t>Extremely Low</w:t>
      </w:r>
      <w:r>
        <w:t>.</w:t>
      </w:r>
    </w:p>
    <w:p w:rsidR="00B8782D" w:rsidRDefault="00B8782D" w:rsidP="00B8782D">
      <w:pPr>
        <w:pStyle w:val="Heading3"/>
        <w:numPr>
          <w:ilvl w:val="2"/>
          <w:numId w:val="20"/>
        </w:numPr>
      </w:pPr>
      <w:r>
        <w:t>Consequences</w:t>
      </w:r>
    </w:p>
    <w:p w:rsidR="00B8782D" w:rsidRDefault="00B8782D">
      <w:r>
        <w:t xml:space="preserve">The consequences of the establishment of </w:t>
      </w:r>
      <w:r>
        <w:rPr>
          <w:i/>
        </w:rPr>
        <w:t>C. pomonella</w:t>
      </w:r>
      <w:r>
        <w:t xml:space="preserve"> in Australia have been estimated previously for stonefruit from New Zealand and the USA (California, Idaho, Oregon and Washington)</w:t>
      </w:r>
      <w:r>
        <w:rPr>
          <w:noProof/>
        </w:rPr>
        <w:t>(Biosecurity Australia 2006b, 2010b)</w:t>
      </w:r>
      <w:r>
        <w:t xml:space="preserve"> and apples from New Zealand and China </w:t>
      </w:r>
      <w:r>
        <w:rPr>
          <w:noProof/>
        </w:rPr>
        <w:t>(Biosecurity Australia 2006a, 2010a)</w:t>
      </w:r>
      <w:r>
        <w:t xml:space="preserve">. The overall consequences are estimated to be </w:t>
      </w:r>
      <w:r>
        <w:rPr>
          <w:b/>
        </w:rPr>
        <w:t>Moderate</w:t>
      </w:r>
      <w:r>
        <w:t>.</w:t>
      </w:r>
    </w:p>
    <w:p w:rsidR="00B8782D" w:rsidRDefault="00B8782D">
      <w:pPr>
        <w:spacing w:before="0" w:after="0" w:line="240" w:lineRule="auto"/>
      </w:pPr>
      <w:r>
        <w:br w:type="page"/>
      </w:r>
    </w:p>
    <w:p w:rsidR="00B8782D" w:rsidRDefault="00B8782D" w:rsidP="00B8782D">
      <w:pPr>
        <w:pStyle w:val="Heading3"/>
        <w:numPr>
          <w:ilvl w:val="2"/>
          <w:numId w:val="20"/>
        </w:numPr>
      </w:pPr>
      <w:r>
        <w:lastRenderedPageBreak/>
        <w:t>Unrestricted risk estimate</w:t>
      </w:r>
    </w:p>
    <w:p w:rsidR="00B8782D" w:rsidRDefault="00B8782D">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pPr>
            <w:r>
              <w:t xml:space="preserve">Unrestricted risk estimate for </w:t>
            </w:r>
            <w:r>
              <w:rPr>
                <w:i/>
                <w:szCs w:val="16"/>
              </w:rPr>
              <w:t>C. pomonella</w:t>
            </w:r>
          </w:p>
        </w:tc>
      </w:tr>
      <w:tr w:rsidR="00B8782D">
        <w:tc>
          <w:tcPr>
            <w:tcW w:w="6459" w:type="dxa"/>
            <w:shd w:val="clear" w:color="auto" w:fill="auto"/>
          </w:tcPr>
          <w:p w:rsidR="00B8782D" w:rsidRDefault="00B8782D">
            <w:pPr>
              <w:pStyle w:val="TableText"/>
            </w:pPr>
            <w:r>
              <w:t>Overall likelihood of entry, establishment and spread</w:t>
            </w:r>
          </w:p>
        </w:tc>
        <w:tc>
          <w:tcPr>
            <w:tcW w:w="2977" w:type="dxa"/>
            <w:shd w:val="clear" w:color="auto" w:fill="auto"/>
          </w:tcPr>
          <w:p w:rsidR="00B8782D" w:rsidRDefault="00B8782D">
            <w:pPr>
              <w:pStyle w:val="TableText"/>
            </w:pPr>
            <w:r>
              <w:t>Extremely Low</w:t>
            </w:r>
          </w:p>
        </w:tc>
      </w:tr>
      <w:tr w:rsidR="00B8782D">
        <w:tc>
          <w:tcPr>
            <w:tcW w:w="6459" w:type="dxa"/>
            <w:shd w:val="clear" w:color="auto" w:fill="auto"/>
          </w:tcPr>
          <w:p w:rsidR="00B8782D" w:rsidRDefault="00B8782D">
            <w:pPr>
              <w:pStyle w:val="TableText"/>
            </w:pPr>
            <w:r>
              <w:t>Consequences</w:t>
            </w:r>
          </w:p>
        </w:tc>
        <w:tc>
          <w:tcPr>
            <w:tcW w:w="2977" w:type="dxa"/>
            <w:shd w:val="clear" w:color="auto" w:fill="auto"/>
          </w:tcPr>
          <w:p w:rsidR="00B8782D" w:rsidRDefault="00B8782D">
            <w:pPr>
              <w:pStyle w:val="TableText"/>
            </w:pPr>
            <w:r>
              <w:t>Moderate</w:t>
            </w:r>
          </w:p>
        </w:tc>
      </w:tr>
      <w:tr w:rsidR="00B8782D">
        <w:tc>
          <w:tcPr>
            <w:tcW w:w="6459" w:type="dxa"/>
            <w:shd w:val="clear" w:color="auto" w:fill="auto"/>
          </w:tcPr>
          <w:p w:rsidR="00B8782D" w:rsidRDefault="00B8782D">
            <w:pPr>
              <w:pStyle w:val="TableText"/>
            </w:pPr>
            <w:r>
              <w:t>Unrestricted risk</w:t>
            </w:r>
          </w:p>
        </w:tc>
        <w:tc>
          <w:tcPr>
            <w:tcW w:w="2977" w:type="dxa"/>
            <w:shd w:val="clear" w:color="auto" w:fill="auto"/>
          </w:tcPr>
          <w:p w:rsidR="00B8782D" w:rsidRDefault="00B8782D">
            <w:pPr>
              <w:pStyle w:val="TableText"/>
            </w:pPr>
            <w:r>
              <w:t>Negligible</w:t>
            </w:r>
          </w:p>
        </w:tc>
      </w:tr>
    </w:tbl>
    <w:p w:rsidR="00B8782D" w:rsidRDefault="00B8782D">
      <w:pPr>
        <w:sectPr w:rsidR="00B8782D">
          <w:pgSz w:w="11906" w:h="16838"/>
          <w:pgMar w:top="1418" w:right="1418" w:bottom="1418" w:left="1418" w:header="567" w:footer="283" w:gutter="0"/>
          <w:cols w:space="708"/>
          <w:docGrid w:linePitch="360"/>
        </w:sectPr>
      </w:pPr>
      <w:r>
        <w:t xml:space="preserve">As indicated, the unrestricted risk estimate for </w:t>
      </w:r>
      <w:r>
        <w:rPr>
          <w:i/>
        </w:rPr>
        <w:t>C. pomonella</w:t>
      </w:r>
      <w:r>
        <w:t xml:space="preserve"> has been assessed as ‘negligible’, which is below Australia’s ALOP. Therefore, no specific risk management measures are required for this pest.</w:t>
      </w:r>
    </w:p>
    <w:p w:rsidR="00B8782D" w:rsidRDefault="00B8782D" w:rsidP="00B8782D">
      <w:pPr>
        <w:pStyle w:val="Heading2"/>
        <w:numPr>
          <w:ilvl w:val="1"/>
          <w:numId w:val="20"/>
        </w:numPr>
      </w:pPr>
      <w:bookmarkStart w:id="71" w:name="_Toc448312504"/>
      <w:r>
        <w:lastRenderedPageBreak/>
        <w:t>Grapholita moths</w:t>
      </w:r>
      <w:bookmarkEnd w:id="71"/>
    </w:p>
    <w:p w:rsidR="00B8782D" w:rsidRDefault="00B8782D">
      <w:pPr>
        <w:pStyle w:val="Heading4"/>
      </w:pPr>
      <w:r>
        <w:rPr>
          <w:i/>
        </w:rPr>
        <w:t>Grapholita funebrana</w:t>
      </w:r>
      <w:r>
        <w:t xml:space="preserve"> and </w:t>
      </w:r>
      <w:r>
        <w:rPr>
          <w:i/>
        </w:rPr>
        <w:t>Grapholita molesta</w:t>
      </w:r>
      <w:r>
        <w:t xml:space="preserve"> (EP, WA)</w:t>
      </w:r>
    </w:p>
    <w:p w:rsidR="00B8782D" w:rsidRDefault="00B8782D">
      <w:r>
        <w:rPr>
          <w:i/>
        </w:rPr>
        <w:t xml:space="preserve">Grapholita funebrana </w:t>
      </w:r>
      <w:r>
        <w:t>is absent from Australia and is a pest of quarantine concern for all of Australia, while</w:t>
      </w:r>
      <w:r>
        <w:rPr>
          <w:i/>
        </w:rPr>
        <w:t xml:space="preserve"> G. molesta</w:t>
      </w:r>
      <w:r>
        <w:t xml:space="preserve"> is not present in Western Australia and is a pest of regional concern for that state.</w:t>
      </w:r>
    </w:p>
    <w:p w:rsidR="00B8782D" w:rsidRDefault="00B8782D">
      <w:pPr>
        <w:rPr>
          <w:color w:val="000000"/>
        </w:rPr>
      </w:pPr>
      <w:r>
        <w:rPr>
          <w:i/>
        </w:rPr>
        <w:t xml:space="preserve">Grapholita funebrana </w:t>
      </w:r>
      <w:r>
        <w:t>(plum fruit moth)</w:t>
      </w:r>
      <w:r>
        <w:rPr>
          <w:i/>
        </w:rPr>
        <w:t xml:space="preserve"> </w:t>
      </w:r>
      <w:r>
        <w:t>and</w:t>
      </w:r>
      <w:r>
        <w:rPr>
          <w:i/>
        </w:rPr>
        <w:t xml:space="preserve"> Grapholita molesta </w:t>
      </w:r>
      <w:r>
        <w:t>(Oriental fruit moth)</w:t>
      </w:r>
      <w:r>
        <w:rPr>
          <w:i/>
        </w:rPr>
        <w:t xml:space="preserve"> </w:t>
      </w:r>
      <w:r>
        <w:t>belong to the Tortricidae family.</w:t>
      </w:r>
      <w:r>
        <w:rPr>
          <w:i/>
        </w:rPr>
        <w:t xml:space="preserve"> </w:t>
      </w:r>
      <w:r>
        <w:rPr>
          <w:color w:val="000000"/>
        </w:rPr>
        <w:t xml:space="preserve">The larvae of the genus </w:t>
      </w:r>
      <w:r>
        <w:rPr>
          <w:i/>
          <w:color w:val="000000"/>
        </w:rPr>
        <w:t>Grapholita</w:t>
      </w:r>
      <w:r>
        <w:rPr>
          <w:color w:val="000000"/>
        </w:rPr>
        <w:t xml:space="preserve"> feed internally on fruit and on twigs.</w:t>
      </w:r>
    </w:p>
    <w:p w:rsidR="00B8782D" w:rsidRDefault="00B8782D">
      <w:pPr>
        <w:rPr>
          <w:color w:val="000000"/>
        </w:rPr>
      </w:pPr>
      <w:r>
        <w:rPr>
          <w:i/>
          <w:color w:val="000000"/>
        </w:rPr>
        <w:t>Grapholita</w:t>
      </w:r>
      <w:r>
        <w:rPr>
          <w:color w:val="000000"/>
        </w:rPr>
        <w:t xml:space="preserve"> moths have four life stages: egg, larva, pupa and adult. Larvae generally have four to five instars </w:t>
      </w:r>
      <w:r>
        <w:rPr>
          <w:noProof/>
          <w:color w:val="000000"/>
        </w:rPr>
        <w:t>(Meijerman &amp; Ulenberg 2004)</w:t>
      </w:r>
      <w:r>
        <w:rPr>
          <w:color w:val="000000"/>
        </w:rPr>
        <w:t xml:space="preserve">. Newly hatched larvae bore into the fruit, and larval feeding continues until they reach maturity </w:t>
      </w:r>
      <w:r>
        <w:rPr>
          <w:noProof/>
          <w:color w:val="000000"/>
        </w:rPr>
        <w:t>(Meijerman &amp; Ulenberg 2004)</w:t>
      </w:r>
      <w:r>
        <w:rPr>
          <w:color w:val="000000"/>
        </w:rPr>
        <w:t xml:space="preserve">. The full grown larvae of the first generation pupate in stem-end depressions on the fruit surface, in leaf axils or under bark, whereas the larvae of the later generation overwinter in cocoons in the soil, leaf litter or bark of the host plant, pupating the following spring </w:t>
      </w:r>
      <w:r>
        <w:rPr>
          <w:noProof/>
          <w:color w:val="000000"/>
        </w:rPr>
        <w:t>(Brunner &amp; Rice 1998; Meijerman &amp; Ulenberg 2004)</w:t>
      </w:r>
      <w:r>
        <w:rPr>
          <w:color w:val="000000"/>
        </w:rPr>
        <w:t>.</w:t>
      </w:r>
    </w:p>
    <w:p w:rsidR="00B8782D" w:rsidRDefault="00B8782D">
      <w:r>
        <w:t xml:space="preserve">The biology and taxonomy of these two </w:t>
      </w:r>
      <w:r>
        <w:rPr>
          <w:i/>
        </w:rPr>
        <w:t>Grapholita</w:t>
      </w:r>
      <w:r>
        <w:t xml:space="preserve"> moth species and their impacts on hosts are considered sufficiently similar to justify combining them into a single assessment. In this assessment, the term ‘</w:t>
      </w:r>
      <w:r>
        <w:rPr>
          <w:i/>
        </w:rPr>
        <w:t xml:space="preserve">Grapholita </w:t>
      </w:r>
      <w:r>
        <w:t>moths’ is used to refer to these two species unless otherwise specified.</w:t>
      </w:r>
    </w:p>
    <w:p w:rsidR="00B8782D" w:rsidRDefault="00B8782D">
      <w:r>
        <w:t xml:space="preserve">The risk scenario of concern for </w:t>
      </w:r>
      <w:r>
        <w:rPr>
          <w:i/>
        </w:rPr>
        <w:t>Grapholita</w:t>
      </w:r>
      <w:r>
        <w:t xml:space="preserve"> moths is the presence of eggs on fruit or larvae that have bored into fruit.</w:t>
      </w:r>
    </w:p>
    <w:p w:rsidR="00B8782D" w:rsidRDefault="00B8782D">
      <w:r>
        <w:rPr>
          <w:i/>
        </w:rPr>
        <w:t>Grapholita molesta</w:t>
      </w:r>
      <w:r>
        <w:t xml:space="preserve"> was assessed in the existing import policies for stonefruit from New Zealand </w:t>
      </w:r>
      <w:r>
        <w:rPr>
          <w:noProof/>
        </w:rPr>
        <w:t>(Biosecurity Australia 2006b)</w:t>
      </w:r>
      <w:r>
        <w:t xml:space="preserve"> and the USA (California, Idaho, Oregon and Washington) </w:t>
      </w:r>
      <w:r>
        <w:rPr>
          <w:noProof/>
        </w:rPr>
        <w:t>(Biosecurity Australia 2010b)</w:t>
      </w:r>
      <w:r>
        <w:t xml:space="preserve">, and for apples from New Zealand </w:t>
      </w:r>
      <w:r>
        <w:rPr>
          <w:noProof/>
        </w:rPr>
        <w:t>(Biosecurity Australia 2006a)</w:t>
      </w:r>
      <w:r>
        <w:t xml:space="preserve"> and China </w:t>
      </w:r>
      <w:r>
        <w:rPr>
          <w:noProof/>
        </w:rPr>
        <w:t>(Biosecurity Australia 2010a)</w:t>
      </w:r>
      <w:r>
        <w:t xml:space="preserve">. It is considered that these previous assessment for </w:t>
      </w:r>
      <w:r>
        <w:rPr>
          <w:i/>
        </w:rPr>
        <w:t>G. molesta</w:t>
      </w:r>
      <w:r>
        <w:t xml:space="preserve"> can also equally apply to </w:t>
      </w:r>
      <w:r>
        <w:rPr>
          <w:i/>
        </w:rPr>
        <w:t>G. funebrana</w:t>
      </w:r>
      <w:r>
        <w:t xml:space="preserve">. The assessment of </w:t>
      </w:r>
      <w:r>
        <w:rPr>
          <w:i/>
        </w:rPr>
        <w:t xml:space="preserve">G. funebrana </w:t>
      </w:r>
      <w:r>
        <w:t xml:space="preserve">and </w:t>
      </w:r>
      <w:r>
        <w:rPr>
          <w:i/>
        </w:rPr>
        <w:t>G. molesta</w:t>
      </w:r>
      <w:r>
        <w:t xml:space="preserve"> presented here builds on these previous assessments.</w:t>
      </w:r>
    </w:p>
    <w:p w:rsidR="00B8782D" w:rsidRDefault="00B8782D">
      <w:r>
        <w:t xml:space="preserve">Differences in commodities within China and in horticultural practices, climatic conditions and the prevalence of </w:t>
      </w:r>
      <w:r>
        <w:rPr>
          <w:i/>
        </w:rPr>
        <w:t xml:space="preserve">G. funebrana </w:t>
      </w:r>
      <w:r>
        <w:t xml:space="preserve">and </w:t>
      </w:r>
      <w:r>
        <w:rPr>
          <w:i/>
        </w:rPr>
        <w:t>G. molesta</w:t>
      </w:r>
      <w:r>
        <w:t xml:space="preserve"> between previous export areas (New Zealand, the USA) and China make it necessary to reassess the likelihood that </w:t>
      </w:r>
      <w:r>
        <w:rPr>
          <w:i/>
        </w:rPr>
        <w:t xml:space="preserve">G. funebrana </w:t>
      </w:r>
      <w:r>
        <w:t xml:space="preserve">and </w:t>
      </w:r>
      <w:r>
        <w:rPr>
          <w:i/>
        </w:rPr>
        <w:t>G. molesta</w:t>
      </w:r>
      <w:r>
        <w:t xml:space="preserve"> will be imported into Australia or Western Australia with nectarines from China.</w:t>
      </w:r>
    </w:p>
    <w:p w:rsidR="00B8782D" w:rsidRDefault="00B8782D">
      <w:r>
        <w:t>Fresh nectarine fruit is expected to be imported from China from May to October which is similar to the timing of the import of apples from China and stonefruit from the USA. After importation, nectarines will be distributed throughout Australia for retail sale in a similar way to stonefruit from the USA and for apples from China. Therefore, it is considered unnecessary to reassess the likelihood of distribution.</w:t>
      </w:r>
    </w:p>
    <w:p w:rsidR="00B8782D" w:rsidRDefault="00B8782D">
      <w:r>
        <w:t xml:space="preserve">The likelihood of establishment and spread of </w:t>
      </w:r>
      <w:r>
        <w:rPr>
          <w:i/>
        </w:rPr>
        <w:t xml:space="preserve">G. funebrana </w:t>
      </w:r>
      <w:r>
        <w:t xml:space="preserve">in Australia and </w:t>
      </w:r>
      <w:r>
        <w:rPr>
          <w:i/>
        </w:rPr>
        <w:t>G. molesta</w:t>
      </w:r>
      <w:r>
        <w:t xml:space="preserve"> in Western Australia</w:t>
      </w:r>
      <w:r>
        <w:rPr>
          <w:i/>
        </w:rPr>
        <w:t xml:space="preserve"> </w:t>
      </w:r>
      <w:r>
        <w:t xml:space="preserve">will be comparable regardless of the fresh fruit commodity in which </w:t>
      </w:r>
      <w:r>
        <w:rPr>
          <w:i/>
        </w:rPr>
        <w:t xml:space="preserve">G. funebrana </w:t>
      </w:r>
      <w:r>
        <w:t xml:space="preserve">is imported into Australia and </w:t>
      </w:r>
      <w:r>
        <w:rPr>
          <w:i/>
        </w:rPr>
        <w:t>G. molesta</w:t>
      </w:r>
      <w:r>
        <w:t xml:space="preserve"> is imported into Western Australia, as these likelihoods relate specifically to events that occur in Australia and are independent of the importation pathway. The consequences of </w:t>
      </w:r>
      <w:r>
        <w:rPr>
          <w:i/>
        </w:rPr>
        <w:t xml:space="preserve">G. funebrana </w:t>
      </w:r>
      <w:r>
        <w:t xml:space="preserve">in Australia and </w:t>
      </w:r>
      <w:r>
        <w:rPr>
          <w:i/>
        </w:rPr>
        <w:t>G. molesta</w:t>
      </w:r>
      <w:r>
        <w:t xml:space="preserve"> in Western </w:t>
      </w:r>
      <w:r>
        <w:lastRenderedPageBreak/>
        <w:t>Australia</w:t>
      </w:r>
      <w:r>
        <w:rPr>
          <w:i/>
        </w:rPr>
        <w:t xml:space="preserve"> </w:t>
      </w:r>
      <w:r>
        <w:t>are also independent of the importation pathway. Accordingly, there is no need to reassess these components of the risk.</w:t>
      </w:r>
    </w:p>
    <w:p w:rsidR="00B8782D" w:rsidRDefault="00B8782D">
      <w:r>
        <w:t>The likelihood of establishment and spread of, and the consequences they may cause will be comparable for any commodity from which these species are imported into Australia, as these likelihoods relate specifically to events that occur in Australia and are largely independent of the importation pathway. Accordingly, there is no need to reassess these components.</w:t>
      </w:r>
    </w:p>
    <w:p w:rsidR="00B8782D" w:rsidRDefault="00B8782D">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Grapholita molesta </w:t>
      </w:r>
      <w:r>
        <w:t>in the</w:t>
      </w:r>
      <w:r>
        <w:rPr>
          <w:i/>
        </w:rPr>
        <w:t xml:space="preserve"> </w:t>
      </w:r>
      <w:r>
        <w:t xml:space="preserve">existing policies for stonefruit and apples from New Zealand </w:t>
      </w:r>
      <w:r>
        <w:rPr>
          <w:noProof/>
        </w:rPr>
        <w:t>(Biosecurity Australia 2006a, b)</w:t>
      </w:r>
      <w:r>
        <w:t xml:space="preserve"> and stonefruit from the USA (California, Idaho, Oregon and Washington) </w:t>
      </w:r>
      <w:r>
        <w:rPr>
          <w:noProof/>
        </w:rPr>
        <w:t>(Biosecurity Australia 2010b)</w:t>
      </w:r>
      <w:r>
        <w:t>. Therefore, those risk ratings will be adopted for this assessment.</w:t>
      </w:r>
    </w:p>
    <w:p w:rsidR="00B8782D" w:rsidRDefault="00B8782D" w:rsidP="00B8782D">
      <w:pPr>
        <w:pStyle w:val="Heading3"/>
        <w:numPr>
          <w:ilvl w:val="2"/>
          <w:numId w:val="20"/>
        </w:numPr>
      </w:pPr>
      <w:r>
        <w:t>Likelihood of entry</w:t>
      </w:r>
    </w:p>
    <w:p w:rsidR="00B8782D" w:rsidRDefault="00B8782D">
      <w:pPr>
        <w:rPr>
          <w:b/>
        </w:rPr>
      </w:pPr>
      <w:r>
        <w:t>The likelihood of entry is considered in two parts, the likelihood of importation and the likelihood of distribution, which consider pre-border and post-border issues, respectively.</w:t>
      </w:r>
    </w:p>
    <w:p w:rsidR="00B8782D" w:rsidRDefault="00B8782D">
      <w:pPr>
        <w:pStyle w:val="Heading4"/>
      </w:pPr>
      <w:r>
        <w:t>Likelihood of importation</w:t>
      </w:r>
    </w:p>
    <w:p w:rsidR="00B8782D" w:rsidRDefault="00B8782D">
      <w:r>
        <w:t xml:space="preserve">The likelihood that </w:t>
      </w:r>
      <w:r>
        <w:rPr>
          <w:i/>
        </w:rPr>
        <w:t xml:space="preserve">G. funebrana </w:t>
      </w:r>
      <w:r>
        <w:t xml:space="preserve">will arrive in Australia or </w:t>
      </w:r>
      <w:r>
        <w:rPr>
          <w:i/>
        </w:rPr>
        <w:t>G. molesta</w:t>
      </w:r>
      <w:r>
        <w:t xml:space="preserve"> will arrive in Western Australia with the importation of fresh nectarines from China is: </w:t>
      </w:r>
      <w:r>
        <w:rPr>
          <w:b/>
        </w:rPr>
        <w:t>Moderate</w:t>
      </w:r>
      <w:r>
        <w:t>.</w:t>
      </w:r>
    </w:p>
    <w:p w:rsidR="00B8782D" w:rsidRDefault="00B8782D">
      <w:r>
        <w:t>The following information provides supporting evidence for this assessment.</w:t>
      </w:r>
    </w:p>
    <w:p w:rsidR="00B8782D" w:rsidRDefault="00B8782D">
      <w:pPr>
        <w:pStyle w:val="ListBullet"/>
        <w:rPr>
          <w:i/>
          <w:color w:val="000000"/>
        </w:rPr>
      </w:pPr>
      <w:r>
        <w:rPr>
          <w:i/>
          <w:color w:val="000000"/>
        </w:rPr>
        <w:t>Grapholita funebrana</w:t>
      </w:r>
      <w:r>
        <w:rPr>
          <w:color w:val="000000"/>
        </w:rPr>
        <w:t xml:space="preserve"> and </w:t>
      </w:r>
      <w:r>
        <w:rPr>
          <w:i/>
        </w:rPr>
        <w:t>Grapholita molesta</w:t>
      </w:r>
      <w:r>
        <w:t xml:space="preserve"> are widely distributed in China including major peach and nectarine production regions and are important pests of stonefruit and pome fruit in China </w:t>
      </w:r>
      <w:r>
        <w:rPr>
          <w:noProof/>
          <w:color w:val="000000"/>
        </w:rPr>
        <w:t>(Feng &amp; Wang 2004; Ma 2006)</w:t>
      </w:r>
      <w:r>
        <w:t>.</w:t>
      </w:r>
    </w:p>
    <w:p w:rsidR="00B8782D" w:rsidRDefault="00B8782D">
      <w:pPr>
        <w:pStyle w:val="ListBullet"/>
        <w:rPr>
          <w:i/>
          <w:color w:val="000000"/>
        </w:rPr>
      </w:pPr>
      <w:r>
        <w:rPr>
          <w:i/>
          <w:color w:val="000000"/>
        </w:rPr>
        <w:t>Grapholita funebrana</w:t>
      </w:r>
      <w:r>
        <w:rPr>
          <w:color w:val="000000"/>
        </w:rPr>
        <w:t xml:space="preserve"> and </w:t>
      </w:r>
      <w:r>
        <w:rPr>
          <w:i/>
          <w:color w:val="000000"/>
        </w:rPr>
        <w:t>G. molesta</w:t>
      </w:r>
      <w:r>
        <w:rPr>
          <w:color w:val="000000"/>
        </w:rPr>
        <w:t xml:space="preserve"> infest nectarines and peaches as well as plums and apricots </w:t>
      </w:r>
      <w:r>
        <w:rPr>
          <w:noProof/>
          <w:color w:val="000000"/>
        </w:rPr>
        <w:t>(Alford 2007; CABI &amp; EPPO 1997a; Oku, Ohira &amp; Wakou 1988)</w:t>
      </w:r>
      <w:r>
        <w:rPr>
          <w:color w:val="000000"/>
        </w:rPr>
        <w:t xml:space="preserve"> </w:t>
      </w:r>
    </w:p>
    <w:p w:rsidR="00B8782D" w:rsidRDefault="00B8782D" w:rsidP="00024206">
      <w:pPr>
        <w:pStyle w:val="ListBullet"/>
      </w:pPr>
      <w:r w:rsidRPr="001823C4">
        <w:rPr>
          <w:i/>
        </w:rPr>
        <w:t>Grapholita</w:t>
      </w:r>
      <w:r>
        <w:t xml:space="preserve"> moths are significant pests of stonefruit </w:t>
      </w:r>
      <w:r>
        <w:rPr>
          <w:noProof/>
        </w:rPr>
        <w:t>(Murrell &amp; Lo 1998)</w:t>
      </w:r>
      <w:r>
        <w:t xml:space="preserve">. Larvae damage the host plants by feeding internally and tunnelling in the shoots and/or fruit </w:t>
      </w:r>
      <w:r>
        <w:rPr>
          <w:noProof/>
        </w:rPr>
        <w:t>(Alford 2007; Meijerman &amp; Ulenberg 2004)</w:t>
      </w:r>
      <w:r>
        <w:t xml:space="preserve">. Infestations on fruitlets cause them to drop prematurely </w:t>
      </w:r>
      <w:r>
        <w:rPr>
          <w:noProof/>
        </w:rPr>
        <w:t>(Alford 2007)</w:t>
      </w:r>
      <w:r>
        <w:t xml:space="preserve">. Larvae bore into the fruit until they reach the seed. Severe infestations can lead to significant crop losses </w:t>
      </w:r>
      <w:r>
        <w:rPr>
          <w:noProof/>
        </w:rPr>
        <w:t>(Alford 2007; Meijerman &amp; Ulenberg 2004)</w:t>
      </w:r>
      <w:r>
        <w:t>.</w:t>
      </w:r>
    </w:p>
    <w:p w:rsidR="00B8782D" w:rsidRDefault="00B8782D">
      <w:pPr>
        <w:pStyle w:val="ListBullet"/>
      </w:pPr>
      <w:r>
        <w:rPr>
          <w:color w:val="000000"/>
        </w:rPr>
        <w:t xml:space="preserve">First generation </w:t>
      </w:r>
      <w:r>
        <w:rPr>
          <w:i/>
          <w:color w:val="000000"/>
        </w:rPr>
        <w:t>G. funebrana</w:t>
      </w:r>
      <w:r>
        <w:rPr>
          <w:color w:val="000000"/>
        </w:rPr>
        <w:t xml:space="preserve"> usually lay eggs singly on fruitlets often close to the depression which passes from fruit stalk to fruit tip </w:t>
      </w:r>
      <w:r>
        <w:rPr>
          <w:noProof/>
        </w:rPr>
        <w:t>(Meijerman &amp; Ulenberg 2004)</w:t>
      </w:r>
      <w:r>
        <w:rPr>
          <w:color w:val="000000"/>
        </w:rPr>
        <w:t xml:space="preserve"> or near the base of maturing fruit </w:t>
      </w:r>
      <w:r>
        <w:rPr>
          <w:noProof/>
          <w:color w:val="000000"/>
        </w:rPr>
        <w:t>(Gilligan &amp; Epstein 2012)</w:t>
      </w:r>
      <w:r>
        <w:rPr>
          <w:color w:val="000000"/>
        </w:rPr>
        <w:t xml:space="preserve">. </w:t>
      </w:r>
      <w:r>
        <w:rPr>
          <w:i/>
          <w:color w:val="000000"/>
        </w:rPr>
        <w:t>Grapholita molesta</w:t>
      </w:r>
      <w:r>
        <w:rPr>
          <w:color w:val="000000"/>
        </w:rPr>
        <w:t xml:space="preserve"> eggs are also </w:t>
      </w:r>
      <w:r>
        <w:t xml:space="preserve">laid singly on the host plant. On the main stone-fruit hosts, the eggs are laid adjacent to young shoots, on the underside of leaves and sometimes on the smooth surface of newly developed twigs. Smooth surfaces are preferred to pubescent substrates, and eggs are rarely found on peach fruits </w:t>
      </w:r>
      <w:r>
        <w:rPr>
          <w:noProof/>
        </w:rPr>
        <w:t>(Meijerman &amp; Ulenberg 2004)</w:t>
      </w:r>
      <w:r>
        <w:t>.</w:t>
      </w:r>
    </w:p>
    <w:p w:rsidR="00B8782D" w:rsidRDefault="00B8782D">
      <w:pPr>
        <w:pStyle w:val="ListBullet"/>
      </w:pPr>
      <w:r>
        <w:t xml:space="preserve">A </w:t>
      </w:r>
      <w:r>
        <w:rPr>
          <w:i/>
        </w:rPr>
        <w:t>Grapholita</w:t>
      </w:r>
      <w:r>
        <w:t xml:space="preserve"> moth egg is about 0.8 millimetres in diameter </w:t>
      </w:r>
      <w:r>
        <w:rPr>
          <w:noProof/>
        </w:rPr>
        <w:t>(Meijerman &amp; Ulenberg 2004)</w:t>
      </w:r>
      <w:r>
        <w:t>. The eggs laid in the stem-end depression may escape detection during packinghouse procedures.</w:t>
      </w:r>
    </w:p>
    <w:p w:rsidR="00B8782D" w:rsidRDefault="00B8782D">
      <w:pPr>
        <w:pStyle w:val="ListBullet"/>
      </w:pPr>
      <w:r>
        <w:rPr>
          <w:i/>
        </w:rPr>
        <w:lastRenderedPageBreak/>
        <w:t>Grapholita funebrana</w:t>
      </w:r>
      <w:r>
        <w:t xml:space="preserve"> larvae feed within relatively large fruitlets. On entering the flesh, the young larva forms a narrow, winding tunnel under the surface, directed from the point of entry towards the fruit stalk </w:t>
      </w:r>
      <w:r>
        <w:rPr>
          <w:noProof/>
        </w:rPr>
        <w:t>(Meijerman &amp; Ulenberg 2004)</w:t>
      </w:r>
      <w:r>
        <w:t xml:space="preserve">. From near the stalk, the tunnel is then extended to the centre of the fruit and as the larva grows the flesh around the stone is eaten and replaced by masses of wet, brown frass. The mature larva escapes through the side of the fruit, leaving a small circular hole in the skin </w:t>
      </w:r>
      <w:r>
        <w:rPr>
          <w:noProof/>
        </w:rPr>
        <w:t>(Meijerman &amp; Ulenberg 2004)</w:t>
      </w:r>
      <w:r>
        <w:t>.</w:t>
      </w:r>
    </w:p>
    <w:p w:rsidR="00B8782D" w:rsidRDefault="00B8782D">
      <w:pPr>
        <w:pStyle w:val="ListBullet"/>
      </w:pPr>
      <w:r>
        <w:t xml:space="preserve">First instar larvae of </w:t>
      </w:r>
      <w:r>
        <w:rPr>
          <w:i/>
        </w:rPr>
        <w:t>G. molesta</w:t>
      </w:r>
      <w:r>
        <w:t xml:space="preserve"> may penetrate stonefruit through the side of the stem. Such fruit has no obvious sign of infestation and the larva may remain inside the fruit, feeding until it is ready to pupate </w:t>
      </w:r>
      <w:r>
        <w:rPr>
          <w:noProof/>
        </w:rPr>
        <w:t>(Howitt 1993)</w:t>
      </w:r>
      <w:r>
        <w:t>. Such fruit is likely to escape detection during packinghouse procedures.</w:t>
      </w:r>
    </w:p>
    <w:p w:rsidR="00B8782D" w:rsidRDefault="00B8782D">
      <w:pPr>
        <w:pStyle w:val="ListBullet"/>
      </w:pPr>
      <w:r>
        <w:t xml:space="preserve">Larval feeding on fruit nearing maturity leads to damage pulp filled with frass and the subsequent development of secondary fungal infections causing extra damage to the fruit </w:t>
      </w:r>
      <w:r>
        <w:rPr>
          <w:noProof/>
        </w:rPr>
        <w:t>(Meijerman &amp; Ulenberg 2004)</w:t>
      </w:r>
      <w:r>
        <w:t xml:space="preserve">. In the case of </w:t>
      </w:r>
      <w:r>
        <w:rPr>
          <w:i/>
        </w:rPr>
        <w:t xml:space="preserve">G. funebrana </w:t>
      </w:r>
      <w:r>
        <w:t xml:space="preserve">attacked fruits ripen prematurely and are easily recognised amongst the developing crop. When infestations are initiated in nearly ripe fruits the larval tunnel runs directly from the point of entry to the stone. Resin oozes from the fruits damaged by this larval feeding </w:t>
      </w:r>
      <w:r>
        <w:rPr>
          <w:noProof/>
        </w:rPr>
        <w:t>(Meijerman &amp; Ulenberg 2004)</w:t>
      </w:r>
      <w:r>
        <w:t>. Fruit showing such obvious signs of infestation are likely to be rejected during routine quality inspections and packinghouse procedures.</w:t>
      </w:r>
    </w:p>
    <w:p w:rsidR="00B8782D" w:rsidRDefault="00B8782D">
      <w:pPr>
        <w:pStyle w:val="ListBullet"/>
      </w:pPr>
      <w:r>
        <w:t xml:space="preserve">Any eggs laid directly on the surface of the fruit would likely be dislodged by cleaning using pressurised air gun in the packinghouse. However, </w:t>
      </w:r>
      <w:r>
        <w:rPr>
          <w:i/>
        </w:rPr>
        <w:t>Grapholita funebrana</w:t>
      </w:r>
      <w:r>
        <w:t xml:space="preserve"> females often lay their eggs in the stem-end depression of fruit </w:t>
      </w:r>
      <w:r>
        <w:rPr>
          <w:noProof/>
        </w:rPr>
        <w:t>(Meijerman &amp; Ulenberg 2004)</w:t>
      </w:r>
      <w:r>
        <w:t xml:space="preserve"> and these eggs may not be removed completely by using pressurised air gun.</w:t>
      </w:r>
    </w:p>
    <w:p w:rsidR="00B8782D" w:rsidRDefault="00B8782D">
      <w:pPr>
        <w:pStyle w:val="ListBullet"/>
        <w:rPr>
          <w:color w:val="000000"/>
        </w:rPr>
      </w:pPr>
      <w:r>
        <w:rPr>
          <w:i/>
        </w:rPr>
        <w:t>Grapholita</w:t>
      </w:r>
      <w:r>
        <w:t xml:space="preserve"> moth larvae are likely to survive storage and transportation. </w:t>
      </w:r>
      <w:r>
        <w:rPr>
          <w:color w:val="000000"/>
        </w:rPr>
        <w:t xml:space="preserve">Mature larvae of </w:t>
      </w:r>
      <w:r>
        <w:rPr>
          <w:i/>
          <w:color w:val="000000"/>
        </w:rPr>
        <w:t>G. molesta</w:t>
      </w:r>
      <w:r>
        <w:rPr>
          <w:color w:val="000000"/>
        </w:rPr>
        <w:t xml:space="preserve"> overwinter in northern China in the cracks of the branches and crown, or in the soil </w:t>
      </w:r>
      <w:r>
        <w:rPr>
          <w:noProof/>
          <w:color w:val="000000"/>
        </w:rPr>
        <w:t>(Ma 2006)</w:t>
      </w:r>
      <w:r>
        <w:rPr>
          <w:color w:val="000000"/>
        </w:rPr>
        <w:t>. This indicates that this species would be able to survive cold temperatures during the transportation of nectarines from China to Australia.</w:t>
      </w:r>
    </w:p>
    <w:p w:rsidR="00B8782D" w:rsidRDefault="00B8782D">
      <w:r>
        <w:rPr>
          <w:i/>
        </w:rPr>
        <w:t xml:space="preserve">Grapholita </w:t>
      </w:r>
      <w:r>
        <w:t xml:space="preserve">moths are widely distributed in China’s major peach and nectarine production regions and are important pests of nectarine and peach. Eggs laid in the stem end depression of fruit are likely to remain during the packinghouse processes. Larvae of </w:t>
      </w:r>
      <w:r>
        <w:rPr>
          <w:i/>
        </w:rPr>
        <w:t xml:space="preserve">Grapholita </w:t>
      </w:r>
      <w:r>
        <w:t>moths may penetrate stonefruit and feed internally. Immature fruit infested early would drop or show obvious symptoms. However, late fruit infestation late may escape detection during packinghouses procedures. This information supports a likelihood estimate for importation of ‘moderate’.</w:t>
      </w:r>
    </w:p>
    <w:p w:rsidR="00B8782D" w:rsidRDefault="00B8782D">
      <w:pPr>
        <w:pStyle w:val="Heading4"/>
      </w:pPr>
      <w:r>
        <w:t>Likelihood of distribution</w:t>
      </w:r>
    </w:p>
    <w:p w:rsidR="00B8782D" w:rsidRDefault="00B8782D">
      <w:r>
        <w:t xml:space="preserve">The likelihood of distribution for </w:t>
      </w:r>
      <w:r>
        <w:rPr>
          <w:i/>
        </w:rPr>
        <w:t>G. molesta</w:t>
      </w:r>
      <w:r>
        <w:t xml:space="preserve"> assessed here would be the same as that for </w:t>
      </w:r>
      <w:r>
        <w:rPr>
          <w:i/>
        </w:rPr>
        <w:t>G. molesta</w:t>
      </w:r>
      <w:r>
        <w:t xml:space="preserve"> for stonefruit from New Zealand </w:t>
      </w:r>
      <w:r>
        <w:rPr>
          <w:noProof/>
        </w:rPr>
        <w:t>(Biosecurity Australia 2006b)</w:t>
      </w:r>
      <w:r>
        <w:t xml:space="preserve"> and the USA (California, Idaho, Oregon and Washington) </w:t>
      </w:r>
      <w:r>
        <w:rPr>
          <w:noProof/>
        </w:rPr>
        <w:t>(Biosecurity Australia 2010b)</w:t>
      </w:r>
      <w:r>
        <w:t xml:space="preserve">, and for apples from New Zealand </w:t>
      </w:r>
      <w:r>
        <w:rPr>
          <w:noProof/>
        </w:rPr>
        <w:t>(Biosecurity Australia 2006a)</w:t>
      </w:r>
      <w:r>
        <w:t xml:space="preserve"> and China </w:t>
      </w:r>
      <w:r>
        <w:rPr>
          <w:noProof/>
        </w:rPr>
        <w:t>(Biosecurity Australia 2010a)</w:t>
      </w:r>
      <w:r>
        <w:t xml:space="preserve">. It is considered that </w:t>
      </w:r>
      <w:r>
        <w:rPr>
          <w:i/>
        </w:rPr>
        <w:t>G. funebrana</w:t>
      </w:r>
      <w:r>
        <w:t xml:space="preserve"> would have the same likelihood of distribution that is </w:t>
      </w:r>
      <w:r>
        <w:rPr>
          <w:b/>
        </w:rPr>
        <w:t>Moderate.</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lastRenderedPageBreak/>
        <w:t xml:space="preserve">The likelihood that </w:t>
      </w:r>
      <w:r>
        <w:rPr>
          <w:i/>
          <w:color w:val="000000"/>
        </w:rPr>
        <w:t>G. funebrana</w:t>
      </w:r>
      <w:r>
        <w:rPr>
          <w:color w:val="000000"/>
        </w:rPr>
        <w:t xml:space="preserve"> </w:t>
      </w:r>
      <w:r>
        <w:t xml:space="preserve">will enter Australia </w:t>
      </w:r>
      <w:r>
        <w:rPr>
          <w:color w:val="000000"/>
        </w:rPr>
        <w:t xml:space="preserve">and </w:t>
      </w:r>
      <w:r>
        <w:rPr>
          <w:i/>
        </w:rPr>
        <w:t>G. molesta</w:t>
      </w:r>
      <w:r>
        <w:t xml:space="preserve"> will enter Western Australia as a result of trade in nectarines from China and be distributed in a viable state to a susceptible host is: </w:t>
      </w:r>
      <w:r>
        <w:rPr>
          <w:b/>
        </w:rPr>
        <w:t>Low.</w:t>
      </w: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spread for </w:t>
      </w:r>
      <w:r>
        <w:rPr>
          <w:i/>
        </w:rPr>
        <w:t>G. molesta</w:t>
      </w:r>
      <w:r>
        <w:t xml:space="preserve"> is based on the assessment of </w:t>
      </w:r>
      <w:r>
        <w:rPr>
          <w:i/>
        </w:rPr>
        <w:t>G. molesta</w:t>
      </w:r>
      <w:r>
        <w:t xml:space="preserve"> for stonefruit from New Zealand </w:t>
      </w:r>
      <w:r>
        <w:rPr>
          <w:noProof/>
        </w:rPr>
        <w:t>(Biosecurity Australia 2006b)</w:t>
      </w:r>
      <w:r>
        <w:t xml:space="preserve"> and the USA (California, Idaho, Oregon and Washington) </w:t>
      </w:r>
      <w:r>
        <w:rPr>
          <w:noProof/>
        </w:rPr>
        <w:t>(Biosecurity Australia 2010b)</w:t>
      </w:r>
      <w:r>
        <w:t xml:space="preserve">, and for apples from New Zealand </w:t>
      </w:r>
      <w:r>
        <w:rPr>
          <w:noProof/>
        </w:rPr>
        <w:t>(Biosecurity Australia 2006a)</w:t>
      </w:r>
      <w:r>
        <w:t xml:space="preserve"> and China </w:t>
      </w:r>
      <w:r>
        <w:rPr>
          <w:noProof/>
        </w:rPr>
        <w:t>(Biosecurity Australia 2010a)</w:t>
      </w:r>
      <w:r>
        <w:t xml:space="preserve">. It is considered that </w:t>
      </w:r>
      <w:r>
        <w:rPr>
          <w:i/>
          <w:color w:val="000000"/>
        </w:rPr>
        <w:t>G. funebrana</w:t>
      </w:r>
      <w:r>
        <w:rPr>
          <w:color w:val="000000"/>
        </w:rPr>
        <w:t xml:space="preserve"> would have the same likelihood of </w:t>
      </w:r>
      <w:r>
        <w:t>establishment and spread. The ratings from the previous assessments are presented below:</w:t>
      </w:r>
    </w:p>
    <w:p w:rsidR="00B8782D" w:rsidRDefault="00B8782D">
      <w:r>
        <w:t>Likelihood of establishment:</w:t>
      </w:r>
      <w:r>
        <w:tab/>
      </w:r>
      <w:r>
        <w:tab/>
      </w:r>
      <w:r>
        <w:rPr>
          <w:b/>
        </w:rPr>
        <w:t>High</w:t>
      </w:r>
    </w:p>
    <w:p w:rsidR="00B8782D" w:rsidRDefault="00B8782D">
      <w:r>
        <w:t>Likelihood of spread:</w:t>
      </w:r>
      <w:r>
        <w:tab/>
      </w:r>
      <w:r>
        <w:tab/>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of establishment and of spread using the matrix of rules shown in Table 2.2.</w:t>
      </w:r>
    </w:p>
    <w:p w:rsidR="00B8782D" w:rsidRDefault="00B8782D">
      <w:r>
        <w:t xml:space="preserve">The likelihood that </w:t>
      </w:r>
      <w:r>
        <w:rPr>
          <w:i/>
        </w:rPr>
        <w:t xml:space="preserve">G. funebrana </w:t>
      </w:r>
      <w:r>
        <w:t xml:space="preserve">will enter Australia or </w:t>
      </w:r>
      <w:r>
        <w:rPr>
          <w:i/>
        </w:rPr>
        <w:t>G. molesta</w:t>
      </w:r>
      <w:r>
        <w:t xml:space="preserve"> will enter Western Australia as a result of trade in nectarines from China, be distributed in a viable state to a susceptible host, establish in Australia or Western Australia and subsequently spread within Australia or Western Australia has been assessed as: </w:t>
      </w:r>
      <w:r>
        <w:rPr>
          <w:b/>
        </w:rPr>
        <w:t>Low</w:t>
      </w:r>
      <w:r>
        <w:t>.</w:t>
      </w:r>
    </w:p>
    <w:p w:rsidR="00B8782D" w:rsidRDefault="00B8782D" w:rsidP="00B8782D">
      <w:pPr>
        <w:pStyle w:val="Heading3"/>
        <w:numPr>
          <w:ilvl w:val="2"/>
          <w:numId w:val="20"/>
        </w:numPr>
      </w:pPr>
      <w:r>
        <w:t>Consequences</w:t>
      </w:r>
    </w:p>
    <w:p w:rsidR="00B8782D" w:rsidRDefault="00B8782D">
      <w:r>
        <w:t xml:space="preserve">It is considered that the overall consequences of </w:t>
      </w:r>
      <w:r>
        <w:rPr>
          <w:i/>
        </w:rPr>
        <w:t>G. funebrana</w:t>
      </w:r>
      <w:r>
        <w:t xml:space="preserve"> would be similar as previously assessed for </w:t>
      </w:r>
      <w:r>
        <w:rPr>
          <w:i/>
        </w:rPr>
        <w:t>G. molesta.</w:t>
      </w:r>
      <w:r>
        <w:t xml:space="preserve"> The consequences of the establishment of </w:t>
      </w:r>
      <w:r>
        <w:rPr>
          <w:i/>
        </w:rPr>
        <w:t>G. molesta</w:t>
      </w:r>
      <w:r>
        <w:t xml:space="preserve"> in Australia have been estimated previously for stonefruit from New Zealand </w:t>
      </w:r>
      <w:r>
        <w:rPr>
          <w:noProof/>
        </w:rPr>
        <w:t>(Biosecurity Australia 2006b)</w:t>
      </w:r>
      <w:r>
        <w:t xml:space="preserve"> and the USA (California, Idaho, Oregon and Washington) </w:t>
      </w:r>
      <w:r>
        <w:rPr>
          <w:noProof/>
        </w:rPr>
        <w:t>(Biosecurity Australia 2010b)</w:t>
      </w:r>
      <w:r>
        <w:t xml:space="preserve">, and for apples from New Zealand </w:t>
      </w:r>
      <w:r>
        <w:rPr>
          <w:noProof/>
        </w:rPr>
        <w:t>(Biosecurity Australia 2006a)</w:t>
      </w:r>
      <w:r>
        <w:t xml:space="preserve"> and China </w:t>
      </w:r>
      <w:r>
        <w:rPr>
          <w:noProof/>
        </w:rPr>
        <w:t>(Biosecurity Australia 2010a)</w:t>
      </w:r>
      <w:r>
        <w:t xml:space="preserve">. The overall consequences are estimated to be </w:t>
      </w:r>
      <w:r>
        <w:rPr>
          <w:b/>
        </w:rPr>
        <w:t>Moderate</w:t>
      </w:r>
      <w:r>
        <w:t>.</w:t>
      </w:r>
    </w:p>
    <w:p w:rsidR="00B8782D" w:rsidRDefault="00B8782D" w:rsidP="00B8782D">
      <w:pPr>
        <w:pStyle w:val="Heading3"/>
        <w:numPr>
          <w:ilvl w:val="2"/>
          <w:numId w:val="20"/>
        </w:numPr>
      </w:pPr>
      <w:r>
        <w:t>Unrestricted risk estimate</w:t>
      </w:r>
    </w:p>
    <w:p w:rsidR="00B8782D" w:rsidRDefault="00B8782D">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pPr>
            <w:r>
              <w:t xml:space="preserve">Unrestricted risk estimate for </w:t>
            </w:r>
            <w:r>
              <w:rPr>
                <w:i/>
                <w:szCs w:val="16"/>
              </w:rPr>
              <w:t xml:space="preserve">G. funebrana </w:t>
            </w:r>
            <w:r>
              <w:rPr>
                <w:szCs w:val="16"/>
              </w:rPr>
              <w:t xml:space="preserve">and </w:t>
            </w:r>
            <w:r>
              <w:rPr>
                <w:i/>
                <w:szCs w:val="16"/>
              </w:rPr>
              <w:t>G. molesta</w:t>
            </w:r>
          </w:p>
        </w:tc>
      </w:tr>
      <w:tr w:rsidR="00B8782D">
        <w:tc>
          <w:tcPr>
            <w:tcW w:w="6459" w:type="dxa"/>
            <w:shd w:val="clear" w:color="auto" w:fill="auto"/>
          </w:tcPr>
          <w:p w:rsidR="00B8782D" w:rsidRDefault="00B8782D">
            <w:pPr>
              <w:pStyle w:val="TableText"/>
            </w:pPr>
            <w:r>
              <w:t>Overall likelihood of entry, establishment and spread</w:t>
            </w:r>
          </w:p>
        </w:tc>
        <w:tc>
          <w:tcPr>
            <w:tcW w:w="2977" w:type="dxa"/>
            <w:shd w:val="clear" w:color="auto" w:fill="auto"/>
          </w:tcPr>
          <w:p w:rsidR="00B8782D" w:rsidRDefault="00B8782D">
            <w:pPr>
              <w:pStyle w:val="TableText"/>
            </w:pPr>
            <w:r>
              <w:t>Low</w:t>
            </w:r>
          </w:p>
        </w:tc>
      </w:tr>
      <w:tr w:rsidR="00B8782D">
        <w:tc>
          <w:tcPr>
            <w:tcW w:w="6459" w:type="dxa"/>
            <w:shd w:val="clear" w:color="auto" w:fill="auto"/>
          </w:tcPr>
          <w:p w:rsidR="00B8782D" w:rsidRDefault="00B8782D">
            <w:pPr>
              <w:pStyle w:val="TableText"/>
            </w:pPr>
            <w:r>
              <w:t>Consequences</w:t>
            </w:r>
          </w:p>
        </w:tc>
        <w:tc>
          <w:tcPr>
            <w:tcW w:w="2977" w:type="dxa"/>
            <w:shd w:val="clear" w:color="auto" w:fill="auto"/>
          </w:tcPr>
          <w:p w:rsidR="00B8782D" w:rsidRDefault="00B8782D">
            <w:pPr>
              <w:pStyle w:val="TableText"/>
            </w:pPr>
            <w:r>
              <w:t>Moderate</w:t>
            </w:r>
          </w:p>
        </w:tc>
      </w:tr>
      <w:tr w:rsidR="00B8782D">
        <w:tc>
          <w:tcPr>
            <w:tcW w:w="6459" w:type="dxa"/>
            <w:shd w:val="clear" w:color="auto" w:fill="auto"/>
          </w:tcPr>
          <w:p w:rsidR="00B8782D" w:rsidRDefault="00B8782D">
            <w:pPr>
              <w:pStyle w:val="TableText"/>
            </w:pPr>
            <w:r>
              <w:t>Unrestricted risk</w:t>
            </w:r>
          </w:p>
        </w:tc>
        <w:tc>
          <w:tcPr>
            <w:tcW w:w="2977" w:type="dxa"/>
            <w:shd w:val="clear" w:color="auto" w:fill="auto"/>
          </w:tcPr>
          <w:p w:rsidR="00B8782D" w:rsidRDefault="00B8782D">
            <w:pPr>
              <w:pStyle w:val="TableText"/>
            </w:pPr>
            <w:r>
              <w:t>Low</w:t>
            </w:r>
          </w:p>
        </w:tc>
      </w:tr>
    </w:tbl>
    <w:p w:rsidR="00B8782D" w:rsidRDefault="00B8782D">
      <w:pPr>
        <w:sectPr w:rsidR="00B8782D">
          <w:pgSz w:w="11906" w:h="16838"/>
          <w:pgMar w:top="1418" w:right="1418" w:bottom="1418" w:left="1418" w:header="567" w:footer="283" w:gutter="0"/>
          <w:cols w:space="708"/>
          <w:docGrid w:linePitch="360"/>
        </w:sectPr>
      </w:pPr>
      <w:r>
        <w:t xml:space="preserve">As indicated, the unrestricted risk estimate for </w:t>
      </w:r>
      <w:r>
        <w:rPr>
          <w:i/>
        </w:rPr>
        <w:t xml:space="preserve">G. funebrana </w:t>
      </w:r>
      <w:r>
        <w:t xml:space="preserve">and </w:t>
      </w:r>
      <w:r>
        <w:rPr>
          <w:i/>
        </w:rPr>
        <w:t>G. molesta</w:t>
      </w:r>
      <w:r>
        <w:t xml:space="preserve"> has been assessed as ‘low’, which is above Australia’s ALOP. Therefore specific risk management measures are required for these pests.</w:t>
      </w:r>
    </w:p>
    <w:p w:rsidR="00B8782D" w:rsidRDefault="00B8782D" w:rsidP="00B8782D">
      <w:pPr>
        <w:pStyle w:val="Heading2"/>
        <w:numPr>
          <w:ilvl w:val="1"/>
          <w:numId w:val="20"/>
        </w:numPr>
      </w:pPr>
      <w:bookmarkStart w:id="72" w:name="_Toc448312505"/>
      <w:r>
        <w:lastRenderedPageBreak/>
        <w:t>Peach twig borer</w:t>
      </w:r>
      <w:bookmarkEnd w:id="72"/>
    </w:p>
    <w:p w:rsidR="00B8782D" w:rsidRDefault="00B8782D">
      <w:pPr>
        <w:pStyle w:val="Heading4"/>
      </w:pPr>
      <w:r>
        <w:rPr>
          <w:i/>
        </w:rPr>
        <w:t>Anarsia lineatella (</w:t>
      </w:r>
      <w:r>
        <w:t>EP)</w:t>
      </w:r>
    </w:p>
    <w:p w:rsidR="00B8782D" w:rsidRDefault="00B8782D">
      <w:r>
        <w:rPr>
          <w:i/>
        </w:rPr>
        <w:t>Anarsia lineatella</w:t>
      </w:r>
      <w:r>
        <w:rPr>
          <w:i/>
          <w:vertAlign w:val="superscript"/>
        </w:rPr>
        <w:t xml:space="preserve"> </w:t>
      </w:r>
      <w:r>
        <w:t xml:space="preserve">(peach twig borer) belongs to the Gelechiidae family and is a significant pest of stonefruit </w:t>
      </w:r>
      <w:r>
        <w:rPr>
          <w:noProof/>
        </w:rPr>
        <w:t>(Damos &amp; Savopoulou-Soultani 2010; Pickel et al. 2006)</w:t>
      </w:r>
      <w:r>
        <w:t>.</w:t>
      </w:r>
    </w:p>
    <w:p w:rsidR="00B8782D" w:rsidRDefault="00B8782D">
      <w:r>
        <w:rPr>
          <w:i/>
        </w:rPr>
        <w:t>Anarsia lineatella</w:t>
      </w:r>
      <w:r>
        <w:t xml:space="preserve"> damages stonefruit by boring into buds, shoots, branches and fruit. First generation larvae primarily bore into buds and feed on young shoots, causing the leaves to wilt and eventually killing the terminals </w:t>
      </w:r>
      <w:r>
        <w:rPr>
          <w:noProof/>
        </w:rPr>
        <w:t>(Alston &amp; Murray 2007; Beljaev &amp; Ponomarenko 2005; Damos &amp; Savopoulou-Soultani 2010)</w:t>
      </w:r>
      <w:r>
        <w:t xml:space="preserve">. Later generation larvae mainly feed on fruit </w:t>
      </w:r>
      <w:r>
        <w:rPr>
          <w:noProof/>
        </w:rPr>
        <w:t>(CABI &amp; EPPO 1997b)</w:t>
      </w:r>
      <w:r>
        <w:t xml:space="preserve">. Larvae attack stonefruit primarily through the stem end of the fruit, or where it touches foliage, branches or another fruit </w:t>
      </w:r>
      <w:r>
        <w:rPr>
          <w:noProof/>
        </w:rPr>
        <w:t>(Alston &amp; Murray 2007; Reding &amp; Alston 2003)</w:t>
      </w:r>
      <w:r>
        <w:t xml:space="preserve">, feeding beneath the skin and around the seed of the fruit </w:t>
      </w:r>
      <w:r>
        <w:rPr>
          <w:noProof/>
        </w:rPr>
        <w:t>(Alston &amp; Murray 2007; Pickel et al. 2006)</w:t>
      </w:r>
      <w:r>
        <w:t>.</w:t>
      </w:r>
    </w:p>
    <w:p w:rsidR="00B8782D" w:rsidRDefault="00B8782D">
      <w:r>
        <w:rPr>
          <w:i/>
        </w:rPr>
        <w:t>Anarsia lineatella</w:t>
      </w:r>
      <w:r>
        <w:t xml:space="preserve"> has four life stages: egg, larva, pupa and adult and has 1–4 generations per year, depending on the climate </w:t>
      </w:r>
      <w:r>
        <w:rPr>
          <w:noProof/>
        </w:rPr>
        <w:t>(Beljaev &amp; Ponomarenko 2005; Damos &amp; Savopoulou-Soultani 2010)</w:t>
      </w:r>
      <w:r>
        <w:t>.</w:t>
      </w:r>
    </w:p>
    <w:p w:rsidR="00B8782D" w:rsidRDefault="00B8782D">
      <w:r>
        <w:t xml:space="preserve">The risk scenario of concern for </w:t>
      </w:r>
      <w:r>
        <w:rPr>
          <w:i/>
        </w:rPr>
        <w:t>A. lineatella</w:t>
      </w:r>
      <w:r>
        <w:t xml:space="preserve"> is the presence of developing larvae within nectarines, and eggs or, in some cases, pupae in the stem-end depression of imported nectarines.</w:t>
      </w:r>
    </w:p>
    <w:p w:rsidR="00B8782D" w:rsidRDefault="00B8782D">
      <w:r>
        <w:t xml:space="preserve">The assessment of </w:t>
      </w:r>
      <w:r>
        <w:rPr>
          <w:i/>
        </w:rPr>
        <w:t>A. lineatella</w:t>
      </w:r>
      <w:r>
        <w:t xml:space="preserve"> presented here builds on the previous assessment for fresh stonefruit from the USA (California, Idaho, Oregon and Washington) </w:t>
      </w:r>
      <w:r>
        <w:rPr>
          <w:noProof/>
        </w:rPr>
        <w:t>(Biosecurity Australia 2010b)</w:t>
      </w:r>
      <w:r>
        <w:t>.</w:t>
      </w:r>
    </w:p>
    <w:p w:rsidR="00B8782D" w:rsidRDefault="00B8782D">
      <w:r>
        <w:t xml:space="preserve">Differences in horticultural practices, climatic conditions and the prevalence of </w:t>
      </w:r>
      <w:r>
        <w:rPr>
          <w:i/>
        </w:rPr>
        <w:t>A. lineatella</w:t>
      </w:r>
      <w:r>
        <w:rPr>
          <w:i/>
          <w:vertAlign w:val="superscript"/>
        </w:rPr>
        <w:t xml:space="preserve"> </w:t>
      </w:r>
      <w:r>
        <w:t xml:space="preserve">between export areas in the USA and China make it necessary to reassess the likelihood that </w:t>
      </w:r>
      <w:r>
        <w:rPr>
          <w:i/>
        </w:rPr>
        <w:t>A. lineatella</w:t>
      </w:r>
      <w:r>
        <w:rPr>
          <w:i/>
          <w:vertAlign w:val="superscript"/>
        </w:rPr>
        <w:t xml:space="preserve"> </w:t>
      </w:r>
      <w:r>
        <w:t>will be imported into Australia with nectarines from China.</w:t>
      </w:r>
    </w:p>
    <w:p w:rsidR="00B8782D" w:rsidRDefault="00B8782D">
      <w:r>
        <w:t>Fresh nectarine fruit is expected to be imported from China from May to October which is similar to the timing of the import of stonefruit from the USA. After importation, nectarines will be distributed throughout Australia for retail sale in a similar way to stonefruit from the USA. Therefore, it is unnecessary to reassess the likelihood of distribution.</w:t>
      </w:r>
    </w:p>
    <w:p w:rsidR="00B8782D" w:rsidRDefault="00B8782D">
      <w:r>
        <w:t xml:space="preserve">The likelihood of establishment and spread of </w:t>
      </w:r>
      <w:r>
        <w:rPr>
          <w:i/>
        </w:rPr>
        <w:t>A. lineatella</w:t>
      </w:r>
      <w:r>
        <w:t xml:space="preserve"> in Australia will be comparable regardless of the fresh fruit commodity in which </w:t>
      </w:r>
      <w:r>
        <w:rPr>
          <w:i/>
        </w:rPr>
        <w:t>A. lineatella</w:t>
      </w:r>
      <w:r>
        <w:t xml:space="preserve"> is imported into Australia, as these likelihoods relate specifically to events that occur in Australia and are independent of the importation pathway. The consequences of </w:t>
      </w:r>
      <w:r>
        <w:rPr>
          <w:i/>
        </w:rPr>
        <w:t>A. lineatella</w:t>
      </w:r>
      <w:r>
        <w:t xml:space="preserve"> are also independent of the importation pathway. Accordingly, there is no need to reassess these components of the risk.</w:t>
      </w:r>
    </w:p>
    <w:p w:rsidR="00B8782D" w:rsidRDefault="00B8782D">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A. lineatella</w:t>
      </w:r>
      <w:r>
        <w:t xml:space="preserve"> in the existing policy for fresh stonefruit from the USA (California, Idaho, Oregon and Washington) </w:t>
      </w:r>
      <w:r>
        <w:rPr>
          <w:noProof/>
        </w:rPr>
        <w:t>(Biosecurity Australia 2010b)</w:t>
      </w:r>
      <w:r>
        <w:t>. Therefore, those risk ratings will be adopted for this assessment.</w:t>
      </w:r>
    </w:p>
    <w:p w:rsidR="00B8782D" w:rsidRDefault="00B8782D" w:rsidP="00B8782D">
      <w:pPr>
        <w:pStyle w:val="Heading3"/>
        <w:numPr>
          <w:ilvl w:val="2"/>
          <w:numId w:val="20"/>
        </w:numPr>
      </w:pPr>
      <w:r>
        <w:lastRenderedPageBreak/>
        <w:t>Likelihood of entry</w:t>
      </w:r>
    </w:p>
    <w:p w:rsidR="00B8782D" w:rsidRDefault="00B8782D">
      <w:pPr>
        <w:rPr>
          <w:b/>
        </w:rPr>
      </w:pPr>
      <w:r>
        <w:t>The likelihood of entry is considered in two parts, the likelihood of importation and the likelihood of distribution, which consider pre-border and post-border issues, respectively.</w:t>
      </w:r>
    </w:p>
    <w:p w:rsidR="00B8782D" w:rsidRDefault="00B8782D">
      <w:pPr>
        <w:pStyle w:val="Heading4"/>
      </w:pPr>
      <w:r>
        <w:t>Likelihood of importation</w:t>
      </w:r>
    </w:p>
    <w:p w:rsidR="00B8782D" w:rsidRDefault="00B8782D">
      <w:r>
        <w:t xml:space="preserve">The likelihood that </w:t>
      </w:r>
      <w:r>
        <w:rPr>
          <w:i/>
        </w:rPr>
        <w:t>Anarsia lineatella</w:t>
      </w:r>
      <w:r>
        <w:t xml:space="preserve"> will arrive in Australia with the importation of fresh nectarines from China is: </w:t>
      </w:r>
      <w:r>
        <w:rPr>
          <w:b/>
        </w:rPr>
        <w:t>Moderate</w:t>
      </w:r>
      <w:r>
        <w:t>.</w:t>
      </w:r>
    </w:p>
    <w:p w:rsidR="00B8782D" w:rsidRDefault="00B8782D">
      <w:r>
        <w:t>The following information provides supporting evidence for this assessment.</w:t>
      </w:r>
    </w:p>
    <w:p w:rsidR="00B8782D" w:rsidRDefault="00B8782D">
      <w:pPr>
        <w:pStyle w:val="ListBullet"/>
      </w:pPr>
      <w:r>
        <w:rPr>
          <w:i/>
        </w:rPr>
        <w:t>Anarsia lineatella</w:t>
      </w:r>
      <w:r>
        <w:t xml:space="preserve"> is recorded in Guangdong </w:t>
      </w:r>
      <w:r>
        <w:rPr>
          <w:noProof/>
        </w:rPr>
        <w:t>(Kondo &amp; Miyahara 1930)</w:t>
      </w:r>
      <w:r>
        <w:t xml:space="preserve">, Shaanxi, Jilin </w:t>
      </w:r>
      <w:r>
        <w:rPr>
          <w:noProof/>
        </w:rPr>
        <w:t>(Park, Lee &amp; Lu.L. 2000)</w:t>
      </w:r>
      <w:r>
        <w:t xml:space="preserve"> and Xinjiang </w:t>
      </w:r>
      <w:r>
        <w:rPr>
          <w:noProof/>
        </w:rPr>
        <w:t>(Yang, Tulake &amp; Li 2005)</w:t>
      </w:r>
      <w:r>
        <w:t xml:space="preserve"> in China. However, record of </w:t>
      </w:r>
      <w:r w:rsidRPr="0086437A">
        <w:rPr>
          <w:i/>
        </w:rPr>
        <w:t>A. lineatella</w:t>
      </w:r>
      <w:r>
        <w:t xml:space="preserve"> in Shaanxi and Jilin could not be verified. Shaanxi is a major peach and nectarine production region of China.</w:t>
      </w:r>
    </w:p>
    <w:p w:rsidR="00B8782D" w:rsidRDefault="00B8782D">
      <w:pPr>
        <w:pStyle w:val="ListBullet"/>
        <w:rPr>
          <w:i/>
        </w:rPr>
      </w:pPr>
      <w:r>
        <w:rPr>
          <w:i/>
        </w:rPr>
        <w:t>Anarsia lineatella</w:t>
      </w:r>
      <w:r>
        <w:t xml:space="preserve"> attacks both the shoots and fruit of stonefruit </w:t>
      </w:r>
      <w:r>
        <w:rPr>
          <w:noProof/>
        </w:rPr>
        <w:t>(Bentley, Hasey &amp; Day 2012; Gencsoylu et al. 2006)</w:t>
      </w:r>
      <w:r>
        <w:t xml:space="preserve">. </w:t>
      </w:r>
      <w:r>
        <w:rPr>
          <w:i/>
        </w:rPr>
        <w:t>Anarsia lineatella</w:t>
      </w:r>
      <w:r>
        <w:t xml:space="preserve"> females lay eggs at the base of buds, on the underside of leaves, on the shoots, on the bark of trunks and branches and on growing fruit.</w:t>
      </w:r>
    </w:p>
    <w:p w:rsidR="00B8782D" w:rsidRDefault="00B8782D">
      <w:pPr>
        <w:pStyle w:val="ListBullet"/>
        <w:rPr>
          <w:i/>
        </w:rPr>
      </w:pPr>
      <w:r>
        <w:t xml:space="preserve">Depending on fruit maturity and population density, the second and subsequent generation </w:t>
      </w:r>
      <w:r>
        <w:rPr>
          <w:i/>
        </w:rPr>
        <w:t>A. lineatella</w:t>
      </w:r>
      <w:r>
        <w:t xml:space="preserve"> adults may attack either branches or fruit </w:t>
      </w:r>
      <w:r>
        <w:rPr>
          <w:noProof/>
        </w:rPr>
        <w:t>(Bentley &amp; Day 2012)</w:t>
      </w:r>
      <w:r>
        <w:t>.</w:t>
      </w:r>
    </w:p>
    <w:p w:rsidR="00B8782D" w:rsidRDefault="00B8782D">
      <w:pPr>
        <w:pStyle w:val="ListBullet"/>
      </w:pPr>
      <w:r>
        <w:t xml:space="preserve">Newly emerged larvae that hatch from eggs laid on fruit bore into the fruit and usually enter the fruit through the stem-end feeding just below the skin </w:t>
      </w:r>
      <w:r>
        <w:rPr>
          <w:noProof/>
        </w:rPr>
        <w:t>(Bentley &amp; Day 2012)</w:t>
      </w:r>
      <w:r>
        <w:t>.</w:t>
      </w:r>
    </w:p>
    <w:p w:rsidR="00B8782D" w:rsidRDefault="00B8782D">
      <w:pPr>
        <w:pStyle w:val="ListBullet"/>
      </w:pPr>
      <w:r>
        <w:t xml:space="preserve">Larvae feeding just below the surface of the fruit cause clearly visible feeding damage </w:t>
      </w:r>
      <w:r>
        <w:rPr>
          <w:noProof/>
        </w:rPr>
        <w:t>(Weakley, Kirsch &amp; Zalom 1990)</w:t>
      </w:r>
      <w:r>
        <w:t xml:space="preserve">. Infested fruit is also susceptible to infections by micro-organisms that causes fruit rotting </w:t>
      </w:r>
      <w:r>
        <w:rPr>
          <w:noProof/>
        </w:rPr>
        <w:t>(Reding &amp; Alston 2003)</w:t>
      </w:r>
      <w:r>
        <w:t>. Such fruit would be removed during the harvest and packinghouse procedures.</w:t>
      </w:r>
    </w:p>
    <w:p w:rsidR="00B8782D" w:rsidRDefault="00B8782D">
      <w:pPr>
        <w:pStyle w:val="ListBullet"/>
      </w:pPr>
      <w:r>
        <w:t xml:space="preserve">Females also oviposit on stonefruit from the time of colour break to mature hard-ripe fruit </w:t>
      </w:r>
      <w:r>
        <w:rPr>
          <w:noProof/>
        </w:rPr>
        <w:t>(Sidney et al. 2008)</w:t>
      </w:r>
      <w:r>
        <w:t>. Fruit infested near harvest time is unlikely to show any signs of infestation and is unlikely to be detected by packinghouse procedures.</w:t>
      </w:r>
    </w:p>
    <w:p w:rsidR="00B8782D" w:rsidRDefault="00B8782D">
      <w:pPr>
        <w:pStyle w:val="ListBullet"/>
      </w:pPr>
      <w:r>
        <w:t xml:space="preserve">First generation larvae pupate in bark cracks on the trunk or branches. Later generation larvae may pupate in the stem-end depression of stonefruit </w:t>
      </w:r>
      <w:r>
        <w:rPr>
          <w:noProof/>
        </w:rPr>
        <w:t>(Beljaev &amp; Ponomarenko 2005)</w:t>
      </w:r>
      <w:r>
        <w:t>.</w:t>
      </w:r>
    </w:p>
    <w:p w:rsidR="00B8782D" w:rsidRDefault="00B8782D">
      <w:pPr>
        <w:pStyle w:val="ListBullet"/>
      </w:pPr>
      <w:r>
        <w:t xml:space="preserve">Eggs, larvae or pupae on the external surface of the fruit are likely to be removed by cleaning using pressurised air gun. However, eggs, or larvae, that may have pupated in the stem-end depression of stonefruit </w:t>
      </w:r>
      <w:r>
        <w:rPr>
          <w:noProof/>
        </w:rPr>
        <w:t>(Beljaev &amp; Ponomarenko 2005)</w:t>
      </w:r>
      <w:r>
        <w:t xml:space="preserve"> may not be removed completely during this process.</w:t>
      </w:r>
    </w:p>
    <w:p w:rsidR="00B8782D" w:rsidRDefault="00B8782D">
      <w:pPr>
        <w:pStyle w:val="ListBullet"/>
      </w:pPr>
      <w:r>
        <w:rPr>
          <w:i/>
        </w:rPr>
        <w:t>Anarsia lineatella</w:t>
      </w:r>
      <w:r>
        <w:t xml:space="preserve"> eggs are very small in size and if laid in the stem-end depression of nectarine fruit are unlikely to be detected during harvest or even during packinghouse procedures.</w:t>
      </w:r>
    </w:p>
    <w:p w:rsidR="00B8782D" w:rsidRDefault="00B8782D">
      <w:pPr>
        <w:pStyle w:val="ListBullet"/>
      </w:pPr>
      <w:r>
        <w:rPr>
          <w:i/>
        </w:rPr>
        <w:t>Anarsia lineatella</w:t>
      </w:r>
      <w:r>
        <w:t xml:space="preserve"> overwinters in the first and second larval stages in northern China where winter conditions are quite severe, resuming their development when the temperature rises </w:t>
      </w:r>
      <w:r>
        <w:rPr>
          <w:noProof/>
        </w:rPr>
        <w:t>(Beljaev &amp; Ponomarenko 2005)</w:t>
      </w:r>
      <w:r>
        <w:t xml:space="preserve">. This indicates that these stages are likely to be the most cold tolerant </w:t>
      </w:r>
      <w:r>
        <w:rPr>
          <w:noProof/>
        </w:rPr>
        <w:t>(Bentley &amp; Day 2012)</w:t>
      </w:r>
      <w:r>
        <w:t xml:space="preserve"> and </w:t>
      </w:r>
      <w:r>
        <w:rPr>
          <w:color w:val="000000"/>
        </w:rPr>
        <w:t>would be most likely to survive the cold temperatures experienced during the transportation of nectarines from China to Australia.</w:t>
      </w:r>
    </w:p>
    <w:p w:rsidR="00B8782D" w:rsidRDefault="00B8782D">
      <w:r>
        <w:rPr>
          <w:i/>
        </w:rPr>
        <w:lastRenderedPageBreak/>
        <w:t>Anarsia lineatella</w:t>
      </w:r>
      <w:r>
        <w:t xml:space="preserve"> is present in one of China’s major peach and nectarine production regions. Early generations of </w:t>
      </w:r>
      <w:r>
        <w:rPr>
          <w:i/>
        </w:rPr>
        <w:t>A. lineatella</w:t>
      </w:r>
      <w:r>
        <w:t xml:space="preserve"> mainly feed on vegetative tissues. Immature fruit damaged by later generation larvae often show obvious symptoms. However, fruit infested close to harvest time is unlikely to show any signs of infestation and is unlikely to be detected during packinghouse procedures. This information supports a likelihood estimate for importation of ‘moderate’.</w:t>
      </w:r>
    </w:p>
    <w:p w:rsidR="00B8782D" w:rsidRDefault="00B8782D">
      <w:pPr>
        <w:pStyle w:val="Heading4"/>
      </w:pPr>
      <w:r>
        <w:t>Likelihood of distribution</w:t>
      </w:r>
    </w:p>
    <w:p w:rsidR="00B8782D" w:rsidRDefault="00B8782D">
      <w:r>
        <w:t xml:space="preserve">The likelihood of distribution for </w:t>
      </w:r>
      <w:r>
        <w:rPr>
          <w:i/>
        </w:rPr>
        <w:t>A. lineatella</w:t>
      </w:r>
      <w:r>
        <w:t xml:space="preserve"> assessed here would be the same as that for </w:t>
      </w:r>
      <w:r>
        <w:rPr>
          <w:i/>
        </w:rPr>
        <w:t>A. lineatella</w:t>
      </w:r>
      <w:r>
        <w:t xml:space="preserve"> for stonefruit from the USA (California, Idaho, Oregon and Washington) </w:t>
      </w:r>
      <w:r>
        <w:rPr>
          <w:noProof/>
        </w:rPr>
        <w:t>(Biosecurity Australia 2010b)</w:t>
      </w:r>
      <w:r>
        <w:t xml:space="preserve">, that is </w:t>
      </w:r>
      <w:r>
        <w:rPr>
          <w:b/>
        </w:rPr>
        <w:t>Low.</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t xml:space="preserve">The likelihood that </w:t>
      </w:r>
      <w:r>
        <w:rPr>
          <w:i/>
        </w:rPr>
        <w:t>A. lineatella</w:t>
      </w:r>
      <w:r>
        <w:t xml:space="preserve"> will enter Australia as a result of trade in nectarines from China and be distributed in a viable state to a susceptible host is: </w:t>
      </w:r>
      <w:r>
        <w:rPr>
          <w:b/>
        </w:rPr>
        <w:t>Low.</w:t>
      </w: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of spread for </w:t>
      </w:r>
      <w:r>
        <w:rPr>
          <w:i/>
        </w:rPr>
        <w:t>A. lineatella</w:t>
      </w:r>
      <w:r>
        <w:t xml:space="preserve"> is based on the assessment of </w:t>
      </w:r>
      <w:r>
        <w:rPr>
          <w:i/>
        </w:rPr>
        <w:t>A. lineatella</w:t>
      </w:r>
      <w:r>
        <w:t xml:space="preserve"> for fresh stonefruit from the USA (California, Idaho, Oregon and Washington) </w:t>
      </w:r>
      <w:r>
        <w:rPr>
          <w:noProof/>
        </w:rPr>
        <w:t>(Biosecurity Australia 2010b)</w:t>
      </w:r>
      <w:r>
        <w:t>. That assessment used the same methodology as described in Chapter 2 of this report. The ratings from the previous assessment are presented below:</w:t>
      </w:r>
    </w:p>
    <w:p w:rsidR="00B8782D" w:rsidRDefault="00B8782D">
      <w:r>
        <w:t>Likelihood of establishment:</w:t>
      </w:r>
      <w:r>
        <w:tab/>
      </w:r>
      <w:r>
        <w:tab/>
      </w:r>
      <w:r>
        <w:rPr>
          <w:b/>
        </w:rPr>
        <w:t>High</w:t>
      </w:r>
    </w:p>
    <w:p w:rsidR="00B8782D" w:rsidRDefault="00B8782D">
      <w:r>
        <w:t>Likelihood of spread:</w:t>
      </w:r>
      <w:r>
        <w:tab/>
      </w:r>
      <w:r>
        <w:tab/>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of establishment and of spread using the matrix of rules shown in Table 2.2.</w:t>
      </w:r>
    </w:p>
    <w:p w:rsidR="00B8782D" w:rsidRDefault="00B8782D">
      <w:r>
        <w:t xml:space="preserve">The likelihood that </w:t>
      </w:r>
      <w:r>
        <w:rPr>
          <w:i/>
        </w:rPr>
        <w:t>A. lineatella</w:t>
      </w:r>
      <w:r>
        <w:t xml:space="preserve"> will enter Australia as a result of trade in nectarines from China, be distributed in a viable state to a susceptible host, establish in Australia and subsequently spread within Australia has been assessed as: </w:t>
      </w:r>
      <w:r>
        <w:rPr>
          <w:b/>
        </w:rPr>
        <w:t>Low</w:t>
      </w:r>
      <w:r>
        <w:t>.</w:t>
      </w:r>
    </w:p>
    <w:p w:rsidR="00B8782D" w:rsidRDefault="00B8782D" w:rsidP="00B8782D">
      <w:pPr>
        <w:pStyle w:val="Heading3"/>
        <w:numPr>
          <w:ilvl w:val="2"/>
          <w:numId w:val="20"/>
        </w:numPr>
      </w:pPr>
      <w:r>
        <w:t>Consequences</w:t>
      </w:r>
    </w:p>
    <w:p w:rsidR="00B8782D" w:rsidRDefault="00B8782D">
      <w:r>
        <w:t xml:space="preserve">The consequences of the establishment of </w:t>
      </w:r>
      <w:r>
        <w:rPr>
          <w:i/>
        </w:rPr>
        <w:t>A. lineatella</w:t>
      </w:r>
      <w:r>
        <w:t xml:space="preserve"> in Australia have been estimated previously for fresh stonefruit from the USA (California, Idaho, Oregon and Washington) </w:t>
      </w:r>
      <w:r>
        <w:rPr>
          <w:noProof/>
        </w:rPr>
        <w:t>(Biosecurity Australia 2010b)</w:t>
      </w:r>
      <w:r>
        <w:t xml:space="preserve">. The overall consequences for </w:t>
      </w:r>
      <w:r>
        <w:rPr>
          <w:i/>
        </w:rPr>
        <w:t>A. lineatella</w:t>
      </w:r>
      <w:r>
        <w:t xml:space="preserve"> are estimated to be </w:t>
      </w:r>
      <w:r>
        <w:rPr>
          <w:b/>
        </w:rPr>
        <w:t>Moderate</w:t>
      </w:r>
      <w:r>
        <w:t>.</w:t>
      </w:r>
    </w:p>
    <w:p w:rsidR="00B8782D" w:rsidRDefault="00B8782D" w:rsidP="00B8782D">
      <w:pPr>
        <w:pStyle w:val="Heading3"/>
        <w:numPr>
          <w:ilvl w:val="2"/>
          <w:numId w:val="20"/>
        </w:numPr>
      </w:pPr>
      <w:r>
        <w:lastRenderedPageBreak/>
        <w:t>Unrestricted risk estimate</w:t>
      </w:r>
    </w:p>
    <w:p w:rsidR="00B8782D" w:rsidRDefault="00B8782D">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pPr>
            <w:r>
              <w:t xml:space="preserve">Unrestricted risk estimate for </w:t>
            </w:r>
            <w:r>
              <w:rPr>
                <w:i/>
              </w:rPr>
              <w:t>Anarsia lineatella</w:t>
            </w:r>
          </w:p>
        </w:tc>
      </w:tr>
      <w:tr w:rsidR="00B8782D">
        <w:tc>
          <w:tcPr>
            <w:tcW w:w="6459" w:type="dxa"/>
            <w:shd w:val="clear" w:color="auto" w:fill="auto"/>
          </w:tcPr>
          <w:p w:rsidR="00B8782D" w:rsidRDefault="00B8782D">
            <w:pPr>
              <w:pStyle w:val="TableText"/>
            </w:pPr>
            <w:r>
              <w:t>Overall likelihood of entry, establishment and spread</w:t>
            </w:r>
          </w:p>
        </w:tc>
        <w:tc>
          <w:tcPr>
            <w:tcW w:w="2977" w:type="dxa"/>
            <w:shd w:val="clear" w:color="auto" w:fill="auto"/>
          </w:tcPr>
          <w:p w:rsidR="00B8782D" w:rsidRDefault="00B8782D">
            <w:pPr>
              <w:pStyle w:val="TableText"/>
            </w:pPr>
            <w:r>
              <w:t xml:space="preserve">Low </w:t>
            </w:r>
          </w:p>
        </w:tc>
      </w:tr>
      <w:tr w:rsidR="00B8782D">
        <w:tc>
          <w:tcPr>
            <w:tcW w:w="6459" w:type="dxa"/>
            <w:shd w:val="clear" w:color="auto" w:fill="auto"/>
          </w:tcPr>
          <w:p w:rsidR="00B8782D" w:rsidRDefault="00B8782D">
            <w:pPr>
              <w:pStyle w:val="TableText"/>
            </w:pPr>
            <w:r>
              <w:t>Consequences</w:t>
            </w:r>
          </w:p>
        </w:tc>
        <w:tc>
          <w:tcPr>
            <w:tcW w:w="2977" w:type="dxa"/>
            <w:shd w:val="clear" w:color="auto" w:fill="auto"/>
          </w:tcPr>
          <w:p w:rsidR="00B8782D" w:rsidRDefault="00B8782D">
            <w:pPr>
              <w:pStyle w:val="TableText"/>
            </w:pPr>
            <w:r>
              <w:t xml:space="preserve">Moderate </w:t>
            </w:r>
          </w:p>
        </w:tc>
      </w:tr>
      <w:tr w:rsidR="00B8782D">
        <w:tc>
          <w:tcPr>
            <w:tcW w:w="6459" w:type="dxa"/>
            <w:shd w:val="clear" w:color="auto" w:fill="auto"/>
          </w:tcPr>
          <w:p w:rsidR="00B8782D" w:rsidRDefault="00B8782D">
            <w:pPr>
              <w:pStyle w:val="TableText"/>
            </w:pPr>
            <w:r>
              <w:t>Unrestricted risk</w:t>
            </w:r>
          </w:p>
        </w:tc>
        <w:tc>
          <w:tcPr>
            <w:tcW w:w="2977" w:type="dxa"/>
            <w:shd w:val="clear" w:color="auto" w:fill="auto"/>
          </w:tcPr>
          <w:p w:rsidR="00B8782D" w:rsidRDefault="00B8782D">
            <w:pPr>
              <w:pStyle w:val="TableText"/>
            </w:pPr>
            <w:r>
              <w:t xml:space="preserve">Low </w:t>
            </w:r>
          </w:p>
        </w:tc>
      </w:tr>
    </w:tbl>
    <w:p w:rsidR="00B8782D" w:rsidRDefault="00B8782D">
      <w:pPr>
        <w:sectPr w:rsidR="00B8782D">
          <w:pgSz w:w="11906" w:h="16838"/>
          <w:pgMar w:top="1418" w:right="1418" w:bottom="1418" w:left="1418" w:header="567" w:footer="283" w:gutter="0"/>
          <w:cols w:space="708"/>
          <w:docGrid w:linePitch="360"/>
        </w:sectPr>
      </w:pPr>
      <w:r>
        <w:t xml:space="preserve">As indicated, the unrestricted risk estimate for </w:t>
      </w:r>
      <w:r>
        <w:rPr>
          <w:i/>
        </w:rPr>
        <w:t>Anarsia lineatella</w:t>
      </w:r>
      <w:r>
        <w:t xml:space="preserve"> has been assessed as ‘low’, which is above Australia’s ALOP. Therefore, specific risk management measures are required for this pest.</w:t>
      </w:r>
    </w:p>
    <w:p w:rsidR="00B8782D" w:rsidRDefault="00B8782D" w:rsidP="00B8782D">
      <w:pPr>
        <w:pStyle w:val="Heading2"/>
        <w:numPr>
          <w:ilvl w:val="1"/>
          <w:numId w:val="20"/>
        </w:numPr>
      </w:pPr>
      <w:bookmarkStart w:id="73" w:name="_Toc448312506"/>
      <w:r>
        <w:lastRenderedPageBreak/>
        <w:t>Peach fruit borer</w:t>
      </w:r>
      <w:bookmarkEnd w:id="73"/>
    </w:p>
    <w:p w:rsidR="00B8782D" w:rsidRDefault="00B8782D">
      <w:pPr>
        <w:pStyle w:val="Heading4"/>
      </w:pPr>
      <w:r>
        <w:rPr>
          <w:i/>
        </w:rPr>
        <w:t>Carposina sasakii</w:t>
      </w:r>
      <w:r>
        <w:t xml:space="preserve"> (EP)</w:t>
      </w:r>
    </w:p>
    <w:p w:rsidR="00B8782D" w:rsidRDefault="00B8782D">
      <w:pPr>
        <w:rPr>
          <w:color w:val="000000"/>
          <w:highlight w:val="yellow"/>
        </w:rPr>
      </w:pPr>
      <w:r>
        <w:rPr>
          <w:i/>
        </w:rPr>
        <w:t xml:space="preserve">Carposina sasakii </w:t>
      </w:r>
      <w:r>
        <w:t xml:space="preserve">(peach fruit borer) belongs to the Carposinidae family and is known as an important pest of peach and pome fruits </w:t>
      </w:r>
      <w:r>
        <w:rPr>
          <w:noProof/>
        </w:rPr>
        <w:t>(CABI 2015)</w:t>
      </w:r>
      <w:r>
        <w:t>.</w:t>
      </w:r>
      <w:r>
        <w:rPr>
          <w:color w:val="000000"/>
        </w:rPr>
        <w:t xml:space="preserve"> </w:t>
      </w:r>
      <w:r>
        <w:rPr>
          <w:i/>
        </w:rPr>
        <w:t xml:space="preserve">Carposina </w:t>
      </w:r>
      <w:r>
        <w:rPr>
          <w:i/>
          <w:color w:val="000000"/>
        </w:rPr>
        <w:t>sasakii</w:t>
      </w:r>
      <w:r>
        <w:rPr>
          <w:color w:val="000000"/>
        </w:rPr>
        <w:t xml:space="preserve"> larvae damage the host plants by feeding and tunnelling in the fruit </w:t>
      </w:r>
      <w:r>
        <w:rPr>
          <w:noProof/>
          <w:color w:val="000000"/>
        </w:rPr>
        <w:t>(Shutova 1978)</w:t>
      </w:r>
      <w:r>
        <w:rPr>
          <w:color w:val="000000"/>
        </w:rPr>
        <w:t>.</w:t>
      </w:r>
    </w:p>
    <w:p w:rsidR="00B8782D" w:rsidRDefault="00B8782D">
      <w:pPr>
        <w:rPr>
          <w:color w:val="000000"/>
        </w:rPr>
      </w:pPr>
      <w:r>
        <w:rPr>
          <w:i/>
        </w:rPr>
        <w:t xml:space="preserve">Carposina </w:t>
      </w:r>
      <w:r>
        <w:rPr>
          <w:i/>
          <w:color w:val="000000"/>
        </w:rPr>
        <w:t>sasakii</w:t>
      </w:r>
      <w:r>
        <w:rPr>
          <w:color w:val="000000"/>
        </w:rPr>
        <w:t xml:space="preserve"> has four life stages: egg, larva, pupa and adult </w:t>
      </w:r>
      <w:r>
        <w:rPr>
          <w:noProof/>
        </w:rPr>
        <w:t>(Ma 2006)</w:t>
      </w:r>
      <w:r>
        <w:t>.</w:t>
      </w:r>
      <w:r>
        <w:rPr>
          <w:color w:val="000000"/>
        </w:rPr>
        <w:t xml:space="preserve"> Seasonal prevalence of </w:t>
      </w:r>
      <w:r>
        <w:rPr>
          <w:i/>
          <w:color w:val="000000"/>
        </w:rPr>
        <w:t xml:space="preserve">C. sasakii </w:t>
      </w:r>
      <w:r>
        <w:rPr>
          <w:color w:val="000000"/>
        </w:rPr>
        <w:t xml:space="preserve">is variable in China </w:t>
      </w:r>
      <w:r>
        <w:rPr>
          <w:noProof/>
        </w:rPr>
        <w:t>(Ma 2006)</w:t>
      </w:r>
      <w:r>
        <w:t>.</w:t>
      </w:r>
      <w:r>
        <w:rPr>
          <w:color w:val="000000"/>
        </w:rPr>
        <w:t xml:space="preserve"> I</w:t>
      </w:r>
      <w:r>
        <w:t xml:space="preserve">n the mountainous regions of Qingling of Shaanxi province, </w:t>
      </w:r>
      <w:r>
        <w:rPr>
          <w:i/>
        </w:rPr>
        <w:t>C. sasakii</w:t>
      </w:r>
      <w:r>
        <w:t xml:space="preserve"> has only one generation per year </w:t>
      </w:r>
      <w:r>
        <w:rPr>
          <w:noProof/>
          <w:color w:val="000000"/>
        </w:rPr>
        <w:t>(Baozhen et al. 1998)</w:t>
      </w:r>
      <w:r>
        <w:rPr>
          <w:color w:val="000000"/>
        </w:rPr>
        <w:t>.</w:t>
      </w:r>
      <w:r>
        <w:t xml:space="preserve"> However, in subtropical areas of China it may have three to four overlapping generations. Overwintering larvae can survive the severe cold climates of north China and Far East Russia where temperatures can drop to a minimum of –45 °C </w:t>
      </w:r>
      <w:r>
        <w:rPr>
          <w:noProof/>
        </w:rPr>
        <w:t>(Shutova 1978)</w:t>
      </w:r>
      <w:r>
        <w:t>.</w:t>
      </w:r>
    </w:p>
    <w:p w:rsidR="00B8782D" w:rsidRDefault="00B8782D">
      <w:r>
        <w:t xml:space="preserve">The risk scenario of concern for </w:t>
      </w:r>
      <w:r>
        <w:rPr>
          <w:i/>
        </w:rPr>
        <w:t>C. sasakii</w:t>
      </w:r>
      <w:r>
        <w:t xml:space="preserve"> is the presence of larvae inside imported nectarines.</w:t>
      </w:r>
    </w:p>
    <w:p w:rsidR="00B8782D" w:rsidRDefault="00B8782D">
      <w:r>
        <w:rPr>
          <w:i/>
        </w:rPr>
        <w:t>Carposina sasakii</w:t>
      </w:r>
      <w:r>
        <w:t xml:space="preserve"> was assessed in the existing import policy for apples from China </w:t>
      </w:r>
      <w:r>
        <w:rPr>
          <w:noProof/>
        </w:rPr>
        <w:t>(Biosecurity Australia 2010a)</w:t>
      </w:r>
      <w:r>
        <w:t>. The assessment presented here builds on this previous assessment.</w:t>
      </w:r>
    </w:p>
    <w:p w:rsidR="00B8782D" w:rsidRDefault="00B8782D">
      <w:r>
        <w:t xml:space="preserve">Differences in commodities, horticultural practices, climatic conditions and the prevalence of </w:t>
      </w:r>
      <w:r>
        <w:rPr>
          <w:i/>
        </w:rPr>
        <w:t>C. sasakii</w:t>
      </w:r>
      <w:r>
        <w:t xml:space="preserve"> between other export areas and new export areas in China make it necessary to reassess the likelihood that </w:t>
      </w:r>
      <w:r>
        <w:rPr>
          <w:i/>
        </w:rPr>
        <w:t>C. sasakii</w:t>
      </w:r>
      <w:r>
        <w:t xml:space="preserve"> will be imported into Australia with nectarines from China.</w:t>
      </w:r>
    </w:p>
    <w:p w:rsidR="00B8782D" w:rsidRDefault="00B8782D">
      <w:r>
        <w:t>Fresh nectarine fruit is expected to be imported from China from May to October which is similar to the timing of the import of Chinese apples. After importation, nectarines will be distributed throughout Australia for retail in a similar way to Chinese apples. Therefore, it is unnecessary to reassess the likelihood of distribution.</w:t>
      </w:r>
    </w:p>
    <w:p w:rsidR="00B8782D" w:rsidRDefault="00B8782D">
      <w:r>
        <w:t xml:space="preserve">The likelihood of establishment and spread of </w:t>
      </w:r>
      <w:r>
        <w:rPr>
          <w:i/>
        </w:rPr>
        <w:t>C. sasakii</w:t>
      </w:r>
      <w:r>
        <w:t xml:space="preserve"> in Australia will be comparable regardless of the fresh fruit commodity in which </w:t>
      </w:r>
      <w:r>
        <w:rPr>
          <w:i/>
        </w:rPr>
        <w:t>C. sasakii</w:t>
      </w:r>
      <w:r>
        <w:t xml:space="preserve"> is imported into Australia, as these likelihoods relate specifically to events that occur in Australia and are independent of the importation pathway. The consequences of </w:t>
      </w:r>
      <w:r>
        <w:rPr>
          <w:i/>
        </w:rPr>
        <w:t>C. sasakii</w:t>
      </w:r>
      <w:r>
        <w:t xml:space="preserve"> are also independent of the importation pathway. Accordingly, there is no need to reassess these components of the risk.</w:t>
      </w:r>
    </w:p>
    <w:p w:rsidR="00B8782D" w:rsidRDefault="00B8782D">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w:t>
      </w:r>
      <w:r>
        <w:rPr>
          <w:i/>
          <w:color w:val="000000"/>
        </w:rPr>
        <w:t xml:space="preserve">C. sasakii </w:t>
      </w:r>
      <w:r>
        <w:t xml:space="preserve">in the existing policy for apples from China </w:t>
      </w:r>
      <w:r>
        <w:rPr>
          <w:noProof/>
        </w:rPr>
        <w:t>(Biosecurity Australia 2010a)</w:t>
      </w:r>
      <w:r>
        <w:t>. Therefore, those risk ratings will be adopted for this assessment.</w:t>
      </w:r>
    </w:p>
    <w:p w:rsidR="00B8782D" w:rsidRDefault="00B8782D" w:rsidP="00B8782D">
      <w:pPr>
        <w:pStyle w:val="Heading3"/>
        <w:numPr>
          <w:ilvl w:val="2"/>
          <w:numId w:val="20"/>
        </w:numPr>
      </w:pPr>
      <w:r>
        <w:t>Likelihood of entry</w:t>
      </w:r>
    </w:p>
    <w:p w:rsidR="00B8782D" w:rsidRDefault="00B8782D">
      <w:pPr>
        <w:rPr>
          <w:b/>
        </w:rPr>
      </w:pPr>
      <w:r>
        <w:t>The likelihood of entry is considered in two parts, the likelihood of importation and the likelihood of distribution, which consider pre-border and post-border issues, respectively.</w:t>
      </w:r>
    </w:p>
    <w:p w:rsidR="00B8782D" w:rsidRDefault="00B8782D">
      <w:pPr>
        <w:pStyle w:val="Heading4"/>
      </w:pPr>
      <w:r>
        <w:t>Likelihood of importation</w:t>
      </w:r>
    </w:p>
    <w:p w:rsidR="00B8782D" w:rsidRDefault="00B8782D">
      <w:r>
        <w:t xml:space="preserve">The likelihood that </w:t>
      </w:r>
      <w:r>
        <w:rPr>
          <w:i/>
        </w:rPr>
        <w:t>C. sasakii</w:t>
      </w:r>
      <w:r>
        <w:t xml:space="preserve"> will arrive in Australia with the importation of fresh nectarines from China is: </w:t>
      </w:r>
      <w:r>
        <w:rPr>
          <w:b/>
        </w:rPr>
        <w:t>High</w:t>
      </w:r>
      <w:r>
        <w:t>.</w:t>
      </w:r>
    </w:p>
    <w:p w:rsidR="00B8782D" w:rsidRDefault="00B8782D">
      <w:r>
        <w:t>The following information provides supporting evidence for this assessment.</w:t>
      </w:r>
    </w:p>
    <w:p w:rsidR="00B8782D" w:rsidRDefault="00B8782D">
      <w:pPr>
        <w:pStyle w:val="ListBullet"/>
        <w:rPr>
          <w:i/>
        </w:rPr>
      </w:pPr>
      <w:r>
        <w:rPr>
          <w:i/>
        </w:rPr>
        <w:lastRenderedPageBreak/>
        <w:t>Carposina sasakii</w:t>
      </w:r>
      <w:r>
        <w:t xml:space="preserve"> is widely distributed in China including major peach and nectarine production regions Anhui, Hebei, Henan, Jiangsu, Liaoning, Shaanxi, Shandong, Shanxi, and Zhejiang </w:t>
      </w:r>
      <w:r>
        <w:rPr>
          <w:noProof/>
        </w:rPr>
        <w:t>(CABI 2015)</w:t>
      </w:r>
      <w:r>
        <w:t>.</w:t>
      </w:r>
    </w:p>
    <w:p w:rsidR="00B8782D" w:rsidRDefault="00B8782D">
      <w:pPr>
        <w:pStyle w:val="ListBullet"/>
        <w:rPr>
          <w:i/>
        </w:rPr>
      </w:pPr>
      <w:r>
        <w:rPr>
          <w:i/>
        </w:rPr>
        <w:t>Carposina sasakii</w:t>
      </w:r>
      <w:r>
        <w:t xml:space="preserve"> is recorded as a major pest in China, where it damages a wide range of rosaceous fruit crops including nectarine and peach </w:t>
      </w:r>
      <w:r>
        <w:rPr>
          <w:noProof/>
        </w:rPr>
        <w:t>(CABI 2015; Xu &amp; Hua 2004)</w:t>
      </w:r>
      <w:r>
        <w:t>.</w:t>
      </w:r>
    </w:p>
    <w:p w:rsidR="00B8782D" w:rsidRDefault="00B8782D">
      <w:pPr>
        <w:pStyle w:val="ListBullet"/>
      </w:pPr>
      <w:r>
        <w:t xml:space="preserve">Females lay 1–10 eggs in the ribs of peach and apricot fruit </w:t>
      </w:r>
      <w:r>
        <w:rPr>
          <w:noProof/>
        </w:rPr>
        <w:t>(Shutova 1978)</w:t>
      </w:r>
      <w:r>
        <w:t xml:space="preserve">. Several eggs may be laid on each fruit and it is notable that several larvae can survive in a single fruit, feeding on the flesh and seeds </w:t>
      </w:r>
      <w:r>
        <w:rPr>
          <w:noProof/>
        </w:rPr>
        <w:t>(CABI 2015)</w:t>
      </w:r>
      <w:r>
        <w:t xml:space="preserve">. Larvae have a higher survivorship rate in early peach cultivars than late peach cultivars </w:t>
      </w:r>
      <w:r>
        <w:rPr>
          <w:noProof/>
        </w:rPr>
        <w:t>(Kim &amp; Lee 2002)</w:t>
      </w:r>
      <w:r>
        <w:t>.</w:t>
      </w:r>
    </w:p>
    <w:p w:rsidR="00B8782D" w:rsidRDefault="00B8782D">
      <w:pPr>
        <w:pStyle w:val="ListBullet"/>
      </w:pPr>
      <w:r>
        <w:t xml:space="preserve">The larvae of </w:t>
      </w:r>
      <w:r>
        <w:rPr>
          <w:i/>
        </w:rPr>
        <w:t>C. sasakii</w:t>
      </w:r>
      <w:r>
        <w:t xml:space="preserve"> feed deep in the fruit pulp without leaving any trace of infestation on the fruit skin until they make exit holes to leave the fruit for pupation </w:t>
      </w:r>
      <w:r>
        <w:rPr>
          <w:noProof/>
        </w:rPr>
        <w:t>(Ishiguri &amp; Toyoshima 2006; Toyoshima, Arai &amp; Yaginuma 2010)</w:t>
      </w:r>
      <w:r>
        <w:t>.</w:t>
      </w:r>
    </w:p>
    <w:p w:rsidR="00B8782D" w:rsidRDefault="00B8782D">
      <w:pPr>
        <w:pStyle w:val="ListBullet"/>
      </w:pPr>
      <w:r>
        <w:rPr>
          <w:i/>
        </w:rPr>
        <w:t>Carposina sasakii</w:t>
      </w:r>
      <w:r>
        <w:t xml:space="preserve"> may have up to four generations per year in warmer regions and larvae at different stages of development can be found in the fruit since these generations overlap </w:t>
      </w:r>
      <w:r>
        <w:rPr>
          <w:noProof/>
        </w:rPr>
        <w:t>(Shutova 1978)</w:t>
      </w:r>
      <w:r>
        <w:t xml:space="preserve">. The fruit harvested late in the season may contain many larvae of </w:t>
      </w:r>
      <w:r>
        <w:rPr>
          <w:i/>
        </w:rPr>
        <w:t>C. sasakii</w:t>
      </w:r>
      <w:r>
        <w:t>. Such infested fruit, when larvae have not completed development and exited the fruit to pupate, do not show any obvious signs of infestation and is likely to escape detection during the packinghouse procedures.</w:t>
      </w:r>
    </w:p>
    <w:p w:rsidR="00B8782D" w:rsidRDefault="00B8782D">
      <w:pPr>
        <w:pStyle w:val="ListBullet"/>
      </w:pPr>
      <w:r>
        <w:t xml:space="preserve">Overwintering larvae may pupate at any time between mid-May and late July in China </w:t>
      </w:r>
      <w:r>
        <w:rPr>
          <w:noProof/>
        </w:rPr>
        <w:t>(Xu &amp; Hua 2004)</w:t>
      </w:r>
      <w:r>
        <w:t xml:space="preserve">, depending on soil temperature and soil humidity. The full grown larvae overwinter in a thick cocoon in the soil </w:t>
      </w:r>
      <w:r>
        <w:rPr>
          <w:noProof/>
        </w:rPr>
        <w:t>(Shutova 1978; Toyoshima, Arai &amp; Yaginuma 2010)</w:t>
      </w:r>
      <w:r>
        <w:t xml:space="preserve">. Overwintering larvae may sometimes diapause in the soil for two years </w:t>
      </w:r>
      <w:r>
        <w:rPr>
          <w:noProof/>
        </w:rPr>
        <w:t>(CABI 2015)</w:t>
      </w:r>
      <w:r>
        <w:t>.</w:t>
      </w:r>
    </w:p>
    <w:p w:rsidR="00B8782D" w:rsidRDefault="00B8782D">
      <w:pPr>
        <w:pStyle w:val="ListBullet"/>
      </w:pPr>
      <w:r>
        <w:rPr>
          <w:i/>
        </w:rPr>
        <w:t>Carposina sasakii</w:t>
      </w:r>
      <w:r>
        <w:t xml:space="preserve"> larvae are likely to survive storage and transportation. Mature larvae of </w:t>
      </w:r>
      <w:r>
        <w:rPr>
          <w:i/>
        </w:rPr>
        <w:t>C. sasakii</w:t>
      </w:r>
      <w:r>
        <w:t xml:space="preserve"> overwinter in cocoons and can survive temperatures as low as –45 °C </w:t>
      </w:r>
      <w:r>
        <w:rPr>
          <w:noProof/>
        </w:rPr>
        <w:t>(Shutova 1978)</w:t>
      </w:r>
      <w:r>
        <w:t xml:space="preserve">. This indicates that </w:t>
      </w:r>
      <w:r>
        <w:rPr>
          <w:i/>
        </w:rPr>
        <w:t>C. sasakii</w:t>
      </w:r>
      <w:r>
        <w:t xml:space="preserve"> larvae would be able to survive the cold temperatures during the transportation of nectarines from China to Australia.</w:t>
      </w:r>
    </w:p>
    <w:p w:rsidR="00B8782D" w:rsidRDefault="00B8782D">
      <w:pPr>
        <w:pStyle w:val="ListBullet"/>
      </w:pPr>
      <w:r>
        <w:t xml:space="preserve">Larvae can survive for long periods in cold stored fruits. </w:t>
      </w:r>
      <w:r>
        <w:rPr>
          <w:i/>
        </w:rPr>
        <w:t>Carposina sasakii</w:t>
      </w:r>
      <w:r>
        <w:t xml:space="preserve"> was intercepted almost every year on commercial fresh fruit from Japan and Korea to the USA </w:t>
      </w:r>
      <w:r>
        <w:rPr>
          <w:noProof/>
        </w:rPr>
        <w:t>(CABI 2015)</w:t>
      </w:r>
      <w:r>
        <w:t>.</w:t>
      </w:r>
    </w:p>
    <w:p w:rsidR="00B8782D" w:rsidRDefault="00B8782D">
      <w:r>
        <w:rPr>
          <w:i/>
        </w:rPr>
        <w:t>Carposina sasakii</w:t>
      </w:r>
      <w:r>
        <w:t xml:space="preserve"> is widely distributed in China including almost all major peach and nectarine production regions. Fruit infested with immature larvae is very likely to escape detection as the infested fruit may not show any external sign of infestation and these larvae are likely to survive cold temperatures during cold storage and transportation and has been repeatedly detected in commercial consignments of fresh fruit. This information supports a likelihood estimate for importation of ‘high’.</w:t>
      </w:r>
    </w:p>
    <w:p w:rsidR="00B8782D" w:rsidRDefault="00B8782D">
      <w:pPr>
        <w:pStyle w:val="Heading4"/>
      </w:pPr>
      <w:r>
        <w:t>Likelihood of distribution</w:t>
      </w:r>
    </w:p>
    <w:p w:rsidR="00B8782D" w:rsidRDefault="00B8782D">
      <w:r>
        <w:t xml:space="preserve">The likelihood of distribution for </w:t>
      </w:r>
      <w:r>
        <w:rPr>
          <w:i/>
        </w:rPr>
        <w:t>C. sasakii</w:t>
      </w:r>
      <w:r>
        <w:t xml:space="preserve"> assessed here would be the same as that for </w:t>
      </w:r>
      <w:r>
        <w:rPr>
          <w:i/>
        </w:rPr>
        <w:t>C. sasakii</w:t>
      </w:r>
      <w:r>
        <w:t xml:space="preserve"> for apples from China </w:t>
      </w:r>
      <w:r>
        <w:rPr>
          <w:noProof/>
        </w:rPr>
        <w:t>(Biosecurity Australia 2010a)</w:t>
      </w:r>
      <w:r>
        <w:t xml:space="preserve">, that is </w:t>
      </w:r>
      <w:r>
        <w:rPr>
          <w:b/>
        </w:rPr>
        <w:t>High.</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lastRenderedPageBreak/>
        <w:t xml:space="preserve">The likelihood that </w:t>
      </w:r>
      <w:r>
        <w:rPr>
          <w:i/>
        </w:rPr>
        <w:t>C. sasakii</w:t>
      </w:r>
      <w:r>
        <w:t xml:space="preserve"> will enter Australia as a result of trade in nectarines from China and be distributed in a viable state to a susceptible host is: </w:t>
      </w:r>
      <w:r>
        <w:rPr>
          <w:b/>
        </w:rPr>
        <w:t>High.</w:t>
      </w: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of spread for </w:t>
      </w:r>
      <w:r>
        <w:rPr>
          <w:i/>
        </w:rPr>
        <w:t>C. sasakii</w:t>
      </w:r>
      <w:r>
        <w:t xml:space="preserve"> is based on the assessment for apples from China </w:t>
      </w:r>
      <w:r>
        <w:rPr>
          <w:noProof/>
        </w:rPr>
        <w:t>(Biosecurity Australia 2010a)</w:t>
      </w:r>
      <w:r>
        <w:t>. This assessment used the same methodology as described in Chapter 2 of this report. The ratings from the previous assessment are presented below:</w:t>
      </w:r>
    </w:p>
    <w:p w:rsidR="00B8782D" w:rsidRDefault="00B8782D">
      <w:pPr>
        <w:rPr>
          <w:highlight w:val="yellow"/>
        </w:rPr>
      </w:pPr>
      <w:r>
        <w:t>Likelihood of establishment:</w:t>
      </w:r>
      <w:r>
        <w:tab/>
      </w:r>
      <w:r>
        <w:tab/>
      </w:r>
      <w:r>
        <w:rPr>
          <w:b/>
        </w:rPr>
        <w:t>High</w:t>
      </w:r>
    </w:p>
    <w:p w:rsidR="00B8782D" w:rsidRDefault="00B8782D">
      <w:pPr>
        <w:rPr>
          <w:highlight w:val="yellow"/>
        </w:rPr>
      </w:pPr>
      <w:r>
        <w:t>Likelihood of spread:</w:t>
      </w:r>
      <w:r>
        <w:tab/>
      </w:r>
      <w:r>
        <w:tab/>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of establishment and of spread using the matrix of rules shown in Table 2.2.</w:t>
      </w:r>
    </w:p>
    <w:p w:rsidR="00B8782D" w:rsidRDefault="00B8782D">
      <w:r>
        <w:t xml:space="preserve">The likelihood that </w:t>
      </w:r>
      <w:r>
        <w:rPr>
          <w:i/>
        </w:rPr>
        <w:t xml:space="preserve">C. sasakii </w:t>
      </w:r>
      <w:r>
        <w:t xml:space="preserve">will enter Australia as a result of trade in nectarines from China, be distributed in a viable state to a susceptible host, establish in Australia and subsequently spread within Australia has been assessed as: </w:t>
      </w:r>
      <w:r>
        <w:rPr>
          <w:b/>
        </w:rPr>
        <w:t>High</w:t>
      </w:r>
      <w:r>
        <w:t>.</w:t>
      </w:r>
    </w:p>
    <w:p w:rsidR="00B8782D" w:rsidRDefault="00B8782D" w:rsidP="00B8782D">
      <w:pPr>
        <w:pStyle w:val="Heading3"/>
        <w:numPr>
          <w:ilvl w:val="2"/>
          <w:numId w:val="20"/>
        </w:numPr>
      </w:pPr>
      <w:r>
        <w:t>Consequences</w:t>
      </w:r>
    </w:p>
    <w:p w:rsidR="00B8782D" w:rsidRDefault="00B8782D">
      <w:r>
        <w:t xml:space="preserve">The consequences of the establishment of </w:t>
      </w:r>
      <w:r>
        <w:rPr>
          <w:i/>
        </w:rPr>
        <w:t>C. sasakii</w:t>
      </w:r>
      <w:r>
        <w:t xml:space="preserve"> in Australia have been estimated previously for apples from China </w:t>
      </w:r>
      <w:r>
        <w:rPr>
          <w:noProof/>
        </w:rPr>
        <w:t>(Biosecurity Australia 2010a)</w:t>
      </w:r>
      <w:r>
        <w:t xml:space="preserve">. The overall consequences for </w:t>
      </w:r>
      <w:r>
        <w:rPr>
          <w:i/>
        </w:rPr>
        <w:t xml:space="preserve">C. sasakii </w:t>
      </w:r>
      <w:r>
        <w:t xml:space="preserve">have been estimated to be </w:t>
      </w:r>
      <w:r>
        <w:rPr>
          <w:b/>
        </w:rPr>
        <w:t>Moderate</w:t>
      </w:r>
      <w:r>
        <w:t>.</w:t>
      </w:r>
    </w:p>
    <w:p w:rsidR="00B8782D" w:rsidRDefault="00B8782D" w:rsidP="00B8782D">
      <w:pPr>
        <w:pStyle w:val="Heading3"/>
        <w:numPr>
          <w:ilvl w:val="2"/>
          <w:numId w:val="20"/>
        </w:numPr>
      </w:pPr>
      <w:r>
        <w:t>Unrestricted risk estimate</w:t>
      </w:r>
    </w:p>
    <w:p w:rsidR="00B8782D" w:rsidRDefault="00B8782D">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pPr>
            <w:r>
              <w:t xml:space="preserve">Unrestricted risk estimate for </w:t>
            </w:r>
            <w:r>
              <w:rPr>
                <w:i/>
                <w:szCs w:val="16"/>
              </w:rPr>
              <w:t xml:space="preserve">Carposina sasakii </w:t>
            </w:r>
          </w:p>
        </w:tc>
      </w:tr>
      <w:tr w:rsidR="00B8782D">
        <w:tc>
          <w:tcPr>
            <w:tcW w:w="6459" w:type="dxa"/>
            <w:shd w:val="clear" w:color="auto" w:fill="auto"/>
          </w:tcPr>
          <w:p w:rsidR="00B8782D" w:rsidRDefault="00B8782D">
            <w:pPr>
              <w:pStyle w:val="TableText"/>
            </w:pPr>
            <w:r>
              <w:t>Overall likelihood of entry, establishment and spread</w:t>
            </w:r>
          </w:p>
        </w:tc>
        <w:tc>
          <w:tcPr>
            <w:tcW w:w="2977" w:type="dxa"/>
            <w:shd w:val="clear" w:color="auto" w:fill="auto"/>
          </w:tcPr>
          <w:p w:rsidR="00B8782D" w:rsidRDefault="00B8782D">
            <w:pPr>
              <w:pStyle w:val="TableText"/>
            </w:pPr>
            <w:r>
              <w:t xml:space="preserve">High </w:t>
            </w:r>
          </w:p>
        </w:tc>
      </w:tr>
      <w:tr w:rsidR="00B8782D">
        <w:tc>
          <w:tcPr>
            <w:tcW w:w="6459" w:type="dxa"/>
            <w:shd w:val="clear" w:color="auto" w:fill="auto"/>
          </w:tcPr>
          <w:p w:rsidR="00B8782D" w:rsidRDefault="00B8782D">
            <w:pPr>
              <w:pStyle w:val="TableText"/>
            </w:pPr>
            <w:r>
              <w:t>Consequences</w:t>
            </w:r>
          </w:p>
        </w:tc>
        <w:tc>
          <w:tcPr>
            <w:tcW w:w="2977" w:type="dxa"/>
            <w:shd w:val="clear" w:color="auto" w:fill="auto"/>
          </w:tcPr>
          <w:p w:rsidR="00B8782D" w:rsidRDefault="00B8782D">
            <w:pPr>
              <w:pStyle w:val="TableText"/>
            </w:pPr>
            <w:r>
              <w:t>Moderate</w:t>
            </w:r>
          </w:p>
        </w:tc>
      </w:tr>
      <w:tr w:rsidR="00B8782D">
        <w:tc>
          <w:tcPr>
            <w:tcW w:w="6459" w:type="dxa"/>
            <w:shd w:val="clear" w:color="auto" w:fill="auto"/>
          </w:tcPr>
          <w:p w:rsidR="00B8782D" w:rsidRDefault="00B8782D">
            <w:pPr>
              <w:pStyle w:val="TableText"/>
            </w:pPr>
            <w:r>
              <w:t>Unrestricted risk</w:t>
            </w:r>
          </w:p>
        </w:tc>
        <w:tc>
          <w:tcPr>
            <w:tcW w:w="2977" w:type="dxa"/>
            <w:shd w:val="clear" w:color="auto" w:fill="auto"/>
          </w:tcPr>
          <w:p w:rsidR="00B8782D" w:rsidRDefault="00B8782D">
            <w:pPr>
              <w:pStyle w:val="TableText"/>
            </w:pPr>
            <w:r>
              <w:t>Moderate</w:t>
            </w:r>
          </w:p>
        </w:tc>
      </w:tr>
    </w:tbl>
    <w:p w:rsidR="00B8782D" w:rsidRDefault="00B8782D">
      <w:pPr>
        <w:sectPr w:rsidR="00B8782D">
          <w:pgSz w:w="11906" w:h="16838"/>
          <w:pgMar w:top="1418" w:right="1418" w:bottom="1418" w:left="1418" w:header="567" w:footer="283" w:gutter="0"/>
          <w:cols w:space="708"/>
          <w:docGrid w:linePitch="360"/>
        </w:sectPr>
      </w:pPr>
      <w:r>
        <w:t xml:space="preserve">As indicated, the unrestricted risk estimate for </w:t>
      </w:r>
      <w:r>
        <w:rPr>
          <w:i/>
        </w:rPr>
        <w:t xml:space="preserve">C. sasakii </w:t>
      </w:r>
      <w:r>
        <w:t>has been assessed as ‘moderate’, which is above Australia’s ALOP. Therefore, specific risk management measures are required for this pest.</w:t>
      </w:r>
      <w:bookmarkStart w:id="74" w:name="_Toc331599094"/>
    </w:p>
    <w:p w:rsidR="00B8782D" w:rsidRDefault="00B8782D" w:rsidP="00B8782D">
      <w:pPr>
        <w:pStyle w:val="Heading2"/>
        <w:numPr>
          <w:ilvl w:val="1"/>
          <w:numId w:val="20"/>
        </w:numPr>
      </w:pPr>
      <w:bookmarkStart w:id="75" w:name="_Toc448312507"/>
      <w:r>
        <w:lastRenderedPageBreak/>
        <w:t>Thrips</w:t>
      </w:r>
      <w:bookmarkEnd w:id="74"/>
      <w:bookmarkEnd w:id="75"/>
    </w:p>
    <w:p w:rsidR="00B8782D" w:rsidRDefault="00B8782D">
      <w:pPr>
        <w:pStyle w:val="Heading4"/>
      </w:pPr>
      <w:r>
        <w:rPr>
          <w:i/>
        </w:rPr>
        <w:t>Frankliniella intonsa</w:t>
      </w:r>
      <w:r>
        <w:t xml:space="preserve"> (EP) and </w:t>
      </w:r>
      <w:r>
        <w:rPr>
          <w:i/>
        </w:rPr>
        <w:t>Frankliniella occidentalis</w:t>
      </w:r>
      <w:r>
        <w:t xml:space="preserve"> (EP, NT)</w:t>
      </w:r>
    </w:p>
    <w:p w:rsidR="00B8782D" w:rsidRDefault="00B8782D">
      <w:r>
        <w:rPr>
          <w:i/>
        </w:rPr>
        <w:t xml:space="preserve">Frankliniella intonsa </w:t>
      </w:r>
      <w:r>
        <w:t xml:space="preserve">is absent from Australia and is a pest of quarantine concern for all of Australia. </w:t>
      </w:r>
      <w:r>
        <w:rPr>
          <w:i/>
        </w:rPr>
        <w:t>Frankliniella occidentalis</w:t>
      </w:r>
      <w:r>
        <w:t xml:space="preserve"> is not known to be present in the Northern Territory and is a pest of regional concern and can be a potential vector for Impatiens necrotic spot virus (INSV) for all of Australia.</w:t>
      </w:r>
    </w:p>
    <w:p w:rsidR="00B8782D" w:rsidRDefault="00B8782D">
      <w:r>
        <w:rPr>
          <w:i/>
        </w:rPr>
        <w:t xml:space="preserve">Frankliniella intonsa </w:t>
      </w:r>
      <w:r>
        <w:t>and</w:t>
      </w:r>
      <w:r>
        <w:rPr>
          <w:i/>
        </w:rPr>
        <w:t xml:space="preserve"> F. occidentalis</w:t>
      </w:r>
      <w:r>
        <w:t xml:space="preserve"> belong to the Thripidae family. Members of Thripidae have four main life stages: egg (that is inserted into the green tissue of plants), two active larval instars that feed, followed by two relatively inactive pupal instars that normally do not feed, and finally adults of one or both sexes which may be winged or wingless. </w:t>
      </w:r>
      <w:r>
        <w:rPr>
          <w:noProof/>
        </w:rPr>
        <w:t>(Jensen, Flaherty &amp; Luvisi 1992; Roques 2006)</w:t>
      </w:r>
      <w:r>
        <w:t>.</w:t>
      </w:r>
    </w:p>
    <w:p w:rsidR="00B8782D" w:rsidRDefault="00B8782D">
      <w:r>
        <w:t>The biology and taxonomy of these two species and their impacts on host plants are considered sufficiently similar to justify combining them into a single assessment. In this assessment, the term ‘thrips’ is used to refer to these two species of Thripidae unless otherwise specified.</w:t>
      </w:r>
    </w:p>
    <w:p w:rsidR="00B8782D" w:rsidRDefault="00B8782D">
      <w:r>
        <w:rPr>
          <w:i/>
        </w:rPr>
        <w:t xml:space="preserve">Frankliniella intonsa </w:t>
      </w:r>
      <w:r>
        <w:t>and</w:t>
      </w:r>
      <w:r>
        <w:rPr>
          <w:i/>
        </w:rPr>
        <w:t xml:space="preserve"> F. occidentalis</w:t>
      </w:r>
      <w:r>
        <w:t xml:space="preserve"> are also known as vectors of several tospoviruses </w:t>
      </w:r>
      <w:r>
        <w:rPr>
          <w:noProof/>
        </w:rPr>
        <w:t>(Morse &amp; Hoddle 2006)</w:t>
      </w:r>
      <w:r>
        <w:t xml:space="preserve">, some of which are of quarantine concern to Australia. Of the viruses that </w:t>
      </w:r>
      <w:r>
        <w:rPr>
          <w:i/>
        </w:rPr>
        <w:t xml:space="preserve">F. intonsa </w:t>
      </w:r>
      <w:r>
        <w:t>and</w:t>
      </w:r>
      <w:r>
        <w:rPr>
          <w:i/>
        </w:rPr>
        <w:t xml:space="preserve"> F. occidentalis</w:t>
      </w:r>
      <w:r>
        <w:t xml:space="preserve"> are able to vector, Tomato spotted wilt virus (TSWV) and Impatiens necrotic spot virus</w:t>
      </w:r>
      <w:r>
        <w:rPr>
          <w:i/>
        </w:rPr>
        <w:t xml:space="preserve"> </w:t>
      </w:r>
      <w:r>
        <w:t xml:space="preserve">(INSV) are present in China </w:t>
      </w:r>
      <w:r>
        <w:rPr>
          <w:noProof/>
        </w:rPr>
        <w:t>(CABI 2015)</w:t>
      </w:r>
      <w:r>
        <w:t xml:space="preserve">. Of these, INSV is not present in Australia and is a quarantine pest. Tospoviruses such as INSV are acquired by the first instar or early second-instar larvae when feeding on an infected plant, and are then transmitted only later when these larvae develop into adults; it is not possible for an adult to acquire and then transmit a tospovirus </w:t>
      </w:r>
      <w:r>
        <w:rPr>
          <w:noProof/>
        </w:rPr>
        <w:t>(Moritz, Kumm &amp; Mound 2004)</w:t>
      </w:r>
      <w:r>
        <w:t xml:space="preserve">. Tospoviruses are persistently transmitted by thrips such as </w:t>
      </w:r>
      <w:r>
        <w:rPr>
          <w:i/>
        </w:rPr>
        <w:t>F. occidentalis,</w:t>
      </w:r>
      <w:r>
        <w:t xml:space="preserve"> meaning that once the immature stage has acquired the virus it remains infective for life </w:t>
      </w:r>
      <w:r>
        <w:rPr>
          <w:noProof/>
        </w:rPr>
        <w:t>(Jones 2005; Persley, Thomas &amp; Sharman 2006)</w:t>
      </w:r>
      <w:r>
        <w:t xml:space="preserve">. Tospoviruses are transmitted to host plants via virus-laden saliva, injected during probing or feeding </w:t>
      </w:r>
      <w:r>
        <w:rPr>
          <w:noProof/>
        </w:rPr>
        <w:t>(Whitfield, Ullman &amp; German 2005)</w:t>
      </w:r>
      <w:r>
        <w:t xml:space="preserve">. However, tospoviruses are not known to be transmitted between thrips, or passed on to the next generation through their eggs </w:t>
      </w:r>
      <w:r>
        <w:rPr>
          <w:noProof/>
        </w:rPr>
        <w:t>(Wijkamp, Goldbach &amp; Peters 1996)</w:t>
      </w:r>
      <w:r>
        <w:t xml:space="preserve">. Although </w:t>
      </w:r>
      <w:r>
        <w:rPr>
          <w:i/>
        </w:rPr>
        <w:t>Prunus</w:t>
      </w:r>
      <w:r>
        <w:t xml:space="preserve"> has not been recorded as a host of tospoviruses, </w:t>
      </w:r>
      <w:r>
        <w:rPr>
          <w:i/>
        </w:rPr>
        <w:t>F. occidentalis</w:t>
      </w:r>
      <w:r>
        <w:t xml:space="preserve"> can first acquire this virus from another host plant and may subsequently move onto nectarines prior to export, providing a pathway for the tosporivuses to enter Australia with the thrips.</w:t>
      </w:r>
    </w:p>
    <w:p w:rsidR="00B8782D" w:rsidRDefault="00B8782D">
      <w:r>
        <w:t xml:space="preserve">The risk scenario of concern for </w:t>
      </w:r>
      <w:r>
        <w:rPr>
          <w:i/>
        </w:rPr>
        <w:t>F. intonsa</w:t>
      </w:r>
      <w:r>
        <w:t xml:space="preserve"> and </w:t>
      </w:r>
      <w:r>
        <w:rPr>
          <w:i/>
        </w:rPr>
        <w:t>F. occidentalis</w:t>
      </w:r>
      <w:r>
        <w:t xml:space="preserve"> is the presence of eggs, larvae and/or adult stages on nectarines from China.</w:t>
      </w:r>
    </w:p>
    <w:p w:rsidR="00B8782D" w:rsidRDefault="00B8782D">
      <w:r>
        <w:rPr>
          <w:i/>
        </w:rPr>
        <w:t>Frankliniella intonsa</w:t>
      </w:r>
      <w:r>
        <w:t xml:space="preserve"> and </w:t>
      </w:r>
      <w:r>
        <w:rPr>
          <w:i/>
        </w:rPr>
        <w:t xml:space="preserve">F. occidentalis </w:t>
      </w:r>
      <w:r>
        <w:t xml:space="preserve">have previously been assessed with the importation of stonefruit from the USA (California, Idaho, Oregon and Washington) </w:t>
      </w:r>
      <w:r>
        <w:rPr>
          <w:noProof/>
        </w:rPr>
        <w:t>(Biosecurity Australia 2010b)</w:t>
      </w:r>
      <w:r>
        <w:t>.</w:t>
      </w:r>
    </w:p>
    <w:p w:rsidR="00B8782D" w:rsidRDefault="00B8782D">
      <w:r>
        <w:t xml:space="preserve">Differences in commodities, horticultural practices, climatic conditions and the prevalence of pests between previous export areas in China and the USA make it necessary to reassess the likelihood that </w:t>
      </w:r>
      <w:r>
        <w:rPr>
          <w:i/>
        </w:rPr>
        <w:t>F. intonsa</w:t>
      </w:r>
      <w:r>
        <w:t xml:space="preserve"> will be imported into Australia and </w:t>
      </w:r>
      <w:r>
        <w:rPr>
          <w:i/>
        </w:rPr>
        <w:t>F.</w:t>
      </w:r>
      <w:r>
        <w:t> </w:t>
      </w:r>
      <w:r>
        <w:rPr>
          <w:i/>
        </w:rPr>
        <w:t>occidentalis</w:t>
      </w:r>
      <w:r>
        <w:t xml:space="preserve"> will be imported into the Northern Territory with nectarines from export production areas in China.</w:t>
      </w:r>
    </w:p>
    <w:p w:rsidR="00B8782D" w:rsidRDefault="00B8782D">
      <w:r>
        <w:t xml:space="preserve">Fresh nectarine fruit is expected to be imported from China from May to October which is similar to the timing of the import of stonefruit from the USA. After importation, nectarines will </w:t>
      </w:r>
      <w:r>
        <w:lastRenderedPageBreak/>
        <w:t>be distributed throughout Australia for retail sale in a similar way to stonefruit from the USA. Therefore, it is considered unnecessary to reassess the likelihood of distribution.</w:t>
      </w:r>
    </w:p>
    <w:p w:rsidR="00B8782D" w:rsidRDefault="00B8782D">
      <w:r>
        <w:t xml:space="preserve">The likelihood of establishment and spread of </w:t>
      </w:r>
      <w:r>
        <w:rPr>
          <w:i/>
        </w:rPr>
        <w:t>F. intonsa</w:t>
      </w:r>
      <w:r>
        <w:t xml:space="preserve"> in Australia and </w:t>
      </w:r>
      <w:r>
        <w:rPr>
          <w:i/>
        </w:rPr>
        <w:t>F.</w:t>
      </w:r>
      <w:r>
        <w:t> </w:t>
      </w:r>
      <w:r>
        <w:rPr>
          <w:i/>
        </w:rPr>
        <w:t>occidentalis</w:t>
      </w:r>
      <w:r>
        <w:t xml:space="preserve"> in the Northern Territory will be comparable regardless of the fresh fruit commodity in which </w:t>
      </w:r>
      <w:r>
        <w:rPr>
          <w:i/>
        </w:rPr>
        <w:t>F. intonsa</w:t>
      </w:r>
      <w:r>
        <w:t xml:space="preserve"> is imported into Australia and </w:t>
      </w:r>
      <w:r>
        <w:rPr>
          <w:i/>
        </w:rPr>
        <w:t>F.</w:t>
      </w:r>
      <w:r>
        <w:t> </w:t>
      </w:r>
      <w:r>
        <w:rPr>
          <w:i/>
        </w:rPr>
        <w:t>occidentalis</w:t>
      </w:r>
      <w:r>
        <w:t xml:space="preserve"> is imported into the Northern Territory, as these likelihoods relate specifically to events that occur in Australia and are independent of the importation pathway. The consequences of </w:t>
      </w:r>
      <w:r>
        <w:rPr>
          <w:i/>
        </w:rPr>
        <w:t>F. intonsa</w:t>
      </w:r>
      <w:r>
        <w:t xml:space="preserve"> in Australia and </w:t>
      </w:r>
      <w:r>
        <w:rPr>
          <w:i/>
        </w:rPr>
        <w:t>F.</w:t>
      </w:r>
      <w:r>
        <w:t> </w:t>
      </w:r>
      <w:r>
        <w:rPr>
          <w:i/>
        </w:rPr>
        <w:t>occidentalis</w:t>
      </w:r>
      <w:r>
        <w:t xml:space="preserve"> in the Northern Territory</w:t>
      </w:r>
      <w:r>
        <w:rPr>
          <w:i/>
        </w:rPr>
        <w:t xml:space="preserve"> </w:t>
      </w:r>
      <w:r>
        <w:t>are also independent of the importation pathway. Accordingly, there is no need to reassess these components of the risk.</w:t>
      </w:r>
    </w:p>
    <w:p w:rsidR="00B8782D" w:rsidRDefault="00B8782D">
      <w:r>
        <w:t xml:space="preserve">The likelihood of establishment and spread of </w:t>
      </w:r>
      <w:r>
        <w:rPr>
          <w:i/>
        </w:rPr>
        <w:t>F. intonsa</w:t>
      </w:r>
      <w:r>
        <w:t xml:space="preserve"> in Australia and </w:t>
      </w:r>
      <w:r>
        <w:rPr>
          <w:i/>
        </w:rPr>
        <w:t>F.</w:t>
      </w:r>
      <w:r>
        <w:t> </w:t>
      </w:r>
      <w:r>
        <w:rPr>
          <w:i/>
        </w:rPr>
        <w:t>occidentalis</w:t>
      </w:r>
      <w:r>
        <w:t xml:space="preserve"> in the Northern Territory, and the consequences it may cause will be comparable for any fruit commodity from which this species is imported into Australia, as these likelihoods relate specifically to events that occur in Australia and are largely independent of the importation pathway. Accordingly, there is no need to reassess these components.</w:t>
      </w:r>
    </w:p>
    <w:p w:rsidR="00B8782D" w:rsidRDefault="00B8782D">
      <w:r>
        <w:t xml:space="preserve">In addition, the Australian Government Department of Agriculture and Water Resources has reviewed the latest literature and no new information is available that would significantly change the risk ratings for distribution, establishment, spread and consequences as set out for </w:t>
      </w:r>
      <w:r>
        <w:rPr>
          <w:i/>
        </w:rPr>
        <w:t>F. intonsa</w:t>
      </w:r>
      <w:r>
        <w:t xml:space="preserve"> and </w:t>
      </w:r>
      <w:r>
        <w:rPr>
          <w:i/>
        </w:rPr>
        <w:t>F.</w:t>
      </w:r>
      <w:r>
        <w:t> </w:t>
      </w:r>
      <w:r>
        <w:rPr>
          <w:i/>
        </w:rPr>
        <w:t xml:space="preserve">occidentalis </w:t>
      </w:r>
      <w:r>
        <w:t xml:space="preserve">in the existing policy for stonefruit from the USA (California, Idaho, Oregon and Washington) </w:t>
      </w:r>
      <w:r>
        <w:rPr>
          <w:noProof/>
        </w:rPr>
        <w:t>(Biosecurity Australia 2010b)</w:t>
      </w:r>
      <w:r>
        <w:t>. Therefore, those risk ratings will be adopted for this assessment.</w:t>
      </w:r>
    </w:p>
    <w:p w:rsidR="00B8782D" w:rsidRDefault="00B8782D" w:rsidP="00B8782D">
      <w:pPr>
        <w:pStyle w:val="Heading3"/>
        <w:numPr>
          <w:ilvl w:val="2"/>
          <w:numId w:val="20"/>
        </w:numPr>
      </w:pPr>
      <w:r>
        <w:t>Likelihood of entry</w:t>
      </w:r>
    </w:p>
    <w:p w:rsidR="00B8782D" w:rsidRDefault="00B8782D">
      <w:pPr>
        <w:rPr>
          <w:b/>
        </w:rPr>
      </w:pPr>
      <w:r>
        <w:t>The likelihood of entry is considered in two parts, the likelihood of importation and the likelihood of distribution, which consider pre-border and post-border issues, respectively.</w:t>
      </w:r>
    </w:p>
    <w:p w:rsidR="00B8782D" w:rsidRDefault="00B8782D">
      <w:pPr>
        <w:pStyle w:val="Heading4"/>
      </w:pPr>
      <w:r>
        <w:t>Likelihood of importation</w:t>
      </w:r>
    </w:p>
    <w:p w:rsidR="00B8782D" w:rsidRDefault="00B8782D">
      <w:pPr>
        <w:rPr>
          <w:b/>
        </w:rPr>
      </w:pPr>
      <w:r>
        <w:t xml:space="preserve">The likelihood that </w:t>
      </w:r>
      <w:r>
        <w:rPr>
          <w:i/>
        </w:rPr>
        <w:t>Frankliniella intonsa</w:t>
      </w:r>
      <w:r>
        <w:t xml:space="preserve"> will arrive in Australia and </w:t>
      </w:r>
      <w:r>
        <w:rPr>
          <w:i/>
        </w:rPr>
        <w:t>Frankliniella occidentalis</w:t>
      </w:r>
      <w:r>
        <w:t xml:space="preserve"> in the Northern Territory with the importation of fresh nectarines from China is: </w:t>
      </w:r>
      <w:r>
        <w:rPr>
          <w:b/>
        </w:rPr>
        <w:t>High</w:t>
      </w:r>
      <w:r>
        <w:t>.</w:t>
      </w:r>
    </w:p>
    <w:p w:rsidR="00B8782D" w:rsidRDefault="00B8782D">
      <w:r>
        <w:t>The following information provides supporting evidence for this assessment.</w:t>
      </w:r>
    </w:p>
    <w:p w:rsidR="00B8782D" w:rsidRDefault="00B8782D">
      <w:pPr>
        <w:pStyle w:val="ListBullet"/>
        <w:rPr>
          <w:i/>
        </w:rPr>
      </w:pPr>
      <w:r>
        <w:rPr>
          <w:i/>
        </w:rPr>
        <w:t>Frankliniella intonsa</w:t>
      </w:r>
      <w:r>
        <w:t xml:space="preserve"> and </w:t>
      </w:r>
      <w:r>
        <w:rPr>
          <w:i/>
        </w:rPr>
        <w:t>F. occidentalis</w:t>
      </w:r>
      <w:r>
        <w:t xml:space="preserve"> are widely distributed in China including some of the major peach and nectarine production regions </w:t>
      </w:r>
      <w:r>
        <w:rPr>
          <w:noProof/>
        </w:rPr>
        <w:t>(CABI 2015; Ding &amp; Gai 2000; Li, Wang &amp; Waterhouse 1997; Mirab-balou et al. 2011)</w:t>
      </w:r>
      <w:r>
        <w:t>.</w:t>
      </w:r>
    </w:p>
    <w:p w:rsidR="00B8782D" w:rsidRDefault="00B8782D">
      <w:pPr>
        <w:pStyle w:val="ListBullet"/>
      </w:pPr>
      <w:r>
        <w:rPr>
          <w:i/>
        </w:rPr>
        <w:t>Frankliniella intonsa</w:t>
      </w:r>
      <w:r>
        <w:t xml:space="preserve"> feeds and lays eggs in fruit and is reported as a pest of peach </w:t>
      </w:r>
      <w:r>
        <w:rPr>
          <w:noProof/>
        </w:rPr>
        <w:t>(CABI 2015)</w:t>
      </w:r>
      <w:r>
        <w:t xml:space="preserve">. </w:t>
      </w:r>
      <w:r>
        <w:rPr>
          <w:i/>
        </w:rPr>
        <w:t>Frankliniella occidentalis</w:t>
      </w:r>
      <w:r>
        <w:t xml:space="preserve"> is one of the most important thrips pests in the world with nectarine</w:t>
      </w:r>
      <w:r>
        <w:rPr>
          <w:i/>
        </w:rPr>
        <w:t xml:space="preserve"> </w:t>
      </w:r>
      <w:r>
        <w:t xml:space="preserve">and peach being major hosts </w:t>
      </w:r>
      <w:r>
        <w:rPr>
          <w:noProof/>
        </w:rPr>
        <w:t>(CABI 2015)</w:t>
      </w:r>
      <w:r>
        <w:t>.</w:t>
      </w:r>
    </w:p>
    <w:p w:rsidR="00B8782D" w:rsidRDefault="00B8782D">
      <w:pPr>
        <w:pStyle w:val="ListBullet"/>
      </w:pPr>
      <w:r>
        <w:t xml:space="preserve">Thrips can insert their eggs into the green tissue of plants, such as buds, furled leaves or around fruit stems </w:t>
      </w:r>
      <w:r>
        <w:rPr>
          <w:noProof/>
        </w:rPr>
        <w:t>(Dreistadt &amp; Phillips 2007a)</w:t>
      </w:r>
      <w:r>
        <w:t xml:space="preserve">, and including fruit </w:t>
      </w:r>
      <w:r>
        <w:rPr>
          <w:noProof/>
        </w:rPr>
        <w:t>(Morse &amp; Hoddle 2006; Palmer et al. 1989)</w:t>
      </w:r>
      <w:r>
        <w:t xml:space="preserve">. </w:t>
      </w:r>
      <w:r>
        <w:rPr>
          <w:i/>
        </w:rPr>
        <w:t>Frankliniella occidentalis</w:t>
      </w:r>
      <w:r>
        <w:t xml:space="preserve"> female can produce 20–40 eggs </w:t>
      </w:r>
      <w:r>
        <w:rPr>
          <w:noProof/>
        </w:rPr>
        <w:t>(Roques 2006)</w:t>
      </w:r>
      <w:r>
        <w:t xml:space="preserve">. The eggs are very small (about 200 µm long) and may be laid on, or inserted under the skin of fruit or leaves </w:t>
      </w:r>
      <w:r>
        <w:rPr>
          <w:noProof/>
        </w:rPr>
        <w:t>(Mau &amp; Martin Kessing 1993)</w:t>
      </w:r>
      <w:r>
        <w:t xml:space="preserve"> which can make detection difficult. Feeding and egg-laying by thrips on plant material generally results in visible morphological changes </w:t>
      </w:r>
      <w:r>
        <w:lastRenderedPageBreak/>
        <w:t xml:space="preserve">in affected tissues and affected fruit is typically scarred on the surface </w:t>
      </w:r>
      <w:r>
        <w:rPr>
          <w:noProof/>
        </w:rPr>
        <w:t>(Lewis 1973)</w:t>
      </w:r>
      <w:r>
        <w:t>. However, the damage caused by thrips may be difficult to detect at low population levels.</w:t>
      </w:r>
    </w:p>
    <w:p w:rsidR="00B8782D" w:rsidRDefault="00B8782D">
      <w:pPr>
        <w:pStyle w:val="ListBullet"/>
      </w:pPr>
      <w:r>
        <w:t>Adult and immature stages of</w:t>
      </w:r>
      <w:r>
        <w:rPr>
          <w:i/>
        </w:rPr>
        <w:t xml:space="preserve"> Frankliniella intonsa</w:t>
      </w:r>
      <w:r>
        <w:t xml:space="preserve"> and </w:t>
      </w:r>
      <w:r>
        <w:rPr>
          <w:i/>
        </w:rPr>
        <w:t>F. occidentalis</w:t>
      </w:r>
      <w:r>
        <w:t xml:space="preserve"> are very small (usually less than 2 millimetres) </w:t>
      </w:r>
      <w:r>
        <w:rPr>
          <w:noProof/>
        </w:rPr>
        <w:t>(CABI 2015; Roques 2006)</w:t>
      </w:r>
      <w:r>
        <w:t xml:space="preserve"> and tend to be inconspicuous, hiding in cryptic habitats such as the crevices found at the stem end of fruit, suggesting that they may not be removed from fruit during harvesting and packinghouse procedures.</w:t>
      </w:r>
    </w:p>
    <w:p w:rsidR="00B8782D" w:rsidRDefault="00B8782D">
      <w:pPr>
        <w:pStyle w:val="ListBullet"/>
      </w:pPr>
      <w:r>
        <w:t xml:space="preserve">Thrips are opportunistic species, well adapted to survive harsh climatic conditions and are known to survive temperatures below freezing over extended periods </w:t>
      </w:r>
      <w:r>
        <w:rPr>
          <w:noProof/>
        </w:rPr>
        <w:t>(McDonald, Bale &amp; Walter 1997)</w:t>
      </w:r>
      <w:r>
        <w:t xml:space="preserve">. </w:t>
      </w:r>
      <w:r>
        <w:rPr>
          <w:i/>
        </w:rPr>
        <w:t>Frankliniella occidentalis</w:t>
      </w:r>
      <w:r>
        <w:t xml:space="preserve"> overwinters in an active state, feeds and develops as temperatures and food availability allow </w:t>
      </w:r>
      <w:r>
        <w:rPr>
          <w:noProof/>
        </w:rPr>
        <w:t>(McDonald, Bale &amp; Walter 1997)</w:t>
      </w:r>
      <w:r>
        <w:t xml:space="preserve">. It appears to have some ability to survive periods of cold and food deprivation under winter field conditions in England </w:t>
      </w:r>
      <w:r>
        <w:rPr>
          <w:noProof/>
        </w:rPr>
        <w:t>(McDonald, Bale &amp; Walters 1997)</w:t>
      </w:r>
      <w:r>
        <w:t>. Therefore, thrips are likely to be capable of tolerating cold conditions and potentially survive cold storage and transportation.</w:t>
      </w:r>
    </w:p>
    <w:p w:rsidR="00B8782D" w:rsidRDefault="00B8782D">
      <w:pPr>
        <w:pStyle w:val="ListBullet"/>
      </w:pPr>
      <w:r>
        <w:t xml:space="preserve">The lifecycle of </w:t>
      </w:r>
      <w:r>
        <w:rPr>
          <w:i/>
        </w:rPr>
        <w:t>F. occidentalis</w:t>
      </w:r>
      <w:r>
        <w:t xml:space="preserve"> varies in length depends on temperatures </w:t>
      </w:r>
      <w:r>
        <w:rPr>
          <w:noProof/>
        </w:rPr>
        <w:t>(CABI &amp; EPPO 1997e)</w:t>
      </w:r>
      <w:r>
        <w:t xml:space="preserve"> with the optimum range from 26 °C to 29 °C. At lower temperatures, such as those that may be used in the transportation and storage of summerfruit being sent from China to Australia, thrips might have longer life cycles. Viable thrips could therefore still be present on shipments when they arrive in Australia.</w:t>
      </w:r>
    </w:p>
    <w:p w:rsidR="00B8782D" w:rsidRDefault="00B8782D">
      <w:pPr>
        <w:pStyle w:val="ListBullet"/>
      </w:pPr>
      <w:r>
        <w:t>Thrips have been detected on stonefruit (apricots, nectarines, peaches) entering Australia from New Zealand, demonstrating that thrips are capable of surviving packinghouse procedures, cold storage and transport conditions.</w:t>
      </w:r>
    </w:p>
    <w:p w:rsidR="00B8782D" w:rsidRDefault="00B8782D">
      <w:r>
        <w:rPr>
          <w:i/>
        </w:rPr>
        <w:t>Frankliniella intonsa</w:t>
      </w:r>
      <w:r>
        <w:t xml:space="preserve"> and </w:t>
      </w:r>
      <w:r>
        <w:rPr>
          <w:i/>
        </w:rPr>
        <w:t>F. occidentalis</w:t>
      </w:r>
      <w:r>
        <w:t xml:space="preserve"> are widely distributed in China’s major peach and nectarine production regions and are likely to be associated with nectarine fruit. Thrips are very small and likely escape detection during packinghouse processes. Thrips are likely to survive cold storage and transportation. This information supports a likelihood estimate for importation of</w:t>
      </w:r>
      <w:r>
        <w:rPr>
          <w:b/>
        </w:rPr>
        <w:t xml:space="preserve"> ‘</w:t>
      </w:r>
      <w:r>
        <w:t>high’.</w:t>
      </w:r>
    </w:p>
    <w:p w:rsidR="00B8782D" w:rsidRDefault="00B8782D">
      <w:pPr>
        <w:pStyle w:val="Heading4"/>
      </w:pPr>
      <w:r>
        <w:t>Likelihood of distribution</w:t>
      </w:r>
    </w:p>
    <w:p w:rsidR="00B8782D" w:rsidRDefault="00B8782D">
      <w:r>
        <w:t xml:space="preserve">The likelihood of distribution for </w:t>
      </w:r>
      <w:r>
        <w:rPr>
          <w:i/>
        </w:rPr>
        <w:t>F. intonsa</w:t>
      </w:r>
      <w:r>
        <w:t xml:space="preserve"> in Australia and </w:t>
      </w:r>
      <w:r>
        <w:rPr>
          <w:i/>
        </w:rPr>
        <w:t>F. occidentalis</w:t>
      </w:r>
      <w:r>
        <w:t xml:space="preserve"> in the Northern Territory assessed here would be the same as that for </w:t>
      </w:r>
      <w:r>
        <w:rPr>
          <w:i/>
        </w:rPr>
        <w:t>F. intonsa</w:t>
      </w:r>
      <w:r>
        <w:t xml:space="preserve"> and </w:t>
      </w:r>
      <w:r>
        <w:rPr>
          <w:i/>
        </w:rPr>
        <w:t>F. occidentalis</w:t>
      </w:r>
      <w:r>
        <w:t xml:space="preserve"> for stonefruit from the USA (California, Idaho, Oregon and Washington) </w:t>
      </w:r>
      <w:r>
        <w:rPr>
          <w:noProof/>
        </w:rPr>
        <w:t>(Biosecurity Australia 2010b)</w:t>
      </w:r>
      <w:r>
        <w:t xml:space="preserve">, that is </w:t>
      </w:r>
      <w:r>
        <w:rPr>
          <w:b/>
        </w:rPr>
        <w:t>Moderate.</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t xml:space="preserve">The likelihood that </w:t>
      </w:r>
      <w:r>
        <w:rPr>
          <w:i/>
        </w:rPr>
        <w:t>F. intonsa</w:t>
      </w:r>
      <w:r>
        <w:t xml:space="preserve"> will enter Australia and </w:t>
      </w:r>
      <w:r>
        <w:rPr>
          <w:i/>
        </w:rPr>
        <w:t>F. occidentalis</w:t>
      </w:r>
      <w:r>
        <w:t xml:space="preserve"> will enter Northern Territory as a result of trade in nectarines from China and be distributed in a viable state to a susceptible host is: </w:t>
      </w:r>
      <w:r>
        <w:rPr>
          <w:b/>
        </w:rPr>
        <w:t>Moderate.</w:t>
      </w: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spread for </w:t>
      </w:r>
      <w:r>
        <w:rPr>
          <w:i/>
        </w:rPr>
        <w:t>F. intonsa</w:t>
      </w:r>
      <w:r>
        <w:t xml:space="preserve"> in Australia and </w:t>
      </w:r>
      <w:r>
        <w:rPr>
          <w:i/>
        </w:rPr>
        <w:t>F. occidentalis</w:t>
      </w:r>
      <w:r>
        <w:t xml:space="preserve"> in the Northern Territory is based on the assessment for stonefruit from the USA (California, Idaho, </w:t>
      </w:r>
      <w:r>
        <w:lastRenderedPageBreak/>
        <w:t xml:space="preserve">Oregon and Washington) </w:t>
      </w:r>
      <w:r>
        <w:rPr>
          <w:noProof/>
        </w:rPr>
        <w:t>(Biosecurity Australia 2010b)</w:t>
      </w:r>
      <w:r>
        <w:t>. This assessment used the same methodology as described in Chapter 2 of this report. The ratings from the previous assessment are presented below:</w:t>
      </w:r>
    </w:p>
    <w:p w:rsidR="00B8782D" w:rsidRDefault="00B8782D">
      <w:pPr>
        <w:rPr>
          <w:b/>
        </w:rPr>
      </w:pPr>
      <w:r>
        <w:t xml:space="preserve">Likelihood of establishment: </w:t>
      </w:r>
      <w:r>
        <w:tab/>
      </w:r>
      <w:r>
        <w:tab/>
      </w:r>
      <w:r>
        <w:tab/>
      </w:r>
      <w:r>
        <w:rPr>
          <w:b/>
        </w:rPr>
        <w:t>High</w:t>
      </w:r>
    </w:p>
    <w:p w:rsidR="00B8782D" w:rsidRDefault="00B8782D">
      <w:pPr>
        <w:rPr>
          <w:b/>
        </w:rPr>
      </w:pPr>
      <w:r>
        <w:t xml:space="preserve">Likelihood of spread: </w:t>
      </w:r>
      <w:r>
        <w:tab/>
      </w:r>
      <w:r>
        <w:tab/>
      </w:r>
      <w:r>
        <w:tab/>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 of entry, of establishment and of spread using the matrix of rules shown in Table 2.2.</w:t>
      </w:r>
    </w:p>
    <w:p w:rsidR="00B8782D" w:rsidRDefault="00B8782D">
      <w:r>
        <w:t xml:space="preserve">The likelihood that </w:t>
      </w:r>
      <w:r>
        <w:rPr>
          <w:i/>
        </w:rPr>
        <w:t>F. intonsa</w:t>
      </w:r>
      <w:r>
        <w:t xml:space="preserve"> will enter Australia or </w:t>
      </w:r>
      <w:r>
        <w:rPr>
          <w:i/>
        </w:rPr>
        <w:t>F. occidentalis</w:t>
      </w:r>
      <w:r>
        <w:t xml:space="preserve"> will enter the Northern Territory, as a result of trade in fresh nectarines from China, be distributed in a viable state to a susceptible host, establish in Australia and subsequently spread within Australia has been assessed as: </w:t>
      </w:r>
      <w:r>
        <w:rPr>
          <w:b/>
        </w:rPr>
        <w:t>Moderate</w:t>
      </w:r>
      <w:r>
        <w:t>.</w:t>
      </w:r>
    </w:p>
    <w:p w:rsidR="00B8782D" w:rsidRDefault="00B8782D" w:rsidP="00B8782D">
      <w:pPr>
        <w:pStyle w:val="Heading3"/>
        <w:numPr>
          <w:ilvl w:val="2"/>
          <w:numId w:val="20"/>
        </w:numPr>
      </w:pPr>
      <w:r>
        <w:t>Consequences</w:t>
      </w:r>
    </w:p>
    <w:p w:rsidR="00B8782D" w:rsidRDefault="00B8782D">
      <w:pPr>
        <w:rPr>
          <w:b/>
          <w:bCs/>
        </w:rPr>
      </w:pPr>
      <w:r>
        <w:t xml:space="preserve">The consequences of the establishment of </w:t>
      </w:r>
      <w:r>
        <w:rPr>
          <w:i/>
        </w:rPr>
        <w:t>F. intonsa</w:t>
      </w:r>
      <w:r>
        <w:t xml:space="preserve"> in Australia or </w:t>
      </w:r>
      <w:r>
        <w:rPr>
          <w:i/>
        </w:rPr>
        <w:t>F. occidentalis</w:t>
      </w:r>
      <w:r>
        <w:t xml:space="preserve"> in the Northern Territory have been estimated previously for stonefruit from the USA (California, Idaho, Oregon and Washington) </w:t>
      </w:r>
      <w:r>
        <w:rPr>
          <w:noProof/>
        </w:rPr>
        <w:t>(Biosecurity Australia 2010b)</w:t>
      </w:r>
      <w:r>
        <w:t xml:space="preserve">. The consequence ratings for </w:t>
      </w:r>
      <w:r>
        <w:rPr>
          <w:i/>
        </w:rPr>
        <w:t>F. intonsa</w:t>
      </w:r>
      <w:r>
        <w:t xml:space="preserve"> and </w:t>
      </w:r>
      <w:r>
        <w:rPr>
          <w:i/>
        </w:rPr>
        <w:t>F. occidentalis</w:t>
      </w:r>
      <w:r>
        <w:t xml:space="preserve"> were consistently rated as ‘low’ for both species. The overall consequences have been estimated to be </w:t>
      </w:r>
      <w:r>
        <w:rPr>
          <w:b/>
        </w:rPr>
        <w:t>Low</w:t>
      </w:r>
      <w:r>
        <w:t>.</w:t>
      </w:r>
    </w:p>
    <w:p w:rsidR="00B8782D" w:rsidRDefault="00B8782D" w:rsidP="00B8782D">
      <w:pPr>
        <w:pStyle w:val="Heading3"/>
        <w:numPr>
          <w:ilvl w:val="2"/>
          <w:numId w:val="20"/>
        </w:numPr>
      </w:pPr>
      <w:r>
        <w:t>Unrestricted risk estimate</w:t>
      </w:r>
    </w:p>
    <w:p w:rsidR="00B8782D" w:rsidRDefault="00B8782D">
      <w:r>
        <w:t>Unrestricted risk is the result of combining the likelihood of entry, establishment and spread with the estimate of consequences. Likelihoods and consequences are combined using the risk estimation matrix shown in Table 2.5.</w:t>
      </w:r>
    </w:p>
    <w:tbl>
      <w:tblPr>
        <w:tblW w:w="9436" w:type="dxa"/>
        <w:tblBorders>
          <w:top w:val="single" w:sz="4" w:space="0" w:color="auto"/>
          <w:bottom w:val="single" w:sz="4" w:space="0" w:color="auto"/>
        </w:tblBorders>
        <w:tblLook w:val="01E0" w:firstRow="1" w:lastRow="1" w:firstColumn="1" w:lastColumn="1" w:noHBand="0" w:noVBand="0"/>
      </w:tblPr>
      <w:tblGrid>
        <w:gridCol w:w="6459"/>
        <w:gridCol w:w="2977"/>
      </w:tblGrid>
      <w:tr w:rsidR="00B8782D">
        <w:tc>
          <w:tcPr>
            <w:tcW w:w="9436" w:type="dxa"/>
            <w:gridSpan w:val="2"/>
            <w:shd w:val="clear" w:color="auto" w:fill="auto"/>
          </w:tcPr>
          <w:p w:rsidR="00B8782D" w:rsidRDefault="00B8782D">
            <w:pPr>
              <w:pStyle w:val="TableHeading"/>
            </w:pPr>
            <w:r>
              <w:t xml:space="preserve">Unrestricted risk estimate for </w:t>
            </w:r>
            <w:r>
              <w:rPr>
                <w:i/>
              </w:rPr>
              <w:t>Frankliniella intonsa</w:t>
            </w:r>
            <w:r>
              <w:t xml:space="preserve"> and </w:t>
            </w:r>
            <w:r>
              <w:rPr>
                <w:i/>
              </w:rPr>
              <w:t>Frankliniella occidentalis</w:t>
            </w:r>
            <w:r>
              <w:t xml:space="preserve"> </w:t>
            </w:r>
          </w:p>
        </w:tc>
      </w:tr>
      <w:tr w:rsidR="00B8782D">
        <w:tc>
          <w:tcPr>
            <w:tcW w:w="6459" w:type="dxa"/>
            <w:shd w:val="clear" w:color="auto" w:fill="auto"/>
          </w:tcPr>
          <w:p w:rsidR="00B8782D" w:rsidRDefault="00B8782D">
            <w:pPr>
              <w:pStyle w:val="TableText"/>
            </w:pPr>
            <w:r>
              <w:t>Overall likelihood of entry, establishment and spread</w:t>
            </w:r>
          </w:p>
        </w:tc>
        <w:tc>
          <w:tcPr>
            <w:tcW w:w="2977" w:type="dxa"/>
            <w:shd w:val="clear" w:color="auto" w:fill="auto"/>
          </w:tcPr>
          <w:p w:rsidR="00B8782D" w:rsidRDefault="00B8782D">
            <w:pPr>
              <w:pStyle w:val="TableText"/>
            </w:pPr>
            <w:r>
              <w:t>Moderate</w:t>
            </w:r>
          </w:p>
        </w:tc>
      </w:tr>
      <w:tr w:rsidR="00B8782D">
        <w:tc>
          <w:tcPr>
            <w:tcW w:w="6459" w:type="dxa"/>
            <w:shd w:val="clear" w:color="auto" w:fill="auto"/>
          </w:tcPr>
          <w:p w:rsidR="00B8782D" w:rsidRDefault="00B8782D">
            <w:pPr>
              <w:pStyle w:val="TableText"/>
            </w:pPr>
            <w:r>
              <w:t>Consequences</w:t>
            </w:r>
          </w:p>
        </w:tc>
        <w:tc>
          <w:tcPr>
            <w:tcW w:w="2977" w:type="dxa"/>
            <w:shd w:val="clear" w:color="auto" w:fill="auto"/>
          </w:tcPr>
          <w:p w:rsidR="00B8782D" w:rsidRDefault="00B8782D">
            <w:pPr>
              <w:pStyle w:val="TableText"/>
            </w:pPr>
            <w:r>
              <w:t>Low</w:t>
            </w:r>
          </w:p>
        </w:tc>
      </w:tr>
      <w:tr w:rsidR="00B8782D">
        <w:tc>
          <w:tcPr>
            <w:tcW w:w="6459" w:type="dxa"/>
            <w:shd w:val="clear" w:color="auto" w:fill="auto"/>
          </w:tcPr>
          <w:p w:rsidR="00B8782D" w:rsidRDefault="00B8782D">
            <w:pPr>
              <w:pStyle w:val="TableText"/>
            </w:pPr>
            <w:r>
              <w:t>Unrestricted risk</w:t>
            </w:r>
          </w:p>
        </w:tc>
        <w:tc>
          <w:tcPr>
            <w:tcW w:w="2977" w:type="dxa"/>
            <w:shd w:val="clear" w:color="auto" w:fill="auto"/>
          </w:tcPr>
          <w:p w:rsidR="00B8782D" w:rsidRDefault="00B8782D">
            <w:pPr>
              <w:pStyle w:val="TableText"/>
            </w:pPr>
            <w:r>
              <w:t>Low</w:t>
            </w:r>
          </w:p>
        </w:tc>
      </w:tr>
    </w:tbl>
    <w:p w:rsidR="00B8782D" w:rsidRDefault="00B8782D">
      <w:r>
        <w:t xml:space="preserve">As indicated, the unrestricted risk estimate for </w:t>
      </w:r>
      <w:r>
        <w:rPr>
          <w:i/>
        </w:rPr>
        <w:t>F. intonsa</w:t>
      </w:r>
      <w:r>
        <w:t xml:space="preserve"> and </w:t>
      </w:r>
      <w:r>
        <w:rPr>
          <w:i/>
        </w:rPr>
        <w:t>F. occidentalis</w:t>
      </w:r>
      <w:r>
        <w:t xml:space="preserve"> has been assessed as ‘low’, which is above Australia’s ALOP. Therefore, specific risk management measures are required for these pests.</w:t>
      </w:r>
    </w:p>
    <w:p w:rsidR="00B8782D" w:rsidRDefault="00B8782D">
      <w:r>
        <w:t xml:space="preserve">In addition, </w:t>
      </w:r>
      <w:r>
        <w:rPr>
          <w:i/>
        </w:rPr>
        <w:t>F. occidentalis</w:t>
      </w:r>
      <w:r>
        <w:t xml:space="preserve"> may be identified as a potential vector for Impatiens necrotic spot virus (INSV) for all of Australia. If detected during quarantine inspections, this potential vector would be managed under contaminating pest policy. If live </w:t>
      </w:r>
      <w:r>
        <w:rPr>
          <w:i/>
        </w:rPr>
        <w:t xml:space="preserve">F. occidentalis </w:t>
      </w:r>
      <w:r>
        <w:t>is detected during quarantine inspections, remedial actions must be taken for the relevant consignments.</w:t>
      </w:r>
    </w:p>
    <w:p w:rsidR="00B8782D" w:rsidRDefault="00B8782D">
      <w:pPr>
        <w:sectPr w:rsidR="00B8782D">
          <w:pgSz w:w="11906" w:h="16838"/>
          <w:pgMar w:top="1418" w:right="1418" w:bottom="1418" w:left="1418" w:header="567" w:footer="283" w:gutter="0"/>
          <w:cols w:space="708"/>
          <w:docGrid w:linePitch="360"/>
        </w:sectPr>
      </w:pPr>
    </w:p>
    <w:p w:rsidR="00B8782D" w:rsidRDefault="00B8782D" w:rsidP="00B8782D">
      <w:pPr>
        <w:pStyle w:val="Heading2"/>
        <w:numPr>
          <w:ilvl w:val="1"/>
          <w:numId w:val="20"/>
        </w:numPr>
      </w:pPr>
      <w:bookmarkStart w:id="76" w:name="_Toc448312508"/>
      <w:r>
        <w:lastRenderedPageBreak/>
        <w:t>Brown rot</w:t>
      </w:r>
      <w:bookmarkEnd w:id="76"/>
    </w:p>
    <w:p w:rsidR="00B8782D" w:rsidRDefault="00B8782D">
      <w:pPr>
        <w:pStyle w:val="Heading4"/>
      </w:pPr>
      <w:r>
        <w:rPr>
          <w:i/>
        </w:rPr>
        <w:t>Monilinia fructigena</w:t>
      </w:r>
      <w:r>
        <w:t xml:space="preserve"> (EP), </w:t>
      </w:r>
      <w:r>
        <w:rPr>
          <w:i/>
        </w:rPr>
        <w:t>Monilinia yunnanensis</w:t>
      </w:r>
      <w:r>
        <w:t xml:space="preserve">, </w:t>
      </w:r>
      <w:r>
        <w:rPr>
          <w:i/>
        </w:rPr>
        <w:t>Monilia mumecola</w:t>
      </w:r>
      <w:r>
        <w:t xml:space="preserve"> and </w:t>
      </w:r>
      <w:r>
        <w:rPr>
          <w:i/>
        </w:rPr>
        <w:t>Monilia polystroma</w:t>
      </w:r>
    </w:p>
    <w:p w:rsidR="00B8782D" w:rsidRDefault="00B8782D">
      <w:r>
        <w:t xml:space="preserve">Brown rot is a fungal disease of stone and pome fruit caused by a number of closely related species of the genus </w:t>
      </w:r>
      <w:r>
        <w:rPr>
          <w:i/>
        </w:rPr>
        <w:t xml:space="preserve">Monilinia. </w:t>
      </w:r>
      <w:r>
        <w:t>The anamorph of the fungus is the genus</w:t>
      </w:r>
      <w:r>
        <w:rPr>
          <w:i/>
        </w:rPr>
        <w:t xml:space="preserve"> Monilia</w:t>
      </w:r>
      <w:r>
        <w:t xml:space="preserve">. The genus belongs to family Sclerotiniaceae and it can cause severe losses and damage to stonefruit crops </w:t>
      </w:r>
      <w:r>
        <w:rPr>
          <w:noProof/>
        </w:rPr>
        <w:t>(Zhu, Chen &amp; Guo 2011)</w:t>
      </w:r>
      <w:r>
        <w:t xml:space="preserve">. The biology and taxonomy of the four species </w:t>
      </w:r>
      <w:r>
        <w:rPr>
          <w:i/>
        </w:rPr>
        <w:t>Monilinia fructigena, M. yunnanensis,</w:t>
      </w:r>
      <w:r>
        <w:rPr>
          <w:i/>
          <w:lang w:val="en-US"/>
        </w:rPr>
        <w:t xml:space="preserve"> </w:t>
      </w:r>
      <w:r>
        <w:rPr>
          <w:i/>
        </w:rPr>
        <w:t xml:space="preserve">Monilia polystroma </w:t>
      </w:r>
      <w:r>
        <w:t>and</w:t>
      </w:r>
      <w:r>
        <w:rPr>
          <w:i/>
        </w:rPr>
        <w:t xml:space="preserve"> M. mumecola</w:t>
      </w:r>
      <w:r>
        <w:t xml:space="preserve"> are considered sufficiently similar to justify combining them into a single assessment. The assessment of the four pathogens has been largely based on the scientific information on </w:t>
      </w:r>
      <w:r>
        <w:rPr>
          <w:i/>
        </w:rPr>
        <w:t>M. fructigena</w:t>
      </w:r>
      <w:r>
        <w:t xml:space="preserve"> as it is predicted to pose a similar risk and require similar mitigation measures. Unless explicitly stated, the information presented is considered as applicable to all species. In this assessment, the common name brown rot is used to refer to all four species unless otherwise specified.</w:t>
      </w:r>
    </w:p>
    <w:p w:rsidR="00B8782D" w:rsidRDefault="00B8782D">
      <w:r>
        <w:t xml:space="preserve">The risk scenario of concern for </w:t>
      </w:r>
      <w:r>
        <w:rPr>
          <w:i/>
        </w:rPr>
        <w:t>Monilinia fructigena</w:t>
      </w:r>
      <w:r>
        <w:t xml:space="preserve"> </w:t>
      </w:r>
      <w:r>
        <w:rPr>
          <w:i/>
        </w:rPr>
        <w:t>M. yunnanensis,</w:t>
      </w:r>
      <w:r>
        <w:rPr>
          <w:i/>
          <w:lang w:val="en-US"/>
        </w:rPr>
        <w:t xml:space="preserve"> </w:t>
      </w:r>
      <w:r>
        <w:rPr>
          <w:i/>
        </w:rPr>
        <w:t xml:space="preserve">Monilia polystroma </w:t>
      </w:r>
      <w:r>
        <w:t>and</w:t>
      </w:r>
      <w:r>
        <w:rPr>
          <w:i/>
        </w:rPr>
        <w:t xml:space="preserve"> M mumecola</w:t>
      </w:r>
      <w:r>
        <w:t xml:space="preserve"> is that symptomless infected fruit might enter Australia and result in the establishment of these fungi in Australia.</w:t>
      </w:r>
    </w:p>
    <w:p w:rsidR="00B8782D" w:rsidRDefault="00B8782D">
      <w:r>
        <w:rPr>
          <w:i/>
        </w:rPr>
        <w:t>Monilinia fructigena</w:t>
      </w:r>
      <w:r>
        <w:t xml:space="preserve"> was assessed in the existing import policy for apples </w:t>
      </w:r>
      <w:r>
        <w:rPr>
          <w:noProof/>
        </w:rPr>
        <w:t>(Biosecurity Australia 2010a)</w:t>
      </w:r>
      <w:r>
        <w:t xml:space="preserve"> and table grapes from China </w:t>
      </w:r>
      <w:r>
        <w:rPr>
          <w:noProof/>
        </w:rPr>
        <w:t>(Biosecurity Australia 2011)</w:t>
      </w:r>
      <w:r>
        <w:t xml:space="preserve">. The assessment of </w:t>
      </w:r>
      <w:r>
        <w:rPr>
          <w:i/>
        </w:rPr>
        <w:t>Monilinia fructigena,</w:t>
      </w:r>
      <w:r>
        <w:t xml:space="preserve"> </w:t>
      </w:r>
      <w:r>
        <w:rPr>
          <w:i/>
        </w:rPr>
        <w:t>M. yunnanensis,</w:t>
      </w:r>
      <w:r>
        <w:rPr>
          <w:i/>
          <w:lang w:val="en-US"/>
        </w:rPr>
        <w:t xml:space="preserve"> </w:t>
      </w:r>
      <w:r>
        <w:rPr>
          <w:i/>
        </w:rPr>
        <w:t xml:space="preserve">Monilia polystroma </w:t>
      </w:r>
      <w:r>
        <w:t>and</w:t>
      </w:r>
      <w:r>
        <w:rPr>
          <w:i/>
        </w:rPr>
        <w:t xml:space="preserve"> M. mumecola</w:t>
      </w:r>
      <w:r>
        <w:t xml:space="preserve"> presented here builds on these existing policies.</w:t>
      </w:r>
    </w:p>
    <w:p w:rsidR="00B8782D" w:rsidRDefault="00B8782D">
      <w:r>
        <w:t>Differences in commodity and horticultural practices for apples and table grapes and for nectarines from China make it necessary to reassess the likelihood that brown rot will be imported into Australia with nectarines from China.</w:t>
      </w:r>
    </w:p>
    <w:p w:rsidR="00B8782D" w:rsidRDefault="00B8782D">
      <w:r>
        <w:t>Fresh nectarine fruit is expected to be imported from China from May to October which is similar to the timing of the import of apples and table grapes from China. After importation, nectarines will be distributed throughout Australia for retail sale in a similar way to apples and table grapes from China. Therefore, it is considered unnecessary to reassess the likelihood of distribution.</w:t>
      </w:r>
    </w:p>
    <w:p w:rsidR="00B8782D" w:rsidRDefault="00B8782D">
      <w:r>
        <w:t>The likelihood of establishment and spread of brown rots in Australia will be comparable regardless of the fresh fruit commodity in which brown rots is imported into Australia, as these likelihoods relate specifically to events that occur in Australia and are independent of the importation pathway. The consequences of brown rots are also independent of the importation pathway. Accordingly, there is no need to reassess these components of the risk.</w:t>
      </w:r>
    </w:p>
    <w:p w:rsidR="00B8782D" w:rsidRDefault="00B8782D">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Monilinia fructigena</w:t>
      </w:r>
      <w:r>
        <w:t xml:space="preserve"> in the existing policy for apples </w:t>
      </w:r>
      <w:r>
        <w:rPr>
          <w:noProof/>
        </w:rPr>
        <w:t>(Biosecurity Australia 2010a)</w:t>
      </w:r>
      <w:r>
        <w:t xml:space="preserve"> and table grapes </w:t>
      </w:r>
      <w:r>
        <w:rPr>
          <w:noProof/>
        </w:rPr>
        <w:t>(Biosecurity Australia 2011)</w:t>
      </w:r>
      <w:r>
        <w:t xml:space="preserve"> from China. Therefore, those risk ratings will be adopted for this assessment.</w:t>
      </w:r>
    </w:p>
    <w:p w:rsidR="00B8782D" w:rsidRDefault="00B8782D" w:rsidP="00B8782D">
      <w:pPr>
        <w:pStyle w:val="Heading3"/>
        <w:numPr>
          <w:ilvl w:val="2"/>
          <w:numId w:val="20"/>
        </w:numPr>
      </w:pPr>
      <w:r>
        <w:lastRenderedPageBreak/>
        <w:t>Likelihood of entry</w:t>
      </w:r>
    </w:p>
    <w:p w:rsidR="00B8782D" w:rsidRDefault="00B8782D">
      <w:r>
        <w:t>The likelihood of entry is considered in two parts, the likelihood of importation and the likelihood of distribution, which consider pre-border and post-border issues, respectively.</w:t>
      </w:r>
    </w:p>
    <w:p w:rsidR="00B8782D" w:rsidRDefault="00B8782D">
      <w:pPr>
        <w:pStyle w:val="Heading4"/>
      </w:pPr>
      <w:r>
        <w:t>Likelihood of importation</w:t>
      </w:r>
    </w:p>
    <w:p w:rsidR="00B8782D" w:rsidRDefault="00B8782D">
      <w:r>
        <w:t xml:space="preserve">The likelihood that </w:t>
      </w:r>
      <w:r>
        <w:rPr>
          <w:i/>
        </w:rPr>
        <w:t>Monilinia fructigena</w:t>
      </w:r>
      <w:r>
        <w:t xml:space="preserve"> </w:t>
      </w:r>
      <w:r>
        <w:rPr>
          <w:i/>
        </w:rPr>
        <w:t>M. yunnanensis,</w:t>
      </w:r>
      <w:r>
        <w:rPr>
          <w:i/>
          <w:lang w:val="en-US"/>
        </w:rPr>
        <w:t xml:space="preserve"> </w:t>
      </w:r>
      <w:r>
        <w:rPr>
          <w:i/>
        </w:rPr>
        <w:t xml:space="preserve">Monilia polystroma </w:t>
      </w:r>
      <w:r>
        <w:t>and</w:t>
      </w:r>
      <w:r>
        <w:rPr>
          <w:i/>
        </w:rPr>
        <w:t xml:space="preserve"> M mumecola</w:t>
      </w:r>
      <w:r>
        <w:t xml:space="preserve"> will arrive in Australia on nectarines from China is: </w:t>
      </w:r>
      <w:r>
        <w:rPr>
          <w:b/>
        </w:rPr>
        <w:t>High</w:t>
      </w:r>
      <w:r>
        <w:t>.</w:t>
      </w:r>
    </w:p>
    <w:p w:rsidR="00B8782D" w:rsidRDefault="00B8782D">
      <w:r>
        <w:t>The following information provides supporting evidence for this assessment.</w:t>
      </w:r>
    </w:p>
    <w:p w:rsidR="00B8782D" w:rsidRDefault="00B8782D">
      <w:pPr>
        <w:pStyle w:val="ListBullet"/>
        <w:rPr>
          <w:color w:val="000000"/>
        </w:rPr>
      </w:pPr>
      <w:r>
        <w:t xml:space="preserve">Peaches and nectarines are major hosts of </w:t>
      </w:r>
      <w:r>
        <w:rPr>
          <w:i/>
        </w:rPr>
        <w:t>Monilinia fructigena</w:t>
      </w:r>
      <w:r>
        <w:t xml:space="preserve"> </w:t>
      </w:r>
      <w:r>
        <w:rPr>
          <w:noProof/>
        </w:rPr>
        <w:t>(Byrde &amp; Willets 1977; Farr &amp; Rossman 2014)</w:t>
      </w:r>
      <w:r>
        <w:t>.</w:t>
      </w:r>
    </w:p>
    <w:p w:rsidR="00B8782D" w:rsidRDefault="00B8782D">
      <w:pPr>
        <w:pStyle w:val="ListBullet"/>
      </w:pPr>
      <w:r>
        <w:rPr>
          <w:i/>
        </w:rPr>
        <w:t xml:space="preserve">Monilinia fructigena, M. yunnanensis </w:t>
      </w:r>
      <w:r>
        <w:t xml:space="preserve">and </w:t>
      </w:r>
      <w:r>
        <w:rPr>
          <w:i/>
        </w:rPr>
        <w:t>Monilia mumecola</w:t>
      </w:r>
      <w:r>
        <w:t xml:space="preserve"> have been reported on stonefruit including apricot, peach and nectarine from all major growing areas in China including Beijing, Hebei, Shandong, Henan, Liaoning, Shaanxi, Shanxi, Jiangsu, Anhui, Zhejiang, Sichuan, Fujian and Yunnan provinces </w:t>
      </w:r>
      <w:r>
        <w:rPr>
          <w:noProof/>
        </w:rPr>
        <w:t>(Hu et al. 2011; Zhu, Chen &amp; Guo 2011)</w:t>
      </w:r>
      <w:r>
        <w:t>.</w:t>
      </w:r>
    </w:p>
    <w:p w:rsidR="00B8782D" w:rsidRDefault="00B8782D">
      <w:pPr>
        <w:pStyle w:val="ListBullet"/>
      </w:pPr>
      <w:r>
        <w:rPr>
          <w:i/>
        </w:rPr>
        <w:t>Monilia polystroma</w:t>
      </w:r>
      <w:r>
        <w:t xml:space="preserve"> was reported on plums in China and is an important pest </w:t>
      </w:r>
      <w:r>
        <w:rPr>
          <w:noProof/>
        </w:rPr>
        <w:t>(Zhu &amp; Guo 2010)</w:t>
      </w:r>
      <w:r>
        <w:t xml:space="preserve">. It has been recently reported causing fruit brown rot on peaches in Italy </w:t>
      </w:r>
      <w:r>
        <w:rPr>
          <w:noProof/>
        </w:rPr>
        <w:t>(Martini et al. 2014)</w:t>
      </w:r>
      <w:r>
        <w:t>.</w:t>
      </w:r>
    </w:p>
    <w:p w:rsidR="00B8782D" w:rsidRDefault="00B8782D">
      <w:pPr>
        <w:pStyle w:val="ListBullet"/>
      </w:pPr>
      <w:r>
        <w:t xml:space="preserve">Brown rot fungi overwinter mainly in or on infected mummified fruit, either attached to the tree or on the ground </w:t>
      </w:r>
      <w:r>
        <w:rPr>
          <w:noProof/>
        </w:rPr>
        <w:t>(Byrde &amp; Willets 1977)</w:t>
      </w:r>
      <w:r>
        <w:t xml:space="preserve">. Mycelia can survive long periods of adverse environmental conditions within mummified fruits, twigs, cankers and other infected tissues. In spring or early summer when temperature, day length, moisture conditions and relative humidity are suitable for sporulation, sporodochia are formed on the surface of mummified fruit and other infected tissues and bear chains of conidia </w:t>
      </w:r>
      <w:r>
        <w:rPr>
          <w:noProof/>
        </w:rPr>
        <w:t>(Byrde &amp; Willets 1977; Jones 1990)</w:t>
      </w:r>
      <w:r>
        <w:t>.</w:t>
      </w:r>
    </w:p>
    <w:p w:rsidR="00B8782D" w:rsidRDefault="00B8782D">
      <w:pPr>
        <w:pStyle w:val="ListBullet"/>
      </w:pPr>
      <w:r>
        <w:t xml:space="preserve">The conidia of </w:t>
      </w:r>
      <w:r>
        <w:rPr>
          <w:i/>
        </w:rPr>
        <w:t>M. fructigena</w:t>
      </w:r>
      <w:r>
        <w:t xml:space="preserve"> are dry airborne spores, transported by wind, water or insects to young fruit </w:t>
      </w:r>
      <w:r>
        <w:rPr>
          <w:noProof/>
        </w:rPr>
        <w:t>(Batra 1991; Jones 1990)</w:t>
      </w:r>
      <w:r>
        <w:t>.</w:t>
      </w:r>
    </w:p>
    <w:p w:rsidR="00B8782D" w:rsidRDefault="00B8782D">
      <w:pPr>
        <w:pStyle w:val="ListBullet"/>
      </w:pPr>
      <w:r>
        <w:t xml:space="preserve">Initial infection by brown rot can be via wounds on fruit or on sound fruit and subsequent spread by contact between adjacent fruit is possible </w:t>
      </w:r>
      <w:r>
        <w:rPr>
          <w:noProof/>
        </w:rPr>
        <w:t>(Byrde &amp; Willets 1977)</w:t>
      </w:r>
      <w:r>
        <w:t xml:space="preserve">. Infected tissue can produce several crops of conidia throughout the year which can initiate secondary infection </w:t>
      </w:r>
      <w:r>
        <w:rPr>
          <w:noProof/>
        </w:rPr>
        <w:t>(Batra 1991)</w:t>
      </w:r>
      <w:r>
        <w:t>.</w:t>
      </w:r>
    </w:p>
    <w:p w:rsidR="00B8782D" w:rsidRDefault="00B8782D">
      <w:pPr>
        <w:pStyle w:val="ListBullet"/>
      </w:pPr>
      <w:r>
        <w:t xml:space="preserve">Brown rot fungi have the ability to cause latent infection in fruit </w:t>
      </w:r>
      <w:r>
        <w:rPr>
          <w:noProof/>
        </w:rPr>
        <w:t>(Gell et al. 2009)</w:t>
      </w:r>
      <w:r>
        <w:t xml:space="preserve">. The infected fruit do not produce symptoms of disease until the fruit begins to ripen during storage and transport, on the market shelf, or as the fruit senesces </w:t>
      </w:r>
      <w:r>
        <w:rPr>
          <w:noProof/>
        </w:rPr>
        <w:t>(Byrde &amp; Willets 1977)</w:t>
      </w:r>
      <w:r>
        <w:t>.</w:t>
      </w:r>
    </w:p>
    <w:p w:rsidR="00B8782D" w:rsidRDefault="00B8782D">
      <w:pPr>
        <w:pStyle w:val="ListBullet"/>
      </w:pPr>
      <w:r>
        <w:t xml:space="preserve">At harvest, apparently healthy fruit can be contaminated with conidia </w:t>
      </w:r>
      <w:r>
        <w:rPr>
          <w:noProof/>
        </w:rPr>
        <w:t>(Ma 2006)</w:t>
      </w:r>
      <w:r>
        <w:t xml:space="preserve">. Wounded fruit may also be contaminated with conidia during packinghouse processes via fruit to fruit contact </w:t>
      </w:r>
      <w:r>
        <w:rPr>
          <w:noProof/>
        </w:rPr>
        <w:t>(Xu &amp; Robinson 2000)</w:t>
      </w:r>
      <w:r>
        <w:t>. Fruit rots develop during the postharvest period.</w:t>
      </w:r>
    </w:p>
    <w:p w:rsidR="00B8782D" w:rsidRDefault="00B8782D">
      <w:pPr>
        <w:pStyle w:val="ListBullet"/>
      </w:pPr>
      <w:r>
        <w:t xml:space="preserve">The mycelia of brown rot fungi survive long periods of adverse environmental conditions, particularly over winter. The fungi also survive within mummified fruit, infected twigs, cankers and other infected tissues </w:t>
      </w:r>
      <w:r>
        <w:rPr>
          <w:noProof/>
        </w:rPr>
        <w:t>(Byrde &amp; Willets 1977)</w:t>
      </w:r>
      <w:r>
        <w:t>. This suggests that in infected fruit fungi may survive cold storage and transportation processes.</w:t>
      </w:r>
    </w:p>
    <w:p w:rsidR="00B8782D" w:rsidRDefault="00B8782D">
      <w:r>
        <w:lastRenderedPageBreak/>
        <w:t>Brown rot fungi are widely distributed in the major stonefruit growing regions in China and are important pests of stonefruit fruit. Brown rot fungi have the ability to cause latent infection in fruit, and symptomless infected fruit is likely to pass through packinghouse processes undetected. Brown rot mycelia in latently infected fruit are likely to survive cold storage and transportation. This information supports a likelihood estimate for importation of ‘high’.</w:t>
      </w:r>
    </w:p>
    <w:p w:rsidR="00B8782D" w:rsidRDefault="00B8782D">
      <w:pPr>
        <w:pStyle w:val="Heading4"/>
      </w:pPr>
      <w:r>
        <w:t>Likelihood of distribution</w:t>
      </w:r>
    </w:p>
    <w:p w:rsidR="00B8782D" w:rsidRDefault="00B8782D">
      <w:r>
        <w:t xml:space="preserve">The likelihood of distribution for </w:t>
      </w:r>
      <w:r>
        <w:rPr>
          <w:i/>
        </w:rPr>
        <w:t>M. fructigena</w:t>
      </w:r>
      <w:r>
        <w:t xml:space="preserve"> </w:t>
      </w:r>
      <w:r>
        <w:rPr>
          <w:i/>
        </w:rPr>
        <w:t>M. yunnanensis,</w:t>
      </w:r>
      <w:r>
        <w:rPr>
          <w:i/>
          <w:lang w:val="en-US"/>
        </w:rPr>
        <w:t xml:space="preserve"> </w:t>
      </w:r>
      <w:r>
        <w:rPr>
          <w:i/>
        </w:rPr>
        <w:t xml:space="preserve">Monilia polystroma </w:t>
      </w:r>
      <w:r>
        <w:t>and</w:t>
      </w:r>
      <w:r>
        <w:rPr>
          <w:i/>
        </w:rPr>
        <w:t xml:space="preserve"> M. mumecola</w:t>
      </w:r>
      <w:r>
        <w:t xml:space="preserve"> assessed here would be similar assessed for </w:t>
      </w:r>
      <w:r>
        <w:rPr>
          <w:i/>
        </w:rPr>
        <w:t>M. fructigena</w:t>
      </w:r>
      <w:r>
        <w:t xml:space="preserve"> for apples </w:t>
      </w:r>
      <w:r>
        <w:rPr>
          <w:noProof/>
        </w:rPr>
        <w:t>(Biosecurity Australia 2010a)</w:t>
      </w:r>
      <w:r>
        <w:t xml:space="preserve"> and table grapes </w:t>
      </w:r>
      <w:r>
        <w:rPr>
          <w:noProof/>
        </w:rPr>
        <w:t>(Biosecurity Australia 2011)</w:t>
      </w:r>
      <w:r>
        <w:t xml:space="preserve"> from China, that is </w:t>
      </w:r>
      <w:r>
        <w:rPr>
          <w:b/>
        </w:rPr>
        <w:t>High.</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t xml:space="preserve">The likelihood that </w:t>
      </w:r>
      <w:r>
        <w:rPr>
          <w:i/>
        </w:rPr>
        <w:t>M. fructigena</w:t>
      </w:r>
      <w:r>
        <w:t xml:space="preserve"> </w:t>
      </w:r>
      <w:r>
        <w:rPr>
          <w:i/>
        </w:rPr>
        <w:t>M. yunnanensis,</w:t>
      </w:r>
      <w:r>
        <w:rPr>
          <w:i/>
          <w:lang w:val="en-US"/>
        </w:rPr>
        <w:t xml:space="preserve"> </w:t>
      </w:r>
      <w:r>
        <w:rPr>
          <w:i/>
        </w:rPr>
        <w:t xml:space="preserve">Monilia polystroma </w:t>
      </w:r>
      <w:r>
        <w:t>and</w:t>
      </w:r>
      <w:r>
        <w:rPr>
          <w:i/>
        </w:rPr>
        <w:t xml:space="preserve"> M. mumecola</w:t>
      </w:r>
      <w:r>
        <w:t xml:space="preserve"> will enter Australia as a result of trade in nectarines from China and be distributed in a viable state to a susceptible host is: </w:t>
      </w:r>
      <w:r>
        <w:rPr>
          <w:b/>
        </w:rPr>
        <w:t>High.</w:t>
      </w: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spread for brown rot is based on the assessment for apples </w:t>
      </w:r>
      <w:r>
        <w:rPr>
          <w:noProof/>
        </w:rPr>
        <w:t>(Biosecurity Australia 2010a)</w:t>
      </w:r>
      <w:r>
        <w:t xml:space="preserve"> and table grapes </w:t>
      </w:r>
      <w:r>
        <w:rPr>
          <w:noProof/>
        </w:rPr>
        <w:t>(Biosecurity Australia 2011)</w:t>
      </w:r>
      <w:r>
        <w:t xml:space="preserve"> from China. Those assessments used the same methodology as described in Chapter 2 of this report. The ratings from the previous assessments are presented below:</w:t>
      </w:r>
    </w:p>
    <w:p w:rsidR="00B8782D" w:rsidRDefault="00B8782D">
      <w:pPr>
        <w:rPr>
          <w:b/>
        </w:rPr>
      </w:pPr>
      <w:r>
        <w:t xml:space="preserve">Likelihood of establishment: </w:t>
      </w:r>
      <w:r>
        <w:tab/>
      </w:r>
      <w:r>
        <w:tab/>
      </w:r>
      <w:r>
        <w:rPr>
          <w:b/>
        </w:rPr>
        <w:t>High</w:t>
      </w:r>
    </w:p>
    <w:p w:rsidR="00B8782D" w:rsidRDefault="00B8782D">
      <w:pPr>
        <w:rPr>
          <w:b/>
        </w:rPr>
      </w:pPr>
      <w:r>
        <w:t xml:space="preserve">Likelihood of spread: </w:t>
      </w:r>
      <w:r>
        <w:tab/>
      </w:r>
      <w:r>
        <w:tab/>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likelihoods of entry, of establishment and of spread using the matrix of rules for combining qualitative likelihoods shown in Table 2.2.</w:t>
      </w:r>
    </w:p>
    <w:p w:rsidR="00B8782D" w:rsidRDefault="00B8782D">
      <w:r>
        <w:t xml:space="preserve">The likelihood that </w:t>
      </w:r>
      <w:r>
        <w:rPr>
          <w:i/>
        </w:rPr>
        <w:t>Monilinia fructigena</w:t>
      </w:r>
      <w:r>
        <w:t xml:space="preserve"> </w:t>
      </w:r>
      <w:r>
        <w:rPr>
          <w:i/>
        </w:rPr>
        <w:t>M.</w:t>
      </w:r>
      <w:r>
        <w:t> </w:t>
      </w:r>
      <w:r>
        <w:rPr>
          <w:i/>
        </w:rPr>
        <w:t>yunnanensis,</w:t>
      </w:r>
      <w:r>
        <w:rPr>
          <w:i/>
          <w:lang w:val="en-US"/>
        </w:rPr>
        <w:t xml:space="preserve"> </w:t>
      </w:r>
      <w:r>
        <w:rPr>
          <w:i/>
        </w:rPr>
        <w:t xml:space="preserve">Monilia polystroma </w:t>
      </w:r>
      <w:r>
        <w:t>and</w:t>
      </w:r>
      <w:r>
        <w:rPr>
          <w:i/>
        </w:rPr>
        <w:t xml:space="preserve"> M mumecola</w:t>
      </w:r>
      <w:r>
        <w:t xml:space="preserve"> will enter Australia as a result of trade in nectarines from China, be distributed in a viable state to a susceptible host, establish in Australia and subsequently spread within Australia is: </w:t>
      </w:r>
      <w:r>
        <w:rPr>
          <w:b/>
        </w:rPr>
        <w:t>High</w:t>
      </w:r>
      <w:r>
        <w:t>.</w:t>
      </w:r>
    </w:p>
    <w:p w:rsidR="00B8782D" w:rsidRDefault="00B8782D" w:rsidP="00B8782D">
      <w:pPr>
        <w:pStyle w:val="Heading3"/>
        <w:numPr>
          <w:ilvl w:val="2"/>
          <w:numId w:val="20"/>
        </w:numPr>
      </w:pPr>
      <w:r>
        <w:t>Consequences</w:t>
      </w:r>
    </w:p>
    <w:p w:rsidR="00B8782D" w:rsidRDefault="00B8782D">
      <w:r>
        <w:t xml:space="preserve">The consequences of the establishment of </w:t>
      </w:r>
      <w:r>
        <w:rPr>
          <w:i/>
        </w:rPr>
        <w:t>Monilinia fructigena</w:t>
      </w:r>
      <w:r>
        <w:t xml:space="preserve"> in Australia have been estimated previously for apples from China </w:t>
      </w:r>
      <w:r>
        <w:rPr>
          <w:noProof/>
        </w:rPr>
        <w:t>(Biosecurity Australia 2010a)</w:t>
      </w:r>
      <w:r>
        <w:t xml:space="preserve">. </w:t>
      </w:r>
      <w:r>
        <w:rPr>
          <w:i/>
        </w:rPr>
        <w:t>Monilinia</w:t>
      </w:r>
      <w:r>
        <w:t> </w:t>
      </w:r>
      <w:r>
        <w:rPr>
          <w:i/>
        </w:rPr>
        <w:t>yunnanensis,</w:t>
      </w:r>
      <w:r>
        <w:rPr>
          <w:i/>
          <w:lang w:val="en-US"/>
        </w:rPr>
        <w:t xml:space="preserve"> </w:t>
      </w:r>
      <w:r>
        <w:rPr>
          <w:i/>
        </w:rPr>
        <w:t xml:space="preserve">Monilia polystroma </w:t>
      </w:r>
      <w:r>
        <w:t>and</w:t>
      </w:r>
      <w:r>
        <w:rPr>
          <w:i/>
        </w:rPr>
        <w:t xml:space="preserve"> M mumecola</w:t>
      </w:r>
      <w:r>
        <w:t xml:space="preserve"> are considered to have similar impact. The overall consequences have been estimated to be: </w:t>
      </w:r>
      <w:r>
        <w:rPr>
          <w:b/>
        </w:rPr>
        <w:t>Moderate</w:t>
      </w:r>
      <w:r>
        <w:t>.</w:t>
      </w:r>
    </w:p>
    <w:p w:rsidR="00B8782D" w:rsidRDefault="00B8782D" w:rsidP="00B8782D">
      <w:pPr>
        <w:pStyle w:val="Heading3"/>
        <w:numPr>
          <w:ilvl w:val="2"/>
          <w:numId w:val="20"/>
        </w:numPr>
      </w:pPr>
      <w:r>
        <w:lastRenderedPageBreak/>
        <w:t>Unrestricted risk estimate</w:t>
      </w:r>
    </w:p>
    <w:p w:rsidR="00B8782D" w:rsidRDefault="00B8782D">
      <w:r>
        <w:t>Unrestricted risk is the result of combining the likelihood of entry, establishment and spread with the outcome of overall consequences. Likelihoods and consequences are combined using the risk estimation matrix shown in Table 2.5.</w:t>
      </w:r>
    </w:p>
    <w:tbl>
      <w:tblPr>
        <w:tblW w:w="5000" w:type="pct"/>
        <w:tblBorders>
          <w:top w:val="single" w:sz="4" w:space="0" w:color="auto"/>
          <w:bottom w:val="single" w:sz="4" w:space="0" w:color="auto"/>
        </w:tblBorders>
        <w:tblLayout w:type="fixed"/>
        <w:tblCellMar>
          <w:left w:w="115" w:type="dxa"/>
          <w:right w:w="115" w:type="dxa"/>
        </w:tblCellMar>
        <w:tblLook w:val="01E0" w:firstRow="1" w:lastRow="1" w:firstColumn="1" w:lastColumn="1" w:noHBand="0" w:noVBand="0"/>
      </w:tblPr>
      <w:tblGrid>
        <w:gridCol w:w="4943"/>
        <w:gridCol w:w="4127"/>
      </w:tblGrid>
      <w:tr w:rsidR="00B8782D">
        <w:trPr>
          <w:cantSplit/>
        </w:trPr>
        <w:tc>
          <w:tcPr>
            <w:tcW w:w="9300" w:type="dxa"/>
            <w:gridSpan w:val="2"/>
            <w:shd w:val="clear" w:color="auto" w:fill="auto"/>
          </w:tcPr>
          <w:p w:rsidR="00B8782D" w:rsidRDefault="00B8782D">
            <w:pPr>
              <w:pStyle w:val="TableHeading"/>
              <w:rPr>
                <w:rFonts w:cs="Arial"/>
              </w:rPr>
            </w:pPr>
            <w:r>
              <w:rPr>
                <w:rFonts w:cs="Arial"/>
              </w:rPr>
              <w:t xml:space="preserve">Unrestricted risk estimate for </w:t>
            </w:r>
            <w:r>
              <w:rPr>
                <w:i/>
              </w:rPr>
              <w:t>Monilinia fructigena</w:t>
            </w:r>
            <w:r>
              <w:t xml:space="preserve">, </w:t>
            </w:r>
            <w:r>
              <w:rPr>
                <w:i/>
              </w:rPr>
              <w:t>M. yunnanensis</w:t>
            </w:r>
            <w:r>
              <w:t>,</w:t>
            </w:r>
            <w:r>
              <w:rPr>
                <w:lang w:val="en-US"/>
              </w:rPr>
              <w:t xml:space="preserve"> </w:t>
            </w:r>
            <w:r>
              <w:rPr>
                <w:i/>
              </w:rPr>
              <w:t>Monilia polystroma</w:t>
            </w:r>
            <w:r>
              <w:t xml:space="preserve"> and </w:t>
            </w:r>
            <w:r>
              <w:rPr>
                <w:i/>
              </w:rPr>
              <w:t>M. mumecola</w:t>
            </w:r>
          </w:p>
        </w:tc>
      </w:tr>
      <w:tr w:rsidR="00B8782D">
        <w:trPr>
          <w:cantSplit/>
        </w:trPr>
        <w:tc>
          <w:tcPr>
            <w:tcW w:w="5069" w:type="dxa"/>
            <w:shd w:val="clear" w:color="auto" w:fill="auto"/>
          </w:tcPr>
          <w:p w:rsidR="00B8782D" w:rsidRDefault="00B8782D">
            <w:pPr>
              <w:pStyle w:val="TableText"/>
              <w:rPr>
                <w:rFonts w:cs="Arial"/>
              </w:rPr>
            </w:pPr>
            <w:r>
              <w:rPr>
                <w:rFonts w:cs="Arial"/>
              </w:rPr>
              <w:t>Overall likelihood of entry, establishment and spread</w:t>
            </w:r>
          </w:p>
        </w:tc>
        <w:tc>
          <w:tcPr>
            <w:tcW w:w="4231" w:type="dxa"/>
            <w:shd w:val="clear" w:color="auto" w:fill="auto"/>
          </w:tcPr>
          <w:p w:rsidR="00B8782D" w:rsidRDefault="00B8782D">
            <w:pPr>
              <w:pStyle w:val="TableText"/>
              <w:rPr>
                <w:rFonts w:cs="Arial"/>
              </w:rPr>
            </w:pPr>
            <w:r>
              <w:rPr>
                <w:rFonts w:cs="Arial"/>
              </w:rPr>
              <w:t>High</w:t>
            </w:r>
          </w:p>
        </w:tc>
      </w:tr>
      <w:tr w:rsidR="00B8782D">
        <w:trPr>
          <w:cantSplit/>
        </w:trPr>
        <w:tc>
          <w:tcPr>
            <w:tcW w:w="5069" w:type="dxa"/>
            <w:shd w:val="clear" w:color="auto" w:fill="auto"/>
          </w:tcPr>
          <w:p w:rsidR="00B8782D" w:rsidRDefault="00B8782D">
            <w:pPr>
              <w:pStyle w:val="TableText"/>
              <w:rPr>
                <w:rFonts w:cs="Arial"/>
              </w:rPr>
            </w:pPr>
            <w:r>
              <w:rPr>
                <w:rFonts w:cs="Arial"/>
              </w:rPr>
              <w:t>Consequences</w:t>
            </w:r>
          </w:p>
        </w:tc>
        <w:tc>
          <w:tcPr>
            <w:tcW w:w="4231" w:type="dxa"/>
            <w:shd w:val="clear" w:color="auto" w:fill="auto"/>
          </w:tcPr>
          <w:p w:rsidR="00B8782D" w:rsidRDefault="00B8782D">
            <w:pPr>
              <w:pStyle w:val="TableText"/>
              <w:rPr>
                <w:rFonts w:cs="Arial"/>
                <w:highlight w:val="yellow"/>
              </w:rPr>
            </w:pPr>
            <w:r>
              <w:rPr>
                <w:rFonts w:cs="Arial"/>
              </w:rPr>
              <w:t>Moderate</w:t>
            </w:r>
          </w:p>
        </w:tc>
      </w:tr>
      <w:tr w:rsidR="00B8782D">
        <w:trPr>
          <w:cantSplit/>
        </w:trPr>
        <w:tc>
          <w:tcPr>
            <w:tcW w:w="5069" w:type="dxa"/>
            <w:shd w:val="clear" w:color="auto" w:fill="auto"/>
          </w:tcPr>
          <w:p w:rsidR="00B8782D" w:rsidRDefault="00B8782D">
            <w:pPr>
              <w:pStyle w:val="TableText"/>
              <w:rPr>
                <w:rFonts w:cs="Arial"/>
              </w:rPr>
            </w:pPr>
            <w:r>
              <w:rPr>
                <w:rFonts w:cs="Arial"/>
              </w:rPr>
              <w:t>Unrestricted risk</w:t>
            </w:r>
          </w:p>
        </w:tc>
        <w:tc>
          <w:tcPr>
            <w:tcW w:w="4231" w:type="dxa"/>
            <w:shd w:val="clear" w:color="auto" w:fill="auto"/>
          </w:tcPr>
          <w:p w:rsidR="00B8782D" w:rsidRDefault="00B8782D">
            <w:pPr>
              <w:pStyle w:val="TableText"/>
              <w:rPr>
                <w:rFonts w:cs="Arial"/>
                <w:highlight w:val="yellow"/>
              </w:rPr>
            </w:pPr>
            <w:r>
              <w:rPr>
                <w:rFonts w:cs="Arial"/>
              </w:rPr>
              <w:t>Moderate</w:t>
            </w:r>
          </w:p>
        </w:tc>
      </w:tr>
    </w:tbl>
    <w:p w:rsidR="00B8782D" w:rsidRDefault="00B8782D">
      <w:pPr>
        <w:sectPr w:rsidR="00B8782D">
          <w:headerReference w:type="default" r:id="rId55"/>
          <w:pgSz w:w="11906" w:h="16838"/>
          <w:pgMar w:top="1418" w:right="1418" w:bottom="1418" w:left="1418" w:header="567" w:footer="283" w:gutter="0"/>
          <w:cols w:space="708"/>
          <w:docGrid w:linePitch="360"/>
        </w:sectPr>
      </w:pPr>
      <w:r>
        <w:t xml:space="preserve">As indicated, the unrestricted risk estimate for </w:t>
      </w:r>
      <w:r>
        <w:rPr>
          <w:i/>
        </w:rPr>
        <w:t>Monilinia fructigena, M. yunnanensis, Monilia polystroma</w:t>
      </w:r>
      <w:r>
        <w:t xml:space="preserve"> and </w:t>
      </w:r>
      <w:r>
        <w:rPr>
          <w:i/>
        </w:rPr>
        <w:t>M. mumecola</w:t>
      </w:r>
      <w:r>
        <w:t xml:space="preserve"> has been assessed as ‘moderate‘, which is above Australia‘s ALOP. Therefore, specific risk management measures are required for these pests.</w:t>
      </w:r>
      <w:bookmarkStart w:id="77" w:name="_Toc415486483"/>
      <w:bookmarkStart w:id="78" w:name="_Toc415486484"/>
      <w:bookmarkStart w:id="79" w:name="_Toc415486485"/>
      <w:bookmarkStart w:id="80" w:name="_Toc415486486"/>
      <w:bookmarkStart w:id="81" w:name="_Toc415486487"/>
      <w:bookmarkStart w:id="82" w:name="_Toc415486488"/>
      <w:bookmarkStart w:id="83" w:name="_Toc415486489"/>
      <w:bookmarkStart w:id="84" w:name="_Toc415486490"/>
      <w:bookmarkStart w:id="85" w:name="_Toc415486491"/>
      <w:bookmarkStart w:id="86" w:name="_Toc415486492"/>
      <w:bookmarkStart w:id="87" w:name="_Toc415486493"/>
      <w:bookmarkStart w:id="88" w:name="_Toc415486494"/>
      <w:bookmarkStart w:id="89" w:name="_Toc415486495"/>
      <w:bookmarkStart w:id="90" w:name="_Toc415486496"/>
      <w:bookmarkStart w:id="91" w:name="_Toc415486497"/>
      <w:bookmarkStart w:id="92" w:name="_Toc415486498"/>
      <w:bookmarkStart w:id="93" w:name="_Toc415486499"/>
      <w:bookmarkStart w:id="94" w:name="_Toc415486500"/>
      <w:bookmarkStart w:id="95" w:name="_Toc415486501"/>
      <w:bookmarkStart w:id="96" w:name="_Toc415486502"/>
      <w:bookmarkStart w:id="97" w:name="_Toc415486503"/>
      <w:bookmarkStart w:id="98" w:name="_Toc415486504"/>
      <w:bookmarkStart w:id="99" w:name="_Toc415486505"/>
      <w:bookmarkStart w:id="100" w:name="_Toc415486506"/>
      <w:bookmarkStart w:id="101" w:name="_Toc415486507"/>
      <w:bookmarkStart w:id="102" w:name="_Toc415486508"/>
      <w:bookmarkStart w:id="103" w:name="_Toc415486509"/>
      <w:bookmarkStart w:id="104" w:name="_Toc415486510"/>
      <w:bookmarkStart w:id="105" w:name="_Toc415486511"/>
      <w:bookmarkStart w:id="106" w:name="_Toc415486512"/>
      <w:bookmarkStart w:id="107" w:name="_Toc415486524"/>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B8782D" w:rsidRPr="00447961" w:rsidRDefault="00B8782D" w:rsidP="00B8782D">
      <w:pPr>
        <w:pStyle w:val="Heading2"/>
        <w:numPr>
          <w:ilvl w:val="1"/>
          <w:numId w:val="20"/>
        </w:numPr>
      </w:pPr>
      <w:bookmarkStart w:id="108" w:name="_Toc412467937"/>
      <w:bookmarkStart w:id="109" w:name="_Toc448312509"/>
      <w:r w:rsidRPr="00447961">
        <w:lastRenderedPageBreak/>
        <w:t>Apple scar skin or apple dapple</w:t>
      </w:r>
      <w:bookmarkEnd w:id="108"/>
      <w:bookmarkEnd w:id="109"/>
    </w:p>
    <w:p w:rsidR="00B8782D" w:rsidRDefault="00B8782D">
      <w:pPr>
        <w:pStyle w:val="Heading3Nonumber"/>
      </w:pPr>
      <w:r>
        <w:rPr>
          <w:i/>
        </w:rPr>
        <w:t>Apple scar skin viroid</w:t>
      </w:r>
      <w:r>
        <w:t xml:space="preserve"> (EP)</w:t>
      </w:r>
    </w:p>
    <w:p w:rsidR="00B8782D" w:rsidRDefault="00B8782D">
      <w:r>
        <w:t xml:space="preserve">Apple scar skin or apple dapple disease is caused by </w:t>
      </w:r>
      <w:r>
        <w:rPr>
          <w:i/>
        </w:rPr>
        <w:t>Apple scar skin viroid</w:t>
      </w:r>
      <w:r>
        <w:t xml:space="preserve"> (ASSVd). ASSVd is the type species of the genus </w:t>
      </w:r>
      <w:r>
        <w:rPr>
          <w:i/>
        </w:rPr>
        <w:t>Apscaviroid</w:t>
      </w:r>
      <w:r>
        <w:t xml:space="preserve"> of the family </w:t>
      </w:r>
      <w:r>
        <w:rPr>
          <w:i/>
        </w:rPr>
        <w:t>Pospiviroidae</w:t>
      </w:r>
      <w:r>
        <w:t xml:space="preserve"> </w:t>
      </w:r>
      <w:r>
        <w:rPr>
          <w:noProof/>
        </w:rPr>
        <w:t>(Koganezawa et al. 2003)</w:t>
      </w:r>
      <w:r>
        <w:t xml:space="preserve">. </w:t>
      </w:r>
    </w:p>
    <w:p w:rsidR="00B8782D" w:rsidRDefault="00B8782D">
      <w:r>
        <w:t xml:space="preserve">The risk scenario of concern for </w:t>
      </w:r>
      <w:r>
        <w:rPr>
          <w:i/>
        </w:rPr>
        <w:t>Apple scar skin viroid</w:t>
      </w:r>
      <w:r>
        <w:t xml:space="preserve"> is that symptomless infected fruit might enter Australia and result in the establishment of this viroid in Australia.</w:t>
      </w:r>
    </w:p>
    <w:p w:rsidR="00B8782D" w:rsidRDefault="00B8782D">
      <w:pPr>
        <w:spacing w:before="180" w:after="0" w:line="280" w:lineRule="atLeast"/>
      </w:pPr>
      <w:r>
        <w:t xml:space="preserve">ASSVd was assessed in the existing import policy for apples from China </w:t>
      </w:r>
      <w:r>
        <w:rPr>
          <w:noProof/>
        </w:rPr>
        <w:t>(Biosecurity Australia 2010a)</w:t>
      </w:r>
      <w:r>
        <w:t>. The assessment of ASSVd presented here builds on this existing policy.</w:t>
      </w:r>
    </w:p>
    <w:p w:rsidR="00B8782D" w:rsidRDefault="00B8782D">
      <w:pPr>
        <w:spacing w:before="180" w:after="0" w:line="280" w:lineRule="atLeast"/>
      </w:pPr>
      <w:r>
        <w:t>Differences in commodity and horticultural practices for apples and for nectarines from China make it necessary to reassess the likelihood that ASSVd will be imported into Australia with nectarines from China.</w:t>
      </w:r>
    </w:p>
    <w:p w:rsidR="00B8782D" w:rsidRDefault="00B8782D">
      <w:pPr>
        <w:spacing w:before="180" w:line="280" w:lineRule="atLeast"/>
      </w:pPr>
      <w:r>
        <w:t>Fresh nectarine fruit is expected to be imported from China from May to October which is similar to the timing of the import of apples from China. After importation, nectarines will be distributed throughout Australia for retail sale in the similar way to apples from China. Therefore, it is considered unnecessary to reassess the likelihood of distribution.</w:t>
      </w:r>
    </w:p>
    <w:p w:rsidR="00B8782D" w:rsidRDefault="00B8782D">
      <w:r>
        <w:t>The likelihood of establishment and spread of ASSVd in Australia will be comparable regardless of the fresh fruit commodity in which ASSVd is imported into Australia, as these likelihoods relate specifically to events that occur in Australia and are independent of the importation pathway. The consequences of ASSVd are also independent of the importation pathway. Accordingly, there is no need to reassess these components of the risk.</w:t>
      </w:r>
    </w:p>
    <w:p w:rsidR="00B8782D" w:rsidRDefault="00B8782D">
      <w:pPr>
        <w:spacing w:before="180" w:line="280" w:lineRule="atLeast"/>
      </w:pPr>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Apple scar skin viroid</w:t>
      </w:r>
      <w:r>
        <w:t xml:space="preserve"> in the existing policy for apples from China </w:t>
      </w:r>
      <w:r>
        <w:rPr>
          <w:noProof/>
        </w:rPr>
        <w:t>(Biosecurity Australia 2010a)</w:t>
      </w:r>
      <w:r>
        <w:t>. Therefore, those risk ratings will be adopted for this assessment.</w:t>
      </w:r>
    </w:p>
    <w:p w:rsidR="00B8782D" w:rsidRDefault="00B8782D" w:rsidP="00B8782D">
      <w:pPr>
        <w:pStyle w:val="Heading3"/>
        <w:numPr>
          <w:ilvl w:val="2"/>
          <w:numId w:val="20"/>
        </w:numPr>
        <w:tabs>
          <w:tab w:val="num" w:pos="720"/>
        </w:tabs>
        <w:spacing w:before="360" w:after="120"/>
        <w:ind w:left="720" w:hanging="720"/>
        <w:rPr>
          <w:rFonts w:ascii="Cambria" w:hAnsi="Cambria"/>
          <w:sz w:val="22"/>
        </w:rPr>
      </w:pPr>
      <w:r>
        <w:rPr>
          <w:rFonts w:ascii="Cambria" w:hAnsi="Cambria"/>
          <w:sz w:val="22"/>
        </w:rPr>
        <w:t>Likelihood of entry</w:t>
      </w:r>
    </w:p>
    <w:p w:rsidR="00B8782D" w:rsidRDefault="00B8782D">
      <w:pPr>
        <w:spacing w:before="180" w:line="280" w:lineRule="atLeast"/>
      </w:pPr>
      <w:r>
        <w:t>The likelihood of entry is considered in two parts, the likelihood of importation and the likelihood of distribution, which consider pre</w:t>
      </w:r>
      <w:r>
        <w:noBreakHyphen/>
        <w:t>border and post</w:t>
      </w:r>
      <w:r>
        <w:noBreakHyphen/>
        <w:t>border issues, respectively</w:t>
      </w:r>
    </w:p>
    <w:p w:rsidR="00B8782D" w:rsidRDefault="00B8782D">
      <w:pPr>
        <w:pStyle w:val="Heading3"/>
        <w:ind w:left="0" w:firstLine="0"/>
      </w:pPr>
      <w:r>
        <w:t xml:space="preserve">Likelihood of importation </w:t>
      </w:r>
    </w:p>
    <w:p w:rsidR="00B8782D" w:rsidRDefault="00B8782D">
      <w:r>
        <w:t xml:space="preserve">The likelihood that </w:t>
      </w:r>
      <w:r>
        <w:rPr>
          <w:i/>
        </w:rPr>
        <w:t>Apple scar skin viroid</w:t>
      </w:r>
      <w:r>
        <w:t xml:space="preserve"> will arrive in Australia with the importation of nectarine from China is: </w:t>
      </w:r>
      <w:r>
        <w:rPr>
          <w:b/>
        </w:rPr>
        <w:t>Low</w:t>
      </w:r>
      <w:r>
        <w:rPr>
          <w:rFonts w:ascii="Times New Roman" w:eastAsia="Times New Roman" w:hAnsi="Times New Roman"/>
          <w:b/>
          <w:sz w:val="24"/>
          <w:szCs w:val="24"/>
        </w:rPr>
        <w:t>.</w:t>
      </w:r>
    </w:p>
    <w:p w:rsidR="00B8782D" w:rsidRDefault="00B8782D">
      <w:r>
        <w:t>The following information provides supporting evidence for this assessment.</w:t>
      </w:r>
    </w:p>
    <w:p w:rsidR="00B8782D" w:rsidRDefault="00B8782D">
      <w:pPr>
        <w:pStyle w:val="ListBullet"/>
      </w:pPr>
      <w:r>
        <w:t xml:space="preserve">ASSVd is primarily a pathogen of apple and pear </w:t>
      </w:r>
      <w:r>
        <w:rPr>
          <w:noProof/>
        </w:rPr>
        <w:t>(Han et al. 2003)</w:t>
      </w:r>
      <w:r>
        <w:t xml:space="preserve">. It was one of the most damaging apple and pear diseases in China in the 1950s and 1960s </w:t>
      </w:r>
      <w:r>
        <w:rPr>
          <w:noProof/>
        </w:rPr>
        <w:t>(Koganezawa et al. 2003)</w:t>
      </w:r>
      <w:r>
        <w:t xml:space="preserve">. However, the current status of ASSVd in China is not precisely known as ASSVd rarely occurs in modern apple orchards in China, probably due to the use of tolerant cultivars. </w:t>
      </w:r>
    </w:p>
    <w:p w:rsidR="00B8782D" w:rsidRDefault="00B8782D">
      <w:pPr>
        <w:pStyle w:val="ListBullet"/>
      </w:pPr>
      <w:r>
        <w:lastRenderedPageBreak/>
        <w:t xml:space="preserve">There are only limited reports of ASSVd on stonefruit trees from Xinjiang in China including apricot and peach, on which ASSVd was detected on leaves </w:t>
      </w:r>
      <w:r>
        <w:rPr>
          <w:noProof/>
        </w:rPr>
        <w:t>(Wang, Zhao &amp; Niu 2012; Zhao &amp; Niu 2008a; Zhao &amp; Niu 2008b)</w:t>
      </w:r>
      <w:r>
        <w:t>.</w:t>
      </w:r>
    </w:p>
    <w:p w:rsidR="00B8782D" w:rsidRDefault="00B8782D">
      <w:pPr>
        <w:pStyle w:val="ListBullet"/>
      </w:pPr>
      <w:r>
        <w:t xml:space="preserve">The viroid is detected in most of the plant parts of apple including fruit skin, seed, flesh and pulp </w:t>
      </w:r>
      <w:r>
        <w:rPr>
          <w:noProof/>
        </w:rPr>
        <w:t>(Hadidi et al. 1991)</w:t>
      </w:r>
      <w:r>
        <w:t>. Although no reports of ASSVd on nectarine fruit were found, it is possible that ASSVd may be present in fruits from infected nectarine trees because it can move systemically in infected host plants.</w:t>
      </w:r>
    </w:p>
    <w:p w:rsidR="00B8782D" w:rsidRDefault="00B8782D">
      <w:pPr>
        <w:pStyle w:val="ListBullet"/>
      </w:pPr>
      <w:r>
        <w:t xml:space="preserve">Seed transmission of ASSVd has been reported on apples with 7.7 per cent of seedlings raised from infected apple seeds showed ASSVd infection </w:t>
      </w:r>
      <w:r>
        <w:rPr>
          <w:noProof/>
        </w:rPr>
        <w:t>(Kim et al. 2006)</w:t>
      </w:r>
      <w:r>
        <w:t xml:space="preserve">. No ASSVd seed transmission on stonefruit has been reported. </w:t>
      </w:r>
    </w:p>
    <w:p w:rsidR="00B8782D" w:rsidRDefault="00B8782D">
      <w:pPr>
        <w:pStyle w:val="ListBullet"/>
      </w:pPr>
      <w:r>
        <w:t>Nectarine fruit is cleaned using pressurised air gun prior to grading operations and packing for export. However, this would not remove the viroids from the fruits as ASSVd may be systemically distributed within the fruits.</w:t>
      </w:r>
    </w:p>
    <w:p w:rsidR="00B8782D" w:rsidRDefault="00B8782D">
      <w:pPr>
        <w:pStyle w:val="ListBullet"/>
      </w:pPr>
      <w:r>
        <w:t xml:space="preserve">ASSVd can be symptomless and also may have a long incubation period. Many hosts may be infected for several years before symptoms become apparent </w:t>
      </w:r>
      <w:r>
        <w:rPr>
          <w:noProof/>
        </w:rPr>
        <w:t>(Desvignes, Grasseau &amp; Cornaggia 1999; Koganezawa 1986)</w:t>
      </w:r>
      <w:r>
        <w:t>.</w:t>
      </w:r>
    </w:p>
    <w:p w:rsidR="00B8782D" w:rsidRDefault="00B8782D">
      <w:pPr>
        <w:pStyle w:val="ListBullet"/>
      </w:pPr>
      <w:r>
        <w:t xml:space="preserve">Infected symptomless nectarine fruits would not be removed in the grading process and could be exported to Australia. </w:t>
      </w:r>
    </w:p>
    <w:p w:rsidR="00B8782D" w:rsidRDefault="00B8782D">
      <w:pPr>
        <w:spacing w:before="0" w:after="0"/>
      </w:pPr>
      <w:r>
        <w:t>ASSVd was previously widely distributed in China but the current status of ASSVd in China is not precisely known. It is likely that symptomless infected fruit can pass through packinghouse processes undetected. However, there were very limited reports of ASSVd on stonefruit trees in China and no report of ASSVd on nectarine fruit was found. This information supports a risk rating for importation of “Low”.</w:t>
      </w:r>
    </w:p>
    <w:p w:rsidR="00B8782D" w:rsidRDefault="00B8782D">
      <w:pPr>
        <w:pStyle w:val="Heading4"/>
        <w:spacing w:before="240"/>
        <w:rPr>
          <w:rFonts w:ascii="Cambria" w:hAnsi="Cambria"/>
        </w:rPr>
      </w:pPr>
      <w:r>
        <w:t xml:space="preserve"> </w:t>
      </w:r>
      <w:r>
        <w:rPr>
          <w:rFonts w:ascii="Cambria" w:hAnsi="Cambria"/>
        </w:rPr>
        <w:t>Likelihood of distribution</w:t>
      </w:r>
    </w:p>
    <w:p w:rsidR="00B8782D" w:rsidRDefault="00B8782D">
      <w:pPr>
        <w:pStyle w:val="Body"/>
        <w:spacing w:before="240"/>
        <w:rPr>
          <w:rFonts w:ascii="Cambria" w:hAnsi="Cambria"/>
          <w:sz w:val="22"/>
          <w:szCs w:val="22"/>
        </w:rPr>
      </w:pPr>
      <w:r>
        <w:rPr>
          <w:rFonts w:ascii="Cambria" w:hAnsi="Cambria"/>
          <w:sz w:val="22"/>
          <w:szCs w:val="22"/>
        </w:rPr>
        <w:t xml:space="preserve">The likelihood of distribution for </w:t>
      </w:r>
      <w:r>
        <w:t>ASSVd</w:t>
      </w:r>
      <w:r>
        <w:rPr>
          <w:rFonts w:ascii="Cambria" w:hAnsi="Cambria"/>
          <w:sz w:val="22"/>
          <w:szCs w:val="22"/>
        </w:rPr>
        <w:t xml:space="preserve"> assessed here would be the same as that for </w:t>
      </w:r>
      <w:r>
        <w:t>ASSVd</w:t>
      </w:r>
      <w:r>
        <w:rPr>
          <w:rFonts w:ascii="Cambria" w:hAnsi="Cambria"/>
          <w:sz w:val="22"/>
          <w:szCs w:val="22"/>
        </w:rPr>
        <w:t xml:space="preserve"> for apples </w:t>
      </w:r>
      <w:r>
        <w:rPr>
          <w:rFonts w:ascii="Cambria" w:hAnsi="Cambria"/>
          <w:noProof/>
          <w:sz w:val="22"/>
          <w:szCs w:val="22"/>
        </w:rPr>
        <w:t>(Biosecurity Australia 2010a)</w:t>
      </w:r>
      <w:r>
        <w:rPr>
          <w:rFonts w:ascii="Cambria" w:hAnsi="Cambria"/>
          <w:sz w:val="22"/>
          <w:szCs w:val="22"/>
        </w:rPr>
        <w:t xml:space="preserve"> from China, that is </w:t>
      </w:r>
      <w:r>
        <w:rPr>
          <w:rFonts w:ascii="Cambria" w:hAnsi="Cambria"/>
          <w:b/>
          <w:sz w:val="22"/>
          <w:szCs w:val="22"/>
        </w:rPr>
        <w:t>High.</w:t>
      </w:r>
    </w:p>
    <w:p w:rsidR="00B8782D" w:rsidRDefault="00B8782D">
      <w:pPr>
        <w:pStyle w:val="Heading4"/>
        <w:spacing w:before="240"/>
        <w:rPr>
          <w:rFonts w:ascii="Cambria" w:hAnsi="Cambria"/>
        </w:rPr>
      </w:pPr>
      <w:r>
        <w:rPr>
          <w:rFonts w:ascii="Cambria" w:hAnsi="Cambria"/>
        </w:rPr>
        <w:t>Overall likelihood of entry</w:t>
      </w:r>
    </w:p>
    <w:p w:rsidR="00B8782D" w:rsidRDefault="00B8782D">
      <w:pPr>
        <w:pStyle w:val="Body"/>
        <w:rPr>
          <w:rFonts w:ascii="Cambria" w:hAnsi="Cambria"/>
          <w:sz w:val="22"/>
          <w:szCs w:val="22"/>
        </w:rPr>
      </w:pPr>
      <w:r>
        <w:rPr>
          <w:rFonts w:ascii="Cambria" w:hAnsi="Cambria"/>
          <w:sz w:val="22"/>
          <w:szCs w:val="22"/>
        </w:rPr>
        <w:t>The overall likelihood of entry is determined by combining the likelihood of importation and of distribution using the matrix of rules shown in Table 2.2.</w:t>
      </w:r>
    </w:p>
    <w:p w:rsidR="00B8782D" w:rsidRDefault="00B8782D">
      <w:pPr>
        <w:pStyle w:val="Body"/>
        <w:rPr>
          <w:rFonts w:ascii="Cambria" w:hAnsi="Cambria"/>
          <w:sz w:val="22"/>
          <w:szCs w:val="22"/>
        </w:rPr>
      </w:pPr>
      <w:r>
        <w:rPr>
          <w:rFonts w:ascii="Cambria" w:hAnsi="Cambria"/>
          <w:sz w:val="22"/>
          <w:szCs w:val="22"/>
        </w:rPr>
        <w:t xml:space="preserve">The likelihood that </w:t>
      </w:r>
      <w:r>
        <w:t>ASSVd</w:t>
      </w:r>
      <w:r>
        <w:rPr>
          <w:rFonts w:ascii="Cambria" w:hAnsi="Cambria"/>
          <w:sz w:val="22"/>
          <w:szCs w:val="22"/>
        </w:rPr>
        <w:t xml:space="preserve"> will enter Australia as a result of trade in nectarines from China and be distributed in a viable state to a susceptible host is: </w:t>
      </w:r>
      <w:r>
        <w:rPr>
          <w:rFonts w:ascii="Cambria" w:hAnsi="Cambria"/>
          <w:b/>
          <w:sz w:val="22"/>
          <w:szCs w:val="22"/>
        </w:rPr>
        <w:t>Low.</w:t>
      </w:r>
    </w:p>
    <w:p w:rsidR="00B8782D" w:rsidRDefault="00B8782D">
      <w:pPr>
        <w:spacing w:before="0" w:after="0"/>
      </w:pPr>
    </w:p>
    <w:p w:rsidR="00B8782D" w:rsidRDefault="00B8782D" w:rsidP="00B8782D">
      <w:pPr>
        <w:pStyle w:val="Heading3"/>
        <w:numPr>
          <w:ilvl w:val="2"/>
          <w:numId w:val="20"/>
        </w:numPr>
      </w:pPr>
      <w:r>
        <w:t>Likelihood of establishment and spread</w:t>
      </w:r>
    </w:p>
    <w:p w:rsidR="00B8782D" w:rsidRDefault="00B8782D">
      <w:r>
        <w:t xml:space="preserve">The likelihood of establishment and spread for </w:t>
      </w:r>
      <w:r>
        <w:rPr>
          <w:i/>
        </w:rPr>
        <w:t>Apple scar skin viroid</w:t>
      </w:r>
      <w:r>
        <w:t xml:space="preserve"> is based on the assessment for apples from China </w:t>
      </w:r>
      <w:r>
        <w:rPr>
          <w:noProof/>
        </w:rPr>
        <w:t>(Biosecurity Australia 2010a)</w:t>
      </w:r>
      <w:r>
        <w:t>. That assessment used the same methodology as described in Chapter 2 of this report. The ratings from the previous assessment are presented below:</w:t>
      </w:r>
    </w:p>
    <w:p w:rsidR="00B8782D" w:rsidRPr="003819F1" w:rsidRDefault="00B8782D">
      <w:pPr>
        <w:tabs>
          <w:tab w:val="left" w:pos="3119"/>
        </w:tabs>
        <w:spacing w:before="0" w:after="0"/>
        <w:rPr>
          <w:b/>
        </w:rPr>
      </w:pPr>
      <w:r>
        <w:t>Likelihood of establishment</w:t>
      </w:r>
      <w:r>
        <w:tab/>
      </w:r>
      <w:r>
        <w:rPr>
          <w:b/>
        </w:rPr>
        <w:t>Moderate</w:t>
      </w:r>
      <w:r>
        <w:rPr>
          <w:b/>
          <w:color w:val="FF0000"/>
        </w:rPr>
        <w:br/>
      </w:r>
      <w:r>
        <w:t>Likelihood of spread</w:t>
      </w:r>
      <w:r>
        <w:tab/>
      </w:r>
      <w:r>
        <w:rPr>
          <w:b/>
        </w:rPr>
        <w:t>Low</w:t>
      </w:r>
    </w:p>
    <w:p w:rsidR="00B8782D" w:rsidRDefault="00B8782D" w:rsidP="00B8782D">
      <w:pPr>
        <w:pStyle w:val="Heading3"/>
        <w:numPr>
          <w:ilvl w:val="2"/>
          <w:numId w:val="20"/>
        </w:numPr>
      </w:pPr>
      <w:r>
        <w:lastRenderedPageBreak/>
        <w:t>Overall likelihood of entry, establishment and spread</w:t>
      </w:r>
    </w:p>
    <w:p w:rsidR="00B8782D" w:rsidRDefault="00B8782D">
      <w:r>
        <w:t>The overall likelihood of entry, establishment and spread is determined by combining the likelihoods of entry, of establishment and of spread using the matrix of rules shown in Table 2.2.</w:t>
      </w:r>
    </w:p>
    <w:p w:rsidR="00B8782D" w:rsidRDefault="00B8782D">
      <w:r>
        <w:t xml:space="preserve">The overall likelihood that </w:t>
      </w:r>
      <w:r>
        <w:rPr>
          <w:i/>
        </w:rPr>
        <w:t>Apple scar skin viroid</w:t>
      </w:r>
      <w:r>
        <w:t xml:space="preserve"> will enter Australia as a result of trade in nectarine fruit from China, be distributed in a viable state to a susceptible host, establish in Australia and subsequently spread within Australia is: </w:t>
      </w:r>
      <w:r>
        <w:rPr>
          <w:b/>
        </w:rPr>
        <w:t>Very low</w:t>
      </w:r>
      <w:r>
        <w:t>.</w:t>
      </w:r>
    </w:p>
    <w:p w:rsidR="00B8782D" w:rsidRDefault="00B8782D" w:rsidP="00B8782D">
      <w:pPr>
        <w:pStyle w:val="Heading3"/>
        <w:keepLines w:val="0"/>
        <w:numPr>
          <w:ilvl w:val="2"/>
          <w:numId w:val="20"/>
        </w:numPr>
        <w:tabs>
          <w:tab w:val="num" w:pos="720"/>
        </w:tabs>
        <w:spacing w:before="360" w:after="120" w:line="340" w:lineRule="atLeast"/>
        <w:ind w:left="720" w:hanging="720"/>
      </w:pPr>
      <w:r>
        <w:t>Consequences</w:t>
      </w:r>
    </w:p>
    <w:p w:rsidR="00B8782D" w:rsidRDefault="00B8782D">
      <w:r>
        <w:t xml:space="preserve">The consequences of the establishment of </w:t>
      </w:r>
      <w:r>
        <w:rPr>
          <w:i/>
        </w:rPr>
        <w:t>Apple scar skin viroid</w:t>
      </w:r>
      <w:r>
        <w:t xml:space="preserve"> in Australia have been estimated previously for apples from China </w:t>
      </w:r>
      <w:r>
        <w:rPr>
          <w:noProof/>
        </w:rPr>
        <w:t>(Biosecurity Australia 2010a)</w:t>
      </w:r>
      <w:r>
        <w:t xml:space="preserve">. The overall consequences have been estimated to be: </w:t>
      </w:r>
      <w:r>
        <w:rPr>
          <w:b/>
        </w:rPr>
        <w:t>Moderate</w:t>
      </w:r>
      <w:r>
        <w:t>.</w:t>
      </w:r>
    </w:p>
    <w:p w:rsidR="00B8782D" w:rsidRDefault="00B8782D" w:rsidP="00B8782D">
      <w:pPr>
        <w:pStyle w:val="Heading3"/>
        <w:keepLines w:val="0"/>
        <w:numPr>
          <w:ilvl w:val="2"/>
          <w:numId w:val="20"/>
        </w:numPr>
        <w:tabs>
          <w:tab w:val="num" w:pos="720"/>
        </w:tabs>
        <w:spacing w:before="360" w:after="120" w:line="340" w:lineRule="atLeast"/>
        <w:ind w:left="720" w:hanging="720"/>
      </w:pPr>
      <w:r>
        <w:t>Unrestricted risk estimate</w:t>
      </w:r>
    </w:p>
    <w:p w:rsidR="00B8782D" w:rsidRDefault="00B8782D">
      <w:r>
        <w:t>Unrestricted risk is the result of combining the likelihood of entry, establishment and spread with the outcome of overall consequences. Likelihoods and consequences are combined using the risk estimation matrix shown in Table 2.5.</w:t>
      </w:r>
    </w:p>
    <w:tbl>
      <w:tblPr>
        <w:tblpPr w:leftFromText="180" w:rightFromText="180" w:vertAnchor="text" w:horzAnchor="margin" w:tblpY="95"/>
        <w:tblW w:w="5000" w:type="pct"/>
        <w:tblBorders>
          <w:top w:val="single" w:sz="4" w:space="0" w:color="auto"/>
          <w:bottom w:val="single" w:sz="4" w:space="0" w:color="auto"/>
        </w:tblBorders>
        <w:tblLayout w:type="fixed"/>
        <w:tblCellMar>
          <w:left w:w="115" w:type="dxa"/>
          <w:right w:w="115" w:type="dxa"/>
        </w:tblCellMar>
        <w:tblLook w:val="01E0" w:firstRow="1" w:lastRow="1" w:firstColumn="1" w:lastColumn="1" w:noHBand="0" w:noVBand="0"/>
      </w:tblPr>
      <w:tblGrid>
        <w:gridCol w:w="4943"/>
        <w:gridCol w:w="4127"/>
      </w:tblGrid>
      <w:tr w:rsidR="00B8782D">
        <w:trPr>
          <w:cantSplit/>
        </w:trPr>
        <w:tc>
          <w:tcPr>
            <w:tcW w:w="9300" w:type="dxa"/>
            <w:gridSpan w:val="2"/>
            <w:shd w:val="clear" w:color="auto" w:fill="auto"/>
          </w:tcPr>
          <w:p w:rsidR="00B8782D" w:rsidRDefault="00B8782D">
            <w:pPr>
              <w:pStyle w:val="TableHeading"/>
            </w:pPr>
            <w:r>
              <w:t xml:space="preserve">Unrestricted risk estimate for </w:t>
            </w:r>
            <w:r>
              <w:rPr>
                <w:i/>
              </w:rPr>
              <w:t>Apple scar skin viroid</w:t>
            </w:r>
          </w:p>
        </w:tc>
      </w:tr>
      <w:tr w:rsidR="00B8782D">
        <w:trPr>
          <w:cantSplit/>
        </w:trPr>
        <w:tc>
          <w:tcPr>
            <w:tcW w:w="5069" w:type="dxa"/>
            <w:shd w:val="clear" w:color="auto" w:fill="auto"/>
          </w:tcPr>
          <w:p w:rsidR="00B8782D" w:rsidRDefault="00B8782D">
            <w:pPr>
              <w:pStyle w:val="TableText"/>
            </w:pPr>
            <w:r>
              <w:t>Overall likelihood of entry, establishment and spread</w:t>
            </w:r>
          </w:p>
        </w:tc>
        <w:tc>
          <w:tcPr>
            <w:tcW w:w="4231" w:type="dxa"/>
            <w:shd w:val="clear" w:color="auto" w:fill="auto"/>
          </w:tcPr>
          <w:p w:rsidR="00B8782D" w:rsidRDefault="00B8782D">
            <w:pPr>
              <w:pStyle w:val="TableText"/>
            </w:pPr>
            <w:r>
              <w:t>Very low</w:t>
            </w:r>
          </w:p>
        </w:tc>
      </w:tr>
      <w:tr w:rsidR="00B8782D">
        <w:trPr>
          <w:cantSplit/>
        </w:trPr>
        <w:tc>
          <w:tcPr>
            <w:tcW w:w="5069" w:type="dxa"/>
            <w:shd w:val="clear" w:color="auto" w:fill="auto"/>
          </w:tcPr>
          <w:p w:rsidR="00B8782D" w:rsidRDefault="00B8782D">
            <w:pPr>
              <w:pStyle w:val="TableText"/>
            </w:pPr>
            <w:r>
              <w:t>Consequences</w:t>
            </w:r>
          </w:p>
        </w:tc>
        <w:tc>
          <w:tcPr>
            <w:tcW w:w="4231" w:type="dxa"/>
            <w:shd w:val="clear" w:color="auto" w:fill="auto"/>
          </w:tcPr>
          <w:p w:rsidR="00B8782D" w:rsidRDefault="00B8782D">
            <w:pPr>
              <w:pStyle w:val="TableText"/>
              <w:rPr>
                <w:highlight w:val="yellow"/>
              </w:rPr>
            </w:pPr>
            <w:r>
              <w:t>Moderate</w:t>
            </w:r>
          </w:p>
        </w:tc>
      </w:tr>
      <w:tr w:rsidR="00B8782D">
        <w:trPr>
          <w:cantSplit/>
        </w:trPr>
        <w:tc>
          <w:tcPr>
            <w:tcW w:w="5069" w:type="dxa"/>
            <w:shd w:val="clear" w:color="auto" w:fill="auto"/>
          </w:tcPr>
          <w:p w:rsidR="00B8782D" w:rsidRDefault="00B8782D">
            <w:pPr>
              <w:pStyle w:val="TableText"/>
            </w:pPr>
            <w:r>
              <w:t>Unrestricted risk</w:t>
            </w:r>
          </w:p>
        </w:tc>
        <w:tc>
          <w:tcPr>
            <w:tcW w:w="4231" w:type="dxa"/>
            <w:shd w:val="clear" w:color="auto" w:fill="auto"/>
          </w:tcPr>
          <w:p w:rsidR="00B8782D" w:rsidRDefault="00B8782D">
            <w:pPr>
              <w:pStyle w:val="TableText"/>
              <w:rPr>
                <w:highlight w:val="yellow"/>
              </w:rPr>
            </w:pPr>
            <w:r>
              <w:t>Very low</w:t>
            </w:r>
          </w:p>
        </w:tc>
      </w:tr>
    </w:tbl>
    <w:p w:rsidR="00B8782D" w:rsidRDefault="00B8782D">
      <w:r>
        <w:t xml:space="preserve">As indicated, the unrestricted risk estimate for </w:t>
      </w:r>
      <w:r>
        <w:rPr>
          <w:i/>
        </w:rPr>
        <w:t>Apple scar skin viroid</w:t>
      </w:r>
      <w:r>
        <w:t xml:space="preserve"> has been assessed as ‘very low‘, which achieves Australia’s ALOP. Therefore, no specific risk management measure is required for this pest.</w:t>
      </w:r>
    </w:p>
    <w:p w:rsidR="00B8782D" w:rsidRDefault="00B8782D">
      <w:pPr>
        <w:sectPr w:rsidR="00B8782D">
          <w:pgSz w:w="11906" w:h="16838"/>
          <w:pgMar w:top="1418" w:right="1418" w:bottom="1418" w:left="1418" w:header="567" w:footer="283" w:gutter="0"/>
          <w:cols w:space="708"/>
          <w:docGrid w:linePitch="360"/>
        </w:sectPr>
      </w:pPr>
    </w:p>
    <w:p w:rsidR="00B8782D" w:rsidRDefault="00B8782D" w:rsidP="00B8782D">
      <w:pPr>
        <w:pStyle w:val="Heading2"/>
        <w:numPr>
          <w:ilvl w:val="1"/>
          <w:numId w:val="20"/>
        </w:numPr>
      </w:pPr>
      <w:bookmarkStart w:id="110" w:name="_Toc448312510"/>
      <w:r>
        <w:lastRenderedPageBreak/>
        <w:t>Tobacco necrosis viruses</w:t>
      </w:r>
      <w:bookmarkEnd w:id="110"/>
    </w:p>
    <w:p w:rsidR="00B8782D" w:rsidRDefault="00B8782D">
      <w:pPr>
        <w:pStyle w:val="Heading4"/>
      </w:pPr>
      <w:r>
        <w:rPr>
          <w:i/>
        </w:rPr>
        <w:t>Tobacco necrosis virus A</w:t>
      </w:r>
      <w:r>
        <w:t xml:space="preserve"> (TNV-A) and </w:t>
      </w:r>
      <w:r>
        <w:rPr>
          <w:i/>
        </w:rPr>
        <w:t>Tobacco necrosis virus D</w:t>
      </w:r>
      <w:r>
        <w:t xml:space="preserve"> (TNV-D), tobacco necrosis virus Nebraska isolate or relate viruses (EP)</w:t>
      </w:r>
    </w:p>
    <w:p w:rsidR="00B8782D" w:rsidRDefault="00B8782D">
      <w:r>
        <w:t xml:space="preserve">The taxonomy of ‘tobacco necrosis virus’ (TNV) has been revised. </w:t>
      </w:r>
      <w:r>
        <w:rPr>
          <w:i/>
        </w:rPr>
        <w:t xml:space="preserve">Tobacco necrosis virus A </w:t>
      </w:r>
      <w:r>
        <w:t xml:space="preserve">(TNV-A) and </w:t>
      </w:r>
      <w:r>
        <w:rPr>
          <w:i/>
        </w:rPr>
        <w:t>Tobacco necrosis virus D</w:t>
      </w:r>
      <w:r>
        <w:t xml:space="preserve"> (TNV-D) have been recognised as distinct species in the Necrovirus genus </w:t>
      </w:r>
      <w:r>
        <w:rPr>
          <w:noProof/>
        </w:rPr>
        <w:t>(Coutts et al. 1991; Meulewaeter, Seurinck &amp; Van Emmelo 1990)</w:t>
      </w:r>
      <w:r>
        <w:t xml:space="preserve">, as have </w:t>
      </w:r>
      <w:r>
        <w:rPr>
          <w:i/>
        </w:rPr>
        <w:t>Chenopodium necrosis virus</w:t>
      </w:r>
      <w:r>
        <w:t xml:space="preserve"> (ChNV) and </w:t>
      </w:r>
      <w:r>
        <w:rPr>
          <w:i/>
        </w:rPr>
        <w:t>Olive mild mosaic virus</w:t>
      </w:r>
      <w:r>
        <w:t xml:space="preserve"> (OMMV), which were previously considered TNV isolates </w:t>
      </w:r>
      <w:r>
        <w:rPr>
          <w:noProof/>
        </w:rPr>
        <w:t>(Cardoso et al. 2005; Tomlinson et al. 1983)</w:t>
      </w:r>
      <w:r>
        <w:t xml:space="preserve">. TNV isolates from Nebraska and Toyama (TNV-NE and TNV-Toyama) represent another species in the genus, as yet not officially recognised </w:t>
      </w:r>
      <w:r>
        <w:rPr>
          <w:noProof/>
        </w:rPr>
        <w:t>(Saeki et al. 2001; Zhang, French &amp; Langenberg 1993)</w:t>
      </w:r>
      <w:r>
        <w:t xml:space="preserve"> and molecular sequence data indicates some other necroviruses called ‘tobacco necrosis viruses are also distinct species </w:t>
      </w:r>
      <w:r>
        <w:rPr>
          <w:noProof/>
        </w:rPr>
        <w:t>(NCBI 2009)</w:t>
      </w:r>
      <w:r>
        <w:t>.</w:t>
      </w:r>
    </w:p>
    <w:p w:rsidR="00B8782D" w:rsidRDefault="00B8782D">
      <w:r>
        <w:t>The risk scenario of concern for tobacco necrosis viruses (TNVs) is that symptomless infected fruit might enter Australia and result in the establishment of these viruses in Australia.</w:t>
      </w:r>
    </w:p>
    <w:p w:rsidR="00B8782D" w:rsidRDefault="00B8782D">
      <w:r>
        <w:t xml:space="preserve">TNVs were assessed in the existing import policy for apples from China </w:t>
      </w:r>
      <w:r>
        <w:rPr>
          <w:noProof/>
        </w:rPr>
        <w:t>(Biosecurity Australia 2010a)</w:t>
      </w:r>
      <w:r>
        <w:t xml:space="preserve">, stonefruit from the USA (California, Idaho, Oregon and Washington) </w:t>
      </w:r>
      <w:r>
        <w:rPr>
          <w:noProof/>
        </w:rPr>
        <w:t>(Biosecurity Australia 2010b)</w:t>
      </w:r>
      <w:r>
        <w:t xml:space="preserve"> and table grapes from China </w:t>
      </w:r>
      <w:r>
        <w:rPr>
          <w:noProof/>
        </w:rPr>
        <w:t>(Biosecurity Australia 2011)</w:t>
      </w:r>
      <w:r>
        <w:t>.The assessment of TNVs presented here builds on these existing policies.</w:t>
      </w:r>
    </w:p>
    <w:p w:rsidR="00B8782D" w:rsidRDefault="00B8782D">
      <w:r>
        <w:t>Differences in commodity and horticultural practices for apples and table grapes and for nectarines from China, and climate conditions and the prevalence of pests between previous export areas (for example the USA) make it necessary to reassess the likelihood that TVNs will be imported into Australia with nectarines from China.</w:t>
      </w:r>
    </w:p>
    <w:p w:rsidR="00B8782D" w:rsidRDefault="00B8782D">
      <w:r>
        <w:t>Fresh nectarine fruit is expected to be imported from China from May to October which is similar to the timing of the import of stonefruit from the USA and apples and table grapes from China. After importation, nectarines will be distributed throughout Australia for retail sale in a similar way to stonefruit from the USA and apples and table grapes from China. Therefore, it is considered unnecessary to reassess the likelihood of distribution.</w:t>
      </w:r>
    </w:p>
    <w:p w:rsidR="00B8782D" w:rsidRDefault="00B8782D">
      <w:r>
        <w:t>The likelihood of establishment and spread of TNVs in Australia will be comparable regardless of the fresh fruit commodity in which TNVs is imported into Australia, as these likelihoods relate specifically to events that occur in Australia and are independent of the importation pathway. The consequences of TNVs are also independent of the importation pathway. However, the Australian Government Department of Agriculture and Water Resources has reassessed the consequences of a TNV species outbreak in Australia in light of the taxonomic changes and additional information.</w:t>
      </w:r>
    </w:p>
    <w:p w:rsidR="00B8782D" w:rsidRDefault="00B8782D">
      <w:pPr>
        <w:spacing w:before="180" w:line="280" w:lineRule="atLeast"/>
      </w:pPr>
      <w:r>
        <w:t>In addition, the Australian Government Department of Agriculture and Water Resources has reviewed the latest literature and no new information is available that would significantly change the risk ratings for distribution, establishment and spread as set out for</w:t>
      </w:r>
      <w:r>
        <w:rPr>
          <w:i/>
        </w:rPr>
        <w:t xml:space="preserve"> Tobacco necrosis viruses</w:t>
      </w:r>
      <w:r>
        <w:t xml:space="preserve"> in the existing policy for apples </w:t>
      </w:r>
      <w:r>
        <w:rPr>
          <w:noProof/>
        </w:rPr>
        <w:t>(Biosecurity Australia 2010a)</w:t>
      </w:r>
      <w:r>
        <w:t xml:space="preserve"> and table grapes </w:t>
      </w:r>
      <w:r>
        <w:rPr>
          <w:noProof/>
        </w:rPr>
        <w:t>(Biosecurity Australia 2011)</w:t>
      </w:r>
      <w:r>
        <w:t xml:space="preserve"> from China and stonefruit from the USA (California, Idaho, Oregon and Washington) </w:t>
      </w:r>
      <w:r>
        <w:rPr>
          <w:noProof/>
        </w:rPr>
        <w:t>(Biosecurity Australia 2010b)</w:t>
      </w:r>
      <w:r>
        <w:t xml:space="preserve">. Therefore, those risk ratings will be adopted for this assessment. </w:t>
      </w:r>
    </w:p>
    <w:p w:rsidR="00B8782D" w:rsidRDefault="00B8782D" w:rsidP="00B8782D">
      <w:pPr>
        <w:pStyle w:val="Heading3"/>
        <w:numPr>
          <w:ilvl w:val="2"/>
          <w:numId w:val="20"/>
        </w:numPr>
      </w:pPr>
      <w:r>
        <w:lastRenderedPageBreak/>
        <w:t>Likelihood of entry</w:t>
      </w:r>
    </w:p>
    <w:p w:rsidR="00B8782D" w:rsidRDefault="00B8782D">
      <w:r>
        <w:t>The likelihood of entry is considered in two parts, the likelihood of importation and the likelihood of distribution, which consider pre-border and post-border issues, respectively.</w:t>
      </w:r>
    </w:p>
    <w:p w:rsidR="00B8782D" w:rsidRDefault="00B8782D">
      <w:pPr>
        <w:pStyle w:val="Heading4"/>
      </w:pPr>
      <w:r>
        <w:t>Likelihood of importation</w:t>
      </w:r>
    </w:p>
    <w:p w:rsidR="00B8782D" w:rsidRDefault="00B8782D">
      <w:r>
        <w:t xml:space="preserve">The likelihood that Tobacco necrosis viruses will arrive in Australia with the importation of nectarines from China is: </w:t>
      </w:r>
      <w:r>
        <w:rPr>
          <w:b/>
        </w:rPr>
        <w:t>Moderate</w:t>
      </w:r>
      <w:r>
        <w:rPr>
          <w:rFonts w:eastAsia="Times New Roman"/>
          <w:b/>
        </w:rPr>
        <w:t>.</w:t>
      </w:r>
    </w:p>
    <w:p w:rsidR="00B8782D" w:rsidRDefault="00B8782D">
      <w:r>
        <w:t>The following information provides supporting evidence for this assessment.</w:t>
      </w:r>
    </w:p>
    <w:p w:rsidR="00B8782D" w:rsidRDefault="00B8782D">
      <w:pPr>
        <w:pStyle w:val="ListBullet"/>
      </w:pPr>
      <w:r>
        <w:t xml:space="preserve">TNVs have been reported in Xinjiang on soybean, mulberry, potato and melon since the 1980s </w:t>
      </w:r>
      <w:r>
        <w:rPr>
          <w:noProof/>
        </w:rPr>
        <w:t>(Huang et al. 1984; Xi et al. 2008)</w:t>
      </w:r>
      <w:r>
        <w:t xml:space="preserve">. </w:t>
      </w:r>
    </w:p>
    <w:p w:rsidR="00B8782D" w:rsidRDefault="00B8782D">
      <w:pPr>
        <w:pStyle w:val="ListBullet"/>
      </w:pPr>
      <w:r>
        <w:t xml:space="preserve">TNVs have a broad host range and have been reported on 298 species in 167 genera of 54 families </w:t>
      </w:r>
      <w:r>
        <w:rPr>
          <w:noProof/>
        </w:rPr>
        <w:t>(Staniulis 2003)</w:t>
      </w:r>
      <w:r>
        <w:t>.</w:t>
      </w:r>
    </w:p>
    <w:p w:rsidR="00B8782D" w:rsidRDefault="00B8782D">
      <w:pPr>
        <w:pStyle w:val="ListBullet"/>
      </w:pPr>
      <w:r>
        <w:t xml:space="preserve">TNVs have been isolated from trees of apple, pear, apricot </w:t>
      </w:r>
      <w:r>
        <w:rPr>
          <w:noProof/>
        </w:rPr>
        <w:t>(Uyemoto &amp; Gilmer 1972)</w:t>
      </w:r>
      <w:r>
        <w:t xml:space="preserve">, peach </w:t>
      </w:r>
      <w:r>
        <w:rPr>
          <w:noProof/>
        </w:rPr>
        <w:t>(Mitrofanova &amp; Teslenko 1982)</w:t>
      </w:r>
      <w:r>
        <w:t xml:space="preserve"> and plums </w:t>
      </w:r>
      <w:r>
        <w:rPr>
          <w:noProof/>
        </w:rPr>
        <w:t>(Paulechova &amp; Baumgartenerova 1980)</w:t>
      </w:r>
      <w:r>
        <w:t xml:space="preserve"> in Europe.</w:t>
      </w:r>
    </w:p>
    <w:p w:rsidR="00B8782D" w:rsidRDefault="00B8782D">
      <w:pPr>
        <w:pStyle w:val="ListBullet"/>
      </w:pPr>
      <w:r>
        <w:t xml:space="preserve"> Stonefruit trees are not often reported to be infected by TVNs and the infected trees were symptomless associated with the virus </w:t>
      </w:r>
      <w:r>
        <w:rPr>
          <w:noProof/>
        </w:rPr>
        <w:t>(NCPN-FT 2014)</w:t>
      </w:r>
      <w:r>
        <w:t>.</w:t>
      </w:r>
    </w:p>
    <w:p w:rsidR="00B8782D" w:rsidRDefault="00B8782D">
      <w:pPr>
        <w:pStyle w:val="ListBullet"/>
      </w:pPr>
      <w:r>
        <w:t xml:space="preserve">TNVs have been isolated from apple leaves and fruit of experimentally inoculated apple trees </w:t>
      </w:r>
      <w:r>
        <w:rPr>
          <w:noProof/>
        </w:rPr>
        <w:t>(Uyemoto &amp; Gilmer 1972)</w:t>
      </w:r>
      <w:r>
        <w:t>.</w:t>
      </w:r>
    </w:p>
    <w:p w:rsidR="00B8782D" w:rsidRDefault="00B8782D">
      <w:pPr>
        <w:pStyle w:val="ListBullet"/>
      </w:pPr>
      <w:r>
        <w:t>If TVNs infect nectarines, the virus particles may be present within the fruit.</w:t>
      </w:r>
    </w:p>
    <w:p w:rsidR="00B8782D" w:rsidRDefault="00B8782D">
      <w:pPr>
        <w:pStyle w:val="ListBullet"/>
      </w:pPr>
      <w:r>
        <w:t>Fruits with obvious symptoms will be discarded during grading process. However, if infected symptomless nectarine fruits were on the pathway, they would not be removed in the grading process and could be exported to Australia.</w:t>
      </w:r>
    </w:p>
    <w:p w:rsidR="00B8782D" w:rsidRDefault="00B8782D">
      <w:r>
        <w:t>TVNs have a wide range of hosts and some TVNs infect stonefruit trees. Symptomless infected fruit would not be detected during picking and would pass packinghouse processes. However, no report of TVNs associated with commercial nectarine fruit was found. This information supports a risk rating for importation of ‘Moderate’.</w:t>
      </w:r>
    </w:p>
    <w:p w:rsidR="00B8782D" w:rsidRDefault="00B8782D">
      <w:pPr>
        <w:pStyle w:val="Heading4"/>
      </w:pPr>
      <w:r>
        <w:t>Likelihood of distribution</w:t>
      </w:r>
    </w:p>
    <w:p w:rsidR="00B8782D" w:rsidRDefault="00B8782D">
      <w:r>
        <w:t xml:space="preserve">The likelihood of distribution for TVNs assessed here would be the same as that for TVNs for apples and table grapes from China </w:t>
      </w:r>
      <w:r>
        <w:rPr>
          <w:noProof/>
        </w:rPr>
        <w:t>(Biosecurity Australia 2010a, 2011)</w:t>
      </w:r>
      <w:r>
        <w:t xml:space="preserve"> and stonefruit from the USA (California, Idaho, Oregon and Washington) </w:t>
      </w:r>
      <w:r>
        <w:rPr>
          <w:noProof/>
        </w:rPr>
        <w:t>(Biosecurity Australia 2010b)</w:t>
      </w:r>
      <w:r>
        <w:t xml:space="preserve">, that is </w:t>
      </w:r>
      <w:r>
        <w:rPr>
          <w:b/>
        </w:rPr>
        <w:t>Moderate.</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t xml:space="preserve">The likelihood that TVNs will enter Australia as a result of trade in nectarines from China and be distributed in a viable state to a susceptible host is: </w:t>
      </w:r>
      <w:r>
        <w:rPr>
          <w:b/>
        </w:rPr>
        <w:t>Low.</w:t>
      </w:r>
    </w:p>
    <w:p w:rsidR="00B8782D" w:rsidRDefault="00B8782D" w:rsidP="00B8782D">
      <w:pPr>
        <w:pStyle w:val="Heading3"/>
        <w:numPr>
          <w:ilvl w:val="2"/>
          <w:numId w:val="20"/>
        </w:numPr>
      </w:pPr>
      <w:r>
        <w:lastRenderedPageBreak/>
        <w:t>Likelihood of establishment and spread</w:t>
      </w:r>
    </w:p>
    <w:p w:rsidR="00B8782D" w:rsidRDefault="00B8782D">
      <w:r>
        <w:t xml:space="preserve">The likelihood of establishment and spread for tobacco necrosis viruses is based on the assessment for apples and table grapes from China </w:t>
      </w:r>
      <w:r>
        <w:rPr>
          <w:noProof/>
        </w:rPr>
        <w:t>(Biosecurity Australia 2010a, 2011)</w:t>
      </w:r>
      <w:r>
        <w:t xml:space="preserve"> and stonefruit from the USA (California, Idaho, Oregon and Washington) </w:t>
      </w:r>
      <w:r>
        <w:rPr>
          <w:noProof/>
        </w:rPr>
        <w:t>(Biosecurity Australia 2010b)</w:t>
      </w:r>
      <w:r>
        <w:t>. That assessment used the same methodology as described in Chapter 2 of this report. The ratings from the previous assessment are presented below:</w:t>
      </w:r>
    </w:p>
    <w:p w:rsidR="00B8782D" w:rsidRDefault="00B8782D">
      <w:pPr>
        <w:rPr>
          <w:b/>
        </w:rPr>
      </w:pPr>
      <w:r>
        <w:t>Likelihood of establishment</w:t>
      </w:r>
      <w:r>
        <w:tab/>
      </w:r>
      <w:r>
        <w:rPr>
          <w:b/>
        </w:rPr>
        <w:t>High</w:t>
      </w:r>
    </w:p>
    <w:p w:rsidR="00B8782D" w:rsidRDefault="00B8782D">
      <w:pPr>
        <w:rPr>
          <w:b/>
        </w:rPr>
      </w:pPr>
      <w:r>
        <w:t>Likelihood of spread</w:t>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likelihoods of entry, of establishment and of spread using the matrix of rules shown in Table 2.2.</w:t>
      </w:r>
    </w:p>
    <w:p w:rsidR="00B8782D" w:rsidRDefault="00B8782D">
      <w:r>
        <w:t xml:space="preserve">The overall likelihood that Tobacco necrosis viruses will enter Australia as a result of trade in nectarines fruit from China, be distributed in a viable state to a susceptible host, establish in Australia and subsequently spread within Australia is: </w:t>
      </w:r>
      <w:r>
        <w:rPr>
          <w:b/>
        </w:rPr>
        <w:t>Low</w:t>
      </w:r>
      <w:r>
        <w:t>.</w:t>
      </w:r>
    </w:p>
    <w:p w:rsidR="00B8782D" w:rsidRDefault="00B8782D" w:rsidP="00B8782D">
      <w:pPr>
        <w:pStyle w:val="Heading3"/>
        <w:numPr>
          <w:ilvl w:val="2"/>
          <w:numId w:val="20"/>
        </w:numPr>
      </w:pPr>
      <w:r>
        <w:t>Consequences</w:t>
      </w:r>
    </w:p>
    <w:p w:rsidR="00B8782D" w:rsidRDefault="00B8782D">
      <w:r>
        <w:t xml:space="preserve">The consequences of the establishment of Tobacco necrosis viruses in Australia have been estimated to be ‘Very low’ previously for apples, table grapes from China </w:t>
      </w:r>
      <w:r>
        <w:rPr>
          <w:noProof/>
        </w:rPr>
        <w:t>(Biosecurity Australia 2010a, 2011)</w:t>
      </w:r>
      <w:r>
        <w:t xml:space="preserve"> and stonefruit from the USA (California, Idaho, Oregon and Washington) </w:t>
      </w:r>
      <w:r>
        <w:rPr>
          <w:noProof/>
        </w:rPr>
        <w:t>(Biosecurity Australia 2010b)</w:t>
      </w:r>
      <w:r>
        <w:t xml:space="preserve">. </w:t>
      </w:r>
    </w:p>
    <w:p w:rsidR="00B8782D" w:rsidRDefault="00B8782D">
      <w:r>
        <w:t xml:space="preserve">The consequences of the establishment of Tobacco necrosis viruses in Australia have been reviewed in light of the taxonomic changes and additional information. The overall consequences have been estimated to be: </w:t>
      </w:r>
      <w:r>
        <w:rPr>
          <w:b/>
        </w:rPr>
        <w:t>Low</w:t>
      </w:r>
      <w:r>
        <w:t>.</w:t>
      </w:r>
    </w:p>
    <w:p w:rsidR="00B8782D" w:rsidRDefault="00B8782D">
      <w:r>
        <w:t>The following information provides supporting evidence for this assessment.</w:t>
      </w:r>
    </w:p>
    <w:tbl>
      <w:tblPr>
        <w:tblW w:w="0" w:type="auto"/>
        <w:tblInd w:w="108" w:type="dxa"/>
        <w:tblLook w:val="0000" w:firstRow="0" w:lastRow="0" w:firstColumn="0" w:lastColumn="0" w:noHBand="0" w:noVBand="0"/>
      </w:tblPr>
      <w:tblGrid>
        <w:gridCol w:w="1446"/>
        <w:gridCol w:w="7516"/>
      </w:tblGrid>
      <w:tr w:rsidR="00B8782D">
        <w:tc>
          <w:tcPr>
            <w:tcW w:w="1446" w:type="dxa"/>
            <w:tcBorders>
              <w:top w:val="single" w:sz="4" w:space="0" w:color="auto"/>
              <w:bottom w:val="single" w:sz="4" w:space="0" w:color="auto"/>
            </w:tcBorders>
          </w:tcPr>
          <w:p w:rsidR="00B8782D" w:rsidRDefault="00B8782D">
            <w:pPr>
              <w:pStyle w:val="TableText"/>
              <w:rPr>
                <w:b/>
                <w:sz w:val="20"/>
              </w:rPr>
            </w:pPr>
            <w:r>
              <w:rPr>
                <w:b/>
                <w:sz w:val="20"/>
              </w:rPr>
              <w:t>Criterion</w:t>
            </w:r>
          </w:p>
        </w:tc>
        <w:tc>
          <w:tcPr>
            <w:tcW w:w="7520" w:type="dxa"/>
            <w:tcBorders>
              <w:top w:val="single" w:sz="4" w:space="0" w:color="auto"/>
              <w:bottom w:val="single" w:sz="4" w:space="0" w:color="auto"/>
            </w:tcBorders>
          </w:tcPr>
          <w:p w:rsidR="00B8782D" w:rsidRDefault="00B8782D">
            <w:pPr>
              <w:pStyle w:val="TableText"/>
              <w:rPr>
                <w:b/>
                <w:sz w:val="20"/>
                <w:highlight w:val="cyan"/>
              </w:rPr>
            </w:pPr>
            <w:r>
              <w:rPr>
                <w:b/>
                <w:sz w:val="20"/>
              </w:rPr>
              <w:t>Estimate</w:t>
            </w:r>
          </w:p>
        </w:tc>
      </w:tr>
      <w:tr w:rsidR="00B8782D">
        <w:tc>
          <w:tcPr>
            <w:tcW w:w="1446" w:type="dxa"/>
            <w:tcBorders>
              <w:top w:val="single" w:sz="4" w:space="0" w:color="auto"/>
            </w:tcBorders>
          </w:tcPr>
          <w:p w:rsidR="00B8782D" w:rsidRDefault="00B8782D">
            <w:pPr>
              <w:pStyle w:val="TableText"/>
              <w:rPr>
                <w:b/>
                <w:sz w:val="20"/>
              </w:rPr>
            </w:pPr>
            <w:r>
              <w:rPr>
                <w:b/>
                <w:sz w:val="20"/>
              </w:rPr>
              <w:t>DIRECT</w:t>
            </w:r>
          </w:p>
        </w:tc>
        <w:tc>
          <w:tcPr>
            <w:tcW w:w="7520" w:type="dxa"/>
            <w:tcBorders>
              <w:top w:val="single" w:sz="4" w:space="0" w:color="auto"/>
            </w:tcBorders>
          </w:tcPr>
          <w:p w:rsidR="00B8782D" w:rsidRDefault="00B8782D">
            <w:pPr>
              <w:pStyle w:val="TableText"/>
              <w:rPr>
                <w:bCs/>
                <w:sz w:val="20"/>
                <w:highlight w:val="cyan"/>
              </w:rPr>
            </w:pPr>
          </w:p>
        </w:tc>
      </w:tr>
      <w:tr w:rsidR="00B8782D">
        <w:tc>
          <w:tcPr>
            <w:tcW w:w="1446" w:type="dxa"/>
          </w:tcPr>
          <w:p w:rsidR="00B8782D" w:rsidRDefault="00B8782D">
            <w:pPr>
              <w:pStyle w:val="TableText"/>
              <w:rPr>
                <w:b/>
                <w:sz w:val="20"/>
              </w:rPr>
            </w:pPr>
            <w:r>
              <w:rPr>
                <w:b/>
                <w:sz w:val="20"/>
              </w:rPr>
              <w:t>Plant life or health</w:t>
            </w:r>
          </w:p>
        </w:tc>
        <w:tc>
          <w:tcPr>
            <w:tcW w:w="7520" w:type="dxa"/>
          </w:tcPr>
          <w:p w:rsidR="00B8782D" w:rsidRDefault="00B8782D">
            <w:pPr>
              <w:pStyle w:val="TableText0"/>
              <w:rPr>
                <w:rFonts w:ascii="Cambria" w:hAnsi="Cambria" w:cs="Arial"/>
                <w:sz w:val="20"/>
              </w:rPr>
            </w:pPr>
            <w:r>
              <w:rPr>
                <w:rFonts w:ascii="Cambria" w:hAnsi="Cambria" w:cs="Arial"/>
                <w:b/>
                <w:sz w:val="20"/>
              </w:rPr>
              <w:t>D</w:t>
            </w:r>
            <w:r>
              <w:rPr>
                <w:rFonts w:ascii="Cambria" w:hAnsi="Cambria" w:cs="Arial"/>
                <w:sz w:val="20"/>
              </w:rPr>
              <w:t xml:space="preserve"> – significant at the district level </w:t>
            </w:r>
          </w:p>
          <w:p w:rsidR="00B8782D" w:rsidRDefault="00B8782D">
            <w:pPr>
              <w:pStyle w:val="TableText0"/>
              <w:rPr>
                <w:rFonts w:ascii="Cambria" w:hAnsi="Cambria" w:cs="Arial"/>
                <w:sz w:val="20"/>
              </w:rPr>
            </w:pPr>
            <w:r>
              <w:rPr>
                <w:rFonts w:ascii="Cambria" w:hAnsi="Cambria" w:cs="Arial"/>
                <w:sz w:val="20"/>
              </w:rPr>
              <w:t xml:space="preserve">Among the hosts in which TNVs cause disease, carrot, potato and strawberry are the most economically important in Australia. In 2009/10, the estimated value of the carrot, potato and strawberry crops is $176m, $614m and $308m respectively </w:t>
            </w:r>
            <w:r>
              <w:rPr>
                <w:rFonts w:ascii="Cambria" w:hAnsi="Cambria" w:cs="Arial"/>
                <w:noProof/>
                <w:sz w:val="20"/>
              </w:rPr>
              <w:t>(HAL 2012)</w:t>
            </w:r>
            <w:r>
              <w:rPr>
                <w:rFonts w:ascii="Cambria" w:hAnsi="Cambria" w:cs="Arial"/>
                <w:sz w:val="20"/>
              </w:rPr>
              <w:t>.</w:t>
            </w:r>
          </w:p>
          <w:p w:rsidR="00B8782D" w:rsidRDefault="00B8782D">
            <w:pPr>
              <w:pStyle w:val="TableText0"/>
              <w:rPr>
                <w:rFonts w:ascii="Cambria" w:hAnsi="Cambria" w:cs="Arial"/>
                <w:sz w:val="20"/>
              </w:rPr>
            </w:pPr>
            <w:r>
              <w:rPr>
                <w:rFonts w:ascii="Cambria" w:hAnsi="Cambria" w:cs="Arial"/>
                <w:sz w:val="20"/>
              </w:rPr>
              <w:t xml:space="preserve">TNVs cause sporadic diseases in vegetable and ornamental crops in some years </w:t>
            </w:r>
            <w:r>
              <w:rPr>
                <w:rFonts w:ascii="Cambria" w:hAnsi="Cambria" w:cs="Arial"/>
                <w:noProof/>
                <w:sz w:val="20"/>
              </w:rPr>
              <w:t>(Kassanis 1970; Nemeth 1986; Smith et al. 1988; Uyemoto 1981; Zitikaite &amp; Staniulis 2009)</w:t>
            </w:r>
            <w:r>
              <w:rPr>
                <w:rFonts w:ascii="Cambria" w:hAnsi="Cambria" w:cs="Arial"/>
                <w:sz w:val="20"/>
              </w:rPr>
              <w:t xml:space="preserve">. No reports of adverse effects on fruit trees have been found </w:t>
            </w:r>
            <w:r>
              <w:rPr>
                <w:rFonts w:ascii="Cambria" w:hAnsi="Cambria" w:cs="Arial"/>
                <w:noProof/>
                <w:sz w:val="20"/>
              </w:rPr>
              <w:t>(Nemeth 1986)</w:t>
            </w:r>
            <w:r>
              <w:rPr>
                <w:rFonts w:ascii="Cambria" w:hAnsi="Cambria" w:cs="Arial"/>
                <w:sz w:val="20"/>
              </w:rPr>
              <w:t>. A disease in trembling aspen (</w:t>
            </w:r>
            <w:r>
              <w:rPr>
                <w:rFonts w:ascii="Cambria" w:hAnsi="Cambria" w:cs="Arial"/>
                <w:i/>
                <w:sz w:val="20"/>
              </w:rPr>
              <w:t>Populus tremuloides</w:t>
            </w:r>
            <w:r>
              <w:rPr>
                <w:rFonts w:ascii="Cambria" w:hAnsi="Cambria" w:cs="Arial"/>
                <w:sz w:val="20"/>
              </w:rPr>
              <w:t xml:space="preserve">) may be caused by TNVs </w:t>
            </w:r>
            <w:r>
              <w:rPr>
                <w:rFonts w:ascii="Cambria" w:hAnsi="Cambria" w:cs="Arial"/>
                <w:noProof/>
                <w:sz w:val="20"/>
              </w:rPr>
              <w:t>(Hibben, Bozarth &amp; Reese 1979)</w:t>
            </w:r>
            <w:r>
              <w:rPr>
                <w:rFonts w:ascii="Cambria" w:hAnsi="Cambria" w:cs="Arial"/>
                <w:sz w:val="20"/>
              </w:rPr>
              <w:t>.</w:t>
            </w:r>
          </w:p>
          <w:p w:rsidR="00B8782D" w:rsidRDefault="00B8782D">
            <w:pPr>
              <w:pStyle w:val="TableText0"/>
              <w:rPr>
                <w:rFonts w:ascii="Cambria" w:hAnsi="Cambria" w:cs="Arial"/>
                <w:sz w:val="20"/>
              </w:rPr>
            </w:pPr>
            <w:r>
              <w:rPr>
                <w:rFonts w:ascii="Cambria" w:hAnsi="Cambria" w:cs="Arial"/>
                <w:sz w:val="20"/>
              </w:rPr>
              <w:t xml:space="preserve">TNVs cause rusty root disease of carrot, Augusta disease of tulip, stipple streak disease of common bean, and necrosis diseases of cabbage, cucumber, soybean and zucchini and ABC disease of potato </w:t>
            </w:r>
            <w:r>
              <w:rPr>
                <w:rFonts w:ascii="Cambria" w:hAnsi="Cambria" w:cs="Arial"/>
                <w:noProof/>
                <w:sz w:val="20"/>
              </w:rPr>
              <w:t>(Smith et al. 1988; Uyemoto 1981; Xi et al. 2008; Zitikaite &amp; Staniulis 2009)</w:t>
            </w:r>
            <w:r>
              <w:rPr>
                <w:rFonts w:ascii="Cambria" w:hAnsi="Cambria" w:cs="Arial"/>
                <w:sz w:val="20"/>
              </w:rPr>
              <w:t>.</w:t>
            </w:r>
          </w:p>
          <w:p w:rsidR="00B8782D" w:rsidRDefault="00B8782D">
            <w:pPr>
              <w:pStyle w:val="TableText0"/>
              <w:rPr>
                <w:rFonts w:ascii="Cambria" w:hAnsi="Cambria" w:cs="Arial"/>
                <w:sz w:val="20"/>
              </w:rPr>
            </w:pPr>
            <w:r>
              <w:rPr>
                <w:rFonts w:ascii="Cambria" w:hAnsi="Cambria" w:cs="Arial"/>
                <w:sz w:val="20"/>
              </w:rPr>
              <w:t xml:space="preserve">Losses between 20 per cent and 50 per cent have been reported in glasshouse grown cucumbers and in tulips </w:t>
            </w:r>
            <w:r>
              <w:rPr>
                <w:rFonts w:ascii="Cambria" w:hAnsi="Cambria" w:cs="Arial"/>
                <w:noProof/>
                <w:sz w:val="20"/>
              </w:rPr>
              <w:t>(CABI 2015)</w:t>
            </w:r>
            <w:r>
              <w:rPr>
                <w:rFonts w:ascii="Cambria" w:hAnsi="Cambria" w:cs="Arial"/>
                <w:sz w:val="20"/>
              </w:rPr>
              <w:t xml:space="preserve">. Lower losses probably occur more frequently </w:t>
            </w:r>
            <w:r>
              <w:rPr>
                <w:rFonts w:ascii="Cambria" w:hAnsi="Cambria" w:cs="Arial"/>
                <w:sz w:val="20"/>
              </w:rPr>
              <w:lastRenderedPageBreak/>
              <w:t xml:space="preserve">than such high losses. No estimates of losses in carrot, potato and strawberry have been found but it is possible that substantial losses occur sometimes. Symptomless viral infections of plants, in general, may cause no yield loss, but they may cause yield losses as high as 15 per cent </w:t>
            </w:r>
            <w:r>
              <w:rPr>
                <w:rFonts w:ascii="Cambria" w:hAnsi="Cambria" w:cs="Arial"/>
                <w:noProof/>
                <w:sz w:val="20"/>
              </w:rPr>
              <w:t>(Bos 1999; Gibbs &amp; Harrison 1976)</w:t>
            </w:r>
            <w:r>
              <w:rPr>
                <w:rFonts w:ascii="Cambria" w:hAnsi="Cambria" w:cs="Arial"/>
                <w:sz w:val="20"/>
              </w:rPr>
              <w:fldChar w:fldCharType="begin"/>
            </w:r>
            <w:r>
              <w:rPr>
                <w:rFonts w:ascii="Cambria" w:hAnsi="Cambria" w:cs="Arial"/>
                <w:sz w:val="20"/>
              </w:rPr>
              <w:instrText xml:space="preserve"> QUOTE "" </w:instrText>
            </w:r>
            <w:r>
              <w:rPr>
                <w:rFonts w:ascii="Cambria" w:hAnsi="Cambria" w:cs="Arial"/>
                <w:vanish/>
                <w:sz w:val="20"/>
              </w:rPr>
              <w:fldChar w:fldCharType="begin"/>
            </w:r>
            <w:r>
              <w:rPr>
                <w:rFonts w:ascii="Cambria" w:hAnsi="Cambria" w:cs="Arial"/>
                <w:vanish/>
                <w:sz w:val="20"/>
              </w:rPr>
              <w:instrText xml:space="preserve"> ADDIN PROCITE ÿ\11\05‘\19\02\00\00\00\00\01\00\00ì\0B\00\00EJ:\5CPlant\5CPublications\5CProject C Publications\5CProject_C_References.pdt\0EBos 1999 #3388\01\02\00\03\00àà\00\00\00¿H\00Ø3\14\00\14\00\00\00\01\00\00\00\00\00\00\00\00\00\00\00\10\00\00\00\00\00\00\00\0B\00\00\00\00\00\00ºI_H\1AÌ\00\01\00\00\00\01\00\00\00\00\00\00\00tò\12\000¬W\00ÿÿÿÿ </w:instrText>
            </w:r>
            <w:r>
              <w:rPr>
                <w:rFonts w:ascii="Cambria" w:hAnsi="Cambria" w:cs="Arial"/>
                <w:vanish/>
                <w:sz w:val="20"/>
              </w:rPr>
              <w:fldChar w:fldCharType="end"/>
            </w:r>
            <w:r>
              <w:rPr>
                <w:rFonts w:ascii="Cambria" w:hAnsi="Cambria" w:cs="Arial"/>
                <w:sz w:val="20"/>
              </w:rPr>
              <w:fldChar w:fldCharType="end"/>
            </w:r>
            <w:r>
              <w:rPr>
                <w:rFonts w:ascii="Cambria" w:hAnsi="Cambria" w:cs="Arial"/>
                <w:sz w:val="20"/>
              </w:rPr>
              <w:t>.</w:t>
            </w:r>
          </w:p>
          <w:p w:rsidR="00B8782D" w:rsidRDefault="00B8782D">
            <w:pPr>
              <w:pStyle w:val="TableText0"/>
              <w:rPr>
                <w:rFonts w:ascii="Cambria" w:hAnsi="Cambria" w:cs="Arial"/>
                <w:sz w:val="20"/>
              </w:rPr>
            </w:pPr>
            <w:r>
              <w:rPr>
                <w:rFonts w:ascii="Cambria" w:hAnsi="Cambria" w:cs="Arial"/>
                <w:sz w:val="20"/>
              </w:rPr>
              <w:t xml:space="preserve">Naturally infected vegetable crops show a range of symptoms, including spots, flecks, streaks, necrosis and stunting. In strawberry in the Czech Republic, TNV has caused dwarfing and leaf and root necrosis </w:t>
            </w:r>
            <w:r>
              <w:rPr>
                <w:rFonts w:ascii="Cambria" w:hAnsi="Cambria" w:cs="Arial"/>
                <w:noProof/>
                <w:sz w:val="20"/>
              </w:rPr>
              <w:t>(Martin &amp; Tzanetakis 2006)</w:t>
            </w:r>
            <w:r>
              <w:rPr>
                <w:rFonts w:ascii="Cambria" w:hAnsi="Cambria" w:cs="Arial"/>
                <w:sz w:val="20"/>
              </w:rPr>
              <w:t xml:space="preserve">. </w:t>
            </w:r>
          </w:p>
          <w:p w:rsidR="00B8782D" w:rsidRDefault="00B8782D">
            <w:pPr>
              <w:pStyle w:val="TableText0"/>
              <w:rPr>
                <w:rFonts w:ascii="Cambria" w:hAnsi="Cambria" w:cs="Arial"/>
                <w:sz w:val="20"/>
              </w:rPr>
            </w:pPr>
            <w:r>
              <w:rPr>
                <w:rFonts w:ascii="Cambria" w:hAnsi="Cambria" w:cs="Arial"/>
                <w:sz w:val="20"/>
              </w:rPr>
              <w:t xml:space="preserve">Stipple streak disease has been reported in Qld causing small yield losses </w:t>
            </w:r>
            <w:r>
              <w:rPr>
                <w:rFonts w:ascii="Cambria" w:hAnsi="Cambria" w:cs="Arial"/>
                <w:noProof/>
                <w:sz w:val="20"/>
              </w:rPr>
              <w:t>(Teakle 1988)</w:t>
            </w:r>
            <w:r>
              <w:rPr>
                <w:rFonts w:ascii="Cambria" w:hAnsi="Cambria" w:cs="Arial"/>
                <w:sz w:val="20"/>
              </w:rPr>
              <w:t>, but no reports of TNVs causing other diseases in Australia have been found, suggesting that the combinations of virus strain, vector biotype and host plant cultivar that result in disease have not occurred in Australia.</w:t>
            </w:r>
          </w:p>
          <w:p w:rsidR="00B8782D" w:rsidRDefault="00B8782D">
            <w:pPr>
              <w:pStyle w:val="TableText0"/>
              <w:rPr>
                <w:rFonts w:ascii="Cambria" w:hAnsi="Cambria" w:cs="Arial"/>
                <w:sz w:val="20"/>
              </w:rPr>
            </w:pPr>
            <w:r>
              <w:rPr>
                <w:rFonts w:ascii="Cambria" w:hAnsi="Cambria" w:cs="Arial"/>
                <w:sz w:val="20"/>
              </w:rPr>
              <w:t xml:space="preserve">Strains have been distinguished by various characteristics, including the symptoms they cause, their host ranges and genetic sequences </w:t>
            </w:r>
            <w:r>
              <w:rPr>
                <w:rFonts w:ascii="Cambria" w:hAnsi="Cambria" w:cs="Arial"/>
                <w:noProof/>
                <w:sz w:val="20"/>
              </w:rPr>
              <w:t>(Kassanis 1970)</w:t>
            </w:r>
            <w:r>
              <w:rPr>
                <w:rFonts w:ascii="Cambria" w:hAnsi="Cambria" w:cs="Arial"/>
                <w:sz w:val="20"/>
              </w:rPr>
              <w:t xml:space="preserve">. The diseases recorded in common bean and cucumber are probably caused by distinct TNV strains </w:t>
            </w:r>
            <w:r>
              <w:rPr>
                <w:rFonts w:ascii="Cambria" w:hAnsi="Cambria" w:cs="Arial"/>
                <w:noProof/>
                <w:sz w:val="20"/>
              </w:rPr>
              <w:t>(Brunt &amp; Teakle 1996; Zitikaite &amp; Staniulis 2009)</w:t>
            </w:r>
            <w:r>
              <w:rPr>
                <w:rFonts w:ascii="Cambria" w:hAnsi="Cambria" w:cs="Arial"/>
                <w:sz w:val="20"/>
              </w:rPr>
              <w:t>. The TNV strains detected in apple caused lesions in tests with cowpea (</w:t>
            </w:r>
            <w:r>
              <w:rPr>
                <w:rFonts w:ascii="Cambria" w:hAnsi="Cambria" w:cs="Arial"/>
                <w:i/>
                <w:sz w:val="20"/>
              </w:rPr>
              <w:t>Vigna sinensis</w:t>
            </w:r>
            <w:r>
              <w:rPr>
                <w:rFonts w:ascii="Cambria" w:hAnsi="Cambria" w:cs="Arial"/>
                <w:sz w:val="20"/>
              </w:rPr>
              <w:t xml:space="preserve">) and </w:t>
            </w:r>
            <w:r>
              <w:rPr>
                <w:rFonts w:ascii="Cambria" w:hAnsi="Cambria" w:cs="Arial"/>
                <w:i/>
                <w:sz w:val="20"/>
              </w:rPr>
              <w:t>Chenopodium quinoa</w:t>
            </w:r>
            <w:r>
              <w:rPr>
                <w:rFonts w:ascii="Cambria" w:hAnsi="Cambria" w:cs="Arial"/>
                <w:sz w:val="20"/>
              </w:rPr>
              <w:t xml:space="preserve"> </w:t>
            </w:r>
            <w:r>
              <w:rPr>
                <w:rFonts w:ascii="Cambria" w:hAnsi="Cambria" w:cs="Arial"/>
                <w:noProof/>
                <w:sz w:val="20"/>
              </w:rPr>
              <w:t>(Uyemoto &amp; Gilmer 1972)</w:t>
            </w:r>
            <w:r>
              <w:rPr>
                <w:rFonts w:ascii="Cambria" w:hAnsi="Cambria" w:cs="Arial"/>
                <w:sz w:val="20"/>
              </w:rPr>
              <w:t xml:space="preserve">, but no report of further investigation of their disease causing potential was found. </w:t>
            </w:r>
          </w:p>
          <w:p w:rsidR="00B8782D" w:rsidRDefault="00B8782D">
            <w:pPr>
              <w:pStyle w:val="TableText0"/>
              <w:rPr>
                <w:rFonts w:ascii="Cambria" w:hAnsi="Cambria" w:cs="Arial"/>
                <w:sz w:val="20"/>
              </w:rPr>
            </w:pPr>
            <w:r>
              <w:rPr>
                <w:rFonts w:ascii="Cambria" w:hAnsi="Cambria" w:cs="Arial"/>
                <w:sz w:val="20"/>
              </w:rPr>
              <w:t xml:space="preserve">A satellite virus replicates with some strains of TNV </w:t>
            </w:r>
            <w:r>
              <w:rPr>
                <w:rFonts w:ascii="Cambria" w:hAnsi="Cambria" w:cs="Arial"/>
                <w:noProof/>
                <w:sz w:val="20"/>
              </w:rPr>
              <w:t>(Kassanis 1970; Uyemoto 1981)</w:t>
            </w:r>
            <w:r>
              <w:rPr>
                <w:rFonts w:ascii="Cambria" w:hAnsi="Cambria" w:cs="Arial"/>
                <w:sz w:val="20"/>
              </w:rPr>
              <w:t xml:space="preserve"> but no report has been found indicating greater disease when the satellite virus is present.</w:t>
            </w:r>
          </w:p>
          <w:p w:rsidR="00B8782D" w:rsidRDefault="00B8782D">
            <w:pPr>
              <w:pStyle w:val="TableText0"/>
              <w:rPr>
                <w:rFonts w:ascii="Cambria" w:hAnsi="Cambria"/>
                <w:bCs/>
              </w:rPr>
            </w:pPr>
            <w:r>
              <w:rPr>
                <w:rFonts w:ascii="Cambria" w:hAnsi="Cambria" w:cs="Arial"/>
                <w:sz w:val="20"/>
              </w:rPr>
              <w:t>Because the wide host range of TNVs and their chytrid vectors it is possible that some native plants will be susceptible, although no supporting evidence was found.</w:t>
            </w:r>
          </w:p>
        </w:tc>
      </w:tr>
      <w:tr w:rsidR="00B8782D">
        <w:tc>
          <w:tcPr>
            <w:tcW w:w="1446" w:type="dxa"/>
          </w:tcPr>
          <w:p w:rsidR="00B8782D" w:rsidRDefault="00B8782D">
            <w:pPr>
              <w:pStyle w:val="TableText"/>
              <w:rPr>
                <w:b/>
                <w:sz w:val="20"/>
              </w:rPr>
            </w:pPr>
            <w:r>
              <w:rPr>
                <w:b/>
                <w:sz w:val="20"/>
              </w:rPr>
              <w:lastRenderedPageBreak/>
              <w:t>Other aspects of the environment</w:t>
            </w:r>
          </w:p>
        </w:tc>
        <w:tc>
          <w:tcPr>
            <w:tcW w:w="7520" w:type="dxa"/>
          </w:tcPr>
          <w:p w:rsidR="00B8782D" w:rsidRDefault="00B8782D">
            <w:pPr>
              <w:pStyle w:val="TableText0"/>
              <w:rPr>
                <w:rFonts w:ascii="Cambria" w:hAnsi="Cambria"/>
                <w:sz w:val="20"/>
              </w:rPr>
            </w:pPr>
            <w:r>
              <w:rPr>
                <w:rFonts w:ascii="Cambria" w:hAnsi="Cambria"/>
                <w:b/>
                <w:sz w:val="20"/>
              </w:rPr>
              <w:t>A</w:t>
            </w:r>
            <w:r>
              <w:rPr>
                <w:rFonts w:ascii="Cambria" w:hAnsi="Cambria"/>
                <w:sz w:val="20"/>
              </w:rPr>
              <w:t xml:space="preserve"> – Indiscernible at the local level</w:t>
            </w:r>
          </w:p>
          <w:p w:rsidR="00B8782D" w:rsidRDefault="00B8782D">
            <w:pPr>
              <w:pStyle w:val="TableText0"/>
              <w:rPr>
                <w:rFonts w:ascii="Cambria" w:hAnsi="Cambria"/>
              </w:rPr>
            </w:pPr>
            <w:r>
              <w:rPr>
                <w:rFonts w:ascii="Cambria" w:hAnsi="Cambria"/>
                <w:sz w:val="20"/>
              </w:rPr>
              <w:t>There are no known direct consequences of these species on other aspects of the environment.</w:t>
            </w:r>
            <w:r>
              <w:rPr>
                <w:rFonts w:ascii="Cambria" w:hAnsi="Cambria"/>
              </w:rPr>
              <w:t xml:space="preserve"> </w:t>
            </w:r>
          </w:p>
        </w:tc>
      </w:tr>
      <w:tr w:rsidR="00B8782D">
        <w:tc>
          <w:tcPr>
            <w:tcW w:w="1446" w:type="dxa"/>
          </w:tcPr>
          <w:p w:rsidR="00B8782D" w:rsidRDefault="00B8782D">
            <w:pPr>
              <w:pStyle w:val="TableText"/>
              <w:rPr>
                <w:b/>
                <w:sz w:val="20"/>
              </w:rPr>
            </w:pPr>
            <w:r>
              <w:rPr>
                <w:b/>
                <w:sz w:val="20"/>
              </w:rPr>
              <w:t>INDIRECT</w:t>
            </w:r>
          </w:p>
        </w:tc>
        <w:tc>
          <w:tcPr>
            <w:tcW w:w="7520" w:type="dxa"/>
          </w:tcPr>
          <w:p w:rsidR="00B8782D" w:rsidRDefault="00B8782D">
            <w:pPr>
              <w:pStyle w:val="TableText"/>
              <w:rPr>
                <w:bCs/>
                <w:sz w:val="20"/>
              </w:rPr>
            </w:pPr>
          </w:p>
        </w:tc>
      </w:tr>
      <w:tr w:rsidR="00B8782D">
        <w:tc>
          <w:tcPr>
            <w:tcW w:w="1446" w:type="dxa"/>
          </w:tcPr>
          <w:p w:rsidR="00B8782D" w:rsidRDefault="00B8782D">
            <w:pPr>
              <w:pStyle w:val="TableText"/>
              <w:rPr>
                <w:b/>
                <w:sz w:val="20"/>
              </w:rPr>
            </w:pPr>
            <w:r>
              <w:rPr>
                <w:b/>
                <w:sz w:val="20"/>
              </w:rPr>
              <w:t>Eradication, control etc.</w:t>
            </w:r>
          </w:p>
        </w:tc>
        <w:tc>
          <w:tcPr>
            <w:tcW w:w="7520" w:type="dxa"/>
          </w:tcPr>
          <w:p w:rsidR="00B8782D" w:rsidRDefault="00B8782D">
            <w:pPr>
              <w:pStyle w:val="TableText0"/>
              <w:rPr>
                <w:rFonts w:ascii="Cambria" w:hAnsi="Cambria"/>
                <w:sz w:val="20"/>
              </w:rPr>
            </w:pPr>
            <w:r>
              <w:rPr>
                <w:rFonts w:ascii="Cambria" w:hAnsi="Cambria"/>
                <w:b/>
                <w:sz w:val="20"/>
              </w:rPr>
              <w:t>D</w:t>
            </w:r>
            <w:r>
              <w:rPr>
                <w:rFonts w:ascii="Cambria" w:hAnsi="Cambria"/>
                <w:sz w:val="20"/>
              </w:rPr>
              <w:t xml:space="preserve"> – significant at the district level</w:t>
            </w:r>
          </w:p>
          <w:p w:rsidR="00B8782D" w:rsidRDefault="00B8782D" w:rsidP="00E048C1">
            <w:pPr>
              <w:pStyle w:val="TableText0"/>
              <w:rPr>
                <w:rFonts w:ascii="Cambria" w:hAnsi="Cambria"/>
                <w:bCs/>
              </w:rPr>
            </w:pPr>
            <w:r>
              <w:rPr>
                <w:rFonts w:ascii="Cambria" w:hAnsi="Cambria" w:cs="Arial"/>
                <w:sz w:val="20"/>
              </w:rPr>
              <w:t xml:space="preserve">Virus control measures in fields are limited and eradication may not be possible unless an outbreak is detected at an early stage. If detected at an early stage, an outbreak might be controlled or eradicated by removing host plants and deep burying or incinerating potentially infected plant material, then leaving the fields fallow and controlling weed hosts. Further action might be required including cropping with non-host species and altering and lengthening crop rotations. Resistant cultivars may be planted, if they are available </w:t>
            </w:r>
            <w:r>
              <w:rPr>
                <w:rFonts w:ascii="Cambria" w:hAnsi="Cambria" w:cs="Arial"/>
                <w:noProof/>
                <w:sz w:val="20"/>
              </w:rPr>
              <w:t>(CABI 2015)</w:t>
            </w:r>
            <w:r>
              <w:rPr>
                <w:rFonts w:ascii="Cambria" w:hAnsi="Cambria" w:cs="Arial"/>
                <w:sz w:val="20"/>
              </w:rPr>
              <w:t xml:space="preserve">. Establishment and spread in a glasshouse may be controlled by reducing or eliminating Olpidium infestation of soil by chemical treatment or by heating by composting or soil pasteurisation </w:t>
            </w:r>
            <w:r>
              <w:rPr>
                <w:rFonts w:ascii="Cambria" w:hAnsi="Cambria" w:cs="Arial"/>
                <w:noProof/>
                <w:sz w:val="20"/>
              </w:rPr>
              <w:t>(Asjes &amp; Blom-Barnhoorn 2002; CABI 2015)</w:t>
            </w:r>
            <w:r>
              <w:rPr>
                <w:rFonts w:ascii="Cambria" w:hAnsi="Cambria" w:cs="Arial"/>
                <w:sz w:val="20"/>
              </w:rPr>
              <w:fldChar w:fldCharType="begin"/>
            </w:r>
            <w:r>
              <w:rPr>
                <w:rFonts w:ascii="Cambria" w:hAnsi="Cambria" w:cs="Arial"/>
                <w:sz w:val="20"/>
              </w:rPr>
              <w:instrText xml:space="preserve"> QUOTE "" </w:instrText>
            </w:r>
            <w:r>
              <w:rPr>
                <w:rFonts w:ascii="Cambria" w:hAnsi="Cambria" w:cs="Arial"/>
                <w:vanish/>
                <w:sz w:val="20"/>
              </w:rPr>
              <w:fldChar w:fldCharType="begin"/>
            </w:r>
            <w:r>
              <w:rPr>
                <w:rFonts w:ascii="Cambria" w:hAnsi="Cambria" w:cs="Arial"/>
                <w:vanish/>
                <w:sz w:val="20"/>
              </w:rPr>
              <w:instrText xml:space="preserve"> ADDIN PROCITE ÿ\11\05‘\19\02\00\00\00\00\01\00\00î\0B\00\00EJ:\5CPlant\5CPublications\5CProject C Publications\5CProject_C_References.pdt\1CCAB International 2009 #3390\01\02\00\11\00àà\00\00\00¿H\00Ø3\14\00\14\00\00\00\01\00\00\00\00\00\00\00\00\00\00\00\10\00\00\00\00\00\00\00\0B\00\00\00\00\00\00ºI_H\1AÌ\00\01\00\00\00\01\00\00\00\00\00\00\00tò\12\000¬W\00ÿÿÿÿ </w:instrText>
            </w:r>
            <w:r>
              <w:rPr>
                <w:rFonts w:ascii="Cambria" w:hAnsi="Cambria" w:cs="Arial"/>
                <w:vanish/>
                <w:sz w:val="20"/>
              </w:rPr>
              <w:fldChar w:fldCharType="end"/>
            </w:r>
            <w:r>
              <w:rPr>
                <w:rFonts w:ascii="Cambria" w:hAnsi="Cambria" w:cs="Arial"/>
                <w:sz w:val="20"/>
              </w:rPr>
              <w:fldChar w:fldCharType="end"/>
            </w:r>
            <w:r>
              <w:rPr>
                <w:rFonts w:ascii="Cambria" w:hAnsi="Cambria" w:cs="Arial"/>
                <w:sz w:val="20"/>
              </w:rPr>
              <w:t xml:space="preserve">. This may add significantly to costs. TNVs tolerate temperatures as high as 95 degrees Celsius </w:t>
            </w:r>
            <w:r>
              <w:rPr>
                <w:rFonts w:ascii="Cambria" w:hAnsi="Cambria" w:cs="Arial"/>
                <w:noProof/>
                <w:sz w:val="20"/>
              </w:rPr>
              <w:t>(Brunt &amp; Teakle 1996)</w:t>
            </w:r>
            <w:r>
              <w:rPr>
                <w:rFonts w:ascii="Cambria" w:hAnsi="Cambria" w:cs="Arial"/>
                <w:sz w:val="20"/>
              </w:rPr>
              <w:t xml:space="preserve">, so the temperatures achieved by composting and pasteurisation may not eliminate the viruses. Propagation of virus free plants and careful sanitation may reduce the chance of outbreaks </w:t>
            </w:r>
            <w:r>
              <w:rPr>
                <w:rFonts w:ascii="Cambria" w:hAnsi="Cambria" w:cs="Arial"/>
                <w:noProof/>
                <w:sz w:val="20"/>
              </w:rPr>
              <w:t>(CABI 2015; Smith et al. 1988)</w:t>
            </w:r>
            <w:r>
              <w:rPr>
                <w:rFonts w:ascii="Cambria" w:hAnsi="Cambria" w:cs="Arial"/>
                <w:sz w:val="20"/>
              </w:rPr>
              <w:fldChar w:fldCharType="begin"/>
            </w:r>
            <w:r>
              <w:rPr>
                <w:rFonts w:ascii="Cambria" w:hAnsi="Cambria" w:cs="Arial"/>
                <w:sz w:val="20"/>
              </w:rPr>
              <w:instrText xml:space="preserve"> QUOTE "" </w:instrText>
            </w:r>
            <w:r>
              <w:rPr>
                <w:rFonts w:ascii="Cambria" w:hAnsi="Cambria" w:cs="Arial"/>
                <w:vanish/>
                <w:sz w:val="20"/>
              </w:rPr>
              <w:fldChar w:fldCharType="begin"/>
            </w:r>
            <w:r>
              <w:rPr>
                <w:rFonts w:ascii="Cambria" w:hAnsi="Cambria" w:cs="Arial"/>
                <w:vanish/>
                <w:sz w:val="20"/>
              </w:rPr>
              <w:instrText xml:space="preserve"> ADDIN PROCITE ÿ\11\05‘\19\02\00\00\00\00\01\00\00î\0B\00\00EJ:\5CPlant\5CPublications\5CProject C Publications\5CProject_C_References.pdt\1CCAB International 2009 #3390\01\02\00\11\00àà\00\00\00¿H\00Ø3\14\00\14\00\00\00\01\00\00\00\00\00\00\00\00\00\00\00\10\00\00\00\00\00\00\00\0B\00\00\00\00\00\00ºI_H\1AÌ\00\01\00\00\00\01\00\00\00\00\00\00\00tò\12\000¬W\00ÿÿÿÿ </w:instrText>
            </w:r>
            <w:r>
              <w:rPr>
                <w:rFonts w:ascii="Cambria" w:hAnsi="Cambria" w:cs="Arial"/>
                <w:vanish/>
                <w:sz w:val="20"/>
              </w:rPr>
              <w:fldChar w:fldCharType="end"/>
            </w:r>
            <w:r>
              <w:rPr>
                <w:rFonts w:ascii="Cambria" w:hAnsi="Cambria" w:cs="Arial"/>
                <w:sz w:val="20"/>
              </w:rPr>
              <w:fldChar w:fldCharType="end"/>
            </w:r>
            <w:r>
              <w:rPr>
                <w:rFonts w:ascii="Cambria" w:hAnsi="Cambria" w:cs="Arial"/>
                <w:sz w:val="20"/>
              </w:rPr>
              <w:t>.</w:t>
            </w:r>
          </w:p>
        </w:tc>
      </w:tr>
      <w:tr w:rsidR="00B8782D">
        <w:tc>
          <w:tcPr>
            <w:tcW w:w="1446" w:type="dxa"/>
          </w:tcPr>
          <w:p w:rsidR="00B8782D" w:rsidRDefault="00B8782D">
            <w:pPr>
              <w:pStyle w:val="TableText"/>
              <w:keepNext/>
              <w:rPr>
                <w:b/>
                <w:sz w:val="20"/>
              </w:rPr>
            </w:pPr>
            <w:r>
              <w:rPr>
                <w:b/>
                <w:sz w:val="20"/>
              </w:rPr>
              <w:t>Domestic trade</w:t>
            </w:r>
          </w:p>
        </w:tc>
        <w:tc>
          <w:tcPr>
            <w:tcW w:w="7520" w:type="dxa"/>
          </w:tcPr>
          <w:p w:rsidR="00B8782D" w:rsidRDefault="00B8782D">
            <w:pPr>
              <w:pStyle w:val="TableText0"/>
              <w:rPr>
                <w:rFonts w:ascii="Cambria" w:hAnsi="Cambria"/>
                <w:sz w:val="20"/>
              </w:rPr>
            </w:pPr>
            <w:r>
              <w:rPr>
                <w:rFonts w:ascii="Cambria" w:hAnsi="Cambria"/>
                <w:b/>
                <w:sz w:val="20"/>
              </w:rPr>
              <w:t>C</w:t>
            </w:r>
            <w:r>
              <w:rPr>
                <w:rFonts w:ascii="Cambria" w:hAnsi="Cambria"/>
                <w:sz w:val="20"/>
              </w:rPr>
              <w:t xml:space="preserve"> – minor significance at the district level </w:t>
            </w:r>
          </w:p>
          <w:p w:rsidR="00B8782D" w:rsidRDefault="00B8782D">
            <w:pPr>
              <w:pStyle w:val="TableText0"/>
              <w:rPr>
                <w:bCs/>
                <w:sz w:val="20"/>
              </w:rPr>
            </w:pPr>
            <w:r>
              <w:rPr>
                <w:rFonts w:ascii="Cambria" w:hAnsi="Cambria"/>
                <w:sz w:val="20"/>
              </w:rPr>
              <w:t>Australian states are unlikely to set up restrictions on interstate trade if a foreign TNV becomes established unless it causes significant disease, which is unlikely.</w:t>
            </w:r>
          </w:p>
        </w:tc>
      </w:tr>
      <w:tr w:rsidR="00B8782D">
        <w:tc>
          <w:tcPr>
            <w:tcW w:w="1446" w:type="dxa"/>
          </w:tcPr>
          <w:p w:rsidR="00B8782D" w:rsidRDefault="00B8782D">
            <w:pPr>
              <w:pStyle w:val="TableText"/>
              <w:rPr>
                <w:b/>
                <w:sz w:val="20"/>
              </w:rPr>
            </w:pPr>
            <w:r>
              <w:rPr>
                <w:b/>
                <w:sz w:val="20"/>
              </w:rPr>
              <w:t>International trade</w:t>
            </w:r>
          </w:p>
        </w:tc>
        <w:tc>
          <w:tcPr>
            <w:tcW w:w="7520" w:type="dxa"/>
          </w:tcPr>
          <w:p w:rsidR="00B8782D" w:rsidRDefault="00B8782D">
            <w:pPr>
              <w:pStyle w:val="TableText0"/>
              <w:rPr>
                <w:rFonts w:ascii="Cambria" w:hAnsi="Cambria"/>
                <w:sz w:val="20"/>
              </w:rPr>
            </w:pPr>
            <w:r>
              <w:rPr>
                <w:rFonts w:ascii="Cambria" w:hAnsi="Cambria"/>
                <w:b/>
                <w:sz w:val="20"/>
              </w:rPr>
              <w:t>C</w:t>
            </w:r>
            <w:r>
              <w:rPr>
                <w:rFonts w:ascii="Cambria" w:hAnsi="Cambria"/>
                <w:sz w:val="20"/>
              </w:rPr>
              <w:t xml:space="preserve"> – minor significance at the district level </w:t>
            </w:r>
          </w:p>
          <w:p w:rsidR="00B8782D" w:rsidRDefault="00B8782D">
            <w:pPr>
              <w:pStyle w:val="TableText0"/>
              <w:rPr>
                <w:rFonts w:ascii="Cambria" w:hAnsi="Cambria"/>
                <w:bCs/>
              </w:rPr>
            </w:pPr>
            <w:r>
              <w:rPr>
                <w:rFonts w:ascii="Cambria" w:hAnsi="Cambria"/>
                <w:sz w:val="20"/>
              </w:rPr>
              <w:t xml:space="preserve">If a damaging foreign TNV became established in </w:t>
            </w:r>
            <w:smartTag w:uri="urn:schemas-microsoft-com:office:smarttags" w:element="place">
              <w:smartTag w:uri="urn:schemas-microsoft-com:office:smarttags" w:element="country-region">
                <w:r>
                  <w:rPr>
                    <w:rFonts w:ascii="Cambria" w:hAnsi="Cambria"/>
                    <w:sz w:val="20"/>
                  </w:rPr>
                  <w:t>Australia</w:t>
                </w:r>
              </w:smartTag>
            </w:smartTag>
            <w:r>
              <w:rPr>
                <w:rFonts w:ascii="Cambria" w:hAnsi="Cambria"/>
                <w:sz w:val="20"/>
              </w:rPr>
              <w:t>, additional restrictions might be introduced on the international trade of some vegetables or ornamentals that might lead to the loss of markets and some industry adjustment.</w:t>
            </w:r>
          </w:p>
        </w:tc>
      </w:tr>
      <w:tr w:rsidR="00B8782D">
        <w:tc>
          <w:tcPr>
            <w:tcW w:w="1446" w:type="dxa"/>
            <w:tcBorders>
              <w:bottom w:val="single" w:sz="4" w:space="0" w:color="auto"/>
            </w:tcBorders>
          </w:tcPr>
          <w:p w:rsidR="00B8782D" w:rsidRDefault="00B8782D">
            <w:pPr>
              <w:pStyle w:val="TableText"/>
              <w:rPr>
                <w:b/>
                <w:sz w:val="20"/>
              </w:rPr>
            </w:pPr>
            <w:r>
              <w:rPr>
                <w:b/>
                <w:sz w:val="20"/>
              </w:rPr>
              <w:t>Environment</w:t>
            </w:r>
          </w:p>
        </w:tc>
        <w:tc>
          <w:tcPr>
            <w:tcW w:w="7520" w:type="dxa"/>
            <w:tcBorders>
              <w:bottom w:val="single" w:sz="4" w:space="0" w:color="auto"/>
            </w:tcBorders>
          </w:tcPr>
          <w:p w:rsidR="00B8782D" w:rsidRDefault="00B8782D">
            <w:pPr>
              <w:pStyle w:val="TableText0"/>
              <w:rPr>
                <w:rFonts w:ascii="Cambria" w:hAnsi="Cambria"/>
                <w:sz w:val="20"/>
              </w:rPr>
            </w:pPr>
            <w:r>
              <w:rPr>
                <w:rFonts w:ascii="Cambria" w:hAnsi="Cambria"/>
                <w:b/>
                <w:sz w:val="20"/>
              </w:rPr>
              <w:t>A</w:t>
            </w:r>
            <w:r>
              <w:rPr>
                <w:rFonts w:ascii="Cambria" w:hAnsi="Cambria"/>
                <w:sz w:val="20"/>
              </w:rPr>
              <w:t xml:space="preserve"> – Indiscernible at the local level</w:t>
            </w:r>
          </w:p>
          <w:p w:rsidR="00B8782D" w:rsidRDefault="00B8782D">
            <w:pPr>
              <w:pStyle w:val="TableText0"/>
              <w:rPr>
                <w:rFonts w:ascii="Cambria" w:hAnsi="Cambria"/>
                <w:sz w:val="20"/>
              </w:rPr>
            </w:pPr>
            <w:r>
              <w:rPr>
                <w:rFonts w:ascii="Cambria" w:hAnsi="Cambria"/>
                <w:sz w:val="20"/>
              </w:rPr>
              <w:t>There are no known indirect consequences of these species on the environment.</w:t>
            </w:r>
          </w:p>
        </w:tc>
      </w:tr>
    </w:tbl>
    <w:p w:rsidR="00B8782D" w:rsidRDefault="00B8782D" w:rsidP="00B8782D">
      <w:pPr>
        <w:pStyle w:val="Heading3"/>
        <w:numPr>
          <w:ilvl w:val="2"/>
          <w:numId w:val="20"/>
        </w:numPr>
      </w:pPr>
      <w:r>
        <w:lastRenderedPageBreak/>
        <w:t>Unrestricted risk estimate</w:t>
      </w:r>
    </w:p>
    <w:p w:rsidR="00B8782D" w:rsidRDefault="00B8782D">
      <w:r>
        <w:t>Unrestricted risk is the result of combining the likelihood of entry, establishment and spread with the outcome of overall consequences. Likelihoods and consequences are combined using the risk estimation matrix shown in Table 2.5.</w:t>
      </w:r>
    </w:p>
    <w:tbl>
      <w:tblPr>
        <w:tblpPr w:leftFromText="180" w:rightFromText="180" w:vertAnchor="text" w:horzAnchor="margin" w:tblpY="95"/>
        <w:tblW w:w="5000" w:type="pct"/>
        <w:tblBorders>
          <w:top w:val="single" w:sz="4" w:space="0" w:color="auto"/>
          <w:bottom w:val="single" w:sz="4" w:space="0" w:color="auto"/>
        </w:tblBorders>
        <w:tblLayout w:type="fixed"/>
        <w:tblCellMar>
          <w:left w:w="115" w:type="dxa"/>
          <w:right w:w="115" w:type="dxa"/>
        </w:tblCellMar>
        <w:tblLook w:val="01E0" w:firstRow="1" w:lastRow="1" w:firstColumn="1" w:lastColumn="1" w:noHBand="0" w:noVBand="0"/>
      </w:tblPr>
      <w:tblGrid>
        <w:gridCol w:w="4943"/>
        <w:gridCol w:w="4127"/>
      </w:tblGrid>
      <w:tr w:rsidR="00B8782D">
        <w:trPr>
          <w:cantSplit/>
        </w:trPr>
        <w:tc>
          <w:tcPr>
            <w:tcW w:w="9300" w:type="dxa"/>
            <w:gridSpan w:val="2"/>
            <w:shd w:val="clear" w:color="auto" w:fill="auto"/>
          </w:tcPr>
          <w:p w:rsidR="00B8782D" w:rsidRDefault="00B8782D">
            <w:pPr>
              <w:pStyle w:val="TableHeading"/>
            </w:pPr>
            <w:r>
              <w:t xml:space="preserve">Unrestricted risk estimate for </w:t>
            </w:r>
            <w:r>
              <w:rPr>
                <w:i/>
              </w:rPr>
              <w:t>Tobacco necrosis viruses</w:t>
            </w:r>
          </w:p>
        </w:tc>
      </w:tr>
      <w:tr w:rsidR="00B8782D">
        <w:trPr>
          <w:cantSplit/>
        </w:trPr>
        <w:tc>
          <w:tcPr>
            <w:tcW w:w="5069" w:type="dxa"/>
            <w:shd w:val="clear" w:color="auto" w:fill="auto"/>
          </w:tcPr>
          <w:p w:rsidR="00B8782D" w:rsidRDefault="00B8782D">
            <w:pPr>
              <w:pStyle w:val="TableText"/>
            </w:pPr>
            <w:r>
              <w:t>Overall likelihood of entry, establishment and spread</w:t>
            </w:r>
          </w:p>
        </w:tc>
        <w:tc>
          <w:tcPr>
            <w:tcW w:w="4231" w:type="dxa"/>
            <w:shd w:val="clear" w:color="auto" w:fill="auto"/>
          </w:tcPr>
          <w:p w:rsidR="00B8782D" w:rsidRDefault="00B8782D">
            <w:pPr>
              <w:pStyle w:val="TableText"/>
            </w:pPr>
            <w:r>
              <w:t>Low</w:t>
            </w:r>
          </w:p>
        </w:tc>
      </w:tr>
      <w:tr w:rsidR="00B8782D">
        <w:trPr>
          <w:cantSplit/>
        </w:trPr>
        <w:tc>
          <w:tcPr>
            <w:tcW w:w="5069" w:type="dxa"/>
            <w:shd w:val="clear" w:color="auto" w:fill="auto"/>
          </w:tcPr>
          <w:p w:rsidR="00B8782D" w:rsidRDefault="00B8782D">
            <w:pPr>
              <w:pStyle w:val="TableText"/>
            </w:pPr>
            <w:r>
              <w:t>Consequences</w:t>
            </w:r>
          </w:p>
        </w:tc>
        <w:tc>
          <w:tcPr>
            <w:tcW w:w="4231" w:type="dxa"/>
            <w:shd w:val="clear" w:color="auto" w:fill="auto"/>
          </w:tcPr>
          <w:p w:rsidR="00B8782D" w:rsidRDefault="00B8782D">
            <w:pPr>
              <w:pStyle w:val="TableText"/>
              <w:rPr>
                <w:highlight w:val="yellow"/>
              </w:rPr>
            </w:pPr>
            <w:r>
              <w:t>Low</w:t>
            </w:r>
          </w:p>
        </w:tc>
      </w:tr>
      <w:tr w:rsidR="00B8782D">
        <w:trPr>
          <w:cantSplit/>
        </w:trPr>
        <w:tc>
          <w:tcPr>
            <w:tcW w:w="5069" w:type="dxa"/>
            <w:shd w:val="clear" w:color="auto" w:fill="auto"/>
          </w:tcPr>
          <w:p w:rsidR="00B8782D" w:rsidRDefault="00B8782D">
            <w:pPr>
              <w:pStyle w:val="TableText"/>
            </w:pPr>
            <w:r>
              <w:t>Unrestricted risk</w:t>
            </w:r>
          </w:p>
        </w:tc>
        <w:tc>
          <w:tcPr>
            <w:tcW w:w="4231" w:type="dxa"/>
            <w:shd w:val="clear" w:color="auto" w:fill="auto"/>
          </w:tcPr>
          <w:p w:rsidR="00B8782D" w:rsidRDefault="00B8782D">
            <w:pPr>
              <w:pStyle w:val="TableText"/>
              <w:rPr>
                <w:highlight w:val="yellow"/>
              </w:rPr>
            </w:pPr>
            <w:r>
              <w:t>Very low</w:t>
            </w:r>
          </w:p>
        </w:tc>
      </w:tr>
    </w:tbl>
    <w:p w:rsidR="00B8782D" w:rsidRDefault="00B8782D">
      <w:pPr>
        <w:sectPr w:rsidR="00B8782D">
          <w:pgSz w:w="11906" w:h="16838"/>
          <w:pgMar w:top="1418" w:right="1418" w:bottom="1418" w:left="1418" w:header="567" w:footer="283" w:gutter="0"/>
          <w:cols w:space="708"/>
          <w:docGrid w:linePitch="360"/>
        </w:sectPr>
      </w:pPr>
      <w:r>
        <w:t xml:space="preserve">As indicated, the unrestricted risk estimate for </w:t>
      </w:r>
      <w:r>
        <w:rPr>
          <w:i/>
        </w:rPr>
        <w:t>Tobacco necrosis viruses</w:t>
      </w:r>
      <w:r>
        <w:t xml:space="preserve"> has been assessed as ‘very low’, which is achieves Australia’s ALOP. Therefore, no specific risk management measure is required for this pest.</w:t>
      </w:r>
      <w:bookmarkStart w:id="111" w:name="_Toc415486526"/>
      <w:bookmarkEnd w:id="111"/>
    </w:p>
    <w:p w:rsidR="00B8782D" w:rsidRDefault="00B8782D" w:rsidP="00B8782D">
      <w:pPr>
        <w:pStyle w:val="Heading2"/>
        <w:numPr>
          <w:ilvl w:val="1"/>
          <w:numId w:val="20"/>
        </w:numPr>
      </w:pPr>
      <w:bookmarkStart w:id="112" w:name="_Toc448312511"/>
      <w:r>
        <w:lastRenderedPageBreak/>
        <w:t>Plum pox virus</w:t>
      </w:r>
      <w:bookmarkEnd w:id="112"/>
    </w:p>
    <w:p w:rsidR="00B8782D" w:rsidRDefault="00B8782D">
      <w:pPr>
        <w:pStyle w:val="Heading4"/>
      </w:pPr>
      <w:r>
        <w:rPr>
          <w:i/>
        </w:rPr>
        <w:t>Plum pox virus</w:t>
      </w:r>
      <w:r>
        <w:t xml:space="preserve"> (PPV) (EP)</w:t>
      </w:r>
    </w:p>
    <w:p w:rsidR="00B8782D" w:rsidRDefault="00B8782D">
      <w:r>
        <w:rPr>
          <w:i/>
        </w:rPr>
        <w:t>Plum pox virus</w:t>
      </w:r>
      <w:r>
        <w:t xml:space="preserve"> (PPV) causes plum pox disease which is also commonly known as Sharka disease </w:t>
      </w:r>
      <w:r w:rsidRPr="00C556DD">
        <w:t xml:space="preserve">and causes obvious disease symptoms in infected stone fruit hosts </w:t>
      </w:r>
      <w:r>
        <w:rPr>
          <w:noProof/>
        </w:rPr>
        <w:t>(Australian Government Department of Agriculture 2014)</w:t>
      </w:r>
      <w:r w:rsidRPr="00C556DD">
        <w:t>.</w:t>
      </w:r>
      <w:r>
        <w:t xml:space="preserve"> PPV is the member of the genus </w:t>
      </w:r>
      <w:r>
        <w:rPr>
          <w:i/>
        </w:rPr>
        <w:t xml:space="preserve">Potyvirus </w:t>
      </w:r>
      <w:r>
        <w:t xml:space="preserve">in the Potyviridae family. There is wide genetic variability within PPV. Based on biology, serology, molecular properties and plant host ranges, eight major strains or subgroups of PPV are recognised </w:t>
      </w:r>
      <w:r>
        <w:rPr>
          <w:noProof/>
        </w:rPr>
        <w:t>(Sochor et al. 2012; Wijkamp &amp; van der Gaag 2011)</w:t>
      </w:r>
      <w:r>
        <w:t xml:space="preserve">. The Dideron strain (PPV-D) is the most common strain and typically infects apricot, peach and plum. This strain is transmitted both by aphids and grafting. PPV-D was also found in peach grafted on infected rootstocks of other species or cultivars (such as </w:t>
      </w:r>
      <w:r>
        <w:rPr>
          <w:i/>
        </w:rPr>
        <w:t>Prunus marianna</w:t>
      </w:r>
      <w:r>
        <w:t>).</w:t>
      </w:r>
    </w:p>
    <w:p w:rsidR="00B8782D" w:rsidRDefault="00B8782D">
      <w:r>
        <w:t>The risk posed by PPV is that infected fruits may enter Australia and result in the establishment of PPV in hosts in Australia.</w:t>
      </w:r>
    </w:p>
    <w:p w:rsidR="00B8782D" w:rsidRDefault="00B8782D">
      <w:r>
        <w:t xml:space="preserve">PPV was assessed in the existing import policy for stonefruit from the USA (California, Idaho, Oregon and Washington) </w:t>
      </w:r>
      <w:r>
        <w:rPr>
          <w:noProof/>
        </w:rPr>
        <w:t>(Biosecurity Australia 2010b)</w:t>
      </w:r>
      <w:r>
        <w:t>. The assessment of PPV presented here builds on this existing policy.</w:t>
      </w:r>
    </w:p>
    <w:p w:rsidR="00B8782D" w:rsidRDefault="00B8782D">
      <w:r>
        <w:t>Differences in horticultural practices and climate conditions and the prevalence of pests between China and the USA make it necessary to reassess the likelihood that PPV will be imported into Australia with nectarines from China.</w:t>
      </w:r>
    </w:p>
    <w:p w:rsidR="00B8782D" w:rsidRDefault="00B8782D">
      <w:r>
        <w:t>Fresh nectarine fruit is expected to be imported from China from May to October which is similar to the timing of the import of stonefruit from the USA. After importation, nectarines will be distributed throughout Australia for retail sale in a similar way to stonefruit from the USA. Therefore, it is considered unnecessary to reassess the likelihood of distribution.</w:t>
      </w:r>
    </w:p>
    <w:p w:rsidR="00B8782D" w:rsidRDefault="00B8782D">
      <w:r>
        <w:t>The likelihood of establishment and spread of PPV in Australia will be comparable regardless of the fresh fruit commodity in which PPV is imported into Australia, as these likelihoods relate specifically to events that occur in Australia and are independent of the importation pathway. The consequences of PPV are also independent of the importation pathway. Accordingly, there is no need to reassess these components of the risk.</w:t>
      </w:r>
    </w:p>
    <w:p w:rsidR="00B8782D" w:rsidRDefault="00B8782D">
      <w:r>
        <w:t>In addition, the Australian Government Department of Agriculture and Water Resources has reviewed the latest literature and no new information is available that would significantly change the risk ratings for distribution, establishment, spread and consequences as set out for</w:t>
      </w:r>
      <w:r>
        <w:rPr>
          <w:i/>
        </w:rPr>
        <w:t xml:space="preserve"> Plum pox virus</w:t>
      </w:r>
      <w:r>
        <w:t xml:space="preserve"> in the existing policy for stonefruit from the USA (California, Idaho, Oregon and Washington) </w:t>
      </w:r>
      <w:r>
        <w:rPr>
          <w:noProof/>
        </w:rPr>
        <w:t>(Biosecurity Australia 2010b)</w:t>
      </w:r>
      <w:r>
        <w:t>. Therefore, those risk ratings will be adopted for this assessment.</w:t>
      </w:r>
    </w:p>
    <w:p w:rsidR="00B8782D" w:rsidRDefault="00B8782D" w:rsidP="00B8782D">
      <w:pPr>
        <w:pStyle w:val="Heading3"/>
        <w:numPr>
          <w:ilvl w:val="2"/>
          <w:numId w:val="20"/>
        </w:numPr>
      </w:pPr>
      <w:r>
        <w:t>Likelihood of entry</w:t>
      </w:r>
    </w:p>
    <w:p w:rsidR="00B8782D" w:rsidRDefault="00B8782D">
      <w:r>
        <w:t>The likelihood of entry is considered in two parts, the likelihood of importation and the likelihood of distribution, which consider pre-border and post-border issues, respectively.</w:t>
      </w:r>
    </w:p>
    <w:p w:rsidR="00B8782D" w:rsidRDefault="00B8782D">
      <w:pPr>
        <w:pStyle w:val="Heading4"/>
      </w:pPr>
      <w:r>
        <w:lastRenderedPageBreak/>
        <w:t>Likelihood of importation</w:t>
      </w:r>
    </w:p>
    <w:p w:rsidR="00B8782D" w:rsidRDefault="00B8782D">
      <w:r>
        <w:t xml:space="preserve">The likelihood that </w:t>
      </w:r>
      <w:r>
        <w:rPr>
          <w:i/>
        </w:rPr>
        <w:t>Plum pox virus</w:t>
      </w:r>
      <w:r>
        <w:t xml:space="preserve"> will arrive in Australia with the importation of nectarine from China is: </w:t>
      </w:r>
      <w:r w:rsidRPr="00EC0C60">
        <w:rPr>
          <w:b/>
        </w:rPr>
        <w:t>Very Low.</w:t>
      </w:r>
    </w:p>
    <w:p w:rsidR="00B8782D" w:rsidRDefault="00B8782D">
      <w:r>
        <w:t>The following information provides supporting evidence for this assessment.</w:t>
      </w:r>
    </w:p>
    <w:p w:rsidR="00B8782D" w:rsidRDefault="00B8782D">
      <w:pPr>
        <w:pStyle w:val="ListBullet"/>
      </w:pPr>
      <w:r>
        <w:t xml:space="preserve">The major hosts of PPV are fruit-producing species of </w:t>
      </w:r>
      <w:r w:rsidRPr="00D2438C">
        <w:rPr>
          <w:i/>
        </w:rPr>
        <w:t>Prunus</w:t>
      </w:r>
      <w:r>
        <w:t xml:space="preserve"> which include nectarine (</w:t>
      </w:r>
      <w:r>
        <w:rPr>
          <w:i/>
        </w:rPr>
        <w:t>P. persica</w:t>
      </w:r>
      <w:r>
        <w:t xml:space="preserve"> var. </w:t>
      </w:r>
      <w:r>
        <w:rPr>
          <w:i/>
        </w:rPr>
        <w:t>nucipersica</w:t>
      </w:r>
      <w:r>
        <w:t xml:space="preserve">) </w:t>
      </w:r>
      <w:r>
        <w:rPr>
          <w:noProof/>
        </w:rPr>
        <w:t>(Sochor et al. 2012)</w:t>
      </w:r>
      <w:r>
        <w:t>.</w:t>
      </w:r>
    </w:p>
    <w:p w:rsidR="00B8782D" w:rsidRDefault="00B8782D" w:rsidP="00066C92">
      <w:pPr>
        <w:pStyle w:val="ListBullet"/>
      </w:pPr>
      <w:r>
        <w:t xml:space="preserve">PPV-D was first reported on apricot by testing leaf samples in 2003-2004 in Hunan province in China </w:t>
      </w:r>
      <w:r>
        <w:rPr>
          <w:noProof/>
        </w:rPr>
        <w:t>(Navratil et al. 2005)</w:t>
      </w:r>
      <w:r>
        <w:t xml:space="preserve"> in the south of the country away from major stonefruit growing provinces. However, PPV is listed as a quarantine pest for China </w:t>
      </w:r>
      <w:r>
        <w:rPr>
          <w:noProof/>
        </w:rPr>
        <w:t>(AQSIQ 2007a)</w:t>
      </w:r>
      <w:r>
        <w:t xml:space="preserve"> and is regulated on international border and domestically.</w:t>
      </w:r>
    </w:p>
    <w:p w:rsidR="00B8782D" w:rsidRDefault="00B8782D" w:rsidP="00CE3C13">
      <w:pPr>
        <w:pStyle w:val="ListBullet"/>
      </w:pPr>
      <w:r>
        <w:t xml:space="preserve">A survey, conducted during 2010 and 2011 in Hunan province, where PPV-D on apricot was reported, and in the major stonefruit growing provinces of Shaanxi, Shandong, Hubei and Liaoning provinces, tested leaf samples by ELISA from apricot, plum, peach and cherry orchards </w:t>
      </w:r>
      <w:r>
        <w:rPr>
          <w:noProof/>
        </w:rPr>
        <w:t>(Li 2012; Wei et al. 2013)</w:t>
      </w:r>
      <w:r>
        <w:t xml:space="preserve">. PPV was not detected in the survey which was completed by testing leaf samples from 10 864 plants from 104 orchards from these 5 provinces. The survey result was presented at the </w:t>
      </w:r>
      <w:r w:rsidRPr="00BE3CC5">
        <w:rPr>
          <w:i/>
        </w:rPr>
        <w:t>International Symposium on Plum Pox Virus</w:t>
      </w:r>
      <w:r>
        <w:t xml:space="preserve"> held in Canada in 2011. The abstract of the presentation was published in </w:t>
      </w:r>
      <w:r w:rsidRPr="00BE3CC5">
        <w:rPr>
          <w:i/>
        </w:rPr>
        <w:t>Canadian Journal of Plant Pathology</w:t>
      </w:r>
      <w:r>
        <w:t xml:space="preserve"> in 2013 </w:t>
      </w:r>
      <w:r>
        <w:rPr>
          <w:noProof/>
        </w:rPr>
        <w:t>(Wei et al. 2013)</w:t>
      </w:r>
      <w:r>
        <w:t>.</w:t>
      </w:r>
    </w:p>
    <w:p w:rsidR="00B8782D" w:rsidRDefault="00B8782D" w:rsidP="00D95064">
      <w:pPr>
        <w:pStyle w:val="ListBullet"/>
      </w:pPr>
      <w:r>
        <w:t xml:space="preserve">The survey conducted in Hunan province </w:t>
      </w:r>
      <w:r>
        <w:rPr>
          <w:noProof/>
        </w:rPr>
        <w:t>(Li 2012)</w:t>
      </w:r>
      <w:r>
        <w:t xml:space="preserve"> reported that Hunan does not have commercial apricot production. The survey covered the 9 villages of four counties where a small number of native apricot trees are locally distributed. Leaf samples from apricot trees in each of these villages were taken. Leaf samples from peach and plum trees in the same areas were also taken. Hunan province has imported 30 apricot trees some years ago, all these imported trees were located and sampled. PPV was not detected. </w:t>
      </w:r>
    </w:p>
    <w:p w:rsidR="00B8782D" w:rsidRDefault="00B8782D">
      <w:pPr>
        <w:pStyle w:val="ListBullet"/>
      </w:pPr>
      <w:r>
        <w:t xml:space="preserve">In Shaanxi province, during the survey in 2010, leaf samples from 7530 randomly selected plants from around 2000 ha plum, peach, apricot and cherry orchards were tested. No PPV infection was detected. In 2011, 800 plants were tested during a targeted sample program for 31 peach, apricot, plum and cherry orchards. No PPV was detected either </w:t>
      </w:r>
      <w:r>
        <w:rPr>
          <w:noProof/>
        </w:rPr>
        <w:t>(Li 2012)</w:t>
      </w:r>
      <w:r w:rsidRPr="00C556DD">
        <w:t>.</w:t>
      </w:r>
    </w:p>
    <w:p w:rsidR="00B8782D" w:rsidRDefault="00B8782D">
      <w:pPr>
        <w:pStyle w:val="ListBullet"/>
      </w:pPr>
      <w:r>
        <w:t xml:space="preserve">There was a recent report of PPV on peach in China without any technical details including the location of the detection </w:t>
      </w:r>
      <w:r>
        <w:rPr>
          <w:noProof/>
        </w:rPr>
        <w:t>(Li &amp; Lu 2013)</w:t>
      </w:r>
      <w:r>
        <w:t xml:space="preserve">. However, Dr Li Shifang, the primary author of the report, confirmed that the statement of PPV on peach in China was an editorial error. The same field survey reported in </w:t>
      </w:r>
      <w:r>
        <w:rPr>
          <w:noProof/>
        </w:rPr>
        <w:t>(Li &amp; Lu 2013)</w:t>
      </w:r>
      <w:r>
        <w:t xml:space="preserve"> has been published in an international journal, </w:t>
      </w:r>
      <w:r w:rsidRPr="005C2B6E">
        <w:rPr>
          <w:i/>
        </w:rPr>
        <w:t>Journal of Plant Patho</w:t>
      </w:r>
      <w:r>
        <w:rPr>
          <w:i/>
        </w:rPr>
        <w:t>lo</w:t>
      </w:r>
      <w:r w:rsidRPr="005C2B6E">
        <w:rPr>
          <w:i/>
        </w:rPr>
        <w:t>gy</w:t>
      </w:r>
      <w:r>
        <w:t xml:space="preserve"> </w:t>
      </w:r>
      <w:r>
        <w:rPr>
          <w:noProof/>
        </w:rPr>
        <w:t>(Yu et al. 2013)</w:t>
      </w:r>
      <w:r>
        <w:t xml:space="preserve"> stating that no infection of PPV has been detected on peach leaves from 12 provinces that included major peach growing regions. This survey was completed by testing more than 500 randomly obtained leaf samples.</w:t>
      </w:r>
    </w:p>
    <w:p w:rsidR="00B8782D" w:rsidRDefault="00B8782D" w:rsidP="000525D0">
      <w:pPr>
        <w:pStyle w:val="ListBullet"/>
      </w:pPr>
      <w:r>
        <w:t>If PPV is present in these major stonefruit growing regions, the incidence rate is below the detection limit of the surveys conducted.</w:t>
      </w:r>
    </w:p>
    <w:p w:rsidR="00B8782D" w:rsidRDefault="00B8782D">
      <w:pPr>
        <w:pStyle w:val="ListBullet"/>
      </w:pPr>
      <w:r>
        <w:t xml:space="preserve">China stone fruit production includes IPM based on monitoring and management of pests and diseases so appropriate management measures can be implemented (refer to Section 3.3.3). No symptoms of PPV were seen in orchards visited or in commercial stone fruit at retail outlets during the field a verification visit in Shanxi Province in June 2015. All orchard </w:t>
      </w:r>
      <w:r>
        <w:lastRenderedPageBreak/>
        <w:t>managers were shown a copy of PPV symptoms and all stated that they had never seen the obvious symptoms of PPV infection.</w:t>
      </w:r>
    </w:p>
    <w:p w:rsidR="00B8782D" w:rsidRDefault="00B8782D">
      <w:pPr>
        <w:pStyle w:val="ListBullet"/>
      </w:pPr>
      <w:r>
        <w:t xml:space="preserve">Fruit has been experimentally demonstrated as a potential pathway for the movement of PPV </w:t>
      </w:r>
      <w:r>
        <w:rPr>
          <w:noProof/>
        </w:rPr>
        <w:t>(Gildow et al. 2004; Wallis et al. 2005)</w:t>
      </w:r>
      <w:r>
        <w:t>, although it poses a lower risk than plant propagation materials.</w:t>
      </w:r>
    </w:p>
    <w:p w:rsidR="00B8782D" w:rsidRDefault="00B8782D">
      <w:pPr>
        <w:pStyle w:val="ListBullet"/>
      </w:pPr>
      <w:r>
        <w:t xml:space="preserve">PPV symptoms may appear on the leaves, bark, fruits, flowers or seeds </w:t>
      </w:r>
      <w:r>
        <w:rPr>
          <w:noProof/>
        </w:rPr>
        <w:t>(Schneider et al. 2011; Wang et al. 2006)</w:t>
      </w:r>
      <w:r>
        <w:t xml:space="preserve">. Infected fruits can show chlorotic spots or yellow rings or line patterns, and fruit can become deformed or irregular in shape and develop brown or necrotic areas </w:t>
      </w:r>
      <w:r>
        <w:rPr>
          <w:noProof/>
        </w:rPr>
        <w:t>(CABI &amp; EPPO 2004)</w:t>
      </w:r>
      <w:r>
        <w:t xml:space="preserve">. Diseased fruits have browned flesh </w:t>
      </w:r>
      <w:r>
        <w:rPr>
          <w:noProof/>
        </w:rPr>
        <w:t>(CABI &amp; EPPO 2004)</w:t>
      </w:r>
      <w:r>
        <w:t>. Symptomatic fruits can easily be detected and discarded during the production process or at packaging for export.</w:t>
      </w:r>
    </w:p>
    <w:p w:rsidR="00B8782D" w:rsidRDefault="00B8782D">
      <w:pPr>
        <w:pStyle w:val="ListBullet"/>
      </w:pPr>
      <w:r>
        <w:t xml:space="preserve">Newly infected nectarine trees may be symptomless </w:t>
      </w:r>
      <w:r>
        <w:rPr>
          <w:noProof/>
        </w:rPr>
        <w:t>(Cornell University 2010)</w:t>
      </w:r>
      <w:r>
        <w:t xml:space="preserve"> and infected trees may act as an unrecognised reservoir for the </w:t>
      </w:r>
      <w:r w:rsidRPr="005631F5">
        <w:t>pathogen.</w:t>
      </w:r>
    </w:p>
    <w:p w:rsidR="00B8782D" w:rsidRDefault="00B8782D">
      <w:pPr>
        <w:pStyle w:val="ListBullet"/>
      </w:pPr>
      <w:r>
        <w:t xml:space="preserve">The D strain of the virus has been detected in symptomless fruit </w:t>
      </w:r>
      <w:r>
        <w:rPr>
          <w:noProof/>
        </w:rPr>
        <w:t>(Gildow et al. 2004)</w:t>
      </w:r>
      <w:r>
        <w:t>. It is likely that asymptomatic fruit will escape detection during routine harvesting and packinghouse processes.</w:t>
      </w:r>
    </w:p>
    <w:p w:rsidR="00B8782D" w:rsidRDefault="00B8782D">
      <w:pPr>
        <w:pStyle w:val="ListBullet"/>
      </w:pPr>
      <w:r>
        <w:t xml:space="preserve">PPV can survive in fruit transported either by air or sea freight to Australia, transportation may take a few days to weeks. PPV can survive in fruits and be transmitted at all stages of fruit ripening, including overripe/rotting fruits </w:t>
      </w:r>
      <w:r>
        <w:rPr>
          <w:noProof/>
        </w:rPr>
        <w:t>(Labonne &amp; Quiot 2001)</w:t>
      </w:r>
      <w:r>
        <w:t>.</w:t>
      </w:r>
    </w:p>
    <w:p w:rsidR="00B8782D" w:rsidRDefault="00B8782D">
      <w:pPr>
        <w:pStyle w:val="ListBullet"/>
      </w:pPr>
      <w:r>
        <w:t xml:space="preserve">Cold storage treatment during transport does not eliminate the virus. PPV can be recovered from fruit stored for up to a month at 4 °C </w:t>
      </w:r>
      <w:r>
        <w:rPr>
          <w:noProof/>
        </w:rPr>
        <w:t>(CABI &amp; EPPO 2004; Gildow et al. 2004)</w:t>
      </w:r>
      <w:r>
        <w:t>.</w:t>
      </w:r>
    </w:p>
    <w:p w:rsidR="00B8782D" w:rsidRDefault="00B8782D">
      <w:r>
        <w:t xml:space="preserve">There was a single confirmed report of </w:t>
      </w:r>
      <w:r>
        <w:rPr>
          <w:i/>
        </w:rPr>
        <w:t>plum pox virus</w:t>
      </w:r>
      <w:r>
        <w:t xml:space="preserve"> in China. However, two surveys that included the province in which plum pox virus was initially reported did not detect PPV. The surveys included China’s major peach and nectarine production regions and indicates that the incidence rate of PPV in the major stonefruit growing regions is below the detection limit of these surveys. In addition, PPV symptoms are obvious and this virus has not been detected in more than 11 years since the first report of PPV on apricot in Hunan province. Based on the historical absence, targeted surveys and general surveillance that would likely detect the obvious symptoms of PPV, it is considered PPV is absent from the major nectarine production areas of China. </w:t>
      </w:r>
      <w:r>
        <w:rPr>
          <w:i/>
        </w:rPr>
        <w:t>Plum pox virus</w:t>
      </w:r>
      <w:r>
        <w:t xml:space="preserve"> may be associated with asymptomatic nectarine fruit that is unlikely to be detected during packinghouses processes. PPV may survive cold storage and transportation. This information supports a likelihood estimate for importation of ‘very low’.</w:t>
      </w:r>
    </w:p>
    <w:p w:rsidR="00B8782D" w:rsidRDefault="00B8782D">
      <w:pPr>
        <w:pStyle w:val="Heading4"/>
      </w:pPr>
      <w:r>
        <w:t>Likelihood of distribution</w:t>
      </w:r>
    </w:p>
    <w:p w:rsidR="00B8782D" w:rsidRDefault="00B8782D">
      <w:r>
        <w:t xml:space="preserve">The likelihood of distribution for </w:t>
      </w:r>
      <w:r>
        <w:rPr>
          <w:i/>
        </w:rPr>
        <w:t>Plum pox virus</w:t>
      </w:r>
      <w:r>
        <w:t xml:space="preserve"> assessed here would be the same as that for </w:t>
      </w:r>
      <w:r>
        <w:rPr>
          <w:i/>
        </w:rPr>
        <w:t>Plum pox virus</w:t>
      </w:r>
      <w:r>
        <w:t xml:space="preserve"> for stonefruit from the USA (California, Idaho, Oregon and Washington) </w:t>
      </w:r>
      <w:r>
        <w:rPr>
          <w:noProof/>
        </w:rPr>
        <w:t>(Biosecurity Australia 2010b)</w:t>
      </w:r>
      <w:r>
        <w:t xml:space="preserve">, that is </w:t>
      </w:r>
      <w:r>
        <w:rPr>
          <w:b/>
        </w:rPr>
        <w:t>Low.</w:t>
      </w:r>
    </w:p>
    <w:p w:rsidR="00B8782D" w:rsidRDefault="00B8782D">
      <w:pPr>
        <w:pStyle w:val="Heading4"/>
      </w:pPr>
      <w:r>
        <w:t>Overall likelihood of entry</w:t>
      </w:r>
    </w:p>
    <w:p w:rsidR="00B8782D" w:rsidRDefault="00B8782D">
      <w:r>
        <w:t>The overall likelihood of entry is determined by combining the likelihood of importation and of distribution using the matrix of rules shown in Table 2.2.</w:t>
      </w:r>
    </w:p>
    <w:p w:rsidR="00B8782D" w:rsidRDefault="00B8782D">
      <w:r>
        <w:lastRenderedPageBreak/>
        <w:t xml:space="preserve">The likelihood that PPV will enter Australia as a result of trade in nectarines from China and be distributed in a viable state to a susceptible host is: </w:t>
      </w:r>
      <w:r>
        <w:rPr>
          <w:b/>
        </w:rPr>
        <w:t>Very low.</w:t>
      </w:r>
    </w:p>
    <w:p w:rsidR="00B8782D" w:rsidRDefault="00B8782D" w:rsidP="00B8782D">
      <w:pPr>
        <w:pStyle w:val="Heading3"/>
        <w:numPr>
          <w:ilvl w:val="2"/>
          <w:numId w:val="20"/>
        </w:numPr>
      </w:pPr>
      <w:r>
        <w:t>Likelihood of establishment and spread</w:t>
      </w:r>
    </w:p>
    <w:p w:rsidR="00B8782D" w:rsidRDefault="00B8782D">
      <w:r>
        <w:t xml:space="preserve">As indicated, the likelihood of establishment and spread for </w:t>
      </w:r>
      <w:r>
        <w:rPr>
          <w:i/>
        </w:rPr>
        <w:t>Plum pox virus</w:t>
      </w:r>
      <w:r>
        <w:t xml:space="preserve"> is based on the assessment for fresh stonefruit from the USA (California, Idaho, Oregon and Washington) </w:t>
      </w:r>
      <w:r>
        <w:rPr>
          <w:noProof/>
        </w:rPr>
        <w:t>(Biosecurity Australia 2010b)</w:t>
      </w:r>
      <w:r>
        <w:t>. That assessment used the same methodology as described in Chapter 2 of this report. The ratings from the previous assessment of PPV are presented below:</w:t>
      </w:r>
    </w:p>
    <w:p w:rsidR="00B8782D" w:rsidRDefault="00B8782D">
      <w:pPr>
        <w:rPr>
          <w:b/>
        </w:rPr>
      </w:pPr>
      <w:r>
        <w:t>Likelihood of establishment</w:t>
      </w:r>
      <w:r>
        <w:tab/>
      </w:r>
      <w:r>
        <w:rPr>
          <w:b/>
        </w:rPr>
        <w:t>High</w:t>
      </w:r>
    </w:p>
    <w:p w:rsidR="00B8782D" w:rsidRDefault="00B8782D">
      <w:pPr>
        <w:rPr>
          <w:b/>
        </w:rPr>
      </w:pPr>
      <w:r>
        <w:t>Likelihood of spread</w:t>
      </w:r>
      <w:r>
        <w:tab/>
      </w:r>
      <w:r>
        <w:tab/>
      </w:r>
      <w:r>
        <w:rPr>
          <w:b/>
        </w:rPr>
        <w:t>High</w:t>
      </w:r>
    </w:p>
    <w:p w:rsidR="00B8782D" w:rsidRDefault="00B8782D" w:rsidP="00B8782D">
      <w:pPr>
        <w:pStyle w:val="Heading3"/>
        <w:numPr>
          <w:ilvl w:val="2"/>
          <w:numId w:val="20"/>
        </w:numPr>
      </w:pPr>
      <w:r>
        <w:t>Overall likelihood of entry, establishment and spread</w:t>
      </w:r>
    </w:p>
    <w:p w:rsidR="00B8782D" w:rsidRDefault="00B8782D">
      <w:r>
        <w:t>The overall likelihood of entry, establishment and spread is determined by combining the likelihoods of entry, of establishment and of spread using the matrix of rules shown in Table 2.2.</w:t>
      </w:r>
    </w:p>
    <w:p w:rsidR="00B8782D" w:rsidRDefault="00B8782D">
      <w:r>
        <w:t xml:space="preserve">The overall likelihood that </w:t>
      </w:r>
      <w:r>
        <w:rPr>
          <w:i/>
        </w:rPr>
        <w:t>Plum pox virus</w:t>
      </w:r>
      <w:r>
        <w:t xml:space="preserve"> will enter Australia as a result of trade in nectarine fruit from China, be distributed in a viable state to a susceptible host, establish in Australia and subsequently spread within Australia is: </w:t>
      </w:r>
      <w:r>
        <w:rPr>
          <w:b/>
        </w:rPr>
        <w:t>Very low</w:t>
      </w:r>
      <w:r>
        <w:t>.</w:t>
      </w:r>
    </w:p>
    <w:p w:rsidR="00B8782D" w:rsidRDefault="00B8782D" w:rsidP="00B8782D">
      <w:pPr>
        <w:pStyle w:val="Heading3"/>
        <w:numPr>
          <w:ilvl w:val="2"/>
          <w:numId w:val="20"/>
        </w:numPr>
      </w:pPr>
      <w:r>
        <w:t>Consequences</w:t>
      </w:r>
    </w:p>
    <w:p w:rsidR="00B8782D" w:rsidRDefault="00B8782D">
      <w:r>
        <w:t xml:space="preserve">The potential consequences of the establishment </w:t>
      </w:r>
      <w:r>
        <w:rPr>
          <w:i/>
        </w:rPr>
        <w:t>Plum pox virus</w:t>
      </w:r>
      <w:r>
        <w:t xml:space="preserve"> in Australia have been estimated previously for fresh stonefruit from the USA (California, Idaho, Oregon and Washington) </w:t>
      </w:r>
      <w:r>
        <w:rPr>
          <w:noProof/>
        </w:rPr>
        <w:t>(Biosecurity Australia 2010b)</w:t>
      </w:r>
      <w:r>
        <w:t xml:space="preserve">. The overall consequences have been estimated to be: </w:t>
      </w:r>
      <w:r>
        <w:rPr>
          <w:b/>
        </w:rPr>
        <w:t>High</w:t>
      </w:r>
      <w:r>
        <w:t>.</w:t>
      </w:r>
    </w:p>
    <w:p w:rsidR="00B8782D" w:rsidRDefault="00B8782D" w:rsidP="00B8782D">
      <w:pPr>
        <w:pStyle w:val="Heading3"/>
        <w:numPr>
          <w:ilvl w:val="2"/>
          <w:numId w:val="20"/>
        </w:numPr>
      </w:pPr>
      <w:r>
        <w:t>Unrestricted risk estimate</w:t>
      </w:r>
    </w:p>
    <w:p w:rsidR="00B8782D" w:rsidRDefault="00B8782D">
      <w:r>
        <w:t>Unrestricted risk is the result of combining the likelihoods of entry, establishment and spread with the outcome of overall consequences. Likelihoods and consequences are combined using the risk estimation matrix shown in Table 2.5</w:t>
      </w:r>
    </w:p>
    <w:tbl>
      <w:tblPr>
        <w:tblW w:w="5000" w:type="pct"/>
        <w:tblBorders>
          <w:top w:val="single" w:sz="4" w:space="0" w:color="auto"/>
          <w:bottom w:val="single" w:sz="4" w:space="0" w:color="auto"/>
        </w:tblBorders>
        <w:tblLayout w:type="fixed"/>
        <w:tblCellMar>
          <w:left w:w="115" w:type="dxa"/>
          <w:right w:w="115" w:type="dxa"/>
        </w:tblCellMar>
        <w:tblLook w:val="01E0" w:firstRow="1" w:lastRow="1" w:firstColumn="1" w:lastColumn="1" w:noHBand="0" w:noVBand="0"/>
      </w:tblPr>
      <w:tblGrid>
        <w:gridCol w:w="4943"/>
        <w:gridCol w:w="4127"/>
      </w:tblGrid>
      <w:tr w:rsidR="00B8782D">
        <w:trPr>
          <w:cantSplit/>
        </w:trPr>
        <w:tc>
          <w:tcPr>
            <w:tcW w:w="9300" w:type="dxa"/>
            <w:gridSpan w:val="2"/>
            <w:shd w:val="clear" w:color="auto" w:fill="auto"/>
          </w:tcPr>
          <w:p w:rsidR="00B8782D" w:rsidRDefault="00B8782D">
            <w:pPr>
              <w:pStyle w:val="TableHeading"/>
            </w:pPr>
            <w:r>
              <w:t xml:space="preserve">Unrestricted risk estimate for </w:t>
            </w:r>
            <w:r>
              <w:rPr>
                <w:i/>
              </w:rPr>
              <w:t>Plum pox virus</w:t>
            </w:r>
          </w:p>
        </w:tc>
      </w:tr>
      <w:tr w:rsidR="00B8782D">
        <w:trPr>
          <w:cantSplit/>
        </w:trPr>
        <w:tc>
          <w:tcPr>
            <w:tcW w:w="5069" w:type="dxa"/>
            <w:shd w:val="clear" w:color="auto" w:fill="auto"/>
          </w:tcPr>
          <w:p w:rsidR="00B8782D" w:rsidRDefault="00B8782D">
            <w:pPr>
              <w:pStyle w:val="TableText"/>
            </w:pPr>
            <w:r>
              <w:t>Overall likelihood of entry, establishment and spread</w:t>
            </w:r>
          </w:p>
        </w:tc>
        <w:tc>
          <w:tcPr>
            <w:tcW w:w="4231" w:type="dxa"/>
            <w:shd w:val="clear" w:color="auto" w:fill="auto"/>
          </w:tcPr>
          <w:p w:rsidR="00B8782D" w:rsidRDefault="00B8782D">
            <w:pPr>
              <w:pStyle w:val="TableText"/>
            </w:pPr>
            <w:r>
              <w:t>Very low</w:t>
            </w:r>
          </w:p>
        </w:tc>
      </w:tr>
      <w:tr w:rsidR="00B8782D">
        <w:trPr>
          <w:cantSplit/>
        </w:trPr>
        <w:tc>
          <w:tcPr>
            <w:tcW w:w="5069" w:type="dxa"/>
            <w:shd w:val="clear" w:color="auto" w:fill="auto"/>
          </w:tcPr>
          <w:p w:rsidR="00B8782D" w:rsidRDefault="00B8782D">
            <w:pPr>
              <w:pStyle w:val="TableText"/>
            </w:pPr>
            <w:r>
              <w:t>Consequences</w:t>
            </w:r>
          </w:p>
        </w:tc>
        <w:tc>
          <w:tcPr>
            <w:tcW w:w="4231" w:type="dxa"/>
            <w:shd w:val="clear" w:color="auto" w:fill="auto"/>
          </w:tcPr>
          <w:p w:rsidR="00B8782D" w:rsidRDefault="00B8782D">
            <w:pPr>
              <w:pStyle w:val="TableText"/>
              <w:rPr>
                <w:highlight w:val="yellow"/>
              </w:rPr>
            </w:pPr>
            <w:r>
              <w:t>High</w:t>
            </w:r>
          </w:p>
        </w:tc>
      </w:tr>
      <w:tr w:rsidR="00B8782D">
        <w:trPr>
          <w:cantSplit/>
        </w:trPr>
        <w:tc>
          <w:tcPr>
            <w:tcW w:w="5069" w:type="dxa"/>
            <w:shd w:val="clear" w:color="auto" w:fill="auto"/>
          </w:tcPr>
          <w:p w:rsidR="00B8782D" w:rsidRDefault="00B8782D">
            <w:pPr>
              <w:pStyle w:val="TableText"/>
            </w:pPr>
            <w:r>
              <w:t>Unrestricted risk</w:t>
            </w:r>
          </w:p>
        </w:tc>
        <w:tc>
          <w:tcPr>
            <w:tcW w:w="4231" w:type="dxa"/>
            <w:shd w:val="clear" w:color="auto" w:fill="auto"/>
          </w:tcPr>
          <w:p w:rsidR="00B8782D" w:rsidRDefault="00B8782D">
            <w:pPr>
              <w:pStyle w:val="TableText"/>
              <w:rPr>
                <w:highlight w:val="yellow"/>
              </w:rPr>
            </w:pPr>
            <w:r>
              <w:t>Low</w:t>
            </w:r>
          </w:p>
        </w:tc>
      </w:tr>
    </w:tbl>
    <w:p w:rsidR="00B8782D" w:rsidRDefault="00B8782D">
      <w:r>
        <w:t xml:space="preserve">As indicated, the unrestricted risk estimate for </w:t>
      </w:r>
      <w:r>
        <w:rPr>
          <w:i/>
        </w:rPr>
        <w:t>Plum pox virus</w:t>
      </w:r>
      <w:r>
        <w:t xml:space="preserve"> has been assessed as ‘Low’, which is above Australia’s ALOP. Therefore, specific risk management measures are required for this pest.</w:t>
      </w:r>
    </w:p>
    <w:p w:rsidR="00B8782D" w:rsidRDefault="00B8782D">
      <w:pPr>
        <w:sectPr w:rsidR="00B8782D">
          <w:pgSz w:w="11906" w:h="16838"/>
          <w:pgMar w:top="1418" w:right="1418" w:bottom="1418" w:left="1418" w:header="567" w:footer="283" w:gutter="0"/>
          <w:cols w:space="708"/>
          <w:docGrid w:linePitch="360"/>
        </w:sectPr>
      </w:pPr>
    </w:p>
    <w:p w:rsidR="00B8782D" w:rsidRDefault="00B8782D" w:rsidP="00B8782D">
      <w:pPr>
        <w:pStyle w:val="Heading2"/>
        <w:numPr>
          <w:ilvl w:val="1"/>
          <w:numId w:val="20"/>
        </w:numPr>
      </w:pPr>
      <w:bookmarkStart w:id="113" w:name="_Toc448312512"/>
      <w:r>
        <w:lastRenderedPageBreak/>
        <w:t>Pest risk assessment conclusions</w:t>
      </w:r>
      <w:bookmarkEnd w:id="113"/>
    </w:p>
    <w:p w:rsidR="00B8782D" w:rsidRDefault="00B8782D">
      <w:pPr>
        <w:pStyle w:val="BoxHeading"/>
      </w:pPr>
      <w:r>
        <w:t>Key to Table 4.2 (starting next page)</w:t>
      </w:r>
    </w:p>
    <w:p w:rsidR="00B8782D" w:rsidRDefault="00B8782D">
      <w:pPr>
        <w:pStyle w:val="BoxText"/>
      </w:pPr>
      <w:r>
        <w:t>Genus species (Acronym for state/territory): state/territory in which regional quarantine pests have been identified</w:t>
      </w:r>
    </w:p>
    <w:p w:rsidR="00B8782D" w:rsidRDefault="00B8782D">
      <w:pPr>
        <w:pStyle w:val="BoxHeading"/>
      </w:pPr>
      <w:r>
        <w:t>Likelihoods for entry, establishment and spread</w:t>
      </w:r>
    </w:p>
    <w:p w:rsidR="00B8782D" w:rsidRDefault="00B8782D">
      <w:pPr>
        <w:pStyle w:val="BoxText"/>
      </w:pPr>
      <w:r>
        <w:t>N</w:t>
      </w:r>
      <w:r>
        <w:tab/>
        <w:t>negligible</w:t>
      </w:r>
    </w:p>
    <w:p w:rsidR="00B8782D" w:rsidRDefault="00B8782D">
      <w:pPr>
        <w:pStyle w:val="BoxText"/>
      </w:pPr>
      <w:r>
        <w:t>EL</w:t>
      </w:r>
      <w:r>
        <w:tab/>
        <w:t>extremely low</w:t>
      </w:r>
    </w:p>
    <w:p w:rsidR="00B8782D" w:rsidRDefault="00B8782D">
      <w:pPr>
        <w:pStyle w:val="BoxText"/>
      </w:pPr>
      <w:r>
        <w:t>VL</w:t>
      </w:r>
      <w:r>
        <w:tab/>
        <w:t>very low</w:t>
      </w:r>
    </w:p>
    <w:p w:rsidR="00B8782D" w:rsidRDefault="00B8782D">
      <w:pPr>
        <w:pStyle w:val="BoxText"/>
      </w:pPr>
      <w:r>
        <w:t>L</w:t>
      </w:r>
      <w:r>
        <w:tab/>
        <w:t>low</w:t>
      </w:r>
    </w:p>
    <w:p w:rsidR="00B8782D" w:rsidRDefault="00B8782D">
      <w:pPr>
        <w:pStyle w:val="BoxText"/>
      </w:pPr>
      <w:r>
        <w:t>M</w:t>
      </w:r>
      <w:r>
        <w:tab/>
        <w:t>moderate</w:t>
      </w:r>
    </w:p>
    <w:p w:rsidR="00B8782D" w:rsidRDefault="00B8782D">
      <w:pPr>
        <w:pStyle w:val="BoxText"/>
      </w:pPr>
      <w:r>
        <w:t>H</w:t>
      </w:r>
      <w:r>
        <w:tab/>
        <w:t>high</w:t>
      </w:r>
    </w:p>
    <w:p w:rsidR="00B8782D" w:rsidRDefault="00B8782D">
      <w:pPr>
        <w:pStyle w:val="BoxText"/>
      </w:pPr>
      <w:r>
        <w:t>EES</w:t>
      </w:r>
      <w:r>
        <w:tab/>
        <w:t>overall likelihood of entry, establishment and spread</w:t>
      </w:r>
    </w:p>
    <w:p w:rsidR="00B8782D" w:rsidRDefault="00B8782D">
      <w:pPr>
        <w:pStyle w:val="BoxText"/>
      </w:pPr>
      <w:r>
        <w:t>URE</w:t>
      </w:r>
      <w:r>
        <w:tab/>
        <w:t>unrestricted risk estimate. This is expressed on an ascending scale from negligible to extreme.</w:t>
      </w:r>
    </w:p>
    <w:p w:rsidR="00B8782D" w:rsidRDefault="00B8782D"/>
    <w:p w:rsidR="00B8782D" w:rsidRDefault="00B8782D">
      <w:pPr>
        <w:sectPr w:rsidR="00B8782D">
          <w:pgSz w:w="11906" w:h="16838"/>
          <w:pgMar w:top="1418" w:right="1418" w:bottom="1418" w:left="1418" w:header="567" w:footer="283" w:gutter="0"/>
          <w:cols w:space="708"/>
          <w:docGrid w:linePitch="360"/>
        </w:sectPr>
      </w:pPr>
    </w:p>
    <w:p w:rsidR="00B8782D" w:rsidRDefault="00B8782D">
      <w:pPr>
        <w:pStyle w:val="Caption"/>
        <w:rPr>
          <w:color w:val="auto"/>
        </w:rPr>
      </w:pPr>
      <w:bookmarkStart w:id="114" w:name="_Toc384979285"/>
      <w:bookmarkStart w:id="115" w:name="_Toc448236045"/>
      <w:r>
        <w:lastRenderedPageBreak/>
        <w:t xml:space="preserve">Table </w:t>
      </w:r>
      <w:r w:rsidR="00EA0C11">
        <w:fldChar w:fldCharType="begin"/>
      </w:r>
      <w:r w:rsidR="00EA0C11">
        <w:instrText xml:space="preserve"> STYLEREF 1 \s </w:instrText>
      </w:r>
      <w:r w:rsidR="00EA0C11">
        <w:fldChar w:fldCharType="separate"/>
      </w:r>
      <w:r w:rsidR="00457D54">
        <w:rPr>
          <w:noProof/>
        </w:rPr>
        <w:t>4</w:t>
      </w:r>
      <w:r w:rsidR="00EA0C11">
        <w:rPr>
          <w:noProof/>
        </w:rPr>
        <w:fldChar w:fldCharType="end"/>
      </w:r>
      <w:r>
        <w:t>.</w:t>
      </w:r>
      <w:r w:rsidR="00EA0C11">
        <w:fldChar w:fldCharType="begin"/>
      </w:r>
      <w:r w:rsidR="00EA0C11">
        <w:instrText xml:space="preserve"> SEQ Table \* ARABIC \s 1 </w:instrText>
      </w:r>
      <w:r w:rsidR="00EA0C11">
        <w:fldChar w:fldCharType="separate"/>
      </w:r>
      <w:r w:rsidR="00457D54">
        <w:rPr>
          <w:noProof/>
        </w:rPr>
        <w:t>2</w:t>
      </w:r>
      <w:r w:rsidR="00EA0C11">
        <w:rPr>
          <w:noProof/>
        </w:rPr>
        <w:fldChar w:fldCharType="end"/>
      </w:r>
      <w:r>
        <w:t xml:space="preserve"> Summary of unrestricted risk estimates for quarantine pests associated with fresh nectarine fruit from China</w:t>
      </w:r>
      <w:bookmarkEnd w:id="114"/>
      <w:bookmarkEnd w:id="115"/>
    </w:p>
    <w:tbl>
      <w:tblPr>
        <w:tblW w:w="5000" w:type="pct"/>
        <w:tblBorders>
          <w:insideH w:val="single" w:sz="4" w:space="0" w:color="auto"/>
        </w:tblBorders>
        <w:tblLook w:val="0000" w:firstRow="0" w:lastRow="0" w:firstColumn="0" w:lastColumn="0" w:noHBand="0" w:noVBand="0"/>
      </w:tblPr>
      <w:tblGrid>
        <w:gridCol w:w="3103"/>
        <w:gridCol w:w="1173"/>
        <w:gridCol w:w="1176"/>
        <w:gridCol w:w="1722"/>
        <w:gridCol w:w="1563"/>
        <w:gridCol w:w="1143"/>
        <w:gridCol w:w="1277"/>
        <w:gridCol w:w="1420"/>
        <w:gridCol w:w="1425"/>
      </w:tblGrid>
      <w:tr w:rsidR="00B8782D">
        <w:trPr>
          <w:cantSplit/>
          <w:tblHeader/>
        </w:trPr>
        <w:tc>
          <w:tcPr>
            <w:tcW w:w="3984" w:type="pct"/>
            <w:gridSpan w:val="7"/>
            <w:tcBorders>
              <w:top w:val="single" w:sz="4" w:space="0" w:color="auto"/>
              <w:bottom w:val="single" w:sz="4" w:space="0" w:color="auto"/>
            </w:tcBorders>
          </w:tcPr>
          <w:p w:rsidR="00B8782D" w:rsidRDefault="00B8782D">
            <w:pPr>
              <w:pStyle w:val="TableHeading"/>
              <w:jc w:val="center"/>
            </w:pPr>
            <w:r>
              <w:t>Likelihood of</w:t>
            </w:r>
          </w:p>
        </w:tc>
        <w:tc>
          <w:tcPr>
            <w:tcW w:w="507" w:type="pct"/>
            <w:vMerge w:val="restart"/>
            <w:tcBorders>
              <w:top w:val="single" w:sz="4" w:space="0" w:color="auto"/>
              <w:bottom w:val="single" w:sz="4" w:space="0" w:color="auto"/>
            </w:tcBorders>
          </w:tcPr>
          <w:p w:rsidR="00B8782D" w:rsidRDefault="00B8782D">
            <w:pPr>
              <w:pStyle w:val="TableHeading"/>
            </w:pPr>
            <w:r>
              <w:t>Consequences</w:t>
            </w:r>
          </w:p>
        </w:tc>
        <w:tc>
          <w:tcPr>
            <w:tcW w:w="509" w:type="pct"/>
            <w:vMerge w:val="restart"/>
            <w:tcBorders>
              <w:top w:val="single" w:sz="4" w:space="0" w:color="auto"/>
              <w:bottom w:val="single" w:sz="4" w:space="0" w:color="auto"/>
            </w:tcBorders>
          </w:tcPr>
          <w:p w:rsidR="00B8782D" w:rsidRDefault="00B8782D">
            <w:pPr>
              <w:pStyle w:val="TableHeading"/>
            </w:pPr>
            <w:r>
              <w:t>URE</w:t>
            </w:r>
          </w:p>
        </w:tc>
      </w:tr>
      <w:tr w:rsidR="00B8782D">
        <w:trPr>
          <w:cantSplit/>
          <w:tblHeader/>
        </w:trPr>
        <w:tc>
          <w:tcPr>
            <w:tcW w:w="1108" w:type="pct"/>
            <w:vMerge w:val="restart"/>
            <w:tcBorders>
              <w:top w:val="single" w:sz="4" w:space="0" w:color="auto"/>
            </w:tcBorders>
          </w:tcPr>
          <w:p w:rsidR="00B8782D" w:rsidRDefault="00B8782D">
            <w:pPr>
              <w:pStyle w:val="TableHeading"/>
            </w:pPr>
            <w:r>
              <w:t>Pest name</w:t>
            </w:r>
          </w:p>
        </w:tc>
        <w:tc>
          <w:tcPr>
            <w:tcW w:w="1454" w:type="pct"/>
            <w:gridSpan w:val="3"/>
            <w:tcBorders>
              <w:top w:val="single" w:sz="4" w:space="0" w:color="auto"/>
            </w:tcBorders>
            <w:shd w:val="clear" w:color="auto" w:fill="auto"/>
            <w:vAlign w:val="center"/>
          </w:tcPr>
          <w:p w:rsidR="00B8782D" w:rsidRDefault="00B8782D">
            <w:pPr>
              <w:pStyle w:val="TableHeading"/>
            </w:pPr>
            <w:r>
              <w:t>Entry</w:t>
            </w:r>
          </w:p>
        </w:tc>
        <w:tc>
          <w:tcPr>
            <w:tcW w:w="558" w:type="pct"/>
            <w:vMerge w:val="restart"/>
            <w:tcBorders>
              <w:top w:val="single" w:sz="4" w:space="0" w:color="auto"/>
            </w:tcBorders>
            <w:shd w:val="clear" w:color="auto" w:fill="auto"/>
          </w:tcPr>
          <w:p w:rsidR="00B8782D" w:rsidRDefault="00B8782D">
            <w:pPr>
              <w:pStyle w:val="TableHeading"/>
            </w:pPr>
            <w:r>
              <w:t>Establishment</w:t>
            </w:r>
          </w:p>
        </w:tc>
        <w:tc>
          <w:tcPr>
            <w:tcW w:w="408" w:type="pct"/>
            <w:vMerge w:val="restart"/>
            <w:tcBorders>
              <w:top w:val="single" w:sz="4" w:space="0" w:color="auto"/>
            </w:tcBorders>
            <w:shd w:val="clear" w:color="auto" w:fill="auto"/>
          </w:tcPr>
          <w:p w:rsidR="00B8782D" w:rsidRDefault="00B8782D">
            <w:pPr>
              <w:pStyle w:val="TableHeading"/>
            </w:pPr>
            <w:r>
              <w:t>Spread</w:t>
            </w:r>
          </w:p>
        </w:tc>
        <w:tc>
          <w:tcPr>
            <w:tcW w:w="456" w:type="pct"/>
            <w:vMerge w:val="restart"/>
            <w:tcBorders>
              <w:top w:val="single" w:sz="4" w:space="0" w:color="auto"/>
            </w:tcBorders>
            <w:shd w:val="clear" w:color="auto" w:fill="auto"/>
          </w:tcPr>
          <w:p w:rsidR="00B8782D" w:rsidRDefault="00B8782D">
            <w:pPr>
              <w:pStyle w:val="TableHeading"/>
            </w:pPr>
            <w:r>
              <w:t>P[EES]</w:t>
            </w:r>
          </w:p>
        </w:tc>
        <w:tc>
          <w:tcPr>
            <w:tcW w:w="507" w:type="pct"/>
            <w:vMerge/>
            <w:tcBorders>
              <w:top w:val="single" w:sz="4" w:space="0" w:color="auto"/>
              <w:bottom w:val="single" w:sz="4" w:space="0" w:color="auto"/>
            </w:tcBorders>
          </w:tcPr>
          <w:p w:rsidR="00B8782D" w:rsidRDefault="00B8782D">
            <w:pPr>
              <w:pStyle w:val="TableText"/>
            </w:pPr>
          </w:p>
        </w:tc>
        <w:tc>
          <w:tcPr>
            <w:tcW w:w="509" w:type="pct"/>
            <w:vMerge/>
            <w:tcBorders>
              <w:top w:val="single" w:sz="4" w:space="0" w:color="auto"/>
              <w:bottom w:val="single" w:sz="4" w:space="0" w:color="auto"/>
            </w:tcBorders>
          </w:tcPr>
          <w:p w:rsidR="00B8782D" w:rsidRDefault="00B8782D">
            <w:pPr>
              <w:pStyle w:val="TableText"/>
              <w:rPr>
                <w:b/>
              </w:rPr>
            </w:pPr>
          </w:p>
        </w:tc>
      </w:tr>
      <w:tr w:rsidR="00B8782D">
        <w:trPr>
          <w:cantSplit/>
          <w:trHeight w:val="368"/>
          <w:tblHeader/>
        </w:trPr>
        <w:tc>
          <w:tcPr>
            <w:tcW w:w="1108" w:type="pct"/>
            <w:vMerge/>
          </w:tcPr>
          <w:p w:rsidR="00B8782D" w:rsidRDefault="00B8782D">
            <w:pPr>
              <w:pStyle w:val="TableText"/>
            </w:pPr>
          </w:p>
        </w:tc>
        <w:tc>
          <w:tcPr>
            <w:tcW w:w="419" w:type="pct"/>
            <w:shd w:val="clear" w:color="auto" w:fill="auto"/>
          </w:tcPr>
          <w:p w:rsidR="00B8782D" w:rsidRDefault="00B8782D">
            <w:pPr>
              <w:pStyle w:val="TableText"/>
            </w:pPr>
            <w:r>
              <w:t>Importation</w:t>
            </w:r>
          </w:p>
        </w:tc>
        <w:tc>
          <w:tcPr>
            <w:tcW w:w="420" w:type="pct"/>
            <w:shd w:val="clear" w:color="auto" w:fill="auto"/>
          </w:tcPr>
          <w:p w:rsidR="00B8782D" w:rsidRDefault="00B8782D">
            <w:pPr>
              <w:pStyle w:val="TableText"/>
            </w:pPr>
            <w:r>
              <w:t>Distribution</w:t>
            </w:r>
          </w:p>
        </w:tc>
        <w:tc>
          <w:tcPr>
            <w:tcW w:w="615" w:type="pct"/>
            <w:shd w:val="clear" w:color="auto" w:fill="auto"/>
          </w:tcPr>
          <w:p w:rsidR="00B8782D" w:rsidRDefault="00B8782D">
            <w:pPr>
              <w:pStyle w:val="TableText"/>
              <w:rPr>
                <w:b/>
              </w:rPr>
            </w:pPr>
            <w:r>
              <w:rPr>
                <w:b/>
              </w:rPr>
              <w:t>Overall</w:t>
            </w:r>
          </w:p>
        </w:tc>
        <w:tc>
          <w:tcPr>
            <w:tcW w:w="558" w:type="pct"/>
            <w:vMerge/>
            <w:shd w:val="clear" w:color="auto" w:fill="auto"/>
          </w:tcPr>
          <w:p w:rsidR="00B8782D" w:rsidRDefault="00B8782D">
            <w:pPr>
              <w:pStyle w:val="TableText"/>
            </w:pPr>
          </w:p>
        </w:tc>
        <w:tc>
          <w:tcPr>
            <w:tcW w:w="408" w:type="pct"/>
            <w:vMerge/>
            <w:shd w:val="clear" w:color="auto" w:fill="auto"/>
          </w:tcPr>
          <w:p w:rsidR="00B8782D" w:rsidRDefault="00B8782D">
            <w:pPr>
              <w:pStyle w:val="TableText"/>
            </w:pPr>
          </w:p>
        </w:tc>
        <w:tc>
          <w:tcPr>
            <w:tcW w:w="456" w:type="pct"/>
            <w:vMerge/>
            <w:shd w:val="clear" w:color="auto" w:fill="auto"/>
          </w:tcPr>
          <w:p w:rsidR="00B8782D" w:rsidRDefault="00B8782D">
            <w:pPr>
              <w:pStyle w:val="TableText"/>
            </w:pPr>
          </w:p>
        </w:tc>
        <w:tc>
          <w:tcPr>
            <w:tcW w:w="507" w:type="pct"/>
            <w:vMerge/>
            <w:tcBorders>
              <w:top w:val="single" w:sz="4" w:space="0" w:color="auto"/>
              <w:bottom w:val="single" w:sz="4" w:space="0" w:color="auto"/>
            </w:tcBorders>
          </w:tcPr>
          <w:p w:rsidR="00B8782D" w:rsidRDefault="00B8782D">
            <w:pPr>
              <w:pStyle w:val="TableText"/>
              <w:rPr>
                <w:b/>
              </w:rPr>
            </w:pPr>
          </w:p>
        </w:tc>
        <w:tc>
          <w:tcPr>
            <w:tcW w:w="509" w:type="pct"/>
            <w:vMerge/>
            <w:tcBorders>
              <w:top w:val="single" w:sz="4" w:space="0" w:color="auto"/>
              <w:bottom w:val="single" w:sz="4" w:space="0" w:color="auto"/>
            </w:tcBorders>
          </w:tcPr>
          <w:p w:rsidR="00B8782D" w:rsidRDefault="00B8782D">
            <w:pPr>
              <w:pStyle w:val="TableText"/>
              <w:rPr>
                <w:b/>
              </w:rPr>
            </w:pPr>
          </w:p>
        </w:tc>
      </w:tr>
      <w:tr w:rsidR="00B8782D">
        <w:tc>
          <w:tcPr>
            <w:tcW w:w="5000" w:type="pct"/>
            <w:gridSpan w:val="9"/>
          </w:tcPr>
          <w:p w:rsidR="00B8782D" w:rsidRDefault="00B8782D">
            <w:pPr>
              <w:pStyle w:val="TableText"/>
              <w:rPr>
                <w:b/>
              </w:rPr>
            </w:pPr>
            <w:r>
              <w:rPr>
                <w:b/>
              </w:rPr>
              <w:t>Spider mites [Prostigmata: Tetranychidae]</w:t>
            </w:r>
          </w:p>
        </w:tc>
      </w:tr>
      <w:tr w:rsidR="00B8782D">
        <w:tc>
          <w:tcPr>
            <w:tcW w:w="1108" w:type="pct"/>
          </w:tcPr>
          <w:p w:rsidR="00B8782D" w:rsidRDefault="00B8782D">
            <w:pPr>
              <w:pStyle w:val="TableText"/>
              <w:rPr>
                <w:i/>
              </w:rPr>
            </w:pPr>
            <w:r>
              <w:rPr>
                <w:i/>
              </w:rPr>
              <w:t>Amphitetranychus viennensis</w:t>
            </w:r>
          </w:p>
        </w:tc>
        <w:tc>
          <w:tcPr>
            <w:tcW w:w="419" w:type="pct"/>
            <w:shd w:val="clear" w:color="auto" w:fill="auto"/>
          </w:tcPr>
          <w:p w:rsidR="00B8782D" w:rsidRDefault="00B8782D">
            <w:pPr>
              <w:pStyle w:val="TableText"/>
            </w:pPr>
            <w:r>
              <w:t>M</w:t>
            </w:r>
          </w:p>
        </w:tc>
        <w:tc>
          <w:tcPr>
            <w:tcW w:w="420" w:type="pct"/>
            <w:shd w:val="clear" w:color="auto" w:fill="auto"/>
          </w:tcPr>
          <w:p w:rsidR="00B8782D" w:rsidRDefault="00B8782D">
            <w:pPr>
              <w:pStyle w:val="TableText"/>
            </w:pPr>
            <w:r>
              <w:t>M</w:t>
            </w:r>
          </w:p>
        </w:tc>
        <w:tc>
          <w:tcPr>
            <w:tcW w:w="615" w:type="pct"/>
            <w:shd w:val="clear" w:color="auto" w:fill="auto"/>
          </w:tcPr>
          <w:p w:rsidR="00B8782D" w:rsidRDefault="00B8782D">
            <w:pPr>
              <w:pStyle w:val="TableText"/>
              <w:rPr>
                <w:b/>
              </w:rPr>
            </w:pPr>
            <w:r>
              <w:rPr>
                <w:b/>
              </w:rPr>
              <w:t>L</w:t>
            </w:r>
          </w:p>
        </w:tc>
        <w:tc>
          <w:tcPr>
            <w:tcW w:w="558" w:type="pct"/>
            <w:shd w:val="clear" w:color="auto" w:fill="auto"/>
          </w:tcPr>
          <w:p w:rsidR="00B8782D" w:rsidRDefault="00B8782D">
            <w:pPr>
              <w:pStyle w:val="TableText"/>
            </w:pPr>
            <w:r>
              <w:t>H</w:t>
            </w:r>
          </w:p>
        </w:tc>
        <w:tc>
          <w:tcPr>
            <w:tcW w:w="408" w:type="pct"/>
            <w:shd w:val="clear" w:color="auto" w:fill="auto"/>
          </w:tcPr>
          <w:p w:rsidR="00B8782D" w:rsidRDefault="00B8782D">
            <w:pPr>
              <w:pStyle w:val="TableText"/>
            </w:pPr>
            <w:r>
              <w:t>M</w:t>
            </w:r>
          </w:p>
        </w:tc>
        <w:tc>
          <w:tcPr>
            <w:tcW w:w="456" w:type="pct"/>
            <w:shd w:val="clear" w:color="auto" w:fill="auto"/>
          </w:tcPr>
          <w:p w:rsidR="00B8782D" w:rsidRDefault="00B8782D">
            <w:pPr>
              <w:pStyle w:val="TableText"/>
            </w:pPr>
            <w:r>
              <w:t>L</w:t>
            </w:r>
          </w:p>
        </w:tc>
        <w:tc>
          <w:tcPr>
            <w:tcW w:w="507" w:type="pct"/>
            <w:tcBorders>
              <w:top w:val="single" w:sz="4" w:space="0" w:color="auto"/>
            </w:tcBorders>
          </w:tcPr>
          <w:p w:rsidR="00B8782D" w:rsidRDefault="00B8782D">
            <w:pPr>
              <w:pStyle w:val="TableText"/>
              <w:rPr>
                <w:highlight w:val="yellow"/>
              </w:rPr>
            </w:pPr>
            <w:r>
              <w:t>M</w:t>
            </w:r>
          </w:p>
        </w:tc>
        <w:tc>
          <w:tcPr>
            <w:tcW w:w="509" w:type="pct"/>
            <w:tcBorders>
              <w:top w:val="single" w:sz="4" w:space="0" w:color="auto"/>
            </w:tcBorders>
          </w:tcPr>
          <w:p w:rsidR="00B8782D" w:rsidRDefault="00B8782D">
            <w:pPr>
              <w:pStyle w:val="TableText"/>
              <w:rPr>
                <w:b/>
              </w:rPr>
            </w:pPr>
            <w:r>
              <w:rPr>
                <w:b/>
              </w:rPr>
              <w:t>L</w:t>
            </w:r>
          </w:p>
        </w:tc>
      </w:tr>
      <w:tr w:rsidR="00B8782D">
        <w:tc>
          <w:tcPr>
            <w:tcW w:w="1108" w:type="pct"/>
          </w:tcPr>
          <w:p w:rsidR="00B8782D" w:rsidRDefault="00B8782D">
            <w:pPr>
              <w:pStyle w:val="TableText"/>
              <w:rPr>
                <w:i/>
              </w:rPr>
            </w:pPr>
            <w:r>
              <w:rPr>
                <w:i/>
              </w:rPr>
              <w:t>Tetranychus turkestani</w:t>
            </w:r>
            <w:r>
              <w:rPr>
                <w:i/>
                <w:highlight w:val="yellow"/>
              </w:rPr>
              <w:t xml:space="preserve"> </w:t>
            </w:r>
          </w:p>
        </w:tc>
        <w:tc>
          <w:tcPr>
            <w:tcW w:w="419" w:type="pct"/>
            <w:shd w:val="clear" w:color="auto" w:fill="auto"/>
          </w:tcPr>
          <w:p w:rsidR="00B8782D" w:rsidRDefault="00B8782D">
            <w:pPr>
              <w:pStyle w:val="TableText"/>
            </w:pPr>
            <w:r>
              <w:t>L</w:t>
            </w:r>
          </w:p>
        </w:tc>
        <w:tc>
          <w:tcPr>
            <w:tcW w:w="420" w:type="pct"/>
            <w:shd w:val="clear" w:color="auto" w:fill="auto"/>
          </w:tcPr>
          <w:p w:rsidR="00B8782D" w:rsidRDefault="00B8782D">
            <w:pPr>
              <w:pStyle w:val="TableText"/>
            </w:pPr>
            <w:r>
              <w:t>M</w:t>
            </w:r>
          </w:p>
        </w:tc>
        <w:tc>
          <w:tcPr>
            <w:tcW w:w="615" w:type="pct"/>
            <w:shd w:val="clear" w:color="auto" w:fill="auto"/>
          </w:tcPr>
          <w:p w:rsidR="00B8782D" w:rsidRDefault="00B8782D">
            <w:pPr>
              <w:pStyle w:val="TableText"/>
              <w:rPr>
                <w:b/>
              </w:rPr>
            </w:pPr>
            <w:r>
              <w:rPr>
                <w:b/>
              </w:rPr>
              <w:t>L</w:t>
            </w:r>
          </w:p>
        </w:tc>
        <w:tc>
          <w:tcPr>
            <w:tcW w:w="558" w:type="pct"/>
            <w:shd w:val="clear" w:color="auto" w:fill="auto"/>
          </w:tcPr>
          <w:p w:rsidR="00B8782D" w:rsidRDefault="00B8782D">
            <w:pPr>
              <w:pStyle w:val="TableText"/>
            </w:pPr>
            <w:r>
              <w:t>H</w:t>
            </w:r>
          </w:p>
        </w:tc>
        <w:tc>
          <w:tcPr>
            <w:tcW w:w="408" w:type="pct"/>
            <w:shd w:val="clear" w:color="auto" w:fill="auto"/>
          </w:tcPr>
          <w:p w:rsidR="00B8782D" w:rsidRDefault="00B8782D">
            <w:pPr>
              <w:pStyle w:val="TableText"/>
            </w:pPr>
            <w:r>
              <w:t>H</w:t>
            </w:r>
          </w:p>
        </w:tc>
        <w:tc>
          <w:tcPr>
            <w:tcW w:w="456" w:type="pct"/>
            <w:shd w:val="clear" w:color="auto" w:fill="auto"/>
          </w:tcPr>
          <w:p w:rsidR="00B8782D" w:rsidRDefault="00B8782D">
            <w:pPr>
              <w:pStyle w:val="TableText"/>
            </w:pPr>
            <w:r>
              <w:t>L</w:t>
            </w:r>
          </w:p>
        </w:tc>
        <w:tc>
          <w:tcPr>
            <w:tcW w:w="507" w:type="pct"/>
          </w:tcPr>
          <w:p w:rsidR="00B8782D" w:rsidRDefault="00B8782D">
            <w:pPr>
              <w:pStyle w:val="TableText"/>
            </w:pPr>
            <w:r>
              <w:t>L</w:t>
            </w:r>
          </w:p>
        </w:tc>
        <w:tc>
          <w:tcPr>
            <w:tcW w:w="509" w:type="pct"/>
          </w:tcPr>
          <w:p w:rsidR="00B8782D" w:rsidRDefault="00B8782D">
            <w:pPr>
              <w:pStyle w:val="TableText"/>
              <w:rPr>
                <w:b/>
              </w:rPr>
            </w:pPr>
            <w:r>
              <w:rPr>
                <w:b/>
              </w:rPr>
              <w:t>VL</w:t>
            </w:r>
          </w:p>
        </w:tc>
      </w:tr>
      <w:tr w:rsidR="00B8782D">
        <w:tc>
          <w:tcPr>
            <w:tcW w:w="5000" w:type="pct"/>
            <w:gridSpan w:val="9"/>
          </w:tcPr>
          <w:p w:rsidR="00B8782D" w:rsidRDefault="00B8782D">
            <w:pPr>
              <w:pStyle w:val="TableText"/>
              <w:rPr>
                <w:b/>
              </w:rPr>
            </w:pPr>
            <w:r>
              <w:rPr>
                <w:b/>
              </w:rPr>
              <w:t>Weevils [Coleoptera: Curcurlionidae]</w:t>
            </w:r>
          </w:p>
        </w:tc>
      </w:tr>
      <w:tr w:rsidR="00B8782D">
        <w:tc>
          <w:tcPr>
            <w:tcW w:w="1108" w:type="pct"/>
          </w:tcPr>
          <w:p w:rsidR="00B8782D" w:rsidRDefault="00B8782D">
            <w:pPr>
              <w:pStyle w:val="TableText"/>
              <w:rPr>
                <w:i/>
              </w:rPr>
            </w:pPr>
            <w:r>
              <w:rPr>
                <w:i/>
              </w:rPr>
              <w:t>Rhynchites auratus</w:t>
            </w:r>
          </w:p>
          <w:p w:rsidR="00B8782D" w:rsidRDefault="00B8782D">
            <w:pPr>
              <w:pStyle w:val="TableText"/>
              <w:rPr>
                <w:i/>
              </w:rPr>
            </w:pPr>
            <w:r>
              <w:rPr>
                <w:i/>
              </w:rPr>
              <w:t>Rhynchites confragosicollis</w:t>
            </w:r>
          </w:p>
          <w:p w:rsidR="00B8782D" w:rsidRDefault="00B8782D">
            <w:pPr>
              <w:pStyle w:val="TableText"/>
              <w:rPr>
                <w:i/>
              </w:rPr>
            </w:pPr>
            <w:r>
              <w:rPr>
                <w:i/>
              </w:rPr>
              <w:t>Rhynchites faldermanni</w:t>
            </w:r>
          </w:p>
          <w:p w:rsidR="00B8782D" w:rsidRDefault="00B8782D">
            <w:pPr>
              <w:pStyle w:val="TableText"/>
              <w:rPr>
                <w:i/>
                <w:lang w:eastAsia="en-AU"/>
              </w:rPr>
            </w:pPr>
            <w:r>
              <w:rPr>
                <w:i/>
              </w:rPr>
              <w:t>Rhynchites heros</w:t>
            </w:r>
          </w:p>
        </w:tc>
        <w:tc>
          <w:tcPr>
            <w:tcW w:w="419" w:type="pct"/>
            <w:shd w:val="clear" w:color="auto" w:fill="auto"/>
          </w:tcPr>
          <w:p w:rsidR="00B8782D" w:rsidRDefault="00B8782D">
            <w:pPr>
              <w:pStyle w:val="TableText"/>
            </w:pPr>
            <w:r>
              <w:t>VL</w:t>
            </w:r>
          </w:p>
        </w:tc>
        <w:tc>
          <w:tcPr>
            <w:tcW w:w="420" w:type="pct"/>
            <w:shd w:val="clear" w:color="auto" w:fill="auto"/>
          </w:tcPr>
          <w:p w:rsidR="00B8782D" w:rsidRDefault="00B8782D">
            <w:pPr>
              <w:pStyle w:val="TableText"/>
            </w:pPr>
            <w:r>
              <w:t>M</w:t>
            </w:r>
          </w:p>
        </w:tc>
        <w:tc>
          <w:tcPr>
            <w:tcW w:w="615" w:type="pct"/>
            <w:shd w:val="clear" w:color="auto" w:fill="auto"/>
          </w:tcPr>
          <w:p w:rsidR="00B8782D" w:rsidRDefault="00B8782D">
            <w:pPr>
              <w:pStyle w:val="TableText"/>
              <w:rPr>
                <w:b/>
              </w:rPr>
            </w:pPr>
            <w:r>
              <w:rPr>
                <w:b/>
              </w:rPr>
              <w:t>VL</w:t>
            </w:r>
          </w:p>
        </w:tc>
        <w:tc>
          <w:tcPr>
            <w:tcW w:w="558" w:type="pct"/>
            <w:shd w:val="clear" w:color="auto" w:fill="auto"/>
          </w:tcPr>
          <w:p w:rsidR="00B8782D" w:rsidRDefault="00B8782D">
            <w:pPr>
              <w:pStyle w:val="TableText"/>
            </w:pPr>
            <w:r>
              <w:t>M</w:t>
            </w:r>
          </w:p>
        </w:tc>
        <w:tc>
          <w:tcPr>
            <w:tcW w:w="408" w:type="pct"/>
            <w:shd w:val="clear" w:color="auto" w:fill="auto"/>
          </w:tcPr>
          <w:p w:rsidR="00B8782D" w:rsidRDefault="00B8782D">
            <w:pPr>
              <w:pStyle w:val="TableText"/>
            </w:pPr>
            <w:r>
              <w:t>M</w:t>
            </w:r>
          </w:p>
        </w:tc>
        <w:tc>
          <w:tcPr>
            <w:tcW w:w="456" w:type="pct"/>
            <w:shd w:val="clear" w:color="auto" w:fill="auto"/>
          </w:tcPr>
          <w:p w:rsidR="00B8782D" w:rsidRDefault="00B8782D">
            <w:pPr>
              <w:pStyle w:val="TableText"/>
            </w:pPr>
            <w:r>
              <w:t>VL</w:t>
            </w:r>
          </w:p>
        </w:tc>
        <w:tc>
          <w:tcPr>
            <w:tcW w:w="507" w:type="pct"/>
          </w:tcPr>
          <w:p w:rsidR="00B8782D" w:rsidRDefault="00B8782D">
            <w:pPr>
              <w:pStyle w:val="TableText"/>
            </w:pPr>
            <w:r>
              <w:t>M</w:t>
            </w:r>
          </w:p>
        </w:tc>
        <w:tc>
          <w:tcPr>
            <w:tcW w:w="509" w:type="pct"/>
          </w:tcPr>
          <w:p w:rsidR="00B8782D" w:rsidRDefault="00B8782D">
            <w:pPr>
              <w:pStyle w:val="TableText"/>
              <w:rPr>
                <w:b/>
              </w:rPr>
            </w:pPr>
            <w:r>
              <w:rPr>
                <w:b/>
              </w:rPr>
              <w:t>VL</w:t>
            </w:r>
          </w:p>
        </w:tc>
      </w:tr>
      <w:tr w:rsidR="00B8782D">
        <w:trPr>
          <w:trHeight w:val="255"/>
        </w:trPr>
        <w:tc>
          <w:tcPr>
            <w:tcW w:w="5000" w:type="pct"/>
            <w:gridSpan w:val="9"/>
            <w:tcBorders>
              <w:bottom w:val="nil"/>
            </w:tcBorders>
          </w:tcPr>
          <w:p w:rsidR="00B8782D" w:rsidRDefault="00B8782D">
            <w:pPr>
              <w:pStyle w:val="TableText"/>
              <w:rPr>
                <w:b/>
              </w:rPr>
            </w:pPr>
            <w:r>
              <w:rPr>
                <w:b/>
              </w:rPr>
              <w:t>Fruit flies [Diptera: Tephritidae]</w:t>
            </w:r>
          </w:p>
        </w:tc>
      </w:tr>
      <w:tr w:rsidR="00B8782D">
        <w:trPr>
          <w:trHeight w:val="255"/>
        </w:trPr>
        <w:tc>
          <w:tcPr>
            <w:tcW w:w="1108" w:type="pct"/>
            <w:tcBorders>
              <w:bottom w:val="nil"/>
            </w:tcBorders>
          </w:tcPr>
          <w:p w:rsidR="00B8782D" w:rsidRDefault="00B8782D">
            <w:pPr>
              <w:pStyle w:val="TableText"/>
              <w:rPr>
                <w:i/>
              </w:rPr>
            </w:pPr>
            <w:r>
              <w:rPr>
                <w:i/>
              </w:rPr>
              <w:t>Bactrocera correcta</w:t>
            </w:r>
          </w:p>
        </w:tc>
        <w:tc>
          <w:tcPr>
            <w:tcW w:w="419" w:type="pct"/>
            <w:tcBorders>
              <w:bottom w:val="nil"/>
            </w:tcBorders>
            <w:shd w:val="clear" w:color="auto" w:fill="auto"/>
          </w:tcPr>
          <w:p w:rsidR="00B8782D" w:rsidRDefault="00B8782D">
            <w:pPr>
              <w:pStyle w:val="TableText"/>
            </w:pPr>
            <w:r>
              <w:t>L</w:t>
            </w:r>
          </w:p>
        </w:tc>
        <w:tc>
          <w:tcPr>
            <w:tcW w:w="420" w:type="pct"/>
            <w:tcBorders>
              <w:bottom w:val="nil"/>
            </w:tcBorders>
            <w:shd w:val="clear" w:color="auto" w:fill="auto"/>
          </w:tcPr>
          <w:p w:rsidR="00B8782D" w:rsidRDefault="00B8782D">
            <w:pPr>
              <w:pStyle w:val="TableText"/>
            </w:pPr>
            <w:r>
              <w:t>H</w:t>
            </w:r>
          </w:p>
        </w:tc>
        <w:tc>
          <w:tcPr>
            <w:tcW w:w="615" w:type="pct"/>
            <w:tcBorders>
              <w:bottom w:val="nil"/>
            </w:tcBorders>
            <w:shd w:val="clear" w:color="auto" w:fill="auto"/>
          </w:tcPr>
          <w:p w:rsidR="00B8782D" w:rsidRDefault="00B8782D">
            <w:pPr>
              <w:pStyle w:val="TableText"/>
              <w:rPr>
                <w:b/>
              </w:rPr>
            </w:pPr>
            <w:r>
              <w:rPr>
                <w:b/>
              </w:rPr>
              <w:t>L</w:t>
            </w:r>
          </w:p>
        </w:tc>
        <w:tc>
          <w:tcPr>
            <w:tcW w:w="558" w:type="pct"/>
            <w:tcBorders>
              <w:bottom w:val="nil"/>
            </w:tcBorders>
            <w:shd w:val="clear" w:color="auto" w:fill="auto"/>
          </w:tcPr>
          <w:p w:rsidR="00B8782D" w:rsidRDefault="00B8782D">
            <w:pPr>
              <w:pStyle w:val="TableText"/>
            </w:pPr>
            <w:r>
              <w:t>H</w:t>
            </w:r>
          </w:p>
        </w:tc>
        <w:tc>
          <w:tcPr>
            <w:tcW w:w="408" w:type="pct"/>
            <w:tcBorders>
              <w:bottom w:val="nil"/>
            </w:tcBorders>
            <w:shd w:val="clear" w:color="auto" w:fill="auto"/>
          </w:tcPr>
          <w:p w:rsidR="00B8782D" w:rsidRDefault="00B8782D">
            <w:pPr>
              <w:pStyle w:val="TableText"/>
            </w:pPr>
            <w:r>
              <w:t>H</w:t>
            </w:r>
          </w:p>
        </w:tc>
        <w:tc>
          <w:tcPr>
            <w:tcW w:w="456" w:type="pct"/>
            <w:tcBorders>
              <w:bottom w:val="nil"/>
            </w:tcBorders>
            <w:shd w:val="clear" w:color="auto" w:fill="auto"/>
          </w:tcPr>
          <w:p w:rsidR="00B8782D" w:rsidRDefault="00B8782D">
            <w:pPr>
              <w:pStyle w:val="TableText"/>
            </w:pPr>
            <w:r>
              <w:t>L</w:t>
            </w:r>
          </w:p>
        </w:tc>
        <w:tc>
          <w:tcPr>
            <w:tcW w:w="507" w:type="pct"/>
            <w:tcBorders>
              <w:bottom w:val="nil"/>
            </w:tcBorders>
          </w:tcPr>
          <w:p w:rsidR="00B8782D" w:rsidRDefault="00B8782D">
            <w:pPr>
              <w:pStyle w:val="TableText"/>
            </w:pPr>
            <w:r>
              <w:t>H</w:t>
            </w:r>
          </w:p>
        </w:tc>
        <w:tc>
          <w:tcPr>
            <w:tcW w:w="509" w:type="pct"/>
            <w:tcBorders>
              <w:bottom w:val="nil"/>
            </w:tcBorders>
          </w:tcPr>
          <w:p w:rsidR="00B8782D" w:rsidRDefault="00B8782D">
            <w:pPr>
              <w:pStyle w:val="TableText"/>
              <w:rPr>
                <w:b/>
              </w:rPr>
            </w:pPr>
            <w:r>
              <w:rPr>
                <w:b/>
              </w:rPr>
              <w:t>M</w:t>
            </w:r>
          </w:p>
        </w:tc>
      </w:tr>
      <w:tr w:rsidR="00B8782D">
        <w:trPr>
          <w:trHeight w:val="255"/>
        </w:trPr>
        <w:tc>
          <w:tcPr>
            <w:tcW w:w="1108" w:type="pct"/>
            <w:tcBorders>
              <w:bottom w:val="nil"/>
            </w:tcBorders>
          </w:tcPr>
          <w:p w:rsidR="00B8782D" w:rsidRDefault="00B8782D">
            <w:pPr>
              <w:pStyle w:val="TableText"/>
              <w:rPr>
                <w:i/>
                <w:vertAlign w:val="superscript"/>
              </w:rPr>
            </w:pPr>
            <w:r>
              <w:rPr>
                <w:i/>
              </w:rPr>
              <w:t>Bactrocera dorsalis</w:t>
            </w:r>
          </w:p>
        </w:tc>
        <w:tc>
          <w:tcPr>
            <w:tcW w:w="419" w:type="pct"/>
            <w:tcBorders>
              <w:bottom w:val="nil"/>
            </w:tcBorders>
            <w:shd w:val="clear" w:color="auto" w:fill="auto"/>
          </w:tcPr>
          <w:p w:rsidR="00B8782D" w:rsidRDefault="00B8782D">
            <w:pPr>
              <w:pStyle w:val="TableText"/>
            </w:pPr>
            <w:r>
              <w:t>H</w:t>
            </w:r>
          </w:p>
        </w:tc>
        <w:tc>
          <w:tcPr>
            <w:tcW w:w="420" w:type="pct"/>
            <w:tcBorders>
              <w:bottom w:val="nil"/>
            </w:tcBorders>
            <w:shd w:val="clear" w:color="auto" w:fill="auto"/>
          </w:tcPr>
          <w:p w:rsidR="00B8782D" w:rsidRDefault="00B8782D">
            <w:pPr>
              <w:pStyle w:val="TableText"/>
            </w:pPr>
            <w:r>
              <w:t>H</w:t>
            </w:r>
          </w:p>
        </w:tc>
        <w:tc>
          <w:tcPr>
            <w:tcW w:w="615" w:type="pct"/>
            <w:tcBorders>
              <w:bottom w:val="nil"/>
            </w:tcBorders>
            <w:shd w:val="clear" w:color="auto" w:fill="auto"/>
          </w:tcPr>
          <w:p w:rsidR="00B8782D" w:rsidRDefault="00B8782D">
            <w:pPr>
              <w:pStyle w:val="TableText"/>
              <w:rPr>
                <w:b/>
              </w:rPr>
            </w:pPr>
            <w:r>
              <w:rPr>
                <w:b/>
              </w:rPr>
              <w:t>H</w:t>
            </w:r>
          </w:p>
        </w:tc>
        <w:tc>
          <w:tcPr>
            <w:tcW w:w="558" w:type="pct"/>
            <w:tcBorders>
              <w:bottom w:val="nil"/>
            </w:tcBorders>
            <w:shd w:val="clear" w:color="auto" w:fill="auto"/>
          </w:tcPr>
          <w:p w:rsidR="00B8782D" w:rsidRDefault="00B8782D">
            <w:pPr>
              <w:pStyle w:val="TableText"/>
            </w:pPr>
            <w:r>
              <w:t>H</w:t>
            </w:r>
          </w:p>
        </w:tc>
        <w:tc>
          <w:tcPr>
            <w:tcW w:w="408" w:type="pct"/>
            <w:tcBorders>
              <w:bottom w:val="nil"/>
            </w:tcBorders>
            <w:shd w:val="clear" w:color="auto" w:fill="auto"/>
          </w:tcPr>
          <w:p w:rsidR="00B8782D" w:rsidRDefault="00B8782D">
            <w:pPr>
              <w:pStyle w:val="TableText"/>
            </w:pPr>
            <w:r>
              <w:t>H</w:t>
            </w:r>
          </w:p>
        </w:tc>
        <w:tc>
          <w:tcPr>
            <w:tcW w:w="456" w:type="pct"/>
            <w:tcBorders>
              <w:bottom w:val="nil"/>
            </w:tcBorders>
            <w:shd w:val="clear" w:color="auto" w:fill="auto"/>
          </w:tcPr>
          <w:p w:rsidR="00B8782D" w:rsidRDefault="00B8782D">
            <w:pPr>
              <w:pStyle w:val="TableText"/>
            </w:pPr>
            <w:r>
              <w:t>H</w:t>
            </w:r>
          </w:p>
        </w:tc>
        <w:tc>
          <w:tcPr>
            <w:tcW w:w="507" w:type="pct"/>
            <w:tcBorders>
              <w:bottom w:val="nil"/>
            </w:tcBorders>
          </w:tcPr>
          <w:p w:rsidR="00B8782D" w:rsidRDefault="00B8782D">
            <w:pPr>
              <w:pStyle w:val="TableText"/>
            </w:pPr>
            <w:r>
              <w:t>H</w:t>
            </w:r>
          </w:p>
        </w:tc>
        <w:tc>
          <w:tcPr>
            <w:tcW w:w="509" w:type="pct"/>
            <w:tcBorders>
              <w:bottom w:val="nil"/>
            </w:tcBorders>
          </w:tcPr>
          <w:p w:rsidR="00B8782D" w:rsidRDefault="00B8782D">
            <w:pPr>
              <w:pStyle w:val="TableText"/>
              <w:rPr>
                <w:b/>
              </w:rPr>
            </w:pPr>
            <w:r>
              <w:rPr>
                <w:b/>
              </w:rPr>
              <w:t>H</w:t>
            </w:r>
          </w:p>
        </w:tc>
      </w:tr>
      <w:tr w:rsidR="00B8782D">
        <w:trPr>
          <w:trHeight w:val="255"/>
        </w:trPr>
        <w:tc>
          <w:tcPr>
            <w:tcW w:w="5000" w:type="pct"/>
            <w:gridSpan w:val="9"/>
            <w:tcBorders>
              <w:top w:val="single" w:sz="4" w:space="0" w:color="auto"/>
            </w:tcBorders>
          </w:tcPr>
          <w:p w:rsidR="00B8782D" w:rsidRDefault="00B8782D">
            <w:pPr>
              <w:pStyle w:val="TableText"/>
              <w:rPr>
                <w:b/>
              </w:rPr>
            </w:pPr>
            <w:r>
              <w:rPr>
                <w:b/>
              </w:rPr>
              <w:t>Fruit fly [Diptera: Drosophilidae]</w:t>
            </w:r>
          </w:p>
        </w:tc>
      </w:tr>
      <w:tr w:rsidR="00B8782D">
        <w:trPr>
          <w:trHeight w:val="255"/>
        </w:trPr>
        <w:tc>
          <w:tcPr>
            <w:tcW w:w="1108" w:type="pct"/>
            <w:tcBorders>
              <w:top w:val="single" w:sz="4" w:space="0" w:color="auto"/>
            </w:tcBorders>
          </w:tcPr>
          <w:p w:rsidR="00B8782D" w:rsidRDefault="00B8782D">
            <w:pPr>
              <w:pStyle w:val="TableText"/>
              <w:rPr>
                <w:i/>
              </w:rPr>
            </w:pPr>
            <w:r>
              <w:rPr>
                <w:i/>
              </w:rPr>
              <w:t>Drosophila suzukii</w:t>
            </w:r>
            <w:r>
              <w:rPr>
                <w:i/>
                <w:highlight w:val="yellow"/>
              </w:rPr>
              <w:t xml:space="preserve"> </w:t>
            </w:r>
          </w:p>
        </w:tc>
        <w:tc>
          <w:tcPr>
            <w:tcW w:w="419" w:type="pct"/>
            <w:tcBorders>
              <w:top w:val="single" w:sz="4" w:space="0" w:color="auto"/>
            </w:tcBorders>
            <w:shd w:val="clear" w:color="auto" w:fill="auto"/>
          </w:tcPr>
          <w:p w:rsidR="00B8782D" w:rsidRDefault="00B8782D">
            <w:pPr>
              <w:pStyle w:val="TableText"/>
            </w:pPr>
            <w:r>
              <w:t>H</w:t>
            </w:r>
          </w:p>
        </w:tc>
        <w:tc>
          <w:tcPr>
            <w:tcW w:w="420" w:type="pct"/>
            <w:tcBorders>
              <w:top w:val="single" w:sz="4" w:space="0" w:color="auto"/>
            </w:tcBorders>
            <w:shd w:val="clear" w:color="auto" w:fill="auto"/>
          </w:tcPr>
          <w:p w:rsidR="00B8782D" w:rsidRDefault="00B8782D">
            <w:pPr>
              <w:pStyle w:val="TableText"/>
            </w:pPr>
            <w:r>
              <w:t>H</w:t>
            </w:r>
          </w:p>
        </w:tc>
        <w:tc>
          <w:tcPr>
            <w:tcW w:w="615" w:type="pct"/>
            <w:tcBorders>
              <w:top w:val="single" w:sz="4" w:space="0" w:color="auto"/>
            </w:tcBorders>
            <w:shd w:val="clear" w:color="auto" w:fill="auto"/>
          </w:tcPr>
          <w:p w:rsidR="00B8782D" w:rsidRDefault="00B8782D">
            <w:pPr>
              <w:pStyle w:val="TableText"/>
              <w:rPr>
                <w:b/>
              </w:rPr>
            </w:pPr>
            <w:r>
              <w:rPr>
                <w:b/>
              </w:rPr>
              <w:t>H</w:t>
            </w:r>
          </w:p>
        </w:tc>
        <w:tc>
          <w:tcPr>
            <w:tcW w:w="558" w:type="pct"/>
            <w:tcBorders>
              <w:top w:val="single" w:sz="4" w:space="0" w:color="auto"/>
            </w:tcBorders>
            <w:shd w:val="clear" w:color="auto" w:fill="auto"/>
          </w:tcPr>
          <w:p w:rsidR="00B8782D" w:rsidRDefault="00B8782D">
            <w:pPr>
              <w:pStyle w:val="TableText"/>
            </w:pPr>
            <w:r>
              <w:t>H</w:t>
            </w:r>
          </w:p>
        </w:tc>
        <w:tc>
          <w:tcPr>
            <w:tcW w:w="408" w:type="pct"/>
            <w:tcBorders>
              <w:top w:val="single" w:sz="4" w:space="0" w:color="auto"/>
            </w:tcBorders>
            <w:shd w:val="clear" w:color="auto" w:fill="auto"/>
          </w:tcPr>
          <w:p w:rsidR="00B8782D" w:rsidRDefault="00B8782D">
            <w:pPr>
              <w:pStyle w:val="TableText"/>
            </w:pPr>
            <w:r>
              <w:t>H</w:t>
            </w:r>
          </w:p>
        </w:tc>
        <w:tc>
          <w:tcPr>
            <w:tcW w:w="456" w:type="pct"/>
            <w:tcBorders>
              <w:top w:val="single" w:sz="4" w:space="0" w:color="auto"/>
            </w:tcBorders>
            <w:shd w:val="clear" w:color="auto" w:fill="auto"/>
          </w:tcPr>
          <w:p w:rsidR="00B8782D" w:rsidRDefault="00B8782D">
            <w:pPr>
              <w:pStyle w:val="TableText"/>
            </w:pPr>
            <w:r>
              <w:t>H</w:t>
            </w:r>
          </w:p>
        </w:tc>
        <w:tc>
          <w:tcPr>
            <w:tcW w:w="507" w:type="pct"/>
            <w:tcBorders>
              <w:top w:val="single" w:sz="4" w:space="0" w:color="auto"/>
            </w:tcBorders>
          </w:tcPr>
          <w:p w:rsidR="00B8782D" w:rsidRDefault="00B8782D">
            <w:pPr>
              <w:pStyle w:val="TableText"/>
            </w:pPr>
            <w:r>
              <w:t>H</w:t>
            </w:r>
          </w:p>
        </w:tc>
        <w:tc>
          <w:tcPr>
            <w:tcW w:w="509" w:type="pct"/>
            <w:tcBorders>
              <w:top w:val="single" w:sz="4" w:space="0" w:color="auto"/>
            </w:tcBorders>
          </w:tcPr>
          <w:p w:rsidR="00B8782D" w:rsidRDefault="00B8782D">
            <w:pPr>
              <w:pStyle w:val="TableText"/>
              <w:rPr>
                <w:b/>
              </w:rPr>
            </w:pPr>
            <w:r>
              <w:rPr>
                <w:b/>
              </w:rPr>
              <w:t>H</w:t>
            </w:r>
          </w:p>
        </w:tc>
      </w:tr>
      <w:tr w:rsidR="00B8782D">
        <w:trPr>
          <w:trHeight w:val="255"/>
        </w:trPr>
        <w:tc>
          <w:tcPr>
            <w:tcW w:w="5000" w:type="pct"/>
            <w:gridSpan w:val="9"/>
            <w:tcBorders>
              <w:top w:val="single" w:sz="4" w:space="0" w:color="auto"/>
            </w:tcBorders>
          </w:tcPr>
          <w:p w:rsidR="00B8782D" w:rsidRDefault="00B8782D">
            <w:pPr>
              <w:pStyle w:val="TableText"/>
              <w:rPr>
                <w:b/>
              </w:rPr>
            </w:pPr>
            <w:r>
              <w:rPr>
                <w:b/>
              </w:rPr>
              <w:t>Mealybugs [Hemiptera: Pseudococcidae]</w:t>
            </w:r>
          </w:p>
        </w:tc>
      </w:tr>
      <w:tr w:rsidR="00B8782D">
        <w:trPr>
          <w:trHeight w:val="255"/>
        </w:trPr>
        <w:tc>
          <w:tcPr>
            <w:tcW w:w="1108" w:type="pct"/>
            <w:tcBorders>
              <w:top w:val="single" w:sz="4" w:space="0" w:color="auto"/>
            </w:tcBorders>
          </w:tcPr>
          <w:p w:rsidR="00B8782D" w:rsidRDefault="00B8782D">
            <w:pPr>
              <w:pStyle w:val="TableText"/>
              <w:rPr>
                <w:i/>
              </w:rPr>
            </w:pPr>
            <w:r>
              <w:rPr>
                <w:i/>
              </w:rPr>
              <w:t>Pseudococcus comstocki</w:t>
            </w:r>
          </w:p>
        </w:tc>
        <w:tc>
          <w:tcPr>
            <w:tcW w:w="419" w:type="pct"/>
            <w:tcBorders>
              <w:top w:val="single" w:sz="4" w:space="0" w:color="auto"/>
            </w:tcBorders>
            <w:shd w:val="clear" w:color="auto" w:fill="auto"/>
          </w:tcPr>
          <w:p w:rsidR="00B8782D" w:rsidRDefault="00B8782D">
            <w:pPr>
              <w:pStyle w:val="TableText"/>
            </w:pPr>
            <w:r>
              <w:t>H</w:t>
            </w:r>
          </w:p>
        </w:tc>
        <w:tc>
          <w:tcPr>
            <w:tcW w:w="420" w:type="pct"/>
            <w:tcBorders>
              <w:top w:val="single" w:sz="4" w:space="0" w:color="auto"/>
            </w:tcBorders>
            <w:shd w:val="clear" w:color="auto" w:fill="auto"/>
          </w:tcPr>
          <w:p w:rsidR="00B8782D" w:rsidRDefault="00B8782D">
            <w:pPr>
              <w:pStyle w:val="TableText"/>
            </w:pPr>
            <w:r>
              <w:t>M</w:t>
            </w:r>
          </w:p>
        </w:tc>
        <w:tc>
          <w:tcPr>
            <w:tcW w:w="615" w:type="pct"/>
            <w:tcBorders>
              <w:top w:val="single" w:sz="4" w:space="0" w:color="auto"/>
            </w:tcBorders>
            <w:shd w:val="clear" w:color="auto" w:fill="auto"/>
          </w:tcPr>
          <w:p w:rsidR="00B8782D" w:rsidRDefault="00B8782D">
            <w:pPr>
              <w:pStyle w:val="TableText"/>
              <w:rPr>
                <w:b/>
              </w:rPr>
            </w:pPr>
            <w:r>
              <w:rPr>
                <w:b/>
              </w:rPr>
              <w:t>M</w:t>
            </w:r>
          </w:p>
        </w:tc>
        <w:tc>
          <w:tcPr>
            <w:tcW w:w="558" w:type="pct"/>
            <w:tcBorders>
              <w:top w:val="single" w:sz="4" w:space="0" w:color="auto"/>
            </w:tcBorders>
            <w:shd w:val="clear" w:color="auto" w:fill="auto"/>
          </w:tcPr>
          <w:p w:rsidR="00B8782D" w:rsidRDefault="00B8782D">
            <w:pPr>
              <w:pStyle w:val="TableText"/>
            </w:pPr>
            <w:r>
              <w:t>H</w:t>
            </w:r>
          </w:p>
        </w:tc>
        <w:tc>
          <w:tcPr>
            <w:tcW w:w="408" w:type="pct"/>
            <w:tcBorders>
              <w:top w:val="single" w:sz="4" w:space="0" w:color="auto"/>
            </w:tcBorders>
            <w:shd w:val="clear" w:color="auto" w:fill="auto"/>
          </w:tcPr>
          <w:p w:rsidR="00B8782D" w:rsidRDefault="00B8782D">
            <w:pPr>
              <w:pStyle w:val="TableText"/>
            </w:pPr>
            <w:r>
              <w:t>H</w:t>
            </w:r>
          </w:p>
        </w:tc>
        <w:tc>
          <w:tcPr>
            <w:tcW w:w="456" w:type="pct"/>
            <w:tcBorders>
              <w:top w:val="single" w:sz="4" w:space="0" w:color="auto"/>
            </w:tcBorders>
            <w:shd w:val="clear" w:color="auto" w:fill="auto"/>
          </w:tcPr>
          <w:p w:rsidR="00B8782D" w:rsidRDefault="00B8782D">
            <w:pPr>
              <w:pStyle w:val="TableText"/>
            </w:pPr>
            <w:r>
              <w:t>M</w:t>
            </w:r>
          </w:p>
        </w:tc>
        <w:tc>
          <w:tcPr>
            <w:tcW w:w="507" w:type="pct"/>
            <w:tcBorders>
              <w:top w:val="single" w:sz="4" w:space="0" w:color="auto"/>
            </w:tcBorders>
          </w:tcPr>
          <w:p w:rsidR="00B8782D" w:rsidRDefault="00B8782D">
            <w:pPr>
              <w:pStyle w:val="TableText"/>
            </w:pPr>
            <w:r>
              <w:t xml:space="preserve">L </w:t>
            </w:r>
          </w:p>
        </w:tc>
        <w:tc>
          <w:tcPr>
            <w:tcW w:w="509" w:type="pct"/>
            <w:tcBorders>
              <w:top w:val="single" w:sz="4" w:space="0" w:color="auto"/>
            </w:tcBorders>
          </w:tcPr>
          <w:p w:rsidR="00B8782D" w:rsidRDefault="00B8782D">
            <w:pPr>
              <w:pStyle w:val="TableText"/>
              <w:rPr>
                <w:b/>
              </w:rPr>
            </w:pPr>
            <w:r>
              <w:rPr>
                <w:b/>
              </w:rPr>
              <w:t>L</w:t>
            </w:r>
          </w:p>
        </w:tc>
      </w:tr>
      <w:tr w:rsidR="00B8782D">
        <w:trPr>
          <w:trHeight w:val="255"/>
        </w:trPr>
        <w:tc>
          <w:tcPr>
            <w:tcW w:w="5000" w:type="pct"/>
            <w:gridSpan w:val="9"/>
          </w:tcPr>
          <w:p w:rsidR="00B8782D" w:rsidRDefault="00B8782D">
            <w:pPr>
              <w:pStyle w:val="TableText"/>
              <w:rPr>
                <w:b/>
              </w:rPr>
            </w:pPr>
            <w:r>
              <w:rPr>
                <w:b/>
              </w:rPr>
              <w:t>Scales [Hemiptera: Diaspididae]</w:t>
            </w:r>
          </w:p>
        </w:tc>
      </w:tr>
      <w:tr w:rsidR="00B8782D">
        <w:trPr>
          <w:trHeight w:val="393"/>
        </w:trPr>
        <w:tc>
          <w:tcPr>
            <w:tcW w:w="1108" w:type="pct"/>
          </w:tcPr>
          <w:p w:rsidR="00B8782D" w:rsidRDefault="00B8782D">
            <w:pPr>
              <w:pStyle w:val="TableText"/>
              <w:rPr>
                <w:i/>
              </w:rPr>
            </w:pPr>
            <w:r>
              <w:rPr>
                <w:i/>
              </w:rPr>
              <w:t>Pseudaonidia duplex</w:t>
            </w:r>
          </w:p>
          <w:p w:rsidR="00B8782D" w:rsidRDefault="00B8782D">
            <w:pPr>
              <w:pStyle w:val="TableText"/>
              <w:rPr>
                <w:i/>
              </w:rPr>
            </w:pPr>
            <w:r>
              <w:rPr>
                <w:i/>
              </w:rPr>
              <w:t>Pseudaulacaspis prunicola</w:t>
            </w:r>
          </w:p>
        </w:tc>
        <w:tc>
          <w:tcPr>
            <w:tcW w:w="419" w:type="pct"/>
            <w:shd w:val="clear" w:color="auto" w:fill="auto"/>
          </w:tcPr>
          <w:p w:rsidR="00B8782D" w:rsidRDefault="00B8782D">
            <w:pPr>
              <w:pStyle w:val="TableText"/>
              <w:rPr>
                <w:highlight w:val="yellow"/>
              </w:rPr>
            </w:pPr>
            <w:r>
              <w:t>L</w:t>
            </w:r>
          </w:p>
        </w:tc>
        <w:tc>
          <w:tcPr>
            <w:tcW w:w="420" w:type="pct"/>
            <w:shd w:val="clear" w:color="auto" w:fill="auto"/>
          </w:tcPr>
          <w:p w:rsidR="00B8782D" w:rsidRDefault="00B8782D">
            <w:pPr>
              <w:pStyle w:val="TableText"/>
            </w:pPr>
            <w:r>
              <w:t>L</w:t>
            </w:r>
          </w:p>
        </w:tc>
        <w:tc>
          <w:tcPr>
            <w:tcW w:w="615" w:type="pct"/>
            <w:shd w:val="clear" w:color="auto" w:fill="auto"/>
          </w:tcPr>
          <w:p w:rsidR="00B8782D" w:rsidRDefault="00B8782D">
            <w:pPr>
              <w:pStyle w:val="TableText"/>
              <w:rPr>
                <w:b/>
              </w:rPr>
            </w:pPr>
            <w:r>
              <w:rPr>
                <w:b/>
              </w:rPr>
              <w:t>VL</w:t>
            </w:r>
          </w:p>
        </w:tc>
        <w:tc>
          <w:tcPr>
            <w:tcW w:w="558" w:type="pct"/>
            <w:shd w:val="clear" w:color="auto" w:fill="auto"/>
          </w:tcPr>
          <w:p w:rsidR="00B8782D" w:rsidRDefault="00B8782D">
            <w:pPr>
              <w:pStyle w:val="TableText"/>
            </w:pPr>
            <w:r>
              <w:t>H</w:t>
            </w:r>
          </w:p>
        </w:tc>
        <w:tc>
          <w:tcPr>
            <w:tcW w:w="408" w:type="pct"/>
            <w:shd w:val="clear" w:color="auto" w:fill="auto"/>
          </w:tcPr>
          <w:p w:rsidR="00B8782D" w:rsidRDefault="00B8782D">
            <w:pPr>
              <w:pStyle w:val="TableText"/>
            </w:pPr>
            <w:r>
              <w:t>M</w:t>
            </w:r>
          </w:p>
        </w:tc>
        <w:tc>
          <w:tcPr>
            <w:tcW w:w="456" w:type="pct"/>
            <w:shd w:val="clear" w:color="auto" w:fill="auto"/>
          </w:tcPr>
          <w:p w:rsidR="00B8782D" w:rsidRDefault="00B8782D">
            <w:pPr>
              <w:pStyle w:val="TableText"/>
            </w:pPr>
            <w:r>
              <w:t>VL</w:t>
            </w:r>
          </w:p>
        </w:tc>
        <w:tc>
          <w:tcPr>
            <w:tcW w:w="507" w:type="pct"/>
          </w:tcPr>
          <w:p w:rsidR="00B8782D" w:rsidRDefault="00B8782D">
            <w:pPr>
              <w:pStyle w:val="TableText"/>
            </w:pPr>
            <w:r>
              <w:t>L</w:t>
            </w:r>
          </w:p>
        </w:tc>
        <w:tc>
          <w:tcPr>
            <w:tcW w:w="509" w:type="pct"/>
          </w:tcPr>
          <w:p w:rsidR="00B8782D" w:rsidRDefault="00B8782D">
            <w:pPr>
              <w:pStyle w:val="TableText"/>
              <w:rPr>
                <w:b/>
              </w:rPr>
            </w:pPr>
            <w:r>
              <w:rPr>
                <w:b/>
              </w:rPr>
              <w:t>VL</w:t>
            </w:r>
          </w:p>
        </w:tc>
      </w:tr>
      <w:tr w:rsidR="00B8782D">
        <w:trPr>
          <w:trHeight w:val="255"/>
        </w:trPr>
        <w:tc>
          <w:tcPr>
            <w:tcW w:w="5000" w:type="pct"/>
            <w:gridSpan w:val="9"/>
          </w:tcPr>
          <w:p w:rsidR="00B8782D" w:rsidRDefault="00B8782D">
            <w:pPr>
              <w:pStyle w:val="TableText"/>
              <w:rPr>
                <w:b/>
              </w:rPr>
            </w:pPr>
            <w:r>
              <w:rPr>
                <w:b/>
              </w:rPr>
              <w:t>Moths [Lepidoptera: Tortricidae]</w:t>
            </w:r>
          </w:p>
        </w:tc>
      </w:tr>
      <w:tr w:rsidR="00B8782D">
        <w:trPr>
          <w:trHeight w:val="608"/>
        </w:trPr>
        <w:tc>
          <w:tcPr>
            <w:tcW w:w="1108" w:type="pct"/>
          </w:tcPr>
          <w:p w:rsidR="00B8782D" w:rsidRDefault="00B8782D">
            <w:pPr>
              <w:pStyle w:val="TableText"/>
              <w:rPr>
                <w:i/>
              </w:rPr>
            </w:pPr>
            <w:r>
              <w:rPr>
                <w:i/>
              </w:rPr>
              <w:t>Adoxophyes orana</w:t>
            </w:r>
          </w:p>
          <w:p w:rsidR="00B8782D" w:rsidRDefault="00B8782D">
            <w:pPr>
              <w:pStyle w:val="TableText"/>
              <w:rPr>
                <w:i/>
              </w:rPr>
            </w:pPr>
            <w:r>
              <w:rPr>
                <w:i/>
              </w:rPr>
              <w:t>Argyrotaenia ljungiana</w:t>
            </w:r>
          </w:p>
          <w:p w:rsidR="00B8782D" w:rsidRDefault="00B8782D">
            <w:pPr>
              <w:pStyle w:val="TableText"/>
              <w:rPr>
                <w:i/>
              </w:rPr>
            </w:pPr>
            <w:r>
              <w:rPr>
                <w:i/>
              </w:rPr>
              <w:t>Spilonota albicana</w:t>
            </w:r>
          </w:p>
        </w:tc>
        <w:tc>
          <w:tcPr>
            <w:tcW w:w="419" w:type="pct"/>
            <w:shd w:val="clear" w:color="auto" w:fill="auto"/>
          </w:tcPr>
          <w:p w:rsidR="00B8782D" w:rsidRDefault="00B8782D">
            <w:pPr>
              <w:pStyle w:val="TableText"/>
            </w:pPr>
            <w:r>
              <w:t>L</w:t>
            </w:r>
          </w:p>
        </w:tc>
        <w:tc>
          <w:tcPr>
            <w:tcW w:w="420" w:type="pct"/>
            <w:shd w:val="clear" w:color="auto" w:fill="auto"/>
          </w:tcPr>
          <w:p w:rsidR="00B8782D" w:rsidRDefault="00B8782D">
            <w:pPr>
              <w:pStyle w:val="TableText"/>
            </w:pPr>
            <w:r>
              <w:t>M</w:t>
            </w:r>
          </w:p>
        </w:tc>
        <w:tc>
          <w:tcPr>
            <w:tcW w:w="615" w:type="pct"/>
            <w:shd w:val="clear" w:color="auto" w:fill="auto"/>
          </w:tcPr>
          <w:p w:rsidR="00B8782D" w:rsidRDefault="00B8782D">
            <w:pPr>
              <w:pStyle w:val="TableText"/>
              <w:rPr>
                <w:b/>
              </w:rPr>
            </w:pPr>
            <w:r>
              <w:rPr>
                <w:b/>
              </w:rPr>
              <w:t>L</w:t>
            </w:r>
          </w:p>
        </w:tc>
        <w:tc>
          <w:tcPr>
            <w:tcW w:w="558" w:type="pct"/>
            <w:shd w:val="clear" w:color="auto" w:fill="auto"/>
          </w:tcPr>
          <w:p w:rsidR="00B8782D" w:rsidRDefault="00B8782D">
            <w:pPr>
              <w:pStyle w:val="TableText"/>
            </w:pPr>
            <w:r>
              <w:t>H</w:t>
            </w:r>
          </w:p>
        </w:tc>
        <w:tc>
          <w:tcPr>
            <w:tcW w:w="408" w:type="pct"/>
            <w:shd w:val="clear" w:color="auto" w:fill="auto"/>
          </w:tcPr>
          <w:p w:rsidR="00B8782D" w:rsidRDefault="00B8782D">
            <w:pPr>
              <w:pStyle w:val="TableText"/>
            </w:pPr>
            <w:r>
              <w:t>H</w:t>
            </w:r>
          </w:p>
        </w:tc>
        <w:tc>
          <w:tcPr>
            <w:tcW w:w="456" w:type="pct"/>
            <w:shd w:val="clear" w:color="auto" w:fill="auto"/>
          </w:tcPr>
          <w:p w:rsidR="00B8782D" w:rsidRDefault="00B8782D">
            <w:pPr>
              <w:pStyle w:val="TableText"/>
            </w:pPr>
            <w:r>
              <w:t>L</w:t>
            </w:r>
          </w:p>
        </w:tc>
        <w:tc>
          <w:tcPr>
            <w:tcW w:w="507" w:type="pct"/>
          </w:tcPr>
          <w:p w:rsidR="00B8782D" w:rsidRDefault="00B8782D">
            <w:pPr>
              <w:pStyle w:val="TableText"/>
            </w:pPr>
            <w:r>
              <w:t>M</w:t>
            </w:r>
          </w:p>
        </w:tc>
        <w:tc>
          <w:tcPr>
            <w:tcW w:w="509" w:type="pct"/>
          </w:tcPr>
          <w:p w:rsidR="00B8782D" w:rsidRDefault="00B8782D">
            <w:pPr>
              <w:pStyle w:val="TableText"/>
              <w:rPr>
                <w:b/>
              </w:rPr>
            </w:pPr>
            <w:r>
              <w:rPr>
                <w:b/>
              </w:rPr>
              <w:t>L</w:t>
            </w:r>
          </w:p>
        </w:tc>
      </w:tr>
      <w:tr w:rsidR="00B8782D">
        <w:trPr>
          <w:trHeight w:val="177"/>
        </w:trPr>
        <w:tc>
          <w:tcPr>
            <w:tcW w:w="1108" w:type="pct"/>
          </w:tcPr>
          <w:p w:rsidR="00B8782D" w:rsidRDefault="00B8782D">
            <w:pPr>
              <w:pStyle w:val="TableText"/>
              <w:rPr>
                <w:i/>
              </w:rPr>
            </w:pPr>
            <w:r>
              <w:rPr>
                <w:i/>
              </w:rPr>
              <w:t>Cydia pomonella</w:t>
            </w:r>
            <w:r>
              <w:t xml:space="preserve"> (WA)</w:t>
            </w:r>
          </w:p>
        </w:tc>
        <w:tc>
          <w:tcPr>
            <w:tcW w:w="419" w:type="pct"/>
            <w:shd w:val="clear" w:color="auto" w:fill="auto"/>
          </w:tcPr>
          <w:p w:rsidR="00B8782D" w:rsidRDefault="00B8782D">
            <w:pPr>
              <w:pStyle w:val="TableText"/>
            </w:pPr>
            <w:r>
              <w:t>EL</w:t>
            </w:r>
          </w:p>
        </w:tc>
        <w:tc>
          <w:tcPr>
            <w:tcW w:w="420" w:type="pct"/>
            <w:shd w:val="clear" w:color="auto" w:fill="auto"/>
          </w:tcPr>
          <w:p w:rsidR="00B8782D" w:rsidRDefault="00B8782D">
            <w:pPr>
              <w:pStyle w:val="TableText"/>
            </w:pPr>
            <w:r>
              <w:t>M</w:t>
            </w:r>
          </w:p>
        </w:tc>
        <w:tc>
          <w:tcPr>
            <w:tcW w:w="615" w:type="pct"/>
            <w:shd w:val="clear" w:color="auto" w:fill="auto"/>
          </w:tcPr>
          <w:p w:rsidR="00B8782D" w:rsidRDefault="00B8782D">
            <w:pPr>
              <w:pStyle w:val="TableText"/>
              <w:rPr>
                <w:b/>
              </w:rPr>
            </w:pPr>
            <w:r>
              <w:rPr>
                <w:b/>
              </w:rPr>
              <w:t>EL</w:t>
            </w:r>
          </w:p>
        </w:tc>
        <w:tc>
          <w:tcPr>
            <w:tcW w:w="558" w:type="pct"/>
            <w:shd w:val="clear" w:color="auto" w:fill="auto"/>
          </w:tcPr>
          <w:p w:rsidR="00B8782D" w:rsidRDefault="00B8782D">
            <w:pPr>
              <w:pStyle w:val="TableText"/>
            </w:pPr>
            <w:r>
              <w:t>H</w:t>
            </w:r>
          </w:p>
        </w:tc>
        <w:tc>
          <w:tcPr>
            <w:tcW w:w="408" w:type="pct"/>
            <w:shd w:val="clear" w:color="auto" w:fill="auto"/>
          </w:tcPr>
          <w:p w:rsidR="00B8782D" w:rsidRDefault="00B8782D">
            <w:pPr>
              <w:pStyle w:val="TableText"/>
            </w:pPr>
            <w:r>
              <w:t>H</w:t>
            </w:r>
          </w:p>
        </w:tc>
        <w:tc>
          <w:tcPr>
            <w:tcW w:w="456" w:type="pct"/>
            <w:shd w:val="clear" w:color="auto" w:fill="auto"/>
          </w:tcPr>
          <w:p w:rsidR="00B8782D" w:rsidRDefault="00B8782D">
            <w:pPr>
              <w:pStyle w:val="TableText"/>
            </w:pPr>
            <w:r>
              <w:t>EL</w:t>
            </w:r>
          </w:p>
        </w:tc>
        <w:tc>
          <w:tcPr>
            <w:tcW w:w="507" w:type="pct"/>
          </w:tcPr>
          <w:p w:rsidR="00B8782D" w:rsidRDefault="00B8782D">
            <w:pPr>
              <w:pStyle w:val="TableText"/>
            </w:pPr>
            <w:r>
              <w:t>M</w:t>
            </w:r>
          </w:p>
        </w:tc>
        <w:tc>
          <w:tcPr>
            <w:tcW w:w="509" w:type="pct"/>
          </w:tcPr>
          <w:p w:rsidR="00B8782D" w:rsidRDefault="00B8782D">
            <w:pPr>
              <w:pStyle w:val="TableText"/>
              <w:rPr>
                <w:b/>
              </w:rPr>
            </w:pPr>
            <w:r>
              <w:rPr>
                <w:b/>
              </w:rPr>
              <w:t>N</w:t>
            </w:r>
          </w:p>
        </w:tc>
      </w:tr>
      <w:tr w:rsidR="00B8782D">
        <w:trPr>
          <w:trHeight w:val="417"/>
        </w:trPr>
        <w:tc>
          <w:tcPr>
            <w:tcW w:w="1108" w:type="pct"/>
          </w:tcPr>
          <w:p w:rsidR="00B8782D" w:rsidRDefault="00B8782D">
            <w:pPr>
              <w:pStyle w:val="TableText"/>
            </w:pPr>
            <w:r>
              <w:rPr>
                <w:i/>
              </w:rPr>
              <w:lastRenderedPageBreak/>
              <w:t>Grapholita molesta</w:t>
            </w:r>
            <w:r>
              <w:t xml:space="preserve"> (WA)</w:t>
            </w:r>
          </w:p>
          <w:p w:rsidR="00B8782D" w:rsidRDefault="00B8782D">
            <w:pPr>
              <w:pStyle w:val="TableText"/>
              <w:rPr>
                <w:i/>
              </w:rPr>
            </w:pPr>
            <w:r>
              <w:rPr>
                <w:i/>
              </w:rPr>
              <w:t>Grapholita funebrana</w:t>
            </w:r>
          </w:p>
        </w:tc>
        <w:tc>
          <w:tcPr>
            <w:tcW w:w="419" w:type="pct"/>
            <w:shd w:val="clear" w:color="auto" w:fill="auto"/>
          </w:tcPr>
          <w:p w:rsidR="00B8782D" w:rsidRDefault="00B8782D">
            <w:pPr>
              <w:pStyle w:val="TableText"/>
            </w:pPr>
            <w:r>
              <w:t>M</w:t>
            </w:r>
          </w:p>
        </w:tc>
        <w:tc>
          <w:tcPr>
            <w:tcW w:w="420" w:type="pct"/>
            <w:shd w:val="clear" w:color="auto" w:fill="auto"/>
          </w:tcPr>
          <w:p w:rsidR="00B8782D" w:rsidRDefault="00B8782D">
            <w:pPr>
              <w:pStyle w:val="TableText"/>
            </w:pPr>
            <w:r>
              <w:t>M</w:t>
            </w:r>
          </w:p>
        </w:tc>
        <w:tc>
          <w:tcPr>
            <w:tcW w:w="615" w:type="pct"/>
            <w:shd w:val="clear" w:color="auto" w:fill="auto"/>
          </w:tcPr>
          <w:p w:rsidR="00B8782D" w:rsidRDefault="00B8782D">
            <w:pPr>
              <w:pStyle w:val="TableText"/>
              <w:rPr>
                <w:b/>
              </w:rPr>
            </w:pPr>
            <w:r>
              <w:rPr>
                <w:b/>
              </w:rPr>
              <w:t>L</w:t>
            </w:r>
          </w:p>
        </w:tc>
        <w:tc>
          <w:tcPr>
            <w:tcW w:w="558" w:type="pct"/>
            <w:shd w:val="clear" w:color="auto" w:fill="auto"/>
          </w:tcPr>
          <w:p w:rsidR="00B8782D" w:rsidRDefault="00B8782D">
            <w:pPr>
              <w:pStyle w:val="TableText"/>
            </w:pPr>
            <w:r>
              <w:t>H</w:t>
            </w:r>
          </w:p>
        </w:tc>
        <w:tc>
          <w:tcPr>
            <w:tcW w:w="408" w:type="pct"/>
            <w:shd w:val="clear" w:color="auto" w:fill="auto"/>
          </w:tcPr>
          <w:p w:rsidR="00B8782D" w:rsidRDefault="00B8782D">
            <w:pPr>
              <w:pStyle w:val="TableText"/>
            </w:pPr>
            <w:r>
              <w:t>H</w:t>
            </w:r>
          </w:p>
        </w:tc>
        <w:tc>
          <w:tcPr>
            <w:tcW w:w="456" w:type="pct"/>
            <w:shd w:val="clear" w:color="auto" w:fill="auto"/>
          </w:tcPr>
          <w:p w:rsidR="00B8782D" w:rsidRDefault="00B8782D">
            <w:pPr>
              <w:pStyle w:val="TableText"/>
            </w:pPr>
            <w:r>
              <w:t>L</w:t>
            </w:r>
          </w:p>
        </w:tc>
        <w:tc>
          <w:tcPr>
            <w:tcW w:w="507" w:type="pct"/>
          </w:tcPr>
          <w:p w:rsidR="00B8782D" w:rsidRDefault="00B8782D">
            <w:pPr>
              <w:pStyle w:val="TableText"/>
            </w:pPr>
            <w:r>
              <w:t>M</w:t>
            </w:r>
          </w:p>
        </w:tc>
        <w:tc>
          <w:tcPr>
            <w:tcW w:w="509" w:type="pct"/>
          </w:tcPr>
          <w:p w:rsidR="00B8782D" w:rsidRDefault="00B8782D">
            <w:pPr>
              <w:pStyle w:val="TableText"/>
              <w:rPr>
                <w:b/>
              </w:rPr>
            </w:pPr>
            <w:r>
              <w:rPr>
                <w:b/>
              </w:rPr>
              <w:t>L</w:t>
            </w:r>
          </w:p>
        </w:tc>
      </w:tr>
      <w:tr w:rsidR="00B8782D">
        <w:trPr>
          <w:trHeight w:val="255"/>
        </w:trPr>
        <w:tc>
          <w:tcPr>
            <w:tcW w:w="5000" w:type="pct"/>
            <w:gridSpan w:val="9"/>
            <w:tcBorders>
              <w:bottom w:val="single" w:sz="4" w:space="0" w:color="auto"/>
            </w:tcBorders>
          </w:tcPr>
          <w:p w:rsidR="00B8782D" w:rsidRDefault="00B8782D">
            <w:pPr>
              <w:pStyle w:val="TableText"/>
              <w:rPr>
                <w:b/>
              </w:rPr>
            </w:pPr>
            <w:r>
              <w:rPr>
                <w:b/>
              </w:rPr>
              <w:t>Twig borer [Lepidoptera: Gelechiidae]</w:t>
            </w:r>
          </w:p>
        </w:tc>
      </w:tr>
      <w:tr w:rsidR="00B8782D">
        <w:trPr>
          <w:trHeight w:val="255"/>
        </w:trPr>
        <w:tc>
          <w:tcPr>
            <w:tcW w:w="1108" w:type="pct"/>
            <w:tcBorders>
              <w:bottom w:val="single" w:sz="4" w:space="0" w:color="auto"/>
            </w:tcBorders>
          </w:tcPr>
          <w:p w:rsidR="00B8782D" w:rsidRDefault="00B8782D">
            <w:pPr>
              <w:pStyle w:val="TableText"/>
              <w:rPr>
                <w:i/>
              </w:rPr>
            </w:pPr>
            <w:r>
              <w:rPr>
                <w:i/>
              </w:rPr>
              <w:t>Anarsia lineatella</w:t>
            </w:r>
          </w:p>
        </w:tc>
        <w:tc>
          <w:tcPr>
            <w:tcW w:w="419" w:type="pct"/>
            <w:tcBorders>
              <w:bottom w:val="single" w:sz="4" w:space="0" w:color="auto"/>
            </w:tcBorders>
            <w:shd w:val="clear" w:color="auto" w:fill="auto"/>
          </w:tcPr>
          <w:p w:rsidR="00B8782D" w:rsidRDefault="00B8782D">
            <w:pPr>
              <w:pStyle w:val="TableText"/>
            </w:pPr>
            <w:r>
              <w:t>M</w:t>
            </w:r>
          </w:p>
        </w:tc>
        <w:tc>
          <w:tcPr>
            <w:tcW w:w="420" w:type="pct"/>
            <w:tcBorders>
              <w:bottom w:val="single" w:sz="4" w:space="0" w:color="auto"/>
            </w:tcBorders>
            <w:shd w:val="clear" w:color="auto" w:fill="auto"/>
          </w:tcPr>
          <w:p w:rsidR="00B8782D" w:rsidRDefault="00B8782D">
            <w:pPr>
              <w:pStyle w:val="TableText"/>
            </w:pPr>
            <w:r>
              <w:t>L</w:t>
            </w:r>
          </w:p>
        </w:tc>
        <w:tc>
          <w:tcPr>
            <w:tcW w:w="615" w:type="pct"/>
            <w:tcBorders>
              <w:bottom w:val="single" w:sz="4" w:space="0" w:color="auto"/>
            </w:tcBorders>
            <w:shd w:val="clear" w:color="auto" w:fill="auto"/>
          </w:tcPr>
          <w:p w:rsidR="00B8782D" w:rsidRDefault="00B8782D">
            <w:pPr>
              <w:pStyle w:val="TableText"/>
              <w:rPr>
                <w:b/>
              </w:rPr>
            </w:pPr>
            <w:r>
              <w:rPr>
                <w:b/>
              </w:rPr>
              <w:t>L</w:t>
            </w:r>
          </w:p>
        </w:tc>
        <w:tc>
          <w:tcPr>
            <w:tcW w:w="558" w:type="pct"/>
            <w:tcBorders>
              <w:bottom w:val="single" w:sz="4" w:space="0" w:color="auto"/>
            </w:tcBorders>
            <w:shd w:val="clear" w:color="auto" w:fill="auto"/>
          </w:tcPr>
          <w:p w:rsidR="00B8782D" w:rsidRDefault="00B8782D">
            <w:pPr>
              <w:pStyle w:val="TableText"/>
            </w:pPr>
            <w:r>
              <w:t>H</w:t>
            </w:r>
          </w:p>
        </w:tc>
        <w:tc>
          <w:tcPr>
            <w:tcW w:w="408" w:type="pct"/>
            <w:tcBorders>
              <w:bottom w:val="single" w:sz="4" w:space="0" w:color="auto"/>
            </w:tcBorders>
            <w:shd w:val="clear" w:color="auto" w:fill="auto"/>
          </w:tcPr>
          <w:p w:rsidR="00B8782D" w:rsidRDefault="00B8782D">
            <w:pPr>
              <w:pStyle w:val="TableText"/>
            </w:pPr>
            <w:r>
              <w:t>H</w:t>
            </w:r>
          </w:p>
        </w:tc>
        <w:tc>
          <w:tcPr>
            <w:tcW w:w="456" w:type="pct"/>
            <w:tcBorders>
              <w:bottom w:val="single" w:sz="4" w:space="0" w:color="auto"/>
            </w:tcBorders>
            <w:shd w:val="clear" w:color="auto" w:fill="auto"/>
          </w:tcPr>
          <w:p w:rsidR="00B8782D" w:rsidRDefault="00B8782D">
            <w:pPr>
              <w:pStyle w:val="TableText"/>
            </w:pPr>
            <w:r>
              <w:t>L</w:t>
            </w:r>
          </w:p>
        </w:tc>
        <w:tc>
          <w:tcPr>
            <w:tcW w:w="507" w:type="pct"/>
            <w:tcBorders>
              <w:bottom w:val="single" w:sz="4" w:space="0" w:color="auto"/>
            </w:tcBorders>
          </w:tcPr>
          <w:p w:rsidR="00B8782D" w:rsidRDefault="00B8782D">
            <w:pPr>
              <w:pStyle w:val="TableText"/>
            </w:pPr>
            <w:r>
              <w:t>M</w:t>
            </w:r>
          </w:p>
        </w:tc>
        <w:tc>
          <w:tcPr>
            <w:tcW w:w="509" w:type="pct"/>
            <w:tcBorders>
              <w:bottom w:val="single" w:sz="4" w:space="0" w:color="auto"/>
            </w:tcBorders>
          </w:tcPr>
          <w:p w:rsidR="00B8782D" w:rsidRDefault="00B8782D">
            <w:pPr>
              <w:pStyle w:val="TableText"/>
              <w:rPr>
                <w:b/>
              </w:rPr>
            </w:pPr>
            <w:r>
              <w:rPr>
                <w:b/>
              </w:rPr>
              <w:t>L</w:t>
            </w:r>
          </w:p>
        </w:tc>
      </w:tr>
      <w:tr w:rsidR="00B8782D">
        <w:trPr>
          <w:trHeight w:val="255"/>
        </w:trPr>
        <w:tc>
          <w:tcPr>
            <w:tcW w:w="5000" w:type="pct"/>
            <w:gridSpan w:val="9"/>
            <w:tcBorders>
              <w:top w:val="single" w:sz="4" w:space="0" w:color="auto"/>
              <w:bottom w:val="single" w:sz="4" w:space="0" w:color="auto"/>
            </w:tcBorders>
          </w:tcPr>
          <w:p w:rsidR="00B8782D" w:rsidRDefault="00B8782D">
            <w:pPr>
              <w:pStyle w:val="TableText"/>
              <w:rPr>
                <w:b/>
              </w:rPr>
            </w:pPr>
            <w:r>
              <w:rPr>
                <w:b/>
              </w:rPr>
              <w:t>Fruit borer [Lepidoptera: Carposinidae]</w:t>
            </w:r>
          </w:p>
        </w:tc>
      </w:tr>
      <w:tr w:rsidR="00B8782D">
        <w:trPr>
          <w:trHeight w:val="255"/>
        </w:trPr>
        <w:tc>
          <w:tcPr>
            <w:tcW w:w="1108" w:type="pct"/>
            <w:tcBorders>
              <w:top w:val="single" w:sz="4" w:space="0" w:color="auto"/>
              <w:bottom w:val="single" w:sz="4" w:space="0" w:color="auto"/>
            </w:tcBorders>
          </w:tcPr>
          <w:p w:rsidR="00B8782D" w:rsidRDefault="00B8782D">
            <w:pPr>
              <w:pStyle w:val="TableText"/>
              <w:rPr>
                <w:i/>
              </w:rPr>
            </w:pPr>
            <w:r>
              <w:rPr>
                <w:i/>
              </w:rPr>
              <w:t>Carposina sasakii</w:t>
            </w:r>
          </w:p>
        </w:tc>
        <w:tc>
          <w:tcPr>
            <w:tcW w:w="419" w:type="pct"/>
            <w:tcBorders>
              <w:top w:val="single" w:sz="4" w:space="0" w:color="auto"/>
              <w:bottom w:val="single" w:sz="4" w:space="0" w:color="auto"/>
            </w:tcBorders>
            <w:shd w:val="clear" w:color="auto" w:fill="auto"/>
          </w:tcPr>
          <w:p w:rsidR="00B8782D" w:rsidRDefault="00B8782D">
            <w:pPr>
              <w:pStyle w:val="TableText"/>
            </w:pPr>
            <w:r>
              <w:t>H</w:t>
            </w:r>
          </w:p>
        </w:tc>
        <w:tc>
          <w:tcPr>
            <w:tcW w:w="420" w:type="pct"/>
            <w:tcBorders>
              <w:top w:val="single" w:sz="4" w:space="0" w:color="auto"/>
              <w:bottom w:val="single" w:sz="4" w:space="0" w:color="auto"/>
            </w:tcBorders>
            <w:shd w:val="clear" w:color="auto" w:fill="auto"/>
          </w:tcPr>
          <w:p w:rsidR="00B8782D" w:rsidRDefault="00B8782D">
            <w:pPr>
              <w:pStyle w:val="TableText"/>
            </w:pPr>
            <w:r>
              <w:t>H</w:t>
            </w:r>
          </w:p>
        </w:tc>
        <w:tc>
          <w:tcPr>
            <w:tcW w:w="615" w:type="pct"/>
            <w:tcBorders>
              <w:top w:val="single" w:sz="4" w:space="0" w:color="auto"/>
              <w:bottom w:val="single" w:sz="4" w:space="0" w:color="auto"/>
            </w:tcBorders>
            <w:shd w:val="clear" w:color="auto" w:fill="auto"/>
          </w:tcPr>
          <w:p w:rsidR="00B8782D" w:rsidRDefault="00B8782D">
            <w:pPr>
              <w:pStyle w:val="TableText"/>
              <w:rPr>
                <w:b/>
              </w:rPr>
            </w:pPr>
            <w:r>
              <w:rPr>
                <w:b/>
              </w:rPr>
              <w:t>H</w:t>
            </w:r>
          </w:p>
        </w:tc>
        <w:tc>
          <w:tcPr>
            <w:tcW w:w="558" w:type="pct"/>
            <w:tcBorders>
              <w:top w:val="single" w:sz="4" w:space="0" w:color="auto"/>
              <w:bottom w:val="single" w:sz="4" w:space="0" w:color="auto"/>
            </w:tcBorders>
            <w:shd w:val="clear" w:color="auto" w:fill="auto"/>
          </w:tcPr>
          <w:p w:rsidR="00B8782D" w:rsidRDefault="00B8782D">
            <w:pPr>
              <w:pStyle w:val="TableText"/>
            </w:pPr>
            <w:r>
              <w:t>H</w:t>
            </w:r>
          </w:p>
        </w:tc>
        <w:tc>
          <w:tcPr>
            <w:tcW w:w="408" w:type="pct"/>
            <w:tcBorders>
              <w:top w:val="single" w:sz="4" w:space="0" w:color="auto"/>
              <w:bottom w:val="single" w:sz="4" w:space="0" w:color="auto"/>
            </w:tcBorders>
            <w:shd w:val="clear" w:color="auto" w:fill="auto"/>
          </w:tcPr>
          <w:p w:rsidR="00B8782D" w:rsidRDefault="00B8782D">
            <w:pPr>
              <w:pStyle w:val="TableText"/>
            </w:pPr>
            <w:r>
              <w:t>H</w:t>
            </w:r>
          </w:p>
        </w:tc>
        <w:tc>
          <w:tcPr>
            <w:tcW w:w="456" w:type="pct"/>
            <w:tcBorders>
              <w:top w:val="single" w:sz="4" w:space="0" w:color="auto"/>
              <w:bottom w:val="single" w:sz="4" w:space="0" w:color="auto"/>
            </w:tcBorders>
            <w:shd w:val="clear" w:color="auto" w:fill="auto"/>
          </w:tcPr>
          <w:p w:rsidR="00B8782D" w:rsidRDefault="00B8782D">
            <w:pPr>
              <w:pStyle w:val="TableText"/>
            </w:pPr>
            <w:r>
              <w:t>H</w:t>
            </w:r>
          </w:p>
        </w:tc>
        <w:tc>
          <w:tcPr>
            <w:tcW w:w="507" w:type="pct"/>
            <w:tcBorders>
              <w:top w:val="single" w:sz="4" w:space="0" w:color="auto"/>
              <w:bottom w:val="single" w:sz="4" w:space="0" w:color="auto"/>
            </w:tcBorders>
          </w:tcPr>
          <w:p w:rsidR="00B8782D" w:rsidRDefault="00B8782D">
            <w:pPr>
              <w:pStyle w:val="TableText"/>
            </w:pPr>
            <w:r>
              <w:t>M</w:t>
            </w:r>
          </w:p>
        </w:tc>
        <w:tc>
          <w:tcPr>
            <w:tcW w:w="509" w:type="pct"/>
            <w:tcBorders>
              <w:top w:val="single" w:sz="4" w:space="0" w:color="auto"/>
              <w:bottom w:val="single" w:sz="4" w:space="0" w:color="auto"/>
            </w:tcBorders>
          </w:tcPr>
          <w:p w:rsidR="00B8782D" w:rsidRDefault="00B8782D">
            <w:pPr>
              <w:pStyle w:val="TableText"/>
              <w:rPr>
                <w:b/>
              </w:rPr>
            </w:pPr>
            <w:r>
              <w:rPr>
                <w:b/>
              </w:rPr>
              <w:t>M</w:t>
            </w:r>
          </w:p>
        </w:tc>
      </w:tr>
      <w:tr w:rsidR="00B8782D">
        <w:trPr>
          <w:trHeight w:val="255"/>
        </w:trPr>
        <w:tc>
          <w:tcPr>
            <w:tcW w:w="5000" w:type="pct"/>
            <w:gridSpan w:val="9"/>
            <w:tcBorders>
              <w:top w:val="single" w:sz="4" w:space="0" w:color="auto"/>
              <w:bottom w:val="single" w:sz="4" w:space="0" w:color="auto"/>
            </w:tcBorders>
          </w:tcPr>
          <w:p w:rsidR="00B8782D" w:rsidRDefault="00B8782D">
            <w:pPr>
              <w:pStyle w:val="TableText"/>
              <w:rPr>
                <w:b/>
              </w:rPr>
            </w:pPr>
            <w:r>
              <w:rPr>
                <w:b/>
              </w:rPr>
              <w:t>Thrips [Thysanoptera: Thripidae]</w:t>
            </w:r>
          </w:p>
        </w:tc>
      </w:tr>
      <w:tr w:rsidR="00B8782D">
        <w:trPr>
          <w:trHeight w:val="402"/>
        </w:trPr>
        <w:tc>
          <w:tcPr>
            <w:tcW w:w="1108" w:type="pct"/>
            <w:tcBorders>
              <w:top w:val="single" w:sz="4" w:space="0" w:color="auto"/>
              <w:bottom w:val="single" w:sz="4" w:space="0" w:color="auto"/>
            </w:tcBorders>
          </w:tcPr>
          <w:p w:rsidR="00B8782D" w:rsidRDefault="00B8782D">
            <w:pPr>
              <w:pStyle w:val="TableText"/>
              <w:rPr>
                <w:i/>
              </w:rPr>
            </w:pPr>
            <w:r>
              <w:rPr>
                <w:i/>
              </w:rPr>
              <w:t>Frankliniella intonsa</w:t>
            </w:r>
          </w:p>
          <w:p w:rsidR="00B8782D" w:rsidRDefault="00B8782D">
            <w:pPr>
              <w:pStyle w:val="TableText"/>
            </w:pPr>
            <w:r>
              <w:rPr>
                <w:i/>
              </w:rPr>
              <w:t>Frankliniella occidentalis</w:t>
            </w:r>
            <w:r>
              <w:t xml:space="preserve"> (NT)</w:t>
            </w:r>
          </w:p>
        </w:tc>
        <w:tc>
          <w:tcPr>
            <w:tcW w:w="419" w:type="pct"/>
            <w:tcBorders>
              <w:top w:val="single" w:sz="4" w:space="0" w:color="auto"/>
              <w:bottom w:val="single" w:sz="4" w:space="0" w:color="auto"/>
            </w:tcBorders>
            <w:shd w:val="clear" w:color="auto" w:fill="auto"/>
          </w:tcPr>
          <w:p w:rsidR="00B8782D" w:rsidRDefault="00B8782D">
            <w:pPr>
              <w:pStyle w:val="TableText"/>
            </w:pPr>
            <w:r>
              <w:t>H</w:t>
            </w:r>
          </w:p>
        </w:tc>
        <w:tc>
          <w:tcPr>
            <w:tcW w:w="420" w:type="pct"/>
            <w:tcBorders>
              <w:top w:val="single" w:sz="4" w:space="0" w:color="auto"/>
              <w:bottom w:val="single" w:sz="4" w:space="0" w:color="auto"/>
            </w:tcBorders>
            <w:shd w:val="clear" w:color="auto" w:fill="auto"/>
          </w:tcPr>
          <w:p w:rsidR="00B8782D" w:rsidRDefault="00B8782D">
            <w:pPr>
              <w:pStyle w:val="TableText"/>
            </w:pPr>
            <w:r>
              <w:t>M</w:t>
            </w:r>
          </w:p>
        </w:tc>
        <w:tc>
          <w:tcPr>
            <w:tcW w:w="615" w:type="pct"/>
            <w:tcBorders>
              <w:top w:val="single" w:sz="4" w:space="0" w:color="auto"/>
              <w:bottom w:val="single" w:sz="4" w:space="0" w:color="auto"/>
            </w:tcBorders>
            <w:shd w:val="clear" w:color="auto" w:fill="auto"/>
          </w:tcPr>
          <w:p w:rsidR="00B8782D" w:rsidRDefault="00B8782D">
            <w:pPr>
              <w:pStyle w:val="TableText"/>
              <w:rPr>
                <w:b/>
              </w:rPr>
            </w:pPr>
            <w:r>
              <w:rPr>
                <w:b/>
              </w:rPr>
              <w:t>M</w:t>
            </w:r>
          </w:p>
        </w:tc>
        <w:tc>
          <w:tcPr>
            <w:tcW w:w="558" w:type="pct"/>
            <w:tcBorders>
              <w:top w:val="single" w:sz="4" w:space="0" w:color="auto"/>
              <w:bottom w:val="single" w:sz="4" w:space="0" w:color="auto"/>
            </w:tcBorders>
            <w:shd w:val="clear" w:color="auto" w:fill="auto"/>
          </w:tcPr>
          <w:p w:rsidR="00B8782D" w:rsidRDefault="00B8782D">
            <w:pPr>
              <w:pStyle w:val="TableText"/>
            </w:pPr>
            <w:r>
              <w:t>H</w:t>
            </w:r>
          </w:p>
        </w:tc>
        <w:tc>
          <w:tcPr>
            <w:tcW w:w="408" w:type="pct"/>
            <w:tcBorders>
              <w:top w:val="single" w:sz="4" w:space="0" w:color="auto"/>
              <w:bottom w:val="single" w:sz="4" w:space="0" w:color="auto"/>
            </w:tcBorders>
            <w:shd w:val="clear" w:color="auto" w:fill="auto"/>
          </w:tcPr>
          <w:p w:rsidR="00B8782D" w:rsidRDefault="00B8782D">
            <w:pPr>
              <w:pStyle w:val="TableText"/>
            </w:pPr>
            <w:r>
              <w:t>H</w:t>
            </w:r>
          </w:p>
        </w:tc>
        <w:tc>
          <w:tcPr>
            <w:tcW w:w="456" w:type="pct"/>
            <w:tcBorders>
              <w:top w:val="single" w:sz="4" w:space="0" w:color="auto"/>
              <w:bottom w:val="single" w:sz="4" w:space="0" w:color="auto"/>
            </w:tcBorders>
            <w:shd w:val="clear" w:color="auto" w:fill="auto"/>
          </w:tcPr>
          <w:p w:rsidR="00B8782D" w:rsidRDefault="00B8782D">
            <w:pPr>
              <w:pStyle w:val="TableText"/>
            </w:pPr>
            <w:r>
              <w:t>M</w:t>
            </w:r>
          </w:p>
        </w:tc>
        <w:tc>
          <w:tcPr>
            <w:tcW w:w="507" w:type="pct"/>
            <w:tcBorders>
              <w:top w:val="single" w:sz="4" w:space="0" w:color="auto"/>
              <w:bottom w:val="single" w:sz="4" w:space="0" w:color="auto"/>
            </w:tcBorders>
          </w:tcPr>
          <w:p w:rsidR="00B8782D" w:rsidRDefault="00B8782D">
            <w:pPr>
              <w:pStyle w:val="TableText"/>
            </w:pPr>
            <w:r>
              <w:t>L</w:t>
            </w:r>
          </w:p>
        </w:tc>
        <w:tc>
          <w:tcPr>
            <w:tcW w:w="509" w:type="pct"/>
            <w:tcBorders>
              <w:top w:val="single" w:sz="4" w:space="0" w:color="auto"/>
              <w:bottom w:val="single" w:sz="4" w:space="0" w:color="auto"/>
            </w:tcBorders>
          </w:tcPr>
          <w:p w:rsidR="00B8782D" w:rsidRDefault="00B8782D">
            <w:pPr>
              <w:pStyle w:val="TableText"/>
              <w:rPr>
                <w:b/>
              </w:rPr>
            </w:pPr>
            <w:r>
              <w:rPr>
                <w:b/>
              </w:rPr>
              <w:t>L</w:t>
            </w:r>
          </w:p>
        </w:tc>
      </w:tr>
      <w:tr w:rsidR="00B8782D">
        <w:trPr>
          <w:trHeight w:val="255"/>
        </w:trPr>
        <w:tc>
          <w:tcPr>
            <w:tcW w:w="5000" w:type="pct"/>
            <w:gridSpan w:val="9"/>
            <w:tcBorders>
              <w:top w:val="single" w:sz="4" w:space="0" w:color="auto"/>
              <w:bottom w:val="single" w:sz="4" w:space="0" w:color="auto"/>
            </w:tcBorders>
          </w:tcPr>
          <w:p w:rsidR="00B8782D" w:rsidRDefault="00B8782D">
            <w:pPr>
              <w:pStyle w:val="TableText"/>
              <w:rPr>
                <w:b/>
              </w:rPr>
            </w:pPr>
            <w:r>
              <w:rPr>
                <w:b/>
              </w:rPr>
              <w:t>Fungi</w:t>
            </w:r>
          </w:p>
        </w:tc>
      </w:tr>
      <w:tr w:rsidR="00B8782D">
        <w:trPr>
          <w:trHeight w:val="363"/>
        </w:trPr>
        <w:tc>
          <w:tcPr>
            <w:tcW w:w="1108" w:type="pct"/>
            <w:tcBorders>
              <w:top w:val="single" w:sz="4" w:space="0" w:color="auto"/>
              <w:bottom w:val="single" w:sz="4" w:space="0" w:color="auto"/>
            </w:tcBorders>
          </w:tcPr>
          <w:p w:rsidR="00B8782D" w:rsidRDefault="00B8782D">
            <w:pPr>
              <w:pStyle w:val="TableText"/>
              <w:rPr>
                <w:i/>
              </w:rPr>
            </w:pPr>
            <w:r>
              <w:rPr>
                <w:i/>
              </w:rPr>
              <w:t>Monilinia fructigena</w:t>
            </w:r>
          </w:p>
          <w:p w:rsidR="00B8782D" w:rsidRDefault="00B8782D">
            <w:pPr>
              <w:pStyle w:val="TableText"/>
              <w:rPr>
                <w:i/>
              </w:rPr>
            </w:pPr>
            <w:r>
              <w:rPr>
                <w:i/>
              </w:rPr>
              <w:t>Monilia mumecola</w:t>
            </w:r>
          </w:p>
          <w:p w:rsidR="00B8782D" w:rsidRDefault="00B8782D">
            <w:pPr>
              <w:pStyle w:val="TableText"/>
              <w:rPr>
                <w:i/>
              </w:rPr>
            </w:pPr>
            <w:r>
              <w:rPr>
                <w:i/>
              </w:rPr>
              <w:t>Monilia polystroma</w:t>
            </w:r>
          </w:p>
          <w:p w:rsidR="00B8782D" w:rsidRDefault="00B8782D">
            <w:pPr>
              <w:pStyle w:val="TableText"/>
              <w:rPr>
                <w:i/>
              </w:rPr>
            </w:pPr>
            <w:r>
              <w:rPr>
                <w:i/>
              </w:rPr>
              <w:t>Monilinia yunnanensis</w:t>
            </w:r>
          </w:p>
        </w:tc>
        <w:tc>
          <w:tcPr>
            <w:tcW w:w="419" w:type="pct"/>
            <w:tcBorders>
              <w:top w:val="single" w:sz="4" w:space="0" w:color="auto"/>
              <w:bottom w:val="single" w:sz="4" w:space="0" w:color="auto"/>
            </w:tcBorders>
            <w:shd w:val="clear" w:color="auto" w:fill="auto"/>
          </w:tcPr>
          <w:p w:rsidR="00B8782D" w:rsidRDefault="00B8782D">
            <w:pPr>
              <w:pStyle w:val="TableText"/>
            </w:pPr>
            <w:r>
              <w:t>H</w:t>
            </w:r>
          </w:p>
        </w:tc>
        <w:tc>
          <w:tcPr>
            <w:tcW w:w="420" w:type="pct"/>
            <w:tcBorders>
              <w:top w:val="single" w:sz="4" w:space="0" w:color="auto"/>
              <w:bottom w:val="single" w:sz="4" w:space="0" w:color="auto"/>
            </w:tcBorders>
            <w:shd w:val="clear" w:color="auto" w:fill="auto"/>
          </w:tcPr>
          <w:p w:rsidR="00B8782D" w:rsidRDefault="00B8782D">
            <w:pPr>
              <w:pStyle w:val="TableText"/>
            </w:pPr>
            <w:r>
              <w:t>H</w:t>
            </w:r>
          </w:p>
        </w:tc>
        <w:tc>
          <w:tcPr>
            <w:tcW w:w="615" w:type="pct"/>
            <w:tcBorders>
              <w:top w:val="single" w:sz="4" w:space="0" w:color="auto"/>
              <w:bottom w:val="single" w:sz="4" w:space="0" w:color="auto"/>
            </w:tcBorders>
            <w:shd w:val="clear" w:color="auto" w:fill="auto"/>
          </w:tcPr>
          <w:p w:rsidR="00B8782D" w:rsidRDefault="00B8782D">
            <w:pPr>
              <w:pStyle w:val="TableText"/>
              <w:rPr>
                <w:b/>
              </w:rPr>
            </w:pPr>
            <w:r>
              <w:rPr>
                <w:b/>
              </w:rPr>
              <w:t>H</w:t>
            </w:r>
          </w:p>
        </w:tc>
        <w:tc>
          <w:tcPr>
            <w:tcW w:w="558" w:type="pct"/>
            <w:tcBorders>
              <w:top w:val="single" w:sz="4" w:space="0" w:color="auto"/>
              <w:bottom w:val="single" w:sz="4" w:space="0" w:color="auto"/>
            </w:tcBorders>
            <w:shd w:val="clear" w:color="auto" w:fill="auto"/>
          </w:tcPr>
          <w:p w:rsidR="00B8782D" w:rsidRDefault="00B8782D">
            <w:pPr>
              <w:pStyle w:val="TableText"/>
            </w:pPr>
            <w:r>
              <w:t>H</w:t>
            </w:r>
          </w:p>
        </w:tc>
        <w:tc>
          <w:tcPr>
            <w:tcW w:w="408" w:type="pct"/>
            <w:tcBorders>
              <w:top w:val="single" w:sz="4" w:space="0" w:color="auto"/>
              <w:bottom w:val="single" w:sz="4" w:space="0" w:color="auto"/>
            </w:tcBorders>
            <w:shd w:val="clear" w:color="auto" w:fill="auto"/>
          </w:tcPr>
          <w:p w:rsidR="00B8782D" w:rsidRDefault="00B8782D">
            <w:pPr>
              <w:pStyle w:val="TableText"/>
            </w:pPr>
            <w:r>
              <w:t>H</w:t>
            </w:r>
          </w:p>
        </w:tc>
        <w:tc>
          <w:tcPr>
            <w:tcW w:w="456" w:type="pct"/>
            <w:tcBorders>
              <w:top w:val="single" w:sz="4" w:space="0" w:color="auto"/>
              <w:bottom w:val="single" w:sz="4" w:space="0" w:color="auto"/>
            </w:tcBorders>
            <w:shd w:val="clear" w:color="auto" w:fill="auto"/>
          </w:tcPr>
          <w:p w:rsidR="00B8782D" w:rsidRDefault="00B8782D">
            <w:pPr>
              <w:pStyle w:val="TableText"/>
            </w:pPr>
            <w:r>
              <w:t>H</w:t>
            </w:r>
          </w:p>
        </w:tc>
        <w:tc>
          <w:tcPr>
            <w:tcW w:w="507" w:type="pct"/>
            <w:tcBorders>
              <w:top w:val="single" w:sz="4" w:space="0" w:color="auto"/>
              <w:bottom w:val="single" w:sz="4" w:space="0" w:color="auto"/>
            </w:tcBorders>
          </w:tcPr>
          <w:p w:rsidR="00B8782D" w:rsidRDefault="00B8782D">
            <w:pPr>
              <w:pStyle w:val="TableText"/>
            </w:pPr>
            <w:r>
              <w:t>M</w:t>
            </w:r>
          </w:p>
        </w:tc>
        <w:tc>
          <w:tcPr>
            <w:tcW w:w="509" w:type="pct"/>
            <w:tcBorders>
              <w:top w:val="single" w:sz="4" w:space="0" w:color="auto"/>
              <w:bottom w:val="single" w:sz="4" w:space="0" w:color="auto"/>
            </w:tcBorders>
          </w:tcPr>
          <w:p w:rsidR="00B8782D" w:rsidRDefault="00B8782D">
            <w:pPr>
              <w:pStyle w:val="TableText"/>
              <w:rPr>
                <w:b/>
              </w:rPr>
            </w:pPr>
            <w:r>
              <w:rPr>
                <w:b/>
              </w:rPr>
              <w:t>M</w:t>
            </w:r>
          </w:p>
        </w:tc>
      </w:tr>
      <w:tr w:rsidR="00B8782D">
        <w:trPr>
          <w:trHeight w:val="255"/>
        </w:trPr>
        <w:tc>
          <w:tcPr>
            <w:tcW w:w="5000" w:type="pct"/>
            <w:gridSpan w:val="9"/>
            <w:tcBorders>
              <w:top w:val="single" w:sz="4" w:space="0" w:color="auto"/>
              <w:bottom w:val="single" w:sz="4" w:space="0" w:color="auto"/>
            </w:tcBorders>
          </w:tcPr>
          <w:p w:rsidR="00B8782D" w:rsidRDefault="00B8782D">
            <w:pPr>
              <w:pStyle w:val="TableText"/>
              <w:rPr>
                <w:b/>
              </w:rPr>
            </w:pPr>
            <w:r>
              <w:rPr>
                <w:b/>
              </w:rPr>
              <w:t>Viroids and Viruses</w:t>
            </w:r>
          </w:p>
        </w:tc>
      </w:tr>
      <w:tr w:rsidR="00B8782D">
        <w:trPr>
          <w:trHeight w:val="250"/>
        </w:trPr>
        <w:tc>
          <w:tcPr>
            <w:tcW w:w="1108" w:type="pct"/>
            <w:tcBorders>
              <w:top w:val="single" w:sz="4" w:space="0" w:color="auto"/>
              <w:bottom w:val="single" w:sz="4" w:space="0" w:color="auto"/>
            </w:tcBorders>
          </w:tcPr>
          <w:p w:rsidR="00B8782D" w:rsidRDefault="00B8782D">
            <w:pPr>
              <w:pStyle w:val="TableText"/>
              <w:spacing w:after="0"/>
              <w:rPr>
                <w:i/>
              </w:rPr>
            </w:pPr>
            <w:r>
              <w:rPr>
                <w:i/>
              </w:rPr>
              <w:t>Apple scar skin viroid</w:t>
            </w:r>
          </w:p>
        </w:tc>
        <w:tc>
          <w:tcPr>
            <w:tcW w:w="419" w:type="pct"/>
            <w:tcBorders>
              <w:top w:val="single" w:sz="4" w:space="0" w:color="auto"/>
              <w:bottom w:val="single" w:sz="4" w:space="0" w:color="auto"/>
            </w:tcBorders>
            <w:shd w:val="clear" w:color="auto" w:fill="auto"/>
          </w:tcPr>
          <w:p w:rsidR="00B8782D" w:rsidRDefault="00B8782D">
            <w:pPr>
              <w:pStyle w:val="TableText"/>
              <w:spacing w:after="0"/>
            </w:pPr>
            <w:r>
              <w:t>L</w:t>
            </w:r>
          </w:p>
        </w:tc>
        <w:tc>
          <w:tcPr>
            <w:tcW w:w="420" w:type="pct"/>
            <w:tcBorders>
              <w:top w:val="single" w:sz="4" w:space="0" w:color="auto"/>
              <w:bottom w:val="single" w:sz="4" w:space="0" w:color="auto"/>
            </w:tcBorders>
            <w:shd w:val="clear" w:color="auto" w:fill="auto"/>
          </w:tcPr>
          <w:p w:rsidR="00B8782D" w:rsidRDefault="00B8782D">
            <w:pPr>
              <w:pStyle w:val="TableText"/>
              <w:spacing w:after="0"/>
            </w:pPr>
            <w:r>
              <w:t>H</w:t>
            </w:r>
          </w:p>
        </w:tc>
        <w:tc>
          <w:tcPr>
            <w:tcW w:w="615" w:type="pct"/>
            <w:tcBorders>
              <w:top w:val="single" w:sz="4" w:space="0" w:color="auto"/>
              <w:bottom w:val="single" w:sz="4" w:space="0" w:color="auto"/>
            </w:tcBorders>
            <w:shd w:val="clear" w:color="auto" w:fill="auto"/>
          </w:tcPr>
          <w:p w:rsidR="00B8782D" w:rsidRDefault="00B8782D">
            <w:pPr>
              <w:pStyle w:val="TableText"/>
              <w:spacing w:after="0"/>
              <w:rPr>
                <w:b/>
              </w:rPr>
            </w:pPr>
            <w:r>
              <w:rPr>
                <w:b/>
              </w:rPr>
              <w:t>L</w:t>
            </w:r>
          </w:p>
        </w:tc>
        <w:tc>
          <w:tcPr>
            <w:tcW w:w="558" w:type="pct"/>
            <w:tcBorders>
              <w:top w:val="single" w:sz="4" w:space="0" w:color="auto"/>
              <w:bottom w:val="single" w:sz="4" w:space="0" w:color="auto"/>
            </w:tcBorders>
            <w:shd w:val="clear" w:color="auto" w:fill="auto"/>
          </w:tcPr>
          <w:p w:rsidR="00B8782D" w:rsidRDefault="00B8782D">
            <w:pPr>
              <w:pStyle w:val="TableText"/>
              <w:spacing w:after="0"/>
            </w:pPr>
            <w:r>
              <w:t>M</w:t>
            </w:r>
          </w:p>
        </w:tc>
        <w:tc>
          <w:tcPr>
            <w:tcW w:w="408" w:type="pct"/>
            <w:tcBorders>
              <w:top w:val="single" w:sz="4" w:space="0" w:color="auto"/>
              <w:bottom w:val="single" w:sz="4" w:space="0" w:color="auto"/>
            </w:tcBorders>
            <w:shd w:val="clear" w:color="auto" w:fill="auto"/>
          </w:tcPr>
          <w:p w:rsidR="00B8782D" w:rsidRDefault="00B8782D">
            <w:pPr>
              <w:pStyle w:val="TableText"/>
              <w:spacing w:after="0"/>
            </w:pPr>
            <w:r>
              <w:t>L</w:t>
            </w:r>
          </w:p>
        </w:tc>
        <w:tc>
          <w:tcPr>
            <w:tcW w:w="456" w:type="pct"/>
            <w:tcBorders>
              <w:top w:val="single" w:sz="4" w:space="0" w:color="auto"/>
              <w:bottom w:val="single" w:sz="4" w:space="0" w:color="auto"/>
            </w:tcBorders>
            <w:shd w:val="clear" w:color="auto" w:fill="auto"/>
          </w:tcPr>
          <w:p w:rsidR="00B8782D" w:rsidRDefault="00B8782D">
            <w:pPr>
              <w:pStyle w:val="TableText"/>
              <w:spacing w:after="0"/>
            </w:pPr>
            <w:r>
              <w:t>VL</w:t>
            </w:r>
          </w:p>
        </w:tc>
        <w:tc>
          <w:tcPr>
            <w:tcW w:w="507" w:type="pct"/>
            <w:tcBorders>
              <w:top w:val="single" w:sz="4" w:space="0" w:color="auto"/>
              <w:bottom w:val="single" w:sz="4" w:space="0" w:color="auto"/>
            </w:tcBorders>
          </w:tcPr>
          <w:p w:rsidR="00B8782D" w:rsidRDefault="00B8782D">
            <w:pPr>
              <w:pStyle w:val="TableText"/>
              <w:spacing w:after="0"/>
            </w:pPr>
            <w:r>
              <w:t>M</w:t>
            </w:r>
          </w:p>
        </w:tc>
        <w:tc>
          <w:tcPr>
            <w:tcW w:w="509" w:type="pct"/>
            <w:tcBorders>
              <w:top w:val="single" w:sz="4" w:space="0" w:color="auto"/>
              <w:bottom w:val="single" w:sz="4" w:space="0" w:color="auto"/>
            </w:tcBorders>
          </w:tcPr>
          <w:p w:rsidR="00B8782D" w:rsidRDefault="00B8782D">
            <w:pPr>
              <w:pStyle w:val="TableText"/>
              <w:spacing w:after="0"/>
              <w:rPr>
                <w:b/>
              </w:rPr>
            </w:pPr>
            <w:r>
              <w:rPr>
                <w:b/>
              </w:rPr>
              <w:t>VL</w:t>
            </w:r>
          </w:p>
        </w:tc>
      </w:tr>
      <w:tr w:rsidR="00B8782D">
        <w:trPr>
          <w:trHeight w:val="285"/>
        </w:trPr>
        <w:tc>
          <w:tcPr>
            <w:tcW w:w="1108" w:type="pct"/>
            <w:tcBorders>
              <w:top w:val="single" w:sz="4" w:space="0" w:color="auto"/>
              <w:bottom w:val="single" w:sz="4" w:space="0" w:color="auto"/>
            </w:tcBorders>
          </w:tcPr>
          <w:p w:rsidR="00B8782D" w:rsidRDefault="00B8782D">
            <w:pPr>
              <w:pStyle w:val="TableText"/>
              <w:rPr>
                <w:i/>
              </w:rPr>
            </w:pPr>
            <w:r>
              <w:rPr>
                <w:i/>
              </w:rPr>
              <w:t>Tobacco necrosis viruses</w:t>
            </w:r>
          </w:p>
        </w:tc>
        <w:tc>
          <w:tcPr>
            <w:tcW w:w="419" w:type="pct"/>
            <w:tcBorders>
              <w:top w:val="single" w:sz="4" w:space="0" w:color="auto"/>
              <w:bottom w:val="single" w:sz="4" w:space="0" w:color="auto"/>
            </w:tcBorders>
            <w:shd w:val="clear" w:color="auto" w:fill="auto"/>
          </w:tcPr>
          <w:p w:rsidR="00B8782D" w:rsidRDefault="00B8782D">
            <w:pPr>
              <w:pStyle w:val="TableText"/>
            </w:pPr>
            <w:r>
              <w:t>M</w:t>
            </w:r>
          </w:p>
        </w:tc>
        <w:tc>
          <w:tcPr>
            <w:tcW w:w="420" w:type="pct"/>
            <w:tcBorders>
              <w:top w:val="single" w:sz="4" w:space="0" w:color="auto"/>
              <w:bottom w:val="single" w:sz="4" w:space="0" w:color="auto"/>
            </w:tcBorders>
            <w:shd w:val="clear" w:color="auto" w:fill="auto"/>
          </w:tcPr>
          <w:p w:rsidR="00B8782D" w:rsidRDefault="00B8782D">
            <w:pPr>
              <w:pStyle w:val="TableText"/>
            </w:pPr>
            <w:r>
              <w:t>M</w:t>
            </w:r>
          </w:p>
        </w:tc>
        <w:tc>
          <w:tcPr>
            <w:tcW w:w="615" w:type="pct"/>
            <w:tcBorders>
              <w:top w:val="single" w:sz="4" w:space="0" w:color="auto"/>
              <w:bottom w:val="single" w:sz="4" w:space="0" w:color="auto"/>
            </w:tcBorders>
            <w:shd w:val="clear" w:color="auto" w:fill="auto"/>
          </w:tcPr>
          <w:p w:rsidR="00B8782D" w:rsidRDefault="00B8782D">
            <w:pPr>
              <w:pStyle w:val="TableText"/>
              <w:rPr>
                <w:b/>
              </w:rPr>
            </w:pPr>
            <w:r>
              <w:rPr>
                <w:b/>
              </w:rPr>
              <w:t>L</w:t>
            </w:r>
          </w:p>
        </w:tc>
        <w:tc>
          <w:tcPr>
            <w:tcW w:w="558" w:type="pct"/>
            <w:tcBorders>
              <w:top w:val="single" w:sz="4" w:space="0" w:color="auto"/>
              <w:bottom w:val="single" w:sz="4" w:space="0" w:color="auto"/>
            </w:tcBorders>
            <w:shd w:val="clear" w:color="auto" w:fill="auto"/>
          </w:tcPr>
          <w:p w:rsidR="00B8782D" w:rsidRDefault="00B8782D">
            <w:pPr>
              <w:pStyle w:val="TableText"/>
            </w:pPr>
            <w:r>
              <w:t>H</w:t>
            </w:r>
          </w:p>
        </w:tc>
        <w:tc>
          <w:tcPr>
            <w:tcW w:w="408" w:type="pct"/>
            <w:tcBorders>
              <w:top w:val="single" w:sz="4" w:space="0" w:color="auto"/>
              <w:bottom w:val="single" w:sz="4" w:space="0" w:color="auto"/>
            </w:tcBorders>
            <w:shd w:val="clear" w:color="auto" w:fill="auto"/>
          </w:tcPr>
          <w:p w:rsidR="00B8782D" w:rsidRDefault="00B8782D">
            <w:pPr>
              <w:pStyle w:val="TableText"/>
            </w:pPr>
            <w:r>
              <w:t>H</w:t>
            </w:r>
          </w:p>
        </w:tc>
        <w:tc>
          <w:tcPr>
            <w:tcW w:w="456" w:type="pct"/>
            <w:tcBorders>
              <w:top w:val="single" w:sz="4" w:space="0" w:color="auto"/>
              <w:bottom w:val="single" w:sz="4" w:space="0" w:color="auto"/>
            </w:tcBorders>
            <w:shd w:val="clear" w:color="auto" w:fill="auto"/>
          </w:tcPr>
          <w:p w:rsidR="00B8782D" w:rsidRDefault="00B8782D">
            <w:pPr>
              <w:pStyle w:val="TableText"/>
            </w:pPr>
            <w:r>
              <w:t>L</w:t>
            </w:r>
          </w:p>
        </w:tc>
        <w:tc>
          <w:tcPr>
            <w:tcW w:w="507" w:type="pct"/>
            <w:tcBorders>
              <w:top w:val="single" w:sz="4" w:space="0" w:color="auto"/>
              <w:bottom w:val="single" w:sz="4" w:space="0" w:color="auto"/>
            </w:tcBorders>
          </w:tcPr>
          <w:p w:rsidR="00B8782D" w:rsidRDefault="00B8782D">
            <w:pPr>
              <w:pStyle w:val="TableText"/>
            </w:pPr>
            <w:r>
              <w:t>L</w:t>
            </w:r>
          </w:p>
        </w:tc>
        <w:tc>
          <w:tcPr>
            <w:tcW w:w="509" w:type="pct"/>
            <w:tcBorders>
              <w:top w:val="single" w:sz="4" w:space="0" w:color="auto"/>
              <w:bottom w:val="single" w:sz="4" w:space="0" w:color="auto"/>
            </w:tcBorders>
          </w:tcPr>
          <w:p w:rsidR="00B8782D" w:rsidRDefault="00B8782D">
            <w:pPr>
              <w:pStyle w:val="TableText"/>
              <w:rPr>
                <w:b/>
              </w:rPr>
            </w:pPr>
            <w:r>
              <w:rPr>
                <w:b/>
              </w:rPr>
              <w:t>VL</w:t>
            </w:r>
          </w:p>
        </w:tc>
      </w:tr>
      <w:tr w:rsidR="00B8782D">
        <w:trPr>
          <w:trHeight w:val="171"/>
        </w:trPr>
        <w:tc>
          <w:tcPr>
            <w:tcW w:w="1108" w:type="pct"/>
            <w:tcBorders>
              <w:top w:val="single" w:sz="4" w:space="0" w:color="auto"/>
              <w:bottom w:val="single" w:sz="4" w:space="0" w:color="auto"/>
            </w:tcBorders>
          </w:tcPr>
          <w:p w:rsidR="00B8782D" w:rsidRDefault="00B8782D">
            <w:pPr>
              <w:pStyle w:val="TableText"/>
              <w:rPr>
                <w:i/>
              </w:rPr>
            </w:pPr>
            <w:r>
              <w:rPr>
                <w:i/>
              </w:rPr>
              <w:t>Plum pox virus</w:t>
            </w:r>
          </w:p>
        </w:tc>
        <w:tc>
          <w:tcPr>
            <w:tcW w:w="419" w:type="pct"/>
            <w:tcBorders>
              <w:top w:val="single" w:sz="4" w:space="0" w:color="auto"/>
              <w:bottom w:val="single" w:sz="4" w:space="0" w:color="auto"/>
            </w:tcBorders>
            <w:shd w:val="clear" w:color="auto" w:fill="auto"/>
          </w:tcPr>
          <w:p w:rsidR="00B8782D" w:rsidRDefault="00B8782D">
            <w:pPr>
              <w:pStyle w:val="TableText"/>
            </w:pPr>
            <w:r>
              <w:t>VL</w:t>
            </w:r>
          </w:p>
        </w:tc>
        <w:tc>
          <w:tcPr>
            <w:tcW w:w="420" w:type="pct"/>
            <w:tcBorders>
              <w:top w:val="single" w:sz="4" w:space="0" w:color="auto"/>
              <w:bottom w:val="single" w:sz="4" w:space="0" w:color="auto"/>
            </w:tcBorders>
            <w:shd w:val="clear" w:color="auto" w:fill="auto"/>
          </w:tcPr>
          <w:p w:rsidR="00B8782D" w:rsidRDefault="00B8782D">
            <w:pPr>
              <w:pStyle w:val="TableText"/>
            </w:pPr>
            <w:r>
              <w:t>L</w:t>
            </w:r>
          </w:p>
        </w:tc>
        <w:tc>
          <w:tcPr>
            <w:tcW w:w="615" w:type="pct"/>
            <w:tcBorders>
              <w:top w:val="single" w:sz="4" w:space="0" w:color="auto"/>
              <w:bottom w:val="single" w:sz="4" w:space="0" w:color="auto"/>
            </w:tcBorders>
            <w:shd w:val="clear" w:color="auto" w:fill="auto"/>
          </w:tcPr>
          <w:p w:rsidR="00B8782D" w:rsidRDefault="00B8782D">
            <w:pPr>
              <w:pStyle w:val="TableText"/>
              <w:rPr>
                <w:b/>
              </w:rPr>
            </w:pPr>
            <w:r>
              <w:rPr>
                <w:b/>
              </w:rPr>
              <w:t>VL</w:t>
            </w:r>
          </w:p>
        </w:tc>
        <w:tc>
          <w:tcPr>
            <w:tcW w:w="558" w:type="pct"/>
            <w:tcBorders>
              <w:top w:val="single" w:sz="4" w:space="0" w:color="auto"/>
              <w:bottom w:val="single" w:sz="4" w:space="0" w:color="auto"/>
            </w:tcBorders>
            <w:shd w:val="clear" w:color="auto" w:fill="auto"/>
          </w:tcPr>
          <w:p w:rsidR="00B8782D" w:rsidRDefault="00B8782D">
            <w:pPr>
              <w:pStyle w:val="TableText"/>
            </w:pPr>
            <w:r>
              <w:t>H</w:t>
            </w:r>
          </w:p>
        </w:tc>
        <w:tc>
          <w:tcPr>
            <w:tcW w:w="408" w:type="pct"/>
            <w:tcBorders>
              <w:top w:val="single" w:sz="4" w:space="0" w:color="auto"/>
              <w:bottom w:val="single" w:sz="4" w:space="0" w:color="auto"/>
            </w:tcBorders>
            <w:shd w:val="clear" w:color="auto" w:fill="auto"/>
          </w:tcPr>
          <w:p w:rsidR="00B8782D" w:rsidRDefault="00B8782D">
            <w:pPr>
              <w:pStyle w:val="TableText"/>
            </w:pPr>
            <w:r>
              <w:t>H</w:t>
            </w:r>
          </w:p>
        </w:tc>
        <w:tc>
          <w:tcPr>
            <w:tcW w:w="456" w:type="pct"/>
            <w:tcBorders>
              <w:top w:val="single" w:sz="4" w:space="0" w:color="auto"/>
              <w:bottom w:val="single" w:sz="4" w:space="0" w:color="auto"/>
            </w:tcBorders>
            <w:shd w:val="clear" w:color="auto" w:fill="auto"/>
          </w:tcPr>
          <w:p w:rsidR="00B8782D" w:rsidRDefault="00B8782D">
            <w:pPr>
              <w:pStyle w:val="TableText"/>
            </w:pPr>
            <w:r>
              <w:t>VL</w:t>
            </w:r>
          </w:p>
        </w:tc>
        <w:tc>
          <w:tcPr>
            <w:tcW w:w="507" w:type="pct"/>
            <w:tcBorders>
              <w:top w:val="single" w:sz="4" w:space="0" w:color="auto"/>
              <w:bottom w:val="single" w:sz="4" w:space="0" w:color="auto"/>
            </w:tcBorders>
          </w:tcPr>
          <w:p w:rsidR="00B8782D" w:rsidRDefault="00B8782D">
            <w:pPr>
              <w:pStyle w:val="TableText"/>
            </w:pPr>
            <w:r>
              <w:t xml:space="preserve"> H</w:t>
            </w:r>
          </w:p>
        </w:tc>
        <w:tc>
          <w:tcPr>
            <w:tcW w:w="509" w:type="pct"/>
            <w:tcBorders>
              <w:top w:val="single" w:sz="4" w:space="0" w:color="auto"/>
              <w:bottom w:val="single" w:sz="4" w:space="0" w:color="auto"/>
            </w:tcBorders>
          </w:tcPr>
          <w:p w:rsidR="00B8782D" w:rsidRDefault="00B8782D">
            <w:pPr>
              <w:pStyle w:val="TableText"/>
              <w:rPr>
                <w:b/>
              </w:rPr>
            </w:pPr>
            <w:r>
              <w:rPr>
                <w:b/>
              </w:rPr>
              <w:t>L</w:t>
            </w:r>
          </w:p>
        </w:tc>
      </w:tr>
    </w:tbl>
    <w:p w:rsidR="00B8782D" w:rsidRDefault="00B8782D"/>
    <w:p w:rsidR="00B8782D" w:rsidRDefault="00B8782D">
      <w:pPr>
        <w:sectPr w:rsidR="00B8782D">
          <w:headerReference w:type="default" r:id="rId56"/>
          <w:footerReference w:type="default" r:id="rId57"/>
          <w:pgSz w:w="16838" w:h="11906" w:orient="landscape"/>
          <w:pgMar w:top="1418" w:right="1418" w:bottom="1418" w:left="1418" w:header="567" w:footer="283" w:gutter="0"/>
          <w:cols w:space="708"/>
          <w:docGrid w:linePitch="360"/>
        </w:sectPr>
      </w:pPr>
    </w:p>
    <w:p w:rsidR="00B8782D" w:rsidRDefault="00B8782D" w:rsidP="00B8782D">
      <w:pPr>
        <w:pStyle w:val="Heading1"/>
        <w:numPr>
          <w:ilvl w:val="0"/>
          <w:numId w:val="20"/>
        </w:numPr>
      </w:pPr>
      <w:bookmarkStart w:id="116" w:name="_Toc389741456"/>
      <w:bookmarkStart w:id="117" w:name="_Toc448312513"/>
      <w:r>
        <w:lastRenderedPageBreak/>
        <w:t>Pest risk management</w:t>
      </w:r>
      <w:bookmarkEnd w:id="116"/>
      <w:bookmarkEnd w:id="117"/>
    </w:p>
    <w:p w:rsidR="00B8782D" w:rsidRDefault="00B8782D">
      <w:r>
        <w:t>This chapter provides information on the management of quarantine pests identified with an unrestricted risk exceeding Australia’s ALOP. The recommended phytosanitary measures are described in this chapter.</w:t>
      </w:r>
    </w:p>
    <w:p w:rsidR="00B8782D" w:rsidRDefault="00B8782D" w:rsidP="00B8782D">
      <w:pPr>
        <w:pStyle w:val="Heading2"/>
        <w:numPr>
          <w:ilvl w:val="1"/>
          <w:numId w:val="20"/>
        </w:numPr>
      </w:pPr>
      <w:bookmarkStart w:id="118" w:name="_Toc389741457"/>
      <w:bookmarkStart w:id="119" w:name="_Toc448312514"/>
      <w:r>
        <w:t>Pest risk management measures and phytosanitary procedures</w:t>
      </w:r>
      <w:bookmarkEnd w:id="118"/>
      <w:bookmarkEnd w:id="119"/>
    </w:p>
    <w:p w:rsidR="00B8782D" w:rsidRDefault="00B8782D">
      <w:r>
        <w:t>Pest risk management evaluates and selects options for measures to reduce the risk of entry, establishment or spread of quarantine pests for Australia where they have been assessed to have an unrestricted risk above Australia’s ALOP. In calculating the unrestricted risk, existing commercial production practices in China have been considered, as have post-harvest procedures and the packing of fruit.</w:t>
      </w:r>
    </w:p>
    <w:p w:rsidR="00B8782D" w:rsidRDefault="00B8782D">
      <w:r>
        <w:t>In addition to China’s existing commercial production practices for nectarine fruit and minimum border procedures in Australia, specific pest risk management measures, including operational systems, are recommended</w:t>
      </w:r>
      <w:r>
        <w:rPr>
          <w:color w:val="1F497D"/>
        </w:rPr>
        <w:t xml:space="preserve"> </w:t>
      </w:r>
      <w:r>
        <w:t>to achieve Australia’s ALOP.</w:t>
      </w:r>
    </w:p>
    <w:p w:rsidR="00B8782D" w:rsidRDefault="00B8782D">
      <w:r>
        <w:t xml:space="preserve">In this chapter, the Australian Government Department of Agriculture and Water Resources has identified risk management measures that may be applied to consignments of nectarine fruit sourced from China. </w:t>
      </w:r>
    </w:p>
    <w:p w:rsidR="00B8782D" w:rsidRDefault="00B8782D" w:rsidP="00B8782D">
      <w:pPr>
        <w:pStyle w:val="Heading3"/>
        <w:numPr>
          <w:ilvl w:val="2"/>
          <w:numId w:val="20"/>
        </w:numPr>
      </w:pPr>
      <w:r>
        <w:t>Pest risk management for quarantine pests</w:t>
      </w:r>
    </w:p>
    <w:p w:rsidR="00B8782D" w:rsidRDefault="00B8782D">
      <w:r>
        <w:t>The pest risk analysis identified the quarantine pests listed in Table 5.1 as having an unrestricted risk above Australia’s ALOP.</w:t>
      </w:r>
    </w:p>
    <w:p w:rsidR="00B8782D" w:rsidRDefault="00B8782D">
      <w:pPr>
        <w:pStyle w:val="Caption"/>
        <w:rPr>
          <w:color w:val="auto"/>
        </w:rPr>
      </w:pPr>
      <w:r>
        <w:br w:type="page"/>
      </w:r>
      <w:bookmarkStart w:id="120" w:name="_Toc448236046"/>
      <w:r>
        <w:lastRenderedPageBreak/>
        <w:t xml:space="preserve">Table </w:t>
      </w:r>
      <w:r w:rsidR="00EA0C11">
        <w:fldChar w:fldCharType="begin"/>
      </w:r>
      <w:r w:rsidR="00EA0C11">
        <w:instrText xml:space="preserve"> STYLEREF 1 \s </w:instrText>
      </w:r>
      <w:r w:rsidR="00EA0C11">
        <w:fldChar w:fldCharType="separate"/>
      </w:r>
      <w:r w:rsidR="00457D54">
        <w:rPr>
          <w:noProof/>
        </w:rPr>
        <w:t>5</w:t>
      </w:r>
      <w:r w:rsidR="00EA0C11">
        <w:rPr>
          <w:noProof/>
        </w:rPr>
        <w:fldChar w:fldCharType="end"/>
      </w:r>
      <w:r>
        <w:t>.</w:t>
      </w:r>
      <w:r w:rsidR="00EA0C11">
        <w:fldChar w:fldCharType="begin"/>
      </w:r>
      <w:r w:rsidR="00EA0C11">
        <w:instrText xml:space="preserve"> SEQ Table \* ARABIC \s 1 </w:instrText>
      </w:r>
      <w:r w:rsidR="00EA0C11">
        <w:fldChar w:fldCharType="separate"/>
      </w:r>
      <w:r w:rsidR="00457D54">
        <w:rPr>
          <w:noProof/>
        </w:rPr>
        <w:t>1</w:t>
      </w:r>
      <w:r w:rsidR="00EA0C11">
        <w:rPr>
          <w:noProof/>
        </w:rPr>
        <w:fldChar w:fldCharType="end"/>
      </w:r>
      <w:r>
        <w:t xml:space="preserve"> Phytosanitary measures recommended for quarantine pests for fresh nectarine fruit from China</w:t>
      </w:r>
      <w:bookmarkEnd w:id="120"/>
    </w:p>
    <w:tbl>
      <w:tblPr>
        <w:tblW w:w="5000" w:type="pct"/>
        <w:tblBorders>
          <w:top w:val="single" w:sz="4" w:space="0" w:color="auto"/>
          <w:bottom w:val="single" w:sz="4" w:space="0" w:color="auto"/>
        </w:tblBorders>
        <w:tblLook w:val="04A0" w:firstRow="1" w:lastRow="0" w:firstColumn="1" w:lastColumn="0" w:noHBand="0" w:noVBand="1"/>
      </w:tblPr>
      <w:tblGrid>
        <w:gridCol w:w="3060"/>
        <w:gridCol w:w="2168"/>
        <w:gridCol w:w="3842"/>
      </w:tblGrid>
      <w:tr w:rsidR="00B8782D">
        <w:trPr>
          <w:cantSplit/>
          <w:tblHeader/>
        </w:trPr>
        <w:tc>
          <w:tcPr>
            <w:tcW w:w="1687" w:type="pct"/>
            <w:tcBorders>
              <w:top w:val="single" w:sz="4" w:space="0" w:color="auto"/>
              <w:bottom w:val="nil"/>
            </w:tcBorders>
          </w:tcPr>
          <w:p w:rsidR="00B8782D" w:rsidRDefault="00B8782D">
            <w:pPr>
              <w:pStyle w:val="TableHeading"/>
            </w:pPr>
            <w:r>
              <w:t>Pest</w:t>
            </w:r>
          </w:p>
        </w:tc>
        <w:tc>
          <w:tcPr>
            <w:tcW w:w="1195" w:type="pct"/>
            <w:tcBorders>
              <w:top w:val="single" w:sz="4" w:space="0" w:color="auto"/>
              <w:bottom w:val="nil"/>
            </w:tcBorders>
          </w:tcPr>
          <w:p w:rsidR="00B8782D" w:rsidRDefault="00B8782D">
            <w:pPr>
              <w:pStyle w:val="TableHeading"/>
            </w:pPr>
            <w:r>
              <w:t>Common name</w:t>
            </w:r>
          </w:p>
        </w:tc>
        <w:tc>
          <w:tcPr>
            <w:tcW w:w="2118" w:type="pct"/>
            <w:tcBorders>
              <w:top w:val="single" w:sz="4" w:space="0" w:color="auto"/>
              <w:bottom w:val="nil"/>
            </w:tcBorders>
          </w:tcPr>
          <w:p w:rsidR="00B8782D" w:rsidRDefault="00B8782D">
            <w:pPr>
              <w:pStyle w:val="TableHeading"/>
            </w:pPr>
            <w:r>
              <w:t>Measures</w:t>
            </w:r>
          </w:p>
        </w:tc>
      </w:tr>
      <w:tr w:rsidR="00B8782D">
        <w:trPr>
          <w:trHeight w:val="2049"/>
        </w:trPr>
        <w:tc>
          <w:tcPr>
            <w:tcW w:w="1687" w:type="pct"/>
            <w:tcBorders>
              <w:top w:val="nil"/>
              <w:bottom w:val="single" w:sz="4" w:space="0" w:color="D9D9D9"/>
            </w:tcBorders>
          </w:tcPr>
          <w:p w:rsidR="00B8782D" w:rsidRDefault="00B8782D">
            <w:pPr>
              <w:pStyle w:val="TableText"/>
            </w:pPr>
            <w:r>
              <w:rPr>
                <w:i/>
              </w:rPr>
              <w:t>Amphitetranychus viennensis</w:t>
            </w:r>
            <w:r>
              <w:t xml:space="preserve"> (EP)</w:t>
            </w:r>
          </w:p>
          <w:p w:rsidR="00B8782D" w:rsidRDefault="00B8782D">
            <w:pPr>
              <w:pStyle w:val="TableText"/>
              <w:rPr>
                <w:i/>
              </w:rPr>
            </w:pPr>
            <w:r>
              <w:rPr>
                <w:i/>
              </w:rPr>
              <w:t>Pseudococcus comstocki</w:t>
            </w:r>
            <w:r>
              <w:t xml:space="preserve"> (EP)</w:t>
            </w:r>
            <w:r>
              <w:rPr>
                <w:i/>
              </w:rPr>
              <w:t xml:space="preserve"> Frankliniella intonsa </w:t>
            </w:r>
            <w:r>
              <w:t>(EP)</w:t>
            </w:r>
          </w:p>
          <w:p w:rsidR="00B8782D" w:rsidRDefault="00B8782D">
            <w:pPr>
              <w:pStyle w:val="TableText"/>
            </w:pPr>
            <w:r>
              <w:rPr>
                <w:i/>
              </w:rPr>
              <w:t xml:space="preserve">Frankliniella occidentalis </w:t>
            </w:r>
            <w:r>
              <w:t>(EP, NT)</w:t>
            </w:r>
          </w:p>
          <w:p w:rsidR="00B8782D" w:rsidRDefault="00B8782D">
            <w:pPr>
              <w:pStyle w:val="TableText"/>
              <w:rPr>
                <w:i/>
              </w:rPr>
            </w:pPr>
            <w:r>
              <w:rPr>
                <w:i/>
              </w:rPr>
              <w:t xml:space="preserve">Adoxophyes orana </w:t>
            </w:r>
            <w:r>
              <w:t>(EP)</w:t>
            </w:r>
          </w:p>
          <w:p w:rsidR="00B8782D" w:rsidRDefault="00B8782D">
            <w:pPr>
              <w:pStyle w:val="TableText"/>
              <w:rPr>
                <w:i/>
              </w:rPr>
            </w:pPr>
            <w:r>
              <w:rPr>
                <w:i/>
              </w:rPr>
              <w:t>Argyrotaenia ljungiana</w:t>
            </w:r>
          </w:p>
          <w:p w:rsidR="00B8782D" w:rsidRDefault="00B8782D">
            <w:pPr>
              <w:pStyle w:val="TableText"/>
            </w:pPr>
            <w:r>
              <w:rPr>
                <w:i/>
              </w:rPr>
              <w:t xml:space="preserve">Spilonota albicana </w:t>
            </w:r>
            <w:r>
              <w:t>(EP)</w:t>
            </w:r>
          </w:p>
        </w:tc>
        <w:tc>
          <w:tcPr>
            <w:tcW w:w="1195" w:type="pct"/>
            <w:tcBorders>
              <w:top w:val="nil"/>
              <w:bottom w:val="single" w:sz="4" w:space="0" w:color="D9D9D9"/>
            </w:tcBorders>
          </w:tcPr>
          <w:p w:rsidR="00B8782D" w:rsidRDefault="00B8782D">
            <w:pPr>
              <w:pStyle w:val="TableText"/>
            </w:pPr>
            <w:r>
              <w:t xml:space="preserve">hawthorn spider mite </w:t>
            </w:r>
          </w:p>
          <w:p w:rsidR="00B8782D" w:rsidRDefault="00B8782D">
            <w:pPr>
              <w:pStyle w:val="TableText"/>
            </w:pPr>
            <w:r>
              <w:t>comstock mealybug</w:t>
            </w:r>
          </w:p>
          <w:p w:rsidR="00B8782D" w:rsidRDefault="00B8782D">
            <w:pPr>
              <w:pStyle w:val="TableText"/>
            </w:pPr>
            <w:r>
              <w:t>Eurasian flower thrips</w:t>
            </w:r>
          </w:p>
          <w:p w:rsidR="00B8782D" w:rsidRDefault="00B8782D">
            <w:pPr>
              <w:pStyle w:val="TableText"/>
            </w:pPr>
            <w:r>
              <w:t xml:space="preserve">western flower thrips </w:t>
            </w:r>
          </w:p>
          <w:p w:rsidR="00B8782D" w:rsidRDefault="00B8782D">
            <w:pPr>
              <w:pStyle w:val="TableText"/>
            </w:pPr>
            <w:r>
              <w:t>summerfruit tortrix</w:t>
            </w:r>
          </w:p>
          <w:p w:rsidR="00B8782D" w:rsidRDefault="00B8782D">
            <w:pPr>
              <w:pStyle w:val="TableText"/>
            </w:pPr>
            <w:r>
              <w:t>grape tortrix</w:t>
            </w:r>
          </w:p>
          <w:p w:rsidR="00B8782D" w:rsidRDefault="00B8782D">
            <w:pPr>
              <w:pStyle w:val="TableText"/>
            </w:pPr>
            <w:r>
              <w:t>white fruit moth</w:t>
            </w:r>
          </w:p>
        </w:tc>
        <w:tc>
          <w:tcPr>
            <w:tcW w:w="2118" w:type="pct"/>
            <w:tcBorders>
              <w:top w:val="nil"/>
              <w:bottom w:val="single" w:sz="4" w:space="0" w:color="D9D9D9"/>
            </w:tcBorders>
          </w:tcPr>
          <w:p w:rsidR="00B8782D" w:rsidRDefault="00B8782D">
            <w:pPr>
              <w:pStyle w:val="TableText"/>
              <w:rPr>
                <w:b/>
              </w:rPr>
            </w:pPr>
            <w:r>
              <w:t xml:space="preserve">Visual inspection and if detected, remedial action </w:t>
            </w:r>
            <w:r>
              <w:rPr>
                <w:b/>
              </w:rPr>
              <w:t xml:space="preserve">b </w:t>
            </w:r>
            <w:r>
              <w:t>(for example methyl bromide fumigation)</w:t>
            </w:r>
          </w:p>
        </w:tc>
      </w:tr>
      <w:tr w:rsidR="00B8782D">
        <w:trPr>
          <w:trHeight w:val="1557"/>
        </w:trPr>
        <w:tc>
          <w:tcPr>
            <w:tcW w:w="1687" w:type="pct"/>
            <w:tcBorders>
              <w:top w:val="single" w:sz="4" w:space="0" w:color="D9D9D9"/>
              <w:bottom w:val="single" w:sz="4" w:space="0" w:color="D9D9D9"/>
            </w:tcBorders>
          </w:tcPr>
          <w:p w:rsidR="00B8782D" w:rsidRDefault="00B8782D">
            <w:pPr>
              <w:pStyle w:val="TableText"/>
            </w:pPr>
            <w:r>
              <w:rPr>
                <w:i/>
              </w:rPr>
              <w:t>Bactrocera correcta</w:t>
            </w:r>
            <w:r>
              <w:t xml:space="preserve"> (EP)</w:t>
            </w:r>
          </w:p>
          <w:p w:rsidR="00B8782D" w:rsidRDefault="00B8782D">
            <w:pPr>
              <w:pStyle w:val="TableText"/>
            </w:pPr>
            <w:r>
              <w:rPr>
                <w:i/>
              </w:rPr>
              <w:t>Bactrocera dorsalis</w:t>
            </w:r>
            <w:r>
              <w:t xml:space="preserve"> (EP)</w:t>
            </w:r>
          </w:p>
        </w:tc>
        <w:tc>
          <w:tcPr>
            <w:tcW w:w="1195" w:type="pct"/>
            <w:tcBorders>
              <w:top w:val="single" w:sz="4" w:space="0" w:color="D9D9D9"/>
              <w:bottom w:val="single" w:sz="4" w:space="0" w:color="D9D9D9"/>
            </w:tcBorders>
          </w:tcPr>
          <w:p w:rsidR="00B8782D" w:rsidRDefault="00B8782D">
            <w:pPr>
              <w:pStyle w:val="TableText"/>
            </w:pPr>
            <w:r>
              <w:t>guava fruit fly</w:t>
            </w:r>
          </w:p>
          <w:p w:rsidR="00B8782D" w:rsidRDefault="00B8782D">
            <w:pPr>
              <w:pStyle w:val="TableText"/>
            </w:pPr>
            <w:r>
              <w:t>Oriental fruit fly</w:t>
            </w:r>
          </w:p>
        </w:tc>
        <w:tc>
          <w:tcPr>
            <w:tcW w:w="2118" w:type="pct"/>
            <w:tcBorders>
              <w:top w:val="single" w:sz="4" w:space="0" w:color="D9D9D9"/>
              <w:bottom w:val="single" w:sz="4" w:space="0" w:color="D9D9D9"/>
            </w:tcBorders>
          </w:tcPr>
          <w:p w:rsidR="00B8782D" w:rsidRDefault="00B8782D">
            <w:pPr>
              <w:pStyle w:val="TableText"/>
            </w:pPr>
            <w:r>
              <w:t xml:space="preserve">Area freedom </w:t>
            </w:r>
            <w:r>
              <w:rPr>
                <w:b/>
              </w:rPr>
              <w:t>a</w:t>
            </w:r>
          </w:p>
          <w:p w:rsidR="00B8782D" w:rsidRDefault="00B8782D">
            <w:pPr>
              <w:pStyle w:val="TableText"/>
            </w:pPr>
            <w:r>
              <w:t>OR</w:t>
            </w:r>
          </w:p>
          <w:p w:rsidR="00B8782D" w:rsidRDefault="00B8782D">
            <w:pPr>
              <w:pStyle w:val="TableText"/>
            </w:pPr>
            <w:r>
              <w:t>Cold disinfestation treatment</w:t>
            </w:r>
          </w:p>
          <w:p w:rsidR="00B8782D" w:rsidRDefault="00B8782D">
            <w:pPr>
              <w:pStyle w:val="TableText"/>
            </w:pPr>
            <w:r>
              <w:t>OR</w:t>
            </w:r>
          </w:p>
          <w:p w:rsidR="00B8782D" w:rsidRDefault="00B8782D">
            <w:pPr>
              <w:pStyle w:val="TableText"/>
              <w:rPr>
                <w:b/>
              </w:rPr>
            </w:pPr>
            <w:r>
              <w:t>Irradiation</w:t>
            </w:r>
          </w:p>
        </w:tc>
      </w:tr>
      <w:tr w:rsidR="00B8782D">
        <w:trPr>
          <w:trHeight w:val="2244"/>
        </w:trPr>
        <w:tc>
          <w:tcPr>
            <w:tcW w:w="1687" w:type="pct"/>
            <w:tcBorders>
              <w:top w:val="single" w:sz="4" w:space="0" w:color="D9D9D9"/>
              <w:bottom w:val="single" w:sz="4" w:space="0" w:color="D9D9D9"/>
            </w:tcBorders>
          </w:tcPr>
          <w:p w:rsidR="00B8782D" w:rsidRDefault="00B8782D">
            <w:pPr>
              <w:pStyle w:val="TableText"/>
              <w:rPr>
                <w:vertAlign w:val="superscript"/>
              </w:rPr>
            </w:pPr>
            <w:r>
              <w:rPr>
                <w:i/>
              </w:rPr>
              <w:t>Drosophila suzukii</w:t>
            </w:r>
            <w:r>
              <w:t xml:space="preserve"> (EP)</w:t>
            </w:r>
          </w:p>
        </w:tc>
        <w:tc>
          <w:tcPr>
            <w:tcW w:w="1195" w:type="pct"/>
            <w:tcBorders>
              <w:top w:val="single" w:sz="4" w:space="0" w:color="D9D9D9"/>
              <w:bottom w:val="single" w:sz="4" w:space="0" w:color="D9D9D9"/>
            </w:tcBorders>
          </w:tcPr>
          <w:p w:rsidR="00B8782D" w:rsidRDefault="00B8782D">
            <w:pPr>
              <w:pStyle w:val="TableText"/>
            </w:pPr>
            <w:r>
              <w:t>spotted wing drosophila (SWD)</w:t>
            </w:r>
          </w:p>
        </w:tc>
        <w:tc>
          <w:tcPr>
            <w:tcW w:w="2118" w:type="pct"/>
            <w:tcBorders>
              <w:top w:val="single" w:sz="4" w:space="0" w:color="D9D9D9"/>
              <w:bottom w:val="single" w:sz="4" w:space="0" w:color="D9D9D9"/>
            </w:tcBorders>
          </w:tcPr>
          <w:p w:rsidR="00B8782D" w:rsidRDefault="00B8782D">
            <w:pPr>
              <w:pStyle w:val="TableText"/>
            </w:pPr>
            <w:r>
              <w:t xml:space="preserve">Area freedom </w:t>
            </w:r>
            <w:r>
              <w:rPr>
                <w:b/>
              </w:rPr>
              <w:t>a</w:t>
            </w:r>
          </w:p>
          <w:p w:rsidR="00B8782D" w:rsidRDefault="00B8782D">
            <w:pPr>
              <w:pStyle w:val="TableText"/>
            </w:pPr>
            <w:r>
              <w:t>OR</w:t>
            </w:r>
          </w:p>
          <w:p w:rsidR="00B8782D" w:rsidRDefault="00B8782D">
            <w:pPr>
              <w:pStyle w:val="TableText"/>
            </w:pPr>
            <w:r>
              <w:t>Methyl bromide fumigation</w:t>
            </w:r>
          </w:p>
          <w:p w:rsidR="00B8782D" w:rsidRDefault="00B8782D">
            <w:pPr>
              <w:pStyle w:val="TableText"/>
            </w:pPr>
            <w:r>
              <w:t>OR</w:t>
            </w:r>
          </w:p>
          <w:p w:rsidR="00B8782D" w:rsidRDefault="00B8782D">
            <w:pPr>
              <w:pStyle w:val="TableText"/>
            </w:pPr>
            <w:r>
              <w:t>Irradiation</w:t>
            </w:r>
          </w:p>
          <w:p w:rsidR="00B8782D" w:rsidRDefault="00B8782D">
            <w:pPr>
              <w:pStyle w:val="TableText"/>
            </w:pPr>
            <w:r>
              <w:t>OR</w:t>
            </w:r>
          </w:p>
          <w:p w:rsidR="00B8782D" w:rsidRDefault="00B8782D">
            <w:pPr>
              <w:pStyle w:val="TableText"/>
            </w:pPr>
            <w:r>
              <w:t>A systems approach proposed by China and approved by the Australian Government Department of Agriculture and Water Resources</w:t>
            </w:r>
          </w:p>
        </w:tc>
      </w:tr>
      <w:tr w:rsidR="00B8782D">
        <w:trPr>
          <w:trHeight w:val="4106"/>
        </w:trPr>
        <w:tc>
          <w:tcPr>
            <w:tcW w:w="1687" w:type="pct"/>
            <w:tcBorders>
              <w:top w:val="single" w:sz="4" w:space="0" w:color="D9D9D9"/>
              <w:bottom w:val="single" w:sz="4" w:space="0" w:color="D9D9D9"/>
            </w:tcBorders>
          </w:tcPr>
          <w:p w:rsidR="00B8782D" w:rsidRDefault="00B8782D">
            <w:pPr>
              <w:pStyle w:val="TableText"/>
              <w:rPr>
                <w:i/>
              </w:rPr>
            </w:pPr>
            <w:r>
              <w:rPr>
                <w:i/>
              </w:rPr>
              <w:t xml:space="preserve">Anarsia lineatella </w:t>
            </w:r>
            <w:r>
              <w:t>(EP)</w:t>
            </w:r>
          </w:p>
          <w:p w:rsidR="00B8782D" w:rsidRDefault="00B8782D">
            <w:pPr>
              <w:pStyle w:val="TableText"/>
              <w:rPr>
                <w:i/>
              </w:rPr>
            </w:pPr>
            <w:r>
              <w:rPr>
                <w:i/>
              </w:rPr>
              <w:t xml:space="preserve">Carposina sasakii </w:t>
            </w:r>
            <w:r>
              <w:t>(EP)</w:t>
            </w:r>
          </w:p>
          <w:p w:rsidR="00B8782D" w:rsidRDefault="00B8782D">
            <w:pPr>
              <w:pStyle w:val="TableText"/>
              <w:rPr>
                <w:i/>
              </w:rPr>
            </w:pPr>
            <w:r>
              <w:rPr>
                <w:i/>
              </w:rPr>
              <w:t>Grapholita funebrana</w:t>
            </w:r>
          </w:p>
          <w:p w:rsidR="00B8782D" w:rsidRDefault="00B8782D">
            <w:pPr>
              <w:pStyle w:val="TableText"/>
              <w:rPr>
                <w:i/>
              </w:rPr>
            </w:pPr>
            <w:r>
              <w:rPr>
                <w:i/>
              </w:rPr>
              <w:t xml:space="preserve">Grapholita molesta </w:t>
            </w:r>
            <w:r>
              <w:t>(EP, WA)</w:t>
            </w:r>
          </w:p>
          <w:p w:rsidR="00B8782D" w:rsidRDefault="00B8782D">
            <w:pPr>
              <w:pStyle w:val="TableText"/>
              <w:rPr>
                <w:i/>
              </w:rPr>
            </w:pPr>
          </w:p>
        </w:tc>
        <w:tc>
          <w:tcPr>
            <w:tcW w:w="1195" w:type="pct"/>
            <w:tcBorders>
              <w:top w:val="single" w:sz="4" w:space="0" w:color="D9D9D9"/>
              <w:bottom w:val="single" w:sz="4" w:space="0" w:color="D9D9D9"/>
            </w:tcBorders>
          </w:tcPr>
          <w:p w:rsidR="00B8782D" w:rsidRDefault="00B8782D">
            <w:pPr>
              <w:pStyle w:val="TableText"/>
            </w:pPr>
            <w:r>
              <w:t>peach twig borer</w:t>
            </w:r>
          </w:p>
          <w:p w:rsidR="00B8782D" w:rsidRDefault="00B8782D">
            <w:pPr>
              <w:pStyle w:val="TableText"/>
            </w:pPr>
            <w:r>
              <w:t>peach fruit borer</w:t>
            </w:r>
          </w:p>
          <w:p w:rsidR="00B8782D" w:rsidRDefault="00B8782D">
            <w:pPr>
              <w:pStyle w:val="TableText"/>
            </w:pPr>
            <w:r>
              <w:t>plum fruit moth</w:t>
            </w:r>
          </w:p>
          <w:p w:rsidR="00B8782D" w:rsidRDefault="00B8782D">
            <w:pPr>
              <w:pStyle w:val="TableText"/>
            </w:pPr>
            <w:r>
              <w:t>Oriental fruit moth</w:t>
            </w:r>
          </w:p>
          <w:p w:rsidR="00B8782D" w:rsidRDefault="00B8782D">
            <w:pPr>
              <w:pStyle w:val="TableText"/>
            </w:pPr>
          </w:p>
        </w:tc>
        <w:tc>
          <w:tcPr>
            <w:tcW w:w="2118" w:type="pct"/>
            <w:tcBorders>
              <w:top w:val="single" w:sz="4" w:space="0" w:color="D9D9D9"/>
              <w:bottom w:val="single" w:sz="4" w:space="0" w:color="D9D9D9"/>
            </w:tcBorders>
          </w:tcPr>
          <w:p w:rsidR="00B8782D" w:rsidRDefault="00B8782D">
            <w:pPr>
              <w:pStyle w:val="TableText"/>
            </w:pPr>
            <w:r>
              <w:t xml:space="preserve">Area freedom </w:t>
            </w:r>
            <w:r>
              <w:rPr>
                <w:b/>
              </w:rPr>
              <w:t>a</w:t>
            </w:r>
          </w:p>
          <w:p w:rsidR="00B8782D" w:rsidRDefault="00B8782D">
            <w:pPr>
              <w:pStyle w:val="TableText"/>
            </w:pPr>
            <w:r>
              <w:t>OR</w:t>
            </w:r>
          </w:p>
          <w:p w:rsidR="00B8782D" w:rsidRDefault="00B8782D">
            <w:pPr>
              <w:pStyle w:val="TableText"/>
            </w:pPr>
            <w:r>
              <w:t xml:space="preserve">Areas of low pest prevalence </w:t>
            </w:r>
          </w:p>
          <w:p w:rsidR="00B8782D" w:rsidRDefault="00B8782D">
            <w:pPr>
              <w:pStyle w:val="TableText"/>
            </w:pPr>
            <w:r>
              <w:t>OR</w:t>
            </w:r>
          </w:p>
          <w:p w:rsidR="00B8782D" w:rsidRDefault="00B8782D">
            <w:pPr>
              <w:pStyle w:val="TableText"/>
            </w:pPr>
            <w:r>
              <w:t>Methyl bromide fumigation</w:t>
            </w:r>
          </w:p>
          <w:p w:rsidR="00B8782D" w:rsidRDefault="00B8782D">
            <w:pPr>
              <w:pStyle w:val="TableText"/>
            </w:pPr>
            <w:r>
              <w:t>OR</w:t>
            </w:r>
          </w:p>
          <w:p w:rsidR="00B8782D" w:rsidRDefault="00B8782D">
            <w:pPr>
              <w:pStyle w:val="TableText"/>
            </w:pPr>
            <w:r>
              <w:t>Irradiation</w:t>
            </w:r>
          </w:p>
          <w:p w:rsidR="00B8782D" w:rsidRDefault="00B8782D">
            <w:pPr>
              <w:pStyle w:val="TableText"/>
            </w:pPr>
            <w:r>
              <w:t>OR</w:t>
            </w:r>
          </w:p>
          <w:p w:rsidR="00B8782D" w:rsidRDefault="00B8782D">
            <w:pPr>
              <w:pStyle w:val="TableText"/>
            </w:pPr>
            <w:r>
              <w:t>Systems approach:</w:t>
            </w:r>
          </w:p>
          <w:p w:rsidR="00B8782D" w:rsidRDefault="00B8782D">
            <w:pPr>
              <w:pStyle w:val="TableText"/>
              <w:ind w:left="318"/>
            </w:pPr>
            <w:r>
              <w:t xml:space="preserve">Orchard surveillance and control </w:t>
            </w:r>
          </w:p>
          <w:p w:rsidR="00B8782D" w:rsidRDefault="00B8782D">
            <w:pPr>
              <w:pStyle w:val="TableText"/>
              <w:ind w:left="318"/>
            </w:pPr>
            <w:r>
              <w:t xml:space="preserve">Fruit cutting </w:t>
            </w:r>
          </w:p>
          <w:p w:rsidR="00B8782D" w:rsidRDefault="00B8782D" w:rsidP="00E048C1">
            <w:pPr>
              <w:pStyle w:val="TableText"/>
              <w:ind w:left="318"/>
            </w:pPr>
            <w:r>
              <w:t xml:space="preserve">Quarantine inspection and if detected, remedial action </w:t>
            </w:r>
            <w:r>
              <w:rPr>
                <w:b/>
              </w:rPr>
              <w:t>b</w:t>
            </w:r>
            <w:r>
              <w:t xml:space="preserve"> (for example methyl bromide fumigation)</w:t>
            </w:r>
          </w:p>
        </w:tc>
      </w:tr>
      <w:tr w:rsidR="00B8782D">
        <w:tc>
          <w:tcPr>
            <w:tcW w:w="1687" w:type="pct"/>
            <w:tcBorders>
              <w:top w:val="single" w:sz="4" w:space="0" w:color="D9D9D9"/>
              <w:bottom w:val="single" w:sz="4" w:space="0" w:color="D9D9D9"/>
            </w:tcBorders>
          </w:tcPr>
          <w:p w:rsidR="00B8782D" w:rsidRDefault="00B8782D">
            <w:pPr>
              <w:pStyle w:val="TableText"/>
            </w:pPr>
            <w:r>
              <w:rPr>
                <w:i/>
              </w:rPr>
              <w:t xml:space="preserve">Monilinia fructigena </w:t>
            </w:r>
            <w:r>
              <w:t>(EP)</w:t>
            </w:r>
          </w:p>
          <w:p w:rsidR="00B8782D" w:rsidRDefault="00B8782D">
            <w:pPr>
              <w:pStyle w:val="TableText"/>
              <w:rPr>
                <w:i/>
              </w:rPr>
            </w:pPr>
            <w:r>
              <w:rPr>
                <w:i/>
              </w:rPr>
              <w:t>Monilia mumecola</w:t>
            </w:r>
          </w:p>
          <w:p w:rsidR="00B8782D" w:rsidRDefault="00B8782D">
            <w:pPr>
              <w:pStyle w:val="TableText"/>
              <w:rPr>
                <w:i/>
              </w:rPr>
            </w:pPr>
            <w:r>
              <w:rPr>
                <w:i/>
              </w:rPr>
              <w:t>Monilia polystroma</w:t>
            </w:r>
          </w:p>
          <w:p w:rsidR="00B8782D" w:rsidRDefault="00B8782D">
            <w:pPr>
              <w:pStyle w:val="TableText"/>
              <w:rPr>
                <w:i/>
              </w:rPr>
            </w:pPr>
            <w:r>
              <w:rPr>
                <w:i/>
              </w:rPr>
              <w:t>Monilinia yunnanensis</w:t>
            </w:r>
          </w:p>
        </w:tc>
        <w:tc>
          <w:tcPr>
            <w:tcW w:w="1195" w:type="pct"/>
            <w:tcBorders>
              <w:top w:val="single" w:sz="4" w:space="0" w:color="D9D9D9"/>
              <w:bottom w:val="single" w:sz="4" w:space="0" w:color="D9D9D9"/>
            </w:tcBorders>
          </w:tcPr>
          <w:p w:rsidR="00B8782D" w:rsidRDefault="00B8782D">
            <w:pPr>
              <w:pStyle w:val="TableText"/>
            </w:pPr>
            <w:r>
              <w:t>brown rot</w:t>
            </w:r>
          </w:p>
        </w:tc>
        <w:tc>
          <w:tcPr>
            <w:tcW w:w="2118" w:type="pct"/>
            <w:tcBorders>
              <w:top w:val="single" w:sz="4" w:space="0" w:color="D9D9D9"/>
              <w:bottom w:val="single" w:sz="4" w:space="0" w:color="D9D9D9"/>
            </w:tcBorders>
          </w:tcPr>
          <w:p w:rsidR="00B8782D" w:rsidRDefault="00B8782D">
            <w:pPr>
              <w:pStyle w:val="TableText"/>
            </w:pPr>
            <w:r>
              <w:t xml:space="preserve">Area freedom </w:t>
            </w:r>
            <w:r>
              <w:rPr>
                <w:b/>
              </w:rPr>
              <w:t>a</w:t>
            </w:r>
          </w:p>
          <w:p w:rsidR="00B8782D" w:rsidRDefault="00B8782D">
            <w:pPr>
              <w:pStyle w:val="TableText"/>
            </w:pPr>
            <w:r>
              <w:t>OR</w:t>
            </w:r>
          </w:p>
          <w:p w:rsidR="00B8782D" w:rsidRDefault="00B8782D">
            <w:pPr>
              <w:pStyle w:val="TableText"/>
            </w:pPr>
            <w:r>
              <w:t>Areas of low pest prevalence</w:t>
            </w:r>
          </w:p>
          <w:p w:rsidR="00B8782D" w:rsidRDefault="00B8782D">
            <w:pPr>
              <w:pStyle w:val="TableText"/>
            </w:pPr>
            <w:r>
              <w:t>OR</w:t>
            </w:r>
          </w:p>
          <w:p w:rsidR="00B8782D" w:rsidRDefault="00B8782D">
            <w:pPr>
              <w:pStyle w:val="TableText"/>
            </w:pPr>
            <w:r>
              <w:t>Alternative equivalent measures proposed by China and approved by the Australian Government Department of Agriculture and Water Resources</w:t>
            </w:r>
          </w:p>
        </w:tc>
      </w:tr>
      <w:tr w:rsidR="00B8782D">
        <w:trPr>
          <w:trHeight w:val="1576"/>
        </w:trPr>
        <w:tc>
          <w:tcPr>
            <w:tcW w:w="1687" w:type="pct"/>
          </w:tcPr>
          <w:p w:rsidR="00B8782D" w:rsidRDefault="00B8782D">
            <w:pPr>
              <w:pStyle w:val="TableText"/>
              <w:rPr>
                <w:i/>
              </w:rPr>
            </w:pPr>
            <w:r>
              <w:rPr>
                <w:i/>
              </w:rPr>
              <w:lastRenderedPageBreak/>
              <w:t xml:space="preserve">Plum pox virus </w:t>
            </w:r>
            <w:r>
              <w:t>(EP)</w:t>
            </w:r>
          </w:p>
        </w:tc>
        <w:tc>
          <w:tcPr>
            <w:tcW w:w="1195" w:type="pct"/>
          </w:tcPr>
          <w:p w:rsidR="00B8782D" w:rsidRDefault="00B8782D">
            <w:pPr>
              <w:pStyle w:val="TableText"/>
            </w:pPr>
            <w:r>
              <w:t>PPV</w:t>
            </w:r>
          </w:p>
        </w:tc>
        <w:tc>
          <w:tcPr>
            <w:tcW w:w="2118" w:type="pct"/>
          </w:tcPr>
          <w:p w:rsidR="00B8782D" w:rsidRDefault="00B8782D">
            <w:pPr>
              <w:pStyle w:val="TableText"/>
            </w:pPr>
            <w:r>
              <w:t xml:space="preserve">Area freedom </w:t>
            </w:r>
            <w:r>
              <w:rPr>
                <w:b/>
              </w:rPr>
              <w:t>a</w:t>
            </w:r>
          </w:p>
          <w:p w:rsidR="00B8782D" w:rsidRDefault="00B8782D">
            <w:pPr>
              <w:pStyle w:val="TableText"/>
            </w:pPr>
            <w:r>
              <w:t>OR</w:t>
            </w:r>
          </w:p>
          <w:p w:rsidR="00B8782D" w:rsidRDefault="00B8782D">
            <w:pPr>
              <w:pStyle w:val="TableText"/>
            </w:pPr>
            <w:r>
              <w:t>Systems approach proposed by China and approved by the Australian Government Department of Agriculture and Water Resources</w:t>
            </w:r>
          </w:p>
        </w:tc>
      </w:tr>
    </w:tbl>
    <w:p w:rsidR="00B8782D" w:rsidRDefault="00B8782D">
      <w:pPr>
        <w:pStyle w:val="FigureTableNoteSource"/>
      </w:pPr>
      <w:r>
        <w:rPr>
          <w:b/>
        </w:rPr>
        <w:t>a</w:t>
      </w:r>
      <w:r>
        <w:t xml:space="preserve"> Area freedom may include pest free areas, pest free places of production sites. </w:t>
      </w:r>
      <w:r>
        <w:rPr>
          <w:b/>
        </w:rPr>
        <w:t>b</w:t>
      </w:r>
      <w:r>
        <w:t xml:space="preserve"> Remedial action (depending on the location of the inspection) may include treatment of the consignment to ensure that the pest is no longer viable or withdrawing the consignment from export to Australia. </w:t>
      </w:r>
      <w:r>
        <w:rPr>
          <w:b/>
        </w:rPr>
        <w:t xml:space="preserve">EP </w:t>
      </w:r>
      <w:r>
        <w:t>(existing policy) pests that have previously been assessed by Australia and policy already exist.</w:t>
      </w:r>
      <w:r>
        <w:rPr>
          <w:b/>
        </w:rPr>
        <w:t xml:space="preserve"> NT</w:t>
      </w:r>
      <w:r>
        <w:t xml:space="preserve"> pests of quarantine concern for Northern Territory. </w:t>
      </w:r>
      <w:r>
        <w:rPr>
          <w:b/>
        </w:rPr>
        <w:t xml:space="preserve">WA </w:t>
      </w:r>
      <w:r>
        <w:t>pests of quarantine concern for Western Australia.</w:t>
      </w:r>
    </w:p>
    <w:p w:rsidR="00B8782D" w:rsidRDefault="00B8782D">
      <w:r>
        <w:t xml:space="preserve">This non-regulated analysis of existing policy builds on the existing policies including the import of fresh stonefruit from the USA (California, Idaho, Oregon and Washington) </w:t>
      </w:r>
      <w:r>
        <w:rPr>
          <w:noProof/>
        </w:rPr>
        <w:t>(Biosecurity Australia 2010b)</w:t>
      </w:r>
      <w:r>
        <w:t xml:space="preserve"> and from New Zealand to Western Australia </w:t>
      </w:r>
      <w:r>
        <w:rPr>
          <w:noProof/>
        </w:rPr>
        <w:t>(Biosecurity Australia 2006b)</w:t>
      </w:r>
      <w:r>
        <w:t xml:space="preserve">; and for apples </w:t>
      </w:r>
      <w:r>
        <w:rPr>
          <w:noProof/>
        </w:rPr>
        <w:t>(Biosecurity Australia 2010a)</w:t>
      </w:r>
      <w:r>
        <w:t xml:space="preserve"> and table grapes </w:t>
      </w:r>
      <w:r>
        <w:rPr>
          <w:noProof/>
        </w:rPr>
        <w:t>(Biosecurity Australia 2011)</w:t>
      </w:r>
      <w:r>
        <w:t xml:space="preserve"> from China. These policies include all of the pest groups identified in Table 5.1.</w:t>
      </w:r>
    </w:p>
    <w:p w:rsidR="00B8782D" w:rsidRDefault="00B8782D">
      <w:r>
        <w:t>Considerable trade in stonefruit including nectarines from the USA (California, Idaho, Oregon and Washington) and from New Zealand and in apples from China to Australia has taken place.</w:t>
      </w:r>
    </w:p>
    <w:p w:rsidR="00B8782D" w:rsidRDefault="00B8782D">
      <w:r>
        <w:t>Equivalent management measures have been considered for the same or similar pests and recommended in this report. Thus, the management options recommended in this report are consistent with the existing policies. Where there are differences in the recommended risk management measures among the existing policies, those recommended for stonefruit from the USA and from New Zealand to Western Australia and for apples from China were recommended in this report for nectarines from China because the efficacy of those measures have been further supported by considerable trade.</w:t>
      </w:r>
    </w:p>
    <w:p w:rsidR="00B8782D" w:rsidRDefault="00B8782D">
      <w:r>
        <w:t>The recommended risk management measures for nectarines from China include:</w:t>
      </w:r>
    </w:p>
    <w:p w:rsidR="00B8782D" w:rsidRDefault="00B8782D">
      <w:pPr>
        <w:pStyle w:val="ListBullet"/>
      </w:pPr>
      <w:r>
        <w:t>visual inspection and remedial action for leaf rollers, mealybug, spider mite and thrips</w:t>
      </w:r>
    </w:p>
    <w:p w:rsidR="00B8782D" w:rsidRDefault="00B8782D">
      <w:pPr>
        <w:pStyle w:val="ListBullet"/>
      </w:pPr>
      <w:r>
        <w:t>area freedom or fruit treatment (cold disinfestation or irradiation) for fruit flies</w:t>
      </w:r>
    </w:p>
    <w:p w:rsidR="00B8782D" w:rsidRDefault="00B8782D">
      <w:pPr>
        <w:pStyle w:val="ListBullet"/>
      </w:pPr>
      <w:r>
        <w:t>area freedom or fruit treatment (methyl bromide fumigation or irradiation) or a systems approach approved by the Australian Government Department of Agriculture and Water Resources for spotted wing drosophila</w:t>
      </w:r>
    </w:p>
    <w:p w:rsidR="00B8782D" w:rsidRDefault="00B8782D">
      <w:pPr>
        <w:pStyle w:val="ListBullet"/>
      </w:pPr>
      <w:r>
        <w:t>area freedom or area of low pest prevalence or fruit treatments (methyl bromide fumigation or irradiation) or a systems approach approved by the Australian Government Department of Agriculture and Water Resources for fruit borers</w:t>
      </w:r>
    </w:p>
    <w:p w:rsidR="00B8782D" w:rsidRDefault="00B8782D">
      <w:pPr>
        <w:pStyle w:val="ListBullet"/>
      </w:pPr>
      <w:r>
        <w:t>area freedom or area of low pest prevalence or alternative equivalent measures approved by the Australian Government Department of Agriculture and Water Resources for brown rots</w:t>
      </w:r>
    </w:p>
    <w:p w:rsidR="00B8782D" w:rsidRDefault="00B8782D">
      <w:pPr>
        <w:pStyle w:val="ListBullet"/>
        <w:sectPr w:rsidR="00B8782D">
          <w:headerReference w:type="default" r:id="rId58"/>
          <w:footerReference w:type="default" r:id="rId59"/>
          <w:type w:val="oddPage"/>
          <w:pgSz w:w="11906" w:h="16838"/>
          <w:pgMar w:top="1418" w:right="1418" w:bottom="1418" w:left="1418" w:header="567" w:footer="283" w:gutter="0"/>
          <w:cols w:space="708"/>
          <w:docGrid w:linePitch="360"/>
        </w:sectPr>
      </w:pPr>
      <w:r>
        <w:t>area freedom or systems approach approved by the Australian Government Department of Agriculture and Water Resources for plum pox virus.</w:t>
      </w:r>
    </w:p>
    <w:p w:rsidR="00B8782D" w:rsidRDefault="00B8782D">
      <w:pPr>
        <w:pStyle w:val="Heading4"/>
      </w:pPr>
      <w:r>
        <w:lastRenderedPageBreak/>
        <w:t xml:space="preserve">Management for </w:t>
      </w:r>
      <w:r>
        <w:rPr>
          <w:i/>
        </w:rPr>
        <w:t>Frankliniella intonsa, Frankliniella occidentalis</w:t>
      </w:r>
      <w:r>
        <w:t xml:space="preserve">, </w:t>
      </w:r>
      <w:r>
        <w:rPr>
          <w:i/>
        </w:rPr>
        <w:t>Pseudococcus comstocki</w:t>
      </w:r>
      <w:r>
        <w:t xml:space="preserve">, </w:t>
      </w:r>
      <w:r>
        <w:rPr>
          <w:i/>
        </w:rPr>
        <w:t>Amphitetranychus viennensis, Tetranychus turkestani, Adoxophyes orana, Argyrotaenia ljungiana</w:t>
      </w:r>
      <w:r>
        <w:t xml:space="preserve"> and </w:t>
      </w:r>
      <w:r>
        <w:rPr>
          <w:i/>
        </w:rPr>
        <w:t>Spilonota albicana</w:t>
      </w:r>
    </w:p>
    <w:p w:rsidR="00B8782D" w:rsidRDefault="00B8782D">
      <w:r>
        <w:rPr>
          <w:i/>
        </w:rPr>
        <w:t>Frankliniella intonsa</w:t>
      </w:r>
      <w:r>
        <w:t xml:space="preserve"> (Eurasian flower thrips), </w:t>
      </w:r>
      <w:r>
        <w:rPr>
          <w:i/>
        </w:rPr>
        <w:t>Frankliniella occidentalis</w:t>
      </w:r>
      <w:r>
        <w:t xml:space="preserve"> (western flower thrips), </w:t>
      </w:r>
      <w:r>
        <w:rPr>
          <w:i/>
        </w:rPr>
        <w:t>Pseudococcus comstocki</w:t>
      </w:r>
      <w:r>
        <w:t xml:space="preserve"> (comstock mealybug), </w:t>
      </w:r>
      <w:r>
        <w:rPr>
          <w:i/>
        </w:rPr>
        <w:t>Amphitetranychus viennensis</w:t>
      </w:r>
      <w:r>
        <w:t xml:space="preserve"> (hawthorn spider mite), </w:t>
      </w:r>
      <w:r>
        <w:rPr>
          <w:i/>
        </w:rPr>
        <w:t>Tetranychus turkestani</w:t>
      </w:r>
      <w:r>
        <w:t xml:space="preserve"> (strawberry spider mite), </w:t>
      </w:r>
      <w:r>
        <w:rPr>
          <w:i/>
        </w:rPr>
        <w:t>Adoxophyes orana</w:t>
      </w:r>
      <w:r>
        <w:t xml:space="preserve"> (summerfruit tortrix)</w:t>
      </w:r>
      <w:r>
        <w:rPr>
          <w:i/>
        </w:rPr>
        <w:t>, Argyrotaenia ljungiana</w:t>
      </w:r>
      <w:r>
        <w:t xml:space="preserve"> (grape tortrix) and </w:t>
      </w:r>
      <w:r>
        <w:rPr>
          <w:i/>
        </w:rPr>
        <w:t xml:space="preserve">Spilonota albicana </w:t>
      </w:r>
      <w:r>
        <w:t>(white fruit moth) were assessed to have an unrestricted risk estimate that exceeds Australia’s ALOP. Measures are therefore required to manage the risk.</w:t>
      </w:r>
    </w:p>
    <w:p w:rsidR="00B8782D" w:rsidRDefault="00B8782D">
      <w:r>
        <w:t xml:space="preserve">The Australian Government Department of Agriculture and Water Resources recommends visual inspection and remedial action as a measure for these pests. The objective of the recommended visual inspection is to ensure that any consignments of nectarine fruit from China infested with these pests are identified and subjected to appropriate remedial action. This measure is </w:t>
      </w:r>
      <w:r w:rsidRPr="00A90EF2">
        <w:t xml:space="preserve">to reduce the likelihood of </w:t>
      </w:r>
      <w:r>
        <w:t xml:space="preserve">entry </w:t>
      </w:r>
      <w:r w:rsidRPr="00A90EF2">
        <w:t>of these pests to at least ‘very low’. The restricted risk would then be reduced to at least ‘very low’, which would achieve Australia’s ALOP.</w:t>
      </w:r>
    </w:p>
    <w:p w:rsidR="00B8782D" w:rsidRDefault="00B8782D">
      <w:r>
        <w:t xml:space="preserve">The recommended measures are consistent with the existing policy for fresh stonefruit from the USA (California, Idaho, Oregon and Washington) </w:t>
      </w:r>
      <w:r>
        <w:rPr>
          <w:noProof/>
        </w:rPr>
        <w:t>(Biosecurity Australia 2010b)</w:t>
      </w:r>
      <w:r>
        <w:t xml:space="preserve"> and from New Zealand to Western Australia </w:t>
      </w:r>
      <w:r>
        <w:rPr>
          <w:noProof/>
        </w:rPr>
        <w:t>(Biosecurity Australia 2006b)</w:t>
      </w:r>
      <w:r>
        <w:t>. The efficacy of visual inspection and remedial action is supported by considerable trade of stonefruit including nectarines from the USA (California, Idaho, Oregon and Washington) to Australia since 2010.</w:t>
      </w:r>
    </w:p>
    <w:p w:rsidR="00B8782D" w:rsidRDefault="00B8782D">
      <w:pPr>
        <w:pStyle w:val="Heading5"/>
      </w:pPr>
      <w:r>
        <w:t>Pre-export visual inspection and remedial action by AQSIQ/CIQ</w:t>
      </w:r>
    </w:p>
    <w:p w:rsidR="00B8782D" w:rsidRDefault="00B8782D">
      <w:r>
        <w:t>All nectarine fruit consignments for export to Australia must be inspected by AQSIQ/CIQ and found free of these quarantine arthropod pests. Export lots or consignments found to contain any of these pests must be subject to remedial action. Remedial action may include withdrawing the consignment from export to Australia or, if available, approved treatment of the export consignment to ensure that the pest is no longer viable.</w:t>
      </w:r>
    </w:p>
    <w:p w:rsidR="00B8782D" w:rsidRDefault="00B8782D">
      <w:pPr>
        <w:pStyle w:val="Heading4"/>
      </w:pPr>
      <w:r>
        <w:t xml:space="preserve">Management </w:t>
      </w:r>
      <w:r>
        <w:rPr>
          <w:i/>
        </w:rPr>
        <w:t>for Bactrocera dorsalis</w:t>
      </w:r>
      <w:r>
        <w:t xml:space="preserve"> and </w:t>
      </w:r>
      <w:r>
        <w:rPr>
          <w:i/>
        </w:rPr>
        <w:t>Bactrocera correcta</w:t>
      </w:r>
    </w:p>
    <w:p w:rsidR="00B8782D" w:rsidRDefault="00B8782D">
      <w:r>
        <w:rPr>
          <w:i/>
        </w:rPr>
        <w:t xml:space="preserve">Bactrocera dorsalis </w:t>
      </w:r>
      <w:r>
        <w:t xml:space="preserve">(Oriental fruit fly) and </w:t>
      </w:r>
      <w:r>
        <w:rPr>
          <w:i/>
        </w:rPr>
        <w:t xml:space="preserve">Bactrocera correcta </w:t>
      </w:r>
      <w:r>
        <w:t>(guava fruit fly)</w:t>
      </w:r>
      <w:r>
        <w:rPr>
          <w:i/>
        </w:rPr>
        <w:t xml:space="preserve"> </w:t>
      </w:r>
      <w:r>
        <w:t>were assessed to have an unrestricted risk estimate that exceeds Australia’s ALOP. Measures are therefore required to manage the risks.</w:t>
      </w:r>
    </w:p>
    <w:p w:rsidR="00B8782D" w:rsidRDefault="00B8782D">
      <w:r>
        <w:t xml:space="preserve">The recommended measures are consistent with the existing policies including those for apples </w:t>
      </w:r>
      <w:r>
        <w:rPr>
          <w:noProof/>
        </w:rPr>
        <w:t>(Biosecurity Australia 2010a)</w:t>
      </w:r>
      <w:r>
        <w:t xml:space="preserve"> and table grapes </w:t>
      </w:r>
      <w:r>
        <w:rPr>
          <w:noProof/>
        </w:rPr>
        <w:t>(Biosecurity Australia 2011)</w:t>
      </w:r>
      <w:r>
        <w:t xml:space="preserve"> from China. The Australian Government Department of Agriculture and Water Resources recommends the options of area freedom or fruit treatment (cold disinfestations or irradiation) as management measures. The objective of each of these measures is to reduce the survival of </w:t>
      </w:r>
      <w:r>
        <w:rPr>
          <w:i/>
        </w:rPr>
        <w:t xml:space="preserve">B. dorsalis </w:t>
      </w:r>
      <w:r>
        <w:t xml:space="preserve">and </w:t>
      </w:r>
      <w:r>
        <w:rPr>
          <w:i/>
        </w:rPr>
        <w:t xml:space="preserve">B. correcta </w:t>
      </w:r>
      <w:r>
        <w:t>thus reducing the likelihood of entry to at least ‘extremely low’. The restricted risk would then be reduced to at least ‘very low’, which would achieve Australia’s ALOP.</w:t>
      </w:r>
    </w:p>
    <w:p w:rsidR="00B8782D" w:rsidRDefault="00B8782D">
      <w:pPr>
        <w:pStyle w:val="Heading5"/>
      </w:pPr>
      <w:r>
        <w:t>Area freedom</w:t>
      </w:r>
    </w:p>
    <w:p w:rsidR="00B8782D" w:rsidRDefault="00B8782D">
      <w:r>
        <w:t xml:space="preserve">Area freedom is a measure that might be applied to manage the risk posed by </w:t>
      </w:r>
      <w:r>
        <w:rPr>
          <w:i/>
        </w:rPr>
        <w:t xml:space="preserve">B. dorsalis </w:t>
      </w:r>
      <w:r>
        <w:t xml:space="preserve">and </w:t>
      </w:r>
      <w:r>
        <w:rPr>
          <w:i/>
        </w:rPr>
        <w:t>B. correcta</w:t>
      </w:r>
      <w:r>
        <w:t xml:space="preserve">. The requirements for establishing pest free areas or pest free places of production are set out in ISPM 4: </w:t>
      </w:r>
      <w:r>
        <w:rPr>
          <w:i/>
        </w:rPr>
        <w:t>Establishment of pest free areas</w:t>
      </w:r>
      <w:r>
        <w:t xml:space="preserve"> </w:t>
      </w:r>
      <w:r>
        <w:rPr>
          <w:noProof/>
        </w:rPr>
        <w:t>(FAO 1995)</w:t>
      </w:r>
      <w:r>
        <w:t xml:space="preserve"> and ISPM 10: </w:t>
      </w:r>
      <w:r>
        <w:rPr>
          <w:i/>
        </w:rPr>
        <w:t xml:space="preserve">Requirements for the </w:t>
      </w:r>
      <w:r>
        <w:rPr>
          <w:i/>
        </w:rPr>
        <w:lastRenderedPageBreak/>
        <w:t>establishment of pest free places of production and pest free production sites</w:t>
      </w:r>
      <w:r>
        <w:t xml:space="preserve"> </w:t>
      </w:r>
      <w:r>
        <w:rPr>
          <w:noProof/>
        </w:rPr>
        <w:t>(FAO 1999)</w:t>
      </w:r>
      <w:r>
        <w:t xml:space="preserve"> and more specifically in ISPM 26: </w:t>
      </w:r>
      <w:r>
        <w:rPr>
          <w:i/>
        </w:rPr>
        <w:t xml:space="preserve">Establishment of pest free areas for fruit flies </w:t>
      </w:r>
      <w:r>
        <w:t xml:space="preserve">(Tephritidae) </w:t>
      </w:r>
      <w:r>
        <w:rPr>
          <w:noProof/>
        </w:rPr>
        <w:t>(FAO 2015b)</w:t>
      </w:r>
      <w:r>
        <w:t>.</w:t>
      </w:r>
    </w:p>
    <w:p w:rsidR="00B8782D" w:rsidRDefault="00B8782D">
      <w:r>
        <w:t>Current requirements for the import of pears, apples and table grapes include monitoring and trapping of fruit flies in export orchards and packinghouses. Monitoring and trapping of fruit flies in the specific nectarine export orchards and packinghouses of northern China (as for current apple, pear and table grapes export) are required.</w:t>
      </w:r>
    </w:p>
    <w:p w:rsidR="00B8782D" w:rsidRDefault="00B8782D">
      <w:r>
        <w:t xml:space="preserve">The Australian Government Department of Agriculture and Water Resources is currently considering China’s request for recognition of northern China for area freedom for </w:t>
      </w:r>
      <w:r>
        <w:rPr>
          <w:i/>
        </w:rPr>
        <w:t xml:space="preserve">B. dorsalis, B. correcta </w:t>
      </w:r>
      <w:r>
        <w:t>and other economically significant fruit flies based on China’s National Fruit Flies Trapping Network. If area freedom for these fruit flies and other economically significant fruit flies is accepted by Australia for northern China, China’s existing National Fruit Flies Trapping Network would be required to be maintained in all areas including production areas where nectarines are to be sourced for export to Australia.</w:t>
      </w:r>
    </w:p>
    <w:p w:rsidR="00B8782D" w:rsidRDefault="00B8782D">
      <w:r>
        <w:t>Under either of the two area freedom situations (that is monitoring and trapping of export orchards or based on the National Fruit Flies Trapping Network), AQSIQ must notify the Australian Government Department of Agriculture and Water Resources of the detection of any fruit fly species (Tephritidae) of economic importance in the regions within 48 hours. The Australian Government Department of Agriculture and Water Resources will then assess the species and number of individual flies detected and the circumstances of the detection, before advising AQSIQ of the action to be taken. If fruit flies are detected at offshore pre-shipment inspection or on-arrival inspection, trade would be suspended immediately, pending the outcome of an investigation.</w:t>
      </w:r>
    </w:p>
    <w:p w:rsidR="00B8782D" w:rsidRDefault="00B8782D">
      <w:pPr>
        <w:pStyle w:val="Heading5"/>
      </w:pPr>
      <w:r>
        <w:t>Cold disinfestation treatments</w:t>
      </w:r>
    </w:p>
    <w:p w:rsidR="00B8782D" w:rsidRDefault="00B8782D">
      <w:r>
        <w:t xml:space="preserve">For nectarine fruit sourced from outside the recognised fruit fly pest free areas, cold disinfestation treatments can be undertaken. </w:t>
      </w:r>
    </w:p>
    <w:p w:rsidR="00B8782D" w:rsidRDefault="00B8782D" w:rsidP="009C43D6">
      <w:r>
        <w:t xml:space="preserve">Treatment regimens consistent with the </w:t>
      </w:r>
      <w:r>
        <w:rPr>
          <w:i/>
        </w:rPr>
        <w:t xml:space="preserve">USDA Treatment Manual </w:t>
      </w:r>
      <w:r>
        <w:t xml:space="preserve">(T107-f) </w:t>
      </w:r>
      <w:r>
        <w:rPr>
          <w:noProof/>
        </w:rPr>
        <w:t>(USDA 2010)</w:t>
      </w:r>
      <w:r>
        <w:t xml:space="preserve"> for Ya pear are recommended for the disinfestation of </w:t>
      </w:r>
      <w:r>
        <w:rPr>
          <w:i/>
        </w:rPr>
        <w:t xml:space="preserve">B. dorsalis </w:t>
      </w:r>
      <w:r w:rsidRPr="005C2B6E">
        <w:t>and</w:t>
      </w:r>
      <w:r>
        <w:rPr>
          <w:i/>
        </w:rPr>
        <w:t xml:space="preserve"> B. correcta </w:t>
      </w:r>
      <w:r>
        <w:t>on nectarine fruit.</w:t>
      </w:r>
      <w:r w:rsidRPr="009C43D6">
        <w:t xml:space="preserve"> </w:t>
      </w:r>
      <w:r>
        <w:t xml:space="preserve">Cold treatments which are effective for </w:t>
      </w:r>
      <w:r>
        <w:rPr>
          <w:i/>
        </w:rPr>
        <w:t xml:space="preserve">B. dorsalis </w:t>
      </w:r>
      <w:r>
        <w:t>are considered to be effective for</w:t>
      </w:r>
      <w:r>
        <w:rPr>
          <w:i/>
        </w:rPr>
        <w:t xml:space="preserve"> B. correcta</w:t>
      </w:r>
      <w:r>
        <w:t xml:space="preserve"> as </w:t>
      </w:r>
      <w:r>
        <w:rPr>
          <w:i/>
        </w:rPr>
        <w:t>B. correcta</w:t>
      </w:r>
      <w:r>
        <w:t xml:space="preserve"> is more sensitive to cold than </w:t>
      </w:r>
      <w:r>
        <w:rPr>
          <w:i/>
        </w:rPr>
        <w:t>B. dorsalis</w:t>
      </w:r>
      <w:r>
        <w:t xml:space="preserve"> </w:t>
      </w:r>
      <w:r>
        <w:rPr>
          <w:noProof/>
        </w:rPr>
        <w:t>(Liu &amp; Ye 2009)</w:t>
      </w:r>
      <w:r>
        <w:t>.</w:t>
      </w:r>
      <w:r w:rsidRPr="009C43D6">
        <w:t xml:space="preserve"> </w:t>
      </w:r>
      <w:r>
        <w:t xml:space="preserve">In considering additional cold treatments developed for </w:t>
      </w:r>
      <w:r w:rsidRPr="00F21DD2">
        <w:rPr>
          <w:i/>
        </w:rPr>
        <w:t>B. dorsalis</w:t>
      </w:r>
      <w:r>
        <w:t xml:space="preserve"> across a range of </w:t>
      </w:r>
      <w:r w:rsidRPr="00A90EF2">
        <w:t>commodities</w:t>
      </w:r>
      <w:r>
        <w:t xml:space="preserve"> </w:t>
      </w:r>
      <w:r>
        <w:rPr>
          <w:noProof/>
        </w:rPr>
        <w:t>(Chen et al. 2002; Liang, Liang &amp; Wu 2002; Liang et al. 1999)</w:t>
      </w:r>
      <w:r w:rsidRPr="00C556DD">
        <w:t xml:space="preserve">, </w:t>
      </w:r>
      <w:r>
        <w:t xml:space="preserve">the Australian Government Department of Agriculture and Water Resources considers T107f effectively manages </w:t>
      </w:r>
      <w:r>
        <w:rPr>
          <w:i/>
        </w:rPr>
        <w:t xml:space="preserve">B. dorsalis </w:t>
      </w:r>
      <w:r w:rsidRPr="004972ED">
        <w:t>and</w:t>
      </w:r>
      <w:r>
        <w:rPr>
          <w:i/>
        </w:rPr>
        <w:t xml:space="preserve"> B. correcta </w:t>
      </w:r>
      <w:r>
        <w:t>and is a suitable treatment option fresh nectarine fruit from China.</w:t>
      </w:r>
    </w:p>
    <w:p w:rsidR="00B8782D" w:rsidRDefault="00B8782D" w:rsidP="009C43D6">
      <w:r>
        <w:rPr>
          <w:lang w:eastAsia="en-AU"/>
        </w:rPr>
        <w:t>It is recommended that where cold disinfestation treatment is utilised, it must be carried out according to the specifications below:</w:t>
      </w:r>
    </w:p>
    <w:p w:rsidR="00B8782D" w:rsidRDefault="00B8782D">
      <w:pPr>
        <w:pStyle w:val="ListBullet"/>
      </w:pPr>
      <w:r>
        <w:t>0.56°C or below for 10 days, or</w:t>
      </w:r>
    </w:p>
    <w:p w:rsidR="00B8782D" w:rsidRDefault="00B8782D">
      <w:pPr>
        <w:pStyle w:val="ListBullet"/>
      </w:pPr>
      <w:r>
        <w:t>1.11°C or below for 12 days, or</w:t>
      </w:r>
    </w:p>
    <w:p w:rsidR="00B8782D" w:rsidRDefault="00B8782D">
      <w:pPr>
        <w:pStyle w:val="ListBullet"/>
      </w:pPr>
      <w:r>
        <w:t>1.67 °C or below for 14 days</w:t>
      </w:r>
    </w:p>
    <w:p w:rsidR="00B8782D" w:rsidRDefault="00B8782D" w:rsidP="00CD12D3">
      <w:pPr>
        <w:pStyle w:val="ListBullet"/>
        <w:numPr>
          <w:ilvl w:val="0"/>
          <w:numId w:val="0"/>
        </w:numPr>
      </w:pPr>
      <w:r>
        <w:t>Cold treatments can be conducted pre-export in China or in-transit.</w:t>
      </w:r>
    </w:p>
    <w:p w:rsidR="00B8782D" w:rsidRDefault="00B8782D" w:rsidP="005C2B6E">
      <w:pPr>
        <w:pStyle w:val="ListBullet"/>
        <w:numPr>
          <w:ilvl w:val="0"/>
          <w:numId w:val="0"/>
        </w:numPr>
      </w:pPr>
    </w:p>
    <w:p w:rsidR="00B8782D" w:rsidRDefault="00B8782D">
      <w:pPr>
        <w:pStyle w:val="Heading5"/>
      </w:pPr>
      <w:r>
        <w:lastRenderedPageBreak/>
        <w:t>Irradiation</w:t>
      </w:r>
    </w:p>
    <w:p w:rsidR="00B8782D" w:rsidRDefault="00B8782D">
      <w:r>
        <w:t xml:space="preserve">Irradiation treatment is considered a suitable measure option for </w:t>
      </w:r>
      <w:r>
        <w:rPr>
          <w:i/>
        </w:rPr>
        <w:t>B. correcta</w:t>
      </w:r>
      <w:r>
        <w:t xml:space="preserve"> and </w:t>
      </w:r>
      <w:r>
        <w:rPr>
          <w:i/>
        </w:rPr>
        <w:t>B. dorsalis</w:t>
      </w:r>
      <w:r>
        <w:t>. The treatment schedule of 150 gray minimum absorbed dose is specified in</w:t>
      </w:r>
      <w:r>
        <w:rPr>
          <w:rFonts w:ascii="Times New Roman" w:eastAsia="Cambria" w:hAnsi="Times New Roman"/>
          <w:color w:val="000000"/>
          <w:sz w:val="24"/>
          <w:szCs w:val="24"/>
          <w:lang w:eastAsia="en-AU"/>
        </w:rPr>
        <w:t xml:space="preserve"> ISPM 28 Annex 7:</w:t>
      </w:r>
      <w:r>
        <w:t xml:space="preserve"> </w:t>
      </w:r>
      <w:r>
        <w:rPr>
          <w:i/>
        </w:rPr>
        <w:t>Irradiation treatment for fruit flies of the family Tephritidae (generic)</w:t>
      </w:r>
      <w:r>
        <w:t xml:space="preserve"> </w:t>
      </w:r>
      <w:r>
        <w:rPr>
          <w:noProof/>
        </w:rPr>
        <w:t>(FAO 2009)</w:t>
      </w:r>
      <w:r>
        <w:t>.</w:t>
      </w:r>
    </w:p>
    <w:p w:rsidR="00B8782D" w:rsidRDefault="00B8782D">
      <w:pPr>
        <w:pStyle w:val="Heading5"/>
      </w:pPr>
      <w:r>
        <w:t xml:space="preserve">Alternative equivalent measures </w:t>
      </w:r>
    </w:p>
    <w:p w:rsidR="00B8782D" w:rsidRDefault="00B8782D">
      <w:r>
        <w:t xml:space="preserve">Measures for </w:t>
      </w:r>
      <w:r>
        <w:rPr>
          <w:i/>
        </w:rPr>
        <w:t xml:space="preserve">B. dorsalis </w:t>
      </w:r>
      <w:r>
        <w:t xml:space="preserve">and </w:t>
      </w:r>
      <w:r>
        <w:rPr>
          <w:i/>
        </w:rPr>
        <w:t xml:space="preserve">B. correcta </w:t>
      </w:r>
      <w:r>
        <w:t>could also include other equivalent measures, subject to the provision and acceptance of suitable efficacy data.</w:t>
      </w:r>
    </w:p>
    <w:p w:rsidR="00B8782D" w:rsidRDefault="00B8782D">
      <w:pPr>
        <w:pStyle w:val="Heading4"/>
        <w:rPr>
          <w:i/>
        </w:rPr>
      </w:pPr>
      <w:r>
        <w:t xml:space="preserve">Management for </w:t>
      </w:r>
      <w:r>
        <w:rPr>
          <w:i/>
        </w:rPr>
        <w:t>Drosophila suzukii</w:t>
      </w:r>
    </w:p>
    <w:p w:rsidR="00B8782D" w:rsidRDefault="00B8782D">
      <w:r>
        <w:rPr>
          <w:i/>
        </w:rPr>
        <w:t>Drosophila suzukii</w:t>
      </w:r>
      <w:r>
        <w:t xml:space="preserve"> (spotted wing drosophila) was assessed to have an unrestricted risk estimate that exceeds Australia’s ALOP. Therefore, measures are required to manage the risks.</w:t>
      </w:r>
    </w:p>
    <w:p w:rsidR="00B8782D" w:rsidRDefault="00B8782D">
      <w:r>
        <w:t xml:space="preserve">Options recommended for this pest in the </w:t>
      </w:r>
      <w:r>
        <w:rPr>
          <w:i/>
        </w:rPr>
        <w:t>Final</w:t>
      </w:r>
      <w:r>
        <w:t xml:space="preserve"> </w:t>
      </w:r>
      <w:r>
        <w:rPr>
          <w:rFonts w:eastAsia="TimesNewRoman"/>
          <w:i/>
          <w:color w:val="010101"/>
        </w:rPr>
        <w:t>pest risk analysis report for Drosophila suzukii</w:t>
      </w:r>
      <w:r>
        <w:rPr>
          <w:rFonts w:eastAsia="TimesNewRoman"/>
          <w:color w:val="010101"/>
        </w:rPr>
        <w:t xml:space="preserve"> </w:t>
      </w:r>
      <w:r>
        <w:rPr>
          <w:rFonts w:eastAsia="TimesNewRoman"/>
          <w:noProof/>
          <w:color w:val="010101"/>
        </w:rPr>
        <w:t>(Department of Agriculture 2013)</w:t>
      </w:r>
      <w:r>
        <w:rPr>
          <w:rFonts w:eastAsia="TimesNewRoman"/>
          <w:color w:val="010101"/>
        </w:rPr>
        <w:t xml:space="preserve"> </w:t>
      </w:r>
      <w:r>
        <w:t xml:space="preserve">are area freedom, systems approach, or fruit treatment known to be effective against all life stages of </w:t>
      </w:r>
      <w:r>
        <w:rPr>
          <w:i/>
        </w:rPr>
        <w:t>D. suzukii</w:t>
      </w:r>
      <w:r>
        <w:t xml:space="preserve">. The objective of each of these measures is to reduce the survival of </w:t>
      </w:r>
      <w:r>
        <w:rPr>
          <w:i/>
        </w:rPr>
        <w:t>D. suzukii</w:t>
      </w:r>
      <w:r>
        <w:t xml:space="preserve"> thus reducing the likelihood of importation to at least ‘extremely low’. The restricted risk would then be reduced to at least ‘very low’, which would achieve Australia’s ALOP.</w:t>
      </w:r>
    </w:p>
    <w:p w:rsidR="00B8782D" w:rsidRDefault="00B8782D">
      <w:pPr>
        <w:pStyle w:val="Heading5"/>
      </w:pPr>
      <w:r>
        <w:t>Area freedom</w:t>
      </w:r>
    </w:p>
    <w:p w:rsidR="00B8782D" w:rsidRDefault="00B8782D">
      <w:r>
        <w:t xml:space="preserve">Area freedom is a measure that might be applied to manage the risk posed by </w:t>
      </w:r>
      <w:r>
        <w:rPr>
          <w:i/>
        </w:rPr>
        <w:t>D. suzukii</w:t>
      </w:r>
      <w:r>
        <w:t xml:space="preserve">. The requirements for establishing pest free areas or pest free places of production are set out in ISPM 4: </w:t>
      </w:r>
      <w:r>
        <w:rPr>
          <w:i/>
        </w:rPr>
        <w:t>Requirements for the establishment of pest free areas</w:t>
      </w:r>
      <w:r>
        <w:t xml:space="preserve"> </w:t>
      </w:r>
      <w:r>
        <w:rPr>
          <w:noProof/>
        </w:rPr>
        <w:t>(FAO 1995)</w:t>
      </w:r>
      <w:r>
        <w:t xml:space="preserve"> and ISPM 10: </w:t>
      </w:r>
      <w:r>
        <w:rPr>
          <w:i/>
        </w:rPr>
        <w:t>Requirements for the establishment of pest free places of production and pest free production sites</w:t>
      </w:r>
      <w:r>
        <w:t xml:space="preserve"> </w:t>
      </w:r>
      <w:r>
        <w:rPr>
          <w:noProof/>
        </w:rPr>
        <w:t>(FAO 1999)</w:t>
      </w:r>
      <w:r>
        <w:t>.</w:t>
      </w:r>
    </w:p>
    <w:p w:rsidR="00B8782D" w:rsidRPr="00EB1C74" w:rsidRDefault="00B8782D">
      <w:r>
        <w:rPr>
          <w:i/>
        </w:rPr>
        <w:t xml:space="preserve">Drosophila suzukii </w:t>
      </w:r>
      <w:r>
        <w:t xml:space="preserve">is considered to be widespread in China </w:t>
      </w:r>
      <w:r>
        <w:rPr>
          <w:noProof/>
        </w:rPr>
        <w:t>(Dai &amp; Shi 2013; Kai, Zhang &amp; Carson 1993)</w:t>
      </w:r>
      <w:r>
        <w:rPr>
          <w:rFonts w:eastAsia="TimesNewRoman"/>
          <w:color w:val="010101"/>
        </w:rPr>
        <w:t>; therefore, a</w:t>
      </w:r>
      <w:r>
        <w:t xml:space="preserve">rea freedom may not be a viable option for the majority of China. However, the Australian Government Department of Agriculture and Water Resources does recognise the </w:t>
      </w:r>
      <w:r w:rsidRPr="00EB1C74">
        <w:t>Xinjiang Uyghur Autonomous Region</w:t>
      </w:r>
      <w:r>
        <w:t xml:space="preserve"> is free from </w:t>
      </w:r>
      <w:r>
        <w:rPr>
          <w:i/>
        </w:rPr>
        <w:t>D. suzukii</w:t>
      </w:r>
      <w:r>
        <w:t xml:space="preserve"> based on historical absence and monitoring.</w:t>
      </w:r>
    </w:p>
    <w:p w:rsidR="00B8782D" w:rsidRDefault="00B8782D">
      <w:pPr>
        <w:pStyle w:val="Heading5"/>
      </w:pPr>
      <w:r>
        <w:t>Methyl bromide fumigation</w:t>
      </w:r>
    </w:p>
    <w:p w:rsidR="00B8782D" w:rsidRDefault="00B8782D">
      <w:r>
        <w:t xml:space="preserve">The Australian Government Department of Agriculture and Water Resources recommends the following methyl bromide fumigation against </w:t>
      </w:r>
      <w:r>
        <w:rPr>
          <w:i/>
        </w:rPr>
        <w:t>D. suzukii</w:t>
      </w:r>
      <w:r>
        <w:t xml:space="preserve"> on nectarines. This measure is also used to manage </w:t>
      </w:r>
      <w:r>
        <w:rPr>
          <w:i/>
        </w:rPr>
        <w:t>D. suzukii</w:t>
      </w:r>
      <w:r>
        <w:t xml:space="preserve"> in nectarines from the USA:</w:t>
      </w:r>
    </w:p>
    <w:p w:rsidR="00B8782D" w:rsidRDefault="00B8782D">
      <w:pPr>
        <w:pStyle w:val="ListBullet"/>
      </w:pPr>
      <w:r>
        <w:t>48 grams per metre cubed for two hours at a pulp temperature of 13.9 °C or greater at not more than 38 per cent chamber load.</w:t>
      </w:r>
    </w:p>
    <w:p w:rsidR="00B8782D" w:rsidRDefault="00B8782D">
      <w:r>
        <w:t>Additional post-treatment security measures may be required to limit post-treatment contamination by flies that are attracted to ripe fruit.</w:t>
      </w:r>
    </w:p>
    <w:p w:rsidR="00B8782D" w:rsidRDefault="00B8782D">
      <w:pPr>
        <w:pStyle w:val="Heading5"/>
      </w:pPr>
      <w:r>
        <w:lastRenderedPageBreak/>
        <w:t>Irradiation</w:t>
      </w:r>
    </w:p>
    <w:p w:rsidR="00B8782D" w:rsidRPr="00EB1C74" w:rsidRDefault="00B8782D">
      <w:r>
        <w:t xml:space="preserve">Irradiation treatment is considered a suitable measure option for </w:t>
      </w:r>
      <w:r>
        <w:rPr>
          <w:i/>
        </w:rPr>
        <w:t xml:space="preserve">D. suzukii </w:t>
      </w:r>
      <w:r>
        <w:rPr>
          <w:noProof/>
        </w:rPr>
        <w:t>(Follett, Swedman &amp; Price 2014)</w:t>
      </w:r>
      <w:r>
        <w:rPr>
          <w:i/>
        </w:rPr>
        <w:t>.</w:t>
      </w:r>
      <w:r>
        <w:t xml:space="preserve"> The Australian Government Department of Agriculture and Water Resources recommends a treatment schedule of 150 gray minimum absorbed dose, consistent with </w:t>
      </w:r>
      <w:r>
        <w:rPr>
          <w:rFonts w:ascii="Times New Roman" w:eastAsia="Cambria" w:hAnsi="Times New Roman"/>
          <w:color w:val="000000"/>
          <w:sz w:val="24"/>
          <w:szCs w:val="24"/>
          <w:lang w:eastAsia="en-AU"/>
        </w:rPr>
        <w:t>ISPM 28 Annex 7:</w:t>
      </w:r>
      <w:r>
        <w:t xml:space="preserve"> </w:t>
      </w:r>
      <w:r>
        <w:rPr>
          <w:i/>
        </w:rPr>
        <w:t>Irradiation treatment for fruit flies of the family Tephritidae (generic)</w:t>
      </w:r>
      <w:r>
        <w:t xml:space="preserve"> </w:t>
      </w:r>
      <w:r>
        <w:rPr>
          <w:noProof/>
        </w:rPr>
        <w:t>(FAO 2009)</w:t>
      </w:r>
      <w:r>
        <w:t xml:space="preserve">. Although lower doses (78 gray) have been shown to induce sterility of all immature life stages associated with fruit, adults can successfully emerge from irradiated pupae. The detection of a sterilised </w:t>
      </w:r>
      <w:r>
        <w:rPr>
          <w:i/>
        </w:rPr>
        <w:t>D. suzukii</w:t>
      </w:r>
      <w:r>
        <w:t xml:space="preserve"> adult post border would result in regulatory actions. A dose of 150 gray would make adult emergence from irradiated fruit an unlikely event.</w:t>
      </w:r>
    </w:p>
    <w:p w:rsidR="00B8782D" w:rsidRDefault="00B8782D">
      <w:pPr>
        <w:pStyle w:val="Heading5"/>
      </w:pPr>
      <w:r>
        <w:t>Alternative equivalent measures</w:t>
      </w:r>
    </w:p>
    <w:p w:rsidR="00B8782D" w:rsidRDefault="00B8782D">
      <w:r>
        <w:t xml:space="preserve">Other treatments, demonstrated to be effective against all life stages of </w:t>
      </w:r>
      <w:r>
        <w:rPr>
          <w:i/>
        </w:rPr>
        <w:t>D. suzukii</w:t>
      </w:r>
      <w:r>
        <w:t xml:space="preserve"> for nectarine fruit, will be considered by the Australian Government Department of Agriculture and Water Resources if proposed by AQSIQ.</w:t>
      </w:r>
    </w:p>
    <w:p w:rsidR="00B8782D" w:rsidRDefault="00B8782D">
      <w:r>
        <w:t xml:space="preserve">Should China wish to use a systems approach as a measure to manage the risk posed by </w:t>
      </w:r>
      <w:r>
        <w:rPr>
          <w:i/>
        </w:rPr>
        <w:t>D. suzukii</w:t>
      </w:r>
      <w:r>
        <w:t>, AQSIQ would need to submit to Australia a proposal outlining components of the system and how these components will address the risks posed by this pest. The Australian Government Department of Agriculture and Water Resources will consider the effectiveness of any system proposed by AQSIQ.</w:t>
      </w:r>
    </w:p>
    <w:p w:rsidR="00B8782D" w:rsidRDefault="00B8782D">
      <w:pPr>
        <w:pStyle w:val="Heading4"/>
      </w:pPr>
      <w:r>
        <w:t xml:space="preserve">Management for </w:t>
      </w:r>
      <w:r>
        <w:rPr>
          <w:i/>
        </w:rPr>
        <w:t>Anarsia lineatella</w:t>
      </w:r>
      <w:r>
        <w:t xml:space="preserve">, </w:t>
      </w:r>
      <w:r>
        <w:rPr>
          <w:i/>
        </w:rPr>
        <w:t xml:space="preserve">Carposina sasakii, Grapholita molesta </w:t>
      </w:r>
      <w:r>
        <w:t xml:space="preserve">and </w:t>
      </w:r>
      <w:r>
        <w:rPr>
          <w:i/>
        </w:rPr>
        <w:t>Grapholita funebrana</w:t>
      </w:r>
    </w:p>
    <w:p w:rsidR="00B8782D" w:rsidRDefault="00B8782D">
      <w:r>
        <w:rPr>
          <w:i/>
        </w:rPr>
        <w:t>Anarsia lineatella</w:t>
      </w:r>
      <w:r>
        <w:t xml:space="preserve"> (peach twig borer), </w:t>
      </w:r>
      <w:r>
        <w:rPr>
          <w:i/>
        </w:rPr>
        <w:t>Carposina sasakii</w:t>
      </w:r>
      <w:r>
        <w:t xml:space="preserve"> (peach fruit borer), </w:t>
      </w:r>
      <w:r>
        <w:rPr>
          <w:i/>
        </w:rPr>
        <w:t>Grapholita funebrana</w:t>
      </w:r>
      <w:r>
        <w:t xml:space="preserve"> (Plum fruit moth) and </w:t>
      </w:r>
      <w:r>
        <w:rPr>
          <w:i/>
        </w:rPr>
        <w:t>Grapholita molesta</w:t>
      </w:r>
      <w:r>
        <w:t xml:space="preserve"> (Oriental fruit moth) were assessed to have an unrestricted risk estimate that exceeds Australia’s ALOP. Therefore, measures are required to manage the risks. </w:t>
      </w:r>
      <w:r>
        <w:rPr>
          <w:i/>
        </w:rPr>
        <w:t>Grapholita molesta</w:t>
      </w:r>
      <w:r>
        <w:t xml:space="preserve"> (Oriental fruit moth) is a quarantine pest only for Western Australia.</w:t>
      </w:r>
    </w:p>
    <w:p w:rsidR="00B8782D" w:rsidRDefault="00B8782D">
      <w:r>
        <w:t>The Australian Government Department of Agriculture and Water Resources recommends the options of area freedom or low pest prevalence areas or fruit treatment (methyl bromide fumigation or irradiation) or systems approach approved by the Australian Government Department of Agriculture and Water Resources as management measures. The objective of each of these measures is to reduce the likelihood of importation of these pests to at least ‘very low’. The restricted risk would then be reduced to at least ‘very low’, which would achieve Australia’s ALOP.</w:t>
      </w:r>
    </w:p>
    <w:p w:rsidR="00B8782D" w:rsidRDefault="00B8782D">
      <w:r>
        <w:t xml:space="preserve">The recommended measures are consistent with the existing policies including those for stonefruit from the USA (California, Idaho, Oregon and Washington) </w:t>
      </w:r>
      <w:r>
        <w:rPr>
          <w:noProof/>
        </w:rPr>
        <w:t>(Biosecurity Australia 2010b)</w:t>
      </w:r>
      <w:r>
        <w:t xml:space="preserve"> and New Zealand </w:t>
      </w:r>
      <w:r>
        <w:rPr>
          <w:noProof/>
        </w:rPr>
        <w:t>(Biosecurity Australia 2006b)</w:t>
      </w:r>
      <w:r>
        <w:t xml:space="preserve"> and for apples </w:t>
      </w:r>
      <w:r>
        <w:rPr>
          <w:noProof/>
        </w:rPr>
        <w:t>(Biosecurity Australia 2010a)</w:t>
      </w:r>
      <w:r>
        <w:t xml:space="preserve"> and table grapes </w:t>
      </w:r>
      <w:r>
        <w:rPr>
          <w:noProof/>
        </w:rPr>
        <w:t>(Biosecurity Australia 2011)</w:t>
      </w:r>
      <w:r>
        <w:t xml:space="preserve"> from China.</w:t>
      </w:r>
    </w:p>
    <w:p w:rsidR="00B8782D" w:rsidRDefault="00B8782D">
      <w:pPr>
        <w:pStyle w:val="Heading5"/>
      </w:pPr>
      <w:r>
        <w:t>Area freedom</w:t>
      </w:r>
    </w:p>
    <w:p w:rsidR="00B8782D" w:rsidRDefault="00B8782D">
      <w:r>
        <w:t xml:space="preserve">Area freedom is a measure that might be applied to manage the risk posed by </w:t>
      </w:r>
      <w:r>
        <w:rPr>
          <w:i/>
        </w:rPr>
        <w:t>Anarsia lineatella</w:t>
      </w:r>
      <w:r>
        <w:t xml:space="preserve">, </w:t>
      </w:r>
      <w:r>
        <w:rPr>
          <w:i/>
        </w:rPr>
        <w:t>Carposina sasakii</w:t>
      </w:r>
      <w:r>
        <w:t xml:space="preserve">, </w:t>
      </w:r>
      <w:r>
        <w:rPr>
          <w:i/>
        </w:rPr>
        <w:t>Grapholita molesta</w:t>
      </w:r>
      <w:r>
        <w:t xml:space="preserve"> and </w:t>
      </w:r>
      <w:r>
        <w:rPr>
          <w:i/>
        </w:rPr>
        <w:t>Grapholita funebrana</w:t>
      </w:r>
      <w:r>
        <w:t xml:space="preserve">. The requirements for establishing pest free areas or pest free places of production are set out in ISPM 4: </w:t>
      </w:r>
      <w:r>
        <w:rPr>
          <w:i/>
        </w:rPr>
        <w:t xml:space="preserve">Requirements </w:t>
      </w:r>
      <w:r>
        <w:rPr>
          <w:i/>
        </w:rPr>
        <w:lastRenderedPageBreak/>
        <w:t>for the establishment of pest free areas</w:t>
      </w:r>
      <w:r>
        <w:t xml:space="preserve"> </w:t>
      </w:r>
      <w:r>
        <w:rPr>
          <w:noProof/>
        </w:rPr>
        <w:t>(FAO 1995)</w:t>
      </w:r>
      <w:r>
        <w:t xml:space="preserve"> and ISPM 10: </w:t>
      </w:r>
      <w:r>
        <w:rPr>
          <w:i/>
        </w:rPr>
        <w:t>Requirements for the establishment of pest free places of production and pest free production sites</w:t>
      </w:r>
      <w:r>
        <w:t xml:space="preserve"> </w:t>
      </w:r>
      <w:r>
        <w:rPr>
          <w:noProof/>
        </w:rPr>
        <w:t>(FAO 1999)</w:t>
      </w:r>
      <w:r>
        <w:t>.</w:t>
      </w:r>
    </w:p>
    <w:p w:rsidR="00B8782D" w:rsidRDefault="00B8782D">
      <w:r>
        <w:t xml:space="preserve">Should China wish to use area freedom option, AQSIQ would need to demonstrate the establishment of areas freedom of these pests in according to ISPM 4 </w:t>
      </w:r>
      <w:r>
        <w:rPr>
          <w:noProof/>
        </w:rPr>
        <w:t>(FAO 1995)</w:t>
      </w:r>
      <w:r>
        <w:t xml:space="preserve"> and ISPM 10 </w:t>
      </w:r>
      <w:r>
        <w:rPr>
          <w:noProof/>
        </w:rPr>
        <w:t>(FAO 1999)</w:t>
      </w:r>
      <w:r>
        <w:t>.</w:t>
      </w:r>
    </w:p>
    <w:p w:rsidR="00B8782D" w:rsidRDefault="00B8782D">
      <w:pPr>
        <w:pStyle w:val="Heading5"/>
      </w:pPr>
      <w:r>
        <w:t>Areas of low pest prevalence</w:t>
      </w:r>
    </w:p>
    <w:p w:rsidR="00B8782D" w:rsidRDefault="00B8782D">
      <w:r>
        <w:t xml:space="preserve">Low pest prevalence area is a measure that might be applied to manage the risk posed by </w:t>
      </w:r>
      <w:r>
        <w:rPr>
          <w:i/>
        </w:rPr>
        <w:t>Anarsia lineatella</w:t>
      </w:r>
      <w:r>
        <w:t xml:space="preserve">, </w:t>
      </w:r>
      <w:r>
        <w:rPr>
          <w:i/>
        </w:rPr>
        <w:t>Carposina sasakii</w:t>
      </w:r>
      <w:r>
        <w:t xml:space="preserve">, </w:t>
      </w:r>
      <w:r>
        <w:rPr>
          <w:i/>
        </w:rPr>
        <w:t>Grapholita funebrana</w:t>
      </w:r>
      <w:r>
        <w:t xml:space="preserve"> and </w:t>
      </w:r>
      <w:r>
        <w:rPr>
          <w:i/>
        </w:rPr>
        <w:t>Grapholita molesta</w:t>
      </w:r>
      <w:r>
        <w:t xml:space="preserve">. The requirements for establishing areas of low pest prevalence are set out in ISPM 22: </w:t>
      </w:r>
      <w:r>
        <w:rPr>
          <w:i/>
        </w:rPr>
        <w:t xml:space="preserve">Requirements for the establishment of areas of low pest prevalence </w:t>
      </w:r>
      <w:r>
        <w:rPr>
          <w:noProof/>
        </w:rPr>
        <w:t>(FAO 2005)</w:t>
      </w:r>
      <w:r>
        <w:t xml:space="preserve"> and ISPM 29: </w:t>
      </w:r>
      <w:r>
        <w:rPr>
          <w:i/>
        </w:rPr>
        <w:t>Recognition of pest free areas and areas of low pest prevalence</w:t>
      </w:r>
      <w:r>
        <w:t xml:space="preserve"> </w:t>
      </w:r>
      <w:r>
        <w:rPr>
          <w:noProof/>
        </w:rPr>
        <w:t>(FAO 2007a)</w:t>
      </w:r>
      <w:r>
        <w:t>.</w:t>
      </w:r>
    </w:p>
    <w:p w:rsidR="00B8782D" w:rsidRDefault="00B8782D">
      <w:r>
        <w:t xml:space="preserve">Should China wish to use Areas of low pest prevalence option, AQSIQ would need to demonstrate the establishment of areas of low pest prevalence for these pests in according to ISPM 22 </w:t>
      </w:r>
      <w:r>
        <w:rPr>
          <w:noProof/>
        </w:rPr>
        <w:t>(FAO 2005)</w:t>
      </w:r>
      <w:r>
        <w:t xml:space="preserve"> and ISPM 29 </w:t>
      </w:r>
      <w:r>
        <w:rPr>
          <w:noProof/>
        </w:rPr>
        <w:t>(FAO 2007a)</w:t>
      </w:r>
      <w:r>
        <w:t>.</w:t>
      </w:r>
    </w:p>
    <w:p w:rsidR="00B8782D" w:rsidRDefault="00B8782D">
      <w:pPr>
        <w:pStyle w:val="Heading5"/>
      </w:pPr>
      <w:r>
        <w:t>Methyl bromide fumigation</w:t>
      </w:r>
    </w:p>
    <w:p w:rsidR="00B8782D" w:rsidRDefault="00B8782D">
      <w:pPr>
        <w:rPr>
          <w:lang w:eastAsia="en-AU"/>
        </w:rPr>
      </w:pPr>
      <w:r>
        <w:rPr>
          <w:lang w:eastAsia="en-AU"/>
        </w:rPr>
        <w:t>The fumigation treatment schedules set out below are those currently applied to reduce the risk of importation of oriental fruit moth on stonefruit from the USA (</w:t>
      </w:r>
      <w:r>
        <w:t>California, Idaho, Oregon and Washington)</w:t>
      </w:r>
      <w:r>
        <w:rPr>
          <w:lang w:eastAsia="en-AU"/>
        </w:rPr>
        <w:t xml:space="preserve"> and New Zealand. This measure is also used to manage leaf rollers, </w:t>
      </w:r>
      <w:r>
        <w:rPr>
          <w:i/>
          <w:lang w:eastAsia="en-AU"/>
        </w:rPr>
        <w:t>Grapholita</w:t>
      </w:r>
      <w:r>
        <w:rPr>
          <w:lang w:eastAsia="en-AU"/>
        </w:rPr>
        <w:t xml:space="preserve"> moths and </w:t>
      </w:r>
      <w:r>
        <w:rPr>
          <w:i/>
        </w:rPr>
        <w:t>Anarsia lineatella</w:t>
      </w:r>
      <w:r>
        <w:t xml:space="preserve"> in stonefruit from the USA.</w:t>
      </w:r>
    </w:p>
    <w:p w:rsidR="00B8782D" w:rsidRDefault="00B8782D">
      <w:pPr>
        <w:rPr>
          <w:lang w:eastAsia="en-AU"/>
        </w:rPr>
      </w:pPr>
      <w:r>
        <w:rPr>
          <w:lang w:eastAsia="en-AU"/>
        </w:rPr>
        <w:t>It is recommended that where fumigation with methyl bromide is utilised, it must be carried out for duration of two hours according to the specifications below:</w:t>
      </w:r>
    </w:p>
    <w:p w:rsidR="00B8782D" w:rsidRDefault="00B8782D">
      <w:pPr>
        <w:pStyle w:val="ListBullet"/>
        <w:rPr>
          <w:lang w:eastAsia="en-AU"/>
        </w:rPr>
      </w:pPr>
      <w:r>
        <w:rPr>
          <w:lang w:eastAsia="en-AU"/>
        </w:rPr>
        <w:t>32 grams per metre cubed</w:t>
      </w:r>
      <w:r>
        <w:rPr>
          <w:sz w:val="16"/>
          <w:szCs w:val="16"/>
          <w:lang w:eastAsia="en-AU"/>
        </w:rPr>
        <w:t xml:space="preserve"> </w:t>
      </w:r>
      <w:r>
        <w:rPr>
          <w:lang w:eastAsia="en-AU"/>
        </w:rPr>
        <w:t>at a fruit pulp temperature of 21 °C or greater, or</w:t>
      </w:r>
    </w:p>
    <w:p w:rsidR="00B8782D" w:rsidRDefault="00B8782D">
      <w:pPr>
        <w:pStyle w:val="ListBullet"/>
        <w:rPr>
          <w:lang w:eastAsia="en-AU"/>
        </w:rPr>
      </w:pPr>
      <w:r>
        <w:rPr>
          <w:lang w:eastAsia="en-AU"/>
        </w:rPr>
        <w:t>40 grams per metre cubed at a fruit pulp temperature of 16 °C or greater, or</w:t>
      </w:r>
    </w:p>
    <w:p w:rsidR="00B8782D" w:rsidRDefault="00B8782D">
      <w:pPr>
        <w:pStyle w:val="ListBullet"/>
        <w:rPr>
          <w:lang w:eastAsia="en-AU"/>
        </w:rPr>
      </w:pPr>
      <w:r>
        <w:rPr>
          <w:lang w:eastAsia="en-AU"/>
        </w:rPr>
        <w:t>48 grams per metre cubed at a fruit pulp temperature of 11 °C or greater</w:t>
      </w:r>
    </w:p>
    <w:p w:rsidR="00B8782D" w:rsidRDefault="00B8782D">
      <w:pPr>
        <w:pStyle w:val="Heading5"/>
      </w:pPr>
      <w:r>
        <w:t>Irradiation</w:t>
      </w:r>
    </w:p>
    <w:p w:rsidR="00B8782D" w:rsidRDefault="00B8782D">
      <w:pPr>
        <w:rPr>
          <w:rFonts w:eastAsia="Cambria" w:cs="TimesNewRomanPSMT"/>
          <w:lang w:eastAsia="en-AU"/>
        </w:rPr>
      </w:pPr>
      <w:r>
        <w:t xml:space="preserve">Irradiation treatment is considered a suitable measure option for </w:t>
      </w:r>
      <w:r>
        <w:rPr>
          <w:i/>
        </w:rPr>
        <w:t>Anarsia lineatella</w:t>
      </w:r>
      <w:r>
        <w:t xml:space="preserve">, </w:t>
      </w:r>
      <w:r>
        <w:rPr>
          <w:i/>
        </w:rPr>
        <w:t>Carposina sasakii</w:t>
      </w:r>
      <w:r>
        <w:t xml:space="preserve">, </w:t>
      </w:r>
      <w:r>
        <w:rPr>
          <w:i/>
        </w:rPr>
        <w:t xml:space="preserve">Grapholita molesta </w:t>
      </w:r>
      <w:r>
        <w:t xml:space="preserve">and </w:t>
      </w:r>
      <w:r>
        <w:rPr>
          <w:i/>
        </w:rPr>
        <w:t xml:space="preserve">Grapholita funebrana. </w:t>
      </w:r>
      <w:r>
        <w:t>The</w:t>
      </w:r>
      <w:r>
        <w:rPr>
          <w:i/>
        </w:rPr>
        <w:t xml:space="preserve"> </w:t>
      </w:r>
      <w:r>
        <w:t>Australian Government Department of Agriculture and Water Resources recommends that</w:t>
      </w:r>
      <w:r>
        <w:rPr>
          <w:i/>
        </w:rPr>
        <w:t xml:space="preserve"> </w:t>
      </w:r>
      <w:r>
        <w:rPr>
          <w:rFonts w:eastAsia="Cambria" w:cs="TimesNewRomanPSMT"/>
          <w:lang w:eastAsia="en-AU"/>
        </w:rPr>
        <w:t xml:space="preserve">400 gray as minimum generic dose rate for the Class </w:t>
      </w:r>
      <w:r>
        <w:rPr>
          <w:rFonts w:eastAsia="Cambria"/>
          <w:iCs/>
          <w:lang w:eastAsia="en-AU"/>
        </w:rPr>
        <w:t xml:space="preserve">Insecta </w:t>
      </w:r>
      <w:r>
        <w:rPr>
          <w:rFonts w:eastAsia="Cambria" w:cs="TimesNewRomanPSMT"/>
          <w:lang w:eastAsia="en-AU"/>
        </w:rPr>
        <w:t xml:space="preserve">(except pupae and adults of the Order Lepidoptera) </w:t>
      </w:r>
      <w:r>
        <w:rPr>
          <w:rFonts w:eastAsia="Cambria" w:cs="TimesNewRomanPSMT"/>
          <w:noProof/>
          <w:lang w:eastAsia="en-AU"/>
        </w:rPr>
        <w:t>(USDA 2015)</w:t>
      </w:r>
      <w:r>
        <w:rPr>
          <w:rFonts w:eastAsia="Cambria" w:cs="TimesNewRomanPSMT"/>
          <w:lang w:eastAsia="en-AU"/>
        </w:rPr>
        <w:t>.</w:t>
      </w:r>
    </w:p>
    <w:p w:rsidR="00B8782D" w:rsidRDefault="00B8782D">
      <w:pPr>
        <w:pStyle w:val="Heading5"/>
      </w:pPr>
      <w:r>
        <w:t>Systems approach</w:t>
      </w:r>
    </w:p>
    <w:p w:rsidR="00B8782D" w:rsidRDefault="00B8782D">
      <w:r>
        <w:t>The Australian Government Department of Agriculture and Water Resources recommends the following systems approach based on orchard control and surveillance, fruit cutting, and inspection to reduce the risk associated with these arthropods pests to meet Australia’s ALOP.</w:t>
      </w:r>
    </w:p>
    <w:p w:rsidR="00B8782D" w:rsidRDefault="00B8782D" w:rsidP="00B8782D">
      <w:pPr>
        <w:pStyle w:val="Heading6plain"/>
        <w:numPr>
          <w:ilvl w:val="0"/>
          <w:numId w:val="36"/>
        </w:numPr>
        <w:rPr>
          <w:rFonts w:ascii="Cambria" w:hAnsi="Cambria"/>
          <w:i w:val="0"/>
        </w:rPr>
      </w:pPr>
      <w:r>
        <w:rPr>
          <w:rFonts w:ascii="Cambria" w:hAnsi="Cambria"/>
          <w:i w:val="0"/>
        </w:rPr>
        <w:t>Orchard control and surveillance</w:t>
      </w:r>
    </w:p>
    <w:p w:rsidR="00B8782D" w:rsidRDefault="00B8782D">
      <w:r>
        <w:t xml:space="preserve">Registered growers must implement an orchard control program (for example integrated pest management (IPM) programs for export nectarines). Programs would be approved by </w:t>
      </w:r>
      <w:r>
        <w:lastRenderedPageBreak/>
        <w:t>AQSIQ/CIQ, and incorporate field sanitation and appropriate pesticide applications for the management of quarantine arthropod pests.</w:t>
      </w:r>
    </w:p>
    <w:p w:rsidR="00B8782D" w:rsidRDefault="00B8782D">
      <w:r>
        <w:t>AQSIQ/CIQ is responsible for ensuring that export nectarine growers are aware of pests of quarantine concern to Australia and that the export orchards are subject to field sanitation and control measures. Registered growers must keep records of control measures for auditing. Details of the control program must be provided to the Australian Government Department of Agriculture and Water Resources by AQSIQ before trade commences if requested.</w:t>
      </w:r>
    </w:p>
    <w:p w:rsidR="00B8782D" w:rsidRDefault="00B8782D">
      <w:r>
        <w:t>Monitoring/detection surveys for pests that require orchard management measures must be conducted regularly by AQSIQ/CIQ in orchards registered for export to verify the effectiveness of the measures. AQSIQ/CIQ will maintain annual survey results using a standard reporting format. These results will be made available to the Australian Government Department of Agriculture and Water Resources if requested.</w:t>
      </w:r>
    </w:p>
    <w:p w:rsidR="00B8782D" w:rsidRPr="006D5724" w:rsidRDefault="00B8782D" w:rsidP="00CD12D3">
      <w:pPr>
        <w:rPr>
          <w:i/>
        </w:rPr>
      </w:pPr>
      <w:r w:rsidRPr="00C30321">
        <w:t xml:space="preserve">As important elements of orchard control and surveillance, a dormant or delayed dormant spray targeted at these fruit borers must be applied </w:t>
      </w:r>
      <w:r w:rsidRPr="009E0986">
        <w:t>before first bloom. A bloom spray must also be applied prior to the one-inch leaf growth stage.</w:t>
      </w:r>
    </w:p>
    <w:p w:rsidR="00B8782D" w:rsidRPr="006D5724" w:rsidRDefault="00B8782D" w:rsidP="00CD12D3">
      <w:pPr>
        <w:rPr>
          <w:i/>
        </w:rPr>
      </w:pPr>
      <w:r w:rsidRPr="006D5724">
        <w:t xml:space="preserve">Specific traps </w:t>
      </w:r>
      <w:r>
        <w:t xml:space="preserve">must be </w:t>
      </w:r>
      <w:r w:rsidRPr="009E0986">
        <w:t>used to monitor these pests in orchards. If detected, control mea</w:t>
      </w:r>
      <w:r w:rsidRPr="00723C66">
        <w:t>sures must be undertaken.</w:t>
      </w:r>
    </w:p>
    <w:p w:rsidR="00B8782D" w:rsidRDefault="00B8782D" w:rsidP="00B8782D">
      <w:pPr>
        <w:pStyle w:val="Heading6plain"/>
        <w:numPr>
          <w:ilvl w:val="0"/>
          <w:numId w:val="36"/>
        </w:numPr>
        <w:rPr>
          <w:rFonts w:ascii="Cambria" w:hAnsi="Cambria"/>
          <w:i w:val="0"/>
        </w:rPr>
      </w:pPr>
      <w:r>
        <w:rPr>
          <w:rFonts w:ascii="Cambria" w:hAnsi="Cambria"/>
          <w:i w:val="0"/>
        </w:rPr>
        <w:t>Fruit cutting and inspection</w:t>
      </w:r>
    </w:p>
    <w:p w:rsidR="00B8782D" w:rsidRDefault="00B8782D">
      <w:pPr>
        <w:pStyle w:val="Heading6plain"/>
        <w:rPr>
          <w:rFonts w:ascii="Cambria" w:hAnsi="Cambria"/>
          <w:i w:val="0"/>
        </w:rPr>
      </w:pPr>
      <w:r>
        <w:rPr>
          <w:rFonts w:ascii="Cambria" w:hAnsi="Cambria"/>
          <w:i w:val="0"/>
        </w:rPr>
        <w:t xml:space="preserve">For each consignment, total of 300 fruit per variety lot per day must be cut and examined to verify fruits are free from </w:t>
      </w:r>
      <w:r>
        <w:rPr>
          <w:rFonts w:ascii="Cambria" w:hAnsi="Cambria"/>
        </w:rPr>
        <w:t>A. lineatella</w:t>
      </w:r>
      <w:r>
        <w:rPr>
          <w:rFonts w:ascii="Cambria" w:hAnsi="Cambria"/>
          <w:i w:val="0"/>
        </w:rPr>
        <w:t xml:space="preserve">, </w:t>
      </w:r>
      <w:r>
        <w:rPr>
          <w:rFonts w:ascii="Cambria" w:hAnsi="Cambria"/>
        </w:rPr>
        <w:t>C. sasakii</w:t>
      </w:r>
      <w:r>
        <w:rPr>
          <w:rFonts w:ascii="Cambria" w:hAnsi="Cambria"/>
          <w:i w:val="0"/>
        </w:rPr>
        <w:t xml:space="preserve">, </w:t>
      </w:r>
      <w:r>
        <w:rPr>
          <w:rFonts w:ascii="Cambria" w:hAnsi="Cambria"/>
        </w:rPr>
        <w:t>G. funebrana</w:t>
      </w:r>
      <w:r>
        <w:rPr>
          <w:rFonts w:ascii="Cambria" w:hAnsi="Cambria"/>
          <w:i w:val="0"/>
        </w:rPr>
        <w:t xml:space="preserve"> and </w:t>
      </w:r>
      <w:r>
        <w:rPr>
          <w:rFonts w:ascii="Cambria" w:hAnsi="Cambria"/>
        </w:rPr>
        <w:t>G. molesta</w:t>
      </w:r>
      <w:r>
        <w:rPr>
          <w:rFonts w:ascii="Cambria" w:hAnsi="Cambria"/>
          <w:i w:val="0"/>
        </w:rPr>
        <w:t xml:space="preserve"> larvae. The fruit may be taken from the ‘cull’ fruit.</w:t>
      </w:r>
    </w:p>
    <w:p w:rsidR="00B8782D" w:rsidRDefault="00B8782D">
      <w:r>
        <w:t xml:space="preserve">If any </w:t>
      </w:r>
      <w:r>
        <w:rPr>
          <w:i/>
        </w:rPr>
        <w:t>Anarsia lineatella</w:t>
      </w:r>
      <w:r>
        <w:t xml:space="preserve">. </w:t>
      </w:r>
      <w:r>
        <w:rPr>
          <w:i/>
        </w:rPr>
        <w:t>Carposina sasakii</w:t>
      </w:r>
      <w:r>
        <w:t xml:space="preserve">, </w:t>
      </w:r>
      <w:r>
        <w:rPr>
          <w:i/>
        </w:rPr>
        <w:t>Grapholita funebrana</w:t>
      </w:r>
      <w:r>
        <w:t xml:space="preserve"> and </w:t>
      </w:r>
      <w:r>
        <w:rPr>
          <w:i/>
        </w:rPr>
        <w:t>Grapholita molesta</w:t>
      </w:r>
      <w:r>
        <w:t xml:space="preserve"> larvae are detected during the fruit cut, the consignment must not be released from quarantine until the remedial action has been undertaken.</w:t>
      </w:r>
    </w:p>
    <w:p w:rsidR="00B8782D" w:rsidRDefault="00B8782D">
      <w:pPr>
        <w:pStyle w:val="Heading5"/>
      </w:pPr>
      <w:r>
        <w:t>Other potential measures</w:t>
      </w:r>
    </w:p>
    <w:p w:rsidR="00B8782D" w:rsidRDefault="00B8782D">
      <w:r>
        <w:t>The Australian Government Department of Agriculture and Water Resources will also consider any other treatment that AQSIQ may propose, providing that it provides an equivalent level of protection.</w:t>
      </w:r>
    </w:p>
    <w:p w:rsidR="00B8782D" w:rsidRDefault="00B8782D">
      <w:r>
        <w:t>However, development of additional import conditions will be depend on AQSIQ providing information supporting the efficacy of treatments against these pests that reduce the level of risk to achieve Australia’s ALOP.</w:t>
      </w:r>
    </w:p>
    <w:p w:rsidR="00B8782D" w:rsidRDefault="00B8782D">
      <w:pPr>
        <w:pStyle w:val="Heading4"/>
      </w:pPr>
      <w:bookmarkStart w:id="121" w:name="_Toc256161381"/>
      <w:r>
        <w:t xml:space="preserve">Management of </w:t>
      </w:r>
      <w:r>
        <w:rPr>
          <w:i/>
        </w:rPr>
        <w:t xml:space="preserve">Monilinia fructigena, Monilinia yunnanensis, Monilia mumecola </w:t>
      </w:r>
      <w:r>
        <w:t xml:space="preserve">and </w:t>
      </w:r>
      <w:r>
        <w:rPr>
          <w:i/>
        </w:rPr>
        <w:t>Monilia polystorma</w:t>
      </w:r>
    </w:p>
    <w:p w:rsidR="00B8782D" w:rsidRDefault="00B8782D">
      <w:r>
        <w:rPr>
          <w:i/>
        </w:rPr>
        <w:t>Monilinia fructigena</w:t>
      </w:r>
      <w:r>
        <w:t xml:space="preserve">, </w:t>
      </w:r>
      <w:r>
        <w:rPr>
          <w:i/>
        </w:rPr>
        <w:t>M. yunnanensis</w:t>
      </w:r>
      <w:r>
        <w:t xml:space="preserve">, </w:t>
      </w:r>
      <w:r>
        <w:rPr>
          <w:i/>
        </w:rPr>
        <w:t>Monilia mumecola</w:t>
      </w:r>
      <w:r>
        <w:t xml:space="preserve"> and </w:t>
      </w:r>
      <w:r>
        <w:rPr>
          <w:i/>
        </w:rPr>
        <w:t>M. polystorma</w:t>
      </w:r>
      <w:r>
        <w:t xml:space="preserve"> were assessed to have an unrestricted risk estimate that exceeds Australia’s ALOP. Measures are therefore required to manage these risks.</w:t>
      </w:r>
    </w:p>
    <w:p w:rsidR="00B8782D" w:rsidRDefault="00B8782D">
      <w:r>
        <w:t xml:space="preserve">The Australian Government Department of Agriculture and Water Resources recommends the options of area freedom or areas of low pest prevalence or alternative equivalent measures proposed by China and approved by the Australian Government Department of Agriculture and </w:t>
      </w:r>
      <w:r>
        <w:lastRenderedPageBreak/>
        <w:t>Water Resources as management measures. The objective of each of these measures is to reduce the likelihood of entry of these pests to at least ‘very low’. The restricted risk would then be reduced to at least ‘very low’, which would achieve Australia’s ALOP.</w:t>
      </w:r>
    </w:p>
    <w:p w:rsidR="00B8782D" w:rsidRDefault="00B8782D">
      <w:r>
        <w:t xml:space="preserve">The recommended measures are consistent with the existing policies including those for apples from China </w:t>
      </w:r>
      <w:r>
        <w:rPr>
          <w:noProof/>
        </w:rPr>
        <w:t>(Biosecurity Australia 2010a)</w:t>
      </w:r>
      <w:r>
        <w:t>.</w:t>
      </w:r>
    </w:p>
    <w:p w:rsidR="00B8782D" w:rsidRDefault="00B8782D">
      <w:pPr>
        <w:pStyle w:val="Heading5"/>
      </w:pPr>
      <w:r>
        <w:t>Area freedom</w:t>
      </w:r>
    </w:p>
    <w:p w:rsidR="00B8782D" w:rsidRDefault="00B8782D">
      <w:r>
        <w:t xml:space="preserve">Area freedom (may include pest free areas and pest free places of production) is a measure that might be applied to manage the risk posed by </w:t>
      </w:r>
      <w:r>
        <w:rPr>
          <w:i/>
        </w:rPr>
        <w:t>Monilinia fructigena</w:t>
      </w:r>
      <w:r>
        <w:t xml:space="preserve">, </w:t>
      </w:r>
      <w:r>
        <w:rPr>
          <w:i/>
        </w:rPr>
        <w:t>M. yunnanensis</w:t>
      </w:r>
      <w:r>
        <w:t xml:space="preserve">, </w:t>
      </w:r>
      <w:r>
        <w:rPr>
          <w:i/>
        </w:rPr>
        <w:t>Monilia mumecola</w:t>
      </w:r>
      <w:r>
        <w:t xml:space="preserve"> and </w:t>
      </w:r>
      <w:r>
        <w:rPr>
          <w:i/>
        </w:rPr>
        <w:t>M. polystorma</w:t>
      </w:r>
      <w:r>
        <w:t xml:space="preserve">. The requirements for establishing pest free areas or pest free places of production are set out in ISPM 4: </w:t>
      </w:r>
      <w:r>
        <w:rPr>
          <w:i/>
        </w:rPr>
        <w:t>Requirements for the establishment of pest free areas</w:t>
      </w:r>
      <w:r>
        <w:t xml:space="preserve"> </w:t>
      </w:r>
      <w:r>
        <w:rPr>
          <w:noProof/>
        </w:rPr>
        <w:t>(FAO 1995)</w:t>
      </w:r>
      <w:r>
        <w:t xml:space="preserve"> and ISPM 10: </w:t>
      </w:r>
      <w:r>
        <w:rPr>
          <w:i/>
        </w:rPr>
        <w:t>Requirements for the establishment of pest free places of production and pest free production sites</w:t>
      </w:r>
      <w:r>
        <w:t xml:space="preserve"> </w:t>
      </w:r>
      <w:r>
        <w:rPr>
          <w:noProof/>
        </w:rPr>
        <w:t>(FAO 1999)</w:t>
      </w:r>
      <w:r>
        <w:t>.</w:t>
      </w:r>
    </w:p>
    <w:p w:rsidR="00B8782D" w:rsidRDefault="00B8782D">
      <w:r>
        <w:t xml:space="preserve">Nectarine fruit for export to Australia must be sourced from export orchards free of these diseases. This measure would require systems to be put in place for the establishment, maintenance and verification of orchard freedom from </w:t>
      </w:r>
      <w:r>
        <w:rPr>
          <w:i/>
        </w:rPr>
        <w:t>Monilinia fructigena</w:t>
      </w:r>
      <w:r>
        <w:t xml:space="preserve">, </w:t>
      </w:r>
      <w:r>
        <w:rPr>
          <w:i/>
        </w:rPr>
        <w:t>M. yunnanensis</w:t>
      </w:r>
      <w:r>
        <w:t xml:space="preserve">, </w:t>
      </w:r>
      <w:r>
        <w:rPr>
          <w:i/>
        </w:rPr>
        <w:t>Monilia mumecola</w:t>
      </w:r>
      <w:r>
        <w:t xml:space="preserve"> and </w:t>
      </w:r>
      <w:r>
        <w:rPr>
          <w:i/>
        </w:rPr>
        <w:t>M. polystorma</w:t>
      </w:r>
      <w:r>
        <w:t xml:space="preserve"> under the supervision of CIQ and the responsibility of AQSIQ. The inspection and monitoring of trees in the export orchard at appropriate times to detect evidence of these pathogens must be undertaken and supported by appropriate documentation. The inspection method appropriate for these diseases, including details of the timing and size of the sampling to be undertaken for each orchard, would be developed by AQSIQ and subject to approval by the Australian Government Department of Agriculture and Water Resources. Results of the inspections would subsequently be made available to the Australian Government Department of Agriculture and Water Resources for auditing purposes if requested.</w:t>
      </w:r>
    </w:p>
    <w:p w:rsidR="00B8782D" w:rsidRDefault="00B8782D">
      <w:pPr>
        <w:pStyle w:val="Heading5"/>
      </w:pPr>
      <w:r>
        <w:t>Areas of low pest prevalence</w:t>
      </w:r>
    </w:p>
    <w:p w:rsidR="00B8782D" w:rsidRDefault="00B8782D">
      <w:r>
        <w:t xml:space="preserve">Low pest prevalence area is a measure that might be applied to manage the risk posed by </w:t>
      </w:r>
      <w:r>
        <w:rPr>
          <w:i/>
        </w:rPr>
        <w:t>Monilinia fructigena</w:t>
      </w:r>
      <w:r>
        <w:t xml:space="preserve">, </w:t>
      </w:r>
      <w:r>
        <w:rPr>
          <w:i/>
        </w:rPr>
        <w:t>M. yunnanensis</w:t>
      </w:r>
      <w:r>
        <w:t xml:space="preserve">, </w:t>
      </w:r>
      <w:r>
        <w:rPr>
          <w:i/>
        </w:rPr>
        <w:t>Monilia mumecola</w:t>
      </w:r>
      <w:r>
        <w:t xml:space="preserve"> and </w:t>
      </w:r>
      <w:r>
        <w:rPr>
          <w:i/>
        </w:rPr>
        <w:t>M. polystorma</w:t>
      </w:r>
      <w:r>
        <w:t xml:space="preserve">. The requirements for establishing areas of low pest prevalence are set out in ISPM 22: </w:t>
      </w:r>
      <w:r>
        <w:rPr>
          <w:i/>
        </w:rPr>
        <w:t xml:space="preserve">Requirements for the establishment of areas of low pest prevalence </w:t>
      </w:r>
      <w:r>
        <w:rPr>
          <w:noProof/>
        </w:rPr>
        <w:t>(FAO 2005)</w:t>
      </w:r>
      <w:r>
        <w:t xml:space="preserve"> and ISPM 29: </w:t>
      </w:r>
      <w:r>
        <w:rPr>
          <w:i/>
        </w:rPr>
        <w:t>Recognition of pest free areas and areas of low pest prevalence</w:t>
      </w:r>
      <w:r>
        <w:t xml:space="preserve"> </w:t>
      </w:r>
      <w:r>
        <w:rPr>
          <w:noProof/>
        </w:rPr>
        <w:t>(FAO 2007a)</w:t>
      </w:r>
      <w:r>
        <w:t>.</w:t>
      </w:r>
    </w:p>
    <w:p w:rsidR="00B8782D" w:rsidRDefault="00B8782D">
      <w:r>
        <w:t xml:space="preserve">Should China wish to use areas of low pest prevalence option, AQSIQ would need to demonstrate the establishment of areas of low pest prevalence for </w:t>
      </w:r>
      <w:r>
        <w:rPr>
          <w:i/>
        </w:rPr>
        <w:t>Monilinia fructigena</w:t>
      </w:r>
      <w:r>
        <w:t xml:space="preserve">, </w:t>
      </w:r>
      <w:r>
        <w:rPr>
          <w:i/>
        </w:rPr>
        <w:t>M. yunnanensis</w:t>
      </w:r>
      <w:r>
        <w:t xml:space="preserve">, </w:t>
      </w:r>
      <w:r>
        <w:rPr>
          <w:i/>
        </w:rPr>
        <w:t>Monilia mumecola</w:t>
      </w:r>
      <w:r>
        <w:t xml:space="preserve"> and </w:t>
      </w:r>
      <w:r>
        <w:rPr>
          <w:i/>
        </w:rPr>
        <w:t>M. polystorma</w:t>
      </w:r>
      <w:r>
        <w:t xml:space="preserve"> in according to ISPM 22 </w:t>
      </w:r>
      <w:r>
        <w:rPr>
          <w:noProof/>
        </w:rPr>
        <w:t>(FAO 2005)</w:t>
      </w:r>
      <w:r>
        <w:t xml:space="preserve"> and ISPM 29 </w:t>
      </w:r>
      <w:r>
        <w:rPr>
          <w:noProof/>
        </w:rPr>
        <w:t>(FAO 2007a)</w:t>
      </w:r>
      <w:r>
        <w:t>.</w:t>
      </w:r>
    </w:p>
    <w:p w:rsidR="00B8782D" w:rsidRDefault="00B8782D">
      <w:pPr>
        <w:pStyle w:val="Heading5"/>
      </w:pPr>
      <w:r>
        <w:t>Other potential measures</w:t>
      </w:r>
    </w:p>
    <w:p w:rsidR="00B8782D" w:rsidRDefault="00B8782D">
      <w:r>
        <w:t>Nectarine fruit for export to Australia would need to be sourced from orchards which have undertaken standard commercial practices including orchard monitoring and control, and fruit latency testing, which achieve an equivalent level of quarantine protection. If latency testing in the initial year indicates that fruit from the registered orchard is free of these pathogens, the requirement for latency testing may not be necessary for that orchard in subsequent years.</w:t>
      </w:r>
    </w:p>
    <w:p w:rsidR="00B8782D" w:rsidRDefault="00B8782D">
      <w:r>
        <w:lastRenderedPageBreak/>
        <w:t xml:space="preserve">If </w:t>
      </w:r>
      <w:r>
        <w:rPr>
          <w:i/>
        </w:rPr>
        <w:t>Monilinia fructigena</w:t>
      </w:r>
      <w:r>
        <w:t xml:space="preserve">, </w:t>
      </w:r>
      <w:r>
        <w:rPr>
          <w:i/>
        </w:rPr>
        <w:t>M. yunnanensis</w:t>
      </w:r>
      <w:r>
        <w:t xml:space="preserve">, </w:t>
      </w:r>
      <w:r>
        <w:rPr>
          <w:i/>
        </w:rPr>
        <w:t>Monilia mumecola</w:t>
      </w:r>
      <w:r>
        <w:t xml:space="preserve"> and </w:t>
      </w:r>
      <w:r>
        <w:rPr>
          <w:i/>
        </w:rPr>
        <w:t>M. polystorma</w:t>
      </w:r>
      <w:r>
        <w:t xml:space="preserve"> is detected in any export orchard, fruit from that export orchard will not be eligible for the export program to Australia.</w:t>
      </w:r>
    </w:p>
    <w:p w:rsidR="00B8782D" w:rsidRDefault="00B8782D">
      <w:r>
        <w:t>To manage any potential contamination from the processing of fruit destined to domestic or other export markets, processing equipment in packinghouses must be suitably cleaned prior to the commencement of processing fruit for export to Australia.</w:t>
      </w:r>
    </w:p>
    <w:p w:rsidR="00B8782D" w:rsidRDefault="00B8782D">
      <w:r>
        <w:t>The Australian Government Department of Agriculture and Water Resources will consider any alternative equivalent measure (for example, infield control and post-harvest fungicide dipping) proposed by AQSIQ, providing that it achieves an equivalent level of quarantine protection. Evaluation of such measures or treatments will require a technical submission from AQSIQ that details the proposed treatment and includes suitable information supporting the efficacy of the treatment.</w:t>
      </w:r>
    </w:p>
    <w:p w:rsidR="00B8782D" w:rsidRDefault="00B8782D">
      <w:pPr>
        <w:pStyle w:val="Heading4"/>
      </w:pPr>
      <w:r>
        <w:t xml:space="preserve">Management of </w:t>
      </w:r>
      <w:r>
        <w:rPr>
          <w:i/>
        </w:rPr>
        <w:t>Plum pox virus</w:t>
      </w:r>
    </w:p>
    <w:p w:rsidR="00B8782D" w:rsidRDefault="00B8782D">
      <w:r>
        <w:rPr>
          <w:i/>
        </w:rPr>
        <w:t>Plum pox virus</w:t>
      </w:r>
      <w:r>
        <w:t xml:space="preserve"> was assessed to have an unrestricted risk estimate that exceeds Australia’s ALOP. Measures are therefore required to manage this virus.</w:t>
      </w:r>
    </w:p>
    <w:p w:rsidR="00B8782D" w:rsidRDefault="00B8782D">
      <w:r>
        <w:t>The Australian Government Department of Agriculture and Water Resources recommends the options of area freedom or systems approach proposed by China and approved by the Australian Government Department of Agriculture and Water Resources as management measures. The objective of each of these measures is to reduce the likelihood of importation of this pest to at least ‘extremely low’. The restricted risk would then be reduced to at least ‘very low’, which would achieve Australia’s ALOP.</w:t>
      </w:r>
    </w:p>
    <w:p w:rsidR="00B8782D" w:rsidRPr="00D47DE1" w:rsidRDefault="00B8782D">
      <w:pPr>
        <w:pStyle w:val="Heading5"/>
      </w:pPr>
      <w:r w:rsidRPr="00D47DE1">
        <w:t>Area freedom</w:t>
      </w:r>
    </w:p>
    <w:p w:rsidR="00B8782D" w:rsidRDefault="00B8782D">
      <w:r w:rsidRPr="00D47DE1">
        <w:t xml:space="preserve">Area freedom is a measure that might be applied to manage the risk posed by </w:t>
      </w:r>
      <w:r w:rsidRPr="00D47DE1">
        <w:rPr>
          <w:i/>
        </w:rPr>
        <w:t>Plum pox virus</w:t>
      </w:r>
      <w:r w:rsidRPr="00D47DE1">
        <w:t xml:space="preserve">. The requirements for establishing pest free areas are set out in ISPM 4: </w:t>
      </w:r>
      <w:r w:rsidRPr="00D47DE1">
        <w:rPr>
          <w:i/>
        </w:rPr>
        <w:t>Requirements for the establishment of pest free areas</w:t>
      </w:r>
      <w:r w:rsidRPr="00D47DE1">
        <w:t xml:space="preserve"> </w:t>
      </w:r>
      <w:r>
        <w:rPr>
          <w:noProof/>
        </w:rPr>
        <w:t>(FAO 1995)</w:t>
      </w:r>
      <w:r w:rsidRPr="00D47DE1">
        <w:t>.</w:t>
      </w:r>
    </w:p>
    <w:p w:rsidR="00B8782D" w:rsidRDefault="00B8782D">
      <w:r>
        <w:t>Since the first detection of PPV on apricot in Hunan province in 2003-04 (reported in 2005), there have been no further confirmed reports of this pathogen in China. This is despite two targeted surveys covering major stone fruit production areas, including Hunan province, without any detection of PPV. China’s stone fruit production systems implement IPM including general surveillance to ensure adequate management of in-field pests and diseases. PPV symptoms are obvious and there has been no confirmed reports of this pathogen since 2003/04. The Australian Government Department of Agriculture and Water Resources considers this information supports the historical absence of PPV from major stone fruit production areas. Therefore no specific measures are required for this pathogen for nectarines from China sourced from these areas.</w:t>
      </w:r>
    </w:p>
    <w:p w:rsidR="00B8782D" w:rsidRDefault="00B8782D">
      <w:r>
        <w:t>Under the SPS Agreement, China has an obligation to notify Australia when there is a change in the pest status. Australia expects AQSIQ to notify the Australian Government Department of Agriculture and Water Resources if the status of PPV in China changes.</w:t>
      </w:r>
    </w:p>
    <w:p w:rsidR="00B8782D" w:rsidRPr="00D47DE1" w:rsidRDefault="00B8782D">
      <w:r>
        <w:lastRenderedPageBreak/>
        <w:t>The Australian Government Department of Agriculture and Water Resources is willing to consider PPV country freedom for China if further information on PPV in Hunan province is provided, consistent with IPSM 4.</w:t>
      </w:r>
    </w:p>
    <w:p w:rsidR="00B8782D" w:rsidRDefault="00B8782D">
      <w:pPr>
        <w:pStyle w:val="Heading5"/>
      </w:pPr>
      <w:r>
        <w:t>Systems approach</w:t>
      </w:r>
    </w:p>
    <w:p w:rsidR="00B8782D" w:rsidRDefault="00B8782D">
      <w:r>
        <w:t xml:space="preserve">The Australian Government Department of Agriculture and Water Resources considers a systems approach to address the risks posed by </w:t>
      </w:r>
      <w:r>
        <w:rPr>
          <w:i/>
        </w:rPr>
        <w:t>Plum pox virus</w:t>
      </w:r>
      <w:r>
        <w:t xml:space="preserve"> may be feasible. The approach could be based on a combination of within orchard control of vectors, and orchard monitoring and plant sample testing to ensure that the orchards registered for export to Australia have been tested and found free of </w:t>
      </w:r>
      <w:r>
        <w:rPr>
          <w:i/>
        </w:rPr>
        <w:t>Plum pox virus</w:t>
      </w:r>
      <w:r>
        <w:t>.</w:t>
      </w:r>
    </w:p>
    <w:p w:rsidR="00B8782D" w:rsidRDefault="00B8782D">
      <w:r>
        <w:t>The inspection, monitoring of trees and testing of plant tissues in the registered export orchards at appropriate times to detect evidence of the virus must be undertaken and supported by appropriate documentation. The inspection and testing method appropriate for this virus, including details of the timing and size of the sampling to be undertaken for each orchard, would be developed by AQSIQ and subject to approval by the Australian Government Department of Agriculture and Water Resources. Results of the inspections would subsequently be made available to the Australian Government Department of Agriculture and Water Resources for auditing purposes.</w:t>
      </w:r>
    </w:p>
    <w:p w:rsidR="00B8782D" w:rsidRDefault="00B8782D">
      <w:r>
        <w:t xml:space="preserve">Should China wish to use a systems approach as a measure to manage the risk posed by </w:t>
      </w:r>
      <w:r>
        <w:rPr>
          <w:i/>
        </w:rPr>
        <w:t>Plum pox virus</w:t>
      </w:r>
      <w:r>
        <w:t>, AQSIQ would need to submit to Australia a proposal outlining components of the system and how these components will address the risks posed by this pest. The Australian Government Department of Agriculture and Water Resources will consider the effectiveness of any system proposed by AQSIQ.</w:t>
      </w:r>
    </w:p>
    <w:bookmarkEnd w:id="121"/>
    <w:p w:rsidR="00B8782D" w:rsidRDefault="00B8782D" w:rsidP="00B8782D">
      <w:pPr>
        <w:pStyle w:val="Heading3"/>
        <w:numPr>
          <w:ilvl w:val="2"/>
          <w:numId w:val="20"/>
        </w:numPr>
      </w:pPr>
      <w:r>
        <w:t>Consideration of alternative equivalent measures</w:t>
      </w:r>
    </w:p>
    <w:p w:rsidR="00B8782D" w:rsidRDefault="00B8782D">
      <w:pPr>
        <w:sectPr w:rsidR="00B8782D">
          <w:pgSz w:w="11906" w:h="16838"/>
          <w:pgMar w:top="1418" w:right="1418" w:bottom="1418" w:left="1418" w:header="567" w:footer="283" w:gutter="0"/>
          <w:cols w:space="708"/>
          <w:docGrid w:linePitch="360"/>
        </w:sectPr>
      </w:pPr>
      <w:r>
        <w:t xml:space="preserve">Consistent with the principle of equivalence detailed in ISPM 11: </w:t>
      </w:r>
      <w:r>
        <w:rPr>
          <w:i/>
        </w:rPr>
        <w:t>Pest risk analysis for quarantine pests</w:t>
      </w:r>
      <w:r>
        <w:t xml:space="preserve"> </w:t>
      </w:r>
      <w:r>
        <w:rPr>
          <w:noProof/>
        </w:rPr>
        <w:t>(FAO 2013)</w:t>
      </w:r>
      <w:r>
        <w:t>, the Australian Government Department of Agriculture and Water Resources will consider any alternative equivalent measure proposed by AQSIQ, providing that it achieves Australia’s ALOP. Evaluation of such measures or treatments will require a technical submission from AQSIQ that details the proposed treatment and including data from suitable treatment trials to demonstrate efficacy.</w:t>
      </w:r>
    </w:p>
    <w:p w:rsidR="00B8782D" w:rsidRDefault="00B8782D" w:rsidP="00B8782D">
      <w:pPr>
        <w:pStyle w:val="Heading2"/>
        <w:numPr>
          <w:ilvl w:val="1"/>
          <w:numId w:val="20"/>
        </w:numPr>
      </w:pPr>
      <w:bookmarkStart w:id="122" w:name="_Toc389741458"/>
      <w:bookmarkStart w:id="123" w:name="_Toc448312515"/>
      <w:r>
        <w:lastRenderedPageBreak/>
        <w:t>Operational system for the maintenance and verification of phytosanitary status</w:t>
      </w:r>
      <w:bookmarkEnd w:id="122"/>
      <w:bookmarkEnd w:id="123"/>
    </w:p>
    <w:p w:rsidR="00B8782D" w:rsidRDefault="00B8782D">
      <w:r>
        <w:t>A system of operational procedures is necessary to maintain and verify the phytosanitary status of nectarine fruit from China. This is to ensure that the recommended risk management measures have been met and are maintained.</w:t>
      </w:r>
    </w:p>
    <w:p w:rsidR="00B8782D" w:rsidRDefault="00B8782D" w:rsidP="00B8782D">
      <w:pPr>
        <w:pStyle w:val="Heading3"/>
        <w:numPr>
          <w:ilvl w:val="2"/>
          <w:numId w:val="20"/>
        </w:numPr>
      </w:pPr>
      <w:r>
        <w:t>A system of traceability to source orchards</w:t>
      </w:r>
    </w:p>
    <w:p w:rsidR="00B8782D" w:rsidRDefault="00B8782D">
      <w:r>
        <w:t>The objectives of this recommended procedure are to ensure that:</w:t>
      </w:r>
    </w:p>
    <w:p w:rsidR="00B8782D" w:rsidRDefault="00B8782D">
      <w:pPr>
        <w:pStyle w:val="ListBullet"/>
      </w:pPr>
      <w:r>
        <w:t>nectarine fruit are sourced only from orchards producing commercial quality fruit</w:t>
      </w:r>
    </w:p>
    <w:p w:rsidR="00B8782D" w:rsidRDefault="00B8782D">
      <w:pPr>
        <w:pStyle w:val="ListBullet"/>
      </w:pPr>
      <w:r>
        <w:t>orchards from which nectarine fruit are sourced can be identified so investigation and corrective action can be targeted rather than applying it to all contributing export orchards in the event that live pests are intercepted.</w:t>
      </w:r>
    </w:p>
    <w:p w:rsidR="00B8782D" w:rsidRDefault="00B8782D">
      <w:r>
        <w:t>It is recommended that AQSIQ/CIQ establishes a system to enable traceability back to orchards where nectarines for export to Australia are sourced. AQSIQ/CIQ would be responsible for ensuring that export nectarine growers are aware of pests of quarantine concern to Australia, orchard monitoring and control measures.</w:t>
      </w:r>
    </w:p>
    <w:p w:rsidR="00B8782D" w:rsidRDefault="00B8782D" w:rsidP="00B8782D">
      <w:pPr>
        <w:pStyle w:val="Heading3"/>
        <w:numPr>
          <w:ilvl w:val="2"/>
          <w:numId w:val="20"/>
        </w:numPr>
      </w:pPr>
      <w:r>
        <w:t>Registration of packinghouse and treatment providers and auditing of procedures</w:t>
      </w:r>
    </w:p>
    <w:p w:rsidR="00B8782D" w:rsidRDefault="00B8782D">
      <w:r>
        <w:t>The objectives of this recommended procedure are to ensure that:</w:t>
      </w:r>
    </w:p>
    <w:p w:rsidR="00B8782D" w:rsidRDefault="00B8782D">
      <w:pPr>
        <w:pStyle w:val="ListBullet"/>
      </w:pPr>
      <w:r>
        <w:t>nectarines are sourced only from packinghouses and treatment providers processing commercial quality fruit approved by AQSIQ/CIQ</w:t>
      </w:r>
    </w:p>
    <w:p w:rsidR="00B8782D" w:rsidRDefault="00B8782D">
      <w:pPr>
        <w:pStyle w:val="ListBullet"/>
      </w:pPr>
      <w:r>
        <w:t>references to the packinghouse and the orchard source (by name or a number code) are clearly stated on cartons of nectarines destined for export to Australia for trace back and auditing purposes.</w:t>
      </w:r>
    </w:p>
    <w:p w:rsidR="00B8782D" w:rsidRDefault="00B8782D">
      <w:pPr>
        <w:pStyle w:val="ListBullet"/>
      </w:pPr>
      <w:r>
        <w:t>Treatment providers are capable of applying a treatment that suitably manages the target pests.</w:t>
      </w:r>
    </w:p>
    <w:p w:rsidR="00B8782D" w:rsidRDefault="00B8782D">
      <w:r>
        <w:t>It is recommended that export packinghouses and relevant treatment providers (where applicable) are registered with AQSIQ/CIQ before the commencement of harvest each season. The list of registered packinghouses and treatment providers must be kept by AQSIQ/CIQ. AQSIQ/CIQ would be required to ensure that packinghouses and the registered providers are suitably equipped to carry out the specified phytosanitary activities and treatments. Records of AQSIQ/CIQ audits would be made available to the Australian Government Department of Agriculture and Water Resources upon request.</w:t>
      </w:r>
    </w:p>
    <w:p w:rsidR="00B8782D" w:rsidRDefault="00B8782D">
      <w:r>
        <w:t>Where nectarines undergo fruit treatment prior to export, this process could only be undertaken by the treatment providers that have been registered with and audited by AQSIQ/CIQ for the purpose.</w:t>
      </w:r>
    </w:p>
    <w:p w:rsidR="00B8782D" w:rsidRDefault="00B8782D">
      <w:r>
        <w:t>Approval for treatment providers is subject to availability of suitable equipment and facilities to carry out the treatment.</w:t>
      </w:r>
    </w:p>
    <w:p w:rsidR="00B8782D" w:rsidRDefault="00B8782D">
      <w:r>
        <w:lastRenderedPageBreak/>
        <w:t>All irradiation facilities must be audited by the Australian Government Department of Agriculture and Water Resources.</w:t>
      </w:r>
    </w:p>
    <w:p w:rsidR="00B8782D" w:rsidRDefault="00B8782D" w:rsidP="00B8782D">
      <w:pPr>
        <w:pStyle w:val="Heading3"/>
        <w:numPr>
          <w:ilvl w:val="2"/>
          <w:numId w:val="20"/>
        </w:numPr>
      </w:pPr>
      <w:r>
        <w:t>Packaging and labelling</w:t>
      </w:r>
    </w:p>
    <w:p w:rsidR="00B8782D" w:rsidRDefault="00B8782D">
      <w:r>
        <w:t>The objectives of this recommended procedure are to ensure that:</w:t>
      </w:r>
    </w:p>
    <w:p w:rsidR="00B8782D" w:rsidRDefault="00B8782D">
      <w:pPr>
        <w:pStyle w:val="ListBullet"/>
      </w:pPr>
      <w:r>
        <w:t>nectarines proposed for export to Australia and all associated packaging is not contaminated by quarantine pests or regulated articles</w:t>
      </w:r>
    </w:p>
    <w:p w:rsidR="00B8782D" w:rsidRDefault="00B8782D">
      <w:pPr>
        <w:pStyle w:val="ListBullet2"/>
      </w:pPr>
      <w:r>
        <w:t>regulated articles are any items other than nectarine fruit. Regulated articles may include plant, plant product, soil and any other organisms, object or material capable of harbouring or spreading pests, deemed to require phytosanitary measures, particularly where international transportation is involved</w:t>
      </w:r>
    </w:p>
    <w:p w:rsidR="00B8782D" w:rsidRDefault="00B8782D">
      <w:pPr>
        <w:pStyle w:val="ListBullet2"/>
      </w:pPr>
      <w:r>
        <w:t>in this report, nectarines are defined as nectarine fruit with or without stalk, but not other plant parts (section 1.2.2)</w:t>
      </w:r>
    </w:p>
    <w:p w:rsidR="00B8782D" w:rsidRDefault="00B8782D">
      <w:pPr>
        <w:pStyle w:val="ListBullet"/>
      </w:pPr>
      <w:r>
        <w:t>unprocessed packing material—which may vector pests identified as not being on the pathway and pests not known to be associated with nectarine fruit—is not imported with the nectarine fruit</w:t>
      </w:r>
    </w:p>
    <w:p w:rsidR="00B8782D" w:rsidRDefault="00B8782D">
      <w:pPr>
        <w:pStyle w:val="ListBullet"/>
      </w:pPr>
      <w:r>
        <w:t>all wood material used in packaging of nectarines complies with the Australian Government Department of Agriculture and Water Resources conditions</w:t>
      </w:r>
    </w:p>
    <w:p w:rsidR="00B8782D" w:rsidRDefault="00B8782D">
      <w:pPr>
        <w:pStyle w:val="ListBullet"/>
      </w:pPr>
      <w:r>
        <w:t xml:space="preserve">secure packaging is used during storage and transport to Australia and must meet Australia’s general import conditions for fresh fruits and vegetables, available on the Australian Government </w:t>
      </w:r>
      <w:hyperlink r:id="rId60" w:history="1">
        <w:r>
          <w:t>Department of Agriculture</w:t>
        </w:r>
      </w:hyperlink>
      <w:r>
        <w:t xml:space="preserve"> and Water Resources website</w:t>
      </w:r>
    </w:p>
    <w:p w:rsidR="00B8782D" w:rsidRDefault="00B8782D">
      <w:pPr>
        <w:pStyle w:val="ListBullet"/>
      </w:pPr>
      <w:r>
        <w:t>the packaged nectarines are labelled with the identification information of orchard, packinghouse and treatment provider for the purposes of trace-back</w:t>
      </w:r>
    </w:p>
    <w:p w:rsidR="00B8782D" w:rsidRDefault="00B8782D">
      <w:pPr>
        <w:pStyle w:val="ListBullet"/>
      </w:pPr>
      <w:r>
        <w:t>the phytosanitary status of nectarines must be clearly identified.</w:t>
      </w:r>
    </w:p>
    <w:p w:rsidR="00B8782D" w:rsidRDefault="00B8782D">
      <w:pPr>
        <w:pStyle w:val="ListBullet"/>
        <w:numPr>
          <w:ilvl w:val="0"/>
          <w:numId w:val="0"/>
        </w:numPr>
      </w:pPr>
      <w:r>
        <w:t>It is recommended that export packinghouses and the relevant treatment providers (where applicable) ensure packaging and labelling are suitable to maintain phytosanitary status of the export consignments.</w:t>
      </w:r>
    </w:p>
    <w:p w:rsidR="00B8782D" w:rsidRDefault="00B8782D">
      <w:pPr>
        <w:pStyle w:val="ListBullet"/>
        <w:numPr>
          <w:ilvl w:val="0"/>
          <w:numId w:val="0"/>
        </w:numPr>
      </w:pPr>
      <w:r>
        <w:t>AQSIQ/CIQ would be required to ensure all packinghouses and the registered treatment providers at the beginning of each export season are suitably equipped to carry out the specified packing and labelling requirements. Records of AQSIQ/CIQ audits would be made available to the Australian Government Department of Agriculture and Water Resources upon request.</w:t>
      </w:r>
    </w:p>
    <w:p w:rsidR="00B8782D" w:rsidRDefault="00B8782D" w:rsidP="00B8782D">
      <w:pPr>
        <w:pStyle w:val="Heading3"/>
        <w:numPr>
          <w:ilvl w:val="2"/>
          <w:numId w:val="20"/>
        </w:numPr>
      </w:pPr>
      <w:r>
        <w:t>Specific conditions for storage and movement</w:t>
      </w:r>
    </w:p>
    <w:p w:rsidR="00B8782D" w:rsidRDefault="00B8782D">
      <w:r>
        <w:t>The objectives of this recommended procedure are to ensure that:</w:t>
      </w:r>
    </w:p>
    <w:p w:rsidR="00B8782D" w:rsidRDefault="00B8782D">
      <w:pPr>
        <w:pStyle w:val="ListBullet"/>
      </w:pPr>
      <w:r>
        <w:t>nectarines for export to Australia that have been treated and/or inspected are kept secure and segregated at all times from any fruit for domestic or other markets, untreated/non pre-inspected product, to prevent mixing or cross-contamination</w:t>
      </w:r>
    </w:p>
    <w:p w:rsidR="00B8782D" w:rsidRDefault="00B8782D">
      <w:pPr>
        <w:pStyle w:val="ListBullet"/>
      </w:pPr>
      <w:r>
        <w:t>the quarantine integrity of the commodity during storage and movement is maintained.</w:t>
      </w:r>
    </w:p>
    <w:p w:rsidR="00B8782D" w:rsidRDefault="00B8782D" w:rsidP="00B8782D">
      <w:pPr>
        <w:pStyle w:val="Heading3"/>
        <w:numPr>
          <w:ilvl w:val="2"/>
          <w:numId w:val="20"/>
        </w:numPr>
      </w:pPr>
      <w:r>
        <w:lastRenderedPageBreak/>
        <w:t>Freedom from trash</w:t>
      </w:r>
    </w:p>
    <w:p w:rsidR="00B8782D" w:rsidRDefault="00B8782D">
      <w:r>
        <w:t>All nectarines for export must be free from trash (for example, stem and leaf material, seeds, soil, animal matter/parts or other extraneous material) and foreign matter. Freedom from trash will be confirmed by the inspection procedures. Export lots or consignments found to contain trash or foreign matter should be withdrawn from export unless approved remedial action such as reconditioning is made available and applied to the export consignment and then re-inspected.</w:t>
      </w:r>
    </w:p>
    <w:p w:rsidR="00B8782D" w:rsidRDefault="00B8782D" w:rsidP="00B8782D">
      <w:pPr>
        <w:pStyle w:val="Heading3"/>
        <w:numPr>
          <w:ilvl w:val="2"/>
          <w:numId w:val="20"/>
        </w:numPr>
      </w:pPr>
      <w:r>
        <w:t>Pre-export phytosanitary inspection and certification by AQSIQ/CIQ</w:t>
      </w:r>
    </w:p>
    <w:p w:rsidR="00B8782D" w:rsidRDefault="00B8782D">
      <w:r>
        <w:t>The objectives of this recommended procedure are to ensure that:</w:t>
      </w:r>
    </w:p>
    <w:p w:rsidR="00B8782D" w:rsidRDefault="00B8782D">
      <w:pPr>
        <w:pStyle w:val="ListBullet"/>
      </w:pPr>
      <w:r>
        <w:t>Australia’s import conditions have been met</w:t>
      </w:r>
    </w:p>
    <w:p w:rsidR="00B8782D" w:rsidRDefault="00B8782D">
      <w:pPr>
        <w:pStyle w:val="ListBullet"/>
      </w:pPr>
      <w:r>
        <w:t>all consignments have been inspected in accordance with official procedures for all visually detectable quarantine pests and other regulated articles (including soil, animal and plant debris) at a standard 600 unit sampling rate per phytosanitary certificate or equivalent</w:t>
      </w:r>
    </w:p>
    <w:p w:rsidR="00B8782D" w:rsidRDefault="00B8782D">
      <w:pPr>
        <w:pStyle w:val="ListBullet"/>
      </w:pPr>
      <w:r>
        <w:t>an international phytosanitary certificate (IPC) is issued for each consignment upon completion of pre-export inspection and treatment to verify that the relevant measures have been undertaken offshore</w:t>
      </w:r>
    </w:p>
    <w:p w:rsidR="00B8782D" w:rsidRDefault="00B8782D">
      <w:pPr>
        <w:pStyle w:val="ListBullet"/>
      </w:pPr>
      <w:r>
        <w:t>each IPC includes:</w:t>
      </w:r>
    </w:p>
    <w:p w:rsidR="00B8782D" w:rsidRDefault="00B8782D">
      <w:pPr>
        <w:pStyle w:val="ListBullet2"/>
      </w:pPr>
      <w:r>
        <w:t>a description of the consignment (including identification information of orchard and packinghouse details)</w:t>
      </w:r>
    </w:p>
    <w:p w:rsidR="00B8782D" w:rsidRDefault="00B8782D">
      <w:pPr>
        <w:pStyle w:val="ListBullet2"/>
      </w:pPr>
      <w:r>
        <w:t>details of disinfestation treatments (for example, methyl bromide fumigation) which includes date, concentration, temperature, duration, and/or attach fumigation certificate (as appropriate)</w:t>
      </w:r>
    </w:p>
    <w:p w:rsidR="00B8782D" w:rsidRDefault="00B8782D">
      <w:r>
        <w:t>and</w:t>
      </w:r>
    </w:p>
    <w:p w:rsidR="00B8782D" w:rsidRDefault="00B8782D">
      <w:pPr>
        <w:pStyle w:val="ListBullet"/>
      </w:pPr>
      <w:r>
        <w:t>an additional declaration that ‘</w:t>
      </w:r>
      <w:r>
        <w:rPr>
          <w:i/>
        </w:rPr>
        <w:t>The fruit in this consignment has been produced in China in accordance with the conditions governing entry of fresh nectarine fruit to Australia and inspected and found free of quarantine pests’</w:t>
      </w:r>
      <w:r>
        <w:t>.</w:t>
      </w:r>
    </w:p>
    <w:p w:rsidR="00B8782D" w:rsidRDefault="00B8782D" w:rsidP="00B8782D">
      <w:pPr>
        <w:pStyle w:val="Heading3"/>
        <w:numPr>
          <w:ilvl w:val="2"/>
          <w:numId w:val="20"/>
        </w:numPr>
      </w:pPr>
      <w:r>
        <w:t>Verification inspection by the Australian Government Department of Agriculture and Water Resources</w:t>
      </w:r>
    </w:p>
    <w:p w:rsidR="00B8782D" w:rsidRDefault="00B8782D">
      <w:r>
        <w:t>The objectives of the recommended requirement for verification are to ensure that:</w:t>
      </w:r>
    </w:p>
    <w:p w:rsidR="00B8782D" w:rsidRDefault="00B8782D">
      <w:pPr>
        <w:pStyle w:val="ListBullet"/>
      </w:pPr>
      <w:r>
        <w:t>all consignments comply with Australian import requirements</w:t>
      </w:r>
    </w:p>
    <w:p w:rsidR="00B8782D" w:rsidRDefault="00B8782D">
      <w:pPr>
        <w:pStyle w:val="ListBullet"/>
      </w:pPr>
      <w:r>
        <w:t>consignments are as described on the phytosanitary certificate and quarantine integrity has been maintained.</w:t>
      </w:r>
    </w:p>
    <w:p w:rsidR="00B8782D" w:rsidRDefault="00B8782D">
      <w:r>
        <w:t>On arrival in Australia, the Australian Government Department of Agriculture and Water Resources will undertake a documentation compliance examination to verify that the consignment is as described on the phytosanitary certificate, that required phytosanitary actions have been undertaken, and that product security has been maintained.</w:t>
      </w:r>
    </w:p>
    <w:p w:rsidR="00B8782D" w:rsidRDefault="00B8782D">
      <w:r>
        <w:t xml:space="preserve">To verify that phytosanitary status of consignments of nectarines from China meet Australia’s import conditions, it is recommended that the Australian Government Department of </w:t>
      </w:r>
      <w:r>
        <w:lastRenderedPageBreak/>
        <w:t>Agriculture and Water Resources complete a verification inspection of all nectarine consignments. It is recommended that the Australian Government Department of Agriculture and Water Resources randomly sample 600 fruits from each consignment.</w:t>
      </w:r>
    </w:p>
    <w:p w:rsidR="00B8782D" w:rsidRDefault="00B8782D">
      <w:r>
        <w:t>The detection of any live quarantine pest or regulated article for Australia would require suitable remedial action.</w:t>
      </w:r>
    </w:p>
    <w:p w:rsidR="00B8782D" w:rsidRDefault="00B8782D" w:rsidP="00B8782D">
      <w:pPr>
        <w:pStyle w:val="Heading3"/>
        <w:numPr>
          <w:ilvl w:val="2"/>
          <w:numId w:val="20"/>
        </w:numPr>
      </w:pPr>
      <w:r>
        <w:t>Remedial action(s) for non-compliance</w:t>
      </w:r>
    </w:p>
    <w:p w:rsidR="00B8782D" w:rsidRDefault="00B8782D">
      <w:r>
        <w:t>The objectives of remedial action(s) for non-compliance are to ensure that:</w:t>
      </w:r>
    </w:p>
    <w:p w:rsidR="00B8782D" w:rsidRDefault="00B8782D">
      <w:pPr>
        <w:pStyle w:val="ListBullet"/>
      </w:pPr>
      <w:r>
        <w:t>any quarantine risk is addressed by remedial action, as appropriate</w:t>
      </w:r>
    </w:p>
    <w:p w:rsidR="00B8782D" w:rsidRDefault="00B8782D">
      <w:pPr>
        <w:pStyle w:val="ListBullet"/>
      </w:pPr>
      <w:r>
        <w:t>non-compliance with import requirements is addressed, as appropriate.</w:t>
      </w:r>
    </w:p>
    <w:p w:rsidR="00B8782D" w:rsidRDefault="00B8782D">
      <w:r>
        <w:t>Any consignment that fails to meet Australia’s import conditions must be subject to a suitable remedial treatment, if one is available, re-exported from Australia, or destroyed.</w:t>
      </w:r>
    </w:p>
    <w:p w:rsidR="00B8782D" w:rsidRDefault="00B8782D">
      <w:r>
        <w:t>Separate to the corrective measures mentioned, there may be other breach actions necessary depending on the specific pest intercepted and the risk management strategy put in place against that pest in the protocol.</w:t>
      </w:r>
    </w:p>
    <w:p w:rsidR="00B8782D" w:rsidRDefault="00B8782D">
      <w:r>
        <w:t>If product repeatedly fails inspection, the Australian Government Department of Agriculture and Water Resources reserves the right to suspend the export program and conduct an audit of the risk management systems. The program will recommence only when the Australian Government Department of Agriculture and Water Resources is satisfied that appropriate corrective action has been taken.</w:t>
      </w:r>
    </w:p>
    <w:p w:rsidR="00B8782D" w:rsidRDefault="00B8782D" w:rsidP="00B8782D">
      <w:pPr>
        <w:pStyle w:val="Heading2"/>
        <w:numPr>
          <w:ilvl w:val="1"/>
          <w:numId w:val="20"/>
        </w:numPr>
      </w:pPr>
      <w:bookmarkStart w:id="124" w:name="_Toc389741459"/>
      <w:bookmarkStart w:id="125" w:name="_Toc448312516"/>
      <w:r>
        <w:t>Uncategorised pests</w:t>
      </w:r>
      <w:bookmarkEnd w:id="124"/>
      <w:bookmarkEnd w:id="125"/>
    </w:p>
    <w:p w:rsidR="00B8782D" w:rsidRDefault="00B8782D">
      <w:r>
        <w:t xml:space="preserve">If an organism, including contaminant pests, is detected on nectarine fruit either in China or on-arrival in Australia that has not been categorised, it will require assessment by the Australian Government Department of Agriculture and Water Resources to determine its quarantine status and whether phytosanitary action is required. </w:t>
      </w:r>
    </w:p>
    <w:p w:rsidR="00B8782D" w:rsidRDefault="00B8782D">
      <w:r>
        <w:t>Assessment is also required if the detected species was categorised as not likely to be on the import pathway. If the detected species was categorised as on the pathway but assessed as having an unrestricted risk that achieves Australia’s ALOP, then it may require reassessment. The detection of any pests of quarantine concern not already identified in the analysis may result in remedial action and/or temporary suspension of trade while a review is conducted to ensure that existing measures continue to provide the appropriate level of protection for Australia.</w:t>
      </w:r>
    </w:p>
    <w:p w:rsidR="00B8782D" w:rsidRDefault="00B8782D" w:rsidP="00B8782D">
      <w:pPr>
        <w:pStyle w:val="Heading2"/>
        <w:numPr>
          <w:ilvl w:val="1"/>
          <w:numId w:val="20"/>
        </w:numPr>
      </w:pPr>
      <w:bookmarkStart w:id="126" w:name="_Toc389741460"/>
      <w:bookmarkStart w:id="127" w:name="_Toc448312517"/>
      <w:r>
        <w:t>Review of processes</w:t>
      </w:r>
      <w:bookmarkEnd w:id="126"/>
      <w:bookmarkEnd w:id="127"/>
    </w:p>
    <w:p w:rsidR="00B8782D" w:rsidRDefault="00B8782D" w:rsidP="00B8782D">
      <w:pPr>
        <w:pStyle w:val="Heading3"/>
        <w:numPr>
          <w:ilvl w:val="2"/>
          <w:numId w:val="20"/>
        </w:numPr>
      </w:pPr>
      <w:r>
        <w:t>Verification of protocol</w:t>
      </w:r>
    </w:p>
    <w:p w:rsidR="00B8782D" w:rsidRDefault="00B8782D">
      <w:pPr>
        <w:rPr>
          <w:color w:val="1F497D"/>
          <w:shd w:val="clear" w:color="auto" w:fill="DBE5F1"/>
        </w:rPr>
      </w:pPr>
      <w:r>
        <w:t xml:space="preserve">Prior to or during the first season of trade, the Australian Government Department of Agriculture and Water Resources will verify the implementation of agreed import conditions and phytosanitary measures including registration, operational procedures and treatment providers, where applicable. This may involve representatives from the Australian Government </w:t>
      </w:r>
      <w:r>
        <w:lastRenderedPageBreak/>
        <w:t xml:space="preserve">Department of Agriculture and Water Resources visiting </w:t>
      </w:r>
      <w:r>
        <w:rPr>
          <w:color w:val="000000"/>
        </w:rPr>
        <w:t xml:space="preserve">areas in </w:t>
      </w:r>
      <w:r>
        <w:t>China that produce nectarine fruit for export to Australia.</w:t>
      </w:r>
    </w:p>
    <w:p w:rsidR="00B8782D" w:rsidRDefault="00B8782D" w:rsidP="00B8782D">
      <w:pPr>
        <w:pStyle w:val="Heading3"/>
        <w:numPr>
          <w:ilvl w:val="2"/>
          <w:numId w:val="20"/>
        </w:numPr>
      </w:pPr>
      <w:r>
        <w:t>Review of policy</w:t>
      </w:r>
    </w:p>
    <w:p w:rsidR="00B8782D" w:rsidRDefault="00B8782D">
      <w:r>
        <w:t>The Australian Government Department of Agriculture and Water Resources reserves the right to review the import policy after the first year of trade or when there is reason to believe that the pest or phytosanitary status in China has changed.</w:t>
      </w:r>
    </w:p>
    <w:p w:rsidR="00B8782D" w:rsidRDefault="00B8782D">
      <w:r>
        <w:t>AQSIQ must inform the Australian Government Department of Agriculture and Water Resources immediately on detection in country of any new pests of nectarine fruit that are of potential quarantine concern to Australia.</w:t>
      </w:r>
    </w:p>
    <w:p w:rsidR="00B8782D" w:rsidRDefault="00B8782D" w:rsidP="00B8782D">
      <w:pPr>
        <w:pStyle w:val="Heading2"/>
        <w:numPr>
          <w:ilvl w:val="1"/>
          <w:numId w:val="20"/>
        </w:numPr>
      </w:pPr>
      <w:bookmarkStart w:id="128" w:name="_Toc389741461"/>
      <w:bookmarkStart w:id="129" w:name="_Toc448312518"/>
      <w:r>
        <w:t>Meeting Australia’s food standards</w:t>
      </w:r>
      <w:bookmarkEnd w:id="128"/>
      <w:bookmarkEnd w:id="129"/>
    </w:p>
    <w:p w:rsidR="00B8782D" w:rsidRDefault="00B8782D">
      <w:r>
        <w:t xml:space="preserve">Imported food for human consumption must satisfy Australia‘s food standards. Australian law requires that all food, including imported </w:t>
      </w:r>
      <w:r w:rsidR="00EA0C11">
        <w:t>fresh fruits</w:t>
      </w:r>
      <w:bookmarkStart w:id="130" w:name="_GoBack"/>
      <w:bookmarkEnd w:id="130"/>
      <w:r>
        <w:t xml:space="preserve">, meets the standards set out in the Australia New Zealand Food Standards Code (hereafter referred to as ‘the Code’) and the requirements of the </w:t>
      </w:r>
      <w:r w:rsidRPr="00511391">
        <w:rPr>
          <w:i/>
        </w:rPr>
        <w:t>Imported Food Control Act 1992</w:t>
      </w:r>
      <w:r>
        <w:t xml:space="preserve">. Each Australian state and territory also has its own food laws that need to be met. Food Standards Australia New Zealand (FSANZ) is responsible for developing and maintaining the Code, including Standard 1.4.2, maximum residue limits (MRLs), available on the </w:t>
      </w:r>
      <w:hyperlink r:id="rId61" w:history="1">
        <w:r>
          <w:rPr>
            <w:rStyle w:val="Hyperlink"/>
          </w:rPr>
          <w:t>ComLaw</w:t>
        </w:r>
      </w:hyperlink>
      <w:r>
        <w:t xml:space="preserve"> website. The standards apply to all food in Australia, irrespective of whether it is grown domestically or imported.</w:t>
      </w:r>
    </w:p>
    <w:p w:rsidR="00B8782D" w:rsidRDefault="00B8782D">
      <w:r>
        <w:t>If a specific chemical is used on imported foods to control pests and diseases, then any resulting residues must not exceed the specific MRLs in Standard 1.4.2 of the Code for that food.</w:t>
      </w:r>
    </w:p>
    <w:p w:rsidR="00B8782D" w:rsidRDefault="00B8782D">
      <w:r>
        <w:t>If there is no MRL listed in the Code for a specific food (or a composite, processed food), then there must be no detectable residues in that specific food.</w:t>
      </w:r>
    </w:p>
    <w:p w:rsidR="00B8782D" w:rsidRDefault="00B8782D">
      <w:r>
        <w:t xml:space="preserve">Where an exporting country uses a chemical for which there is no current listed Australian MRL, there are mechanisms to consider establishing an Australian MRL by harmonising with an MRL established by the Codex Alimentarius Commission (Codex) or by a regulatory authority in a recognised jurisdiction. The mechanisms include applications, submissions or consideration as part of a FSANZ proposal to vary the Code. The application process, including the explanation of establishment of MRLs in Australia, is described at the </w:t>
      </w:r>
      <w:hyperlink r:id="rId62" w:history="1">
        <w:r>
          <w:rPr>
            <w:rStyle w:val="Hyperlink"/>
          </w:rPr>
          <w:t>Food Standards Australia New Zealand</w:t>
        </w:r>
      </w:hyperlink>
      <w:r>
        <w:t xml:space="preserve"> website.</w:t>
      </w:r>
    </w:p>
    <w:p w:rsidR="00B8782D" w:rsidRDefault="00B8782D">
      <w:pPr>
        <w:sectPr w:rsidR="00B8782D">
          <w:pgSz w:w="11906" w:h="16838"/>
          <w:pgMar w:top="1418" w:right="1418" w:bottom="1418" w:left="1418" w:header="567" w:footer="283" w:gutter="0"/>
          <w:cols w:space="708"/>
          <w:docGrid w:linePitch="360"/>
        </w:sectPr>
      </w:pPr>
    </w:p>
    <w:p w:rsidR="00B8782D" w:rsidRDefault="00B8782D" w:rsidP="00B8782D">
      <w:pPr>
        <w:pStyle w:val="Heading1"/>
        <w:numPr>
          <w:ilvl w:val="0"/>
          <w:numId w:val="20"/>
        </w:numPr>
      </w:pPr>
      <w:bookmarkStart w:id="131" w:name="_Toc448312519"/>
      <w:r>
        <w:lastRenderedPageBreak/>
        <w:t>Conclusion</w:t>
      </w:r>
      <w:bookmarkEnd w:id="131"/>
    </w:p>
    <w:p w:rsidR="00B8782D" w:rsidRDefault="00B8782D">
      <w:r>
        <w:t xml:space="preserve">The findings of this </w:t>
      </w:r>
      <w:r>
        <w:rPr>
          <w:i/>
        </w:rPr>
        <w:t>Final report for a non-regulated analysis of existing policy for fresh nectarine fruit from China</w:t>
      </w:r>
      <w:r>
        <w:t xml:space="preserve"> are based on a comprehensive scientific analysis of relevant literature.</w:t>
      </w:r>
    </w:p>
    <w:p w:rsidR="00B8782D" w:rsidRDefault="00B8782D">
      <w:r>
        <w:t>The Australian Government Department of Agriculture and Water Resources considers that the risk management measures recommended in this report will provide an appropriate level of protection against the pests identified as associated with the trade of nectarine fruit from China.</w:t>
      </w:r>
    </w:p>
    <w:p w:rsidR="00B8782D" w:rsidRDefault="00B8782D"/>
    <w:p w:rsidR="00B8782D" w:rsidRDefault="00B8782D">
      <w:pPr>
        <w:sectPr w:rsidR="00B8782D">
          <w:headerReference w:type="default" r:id="rId63"/>
          <w:pgSz w:w="11906" w:h="16838"/>
          <w:pgMar w:top="1418" w:right="1418" w:bottom="1418" w:left="1418" w:header="567" w:footer="283" w:gutter="0"/>
          <w:cols w:space="708"/>
          <w:docGrid w:linePitch="360"/>
        </w:sectPr>
      </w:pPr>
    </w:p>
    <w:p w:rsidR="00B8782D" w:rsidRDefault="00B8782D">
      <w:pPr>
        <w:pStyle w:val="Heading1nonumbers"/>
      </w:pPr>
      <w:bookmarkStart w:id="132" w:name="_Toc448312520"/>
      <w:r>
        <w:lastRenderedPageBreak/>
        <w:t>Appendix A</w:t>
      </w:r>
      <w:r>
        <w:tab/>
        <w:t>Initiation and categorisation for pests of fresh nectarine fruit from China</w:t>
      </w:r>
      <w:bookmarkEnd w:id="132"/>
    </w:p>
    <w:p w:rsidR="00B8782D" w:rsidRDefault="00B8782D">
      <w:r>
        <w:t>The steps in the initiation and categorisation processes are considered sequentially, with the assessment terminating at ‘Yes’ for column 3 (except for pests that are present, but under official control and/or pests of regional concern) or the first ‘No’ for columns 4, 5 or 6.</w:t>
      </w:r>
    </w:p>
    <w:p w:rsidR="00B8782D" w:rsidRDefault="00B8782D">
      <w:r>
        <w:t>In the final column of the table (column 7) the acronyms ‘EP’, ‘NT’ and ‘WA’ are used. The acronym ‘EP’ (existing policy) is used for pests that have previously been assessed by Australia and a policy already exists. The acronym for the state for which regional pest status is considered, such as ‘NT’ (Northern Territory) or ‘WA’ (Western Australia), is used to identify organisms that have been recorded in some regions of Australia, and due to interstate quarantine regulations are considered pests of regional concern.</w:t>
      </w:r>
    </w:p>
    <w:p w:rsidR="00B8782D" w:rsidRDefault="00B8782D">
      <w:r>
        <w:t>This pest categorisation table only lists pests that are likely to be directly associated with the export pathway of fresh nectarine fruit and reference to pests that are not directly related to the export pathway, such as soilborne nematodes, soilborne pathogens, wood borer pests, root pests or pathogens and secondary pests have not been listed or have been deleted from the table, as they are not directly related to the export pathway of fresh nectarine fruit and would be addressed by Australia’s current approach to contaminating pests.</w:t>
      </w:r>
    </w:p>
    <w:tbl>
      <w:tblPr>
        <w:tblW w:w="4811" w:type="pct"/>
        <w:jc w:val="center"/>
        <w:tblBorders>
          <w:top w:val="single" w:sz="4" w:space="0" w:color="auto"/>
          <w:bottom w:val="single" w:sz="4" w:space="0" w:color="auto"/>
          <w:insideH w:val="single" w:sz="4" w:space="0" w:color="BFBFBF"/>
        </w:tblBorders>
        <w:tblLook w:val="00A0" w:firstRow="1" w:lastRow="0" w:firstColumn="1" w:lastColumn="0" w:noHBand="0" w:noVBand="0"/>
      </w:tblPr>
      <w:tblGrid>
        <w:gridCol w:w="2930"/>
        <w:gridCol w:w="1549"/>
        <w:gridCol w:w="1657"/>
        <w:gridCol w:w="1929"/>
        <w:gridCol w:w="1932"/>
        <w:gridCol w:w="1929"/>
        <w:gridCol w:w="1547"/>
      </w:tblGrid>
      <w:tr w:rsidR="00B8782D">
        <w:trPr>
          <w:cantSplit/>
          <w:tblHeader/>
          <w:jc w:val="center"/>
        </w:trPr>
        <w:tc>
          <w:tcPr>
            <w:tcW w:w="1087" w:type="pct"/>
            <w:shd w:val="clear" w:color="auto" w:fill="auto"/>
            <w:vAlign w:val="bottom"/>
          </w:tcPr>
          <w:p w:rsidR="00B8782D" w:rsidRDefault="00B8782D">
            <w:pPr>
              <w:pStyle w:val="TableHeading"/>
            </w:pPr>
            <w:r>
              <w:t>Pest</w:t>
            </w:r>
          </w:p>
        </w:tc>
        <w:tc>
          <w:tcPr>
            <w:tcW w:w="575" w:type="pct"/>
            <w:shd w:val="clear" w:color="auto" w:fill="auto"/>
            <w:vAlign w:val="bottom"/>
          </w:tcPr>
          <w:p w:rsidR="00B8782D" w:rsidRDefault="00B8782D">
            <w:pPr>
              <w:pStyle w:val="TableHeading"/>
            </w:pPr>
            <w:r>
              <w:t>Present in China</w:t>
            </w:r>
          </w:p>
        </w:tc>
        <w:tc>
          <w:tcPr>
            <w:tcW w:w="615" w:type="pct"/>
            <w:shd w:val="clear" w:color="auto" w:fill="auto"/>
            <w:vAlign w:val="bottom"/>
          </w:tcPr>
          <w:p w:rsidR="00B8782D" w:rsidRDefault="00B8782D">
            <w:pPr>
              <w:pStyle w:val="TableHeading"/>
            </w:pPr>
            <w:r>
              <w:t>Present within Australia</w:t>
            </w:r>
          </w:p>
        </w:tc>
        <w:tc>
          <w:tcPr>
            <w:tcW w:w="716" w:type="pct"/>
            <w:shd w:val="clear" w:color="auto" w:fill="auto"/>
            <w:vAlign w:val="bottom"/>
          </w:tcPr>
          <w:p w:rsidR="00B8782D" w:rsidRDefault="00B8782D">
            <w:pPr>
              <w:pStyle w:val="TableHeading"/>
            </w:pPr>
            <w:r>
              <w:t>Potential to be on pathway</w:t>
            </w:r>
          </w:p>
        </w:tc>
        <w:tc>
          <w:tcPr>
            <w:tcW w:w="717" w:type="pct"/>
            <w:shd w:val="clear" w:color="auto" w:fill="auto"/>
            <w:vAlign w:val="bottom"/>
          </w:tcPr>
          <w:p w:rsidR="00B8782D" w:rsidRDefault="00B8782D">
            <w:pPr>
              <w:pStyle w:val="TableHeading"/>
            </w:pPr>
            <w:r>
              <w:t>Potential for establishment and spread</w:t>
            </w:r>
          </w:p>
        </w:tc>
        <w:tc>
          <w:tcPr>
            <w:tcW w:w="716" w:type="pct"/>
            <w:shd w:val="clear" w:color="auto" w:fill="auto"/>
            <w:vAlign w:val="bottom"/>
          </w:tcPr>
          <w:p w:rsidR="00B8782D" w:rsidRDefault="00B8782D">
            <w:pPr>
              <w:pStyle w:val="TableHeading"/>
            </w:pPr>
            <w:r>
              <w:t>Potential for economic consequences</w:t>
            </w:r>
          </w:p>
        </w:tc>
        <w:tc>
          <w:tcPr>
            <w:tcW w:w="574" w:type="pct"/>
            <w:shd w:val="clear" w:color="auto" w:fill="auto"/>
            <w:vAlign w:val="bottom"/>
          </w:tcPr>
          <w:p w:rsidR="00B8782D" w:rsidRDefault="00B8782D">
            <w:pPr>
              <w:pStyle w:val="TableHeading"/>
            </w:pPr>
            <w:r>
              <w:t>Pest risk assessment required</w:t>
            </w:r>
          </w:p>
        </w:tc>
      </w:tr>
      <w:tr w:rsidR="00B8782D">
        <w:trPr>
          <w:cantSplit/>
          <w:jc w:val="center"/>
        </w:trPr>
        <w:tc>
          <w:tcPr>
            <w:tcW w:w="5000" w:type="pct"/>
            <w:gridSpan w:val="7"/>
            <w:shd w:val="clear" w:color="auto" w:fill="auto"/>
          </w:tcPr>
          <w:p w:rsidR="00B8782D" w:rsidRDefault="00B8782D">
            <w:pPr>
              <w:pStyle w:val="TableText"/>
              <w:rPr>
                <w:b/>
              </w:rPr>
            </w:pPr>
            <w:r>
              <w:rPr>
                <w:b/>
              </w:rPr>
              <w:t>ARTHROPODS</w:t>
            </w:r>
          </w:p>
        </w:tc>
      </w:tr>
      <w:tr w:rsidR="00B8782D">
        <w:trPr>
          <w:cantSplit/>
          <w:jc w:val="center"/>
        </w:trPr>
        <w:tc>
          <w:tcPr>
            <w:tcW w:w="5000" w:type="pct"/>
            <w:gridSpan w:val="7"/>
            <w:shd w:val="clear" w:color="auto" w:fill="auto"/>
          </w:tcPr>
          <w:p w:rsidR="00B8782D" w:rsidRDefault="00B8782D">
            <w:pPr>
              <w:pStyle w:val="TableText"/>
              <w:rPr>
                <w:b/>
              </w:rPr>
            </w:pPr>
            <w:r>
              <w:rPr>
                <w:b/>
              </w:rPr>
              <w:t>Acari (Prostigmata)</w:t>
            </w:r>
          </w:p>
        </w:tc>
      </w:tr>
      <w:tr w:rsidR="00B8782D">
        <w:trPr>
          <w:cantSplit/>
          <w:trHeight w:val="75"/>
          <w:jc w:val="center"/>
        </w:trPr>
        <w:tc>
          <w:tcPr>
            <w:tcW w:w="1087" w:type="pct"/>
            <w:shd w:val="clear" w:color="auto" w:fill="auto"/>
          </w:tcPr>
          <w:p w:rsidR="00B8782D" w:rsidRDefault="00B8782D">
            <w:pPr>
              <w:pStyle w:val="TableText"/>
            </w:pPr>
            <w:r>
              <w:rPr>
                <w:i/>
              </w:rPr>
              <w:t>Aculus fockeui</w:t>
            </w:r>
            <w:r>
              <w:t xml:space="preserve"> (Nalepa and Trouessart, 1891)</w:t>
            </w:r>
          </w:p>
          <w:p w:rsidR="00B8782D" w:rsidRDefault="00B8782D">
            <w:pPr>
              <w:pStyle w:val="TableText"/>
            </w:pPr>
            <w:r>
              <w:t>[Eriophyidae]</w:t>
            </w:r>
          </w:p>
          <w:p w:rsidR="00B8782D" w:rsidRDefault="00B8782D">
            <w:pPr>
              <w:pStyle w:val="TableText"/>
            </w:pPr>
            <w:r>
              <w:t>Plum rust mite, peach silver mite</w:t>
            </w:r>
          </w:p>
        </w:tc>
        <w:tc>
          <w:tcPr>
            <w:tcW w:w="575" w:type="pct"/>
            <w:shd w:val="clear" w:color="auto" w:fill="auto"/>
          </w:tcPr>
          <w:p w:rsidR="00B8782D" w:rsidRDefault="00B8782D" w:rsidP="00750C8B">
            <w:pPr>
              <w:pStyle w:val="TableText"/>
            </w:pPr>
            <w:r>
              <w:t xml:space="preserve">Yes </w:t>
            </w:r>
            <w:r>
              <w:rPr>
                <w:noProof/>
              </w:rPr>
              <w:t>(CABI 2015; Huang et al. 1994)</w:t>
            </w:r>
          </w:p>
        </w:tc>
        <w:tc>
          <w:tcPr>
            <w:tcW w:w="615" w:type="pct"/>
            <w:shd w:val="clear" w:color="auto" w:fill="auto"/>
          </w:tcPr>
          <w:p w:rsidR="00B8782D" w:rsidRDefault="00B8782D" w:rsidP="00750C8B">
            <w:pPr>
              <w:pStyle w:val="TableText"/>
            </w:pPr>
            <w:r>
              <w:t xml:space="preserve">Yes. NSW, Tas., Vic., WA </w:t>
            </w:r>
            <w:r>
              <w:rPr>
                <w:noProof/>
              </w:rPr>
              <w:t>(CSIRO 2005; Halliday 2013; 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Amphitetranychus viennensis</w:t>
            </w:r>
            <w:r>
              <w:t xml:space="preserve"> (Zacher, 1920)</w:t>
            </w:r>
          </w:p>
          <w:p w:rsidR="00B8782D" w:rsidRDefault="00B8782D">
            <w:pPr>
              <w:pStyle w:val="TableText"/>
            </w:pPr>
            <w:r>
              <w:t xml:space="preserve">Synonym: </w:t>
            </w:r>
            <w:r>
              <w:rPr>
                <w:i/>
              </w:rPr>
              <w:t>Tetranychus viennensis</w:t>
            </w:r>
            <w:r>
              <w:t xml:space="preserve"> Zacher, 1920</w:t>
            </w:r>
          </w:p>
          <w:p w:rsidR="00B8782D" w:rsidRDefault="00B8782D">
            <w:pPr>
              <w:pStyle w:val="TableText"/>
            </w:pPr>
            <w:r>
              <w:t>[Tetranychidae]</w:t>
            </w:r>
          </w:p>
          <w:p w:rsidR="00B8782D" w:rsidRDefault="00B8782D">
            <w:pPr>
              <w:pStyle w:val="TableText"/>
            </w:pPr>
            <w:r>
              <w:t>Hawthorn spider mite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Associated with </w:t>
            </w:r>
            <w:r>
              <w:rPr>
                <w:i/>
              </w:rPr>
              <w:t>P. persica</w:t>
            </w:r>
            <w:r>
              <w:t xml:space="preserve"> </w:t>
            </w:r>
            <w:r>
              <w:rPr>
                <w:noProof/>
              </w:rPr>
              <w:t>(Migeon &amp; Dorkeld 2013)</w:t>
            </w:r>
            <w:r>
              <w:t xml:space="preserve">. Primarily feeds on the underside of leaves </w:t>
            </w:r>
            <w:r>
              <w:rPr>
                <w:noProof/>
              </w:rPr>
              <w:t>(Jeppson, Keifer &amp; Baker 1975)</w:t>
            </w:r>
            <w:r>
              <w:t xml:space="preserve">. Has been intercepted in South Africa on imported </w:t>
            </w:r>
            <w:r>
              <w:rPr>
                <w:i/>
              </w:rPr>
              <w:t>Prunus</w:t>
            </w:r>
            <w:r>
              <w:t xml:space="preserve"> fruit from Spain </w:t>
            </w:r>
            <w:r>
              <w:rPr>
                <w:noProof/>
              </w:rPr>
              <w:t>(DAFF RSA 2014)</w:t>
            </w:r>
            <w:r>
              <w:t>.</w:t>
            </w:r>
          </w:p>
        </w:tc>
        <w:tc>
          <w:tcPr>
            <w:tcW w:w="717" w:type="pct"/>
            <w:shd w:val="clear" w:color="auto" w:fill="auto"/>
          </w:tcPr>
          <w:p w:rsidR="00B8782D" w:rsidRDefault="00B8782D" w:rsidP="00750C8B">
            <w:pPr>
              <w:pStyle w:val="TableText"/>
            </w:pPr>
            <w:r>
              <w:t xml:space="preserve">Yes. This species is polyphagous. Hosts include peanut, quince, fig, strawberry, cotton, apple, cherry, plum, peach, pear and raspberry </w:t>
            </w:r>
            <w:r>
              <w:rPr>
                <w:noProof/>
              </w:rPr>
              <w:t>(CABI 2015; Migeon &amp; Dorkeld 2013)</w:t>
            </w:r>
            <w:r>
              <w:t xml:space="preserve">. These hosts are widely available throughout Australia. This species is found in many parts of temperate Asia and Europe </w:t>
            </w:r>
            <w:r>
              <w:rPr>
                <w:noProof/>
              </w:rPr>
              <w:t>(Migeon &amp; Dorkeld 2013)</w:t>
            </w:r>
            <w:r>
              <w:t xml:space="preserve">. Many parts of temperate Australia have similar climatic conditions to regions where the pest is currently established. </w:t>
            </w:r>
          </w:p>
        </w:tc>
        <w:tc>
          <w:tcPr>
            <w:tcW w:w="716" w:type="pct"/>
            <w:shd w:val="clear" w:color="auto" w:fill="auto"/>
          </w:tcPr>
          <w:p w:rsidR="00B8782D" w:rsidRDefault="00B8782D" w:rsidP="00750C8B">
            <w:pPr>
              <w:pStyle w:val="TableText"/>
            </w:pPr>
            <w:r>
              <w:t xml:space="preserve">Yes. This species is an important pest of apple, peach, pear, apricot, plum, hawthorn, cherry, sweet cherry and raspberry in Asia and Europe </w:t>
            </w:r>
            <w:r>
              <w:rPr>
                <w:noProof/>
              </w:rPr>
              <w:t>(Jeppson, Keifer &amp; Baker 1975)</w:t>
            </w:r>
            <w:r>
              <w:t>.</w:t>
            </w:r>
          </w:p>
        </w:tc>
        <w:tc>
          <w:tcPr>
            <w:tcW w:w="574" w:type="pct"/>
            <w:shd w:val="clear" w:color="auto" w:fill="auto"/>
          </w:tcPr>
          <w:p w:rsidR="00B8782D" w:rsidRDefault="00B8782D">
            <w:pPr>
              <w:pStyle w:val="TableText"/>
            </w:pPr>
            <w:r>
              <w:t>Yes (EP)</w:t>
            </w:r>
          </w:p>
        </w:tc>
      </w:tr>
      <w:tr w:rsidR="00B8782D">
        <w:trPr>
          <w:cantSplit/>
          <w:trHeight w:val="75"/>
          <w:jc w:val="center"/>
        </w:trPr>
        <w:tc>
          <w:tcPr>
            <w:tcW w:w="1087" w:type="pct"/>
            <w:shd w:val="clear" w:color="auto" w:fill="auto"/>
          </w:tcPr>
          <w:p w:rsidR="00B8782D" w:rsidRDefault="00B8782D">
            <w:pPr>
              <w:pStyle w:val="TableText"/>
            </w:pPr>
            <w:r>
              <w:rPr>
                <w:i/>
              </w:rPr>
              <w:t>Bryobia rubrioculus</w:t>
            </w:r>
            <w:r>
              <w:t xml:space="preserve"> (Schenten, 1857)</w:t>
            </w:r>
          </w:p>
          <w:p w:rsidR="00B8782D" w:rsidRDefault="00B8782D">
            <w:pPr>
              <w:pStyle w:val="TableText"/>
            </w:pPr>
            <w:r>
              <w:t>[Tetranychidae]</w:t>
            </w:r>
          </w:p>
          <w:p w:rsidR="00B8782D" w:rsidRDefault="00B8782D">
            <w:pPr>
              <w:pStyle w:val="TableText"/>
            </w:pPr>
            <w:r>
              <w:t>Brown spider mite</w:t>
            </w:r>
          </w:p>
        </w:tc>
        <w:tc>
          <w:tcPr>
            <w:tcW w:w="575" w:type="pct"/>
            <w:shd w:val="clear" w:color="auto" w:fill="auto"/>
          </w:tcPr>
          <w:p w:rsidR="00B8782D" w:rsidRDefault="00B8782D" w:rsidP="00750C8B">
            <w:pPr>
              <w:pStyle w:val="TableText"/>
            </w:pPr>
            <w:r>
              <w:t xml:space="preserve">Yes </w:t>
            </w:r>
            <w:r>
              <w:rPr>
                <w:noProof/>
              </w:rPr>
              <w:t>(Wang 1981; Yang, Tulake &amp; Li 2005)</w:t>
            </w:r>
            <w:r>
              <w:t xml:space="preserve"> </w:t>
            </w:r>
          </w:p>
        </w:tc>
        <w:tc>
          <w:tcPr>
            <w:tcW w:w="615" w:type="pct"/>
            <w:shd w:val="clear" w:color="auto" w:fill="auto"/>
          </w:tcPr>
          <w:p w:rsidR="00B8782D" w:rsidRDefault="00B8782D" w:rsidP="00750C8B">
            <w:pPr>
              <w:pStyle w:val="TableText"/>
            </w:pPr>
            <w:r>
              <w:t xml:space="preserve">Yes. NSW, Qld, SA, Tas., Vic., WA </w:t>
            </w:r>
            <w:r>
              <w:rPr>
                <w:noProof/>
              </w:rPr>
              <w:t>(Halliday 2013; Plant Health Australia 2001; Poole 2010)</w:t>
            </w:r>
          </w:p>
        </w:tc>
        <w:tc>
          <w:tcPr>
            <w:tcW w:w="716" w:type="pct"/>
            <w:shd w:val="clear" w:color="auto" w:fill="auto"/>
          </w:tcPr>
          <w:p w:rsidR="00B8782D" w:rsidRDefault="00B8782D">
            <w:pPr>
              <w:pStyle w:val="TableText"/>
              <w:rPr>
                <w:szCs w:val="18"/>
              </w:rPr>
            </w:pPr>
            <w:r>
              <w:rPr>
                <w:szCs w:val="18"/>
              </w:rPr>
              <w:t>Assessment not required</w:t>
            </w:r>
          </w:p>
        </w:tc>
        <w:tc>
          <w:tcPr>
            <w:tcW w:w="717" w:type="pct"/>
            <w:shd w:val="clear" w:color="auto" w:fill="auto"/>
          </w:tcPr>
          <w:p w:rsidR="00B8782D" w:rsidRDefault="00B8782D">
            <w:pPr>
              <w:pStyle w:val="TableText"/>
              <w:rPr>
                <w:szCs w:val="18"/>
              </w:rPr>
            </w:pPr>
            <w:r>
              <w:rPr>
                <w:szCs w:val="18"/>
              </w:rPr>
              <w:t>Assessment not required</w:t>
            </w:r>
          </w:p>
        </w:tc>
        <w:tc>
          <w:tcPr>
            <w:tcW w:w="716" w:type="pct"/>
            <w:shd w:val="clear" w:color="auto" w:fill="auto"/>
          </w:tcPr>
          <w:p w:rsidR="00B8782D" w:rsidRDefault="00B8782D">
            <w:pPr>
              <w:pStyle w:val="TableText"/>
              <w:rPr>
                <w:szCs w:val="18"/>
              </w:rPr>
            </w:pPr>
            <w:r>
              <w:rPr>
                <w:szCs w:val="18"/>
              </w:rPr>
              <w:t xml:space="preserve">Assessment not required </w:t>
            </w:r>
          </w:p>
        </w:tc>
        <w:tc>
          <w:tcPr>
            <w:tcW w:w="574" w:type="pct"/>
            <w:shd w:val="clear" w:color="auto" w:fill="auto"/>
          </w:tcPr>
          <w:p w:rsidR="00B8782D" w:rsidRDefault="00B8782D">
            <w:pPr>
              <w:pStyle w:val="TableText"/>
              <w:rPr>
                <w:szCs w:val="18"/>
              </w:rPr>
            </w:pPr>
            <w:r>
              <w:rPr>
                <w:szCs w:val="18"/>
              </w:rP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Eotetranychus boreus</w:t>
            </w:r>
            <w:r>
              <w:t xml:space="preserve"> Ehara, 1969</w:t>
            </w:r>
          </w:p>
          <w:p w:rsidR="00B8782D" w:rsidRDefault="00B8782D">
            <w:pPr>
              <w:pStyle w:val="TableText"/>
            </w:pPr>
            <w:r>
              <w:t>[Tetranychidae]</w:t>
            </w:r>
          </w:p>
          <w:p w:rsidR="00B8782D" w:rsidRDefault="00B8782D">
            <w:pPr>
              <w:pStyle w:val="TableText"/>
            </w:pPr>
            <w:r>
              <w:t>Apricot spider mite</w:t>
            </w:r>
          </w:p>
        </w:tc>
        <w:tc>
          <w:tcPr>
            <w:tcW w:w="575" w:type="pct"/>
            <w:shd w:val="clear" w:color="auto" w:fill="auto"/>
          </w:tcPr>
          <w:p w:rsidR="00B8782D" w:rsidRDefault="00B8782D" w:rsidP="00750C8B">
            <w:pPr>
              <w:pStyle w:val="TableText"/>
            </w:pPr>
            <w:r>
              <w:t xml:space="preserve">Yes </w:t>
            </w:r>
            <w:r>
              <w:rPr>
                <w:noProof/>
              </w:rPr>
              <w:t>(Ehara 1969; Wang, Cui &amp; Zhang 1981)</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w:t>
            </w:r>
            <w:r>
              <w:rPr>
                <w:i/>
              </w:rPr>
              <w:t>Eotetranychus boreus</w:t>
            </w:r>
            <w:r>
              <w:t xml:space="preserve"> is mostly found on plum, apricot and pear and associated with leaves </w:t>
            </w:r>
            <w:r>
              <w:rPr>
                <w:noProof/>
              </w:rPr>
              <w:t>(Migeon &amp; Dorkeld 2015; Wang, Cui &amp; Zhang 1981)</w:t>
            </w:r>
            <w:r>
              <w:t xml:space="preserve">. Associated with </w:t>
            </w:r>
            <w:r>
              <w:rPr>
                <w:i/>
              </w:rPr>
              <w:t>P. persica</w:t>
            </w:r>
            <w:r>
              <w:t xml:space="preserve"> </w:t>
            </w:r>
            <w:r>
              <w:rPr>
                <w:noProof/>
              </w:rPr>
              <w:t>(Ehara 1969; Wang, Cui &amp; Zhang 1981)</w:t>
            </w:r>
            <w:r>
              <w:t xml:space="preserve">. </w:t>
            </w:r>
            <w:r>
              <w:rPr>
                <w:i/>
              </w:rPr>
              <w:t>Eotetranychus</w:t>
            </w:r>
            <w:r>
              <w:t xml:space="preserve"> species feed on the under surfaces of leaves, usually along the veins forming small colonies where they generally produce webbing </w:t>
            </w:r>
            <w:r>
              <w:rPr>
                <w:noProof/>
              </w:rPr>
              <w:t>(Jeppson, Keifer &amp; Baker 1975)</w:t>
            </w:r>
            <w:r>
              <w:t xml:space="preserve">. No report of an association with commercial nectarine fruit was found. </w:t>
            </w:r>
          </w:p>
        </w:tc>
        <w:tc>
          <w:tcPr>
            <w:tcW w:w="717" w:type="pct"/>
            <w:shd w:val="clear" w:color="auto" w:fill="auto"/>
          </w:tcPr>
          <w:p w:rsidR="00B8782D" w:rsidRDefault="00B8782D">
            <w:pPr>
              <w:pStyle w:val="TableText"/>
            </w:pPr>
            <w:r>
              <w:t>Assessment not required</w:t>
            </w:r>
          </w:p>
          <w:p w:rsidR="00B8782D" w:rsidRDefault="00B8782D">
            <w:pPr>
              <w:pStyle w:val="TableText"/>
            </w:pP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Eotetranychus pruni</w:t>
            </w:r>
            <w:r>
              <w:t xml:space="preserve"> (Oudemans, 1931)</w:t>
            </w:r>
          </w:p>
          <w:p w:rsidR="00B8782D" w:rsidRDefault="00B8782D">
            <w:pPr>
              <w:pStyle w:val="TableText"/>
            </w:pPr>
            <w:r>
              <w:t>[Tetranychidae]</w:t>
            </w:r>
          </w:p>
          <w:p w:rsidR="00B8782D" w:rsidRDefault="00B8782D">
            <w:pPr>
              <w:pStyle w:val="TableText"/>
            </w:pPr>
            <w:r>
              <w:t>Chestnut spider mite</w:t>
            </w:r>
          </w:p>
        </w:tc>
        <w:tc>
          <w:tcPr>
            <w:tcW w:w="575" w:type="pct"/>
            <w:shd w:val="clear" w:color="auto" w:fill="auto"/>
          </w:tcPr>
          <w:p w:rsidR="00B8782D" w:rsidRDefault="00B8782D" w:rsidP="00750C8B">
            <w:pPr>
              <w:pStyle w:val="TableText"/>
            </w:pPr>
            <w:r>
              <w:t xml:space="preserve">Yes </w:t>
            </w:r>
            <w:r>
              <w:rPr>
                <w:noProof/>
              </w:rPr>
              <w:t>(Wang 1981; Yang, Tulake &amp; Li 2005)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(Migeon &amp; Dorkeld 2013)</w:t>
            </w:r>
            <w:r>
              <w:t xml:space="preserve">. Adults and nymphs generally congregate on the under surface of leaves close to the midrib and veins, their feeding often resulting in premature leaf drop </w:t>
            </w:r>
            <w:r>
              <w:rPr>
                <w:noProof/>
              </w:rPr>
              <w:t>(Jeppson, Keifer &amp; Baker 1975)</w:t>
            </w:r>
            <w:r>
              <w:t xml:space="preserve">. Females lay eggs covered with webbing along the veins on the under surface of leaves </w:t>
            </w:r>
            <w:r>
              <w:rPr>
                <w:noProof/>
              </w:rPr>
              <w:t>(David'yan 2009)</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Eotetranychus sexmaculatus</w:t>
            </w:r>
            <w:r>
              <w:t xml:space="preserve"> (Riley, 1890)</w:t>
            </w:r>
          </w:p>
          <w:p w:rsidR="00B8782D" w:rsidRDefault="00B8782D">
            <w:pPr>
              <w:pStyle w:val="TableText"/>
            </w:pPr>
            <w:r>
              <w:t>[Tetranychidae]</w:t>
            </w:r>
          </w:p>
          <w:p w:rsidR="00B8782D" w:rsidRDefault="00B8782D">
            <w:pPr>
              <w:pStyle w:val="TableText"/>
            </w:pPr>
            <w:r>
              <w:t>Six-spotted spider mite</w:t>
            </w:r>
          </w:p>
        </w:tc>
        <w:tc>
          <w:tcPr>
            <w:tcW w:w="575" w:type="pct"/>
            <w:shd w:val="clear" w:color="auto" w:fill="auto"/>
          </w:tcPr>
          <w:p w:rsidR="00B8782D" w:rsidRDefault="00B8782D" w:rsidP="00750C8B">
            <w:pPr>
              <w:pStyle w:val="TableText"/>
            </w:pPr>
            <w:r>
              <w:t xml:space="preserve">Yes </w:t>
            </w:r>
            <w:r>
              <w:rPr>
                <w:noProof/>
              </w:rPr>
              <w:t>(Li, Wang &amp; Waterhouse 1997; Wang 1981)</w:t>
            </w:r>
          </w:p>
        </w:tc>
        <w:tc>
          <w:tcPr>
            <w:tcW w:w="615" w:type="pct"/>
            <w:shd w:val="clear" w:color="auto" w:fill="auto"/>
          </w:tcPr>
          <w:p w:rsidR="00B8782D" w:rsidRDefault="00B8782D" w:rsidP="00750C8B">
            <w:pPr>
              <w:pStyle w:val="TableText"/>
            </w:pPr>
            <w:r>
              <w:t xml:space="preserve">Yes. NSW, Qld, SA, WA </w:t>
            </w:r>
            <w:r>
              <w:rPr>
                <w:noProof/>
              </w:rPr>
              <w:t>(CSIRO 2005; Fisher &amp; Learmonth 2006; Halliday 2013)</w:t>
            </w:r>
            <w:r>
              <w:t xml:space="preserve">. Tentative record of six spotted spider mite in Tasmania noted (Andrew Bishop [DPIPWE, Tasmania] 2015, pers. Comm., 16 June). </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Eotetranychus smithi</w:t>
            </w:r>
            <w:r>
              <w:t xml:space="preserve"> (Pritchard and Baker, 1955)</w:t>
            </w:r>
          </w:p>
          <w:p w:rsidR="00B8782D" w:rsidRDefault="00B8782D">
            <w:pPr>
              <w:pStyle w:val="TableText"/>
            </w:pPr>
            <w:r>
              <w:t>[Tetranychidae]</w:t>
            </w:r>
          </w:p>
          <w:p w:rsidR="00B8782D" w:rsidRDefault="00B8782D">
            <w:pPr>
              <w:pStyle w:val="TableText"/>
            </w:pPr>
            <w:r>
              <w:t>Smith spider mite</w:t>
            </w:r>
          </w:p>
        </w:tc>
        <w:tc>
          <w:tcPr>
            <w:tcW w:w="575" w:type="pct"/>
            <w:shd w:val="clear" w:color="auto" w:fill="auto"/>
          </w:tcPr>
          <w:p w:rsidR="00B8782D" w:rsidRDefault="00B8782D" w:rsidP="00750C8B">
            <w:pPr>
              <w:pStyle w:val="TableText"/>
            </w:pPr>
            <w:r>
              <w:t xml:space="preserve">Yes </w:t>
            </w:r>
            <w:r>
              <w:rPr>
                <w:noProof/>
              </w:rPr>
              <w:t>(Wang 1981)</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(Migeon &amp; Dorkeld 2013)</w:t>
            </w:r>
            <w:r>
              <w:t xml:space="preserve">. It feeds in colonies near the midrib on leaves </w:t>
            </w:r>
            <w:r>
              <w:rPr>
                <w:noProof/>
              </w:rPr>
              <w:t>(Jeppson, Keifer &amp; Baker 1975)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Eotetranychus orientalis</w:t>
            </w:r>
            <w:r>
              <w:t xml:space="preserve"> (Klein, 1936)</w:t>
            </w:r>
          </w:p>
          <w:p w:rsidR="00B8782D" w:rsidRDefault="00B8782D">
            <w:pPr>
              <w:pStyle w:val="TableText"/>
            </w:pPr>
            <w:r>
              <w:t>[Tetranychidae]</w:t>
            </w:r>
          </w:p>
          <w:p w:rsidR="00B8782D" w:rsidRDefault="00B8782D">
            <w:pPr>
              <w:pStyle w:val="TableText"/>
            </w:pPr>
            <w:r>
              <w:t>Oriental red spider mite</w:t>
            </w:r>
          </w:p>
        </w:tc>
        <w:tc>
          <w:tcPr>
            <w:tcW w:w="575" w:type="pct"/>
            <w:shd w:val="clear" w:color="auto" w:fill="auto"/>
          </w:tcPr>
          <w:p w:rsidR="00B8782D" w:rsidRDefault="00B8782D" w:rsidP="00750C8B">
            <w:pPr>
              <w:pStyle w:val="TableText"/>
            </w:pPr>
            <w:r>
              <w:t xml:space="preserve">Yes </w:t>
            </w:r>
            <w:r>
              <w:rPr>
                <w:noProof/>
              </w:rPr>
              <w:t>(Shun et al. 1996; Zhou et al. 2006a)</w:t>
            </w:r>
          </w:p>
        </w:tc>
        <w:tc>
          <w:tcPr>
            <w:tcW w:w="615" w:type="pct"/>
            <w:shd w:val="clear" w:color="auto" w:fill="auto"/>
          </w:tcPr>
          <w:p w:rsidR="00B8782D" w:rsidRDefault="00B8782D" w:rsidP="00750C8B">
            <w:pPr>
              <w:pStyle w:val="TableText"/>
            </w:pPr>
            <w:r>
              <w:t xml:space="preserve">Yes. NSW, NT, Qld, WA </w:t>
            </w:r>
            <w:r>
              <w:rPr>
                <w:noProof/>
              </w:rPr>
              <w:t>(Halliday 2000, 2013; Plant Health Australia 2001)</w:t>
            </w:r>
            <w:r>
              <w:t xml:space="preserve">. May not present in Tas. as it suited to warmer climates than Tas. </w:t>
            </w:r>
            <w:r>
              <w:rPr>
                <w:noProof/>
              </w:rPr>
              <w:t>(CABI &amp; EPPO 1997d)</w:t>
            </w:r>
            <w:r>
              <w:t>.</w:t>
            </w:r>
          </w:p>
        </w:tc>
        <w:tc>
          <w:tcPr>
            <w:tcW w:w="716" w:type="pct"/>
            <w:shd w:val="clear" w:color="auto" w:fill="auto"/>
          </w:tcPr>
          <w:p w:rsidR="00B8782D" w:rsidRDefault="00B8782D" w:rsidP="00750C8B">
            <w:pPr>
              <w:pStyle w:val="TableText"/>
            </w:pPr>
            <w:r>
              <w:t xml:space="preserve">No. Citrus is the major host. Mites commence feeding on the upper side of the leaf along the midrib and then spread to the lateral veins, causing the leaves to become chlorotic. Pale-yellow streaks develop along the midrib and veins. Little webbing is produced. In heavier infestations, the mites feed and oviposit over the whole upper surface of the leaf. Very heavy infestations on citrus cause leaf fall and die-back of branches which may result in defoliated trees. Lower populations in dry areas can produce the same effect </w:t>
            </w:r>
            <w:r>
              <w:rPr>
                <w:noProof/>
              </w:rPr>
              <w:t>(CABI &amp; EPPO 1997d)</w:t>
            </w:r>
            <w:r>
              <w:t>. No report of an association with commercial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Panonychus citri</w:t>
            </w:r>
            <w:r>
              <w:t xml:space="preserve"> (McGregor, 1916)</w:t>
            </w:r>
          </w:p>
          <w:p w:rsidR="00B8782D" w:rsidRDefault="00B8782D">
            <w:pPr>
              <w:pStyle w:val="TableText"/>
            </w:pPr>
            <w:r>
              <w:t>[Tetranychidae]</w:t>
            </w:r>
          </w:p>
          <w:p w:rsidR="00B8782D" w:rsidRDefault="00B8782D">
            <w:pPr>
              <w:pStyle w:val="TableText"/>
            </w:pPr>
            <w:r>
              <w:t>Citrus red mite</w:t>
            </w:r>
          </w:p>
        </w:tc>
        <w:tc>
          <w:tcPr>
            <w:tcW w:w="575" w:type="pct"/>
            <w:shd w:val="clear" w:color="auto" w:fill="auto"/>
          </w:tcPr>
          <w:p w:rsidR="00B8782D" w:rsidRDefault="00B8782D" w:rsidP="00750C8B">
            <w:pPr>
              <w:pStyle w:val="TableText"/>
            </w:pPr>
            <w:r>
              <w:t xml:space="preserve">Yes </w:t>
            </w:r>
            <w:r>
              <w:rPr>
                <w:noProof/>
              </w:rPr>
              <w:t>(Li, Wang &amp; Waterhouse 1997; Manson 1987; Wang 1981)</w:t>
            </w:r>
          </w:p>
        </w:tc>
        <w:tc>
          <w:tcPr>
            <w:tcW w:w="615" w:type="pct"/>
            <w:shd w:val="clear" w:color="auto" w:fill="auto"/>
          </w:tcPr>
          <w:p w:rsidR="00B8782D" w:rsidRDefault="00B8782D" w:rsidP="00750C8B">
            <w:pPr>
              <w:pStyle w:val="TableText"/>
            </w:pPr>
            <w:r>
              <w:t xml:space="preserve">Yes. NSW, SA </w:t>
            </w:r>
            <w:r>
              <w:rPr>
                <w:noProof/>
              </w:rPr>
              <w:t>(CSIRO 2005; Halliday 2013)</w:t>
            </w:r>
            <w:r>
              <w:t xml:space="preserve">. Listed as a declared organism (Prohibited (section 12)) under the Western Australia BAM Act 2007 </w:t>
            </w:r>
            <w:r>
              <w:rPr>
                <w:noProof/>
              </w:rPr>
              <w:t>(Government of Western Australia 2014)</w:t>
            </w:r>
            <w:r>
              <w:t>.</w:t>
            </w:r>
          </w:p>
        </w:tc>
        <w:tc>
          <w:tcPr>
            <w:tcW w:w="716" w:type="pct"/>
            <w:shd w:val="clear" w:color="auto" w:fill="auto"/>
          </w:tcPr>
          <w:p w:rsidR="00B8782D" w:rsidRDefault="00B8782D">
            <w:pPr>
              <w:pStyle w:val="TableText"/>
            </w:pPr>
            <w:r>
              <w:t>No. Citrus is the main host.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Panonychus ulmi</w:t>
            </w:r>
            <w:r>
              <w:t xml:space="preserve"> (Koch, 1836)</w:t>
            </w:r>
          </w:p>
          <w:p w:rsidR="00B8782D" w:rsidRDefault="00B8782D">
            <w:pPr>
              <w:pStyle w:val="TableText"/>
            </w:pPr>
            <w:r>
              <w:t>[Tetranychidae]</w:t>
            </w:r>
          </w:p>
          <w:p w:rsidR="00B8782D" w:rsidRDefault="00B8782D">
            <w:pPr>
              <w:pStyle w:val="TableText"/>
            </w:pPr>
            <w:r>
              <w:t>European red mite</w:t>
            </w:r>
          </w:p>
        </w:tc>
        <w:tc>
          <w:tcPr>
            <w:tcW w:w="575" w:type="pct"/>
            <w:shd w:val="clear" w:color="auto" w:fill="auto"/>
          </w:tcPr>
          <w:p w:rsidR="00B8782D" w:rsidRDefault="00B8782D" w:rsidP="00750C8B">
            <w:pPr>
              <w:pStyle w:val="TableText"/>
            </w:pPr>
            <w:r>
              <w:t xml:space="preserve">Yes </w:t>
            </w:r>
            <w:r>
              <w:rPr>
                <w:noProof/>
              </w:rPr>
              <w:t>(AQSIQ 2006c)</w:t>
            </w:r>
          </w:p>
        </w:tc>
        <w:tc>
          <w:tcPr>
            <w:tcW w:w="615" w:type="pct"/>
            <w:shd w:val="clear" w:color="auto" w:fill="auto"/>
          </w:tcPr>
          <w:p w:rsidR="00B8782D" w:rsidRDefault="00B8782D" w:rsidP="00750C8B">
            <w:pPr>
              <w:pStyle w:val="TableText"/>
            </w:pPr>
            <w:r>
              <w:t xml:space="preserve">Yes. NSW, SA, Tas., Vic., WA </w:t>
            </w:r>
            <w:r>
              <w:rPr>
                <w:noProof/>
              </w:rPr>
              <w:t>(Botha &amp; Learmonth 2005; Halliday 2013; 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Tetranychus cinnabarinus</w:t>
            </w:r>
            <w:r>
              <w:t xml:space="preserve"> (Boisduval, 1867)</w:t>
            </w:r>
          </w:p>
          <w:p w:rsidR="00B8782D" w:rsidRDefault="00B8782D">
            <w:pPr>
              <w:pStyle w:val="TableText"/>
            </w:pPr>
            <w:r>
              <w:t>[Tetranychidae]</w:t>
            </w:r>
          </w:p>
          <w:p w:rsidR="00B8782D" w:rsidRDefault="00B8782D">
            <w:pPr>
              <w:pStyle w:val="TableText"/>
            </w:pPr>
            <w:r>
              <w:t>Carmine spider mite</w:t>
            </w:r>
          </w:p>
        </w:tc>
        <w:tc>
          <w:tcPr>
            <w:tcW w:w="575" w:type="pct"/>
            <w:shd w:val="clear" w:color="auto" w:fill="auto"/>
          </w:tcPr>
          <w:p w:rsidR="00B8782D" w:rsidRDefault="00B8782D" w:rsidP="00750C8B">
            <w:pPr>
              <w:pStyle w:val="TableText"/>
            </w:pPr>
            <w:r>
              <w:t xml:space="preserve">Yes </w:t>
            </w:r>
            <w:r>
              <w:rPr>
                <w:noProof/>
              </w:rPr>
              <w:t>(Li, Wang &amp; Waterhouse 1997; Wang 1981)</w:t>
            </w:r>
          </w:p>
        </w:tc>
        <w:tc>
          <w:tcPr>
            <w:tcW w:w="615" w:type="pct"/>
            <w:shd w:val="clear" w:color="auto" w:fill="auto"/>
          </w:tcPr>
          <w:p w:rsidR="00B8782D" w:rsidRDefault="00B8782D" w:rsidP="00750C8B">
            <w:pPr>
              <w:pStyle w:val="TableText"/>
            </w:pPr>
            <w:r>
              <w:t xml:space="preserve">Yes. All states and territories </w:t>
            </w:r>
            <w:r>
              <w:rPr>
                <w:noProof/>
              </w:rPr>
              <w:t>(CSIRO 2005; Halliday 2013)</w:t>
            </w:r>
            <w:r>
              <w:t>.</w:t>
            </w:r>
          </w:p>
        </w:tc>
        <w:tc>
          <w:tcPr>
            <w:tcW w:w="716" w:type="pct"/>
            <w:shd w:val="clear" w:color="auto" w:fill="auto"/>
          </w:tcPr>
          <w:p w:rsidR="00B8782D" w:rsidRDefault="00B8782D">
            <w:pPr>
              <w:pStyle w:val="TableText"/>
            </w:pPr>
            <w:r>
              <w:t xml:space="preserve">Assessment not required </w:t>
            </w:r>
            <w:r>
              <w:fldChar w:fldCharType="begin"/>
            </w:r>
            <w:r>
              <w:instrText xml:space="preserve"> QUOTE "" </w:instrText>
            </w:r>
            <w:r>
              <w:fldChar w:fldCharType="begin"/>
            </w:r>
            <w:r>
              <w:instrText xml:space="preserve"> ADDIN PROCITE ÿ\11\05‘\19\02\00\00\00\00\01\00\00\0A\08\00\00EJ:\5CPlant\5CPublications\5CProject C Publications\5CProject_C_References.pdt!Ma Li, Jia Wei, et al. 2005 #2188\01\04\00\05\00àà\00\00\00=\14\00\14\00\00\00\01\00\00\00\00\00\00\00\00\00\00\00\10\00\00\00\00\00\00\00\0D\00\00\00\02\00\00\00\00\00\00\00\00\00,\00\00\00\01\00\00\00Tô\12\00}‚J\00,\00\00\00€ô\12\00Tô\12\00\07\00àà\00\00\00=\14\00\14\00\00\00\01\00\00\00\00\00\00\00\00\00\00\00\10\00\00\00\00\00\00\00\0D\00\00\00\13\00\00\00\00\00\00ÿÿÿÎÃÂwçÃÂw,\00\00\00Lò\12\00.ÄÂw,\00\00\00\00\00\00\00 </w:instrText>
            </w:r>
            <w:r>
              <w:fldChar w:fldCharType="end"/>
            </w:r>
            <w:r>
              <w:fldChar w:fldCharType="end"/>
            </w:r>
            <w:r>
              <w:fldChar w:fldCharType="begin"/>
            </w:r>
            <w:r>
              <w:instrText xml:space="preserve"> QUOTE "" </w:instrText>
            </w:r>
            <w:r>
              <w:fldChar w:fldCharType="begin"/>
            </w:r>
            <w:r>
              <w:instrText xml:space="preserve"> ADDIN PROCITE ÿ\11\05‘\19\02\00\00\00\00\01\00\00ñ\07\00\00EJ:\5CPlant\5CPublications\5CProject C Publications\5CProject_C_References.pdt'Li Li-ying, Wang Ren, et al. 1997 #2159\01\04\00\0A\00àà\00\00\00&gt;\14\00\14\00\00\00\01\00\00\00\00\00\00\00\00\00\00\00\10\00\00\00\00\00\00\00\0D\00\00\00\02\00\00\00\00\00\00\00\00\00,\00\00\00\01\00\00\00Tô\12\00}‚J\00,\00\00\00€ô\12\00Tô\12\00\06\00àà\00\00\00&gt;\14\00\14\00\00\00\01\00\00\00\00\00\00\00\00\00\00\00\10\00\00\00\00\00\00\00\0D\00\00\00\15\00\00\00\00\00\00&gt;\14\00\14\00\00\00\01\00\00\00\00\00\00\00\00\00\00\00\10\00\00\00\00\00\00\00\0D\00\00\00 </w:instrText>
            </w:r>
            <w:r>
              <w:fldChar w:fldCharType="end"/>
            </w:r>
            <w:r>
              <w:fldChar w:fldCharType="end"/>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Tetranychus kanzawai</w:t>
            </w:r>
            <w:r>
              <w:t xml:space="preserve"> Kishida, 1927</w:t>
            </w:r>
          </w:p>
          <w:p w:rsidR="00B8782D" w:rsidRDefault="00B8782D">
            <w:pPr>
              <w:pStyle w:val="TableText"/>
            </w:pPr>
            <w:r>
              <w:t>[Tetranychidae]</w:t>
            </w:r>
          </w:p>
          <w:p w:rsidR="00B8782D" w:rsidRDefault="00B8782D">
            <w:pPr>
              <w:pStyle w:val="TableText"/>
            </w:pPr>
            <w:r>
              <w:t>Kanzawa spider mite</w:t>
            </w:r>
          </w:p>
        </w:tc>
        <w:tc>
          <w:tcPr>
            <w:tcW w:w="575" w:type="pct"/>
            <w:shd w:val="clear" w:color="auto" w:fill="auto"/>
          </w:tcPr>
          <w:p w:rsidR="00B8782D" w:rsidRDefault="00B8782D" w:rsidP="00750C8B">
            <w:pPr>
              <w:pStyle w:val="TableText"/>
            </w:pPr>
            <w:r>
              <w:t xml:space="preserve">Yes </w:t>
            </w:r>
            <w:r>
              <w:rPr>
                <w:noProof/>
              </w:rPr>
              <w:t>(Li, Wang &amp; Waterhouse 1997; Wang, Cui &amp; Zhang 1981)</w:t>
            </w:r>
          </w:p>
        </w:tc>
        <w:tc>
          <w:tcPr>
            <w:tcW w:w="615" w:type="pct"/>
            <w:shd w:val="clear" w:color="auto" w:fill="auto"/>
          </w:tcPr>
          <w:p w:rsidR="00B8782D" w:rsidRDefault="00B8782D" w:rsidP="00750C8B">
            <w:pPr>
              <w:pStyle w:val="TableText"/>
            </w:pPr>
            <w:r>
              <w:t xml:space="preserve">Yes. NSW, Qld </w:t>
            </w:r>
            <w:r>
              <w:rPr>
                <w:noProof/>
              </w:rPr>
              <w:t>(CSIRO 2005; Halliday 2013; Navajas et al. 2001)</w:t>
            </w:r>
            <w:r>
              <w:t xml:space="preserve">. Listed as a declared organism (Prohibited) under the Western Australia BAM Act 2007 </w:t>
            </w:r>
            <w:r>
              <w:rPr>
                <w:noProof/>
              </w:rPr>
              <w:t>(Government of Western Australia 2014)</w:t>
            </w:r>
            <w:r>
              <w:t xml:space="preserve">. </w:t>
            </w:r>
          </w:p>
        </w:tc>
        <w:tc>
          <w:tcPr>
            <w:tcW w:w="716" w:type="pct"/>
            <w:shd w:val="clear" w:color="auto" w:fill="auto"/>
          </w:tcPr>
          <w:p w:rsidR="00B8782D" w:rsidRDefault="00B8782D" w:rsidP="00750C8B">
            <w:pPr>
              <w:pStyle w:val="TableText"/>
            </w:pPr>
            <w:r>
              <w:t xml:space="preserve">No. </w:t>
            </w:r>
            <w:r>
              <w:rPr>
                <w:i/>
              </w:rPr>
              <w:t>Tetranychus kanzawai</w:t>
            </w:r>
            <w:r>
              <w:t xml:space="preserve"> is often found on the under surface of the leaves; damaged leaves have yellowish spots; heavily infested leaves may become yellow and dry </w:t>
            </w:r>
            <w:r>
              <w:rPr>
                <w:noProof/>
              </w:rPr>
              <w:t>(CABI 2015)</w:t>
            </w:r>
            <w:r>
              <w:t xml:space="preserve">. No records on nectarine was found. This species is not regulated in WA’s policy for fresh summerfruit from the eastern states </w:t>
            </w:r>
            <w:r>
              <w:rPr>
                <w:noProof/>
              </w:rPr>
              <w:t>(Poole et al. 2011)</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Tetranychus ludeni</w:t>
            </w:r>
            <w:r>
              <w:t xml:space="preserve"> Zacher, 1913</w:t>
            </w:r>
          </w:p>
          <w:p w:rsidR="00B8782D" w:rsidRDefault="00B8782D">
            <w:pPr>
              <w:pStyle w:val="TableText"/>
            </w:pPr>
            <w:r>
              <w:t>[Tetranychidae]</w:t>
            </w:r>
          </w:p>
          <w:p w:rsidR="00B8782D" w:rsidRDefault="00B8782D">
            <w:pPr>
              <w:pStyle w:val="TableText"/>
            </w:pPr>
            <w:r>
              <w:t>Bean spider mite, dark-red spider mite</w:t>
            </w:r>
          </w:p>
        </w:tc>
        <w:tc>
          <w:tcPr>
            <w:tcW w:w="575" w:type="pct"/>
            <w:shd w:val="clear" w:color="auto" w:fill="auto"/>
          </w:tcPr>
          <w:p w:rsidR="00B8782D" w:rsidRDefault="00B8782D" w:rsidP="00750C8B">
            <w:pPr>
              <w:pStyle w:val="TableText"/>
            </w:pPr>
            <w:r>
              <w:t xml:space="preserve">Yes </w:t>
            </w:r>
            <w:r>
              <w:rPr>
                <w:noProof/>
              </w:rPr>
              <w:t>(Wang 1981)</w:t>
            </w:r>
          </w:p>
        </w:tc>
        <w:tc>
          <w:tcPr>
            <w:tcW w:w="615" w:type="pct"/>
            <w:shd w:val="clear" w:color="auto" w:fill="auto"/>
          </w:tcPr>
          <w:p w:rsidR="00B8782D" w:rsidRDefault="00B8782D" w:rsidP="00750C8B">
            <w:pPr>
              <w:pStyle w:val="TableText"/>
            </w:pPr>
            <w:r>
              <w:t xml:space="preserve">Yes. All states and territories </w:t>
            </w:r>
            <w:r>
              <w:rPr>
                <w:noProof/>
              </w:rPr>
              <w:t>(CSIRO 2005; Halliday 2013)</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Tetranychus mexicanus</w:t>
            </w:r>
            <w:r>
              <w:t xml:space="preserve"> (McGregor, 1950)</w:t>
            </w:r>
          </w:p>
          <w:p w:rsidR="00B8782D" w:rsidRDefault="00B8782D">
            <w:pPr>
              <w:pStyle w:val="TableText"/>
            </w:pPr>
            <w:r>
              <w:t>[Tetranychidae]</w:t>
            </w:r>
          </w:p>
        </w:tc>
        <w:tc>
          <w:tcPr>
            <w:tcW w:w="575" w:type="pct"/>
            <w:shd w:val="clear" w:color="auto" w:fill="auto"/>
          </w:tcPr>
          <w:p w:rsidR="00B8782D" w:rsidRDefault="00B8782D" w:rsidP="00750C8B">
            <w:pPr>
              <w:pStyle w:val="TableText"/>
            </w:pPr>
            <w:r>
              <w:t xml:space="preserve">Yes </w:t>
            </w:r>
            <w:r>
              <w:rPr>
                <w:noProof/>
              </w:rPr>
              <w:t>(Cheng 1994)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Reported to cause damage to </w:t>
            </w:r>
            <w:r>
              <w:rPr>
                <w:i/>
              </w:rPr>
              <w:t>P. persica</w:t>
            </w:r>
            <w:r>
              <w:t xml:space="preserve"> </w:t>
            </w:r>
            <w:r>
              <w:rPr>
                <w:noProof/>
              </w:rPr>
              <w:t>(Paschoal 1968)</w:t>
            </w:r>
            <w:r>
              <w:t>. No report of an association with mature nectarine or peach fruit was found.</w:t>
            </w:r>
          </w:p>
        </w:tc>
        <w:tc>
          <w:tcPr>
            <w:tcW w:w="717" w:type="pct"/>
            <w:shd w:val="clear" w:color="auto" w:fill="auto"/>
          </w:tcPr>
          <w:p w:rsidR="00B8782D" w:rsidRDefault="00B8782D">
            <w:pPr>
              <w:pStyle w:val="TableText"/>
            </w:pPr>
            <w:r>
              <w:t xml:space="preserve">Assessment not required </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Tetranychus neocaledonicus</w:t>
            </w:r>
            <w:r>
              <w:t xml:space="preserve"> André, 1933</w:t>
            </w:r>
          </w:p>
          <w:p w:rsidR="00B8782D" w:rsidRDefault="00B8782D">
            <w:pPr>
              <w:pStyle w:val="TableText"/>
            </w:pPr>
            <w:r>
              <w:t>[Tetranychidae]</w:t>
            </w:r>
          </w:p>
          <w:p w:rsidR="00B8782D" w:rsidRDefault="00B8782D">
            <w:pPr>
              <w:pStyle w:val="TableText"/>
            </w:pPr>
            <w:r>
              <w:t>Vegetable mite</w:t>
            </w:r>
          </w:p>
        </w:tc>
        <w:tc>
          <w:tcPr>
            <w:tcW w:w="575" w:type="pct"/>
            <w:shd w:val="clear" w:color="auto" w:fill="auto"/>
          </w:tcPr>
          <w:p w:rsidR="00B8782D" w:rsidRDefault="00B8782D" w:rsidP="00750C8B">
            <w:pPr>
              <w:pStyle w:val="TableText"/>
            </w:pPr>
            <w:r>
              <w:t xml:space="preserve">Yes </w:t>
            </w:r>
            <w:r>
              <w:rPr>
                <w:noProof/>
              </w:rPr>
              <w:t>(Wang 1981)</w:t>
            </w:r>
          </w:p>
        </w:tc>
        <w:tc>
          <w:tcPr>
            <w:tcW w:w="615" w:type="pct"/>
            <w:shd w:val="clear" w:color="auto" w:fill="auto"/>
          </w:tcPr>
          <w:p w:rsidR="00B8782D" w:rsidRDefault="00B8782D" w:rsidP="00750C8B">
            <w:pPr>
              <w:pStyle w:val="TableText"/>
            </w:pPr>
            <w:r>
              <w:t xml:space="preserve">Yes. NSW, NT, Qld, WA </w:t>
            </w:r>
            <w:r>
              <w:rPr>
                <w:noProof/>
              </w:rPr>
              <w:t>(Halliday 2013; Plant Health Australia 2001)</w:t>
            </w:r>
            <w:r>
              <w:t xml:space="preserve">. May not present in Tas. as it probably restricted to warmer areas where the temperature rarely goes below 10 °C </w:t>
            </w:r>
            <w:r>
              <w:rPr>
                <w:noProof/>
              </w:rPr>
              <w:t>(Seeman &amp; Beard 2011)</w:t>
            </w:r>
            <w:r>
              <w:t xml:space="preserve">. </w:t>
            </w:r>
          </w:p>
        </w:tc>
        <w:tc>
          <w:tcPr>
            <w:tcW w:w="716" w:type="pct"/>
            <w:shd w:val="clear" w:color="auto" w:fill="auto"/>
          </w:tcPr>
          <w:p w:rsidR="00B8782D" w:rsidRDefault="00B8782D" w:rsidP="00750C8B">
            <w:pPr>
              <w:pStyle w:val="TableText"/>
            </w:pPr>
            <w:r>
              <w:t xml:space="preserve">No. Mites prefer the young leaves. However in heavy infestations, mites may lead to plant death </w:t>
            </w:r>
            <w:r>
              <w:rPr>
                <w:noProof/>
              </w:rPr>
              <w:t>(Zhang 2008)</w:t>
            </w:r>
            <w:r>
              <w:t xml:space="preserve">. No report of </w:t>
            </w:r>
            <w:r>
              <w:rPr>
                <w:i/>
              </w:rPr>
              <w:t>T. neocaledonicus</w:t>
            </w:r>
            <w:r>
              <w:t xml:space="preserve"> on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Tetranychus piercei</w:t>
            </w:r>
            <w:r>
              <w:t xml:space="preserve"> McGregor, 1950</w:t>
            </w:r>
          </w:p>
          <w:p w:rsidR="00B8782D" w:rsidRDefault="00B8782D">
            <w:pPr>
              <w:pStyle w:val="TableText"/>
            </w:pPr>
            <w:r>
              <w:t>[Tetranychidae]</w:t>
            </w:r>
          </w:p>
          <w:p w:rsidR="00B8782D" w:rsidRDefault="00B8782D">
            <w:pPr>
              <w:pStyle w:val="TableText"/>
            </w:pPr>
            <w:r>
              <w:t>Banana leaf mite</w:t>
            </w:r>
          </w:p>
        </w:tc>
        <w:tc>
          <w:tcPr>
            <w:tcW w:w="575" w:type="pct"/>
            <w:shd w:val="clear" w:color="auto" w:fill="auto"/>
          </w:tcPr>
          <w:p w:rsidR="00B8782D" w:rsidRDefault="00B8782D" w:rsidP="00750C8B">
            <w:pPr>
              <w:pStyle w:val="TableText"/>
            </w:pPr>
            <w:r>
              <w:t xml:space="preserve">Yes </w:t>
            </w:r>
            <w:r>
              <w:rPr>
                <w:noProof/>
              </w:rPr>
              <w:t>(Li, Wang &amp; Waterhouse 1997; Wang 1981)</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This mite is mainly a pest of banana, pawpaw and sweet potato </w:t>
            </w:r>
            <w:r>
              <w:rPr>
                <w:noProof/>
              </w:rPr>
              <w:t>(CABI 2015)</w:t>
            </w:r>
            <w:r>
              <w:t xml:space="preserve">. It mainly attacks the leaves and stems </w:t>
            </w:r>
            <w:r>
              <w:rPr>
                <w:noProof/>
              </w:rPr>
              <w:t>(Zhang &amp; Fu 2004)</w:t>
            </w:r>
            <w:r>
              <w:t xml:space="preserve">. There is only a single record of peach as a host in Taiwan </w:t>
            </w:r>
            <w:r>
              <w:rPr>
                <w:noProof/>
              </w:rPr>
              <w:t>(Lo 1968)</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Tetranychus turkestani</w:t>
            </w:r>
            <w:r>
              <w:t xml:space="preserve"> Ugarov &amp; Nikol'skii, 1937</w:t>
            </w:r>
          </w:p>
          <w:p w:rsidR="00B8782D" w:rsidRDefault="00B8782D">
            <w:pPr>
              <w:pStyle w:val="TableText"/>
            </w:pPr>
            <w:r>
              <w:t xml:space="preserve">Synonym: </w:t>
            </w:r>
            <w:r>
              <w:rPr>
                <w:i/>
              </w:rPr>
              <w:t>Eotetranychus turkestani</w:t>
            </w:r>
            <w:r>
              <w:t xml:space="preserve"> Ugarov &amp; Nikol'skii, 1937</w:t>
            </w:r>
          </w:p>
          <w:p w:rsidR="00B8782D" w:rsidRDefault="00B8782D">
            <w:pPr>
              <w:pStyle w:val="TableText"/>
            </w:pPr>
            <w:r>
              <w:t>[Tetranychidae]</w:t>
            </w:r>
          </w:p>
          <w:p w:rsidR="00B8782D" w:rsidRDefault="00B8782D">
            <w:pPr>
              <w:pStyle w:val="TableText"/>
            </w:pPr>
            <w:r>
              <w:t>Strawberry spider mite</w:t>
            </w:r>
          </w:p>
        </w:tc>
        <w:tc>
          <w:tcPr>
            <w:tcW w:w="575" w:type="pct"/>
            <w:shd w:val="clear" w:color="auto" w:fill="auto"/>
          </w:tcPr>
          <w:p w:rsidR="00B8782D" w:rsidRDefault="00B8782D" w:rsidP="00750C8B">
            <w:pPr>
              <w:pStyle w:val="TableText"/>
            </w:pPr>
            <w:r>
              <w:t xml:space="preserve">Yes </w:t>
            </w:r>
            <w:r>
              <w:rPr>
                <w:noProof/>
              </w:rPr>
              <w:t>(CABI 2015; Chen et al. 2007)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w:t>
            </w:r>
            <w:r>
              <w:rPr>
                <w:i/>
              </w:rPr>
              <w:t>P. persica</w:t>
            </w:r>
            <w:r>
              <w:t xml:space="preserve"> is a host </w:t>
            </w:r>
            <w:r>
              <w:rPr>
                <w:noProof/>
              </w:rPr>
              <w:t>(Migeon &amp; Dorkeld 2013)</w:t>
            </w:r>
            <w:r>
              <w:t xml:space="preserve">. This mite feeds in colonies mainly on the lower surface of the leaf but the injury shows on the upper surface </w:t>
            </w:r>
            <w:r>
              <w:rPr>
                <w:noProof/>
              </w:rPr>
              <w:t>(Jeppson, Keifer &amp; Baker 1975)</w:t>
            </w:r>
            <w:r>
              <w:t xml:space="preserve">. While fruit infestation appears to be uncommon, if population densities are high then mites may be associated with fruit. </w:t>
            </w:r>
            <w:r>
              <w:rPr>
                <w:i/>
              </w:rPr>
              <w:t>Tetranychus turkestani</w:t>
            </w:r>
            <w:r>
              <w:t xml:space="preserve"> has been intercepted in South Africa on imported </w:t>
            </w:r>
            <w:r>
              <w:rPr>
                <w:i/>
              </w:rPr>
              <w:t>Prunus</w:t>
            </w:r>
            <w:r>
              <w:t xml:space="preserve"> fruit from Spain </w:t>
            </w:r>
            <w:r>
              <w:rPr>
                <w:noProof/>
              </w:rPr>
              <w:t>(DAFF RSA 2014)</w:t>
            </w:r>
            <w:r>
              <w:t>.</w:t>
            </w:r>
          </w:p>
        </w:tc>
        <w:tc>
          <w:tcPr>
            <w:tcW w:w="717" w:type="pct"/>
            <w:shd w:val="clear" w:color="auto" w:fill="auto"/>
          </w:tcPr>
          <w:p w:rsidR="00B8782D" w:rsidRDefault="00B8782D" w:rsidP="00750C8B">
            <w:pPr>
              <w:pStyle w:val="TableText"/>
            </w:pPr>
            <w:r>
              <w:t xml:space="preserve">Yes. This species has a wide host range including willow, cucumber, melons, pumpkin, lucerne, cherry, peach, quince, grape and maize </w:t>
            </w:r>
            <w:r>
              <w:rPr>
                <w:noProof/>
              </w:rPr>
              <w:t>(Migeon &amp; Dorkeld 2013)</w:t>
            </w:r>
            <w:r>
              <w:t xml:space="preserve">. These host plants are widely distributed throughout Australia. This species is distributed throughout Europe, Africa, Asia, North America and New Zealand </w:t>
            </w:r>
            <w:r>
              <w:rPr>
                <w:noProof/>
              </w:rPr>
              <w:t>(Migeon &amp; Dorkeld 2013)</w:t>
            </w:r>
            <w:r>
              <w:t>. Many regions of Australia have similar climatic conditions to these areas suitable for its establishment.</w:t>
            </w:r>
          </w:p>
        </w:tc>
        <w:tc>
          <w:tcPr>
            <w:tcW w:w="716" w:type="pct"/>
            <w:shd w:val="clear" w:color="auto" w:fill="auto"/>
          </w:tcPr>
          <w:p w:rsidR="00B8782D" w:rsidRDefault="00B8782D" w:rsidP="00750C8B">
            <w:pPr>
              <w:pStyle w:val="TableText"/>
            </w:pPr>
            <w:r>
              <w:t xml:space="preserve">Yes. A serious pest of many crops, with high populations able to cause leaf drop and plant death </w:t>
            </w:r>
            <w:r>
              <w:rPr>
                <w:noProof/>
              </w:rPr>
              <w:t>(Jeppson, Keifer &amp; Baker 1975)</w:t>
            </w:r>
            <w:r>
              <w:t>.</w:t>
            </w:r>
          </w:p>
        </w:tc>
        <w:tc>
          <w:tcPr>
            <w:tcW w:w="574" w:type="pct"/>
            <w:shd w:val="clear" w:color="auto" w:fill="auto"/>
          </w:tcPr>
          <w:p w:rsidR="00B8782D" w:rsidRDefault="00B8782D">
            <w:pPr>
              <w:pStyle w:val="TableText"/>
            </w:pPr>
            <w:r>
              <w:t>Yes (EP)</w:t>
            </w:r>
          </w:p>
        </w:tc>
      </w:tr>
      <w:tr w:rsidR="00B8782D">
        <w:trPr>
          <w:cantSplit/>
          <w:trHeight w:val="75"/>
          <w:jc w:val="center"/>
        </w:trPr>
        <w:tc>
          <w:tcPr>
            <w:tcW w:w="1087" w:type="pct"/>
            <w:shd w:val="clear" w:color="auto" w:fill="auto"/>
          </w:tcPr>
          <w:p w:rsidR="00B8782D" w:rsidRDefault="00B8782D">
            <w:pPr>
              <w:pStyle w:val="TableText"/>
            </w:pPr>
            <w:r>
              <w:rPr>
                <w:i/>
              </w:rPr>
              <w:t>Tetranychus urticae</w:t>
            </w:r>
            <w:r>
              <w:t xml:space="preserve"> Koch, 1836</w:t>
            </w:r>
          </w:p>
          <w:p w:rsidR="00B8782D" w:rsidRDefault="00B8782D">
            <w:pPr>
              <w:pStyle w:val="TableText"/>
            </w:pPr>
            <w:r>
              <w:t xml:space="preserve">Synonym: </w:t>
            </w:r>
            <w:r>
              <w:rPr>
                <w:i/>
              </w:rPr>
              <w:t>Tetranychus bimaculatus</w:t>
            </w:r>
            <w:r>
              <w:t xml:space="preserve"> Harvey, 1892</w:t>
            </w:r>
          </w:p>
          <w:p w:rsidR="00B8782D" w:rsidRDefault="00B8782D">
            <w:pPr>
              <w:pStyle w:val="TableText"/>
            </w:pPr>
            <w:r>
              <w:t>[Tetranychidae]</w:t>
            </w:r>
          </w:p>
          <w:p w:rsidR="00B8782D" w:rsidRDefault="00B8782D">
            <w:pPr>
              <w:pStyle w:val="TableText"/>
            </w:pPr>
            <w:r>
              <w:t>Two-spotted spider mite</w:t>
            </w:r>
          </w:p>
          <w:p w:rsidR="00B8782D" w:rsidRDefault="00B8782D">
            <w:pPr>
              <w:pStyle w:val="TableText"/>
            </w:pPr>
          </w:p>
          <w:p w:rsidR="00B8782D" w:rsidRDefault="00B8782D">
            <w:pPr>
              <w:pStyle w:val="TableText"/>
            </w:pPr>
          </w:p>
          <w:p w:rsidR="00B8782D" w:rsidRDefault="00B8782D">
            <w:pPr>
              <w:pStyle w:val="TableText"/>
            </w:pPr>
          </w:p>
          <w:p w:rsidR="00B8782D" w:rsidRDefault="00B8782D">
            <w:pPr>
              <w:pStyle w:val="TableText"/>
            </w:pPr>
          </w:p>
          <w:p w:rsidR="00B8782D" w:rsidRDefault="00B8782D">
            <w:pPr>
              <w:pStyle w:val="TableText"/>
            </w:pPr>
          </w:p>
          <w:p w:rsidR="00B8782D" w:rsidRDefault="00B8782D">
            <w:pPr>
              <w:pStyle w:val="TableText"/>
            </w:pPr>
          </w:p>
        </w:tc>
        <w:tc>
          <w:tcPr>
            <w:tcW w:w="575" w:type="pct"/>
            <w:shd w:val="clear" w:color="auto" w:fill="auto"/>
          </w:tcPr>
          <w:p w:rsidR="00B8782D" w:rsidRDefault="00B8782D" w:rsidP="00750C8B">
            <w:pPr>
              <w:pStyle w:val="TableText"/>
            </w:pPr>
            <w:r>
              <w:t xml:space="preserve">Yes </w:t>
            </w:r>
            <w:r>
              <w:rPr>
                <w:noProof/>
              </w:rPr>
              <w:t>(CIQSA 2001c)</w:t>
            </w:r>
          </w:p>
        </w:tc>
        <w:tc>
          <w:tcPr>
            <w:tcW w:w="615" w:type="pct"/>
            <w:shd w:val="clear" w:color="auto" w:fill="auto"/>
          </w:tcPr>
          <w:p w:rsidR="00B8782D" w:rsidRDefault="00B8782D" w:rsidP="00750C8B">
            <w:pPr>
              <w:pStyle w:val="TableText"/>
            </w:pPr>
            <w:r>
              <w:t xml:space="preserve">Yes. NSW, NT, Qld, SA, Tas., Vic., WA </w:t>
            </w:r>
            <w:r>
              <w:rPr>
                <w:noProof/>
              </w:rPr>
              <w:t>(CSIRO 2005; Halliday 2013; 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 xml:space="preserve">Assessment not required </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trHeight w:val="75"/>
          <w:jc w:val="center"/>
        </w:trPr>
        <w:tc>
          <w:tcPr>
            <w:tcW w:w="5000" w:type="pct"/>
            <w:gridSpan w:val="7"/>
            <w:shd w:val="clear" w:color="auto" w:fill="auto"/>
          </w:tcPr>
          <w:p w:rsidR="00B8782D" w:rsidRDefault="00B8782D">
            <w:pPr>
              <w:pStyle w:val="TableText"/>
              <w:rPr>
                <w:b/>
              </w:rPr>
            </w:pPr>
            <w:r>
              <w:rPr>
                <w:b/>
              </w:rPr>
              <w:lastRenderedPageBreak/>
              <w:t>Coleoptera</w:t>
            </w:r>
          </w:p>
        </w:tc>
      </w:tr>
      <w:tr w:rsidR="00B8782D">
        <w:trPr>
          <w:cantSplit/>
          <w:trHeight w:val="75"/>
          <w:jc w:val="center"/>
        </w:trPr>
        <w:tc>
          <w:tcPr>
            <w:tcW w:w="1087" w:type="pct"/>
            <w:shd w:val="clear" w:color="auto" w:fill="auto"/>
          </w:tcPr>
          <w:p w:rsidR="00B8782D" w:rsidRDefault="00B8782D">
            <w:pPr>
              <w:pStyle w:val="TableText"/>
            </w:pPr>
            <w:r>
              <w:rPr>
                <w:i/>
              </w:rPr>
              <w:t>Adoretus sinicus</w:t>
            </w:r>
            <w:r>
              <w:t xml:space="preserve"> Burmeister, 1855</w:t>
            </w:r>
          </w:p>
          <w:p w:rsidR="00B8782D" w:rsidRDefault="00B8782D">
            <w:pPr>
              <w:pStyle w:val="TableText"/>
            </w:pPr>
            <w:r>
              <w:t xml:space="preserve">Synonym: </w:t>
            </w:r>
            <w:r>
              <w:rPr>
                <w:i/>
              </w:rPr>
              <w:t>Adoretus tenuimaculatus</w:t>
            </w:r>
            <w:r>
              <w:t xml:space="preserve"> Waterhouse, 1875</w:t>
            </w:r>
          </w:p>
          <w:p w:rsidR="00B8782D" w:rsidRDefault="00B8782D">
            <w:pPr>
              <w:pStyle w:val="TableText"/>
            </w:pPr>
            <w:r>
              <w:t>[Scarabaeidae]</w:t>
            </w:r>
          </w:p>
          <w:p w:rsidR="00B8782D" w:rsidRDefault="00B8782D">
            <w:pPr>
              <w:pStyle w:val="TableText"/>
            </w:pPr>
            <w:r>
              <w:t>Chinese rose beetle</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Adults feed on leaves of </w:t>
            </w:r>
            <w:r>
              <w:rPr>
                <w:i/>
              </w:rPr>
              <w:t xml:space="preserve">P. persica </w:t>
            </w:r>
            <w:r>
              <w:t xml:space="preserve">trees and larvae feed on roots </w:t>
            </w:r>
            <w:r>
              <w:rPr>
                <w:noProof/>
              </w:rPr>
              <w:t>(Hill 2008)</w:t>
            </w:r>
            <w:r>
              <w:t>. No report of an association with mature nectarine or peach fruit was found.</w:t>
            </w:r>
          </w:p>
        </w:tc>
        <w:tc>
          <w:tcPr>
            <w:tcW w:w="717" w:type="pct"/>
            <w:shd w:val="clear" w:color="auto" w:fill="auto"/>
          </w:tcPr>
          <w:p w:rsidR="00B8782D" w:rsidRDefault="00B8782D">
            <w:pPr>
              <w:pStyle w:val="TableText"/>
            </w:pPr>
            <w:r>
              <w:t xml:space="preserve">Assessment not required </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Anomala corpulenta</w:t>
            </w:r>
            <w:r>
              <w:t xml:space="preserve"> Motschulsky, 1853</w:t>
            </w:r>
          </w:p>
          <w:p w:rsidR="00B8782D" w:rsidRDefault="00B8782D">
            <w:pPr>
              <w:pStyle w:val="TableText"/>
            </w:pPr>
            <w:r>
              <w:t>[Scarabaeidae]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Adults feed on the leaves and stems of </w:t>
            </w:r>
            <w:r>
              <w:rPr>
                <w:i/>
              </w:rPr>
              <w:t>P. persica</w:t>
            </w:r>
            <w:r>
              <w:t xml:space="preserve"> trees </w:t>
            </w:r>
            <w:r>
              <w:rPr>
                <w:noProof/>
              </w:rPr>
              <w:t>(AQSIQ 2006b)</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Anomala cuprea</w:t>
            </w:r>
            <w:r>
              <w:t xml:space="preserve"> (Hope, 1839)</w:t>
            </w:r>
          </w:p>
          <w:p w:rsidR="00B8782D" w:rsidRDefault="00B8782D">
            <w:pPr>
              <w:pStyle w:val="TableText"/>
            </w:pPr>
            <w:r>
              <w:t>[Scarabaeidae]</w:t>
            </w:r>
          </w:p>
          <w:p w:rsidR="00B8782D" w:rsidRDefault="00B8782D">
            <w:pPr>
              <w:pStyle w:val="TableText"/>
            </w:pPr>
            <w:r>
              <w:t>Cupreous chafer</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Adults feed on the leaves of </w:t>
            </w:r>
            <w:r>
              <w:rPr>
                <w:i/>
              </w:rPr>
              <w:t>Prunus</w:t>
            </w:r>
            <w:r>
              <w:t xml:space="preserve"> spp. </w:t>
            </w:r>
            <w:r>
              <w:rPr>
                <w:noProof/>
              </w:rPr>
              <w:t>(Tayutivutikul &amp; Kusigemati 1992)</w:t>
            </w:r>
            <w:r>
              <w:t xml:space="preserve">. Larvae feed on roots and live in the soil </w:t>
            </w:r>
            <w:r>
              <w:rPr>
                <w:noProof/>
              </w:rPr>
              <w:t>(Hiromori &amp; Nishigaki 1998)</w:t>
            </w:r>
            <w:r>
              <w:t>. No reports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Anthonomus pomorum</w:t>
            </w:r>
            <w:r>
              <w:t xml:space="preserve"> (Linnaeus, 1758)</w:t>
            </w:r>
          </w:p>
          <w:p w:rsidR="00B8782D" w:rsidRDefault="00B8782D">
            <w:pPr>
              <w:pStyle w:val="TableText"/>
            </w:pPr>
            <w:r>
              <w:t>[Curculionidae]</w:t>
            </w:r>
          </w:p>
          <w:p w:rsidR="00B8782D" w:rsidRDefault="00B8782D">
            <w:pPr>
              <w:pStyle w:val="TableText"/>
            </w:pPr>
            <w:r>
              <w:t>Apple blossom weevil</w:t>
            </w:r>
          </w:p>
        </w:tc>
        <w:tc>
          <w:tcPr>
            <w:tcW w:w="575" w:type="pct"/>
            <w:shd w:val="clear" w:color="auto" w:fill="auto"/>
          </w:tcPr>
          <w:p w:rsidR="00B8782D" w:rsidRDefault="00B8782D" w:rsidP="00750C8B">
            <w:pPr>
              <w:pStyle w:val="TableText"/>
            </w:pPr>
            <w:r>
              <w:t xml:space="preserve">Yes </w:t>
            </w:r>
            <w:r>
              <w:rPr>
                <w:noProof/>
              </w:rPr>
              <w:t>(Arakawa 1931)</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(Arakawa 1931)</w:t>
            </w:r>
            <w:r>
              <w:t xml:space="preserve">. Females deposit eggs in the tips of buds and larvae feed on the anthers, style and stigma </w:t>
            </w:r>
            <w:r>
              <w:rPr>
                <w:noProof/>
              </w:rPr>
              <w:t>(Schreiner 1914)</w:t>
            </w:r>
            <w:r>
              <w:t xml:space="preserve">. Newly emerged adults feed on leaves </w:t>
            </w:r>
            <w:r>
              <w:rPr>
                <w:noProof/>
              </w:rPr>
              <w:t>(Arakawa 1931)</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Anthonomus</w:t>
            </w:r>
            <w:r>
              <w:t xml:space="preserve"> sp.</w:t>
            </w:r>
          </w:p>
          <w:p w:rsidR="00B8782D" w:rsidRDefault="00B8782D">
            <w:pPr>
              <w:pStyle w:val="TableText"/>
            </w:pPr>
            <w:r>
              <w:t>[Curculionidae]</w:t>
            </w:r>
          </w:p>
          <w:p w:rsidR="00B8782D" w:rsidRDefault="00B8782D">
            <w:pPr>
              <w:pStyle w:val="TableText"/>
            </w:pPr>
            <w:r>
              <w:t>Peach blossom weevil</w:t>
            </w:r>
          </w:p>
        </w:tc>
        <w:tc>
          <w:tcPr>
            <w:tcW w:w="575" w:type="pct"/>
            <w:shd w:val="clear" w:color="auto" w:fill="auto"/>
          </w:tcPr>
          <w:p w:rsidR="00B8782D" w:rsidRDefault="00B8782D" w:rsidP="00750C8B">
            <w:pPr>
              <w:pStyle w:val="TableText"/>
            </w:pPr>
            <w:r>
              <w:t xml:space="preserve">Yes </w:t>
            </w:r>
            <w:r>
              <w:rPr>
                <w:noProof/>
              </w:rPr>
              <w:t>(Wu et al. 1995)</w:t>
            </w:r>
          </w:p>
        </w:tc>
        <w:tc>
          <w:tcPr>
            <w:tcW w:w="615" w:type="pct"/>
            <w:shd w:val="clear" w:color="auto" w:fill="auto"/>
          </w:tcPr>
          <w:p w:rsidR="00B8782D" w:rsidRDefault="00B8782D">
            <w:pPr>
              <w:pStyle w:val="TableText"/>
            </w:pPr>
            <w:r>
              <w:t>No records found of this genus</w:t>
            </w:r>
          </w:p>
        </w:tc>
        <w:tc>
          <w:tcPr>
            <w:tcW w:w="716" w:type="pct"/>
            <w:shd w:val="clear" w:color="auto" w:fill="auto"/>
          </w:tcPr>
          <w:p w:rsidR="00B8782D" w:rsidRDefault="00B8782D" w:rsidP="00750C8B">
            <w:pPr>
              <w:pStyle w:val="TableText"/>
            </w:pPr>
            <w:r>
              <w:t xml:space="preserve">No. Females deposit eggs singly on flower buds. The larvae feed on the flowers which fall to the ground, while adults feed on leaves </w:t>
            </w:r>
            <w:r>
              <w:rPr>
                <w:noProof/>
              </w:rPr>
              <w:t>(Wu et al. 1995)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Gametis jucunda</w:t>
            </w:r>
            <w:r>
              <w:t xml:space="preserve"> (Faldermann, 1835)</w:t>
            </w:r>
          </w:p>
          <w:p w:rsidR="00B8782D" w:rsidRDefault="00B8782D">
            <w:pPr>
              <w:pStyle w:val="TableText"/>
            </w:pPr>
            <w:r>
              <w:t>[Scarabaeidae]</w:t>
            </w:r>
          </w:p>
          <w:p w:rsidR="00B8782D" w:rsidRDefault="00B8782D">
            <w:pPr>
              <w:pStyle w:val="TableText"/>
            </w:pPr>
            <w:r>
              <w:t>Citrus flower chafer</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Feeds on leaves and stems of </w:t>
            </w:r>
            <w:r>
              <w:rPr>
                <w:i/>
              </w:rPr>
              <w:t>P. persica</w:t>
            </w:r>
            <w:r>
              <w:t xml:space="preserve"> </w:t>
            </w:r>
            <w:r>
              <w:rPr>
                <w:noProof/>
              </w:rPr>
              <w:t>(AQSIQ 2006b)</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Holotrichia diomphalia</w:t>
            </w:r>
            <w:r>
              <w:t xml:space="preserve"> (Bates, 1888)</w:t>
            </w:r>
          </w:p>
          <w:p w:rsidR="00B8782D" w:rsidRDefault="00B8782D">
            <w:pPr>
              <w:pStyle w:val="TableText"/>
            </w:pPr>
            <w:r>
              <w:t>[Scarabaeidae]</w:t>
            </w:r>
          </w:p>
          <w:p w:rsidR="00B8782D" w:rsidRDefault="00B8782D">
            <w:pPr>
              <w:pStyle w:val="TableText"/>
            </w:pPr>
            <w:r>
              <w:t>Northeast larger black chafer</w:t>
            </w:r>
          </w:p>
        </w:tc>
        <w:tc>
          <w:tcPr>
            <w:tcW w:w="575" w:type="pct"/>
            <w:shd w:val="clear" w:color="auto" w:fill="auto"/>
          </w:tcPr>
          <w:p w:rsidR="00B8782D" w:rsidRDefault="00B8782D" w:rsidP="00750C8B">
            <w:pPr>
              <w:pStyle w:val="TableText"/>
            </w:pPr>
            <w:r>
              <w:t xml:space="preserve">Yes </w:t>
            </w:r>
            <w:r>
              <w:rPr>
                <w:noProof/>
              </w:rPr>
              <w:t>(CAAS 1992; Tian &amp; Hu 1992)</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(CAAS 1992)</w:t>
            </w:r>
            <w:r>
              <w:t xml:space="preserve">. Adults feed on the leaves, and larvae feed on roots </w:t>
            </w:r>
            <w:r>
              <w:rPr>
                <w:noProof/>
              </w:rPr>
              <w:t>(Chuno, Chyi &amp; Wai 1960)</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Lamprodila limbata</w:t>
            </w:r>
            <w:r>
              <w:t xml:space="preserve"> (Gebler, 1832)</w:t>
            </w:r>
          </w:p>
          <w:p w:rsidR="00B8782D" w:rsidRDefault="00B8782D">
            <w:pPr>
              <w:pStyle w:val="TableText"/>
            </w:pPr>
            <w:r>
              <w:t>[Buprestidae]</w:t>
            </w:r>
          </w:p>
          <w:p w:rsidR="00B8782D" w:rsidRDefault="00B8782D">
            <w:pPr>
              <w:pStyle w:val="TableText"/>
            </w:pPr>
            <w:r>
              <w:t>Golden jewel beetle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stems and flowers of </w:t>
            </w:r>
            <w:r>
              <w:rPr>
                <w:i/>
              </w:rPr>
              <w:t>P. persica</w:t>
            </w:r>
            <w:r>
              <w:t xml:space="preserve"> </w:t>
            </w:r>
            <w:r>
              <w:rPr>
                <w:noProof/>
              </w:rPr>
              <w:t>(AQSIQ 2006b; CABI 2015)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Maladera orientalis</w:t>
            </w:r>
            <w:r>
              <w:t xml:space="preserve"> (Motschulsky, 1857)</w:t>
            </w:r>
          </w:p>
          <w:p w:rsidR="00B8782D" w:rsidRDefault="00B8782D">
            <w:pPr>
              <w:pStyle w:val="TableText"/>
            </w:pPr>
            <w:r>
              <w:t>[Scarabaeidae]</w:t>
            </w:r>
          </w:p>
          <w:p w:rsidR="00B8782D" w:rsidRDefault="00B8782D">
            <w:pPr>
              <w:pStyle w:val="TableText"/>
            </w:pPr>
            <w:r>
              <w:t>Smaller velvety chafer</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w:t>
            </w:r>
            <w:r>
              <w:rPr>
                <w:noProof/>
              </w:rPr>
              <w:t>(AQSIQ 2006b)</w:t>
            </w:r>
            <w:r>
              <w:t xml:space="preserve">. Generally, scarab beetle larvae feed on roots and adults feed on flowers and leaves </w:t>
            </w:r>
            <w:r>
              <w:rPr>
                <w:noProof/>
              </w:rPr>
              <w:t>(CABI 2015)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Popillia japonica</w:t>
            </w:r>
            <w:r>
              <w:t xml:space="preserve"> (Newman, 1841)</w:t>
            </w:r>
          </w:p>
          <w:p w:rsidR="00B8782D" w:rsidRDefault="00B8782D">
            <w:pPr>
              <w:pStyle w:val="TableText"/>
            </w:pPr>
            <w:r>
              <w:t>[Scarabaeidae]</w:t>
            </w:r>
          </w:p>
          <w:p w:rsidR="00B8782D" w:rsidRDefault="00B8782D">
            <w:pPr>
              <w:pStyle w:val="TableText"/>
            </w:pPr>
            <w:r>
              <w:t>Japanese beetle</w:t>
            </w:r>
          </w:p>
        </w:tc>
        <w:tc>
          <w:tcPr>
            <w:tcW w:w="575" w:type="pct"/>
            <w:shd w:val="clear" w:color="auto" w:fill="auto"/>
          </w:tcPr>
          <w:p w:rsidR="00B8782D" w:rsidRDefault="00B8782D" w:rsidP="00750C8B">
            <w:pPr>
              <w:pStyle w:val="TableText"/>
            </w:pPr>
            <w:r>
              <w:t xml:space="preserve">Yes. </w:t>
            </w:r>
            <w:r>
              <w:rPr>
                <w:i/>
              </w:rPr>
              <w:t>Popillia japonica</w:t>
            </w:r>
            <w:r>
              <w:t xml:space="preserve"> is reported as present in China </w:t>
            </w:r>
            <w:r>
              <w:rPr>
                <w:noProof/>
              </w:rPr>
              <w:t>(CAAS 1992; GAAS 2010)</w:t>
            </w:r>
            <w:r>
              <w:t xml:space="preserve">. However, MOA </w:t>
            </w:r>
            <w:r>
              <w:rPr>
                <w:noProof/>
              </w:rPr>
              <w:t>(2007)</w:t>
            </w:r>
            <w:r>
              <w:t xml:space="preserve"> lists </w:t>
            </w:r>
            <w:r>
              <w:rPr>
                <w:i/>
              </w:rPr>
              <w:t>P. japonica</w:t>
            </w:r>
            <w:r>
              <w:t xml:space="preserve"> as a quarantine pest for China. Some records may be a misidentification of </w:t>
            </w:r>
            <w:r>
              <w:rPr>
                <w:i/>
              </w:rPr>
              <w:t>P. quadriguttata</w:t>
            </w:r>
            <w:r>
              <w:t xml:space="preserve"> </w:t>
            </w:r>
            <w:r>
              <w:rPr>
                <w:noProof/>
              </w:rPr>
              <w:t>(An 1990)</w:t>
            </w:r>
            <w:r>
              <w:t xml:space="preserve">. Based on the available evidence, the Australian Government Department of Agriculture and Water Resources considers </w:t>
            </w:r>
            <w:r>
              <w:rPr>
                <w:i/>
              </w:rPr>
              <w:t>P. japonica</w:t>
            </w:r>
            <w:r>
              <w:t xml:space="preserve"> to be present in China.</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(Fleming 1972)</w:t>
            </w:r>
            <w:r>
              <w:t xml:space="preserve">. Larvae feed on plant roots, and eggs are preferentially laid in pasture and field crops </w:t>
            </w:r>
            <w:r>
              <w:rPr>
                <w:noProof/>
              </w:rPr>
              <w:t>(Fleming 1972)</w:t>
            </w:r>
            <w:r>
              <w:t xml:space="preserve">. Adults can attack the fruit of early ripening varieties of peaches, but otherwise feed on leaves, flowers and externally on fruit </w:t>
            </w:r>
            <w:r>
              <w:rPr>
                <w:noProof/>
              </w:rPr>
              <w:t>(Fleming 1972)</w:t>
            </w:r>
            <w:r>
              <w:t xml:space="preserve">. Adults are 8–10 millimetres long and brightly coloured </w:t>
            </w:r>
            <w:r>
              <w:rPr>
                <w:noProof/>
              </w:rPr>
              <w:t>(Fleming 1972)</w:t>
            </w:r>
            <w:r>
              <w:t>. Likely to be disturbed during picking and would easily be detected during the packing processes.</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Proagopertha lucidula</w:t>
            </w:r>
            <w:r>
              <w:t xml:space="preserve"> (Faldermann, 1835)</w:t>
            </w:r>
          </w:p>
          <w:p w:rsidR="00B8782D" w:rsidRDefault="00B8782D">
            <w:pPr>
              <w:pStyle w:val="TableText"/>
            </w:pPr>
            <w:r>
              <w:t>[Scarabaeidae]</w:t>
            </w:r>
          </w:p>
          <w:p w:rsidR="00B8782D" w:rsidRDefault="00B8782D">
            <w:pPr>
              <w:pStyle w:val="TableText"/>
            </w:pPr>
            <w:r>
              <w:t>Lucidula chafer</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No. Feeds on leaves and stems of </w:t>
            </w:r>
            <w:r>
              <w:rPr>
                <w:i/>
              </w:rPr>
              <w:t>P. persica</w:t>
            </w:r>
            <w:r>
              <w:t xml:space="preserve"> </w:t>
            </w:r>
            <w:r>
              <w:rPr>
                <w:noProof/>
              </w:rPr>
              <w:t>(AQSIQ 2006b)</w:t>
            </w:r>
            <w:r>
              <w:t xml:space="preserve">. Generally, larvae feed on roots and adults feed on flowers and leaves </w:t>
            </w:r>
            <w:r>
              <w:rPr>
                <w:noProof/>
              </w:rPr>
              <w:t>(CABI 2015)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Proagopertha pubicollis</w:t>
            </w:r>
            <w:r>
              <w:t xml:space="preserve"> (Waterhouse, 1875)</w:t>
            </w:r>
          </w:p>
          <w:p w:rsidR="00B8782D" w:rsidRDefault="00B8782D">
            <w:pPr>
              <w:pStyle w:val="TableText"/>
            </w:pPr>
            <w:r>
              <w:t>[Scarabaeidae]</w:t>
            </w:r>
          </w:p>
          <w:p w:rsidR="00B8782D" w:rsidRDefault="00B8782D">
            <w:pPr>
              <w:pStyle w:val="TableText"/>
            </w:pPr>
            <w:r>
              <w:t>Apple hairy chafer</w:t>
            </w:r>
          </w:p>
        </w:tc>
        <w:tc>
          <w:tcPr>
            <w:tcW w:w="575" w:type="pct"/>
            <w:shd w:val="clear" w:color="auto" w:fill="auto"/>
          </w:tcPr>
          <w:p w:rsidR="00B8782D" w:rsidRDefault="00B8782D" w:rsidP="00750C8B">
            <w:pPr>
              <w:pStyle w:val="TableText"/>
            </w:pPr>
            <w:r>
              <w:t xml:space="preserve">Yes </w:t>
            </w:r>
            <w:r>
              <w:rPr>
                <w:noProof/>
              </w:rPr>
              <w:t>(CIQSA 2001c)</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(CIQSA 2001c)</w:t>
            </w:r>
            <w:r>
              <w:t xml:space="preserve">. Generally, larval scarabs feed on roots and adults feed on flowers and leaves </w:t>
            </w:r>
            <w:r>
              <w:rPr>
                <w:noProof/>
              </w:rPr>
              <w:t>(CABI 2015)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Protaetia brevitarsis</w:t>
            </w:r>
            <w:r>
              <w:t xml:space="preserve"> Lewis, 1879</w:t>
            </w:r>
          </w:p>
          <w:p w:rsidR="00B8782D" w:rsidRDefault="00B8782D">
            <w:pPr>
              <w:pStyle w:val="TableText"/>
            </w:pPr>
            <w:r>
              <w:t>[Scarabaeidae]</w:t>
            </w:r>
          </w:p>
          <w:p w:rsidR="00B8782D" w:rsidRDefault="00B8782D">
            <w:pPr>
              <w:pStyle w:val="TableText"/>
            </w:pPr>
            <w:r>
              <w:t>White-spotted flower chafer</w:t>
            </w:r>
          </w:p>
        </w:tc>
        <w:tc>
          <w:tcPr>
            <w:tcW w:w="575" w:type="pct"/>
            <w:shd w:val="clear" w:color="auto" w:fill="auto"/>
          </w:tcPr>
          <w:p w:rsidR="00B8782D" w:rsidRDefault="00B8782D" w:rsidP="00750C8B">
            <w:pPr>
              <w:pStyle w:val="TableText"/>
            </w:pPr>
            <w:r>
              <w:t xml:space="preserve">Yes </w:t>
            </w:r>
            <w:r>
              <w:rPr>
                <w:noProof/>
              </w:rPr>
              <w:t>(CIQSA 2001c)</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(CIQSA 2001c)</w:t>
            </w:r>
            <w:r>
              <w:t xml:space="preserve">. Generally, larval scarabs feed on roots and adults feed on flowers and leaves </w:t>
            </w:r>
            <w:r>
              <w:rPr>
                <w:noProof/>
              </w:rPr>
              <w:t>(CABI 2015)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Rhynchites auratus</w:t>
            </w:r>
            <w:r>
              <w:t xml:space="preserve"> (Scopoli, 1763)</w:t>
            </w:r>
          </w:p>
          <w:p w:rsidR="00B8782D" w:rsidRDefault="00B8782D">
            <w:pPr>
              <w:pStyle w:val="TableText"/>
            </w:pPr>
            <w:r>
              <w:t>[Rhynchitidae]</w:t>
            </w:r>
          </w:p>
          <w:p w:rsidR="00B8782D" w:rsidRDefault="00B8782D">
            <w:pPr>
              <w:pStyle w:val="TableText"/>
            </w:pPr>
            <w:r>
              <w:t>Cherry weevil</w:t>
            </w:r>
          </w:p>
        </w:tc>
        <w:tc>
          <w:tcPr>
            <w:tcW w:w="575" w:type="pct"/>
            <w:shd w:val="clear" w:color="auto" w:fill="auto"/>
          </w:tcPr>
          <w:p w:rsidR="00B8782D" w:rsidRDefault="00B8782D" w:rsidP="00750C8B">
            <w:pPr>
              <w:pStyle w:val="TableText"/>
            </w:pPr>
            <w:r>
              <w:t xml:space="preserve">Yes </w:t>
            </w:r>
            <w:r>
              <w:rPr>
                <w:noProof/>
              </w:rPr>
              <w:t>(CAAS 1992; Wang et al. 1998)</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Associated with </w:t>
            </w:r>
            <w:r>
              <w:rPr>
                <w:i/>
              </w:rPr>
              <w:t>P. persica</w:t>
            </w:r>
            <w:r>
              <w:t xml:space="preserve"> </w:t>
            </w:r>
            <w:r>
              <w:rPr>
                <w:noProof/>
              </w:rPr>
              <w:t>(Dezianian 2005)</w:t>
            </w:r>
            <w:r>
              <w:t xml:space="preserve">. Females oviposit deep into the fruit pulp where the larvae develop </w:t>
            </w:r>
            <w:r>
              <w:rPr>
                <w:noProof/>
              </w:rPr>
              <w:t>(Booth, Cox &amp; Madge 1990)</w:t>
            </w:r>
            <w:r>
              <w:t xml:space="preserve">. </w:t>
            </w:r>
          </w:p>
        </w:tc>
        <w:tc>
          <w:tcPr>
            <w:tcW w:w="717" w:type="pct"/>
            <w:shd w:val="clear" w:color="auto" w:fill="auto"/>
          </w:tcPr>
          <w:p w:rsidR="00B8782D" w:rsidRDefault="00B8782D" w:rsidP="00750C8B">
            <w:pPr>
              <w:pStyle w:val="TableText"/>
            </w:pPr>
            <w:r>
              <w:t xml:space="preserve">Yes. Hosts of this species include apple and stonefruit </w:t>
            </w:r>
            <w:r>
              <w:rPr>
                <w:noProof/>
              </w:rPr>
              <w:t>(Booth, Cox &amp; Madge 1990; Dezianian 2005)</w:t>
            </w:r>
            <w:r>
              <w:t xml:space="preserve">. These hosts are distributed throughout Australia in domestic, commercial and wild environments where the weevils could establish. </w:t>
            </w:r>
            <w:r>
              <w:rPr>
                <w:i/>
              </w:rPr>
              <w:t>Rhynchites auratus</w:t>
            </w:r>
            <w:r>
              <w:t xml:space="preserve"> is currently distributed from Europe to Siberia </w:t>
            </w:r>
            <w:r>
              <w:rPr>
                <w:noProof/>
              </w:rPr>
              <w:t>(Booth, Cox &amp; Madge 1990)</w:t>
            </w:r>
            <w:r>
              <w:t>. These regions span a range of climate types, many of which are similar to temperate areas throughout much of Australia.</w:t>
            </w:r>
          </w:p>
        </w:tc>
        <w:tc>
          <w:tcPr>
            <w:tcW w:w="716" w:type="pct"/>
            <w:shd w:val="clear" w:color="auto" w:fill="auto"/>
          </w:tcPr>
          <w:p w:rsidR="00B8782D" w:rsidRDefault="00B8782D" w:rsidP="00750C8B">
            <w:pPr>
              <w:pStyle w:val="TableText"/>
            </w:pPr>
            <w:r>
              <w:t xml:space="preserve">Yes. Serious pest in Europe and Asia </w:t>
            </w:r>
            <w:r>
              <w:rPr>
                <w:noProof/>
              </w:rPr>
              <w:t>(Booth, Cox &amp; Madge 1990; Wang et al. 1998)</w:t>
            </w:r>
            <w:r>
              <w:t xml:space="preserve">. A major pest of cherry and minor pest of apricot, peach, plum and almond in Iran </w:t>
            </w:r>
            <w:r>
              <w:rPr>
                <w:noProof/>
              </w:rPr>
              <w:t>(Dezianian 2005)</w:t>
            </w:r>
            <w:r>
              <w:t>.</w:t>
            </w:r>
          </w:p>
        </w:tc>
        <w:tc>
          <w:tcPr>
            <w:tcW w:w="574" w:type="pct"/>
            <w:shd w:val="clear" w:color="auto" w:fill="auto"/>
          </w:tcPr>
          <w:p w:rsidR="00B8782D" w:rsidRDefault="00B8782D">
            <w:pPr>
              <w:pStyle w:val="TableText"/>
            </w:pPr>
            <w:r>
              <w:t>Yes (EP)</w:t>
            </w:r>
          </w:p>
        </w:tc>
      </w:tr>
      <w:tr w:rsidR="00B8782D">
        <w:trPr>
          <w:cantSplit/>
          <w:trHeight w:val="75"/>
          <w:jc w:val="center"/>
        </w:trPr>
        <w:tc>
          <w:tcPr>
            <w:tcW w:w="1087" w:type="pct"/>
            <w:shd w:val="clear" w:color="auto" w:fill="auto"/>
          </w:tcPr>
          <w:p w:rsidR="00B8782D" w:rsidRDefault="00B8782D">
            <w:pPr>
              <w:pStyle w:val="TableText"/>
            </w:pPr>
            <w:r>
              <w:rPr>
                <w:i/>
              </w:rPr>
              <w:t>Rhynchites confragosicollis</w:t>
            </w:r>
            <w:r>
              <w:t xml:space="preserve"> Voss, 1933</w:t>
            </w:r>
          </w:p>
          <w:p w:rsidR="00B8782D" w:rsidRDefault="00B8782D">
            <w:pPr>
              <w:pStyle w:val="TableText"/>
            </w:pPr>
            <w:r>
              <w:t>[Rhynchitidae]</w:t>
            </w:r>
          </w:p>
          <w:p w:rsidR="00B8782D" w:rsidRDefault="00B8782D">
            <w:pPr>
              <w:pStyle w:val="TableText"/>
            </w:pPr>
            <w:r>
              <w:t>Peach curculio</w:t>
            </w:r>
          </w:p>
        </w:tc>
        <w:tc>
          <w:tcPr>
            <w:tcW w:w="575" w:type="pct"/>
            <w:shd w:val="clear" w:color="auto" w:fill="auto"/>
          </w:tcPr>
          <w:p w:rsidR="00B8782D" w:rsidRDefault="00B8782D" w:rsidP="00750C8B">
            <w:pPr>
              <w:pStyle w:val="TableText"/>
            </w:pPr>
            <w:r>
              <w:t xml:space="preserve">Yes </w:t>
            </w:r>
            <w:r>
              <w:rPr>
                <w:noProof/>
              </w:rPr>
              <w:t>(CIQSA 2001a, c; 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Associated with </w:t>
            </w:r>
            <w:r>
              <w:rPr>
                <w:i/>
              </w:rPr>
              <w:t>P. persica</w:t>
            </w:r>
            <w:r>
              <w:t xml:space="preserve"> </w:t>
            </w:r>
            <w:r>
              <w:rPr>
                <w:noProof/>
              </w:rPr>
              <w:t>(Li, Wang &amp; Waterhouse 1997)</w:t>
            </w:r>
            <w:r>
              <w:t xml:space="preserve">. Other weevils in this genus oviposit in the fruit where the larvae develop </w:t>
            </w:r>
            <w:r>
              <w:rPr>
                <w:noProof/>
              </w:rPr>
              <w:t>(Booth, Cox &amp; Madge 1990; Hanson 1963; Katsumata 1934)</w:t>
            </w:r>
            <w:r>
              <w:t>.</w:t>
            </w:r>
          </w:p>
        </w:tc>
        <w:tc>
          <w:tcPr>
            <w:tcW w:w="717" w:type="pct"/>
            <w:shd w:val="clear" w:color="auto" w:fill="auto"/>
          </w:tcPr>
          <w:p w:rsidR="00B8782D" w:rsidRDefault="00B8782D" w:rsidP="00750C8B">
            <w:pPr>
              <w:pStyle w:val="TableText"/>
            </w:pPr>
            <w:r>
              <w:t xml:space="preserve">Yes. Pest of </w:t>
            </w:r>
            <w:r>
              <w:rPr>
                <w:i/>
              </w:rPr>
              <w:t>P. persica</w:t>
            </w:r>
            <w:r>
              <w:t xml:space="preserve"> trees in China </w:t>
            </w:r>
            <w:r>
              <w:rPr>
                <w:noProof/>
              </w:rPr>
              <w:t>(Li, Wang &amp; Waterhouse 1997)</w:t>
            </w:r>
            <w:r>
              <w:t xml:space="preserve">. These hosts are distributed throughout Australia. The climate in areas where </w:t>
            </w:r>
            <w:r>
              <w:rPr>
                <w:i/>
              </w:rPr>
              <w:t>R. confragosicollis</w:t>
            </w:r>
            <w:r>
              <w:t xml:space="preserve"> occurs is similar to temperate areas in Australia.</w:t>
            </w:r>
          </w:p>
        </w:tc>
        <w:tc>
          <w:tcPr>
            <w:tcW w:w="716" w:type="pct"/>
            <w:shd w:val="clear" w:color="auto" w:fill="auto"/>
          </w:tcPr>
          <w:p w:rsidR="00B8782D" w:rsidRDefault="00B8782D">
            <w:pPr>
              <w:pStyle w:val="TableText"/>
            </w:pPr>
            <w:r>
              <w:t>Yes. Limited information is available on this species. However, other species within this genus have the potential for economic consequences.</w:t>
            </w:r>
          </w:p>
        </w:tc>
        <w:tc>
          <w:tcPr>
            <w:tcW w:w="574" w:type="pct"/>
            <w:shd w:val="clear" w:color="auto" w:fill="auto"/>
          </w:tcPr>
          <w:p w:rsidR="00B8782D" w:rsidRDefault="00B8782D">
            <w:pPr>
              <w:pStyle w:val="TableText"/>
            </w:pPr>
            <w:r>
              <w:t>Yes</w:t>
            </w:r>
          </w:p>
        </w:tc>
      </w:tr>
      <w:tr w:rsidR="00B8782D">
        <w:trPr>
          <w:cantSplit/>
          <w:trHeight w:val="75"/>
          <w:jc w:val="center"/>
        </w:trPr>
        <w:tc>
          <w:tcPr>
            <w:tcW w:w="1087" w:type="pct"/>
            <w:shd w:val="clear" w:color="auto" w:fill="auto"/>
          </w:tcPr>
          <w:p w:rsidR="00B8782D" w:rsidRDefault="00B8782D">
            <w:pPr>
              <w:pStyle w:val="TableText"/>
            </w:pPr>
            <w:r>
              <w:rPr>
                <w:i/>
              </w:rPr>
              <w:lastRenderedPageBreak/>
              <w:t>Rhynchites faldermanni</w:t>
            </w:r>
            <w:r>
              <w:t xml:space="preserve"> Schoenherr, 1839</w:t>
            </w:r>
          </w:p>
          <w:p w:rsidR="00B8782D" w:rsidRDefault="00B8782D">
            <w:pPr>
              <w:pStyle w:val="TableText"/>
            </w:pPr>
            <w:r>
              <w:t>[Rhynchitidae]</w:t>
            </w:r>
          </w:p>
          <w:p w:rsidR="00B8782D" w:rsidRDefault="00B8782D">
            <w:pPr>
              <w:pStyle w:val="TableText"/>
            </w:pPr>
            <w:r>
              <w:t>Peach weevil</w:t>
            </w:r>
          </w:p>
        </w:tc>
        <w:tc>
          <w:tcPr>
            <w:tcW w:w="575" w:type="pct"/>
            <w:shd w:val="clear" w:color="auto" w:fill="auto"/>
          </w:tcPr>
          <w:p w:rsidR="00B8782D" w:rsidRDefault="00B8782D" w:rsidP="00750C8B">
            <w:pPr>
              <w:pStyle w:val="TableText"/>
            </w:pPr>
            <w:r>
              <w:t xml:space="preserve">Yes </w:t>
            </w:r>
            <w:r>
              <w:rPr>
                <w:noProof/>
              </w:rPr>
              <w:t>(CAAS 1992; China Plant Pests 2007)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Associated with </w:t>
            </w:r>
            <w:r>
              <w:rPr>
                <w:i/>
              </w:rPr>
              <w:t>P. persica</w:t>
            </w:r>
            <w:r>
              <w:t xml:space="preserve"> </w:t>
            </w:r>
            <w:r>
              <w:rPr>
                <w:noProof/>
              </w:rPr>
              <w:t>(China Plant Pests 2007)</w:t>
            </w:r>
            <w:r>
              <w:t xml:space="preserve">. Other weevils in this genus oviposit in the fruit where the larvae develop </w:t>
            </w:r>
            <w:r>
              <w:rPr>
                <w:noProof/>
              </w:rPr>
              <w:t>(Booth, Cox &amp; Madge 1990; Hanson 1963; Katsumata 1934)</w:t>
            </w:r>
            <w:r>
              <w:t>.</w:t>
            </w:r>
          </w:p>
        </w:tc>
        <w:tc>
          <w:tcPr>
            <w:tcW w:w="717" w:type="pct"/>
            <w:shd w:val="clear" w:color="auto" w:fill="auto"/>
          </w:tcPr>
          <w:p w:rsidR="00B8782D" w:rsidRDefault="00B8782D" w:rsidP="00750C8B">
            <w:pPr>
              <w:pStyle w:val="TableText"/>
            </w:pPr>
            <w:r>
              <w:t xml:space="preserve">Yes. Pest of </w:t>
            </w:r>
            <w:r>
              <w:rPr>
                <w:i/>
              </w:rPr>
              <w:t>P. persica</w:t>
            </w:r>
            <w:r>
              <w:t xml:space="preserve"> in China </w:t>
            </w:r>
            <w:r>
              <w:rPr>
                <w:noProof/>
              </w:rPr>
              <w:t>(China Plant Pests 2007)</w:t>
            </w:r>
            <w:r>
              <w:t xml:space="preserve">. These hosts are distributed throughout Australia. Climatic conditions in the Russian Far East, China and Korea where </w:t>
            </w:r>
            <w:r>
              <w:rPr>
                <w:i/>
              </w:rPr>
              <w:t>R. faldermanni</w:t>
            </w:r>
            <w:r>
              <w:t xml:space="preserve"> currently occurs are similar to some temperate areas of Australia.</w:t>
            </w:r>
          </w:p>
        </w:tc>
        <w:tc>
          <w:tcPr>
            <w:tcW w:w="716" w:type="pct"/>
            <w:shd w:val="clear" w:color="auto" w:fill="auto"/>
          </w:tcPr>
          <w:p w:rsidR="00B8782D" w:rsidRDefault="00B8782D" w:rsidP="00750C8B">
            <w:pPr>
              <w:pStyle w:val="TableText"/>
            </w:pPr>
            <w:r>
              <w:t xml:space="preserve">Yes. This species causes significant fruit drop </w:t>
            </w:r>
            <w:r>
              <w:rPr>
                <w:noProof/>
              </w:rPr>
              <w:t>(China Plant Pests 2007)</w:t>
            </w:r>
            <w:r>
              <w:t>.</w:t>
            </w:r>
          </w:p>
        </w:tc>
        <w:tc>
          <w:tcPr>
            <w:tcW w:w="574" w:type="pct"/>
            <w:shd w:val="clear" w:color="auto" w:fill="auto"/>
          </w:tcPr>
          <w:p w:rsidR="00B8782D" w:rsidRDefault="00B8782D">
            <w:pPr>
              <w:pStyle w:val="TableText"/>
            </w:pPr>
            <w:r>
              <w:t>Yes</w:t>
            </w:r>
          </w:p>
        </w:tc>
      </w:tr>
      <w:tr w:rsidR="00B8782D">
        <w:trPr>
          <w:cantSplit/>
          <w:trHeight w:val="75"/>
          <w:jc w:val="center"/>
        </w:trPr>
        <w:tc>
          <w:tcPr>
            <w:tcW w:w="1087" w:type="pct"/>
            <w:shd w:val="clear" w:color="auto" w:fill="auto"/>
          </w:tcPr>
          <w:p w:rsidR="00B8782D" w:rsidRDefault="00B8782D">
            <w:pPr>
              <w:pStyle w:val="TableText"/>
            </w:pPr>
            <w:r>
              <w:rPr>
                <w:i/>
              </w:rPr>
              <w:t>Rhynchites heros</w:t>
            </w:r>
            <w:r>
              <w:t xml:space="preserve"> Roelofs, 1874</w:t>
            </w:r>
          </w:p>
          <w:p w:rsidR="00B8782D" w:rsidRDefault="00B8782D">
            <w:pPr>
              <w:pStyle w:val="TableText"/>
            </w:pPr>
            <w:r>
              <w:t>[Rhynchitidae]</w:t>
            </w:r>
          </w:p>
          <w:p w:rsidR="00B8782D" w:rsidRDefault="00B8782D">
            <w:pPr>
              <w:pStyle w:val="TableText"/>
            </w:pPr>
            <w:r>
              <w:t>Pear leaf weevil</w:t>
            </w:r>
          </w:p>
        </w:tc>
        <w:tc>
          <w:tcPr>
            <w:tcW w:w="575" w:type="pct"/>
            <w:shd w:val="clear" w:color="auto" w:fill="auto"/>
          </w:tcPr>
          <w:p w:rsidR="00B8782D" w:rsidRDefault="00B8782D" w:rsidP="00750C8B">
            <w:pPr>
              <w:pStyle w:val="TableText"/>
            </w:pPr>
            <w:r>
              <w:t xml:space="preserve">Yes </w:t>
            </w:r>
            <w:r>
              <w:rPr>
                <w:noProof/>
              </w:rPr>
              <w:t>(CAAS 1992; CIQSA 2001b; 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Associated with </w:t>
            </w:r>
            <w:r>
              <w:rPr>
                <w:i/>
              </w:rPr>
              <w:t>P. persica</w:t>
            </w:r>
            <w:r>
              <w:t xml:space="preserve"> </w:t>
            </w:r>
            <w:r>
              <w:rPr>
                <w:noProof/>
              </w:rPr>
              <w:t>(Li, Wang &amp; Waterhouse 1997)</w:t>
            </w:r>
            <w:r>
              <w:t xml:space="preserve">. Females deposit eggs in young fruit </w:t>
            </w:r>
            <w:r>
              <w:rPr>
                <w:noProof/>
              </w:rPr>
              <w:t>(Hanson 1963; Katsumata 1934)</w:t>
            </w:r>
            <w:r>
              <w:t xml:space="preserve">. </w:t>
            </w:r>
          </w:p>
        </w:tc>
        <w:tc>
          <w:tcPr>
            <w:tcW w:w="717" w:type="pct"/>
            <w:shd w:val="clear" w:color="auto" w:fill="auto"/>
          </w:tcPr>
          <w:p w:rsidR="00B8782D" w:rsidRDefault="00B8782D" w:rsidP="00750C8B">
            <w:pPr>
              <w:pStyle w:val="TableText"/>
            </w:pPr>
            <w:r>
              <w:t xml:space="preserve">Yes. Hosts of </w:t>
            </w:r>
            <w:r>
              <w:rPr>
                <w:i/>
              </w:rPr>
              <w:t>R. heros</w:t>
            </w:r>
            <w:r>
              <w:t xml:space="preserve"> are fruit trees such as apple, pear, stonefruit, fig, quince and loquat </w:t>
            </w:r>
            <w:r>
              <w:rPr>
                <w:noProof/>
              </w:rPr>
              <w:t>(USDA 1958)</w:t>
            </w:r>
            <w:r>
              <w:t xml:space="preserve">. Suitable hosts are distributed throughout Australia. </w:t>
            </w:r>
            <w:r>
              <w:rPr>
                <w:i/>
              </w:rPr>
              <w:t>Rhynchites heros</w:t>
            </w:r>
            <w:r>
              <w:t xml:space="preserve"> is distributed in China, Japan and Korea </w:t>
            </w:r>
            <w:r>
              <w:rPr>
                <w:noProof/>
              </w:rPr>
              <w:t>(USDA 1958)</w:t>
            </w:r>
            <w:r>
              <w:t>. These regions have similar climates to temperate regions of Australia.</w:t>
            </w:r>
          </w:p>
        </w:tc>
        <w:tc>
          <w:tcPr>
            <w:tcW w:w="716" w:type="pct"/>
            <w:shd w:val="clear" w:color="auto" w:fill="auto"/>
          </w:tcPr>
          <w:p w:rsidR="00B8782D" w:rsidRDefault="00B8782D" w:rsidP="00750C8B">
            <w:pPr>
              <w:pStyle w:val="TableText"/>
            </w:pPr>
            <w:r>
              <w:t xml:space="preserve">Yes. Considered one of the most serious pests of fruit in China </w:t>
            </w:r>
            <w:r>
              <w:rPr>
                <w:noProof/>
              </w:rPr>
              <w:t>(Hanson 1963)</w:t>
            </w:r>
            <w:r>
              <w:t>.</w:t>
            </w:r>
          </w:p>
        </w:tc>
        <w:tc>
          <w:tcPr>
            <w:tcW w:w="574" w:type="pct"/>
            <w:shd w:val="clear" w:color="auto" w:fill="auto"/>
          </w:tcPr>
          <w:p w:rsidR="00B8782D" w:rsidRDefault="00B8782D">
            <w:pPr>
              <w:pStyle w:val="TableText"/>
            </w:pPr>
            <w:r>
              <w:t>Yes (EP)</w:t>
            </w:r>
          </w:p>
        </w:tc>
      </w:tr>
      <w:tr w:rsidR="00B8782D">
        <w:trPr>
          <w:cantSplit/>
          <w:trHeight w:val="75"/>
          <w:jc w:val="center"/>
        </w:trPr>
        <w:tc>
          <w:tcPr>
            <w:tcW w:w="1087" w:type="pct"/>
            <w:shd w:val="clear" w:color="auto" w:fill="auto"/>
          </w:tcPr>
          <w:p w:rsidR="00B8782D" w:rsidRDefault="00B8782D">
            <w:pPr>
              <w:pStyle w:val="TableText"/>
            </w:pPr>
            <w:r>
              <w:rPr>
                <w:i/>
              </w:rPr>
              <w:t>Urophorus humeralis</w:t>
            </w:r>
            <w:r>
              <w:t xml:space="preserve"> (Fabricius, 1798)</w:t>
            </w:r>
          </w:p>
          <w:p w:rsidR="00B8782D" w:rsidRDefault="00B8782D">
            <w:pPr>
              <w:pStyle w:val="TableText"/>
            </w:pPr>
            <w:r>
              <w:t xml:space="preserve">Synonym: </w:t>
            </w:r>
            <w:r>
              <w:rPr>
                <w:i/>
              </w:rPr>
              <w:t>Carpophilus humeralis</w:t>
            </w:r>
            <w:r>
              <w:t xml:space="preserve"> (Fabricius, 1798)</w:t>
            </w:r>
          </w:p>
          <w:p w:rsidR="00B8782D" w:rsidRDefault="00B8782D">
            <w:pPr>
              <w:pStyle w:val="TableText"/>
            </w:pPr>
            <w:r>
              <w:t>[Nitidulidae]</w:t>
            </w:r>
          </w:p>
          <w:p w:rsidR="00B8782D" w:rsidRDefault="00B8782D">
            <w:pPr>
              <w:pStyle w:val="TableText"/>
            </w:pPr>
            <w:r>
              <w:t>Pineapple sap beetle</w:t>
            </w:r>
          </w:p>
          <w:p w:rsidR="00B8782D" w:rsidRDefault="00B8782D">
            <w:pPr>
              <w:pStyle w:val="TableText"/>
            </w:pPr>
          </w:p>
        </w:tc>
        <w:tc>
          <w:tcPr>
            <w:tcW w:w="575" w:type="pct"/>
            <w:shd w:val="clear" w:color="auto" w:fill="auto"/>
          </w:tcPr>
          <w:p w:rsidR="00B8782D" w:rsidRDefault="00B8782D" w:rsidP="00750C8B">
            <w:pPr>
              <w:pStyle w:val="TableText"/>
            </w:pPr>
            <w:r>
              <w:t xml:space="preserve">Yes </w:t>
            </w:r>
            <w:r>
              <w:rPr>
                <w:noProof/>
              </w:rPr>
              <w:t>(CABI 2015)</w:t>
            </w:r>
          </w:p>
        </w:tc>
        <w:tc>
          <w:tcPr>
            <w:tcW w:w="615" w:type="pct"/>
            <w:shd w:val="clear" w:color="auto" w:fill="auto"/>
          </w:tcPr>
          <w:p w:rsidR="00B8782D" w:rsidRDefault="00B8782D" w:rsidP="00750C8B">
            <w:pPr>
              <w:pStyle w:val="TableText"/>
            </w:pPr>
            <w:r>
              <w:t xml:space="preserve">Yes. All states and territories </w:t>
            </w:r>
            <w:r>
              <w:rPr>
                <w:noProof/>
              </w:rPr>
              <w:t>(James, Faulder &amp; Bartelt 1995; James et al. 2000; 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5000" w:type="pct"/>
            <w:gridSpan w:val="7"/>
            <w:shd w:val="clear" w:color="auto" w:fill="auto"/>
          </w:tcPr>
          <w:p w:rsidR="00B8782D" w:rsidRDefault="00B8782D">
            <w:pPr>
              <w:pStyle w:val="TableText"/>
              <w:rPr>
                <w:b/>
              </w:rPr>
            </w:pPr>
            <w:r>
              <w:rPr>
                <w:b/>
              </w:rPr>
              <w:lastRenderedPageBreak/>
              <w:t>Diptera</w:t>
            </w:r>
          </w:p>
        </w:tc>
      </w:tr>
      <w:tr w:rsidR="00B8782D">
        <w:trPr>
          <w:cantSplit/>
          <w:trHeight w:val="75"/>
          <w:jc w:val="center"/>
        </w:trPr>
        <w:tc>
          <w:tcPr>
            <w:tcW w:w="1087" w:type="pct"/>
            <w:shd w:val="clear" w:color="auto" w:fill="auto"/>
          </w:tcPr>
          <w:p w:rsidR="00B8782D" w:rsidRDefault="00B8782D">
            <w:pPr>
              <w:pStyle w:val="TableText"/>
            </w:pPr>
            <w:r>
              <w:rPr>
                <w:i/>
              </w:rPr>
              <w:t>Bactrocera correcta</w:t>
            </w:r>
            <w:r>
              <w:t xml:space="preserve"> (Bezzi, 1916)</w:t>
            </w:r>
          </w:p>
          <w:p w:rsidR="00B8782D" w:rsidRDefault="00B8782D">
            <w:pPr>
              <w:pStyle w:val="TableText"/>
            </w:pPr>
            <w:r>
              <w:t>[Tephritidae]</w:t>
            </w:r>
          </w:p>
          <w:p w:rsidR="00B8782D" w:rsidRDefault="00B8782D">
            <w:pPr>
              <w:pStyle w:val="TableText"/>
            </w:pPr>
            <w:r>
              <w:t>Guava fruit fly</w:t>
            </w:r>
          </w:p>
        </w:tc>
        <w:tc>
          <w:tcPr>
            <w:tcW w:w="575" w:type="pct"/>
            <w:shd w:val="clear" w:color="auto" w:fill="auto"/>
          </w:tcPr>
          <w:p w:rsidR="00B8782D" w:rsidRDefault="00B8782D" w:rsidP="00750C8B">
            <w:pPr>
              <w:pStyle w:val="TableText"/>
            </w:pPr>
            <w:r>
              <w:t xml:space="preserve">Yes </w:t>
            </w:r>
            <w:r>
              <w:rPr>
                <w:noProof/>
              </w:rPr>
              <w:t>(Li, Wang &amp; Waterhouse 1997)</w:t>
            </w:r>
            <w:r>
              <w:t>.</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pPr>
              <w:pStyle w:val="TableText"/>
            </w:pPr>
            <w:r>
              <w:t xml:space="preserve">Yes. Associated with </w:t>
            </w:r>
            <w:r>
              <w:rPr>
                <w:i/>
              </w:rPr>
              <w:t>P. persica</w:t>
            </w:r>
            <w:r>
              <w:t xml:space="preserve"> </w:t>
            </w:r>
            <w:r>
              <w:rPr>
                <w:noProof/>
              </w:rPr>
              <w:t>(CABI 2015; Steck 2002)</w:t>
            </w:r>
            <w:r>
              <w:t xml:space="preserve">. Lays eggs on the skin of the fruit and the larvae bore into the fruit </w:t>
            </w:r>
            <w:r>
              <w:rPr>
                <w:noProof/>
              </w:rPr>
              <w:t>(CABI 2015)</w:t>
            </w:r>
            <w:r>
              <w:t>.</w:t>
            </w:r>
          </w:p>
          <w:p w:rsidR="00B8782D" w:rsidRDefault="00B8782D" w:rsidP="00750C8B">
            <w:pPr>
              <w:pStyle w:val="TableText"/>
            </w:pPr>
            <w:r>
              <w:rPr>
                <w:i/>
              </w:rPr>
              <w:t>Bactrocera correcta</w:t>
            </w:r>
            <w:r>
              <w:t xml:space="preserve"> is a quarantine pest of China. Limited distribution in south and southwest China </w:t>
            </w:r>
            <w:r>
              <w:rPr>
                <w:noProof/>
              </w:rPr>
              <w:t>(Li, Wang &amp; Waterhouse 1997)</w:t>
            </w:r>
            <w:r>
              <w:t>.</w:t>
            </w:r>
          </w:p>
        </w:tc>
        <w:tc>
          <w:tcPr>
            <w:tcW w:w="717" w:type="pct"/>
            <w:shd w:val="clear" w:color="auto" w:fill="auto"/>
          </w:tcPr>
          <w:p w:rsidR="00B8782D" w:rsidRDefault="00B8782D" w:rsidP="00750C8B">
            <w:pPr>
              <w:pStyle w:val="TableText"/>
            </w:pPr>
            <w:r>
              <w:t xml:space="preserve">Yes. Hosts of this pest include pawpaw, mango, cherry and peach and it is found across Asia </w:t>
            </w:r>
            <w:r>
              <w:rPr>
                <w:noProof/>
              </w:rPr>
              <w:t>(CABI 2015)</w:t>
            </w:r>
            <w:r>
              <w:t xml:space="preserve">. Its hosts, and geographic, range suggest that it could establish and spread in Australia. </w:t>
            </w:r>
          </w:p>
        </w:tc>
        <w:tc>
          <w:tcPr>
            <w:tcW w:w="716" w:type="pct"/>
            <w:shd w:val="clear" w:color="auto" w:fill="auto"/>
          </w:tcPr>
          <w:p w:rsidR="00B8782D" w:rsidRDefault="00B8782D" w:rsidP="00750C8B">
            <w:pPr>
              <w:pStyle w:val="TableText"/>
            </w:pPr>
            <w:r>
              <w:t xml:space="preserve">Yes. This pest has caused up to 80 per cent damage in guava crops </w:t>
            </w:r>
            <w:r>
              <w:rPr>
                <w:noProof/>
              </w:rPr>
              <w:t>(CABI 2015)</w:t>
            </w:r>
            <w:r>
              <w:t>.</w:t>
            </w:r>
          </w:p>
        </w:tc>
        <w:tc>
          <w:tcPr>
            <w:tcW w:w="574" w:type="pct"/>
            <w:shd w:val="clear" w:color="auto" w:fill="auto"/>
          </w:tcPr>
          <w:p w:rsidR="00B8782D" w:rsidRDefault="00B8782D">
            <w:pPr>
              <w:pStyle w:val="TableText"/>
            </w:pPr>
            <w:r>
              <w:t>Yes (EP)</w:t>
            </w:r>
          </w:p>
        </w:tc>
      </w:tr>
      <w:tr w:rsidR="00B8782D">
        <w:trPr>
          <w:cantSplit/>
          <w:trHeight w:val="75"/>
          <w:jc w:val="center"/>
        </w:trPr>
        <w:tc>
          <w:tcPr>
            <w:tcW w:w="1087" w:type="pct"/>
            <w:shd w:val="clear" w:color="auto" w:fill="auto"/>
          </w:tcPr>
          <w:p w:rsidR="00B8782D" w:rsidRDefault="00B8782D">
            <w:pPr>
              <w:pStyle w:val="TableText"/>
            </w:pPr>
            <w:r>
              <w:rPr>
                <w:i/>
              </w:rPr>
              <w:t>Bactrocera cucurbitae</w:t>
            </w:r>
            <w:r>
              <w:t xml:space="preserve"> Coquillett, 1899</w:t>
            </w:r>
          </w:p>
          <w:p w:rsidR="00B8782D" w:rsidRDefault="00B8782D">
            <w:pPr>
              <w:pStyle w:val="TableText"/>
            </w:pPr>
            <w:r>
              <w:t xml:space="preserve">Synonym: </w:t>
            </w:r>
            <w:r>
              <w:rPr>
                <w:i/>
              </w:rPr>
              <w:t xml:space="preserve">Dacus cucurbitae </w:t>
            </w:r>
            <w:r>
              <w:t>Coquillett, 1899</w:t>
            </w:r>
          </w:p>
          <w:p w:rsidR="00B8782D" w:rsidRDefault="00B8782D">
            <w:pPr>
              <w:pStyle w:val="TableText"/>
            </w:pPr>
            <w:r>
              <w:t>[Tephritidae]</w:t>
            </w:r>
          </w:p>
          <w:p w:rsidR="00B8782D" w:rsidRDefault="00B8782D">
            <w:pPr>
              <w:pStyle w:val="TableText"/>
            </w:pPr>
            <w:r>
              <w:t>Melon fly</w:t>
            </w:r>
          </w:p>
        </w:tc>
        <w:tc>
          <w:tcPr>
            <w:tcW w:w="575" w:type="pct"/>
            <w:shd w:val="clear" w:color="auto" w:fill="auto"/>
          </w:tcPr>
          <w:p w:rsidR="00B8782D" w:rsidRDefault="00B8782D" w:rsidP="00750C8B">
            <w:pPr>
              <w:pStyle w:val="TableText"/>
            </w:pPr>
            <w:r>
              <w:t xml:space="preserve">Yes </w:t>
            </w:r>
            <w:r>
              <w:rPr>
                <w:noProof/>
              </w:rPr>
              <w:t>(CABI 2015; Dhillon et al. 2005; Huang 2006; 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pPr>
              <w:pStyle w:val="TableText"/>
            </w:pPr>
            <w:r>
              <w:t xml:space="preserve">No. Although </w:t>
            </w:r>
            <w:r>
              <w:rPr>
                <w:i/>
              </w:rPr>
              <w:t>B. cucurbitae</w:t>
            </w:r>
            <w:r>
              <w:t xml:space="preserve"> was recorded on the dropped peach fruit on ground </w:t>
            </w:r>
            <w:r>
              <w:rPr>
                <w:noProof/>
              </w:rPr>
              <w:t>(Huang 2006)</w:t>
            </w:r>
            <w:r>
              <w:t xml:space="preserve">, no records of </w:t>
            </w:r>
            <w:r>
              <w:rPr>
                <w:i/>
              </w:rPr>
              <w:t>B. cucurbitae</w:t>
            </w:r>
            <w:r>
              <w:t xml:space="preserve"> on harvested commercial peach or nectarine fruit was found. </w:t>
            </w:r>
          </w:p>
          <w:p w:rsidR="00B8782D" w:rsidRDefault="00B8782D" w:rsidP="00750C8B">
            <w:pPr>
              <w:pStyle w:val="TableText"/>
            </w:pPr>
            <w:r>
              <w:t xml:space="preserve">Limited distribution in south and southwest China </w:t>
            </w:r>
            <w:r>
              <w:rPr>
                <w:noProof/>
              </w:rPr>
              <w:t>(CABI 2015; Li, Wang &amp; Waterhouse 1997)</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Bactrocera dorsalis</w:t>
            </w:r>
            <w:r>
              <w:t xml:space="preserve"> (Hendel, 1912)</w:t>
            </w:r>
          </w:p>
          <w:p w:rsidR="00B8782D" w:rsidRDefault="00B8782D">
            <w:pPr>
              <w:pStyle w:val="TableText"/>
            </w:pPr>
            <w:r>
              <w:t xml:space="preserve">Synonym: </w:t>
            </w:r>
            <w:r>
              <w:rPr>
                <w:i/>
              </w:rPr>
              <w:t xml:space="preserve">Dacus dorsalis </w:t>
            </w:r>
            <w:r>
              <w:t>Hendel, 1912</w:t>
            </w:r>
          </w:p>
          <w:p w:rsidR="00B8782D" w:rsidRDefault="00B8782D">
            <w:pPr>
              <w:pStyle w:val="TableText"/>
            </w:pPr>
            <w:r>
              <w:t>[Tephritidae]</w:t>
            </w:r>
          </w:p>
          <w:p w:rsidR="00B8782D" w:rsidRDefault="00B8782D">
            <w:pPr>
              <w:pStyle w:val="TableText"/>
            </w:pPr>
            <w:r>
              <w:t>Oriental fruit fly</w:t>
            </w:r>
          </w:p>
        </w:tc>
        <w:tc>
          <w:tcPr>
            <w:tcW w:w="575" w:type="pct"/>
            <w:shd w:val="clear" w:color="auto" w:fill="auto"/>
          </w:tcPr>
          <w:p w:rsidR="00B8782D" w:rsidRDefault="00B8782D" w:rsidP="00750C8B">
            <w:pPr>
              <w:pStyle w:val="TableText"/>
            </w:pPr>
            <w:r>
              <w:t xml:space="preserve">Yes </w:t>
            </w:r>
            <w:r>
              <w:rPr>
                <w:noProof/>
              </w:rPr>
              <w:t>(CABI 2015; Huang 2006; 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Associated with </w:t>
            </w:r>
            <w:r>
              <w:rPr>
                <w:i/>
              </w:rPr>
              <w:t>P. persica</w:t>
            </w:r>
            <w:r>
              <w:t xml:space="preserve">. Oviposits into the fruit of hosts. Eggs hatch inside the fruit and the larvae consume the fruit pulp </w:t>
            </w:r>
            <w:r>
              <w:rPr>
                <w:noProof/>
              </w:rPr>
              <w:t>(CABI 2015)</w:t>
            </w:r>
            <w:r>
              <w:t>.</w:t>
            </w:r>
          </w:p>
        </w:tc>
        <w:tc>
          <w:tcPr>
            <w:tcW w:w="717" w:type="pct"/>
            <w:shd w:val="clear" w:color="auto" w:fill="auto"/>
          </w:tcPr>
          <w:p w:rsidR="00B8782D" w:rsidRDefault="00B8782D" w:rsidP="00750C8B">
            <w:pPr>
              <w:pStyle w:val="TableText"/>
            </w:pPr>
            <w:r>
              <w:t xml:space="preserve">Yes. Found throughout Asia, with restricted distribution elsewhere. It has a wide host range, including capsicum, citrus, melon, apple, cherry and peach </w:t>
            </w:r>
            <w:r>
              <w:rPr>
                <w:noProof/>
              </w:rPr>
              <w:t>(CABI 2015)</w:t>
            </w:r>
            <w:r>
              <w:t xml:space="preserve">. Its hosts and geographic range suggest that it could establish and spread in Australia. </w:t>
            </w:r>
          </w:p>
        </w:tc>
        <w:tc>
          <w:tcPr>
            <w:tcW w:w="716" w:type="pct"/>
            <w:shd w:val="clear" w:color="auto" w:fill="auto"/>
          </w:tcPr>
          <w:p w:rsidR="00B8782D" w:rsidRDefault="00B8782D" w:rsidP="00750C8B">
            <w:pPr>
              <w:pStyle w:val="TableText"/>
            </w:pPr>
            <w:r>
              <w:t xml:space="preserve">Yes. The species is a very serious pest of a wide variety of fruit and vegetables, and damage levels can be anything up to 100 per cent of unprotected fruit </w:t>
            </w:r>
            <w:r>
              <w:rPr>
                <w:noProof/>
              </w:rPr>
              <w:t>(CABI 2015)</w:t>
            </w:r>
            <w:r>
              <w:t xml:space="preserve">. </w:t>
            </w:r>
          </w:p>
        </w:tc>
        <w:tc>
          <w:tcPr>
            <w:tcW w:w="574" w:type="pct"/>
            <w:shd w:val="clear" w:color="auto" w:fill="auto"/>
          </w:tcPr>
          <w:p w:rsidR="00B8782D" w:rsidRDefault="00B8782D">
            <w:pPr>
              <w:pStyle w:val="TableText"/>
            </w:pPr>
            <w:r>
              <w:t>Yes (EP)</w:t>
            </w:r>
          </w:p>
        </w:tc>
      </w:tr>
      <w:tr w:rsidR="00B8782D">
        <w:trPr>
          <w:cantSplit/>
          <w:trHeight w:val="75"/>
          <w:jc w:val="center"/>
        </w:trPr>
        <w:tc>
          <w:tcPr>
            <w:tcW w:w="1087" w:type="pct"/>
            <w:shd w:val="clear" w:color="auto" w:fill="auto"/>
          </w:tcPr>
          <w:p w:rsidR="00B8782D" w:rsidRDefault="00B8782D">
            <w:pPr>
              <w:pStyle w:val="TableText"/>
            </w:pPr>
            <w:r>
              <w:rPr>
                <w:i/>
              </w:rPr>
              <w:lastRenderedPageBreak/>
              <w:t>Drosophila suzukii</w:t>
            </w:r>
            <w:r>
              <w:t xml:space="preserve"> (Matsumura, 1931)</w:t>
            </w:r>
          </w:p>
          <w:p w:rsidR="00B8782D" w:rsidRDefault="00B8782D">
            <w:pPr>
              <w:pStyle w:val="TableText"/>
            </w:pPr>
            <w:r>
              <w:t>[Drosophilidae]</w:t>
            </w:r>
          </w:p>
          <w:p w:rsidR="00B8782D" w:rsidRDefault="00B8782D">
            <w:pPr>
              <w:pStyle w:val="TableText"/>
            </w:pPr>
            <w:r>
              <w:t>Spotted wing drosophila</w:t>
            </w:r>
          </w:p>
        </w:tc>
        <w:tc>
          <w:tcPr>
            <w:tcW w:w="575" w:type="pct"/>
            <w:shd w:val="clear" w:color="auto" w:fill="auto"/>
          </w:tcPr>
          <w:p w:rsidR="00B8782D" w:rsidRDefault="00B8782D" w:rsidP="00750C8B">
            <w:pPr>
              <w:pStyle w:val="TableText"/>
            </w:pPr>
            <w:r>
              <w:t xml:space="preserve">Yes </w:t>
            </w:r>
            <w:r>
              <w:rPr>
                <w:noProof/>
              </w:rPr>
              <w:t>(Damus 2009; Kai, Zhang &amp; Carson 1993; Kaneshiro 1983; Toda 1991)</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This species infests a range of fresh fruit including </w:t>
            </w:r>
            <w:r>
              <w:rPr>
                <w:i/>
              </w:rPr>
              <w:t>P. persica</w:t>
            </w:r>
            <w:r>
              <w:t xml:space="preserve"> </w:t>
            </w:r>
            <w:r>
              <w:rPr>
                <w:noProof/>
              </w:rPr>
              <w:t>(Brewer et al. 2012; Kanzawa 1939)</w:t>
            </w:r>
            <w:r>
              <w:t xml:space="preserve">. Larvae and pupae develop internally in fruit </w:t>
            </w:r>
            <w:r>
              <w:rPr>
                <w:noProof/>
              </w:rPr>
              <w:t>(Dreves, Walton &amp; Fisher 2009; Lee et al. 2011)</w:t>
            </w:r>
            <w:r>
              <w:t>.</w:t>
            </w:r>
          </w:p>
        </w:tc>
        <w:tc>
          <w:tcPr>
            <w:tcW w:w="717" w:type="pct"/>
            <w:shd w:val="clear" w:color="auto" w:fill="auto"/>
          </w:tcPr>
          <w:p w:rsidR="00B8782D" w:rsidRDefault="00B8782D" w:rsidP="003819F1">
            <w:pPr>
              <w:pStyle w:val="TableText"/>
            </w:pPr>
            <w:r>
              <w:t xml:space="preserve">Yes. Attacks a broad range of ornamentals </w:t>
            </w:r>
            <w:r>
              <w:rPr>
                <w:noProof/>
              </w:rPr>
              <w:t>(Dreves, Walton &amp; Fisher 2009; NAPPO 2010)</w:t>
            </w:r>
            <w:r>
              <w:t xml:space="preserve"> and commercially grown fruit, including apple, pear, grape, blueberry, raspberry, blackberry, cherry and stonefruit </w:t>
            </w:r>
            <w:r>
              <w:rPr>
                <w:noProof/>
              </w:rPr>
              <w:t>(CABI 2015)</w:t>
            </w:r>
            <w:r>
              <w:t xml:space="preserve">. These hosts are widely available throughout Australia </w:t>
            </w:r>
            <w:r>
              <w:rPr>
                <w:noProof/>
              </w:rPr>
              <w:t>(AVH 2014)</w:t>
            </w:r>
            <w:r>
              <w:t xml:space="preserve">. This species is considered native to Asia and has established and spread outside its native range to Europe, Canada, USA and South America </w:t>
            </w:r>
            <w:r>
              <w:rPr>
                <w:noProof/>
              </w:rPr>
              <w:t>(Hauser, Gaimari &amp; Damus 2009)</w:t>
            </w:r>
            <w:r>
              <w:t>. These regions have environments and climates similar to those found in various parts of Australia.</w:t>
            </w:r>
          </w:p>
          <w:p w:rsidR="00B8782D" w:rsidRDefault="00B8782D" w:rsidP="003819F1">
            <w:pPr>
              <w:pStyle w:val="TableText"/>
            </w:pPr>
          </w:p>
          <w:p w:rsidR="00B8782D" w:rsidRDefault="00B8782D" w:rsidP="003819F1">
            <w:pPr>
              <w:pStyle w:val="TableText"/>
            </w:pPr>
          </w:p>
          <w:p w:rsidR="00B8782D" w:rsidRDefault="00B8782D" w:rsidP="003819F1">
            <w:pPr>
              <w:pStyle w:val="TableText"/>
            </w:pPr>
          </w:p>
          <w:p w:rsidR="00B8782D" w:rsidRDefault="00B8782D" w:rsidP="003819F1">
            <w:pPr>
              <w:pStyle w:val="TableText"/>
            </w:pPr>
          </w:p>
          <w:p w:rsidR="00B8782D" w:rsidRDefault="00B8782D" w:rsidP="003819F1">
            <w:pPr>
              <w:pStyle w:val="TableText"/>
            </w:pPr>
          </w:p>
          <w:p w:rsidR="00B8782D" w:rsidRDefault="00B8782D" w:rsidP="003819F1">
            <w:pPr>
              <w:pStyle w:val="TableText"/>
            </w:pPr>
          </w:p>
          <w:p w:rsidR="00B8782D" w:rsidRDefault="00B8782D" w:rsidP="003819F1">
            <w:pPr>
              <w:pStyle w:val="TableText"/>
            </w:pPr>
          </w:p>
        </w:tc>
        <w:tc>
          <w:tcPr>
            <w:tcW w:w="716" w:type="pct"/>
            <w:shd w:val="clear" w:color="auto" w:fill="auto"/>
          </w:tcPr>
          <w:p w:rsidR="00B8782D" w:rsidRDefault="00B8782D" w:rsidP="00750C8B">
            <w:pPr>
              <w:pStyle w:val="TableText"/>
            </w:pPr>
            <w:r>
              <w:t xml:space="preserve">Yes. This species can cause significant economic damage to a range of commercial fruit crops </w:t>
            </w:r>
            <w:r>
              <w:rPr>
                <w:noProof/>
              </w:rPr>
              <w:t>(Bolda, Goodhue &amp; Zalom 2010; CABI 2015)</w:t>
            </w:r>
            <w:r>
              <w:t xml:space="preserve">. It causes significant damage to commercial peaches, plums and apricots </w:t>
            </w:r>
            <w:r>
              <w:rPr>
                <w:noProof/>
              </w:rPr>
              <w:t>(Escudero Colomar et al. 2011; Weydert 2011)</w:t>
            </w:r>
            <w:r>
              <w:t>.</w:t>
            </w:r>
          </w:p>
        </w:tc>
        <w:tc>
          <w:tcPr>
            <w:tcW w:w="574" w:type="pct"/>
            <w:shd w:val="clear" w:color="auto" w:fill="auto"/>
          </w:tcPr>
          <w:p w:rsidR="00B8782D" w:rsidRDefault="00B8782D">
            <w:pPr>
              <w:pStyle w:val="TableText"/>
            </w:pPr>
            <w:r>
              <w:t>Yes (EP)</w:t>
            </w:r>
          </w:p>
        </w:tc>
      </w:tr>
      <w:tr w:rsidR="00B8782D">
        <w:trPr>
          <w:cantSplit/>
          <w:trHeight w:val="75"/>
          <w:jc w:val="center"/>
        </w:trPr>
        <w:tc>
          <w:tcPr>
            <w:tcW w:w="5000" w:type="pct"/>
            <w:gridSpan w:val="7"/>
            <w:shd w:val="clear" w:color="auto" w:fill="auto"/>
          </w:tcPr>
          <w:p w:rsidR="00B8782D" w:rsidRDefault="00B8782D">
            <w:pPr>
              <w:pStyle w:val="TableText"/>
              <w:rPr>
                <w:b/>
              </w:rPr>
            </w:pPr>
            <w:r>
              <w:rPr>
                <w:b/>
              </w:rPr>
              <w:lastRenderedPageBreak/>
              <w:t>Hemiptera</w:t>
            </w:r>
          </w:p>
        </w:tc>
      </w:tr>
      <w:tr w:rsidR="00B8782D">
        <w:trPr>
          <w:cantSplit/>
          <w:trHeight w:val="75"/>
          <w:jc w:val="center"/>
        </w:trPr>
        <w:tc>
          <w:tcPr>
            <w:tcW w:w="1087" w:type="pct"/>
            <w:shd w:val="clear" w:color="auto" w:fill="auto"/>
          </w:tcPr>
          <w:p w:rsidR="00B8782D" w:rsidRDefault="00B8782D">
            <w:pPr>
              <w:pStyle w:val="TableText"/>
            </w:pPr>
            <w:r>
              <w:rPr>
                <w:i/>
              </w:rPr>
              <w:t>Amrasca flavescens</w:t>
            </w:r>
            <w:r>
              <w:t xml:space="preserve"> (Fabricius, 1794)</w:t>
            </w:r>
          </w:p>
          <w:p w:rsidR="00B8782D" w:rsidRDefault="00B8782D">
            <w:pPr>
              <w:pStyle w:val="TableText"/>
            </w:pPr>
            <w:r>
              <w:t>[Cicadellidae]</w:t>
            </w:r>
          </w:p>
          <w:p w:rsidR="00B8782D" w:rsidRDefault="00B8782D">
            <w:pPr>
              <w:pStyle w:val="TableText"/>
            </w:pPr>
            <w:r>
              <w:t>Green tea leafhopper</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(Li, Wang &amp; Waterhouse 1997)</w:t>
            </w:r>
            <w:r>
              <w:t xml:space="preserve">. Little information is available on the biology of this pest. Members of this family (Cicadellidae) usually feed on leaves and stems, and secrete honeydew </w:t>
            </w:r>
            <w:r>
              <w:rPr>
                <w:noProof/>
              </w:rPr>
              <w:t>(Harvard Entomology 2006)</w:t>
            </w:r>
            <w:r>
              <w:t>. Leafhoppers are highly mobile and would not remain on the fruit when disturbed during harvesting.</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Aonidiella aurantii</w:t>
            </w:r>
            <w:r>
              <w:t xml:space="preserve"> (Maskell, 1879)</w:t>
            </w:r>
          </w:p>
          <w:p w:rsidR="00B8782D" w:rsidRDefault="00B8782D">
            <w:pPr>
              <w:pStyle w:val="TableText"/>
            </w:pPr>
            <w:r>
              <w:t xml:space="preserve">Synonym: </w:t>
            </w:r>
            <w:r>
              <w:rPr>
                <w:i/>
              </w:rPr>
              <w:t xml:space="preserve">Aspidiotus aurantii </w:t>
            </w:r>
            <w:r>
              <w:t>Maskell, 1879</w:t>
            </w:r>
          </w:p>
          <w:p w:rsidR="00B8782D" w:rsidRDefault="00B8782D">
            <w:pPr>
              <w:pStyle w:val="TableText"/>
            </w:pPr>
            <w:r>
              <w:t>[Diaspididae]</w:t>
            </w:r>
          </w:p>
          <w:p w:rsidR="00B8782D" w:rsidRDefault="00B8782D">
            <w:pPr>
              <w:pStyle w:val="TableText"/>
            </w:pPr>
            <w:r>
              <w:t>Red scale</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NSW, NT, Qld, SA, Tas., Vic., WA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Aonidiella citrina</w:t>
            </w:r>
            <w:r>
              <w:t xml:space="preserve"> (Coquillett, 1891)</w:t>
            </w:r>
          </w:p>
          <w:p w:rsidR="00B8782D" w:rsidRDefault="00B8782D">
            <w:pPr>
              <w:pStyle w:val="TableText"/>
            </w:pPr>
            <w:r>
              <w:t>[Diaspididae]</w:t>
            </w:r>
          </w:p>
          <w:p w:rsidR="00B8782D" w:rsidRDefault="00B8782D">
            <w:pPr>
              <w:pStyle w:val="TableText"/>
            </w:pPr>
            <w:r>
              <w:t>Yellow scale</w:t>
            </w:r>
          </w:p>
        </w:tc>
        <w:tc>
          <w:tcPr>
            <w:tcW w:w="575" w:type="pct"/>
            <w:shd w:val="clear" w:color="auto" w:fill="auto"/>
          </w:tcPr>
          <w:p w:rsidR="00B8782D" w:rsidRDefault="00B8782D" w:rsidP="00750C8B">
            <w:pPr>
              <w:pStyle w:val="TableText"/>
            </w:pPr>
            <w:r>
              <w:t xml:space="preserve">Yes. </w:t>
            </w:r>
            <w:r>
              <w:rPr>
                <w:noProof/>
              </w:rPr>
              <w:t>(CAAS 1992; CABI 2015)</w:t>
            </w:r>
          </w:p>
        </w:tc>
        <w:tc>
          <w:tcPr>
            <w:tcW w:w="615" w:type="pct"/>
            <w:shd w:val="clear" w:color="auto" w:fill="auto"/>
          </w:tcPr>
          <w:p w:rsidR="00B8782D" w:rsidRDefault="00B8782D" w:rsidP="00750C8B">
            <w:pPr>
              <w:pStyle w:val="TableText"/>
            </w:pPr>
            <w:r>
              <w:t xml:space="preserve">Yes. NSW, Vic., SA, WA </w:t>
            </w:r>
            <w:r>
              <w:rPr>
                <w:noProof/>
              </w:rPr>
              <w:t>(Plant Health Australia 2001; Poole 2010)</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Aphis craccivora</w:t>
            </w:r>
            <w:r>
              <w:t xml:space="preserve"> Koch, 1854</w:t>
            </w:r>
          </w:p>
          <w:p w:rsidR="00B8782D" w:rsidRDefault="00B8782D">
            <w:pPr>
              <w:pStyle w:val="TableText"/>
            </w:pPr>
            <w:r>
              <w:t>[Aphididae]</w:t>
            </w:r>
          </w:p>
          <w:p w:rsidR="00B8782D" w:rsidRDefault="00B8782D">
            <w:pPr>
              <w:pStyle w:val="TableText"/>
            </w:pPr>
            <w:r>
              <w:t>Cowpea aphid</w:t>
            </w:r>
          </w:p>
        </w:tc>
        <w:tc>
          <w:tcPr>
            <w:tcW w:w="575" w:type="pct"/>
            <w:shd w:val="clear" w:color="auto" w:fill="auto"/>
          </w:tcPr>
          <w:p w:rsidR="00B8782D" w:rsidRDefault="00B8782D" w:rsidP="00750C8B">
            <w:pPr>
              <w:pStyle w:val="TableText"/>
            </w:pPr>
            <w:r>
              <w:t xml:space="preserve">Yes </w:t>
            </w:r>
            <w:r>
              <w:rPr>
                <w:noProof/>
              </w:rPr>
              <w:t>(CABI 2015; Cao et al. 2004)</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r>
              <w:t xml:space="preserve">. Because </w:t>
            </w:r>
            <w:r>
              <w:rPr>
                <w:i/>
              </w:rPr>
              <w:t>A. craccivora</w:t>
            </w:r>
            <w:r>
              <w:t xml:space="preserve"> is a known vector of plum pox virus (which is absent from Australia) </w:t>
            </w:r>
            <w:r>
              <w:rPr>
                <w:noProof/>
              </w:rPr>
              <w:t>(CABI &amp; EPPO 2007; Gildow 2004; Kaya et al. 2014)</w:t>
            </w:r>
            <w:r>
              <w:t>, the potential to be on the pathway needs to be assessed.</w:t>
            </w:r>
          </w:p>
        </w:tc>
        <w:tc>
          <w:tcPr>
            <w:tcW w:w="716" w:type="pct"/>
            <w:shd w:val="clear" w:color="auto" w:fill="auto"/>
          </w:tcPr>
          <w:p w:rsidR="00B8782D" w:rsidRDefault="00B8782D" w:rsidP="00750C8B">
            <w:pPr>
              <w:pStyle w:val="TableText"/>
            </w:pPr>
            <w:r>
              <w:t xml:space="preserve">No. Young colonies concentrate on growing points of plants in spring. Feeds on young leaves, shoots and flowers </w:t>
            </w:r>
            <w:r>
              <w:rPr>
                <w:noProof/>
              </w:rPr>
              <w:t>(CABI 2015)</w:t>
            </w:r>
            <w:r>
              <w:t xml:space="preserve">. No report of association with mature nectarine or peach fruit was found.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Aphis gossypii</w:t>
            </w:r>
            <w:r>
              <w:t xml:space="preserve"> Glover, 1877</w:t>
            </w:r>
          </w:p>
          <w:p w:rsidR="00B8782D" w:rsidRDefault="00B8782D">
            <w:pPr>
              <w:pStyle w:val="TableText"/>
            </w:pPr>
            <w:r>
              <w:t>[Aphididae]</w:t>
            </w:r>
          </w:p>
          <w:p w:rsidR="00B8782D" w:rsidRDefault="00B8782D">
            <w:pPr>
              <w:pStyle w:val="TableText"/>
            </w:pPr>
            <w:r>
              <w:t>Cotton aphid, Melon aphid</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NSW, NT, Qld, SA, Tas., Vic., WA </w:t>
            </w:r>
            <w:r>
              <w:rPr>
                <w:noProof/>
              </w:rPr>
              <w:t>(Plant Health Australia 2001; Poole 2010)</w:t>
            </w:r>
            <w:r>
              <w:t xml:space="preserve">. Because </w:t>
            </w:r>
            <w:r>
              <w:rPr>
                <w:i/>
              </w:rPr>
              <w:t>A. gossypii</w:t>
            </w:r>
            <w:r>
              <w:t xml:space="preserve"> is a known vector of plum pox virus (which is absent from Australia) </w:t>
            </w:r>
            <w:r>
              <w:rPr>
                <w:noProof/>
              </w:rPr>
              <w:t>(CABI &amp; EPPO 2007; Gildow 2004; Kaya et al. 2014)</w:t>
            </w:r>
            <w:r>
              <w:t>, the potential to be on the pathway needs to be assessed.</w:t>
            </w:r>
          </w:p>
        </w:tc>
        <w:tc>
          <w:tcPr>
            <w:tcW w:w="716" w:type="pct"/>
            <w:shd w:val="clear" w:color="auto" w:fill="auto"/>
          </w:tcPr>
          <w:p w:rsidR="00B8782D" w:rsidRDefault="00B8782D" w:rsidP="00750C8B">
            <w:pPr>
              <w:pStyle w:val="TableText"/>
            </w:pPr>
            <w:r>
              <w:t xml:space="preserve">No. Prefers to feed on the undersides of young leaves causing infested leaves to curl downwards and appear wrinkled or reddened </w:t>
            </w:r>
            <w:r>
              <w:rPr>
                <w:noProof/>
              </w:rPr>
              <w:t>(CABI 2015)</w:t>
            </w:r>
            <w:r>
              <w:t xml:space="preserve">. No report of association with mature nectarine or peach fruit was found.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Aphis spiraecola</w:t>
            </w:r>
            <w:r>
              <w:t xml:space="preserve"> Patch, 1914</w:t>
            </w:r>
          </w:p>
          <w:p w:rsidR="00B8782D" w:rsidRDefault="00B8782D">
            <w:pPr>
              <w:pStyle w:val="TableText"/>
            </w:pPr>
            <w:r>
              <w:t>[Aphididae]</w:t>
            </w:r>
          </w:p>
          <w:p w:rsidR="00B8782D" w:rsidRDefault="00B8782D">
            <w:pPr>
              <w:pStyle w:val="TableText"/>
            </w:pPr>
            <w:r>
              <w:t>Apple aphid</w:t>
            </w:r>
          </w:p>
        </w:tc>
        <w:tc>
          <w:tcPr>
            <w:tcW w:w="575" w:type="pct"/>
            <w:shd w:val="clear" w:color="auto" w:fill="auto"/>
          </w:tcPr>
          <w:p w:rsidR="00B8782D" w:rsidRDefault="00B8782D" w:rsidP="00750C8B">
            <w:pPr>
              <w:pStyle w:val="TableText"/>
            </w:pPr>
            <w:r>
              <w:t xml:space="preserve">Yes </w:t>
            </w:r>
            <w:r>
              <w:rPr>
                <w:noProof/>
              </w:rPr>
              <w:t>(AQSIQ 2005)</w:t>
            </w:r>
          </w:p>
        </w:tc>
        <w:tc>
          <w:tcPr>
            <w:tcW w:w="615" w:type="pct"/>
            <w:shd w:val="clear" w:color="auto" w:fill="auto"/>
          </w:tcPr>
          <w:p w:rsidR="00B8782D" w:rsidRDefault="00B8782D" w:rsidP="00750C8B">
            <w:pPr>
              <w:pStyle w:val="TableText"/>
            </w:pPr>
            <w:r>
              <w:t xml:space="preserve">Yes. ACT, NSW, Qld, SA, Tas., Vic., WA </w:t>
            </w:r>
            <w:r>
              <w:rPr>
                <w:noProof/>
              </w:rPr>
              <w:t>(Plant Health Australia 2001; Poole 2010)</w:t>
            </w:r>
            <w:r>
              <w:t xml:space="preserve">. Because </w:t>
            </w:r>
            <w:r>
              <w:rPr>
                <w:i/>
              </w:rPr>
              <w:t>A. spiraecola</w:t>
            </w:r>
            <w:r>
              <w:t xml:space="preserve"> is a known vector of plum pox virus (which is absent from Australia) </w:t>
            </w:r>
            <w:r>
              <w:rPr>
                <w:noProof/>
              </w:rPr>
              <w:t>(CABI &amp; EPPO 2007; Gildow 2004; Kaya et al. 2014)</w:t>
            </w:r>
            <w:r>
              <w:t>, the potential to be on the pathway needs to be assessed.</w:t>
            </w:r>
          </w:p>
        </w:tc>
        <w:tc>
          <w:tcPr>
            <w:tcW w:w="716" w:type="pct"/>
            <w:shd w:val="clear" w:color="auto" w:fill="auto"/>
          </w:tcPr>
          <w:p w:rsidR="00B8782D" w:rsidRDefault="00B8782D" w:rsidP="00750C8B">
            <w:pPr>
              <w:pStyle w:val="TableText"/>
            </w:pPr>
            <w:r>
              <w:t xml:space="preserve">No. Eggs are laid on smooth twigs and watersprouts. Adults prefer to feed on undersides of leaves, on growing shoot tips or the shoot stem although high populations can result in direct feeding on developing fruits </w:t>
            </w:r>
            <w:r>
              <w:rPr>
                <w:noProof/>
              </w:rPr>
              <w:t>(Beers, Hoyt &amp; Willett 1993)</w:t>
            </w:r>
            <w:r>
              <w:t xml:space="preserve">. No report of association with mature nectarine or peach fruit was found.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Apolygus lucorum</w:t>
            </w:r>
            <w:r>
              <w:t xml:space="preserve"> (Meyer-Dür, 1843)</w:t>
            </w:r>
          </w:p>
          <w:p w:rsidR="00B8782D" w:rsidRDefault="00B8782D">
            <w:pPr>
              <w:pStyle w:val="TableText"/>
            </w:pPr>
            <w:r>
              <w:t xml:space="preserve">Synonym: </w:t>
            </w:r>
            <w:r>
              <w:rPr>
                <w:i/>
              </w:rPr>
              <w:t>Lygocoris lucorum</w:t>
            </w:r>
            <w:r>
              <w:t xml:space="preserve"> (Meyer-Dür, 1843)</w:t>
            </w:r>
          </w:p>
          <w:p w:rsidR="00B8782D" w:rsidRDefault="00B8782D">
            <w:pPr>
              <w:pStyle w:val="TableText"/>
            </w:pPr>
            <w:r>
              <w:t>[Miridae]</w:t>
            </w:r>
          </w:p>
          <w:p w:rsidR="00B8782D" w:rsidRDefault="00B8782D">
            <w:pPr>
              <w:pStyle w:val="TableText"/>
            </w:pPr>
            <w:r>
              <w:t>Green plant bug</w:t>
            </w:r>
          </w:p>
        </w:tc>
        <w:tc>
          <w:tcPr>
            <w:tcW w:w="575" w:type="pct"/>
            <w:shd w:val="clear" w:color="auto" w:fill="auto"/>
          </w:tcPr>
          <w:p w:rsidR="00B8782D" w:rsidRDefault="00B8782D" w:rsidP="00750C8B">
            <w:pPr>
              <w:pStyle w:val="TableText"/>
            </w:pPr>
            <w:r>
              <w:t xml:space="preserve">Yes </w:t>
            </w:r>
            <w:r>
              <w:rPr>
                <w:noProof/>
              </w:rPr>
              <w:t>(AQSIQ 2006b; Feng &amp; Wang 2004)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Feeds on fruit of </w:t>
            </w:r>
            <w:r>
              <w:rPr>
                <w:i/>
              </w:rPr>
              <w:t xml:space="preserve">P. persica </w:t>
            </w:r>
            <w:r>
              <w:rPr>
                <w:noProof/>
              </w:rPr>
              <w:t>(AQSIQ 2006b)</w:t>
            </w:r>
            <w:r>
              <w:t xml:space="preserve">. Eggs laid in dead parts of tree branches </w:t>
            </w:r>
            <w:r>
              <w:rPr>
                <w:noProof/>
              </w:rPr>
              <w:t>(Pan et al. 2014)</w:t>
            </w:r>
            <w:r>
              <w:t>. Adults and nymphs will be disturbed during harvest and are not likely to remain with the fruit.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Aspidiotus destructor</w:t>
            </w:r>
            <w:r>
              <w:t xml:space="preserve"> Signoret, 1869</w:t>
            </w:r>
          </w:p>
          <w:p w:rsidR="00B8782D" w:rsidRDefault="00B8782D">
            <w:pPr>
              <w:pStyle w:val="TableText"/>
            </w:pPr>
            <w:r>
              <w:t>[Diaspididae]</w:t>
            </w:r>
          </w:p>
          <w:p w:rsidR="00B8782D" w:rsidRDefault="00B8782D">
            <w:pPr>
              <w:pStyle w:val="TableText"/>
            </w:pPr>
            <w:r>
              <w:t>Coconut scale</w:t>
            </w:r>
          </w:p>
        </w:tc>
        <w:tc>
          <w:tcPr>
            <w:tcW w:w="575" w:type="pct"/>
            <w:shd w:val="clear" w:color="auto" w:fill="auto"/>
          </w:tcPr>
          <w:p w:rsidR="00B8782D" w:rsidRDefault="00B8782D" w:rsidP="00750C8B">
            <w:pPr>
              <w:pStyle w:val="TableText"/>
            </w:pPr>
            <w:r>
              <w:t xml:space="preserve">Yes </w:t>
            </w:r>
            <w:r>
              <w:rPr>
                <w:noProof/>
              </w:rPr>
              <w:t>(CABI 2015; Watson 2005)</w:t>
            </w:r>
          </w:p>
        </w:tc>
        <w:tc>
          <w:tcPr>
            <w:tcW w:w="615" w:type="pct"/>
            <w:shd w:val="clear" w:color="auto" w:fill="auto"/>
          </w:tcPr>
          <w:p w:rsidR="00B8782D" w:rsidRDefault="00B8782D" w:rsidP="00750C8B">
            <w:pPr>
              <w:pStyle w:val="TableText"/>
            </w:pPr>
            <w:r>
              <w:t xml:space="preserve">Yes. NSW, NT, Qld, Vic., WA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Aspidiotus nerii</w:t>
            </w:r>
            <w:r>
              <w:t xml:space="preserve"> Bouché, 1833</w:t>
            </w:r>
          </w:p>
          <w:p w:rsidR="00B8782D" w:rsidRDefault="00B8782D">
            <w:pPr>
              <w:pStyle w:val="TableText"/>
            </w:pPr>
            <w:r>
              <w:t>[Diaspididae]</w:t>
            </w:r>
          </w:p>
          <w:p w:rsidR="00B8782D" w:rsidRDefault="00B8782D">
            <w:pPr>
              <w:pStyle w:val="TableText"/>
            </w:pPr>
            <w:r>
              <w:t>Oleander scale</w:t>
            </w:r>
          </w:p>
        </w:tc>
        <w:tc>
          <w:tcPr>
            <w:tcW w:w="575" w:type="pct"/>
            <w:shd w:val="clear" w:color="auto" w:fill="auto"/>
          </w:tcPr>
          <w:p w:rsidR="00B8782D" w:rsidRDefault="00B8782D" w:rsidP="00750C8B">
            <w:pPr>
              <w:pStyle w:val="TableText"/>
            </w:pPr>
            <w:r>
              <w:t xml:space="preserve">Yes </w:t>
            </w:r>
            <w:r>
              <w:rPr>
                <w:noProof/>
              </w:rPr>
              <w:t>(CABI 2015; Li, Wang &amp; Waterhouse 1997)</w:t>
            </w:r>
          </w:p>
        </w:tc>
        <w:tc>
          <w:tcPr>
            <w:tcW w:w="615" w:type="pct"/>
            <w:shd w:val="clear" w:color="auto" w:fill="auto"/>
          </w:tcPr>
          <w:p w:rsidR="00B8782D" w:rsidRDefault="00B8782D" w:rsidP="00750C8B">
            <w:pPr>
              <w:pStyle w:val="TableText"/>
            </w:pPr>
            <w:r>
              <w:t xml:space="preserve">Yes. NSW, NT, Qld, SA, Tas., Vic., WA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Bothrogonia ferruginea</w:t>
            </w:r>
            <w:r>
              <w:t xml:space="preserve"> (Fabricius, 1787)</w:t>
            </w:r>
          </w:p>
          <w:p w:rsidR="00B8782D" w:rsidRDefault="00B8782D">
            <w:pPr>
              <w:pStyle w:val="TableText"/>
            </w:pPr>
            <w:r>
              <w:t>[Cicadellidae]</w:t>
            </w:r>
          </w:p>
          <w:p w:rsidR="00B8782D" w:rsidRDefault="00B8782D">
            <w:pPr>
              <w:pStyle w:val="TableText"/>
            </w:pPr>
            <w:r>
              <w:t>Black-tipped leafhopper</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(Li, Wang &amp; Waterhouse 1997)</w:t>
            </w:r>
            <w:r>
              <w:t xml:space="preserve">. Little information is available on the biology of this pest. Members of this family (Cicadellidae) feed on various vascular plants, usually on the leaves and stems, and secrete honeydew </w:t>
            </w:r>
            <w:r>
              <w:rPr>
                <w:noProof/>
              </w:rPr>
              <w:t>(Harvard Entomology 2006)</w:t>
            </w:r>
            <w:r>
              <w:t>. Leafhoppers are highly mobile and would not remain on the fruit when disturbed during harvesting.</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Brachycaudus helichrysi</w:t>
            </w:r>
            <w:r>
              <w:t xml:space="preserve"> (Kaltenbach, 1843)</w:t>
            </w:r>
          </w:p>
          <w:p w:rsidR="00B8782D" w:rsidRDefault="00B8782D">
            <w:pPr>
              <w:pStyle w:val="TableText"/>
            </w:pPr>
            <w:r>
              <w:t xml:space="preserve">Synonym: </w:t>
            </w:r>
            <w:r>
              <w:rPr>
                <w:i/>
              </w:rPr>
              <w:t xml:space="preserve">Anuraphis helichrysi </w:t>
            </w:r>
            <w:r>
              <w:t>(Kaltenbach, 1843)</w:t>
            </w:r>
          </w:p>
          <w:p w:rsidR="00B8782D" w:rsidRDefault="00B8782D">
            <w:pPr>
              <w:pStyle w:val="TableText"/>
            </w:pPr>
            <w:r>
              <w:t>[Aphididae]</w:t>
            </w:r>
          </w:p>
          <w:p w:rsidR="00B8782D" w:rsidRDefault="00B8782D">
            <w:pPr>
              <w:pStyle w:val="TableText"/>
            </w:pPr>
            <w:r>
              <w:t>Leafcurl plum aphid</w:t>
            </w:r>
          </w:p>
        </w:tc>
        <w:tc>
          <w:tcPr>
            <w:tcW w:w="575" w:type="pct"/>
            <w:shd w:val="clear" w:color="auto" w:fill="auto"/>
          </w:tcPr>
          <w:p w:rsidR="00B8782D" w:rsidRDefault="00B8782D" w:rsidP="00750C8B">
            <w:pPr>
              <w:pStyle w:val="TableText"/>
            </w:pPr>
            <w:r>
              <w:t xml:space="preserve">Yes </w:t>
            </w:r>
            <w:r>
              <w:rPr>
                <w:noProof/>
              </w:rPr>
              <w:t>(CAAS 1992; Feng &amp; Wang 2004; Yang, Tulake &amp; Li 2005)</w:t>
            </w:r>
          </w:p>
        </w:tc>
        <w:tc>
          <w:tcPr>
            <w:tcW w:w="615" w:type="pct"/>
            <w:shd w:val="clear" w:color="auto" w:fill="auto"/>
          </w:tcPr>
          <w:p w:rsidR="00B8782D" w:rsidRDefault="00B8782D" w:rsidP="00750C8B">
            <w:pPr>
              <w:pStyle w:val="TableText"/>
            </w:pPr>
            <w:r>
              <w:t xml:space="preserve">Yes. ACT, NSW, Qld, SA, Tas., Vic., WA </w:t>
            </w:r>
            <w:r>
              <w:rPr>
                <w:noProof/>
              </w:rPr>
              <w:t>(Plant Health Australia 2001)</w:t>
            </w:r>
            <w:r>
              <w:t xml:space="preserve">. Because </w:t>
            </w:r>
            <w:r>
              <w:rPr>
                <w:i/>
              </w:rPr>
              <w:t xml:space="preserve">B. helichrysi </w:t>
            </w:r>
            <w:r>
              <w:t xml:space="preserve">is a known vector of plum pox virus (which is absent from Australia) </w:t>
            </w:r>
            <w:r>
              <w:rPr>
                <w:noProof/>
              </w:rPr>
              <w:t>(CABI &amp; EPPO 2007; Gildow 2004; Kaya et al. 2014)</w:t>
            </w:r>
            <w:r>
              <w:t>, the potential to be on the pathway needs to be assessed.</w:t>
            </w:r>
          </w:p>
        </w:tc>
        <w:tc>
          <w:tcPr>
            <w:tcW w:w="716" w:type="pct"/>
            <w:shd w:val="clear" w:color="auto" w:fill="auto"/>
          </w:tcPr>
          <w:p w:rsidR="00B8782D" w:rsidRDefault="00B8782D" w:rsidP="00750C8B">
            <w:pPr>
              <w:pStyle w:val="TableText"/>
            </w:pPr>
            <w:r>
              <w:t xml:space="preserve">No. Sucks sap from leaves, flower buds and newly formed fruit. Consequently the fruit either does not set or falls prematurely </w:t>
            </w:r>
            <w:r>
              <w:rPr>
                <w:noProof/>
              </w:rPr>
              <w:t>(CABI 2015)</w:t>
            </w:r>
            <w:r>
              <w:t xml:space="preserve">.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Ceroplastes ceriferus</w:t>
            </w:r>
            <w:r>
              <w:t xml:space="preserve"> Fabricius, 1798</w:t>
            </w:r>
          </w:p>
          <w:p w:rsidR="00B8782D" w:rsidRDefault="00B8782D">
            <w:pPr>
              <w:pStyle w:val="TableText"/>
            </w:pPr>
            <w:r>
              <w:t>[Coccidae]</w:t>
            </w:r>
          </w:p>
          <w:p w:rsidR="00B8782D" w:rsidRDefault="00B8782D">
            <w:pPr>
              <w:pStyle w:val="TableText"/>
            </w:pPr>
            <w:r>
              <w:t>Indian wax scale</w:t>
            </w:r>
          </w:p>
        </w:tc>
        <w:tc>
          <w:tcPr>
            <w:tcW w:w="575" w:type="pct"/>
            <w:shd w:val="clear" w:color="auto" w:fill="auto"/>
          </w:tcPr>
          <w:p w:rsidR="00B8782D" w:rsidRDefault="00B8782D" w:rsidP="00750C8B">
            <w:pPr>
              <w:pStyle w:val="TableText"/>
            </w:pPr>
            <w:r>
              <w:t xml:space="preserve">Yes </w:t>
            </w:r>
            <w:r>
              <w:rPr>
                <w:noProof/>
              </w:rPr>
              <w:t>(CABI 2015)</w:t>
            </w:r>
          </w:p>
        </w:tc>
        <w:tc>
          <w:tcPr>
            <w:tcW w:w="615" w:type="pct"/>
            <w:shd w:val="clear" w:color="auto" w:fill="auto"/>
          </w:tcPr>
          <w:p w:rsidR="00B8782D" w:rsidRDefault="00B8782D" w:rsidP="00750C8B">
            <w:pPr>
              <w:pStyle w:val="TableText"/>
            </w:pPr>
            <w:r>
              <w:t xml:space="preserve">Yes. NSW, Qld, WA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Ceroplastes floridensis</w:t>
            </w:r>
            <w:r>
              <w:t xml:space="preserve"> Comstock, 1881</w:t>
            </w:r>
          </w:p>
          <w:p w:rsidR="00B8782D" w:rsidRDefault="00B8782D">
            <w:pPr>
              <w:pStyle w:val="TableText"/>
            </w:pPr>
            <w:r>
              <w:t>[Coccidae]</w:t>
            </w:r>
          </w:p>
          <w:p w:rsidR="00B8782D" w:rsidRDefault="00B8782D">
            <w:pPr>
              <w:pStyle w:val="TableText"/>
            </w:pPr>
            <w:r>
              <w:t>Florida wax scale</w:t>
            </w:r>
          </w:p>
        </w:tc>
        <w:tc>
          <w:tcPr>
            <w:tcW w:w="575" w:type="pct"/>
            <w:shd w:val="clear" w:color="auto" w:fill="auto"/>
          </w:tcPr>
          <w:p w:rsidR="00B8782D" w:rsidRDefault="00B8782D" w:rsidP="00750C8B">
            <w:pPr>
              <w:pStyle w:val="TableText"/>
            </w:pPr>
            <w:r>
              <w:t xml:space="preserve">Yes </w:t>
            </w:r>
            <w:r>
              <w:rPr>
                <w:noProof/>
              </w:rPr>
              <w:t>(CAAS 1992)</w:t>
            </w:r>
          </w:p>
        </w:tc>
        <w:tc>
          <w:tcPr>
            <w:tcW w:w="615" w:type="pct"/>
            <w:shd w:val="clear" w:color="auto" w:fill="auto"/>
          </w:tcPr>
          <w:p w:rsidR="00B8782D" w:rsidRDefault="00B8782D" w:rsidP="00750C8B">
            <w:pPr>
              <w:pStyle w:val="TableText"/>
            </w:pPr>
            <w:r>
              <w:t xml:space="preserve">Yes. NSW, Qld </w:t>
            </w:r>
            <w:r>
              <w:rPr>
                <w:noProof/>
              </w:rPr>
              <w:t>(Plant Health Australia 2001)</w:t>
            </w:r>
            <w:r>
              <w:t xml:space="preserve">. Listed as a declared organism (Prohibited (section 12)) under the Western Australia BAM Act 2007 </w:t>
            </w:r>
            <w:r>
              <w:rPr>
                <w:noProof/>
              </w:rPr>
              <w:t>(Government of Western Australia 2014)</w:t>
            </w:r>
            <w:r>
              <w:t>.</w:t>
            </w:r>
          </w:p>
        </w:tc>
        <w:tc>
          <w:tcPr>
            <w:tcW w:w="716" w:type="pct"/>
            <w:shd w:val="clear" w:color="auto" w:fill="auto"/>
          </w:tcPr>
          <w:p w:rsidR="00B8782D" w:rsidRDefault="00B8782D" w:rsidP="00750C8B">
            <w:pPr>
              <w:pStyle w:val="TableText"/>
            </w:pPr>
            <w:r>
              <w:t xml:space="preserve">No. Primarily occurs on stems, leaves and branches </w:t>
            </w:r>
            <w:r>
              <w:rPr>
                <w:noProof/>
              </w:rPr>
              <w:t>(Miller et al. 2007b)</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Ceroplastes japonicus</w:t>
            </w:r>
            <w:r>
              <w:t xml:space="preserve"> Green, 1921</w:t>
            </w:r>
          </w:p>
          <w:p w:rsidR="00B8782D" w:rsidRDefault="00B8782D">
            <w:pPr>
              <w:pStyle w:val="TableText"/>
            </w:pPr>
            <w:r>
              <w:t>[Coccidae]</w:t>
            </w:r>
          </w:p>
          <w:p w:rsidR="00B8782D" w:rsidRDefault="00B8782D">
            <w:pPr>
              <w:pStyle w:val="TableText"/>
            </w:pPr>
            <w:r>
              <w:t>Japanese wax scale</w:t>
            </w:r>
          </w:p>
        </w:tc>
        <w:tc>
          <w:tcPr>
            <w:tcW w:w="575" w:type="pct"/>
            <w:shd w:val="clear" w:color="auto" w:fill="auto"/>
          </w:tcPr>
          <w:p w:rsidR="00B8782D" w:rsidRDefault="00B8782D" w:rsidP="00750C8B">
            <w:pPr>
              <w:pStyle w:val="TableText"/>
            </w:pPr>
            <w:r>
              <w:t xml:space="preserve">Yes </w:t>
            </w:r>
            <w:r>
              <w:rPr>
                <w:noProof/>
              </w:rPr>
              <w:t>(CAAS 1992)</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(CAAS 1992; Sullivan &amp; Molet 2011)</w:t>
            </w:r>
            <w:r>
              <w:t xml:space="preserve">. Infestations occur on the foliage, stems and branches </w:t>
            </w:r>
            <w:r>
              <w:rPr>
                <w:noProof/>
              </w:rPr>
              <w:t>(Sullivan &amp; Molet 2011)</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Ceroplastes rubens</w:t>
            </w:r>
            <w:r>
              <w:t xml:space="preserve"> Maskell, 1893</w:t>
            </w:r>
          </w:p>
          <w:p w:rsidR="00B8782D" w:rsidRDefault="00B8782D">
            <w:pPr>
              <w:pStyle w:val="TableText"/>
            </w:pPr>
            <w:r>
              <w:t>[Coccidae]</w:t>
            </w:r>
          </w:p>
          <w:p w:rsidR="00B8782D" w:rsidRDefault="00B8782D">
            <w:pPr>
              <w:pStyle w:val="TableText"/>
            </w:pPr>
            <w:r>
              <w:t>Pink wax scale</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ACT, NSW, NT, Qld, SA, Vic., WA </w:t>
            </w:r>
            <w:r>
              <w:rPr>
                <w:noProof/>
              </w:rPr>
              <w:t>(CSIRO 2005; 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Chrysomphalus aonidum</w:t>
            </w:r>
            <w:r>
              <w:t xml:space="preserve"> (Linnaeus, 1758)</w:t>
            </w:r>
          </w:p>
          <w:p w:rsidR="00B8782D" w:rsidRDefault="00B8782D">
            <w:pPr>
              <w:pStyle w:val="TableText"/>
            </w:pPr>
            <w:r>
              <w:t>[Diaspididae]</w:t>
            </w:r>
          </w:p>
          <w:p w:rsidR="00B8782D" w:rsidRDefault="00B8782D">
            <w:pPr>
              <w:pStyle w:val="TableText"/>
            </w:pPr>
            <w:r>
              <w:t>Circular scale</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NSW, NT, Qld, Tas., WA </w:t>
            </w:r>
            <w:r>
              <w:rPr>
                <w:noProof/>
              </w:rPr>
              <w:t>(CABI 2015; Plant Health Australia 2001; Poole 2010)</w:t>
            </w:r>
            <w:r>
              <w:t>.</w:t>
            </w:r>
          </w:p>
        </w:tc>
        <w:tc>
          <w:tcPr>
            <w:tcW w:w="716" w:type="pct"/>
            <w:shd w:val="clear" w:color="auto" w:fill="auto"/>
          </w:tcPr>
          <w:p w:rsidR="00B8782D" w:rsidRDefault="00B8782D">
            <w:pPr>
              <w:pStyle w:val="TableText"/>
            </w:pPr>
            <w:r>
              <w:t xml:space="preserve">Assessment not required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Chrysomphalus dictyospermi</w:t>
            </w:r>
            <w:r>
              <w:t xml:space="preserve"> (Morgan, 1889)</w:t>
            </w:r>
          </w:p>
          <w:p w:rsidR="00B8782D" w:rsidRDefault="00B8782D">
            <w:pPr>
              <w:pStyle w:val="TableText"/>
            </w:pPr>
            <w:r>
              <w:t>[Diaspididae]</w:t>
            </w:r>
          </w:p>
          <w:p w:rsidR="00B8782D" w:rsidRDefault="00B8782D">
            <w:pPr>
              <w:pStyle w:val="TableText"/>
            </w:pPr>
            <w:r>
              <w:t xml:space="preserve">Dictyospermum scale </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NSW, NT, Qld, SA </w:t>
            </w:r>
            <w:r>
              <w:rPr>
                <w:noProof/>
              </w:rPr>
              <w:t>(Plant Health Australia 2001)</w:t>
            </w:r>
            <w:r>
              <w:t xml:space="preserve">. It is listed as a declared organism (Prohibited (section 12)) under the Western Australia BAM Act 2007 </w:t>
            </w:r>
            <w:r>
              <w:rPr>
                <w:noProof/>
              </w:rPr>
              <w:t>(Government of Western Australia 2014)</w:t>
            </w:r>
            <w:r>
              <w:t xml:space="preserve">. It has been incorrectly synonymised with </w:t>
            </w:r>
            <w:r>
              <w:rPr>
                <w:i/>
              </w:rPr>
              <w:t>C. pinnulifer</w:t>
            </w:r>
            <w:r>
              <w:t xml:space="preserve"> </w:t>
            </w:r>
            <w:r>
              <w:rPr>
                <w:noProof/>
              </w:rPr>
              <w:t>(Ben-Dov et al. 2015)</w:t>
            </w:r>
            <w:r>
              <w:t>.</w:t>
            </w:r>
          </w:p>
        </w:tc>
        <w:tc>
          <w:tcPr>
            <w:tcW w:w="716" w:type="pct"/>
            <w:shd w:val="clear" w:color="auto" w:fill="auto"/>
          </w:tcPr>
          <w:p w:rsidR="00B8782D" w:rsidRDefault="00B8782D" w:rsidP="00750C8B">
            <w:pPr>
              <w:pStyle w:val="TableText"/>
            </w:pPr>
            <w:r>
              <w:t xml:space="preserve">No. </w:t>
            </w:r>
            <w:r>
              <w:rPr>
                <w:i/>
              </w:rPr>
              <w:t>Chrysomphalus dictyospermi</w:t>
            </w:r>
            <w:r>
              <w:t xml:space="preserve"> has not been recorded on peach, nectarine or apricot </w:t>
            </w:r>
            <w:r>
              <w:rPr>
                <w:noProof/>
              </w:rPr>
              <w:t>(Ben-Dov et al. 2015; MAF Plant Health &amp; Environment Laboratory 2011)</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Cicadella viridis</w:t>
            </w:r>
            <w:r>
              <w:t xml:space="preserve"> (Linnaeus, 1758)</w:t>
            </w:r>
          </w:p>
          <w:p w:rsidR="00B8782D" w:rsidRDefault="00B8782D">
            <w:pPr>
              <w:pStyle w:val="TableText"/>
            </w:pPr>
            <w:r>
              <w:t xml:space="preserve">Synonym: </w:t>
            </w:r>
            <w:r>
              <w:rPr>
                <w:i/>
              </w:rPr>
              <w:t>Tettigella viridis</w:t>
            </w:r>
            <w:r>
              <w:t xml:space="preserve"> Linnaeus, 1758</w:t>
            </w:r>
          </w:p>
          <w:p w:rsidR="00B8782D" w:rsidRDefault="00B8782D">
            <w:pPr>
              <w:pStyle w:val="TableText"/>
            </w:pPr>
            <w:r>
              <w:t>[Cicadellidae]</w:t>
            </w:r>
          </w:p>
          <w:p w:rsidR="00B8782D" w:rsidRDefault="00B8782D">
            <w:pPr>
              <w:pStyle w:val="TableText"/>
            </w:pPr>
            <w:r>
              <w:t>Green leafhopper</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w:t>
            </w:r>
            <w:r>
              <w:rPr>
                <w:noProof/>
              </w:rPr>
              <w:t>(AQSIQ 2006b)</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Coccus hesperidum</w:t>
            </w:r>
            <w:r>
              <w:t xml:space="preserve"> Linnaeus, 1758</w:t>
            </w:r>
          </w:p>
          <w:p w:rsidR="00B8782D" w:rsidRDefault="00B8782D">
            <w:pPr>
              <w:pStyle w:val="TableText"/>
            </w:pPr>
            <w:r>
              <w:t>[Coccidae]</w:t>
            </w:r>
          </w:p>
          <w:p w:rsidR="00B8782D" w:rsidRDefault="00B8782D">
            <w:pPr>
              <w:pStyle w:val="TableText"/>
            </w:pPr>
            <w:r>
              <w:t>Brown soft scale</w:t>
            </w:r>
          </w:p>
        </w:tc>
        <w:tc>
          <w:tcPr>
            <w:tcW w:w="575" w:type="pct"/>
            <w:shd w:val="clear" w:color="auto" w:fill="auto"/>
          </w:tcPr>
          <w:p w:rsidR="00B8782D" w:rsidRDefault="00B8782D" w:rsidP="00750C8B">
            <w:pPr>
              <w:pStyle w:val="TableText"/>
            </w:pPr>
            <w:r>
              <w:t xml:space="preserve">Yes </w:t>
            </w:r>
            <w:r>
              <w:rPr>
                <w:noProof/>
              </w:rPr>
              <w:t>(CABI 2015; Li, Wang &amp; Waterhouse 1997)</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Cryptotympana atrata</w:t>
            </w:r>
            <w:r>
              <w:t xml:space="preserve"> (Fabricius, 1775)</w:t>
            </w:r>
          </w:p>
          <w:p w:rsidR="00B8782D" w:rsidRDefault="00B8782D">
            <w:pPr>
              <w:pStyle w:val="TableText"/>
            </w:pPr>
            <w:r>
              <w:t xml:space="preserve">Synonym: </w:t>
            </w:r>
            <w:r>
              <w:rPr>
                <w:i/>
              </w:rPr>
              <w:t>Cryptotympana pustulata</w:t>
            </w:r>
            <w:r>
              <w:t xml:space="preserve"> (Fabricius, 1787)</w:t>
            </w:r>
          </w:p>
          <w:p w:rsidR="00B8782D" w:rsidRDefault="00B8782D">
            <w:pPr>
              <w:pStyle w:val="TableText"/>
            </w:pPr>
            <w:r>
              <w:t>[Cicadidae]</w:t>
            </w:r>
          </w:p>
          <w:p w:rsidR="00B8782D" w:rsidRDefault="00B8782D">
            <w:pPr>
              <w:pStyle w:val="TableText"/>
            </w:pPr>
            <w:r>
              <w:t>Oriental cicada</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(AQSIQ 2006b)</w:t>
            </w:r>
            <w:r>
              <w:t xml:space="preserve">. Adults feed on young branches and nymphs live in the soil and feed on roots </w:t>
            </w:r>
            <w:r>
              <w:rPr>
                <w:noProof/>
              </w:rPr>
              <w:t>(Feng &amp; Wang 2004)</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Diaspidiotus ostreaeformis</w:t>
            </w:r>
            <w:r>
              <w:t xml:space="preserve"> (Curtis, 1843)</w:t>
            </w:r>
          </w:p>
          <w:p w:rsidR="00B8782D" w:rsidRDefault="00B8782D">
            <w:pPr>
              <w:pStyle w:val="TableText"/>
            </w:pPr>
            <w:r>
              <w:t xml:space="preserve">Synonym: </w:t>
            </w:r>
            <w:r>
              <w:rPr>
                <w:i/>
              </w:rPr>
              <w:t>Quadraspidiotus ostreaeformis</w:t>
            </w:r>
            <w:r>
              <w:t xml:space="preserve"> (Curtis, 1843)</w:t>
            </w:r>
          </w:p>
          <w:p w:rsidR="00B8782D" w:rsidRDefault="00B8782D">
            <w:pPr>
              <w:pStyle w:val="TableText"/>
            </w:pPr>
            <w:r>
              <w:t>[Diaspididae]</w:t>
            </w:r>
          </w:p>
          <w:p w:rsidR="00B8782D" w:rsidRDefault="00B8782D">
            <w:pPr>
              <w:pStyle w:val="TableText"/>
            </w:pPr>
            <w:r>
              <w:t>Oystershell scale</w:t>
            </w:r>
          </w:p>
        </w:tc>
        <w:tc>
          <w:tcPr>
            <w:tcW w:w="575" w:type="pct"/>
            <w:shd w:val="clear" w:color="auto" w:fill="auto"/>
          </w:tcPr>
          <w:p w:rsidR="00B8782D" w:rsidRDefault="00B8782D" w:rsidP="00750C8B">
            <w:pPr>
              <w:pStyle w:val="TableText"/>
            </w:pPr>
            <w:r>
              <w:t xml:space="preserve">Yes </w:t>
            </w:r>
            <w:r>
              <w:rPr>
                <w:noProof/>
              </w:rPr>
              <w:t>(Ben-Dov et al. 2014; CABI 2015)</w:t>
            </w:r>
          </w:p>
        </w:tc>
        <w:tc>
          <w:tcPr>
            <w:tcW w:w="615" w:type="pct"/>
            <w:shd w:val="clear" w:color="auto" w:fill="auto"/>
          </w:tcPr>
          <w:p w:rsidR="00B8782D" w:rsidRDefault="00B8782D">
            <w:pPr>
              <w:pStyle w:val="TableText"/>
            </w:pPr>
            <w:r>
              <w:t xml:space="preserve">Yes. NSW, SA, Tas., Vic. </w:t>
            </w:r>
            <w:r>
              <w:rPr>
                <w:noProof/>
              </w:rPr>
              <w:t>(Plant Health Australia 2001)</w:t>
            </w:r>
            <w:r>
              <w:t xml:space="preserve">. This species is listed as a quarantine pest for WA </w:t>
            </w:r>
            <w:r>
              <w:rPr>
                <w:noProof/>
              </w:rPr>
              <w:t>(Poole et al. 2011)</w:t>
            </w:r>
            <w:r>
              <w:t xml:space="preserve"> and is listed as a declared organism (Prohibited (section 12)) under the Western Australia BAM Act 2007 </w:t>
            </w:r>
            <w:r>
              <w:rPr>
                <w:noProof/>
              </w:rPr>
              <w:t>(Government of Western Australia 2014)</w:t>
            </w:r>
            <w:r>
              <w:t>.</w:t>
            </w:r>
          </w:p>
          <w:p w:rsidR="00B8782D" w:rsidRDefault="00B8782D">
            <w:pPr>
              <w:pStyle w:val="TableText"/>
            </w:pPr>
          </w:p>
        </w:tc>
        <w:tc>
          <w:tcPr>
            <w:tcW w:w="716" w:type="pct"/>
            <w:shd w:val="clear" w:color="auto" w:fill="auto"/>
          </w:tcPr>
          <w:p w:rsidR="00B8782D" w:rsidRDefault="00B8782D" w:rsidP="00750C8B">
            <w:pPr>
              <w:pStyle w:val="TableText"/>
            </w:pPr>
            <w:r>
              <w:t xml:space="preserve">Yes. Associated with </w:t>
            </w:r>
            <w:r>
              <w:rPr>
                <w:i/>
              </w:rPr>
              <w:t>P. persica</w:t>
            </w:r>
            <w:r>
              <w:t xml:space="preserve">. Mostly infests the bark on stems and branches of trees, but sometimes can be found on the fruit where it causes red spots </w:t>
            </w:r>
            <w:r>
              <w:rPr>
                <w:noProof/>
              </w:rPr>
              <w:t>(Beardsley &amp; Gonzalez 1975; CABI 2015)</w:t>
            </w:r>
            <w:r>
              <w:t xml:space="preserve">. </w:t>
            </w:r>
          </w:p>
        </w:tc>
        <w:tc>
          <w:tcPr>
            <w:tcW w:w="717" w:type="pct"/>
            <w:shd w:val="clear" w:color="auto" w:fill="auto"/>
          </w:tcPr>
          <w:p w:rsidR="00B8782D" w:rsidRDefault="00B8782D" w:rsidP="00750C8B">
            <w:pPr>
              <w:pStyle w:val="TableText"/>
            </w:pPr>
            <w:r>
              <w:t xml:space="preserve">Yes. This species has a wide host range, being reported from 41 genera in 18 families, mainly deciduous trees. Many of these host plants are widespread in Western Australia. It is widely distributed in Palaearctic and Nearctic regions and has been introduced into Australia, Argentina, Canada and New Zealand </w:t>
            </w:r>
            <w:r>
              <w:rPr>
                <w:noProof/>
              </w:rPr>
              <w:t>(CABI 2015)</w:t>
            </w:r>
            <w:r>
              <w:t xml:space="preserve">. This species is already established in parts of Australia </w:t>
            </w:r>
            <w:r>
              <w:rPr>
                <w:noProof/>
              </w:rPr>
              <w:t>(Plant Health Australia 2001)</w:t>
            </w:r>
            <w:r>
              <w:t xml:space="preserve"> suggesting that there are regions within Western Australia suitable for the establishment and spread of this pest.</w:t>
            </w:r>
          </w:p>
        </w:tc>
        <w:tc>
          <w:tcPr>
            <w:tcW w:w="716" w:type="pct"/>
            <w:shd w:val="clear" w:color="auto" w:fill="auto"/>
          </w:tcPr>
          <w:p w:rsidR="00B8782D" w:rsidRDefault="00B8782D" w:rsidP="00750C8B">
            <w:pPr>
              <w:pStyle w:val="TableText"/>
            </w:pPr>
            <w:r>
              <w:t>Assess not required. The potential economic consequences would only apply to WA should this species enter, establish and spread. WA has assessed these consequences as ‘very low’ using similar methodology to the Australian Government Department of Agriculture and Water Resources</w:t>
            </w:r>
            <w:r>
              <w:rPr>
                <w:noProof/>
              </w:rPr>
              <w:t>(Poole et al. 2011)</w:t>
            </w:r>
            <w:r>
              <w:t xml:space="preserve"> which meets their ALOP.</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Diaspidiotus perniciosus</w:t>
            </w:r>
            <w:r>
              <w:t xml:space="preserve"> (Comstock, 1881)</w:t>
            </w:r>
          </w:p>
          <w:p w:rsidR="00B8782D" w:rsidRDefault="00B8782D">
            <w:pPr>
              <w:pStyle w:val="TableText"/>
            </w:pPr>
            <w:r>
              <w:t xml:space="preserve">Synonym: </w:t>
            </w:r>
            <w:r>
              <w:rPr>
                <w:i/>
              </w:rPr>
              <w:t>Quadraspidiotus perniciosus</w:t>
            </w:r>
            <w:r>
              <w:t xml:space="preserve"> (Comstock, 1881)</w:t>
            </w:r>
          </w:p>
          <w:p w:rsidR="00B8782D" w:rsidRDefault="00B8782D">
            <w:pPr>
              <w:pStyle w:val="TableText"/>
            </w:pPr>
            <w:r>
              <w:t>[Diaspididae]</w:t>
            </w:r>
          </w:p>
          <w:p w:rsidR="00B8782D" w:rsidRDefault="00B8782D">
            <w:pPr>
              <w:pStyle w:val="TableText"/>
            </w:pPr>
            <w:r>
              <w:t>California scale, San Jose Scale</w:t>
            </w:r>
          </w:p>
        </w:tc>
        <w:tc>
          <w:tcPr>
            <w:tcW w:w="575" w:type="pct"/>
            <w:shd w:val="clear" w:color="auto" w:fill="auto"/>
          </w:tcPr>
          <w:p w:rsidR="00B8782D" w:rsidRDefault="00B8782D" w:rsidP="00750C8B">
            <w:pPr>
              <w:pStyle w:val="TableText"/>
            </w:pPr>
            <w:r>
              <w:t xml:space="preserve">Yes </w:t>
            </w:r>
            <w:r>
              <w:rPr>
                <w:noProof/>
              </w:rPr>
              <w:t>(CABI 2015; Yang, Tulake &amp; Li 2005)</w:t>
            </w:r>
          </w:p>
        </w:tc>
        <w:tc>
          <w:tcPr>
            <w:tcW w:w="615" w:type="pct"/>
            <w:shd w:val="clear" w:color="auto" w:fill="auto"/>
          </w:tcPr>
          <w:p w:rsidR="00B8782D" w:rsidRDefault="00B8782D" w:rsidP="00750C8B">
            <w:pPr>
              <w:pStyle w:val="TableText"/>
            </w:pPr>
            <w:r>
              <w:t xml:space="preserve">Yes. NSW, Qld, SA, Tas., Vic., WA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Didesmococcus koreanus</w:t>
            </w:r>
            <w:r>
              <w:t xml:space="preserve"> Borchsenius, 1955</w:t>
            </w:r>
          </w:p>
          <w:p w:rsidR="00B8782D" w:rsidRDefault="00B8782D">
            <w:pPr>
              <w:pStyle w:val="TableText"/>
            </w:pPr>
            <w:r>
              <w:t>[Coccidae]</w:t>
            </w:r>
          </w:p>
          <w:p w:rsidR="00B8782D" w:rsidRDefault="00B8782D">
            <w:pPr>
              <w:pStyle w:val="TableText"/>
            </w:pPr>
            <w:r>
              <w:t>Korean scale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w:t>
            </w:r>
            <w:r>
              <w:rPr>
                <w:noProof/>
              </w:rPr>
              <w:t>(AQSIQ 2006b)</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Drosicha corpulenta</w:t>
            </w:r>
            <w:r>
              <w:t xml:space="preserve"> (Kuwana, 1902)</w:t>
            </w:r>
          </w:p>
          <w:p w:rsidR="00B8782D" w:rsidRDefault="00B8782D">
            <w:pPr>
              <w:pStyle w:val="TableText"/>
            </w:pPr>
            <w:r>
              <w:t>[Monophlebidae]</w:t>
            </w:r>
          </w:p>
          <w:p w:rsidR="00B8782D" w:rsidRDefault="00B8782D">
            <w:pPr>
              <w:pStyle w:val="TableText"/>
            </w:pPr>
            <w:r>
              <w:t>Giant mealybug</w:t>
            </w:r>
          </w:p>
        </w:tc>
        <w:tc>
          <w:tcPr>
            <w:tcW w:w="575" w:type="pct"/>
            <w:shd w:val="clear" w:color="auto" w:fill="auto"/>
          </w:tcPr>
          <w:p w:rsidR="00B8782D" w:rsidRDefault="00B8782D" w:rsidP="00750C8B">
            <w:pPr>
              <w:pStyle w:val="TableText"/>
            </w:pPr>
            <w:r>
              <w:t xml:space="preserve">Yes </w:t>
            </w:r>
            <w:r>
              <w:rPr>
                <w:noProof/>
              </w:rPr>
              <w:t>(CIQSA 2001c; Feng &amp; Wang 2004; Xu et al. 1999)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Eggs overwinter in the soil, nymphs feed on young buds and pupate in cracks in the bark of the host </w:t>
            </w:r>
            <w:r>
              <w:rPr>
                <w:noProof/>
              </w:rPr>
              <w:t>(Xu et al. 1999)</w:t>
            </w:r>
            <w:r>
              <w:t xml:space="preserve">. Adult females and nymphs feed on stems and branches </w:t>
            </w:r>
            <w:r>
              <w:rPr>
                <w:noProof/>
              </w:rPr>
              <w:t>(Feng &amp; Wang 2004)</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Empoasca flavescens</w:t>
            </w:r>
            <w:r>
              <w:t xml:space="preserve"> (Fabricius, 1794)</w:t>
            </w:r>
          </w:p>
          <w:p w:rsidR="00B8782D" w:rsidRDefault="00B8782D">
            <w:pPr>
              <w:pStyle w:val="TableText"/>
            </w:pPr>
            <w:r>
              <w:t xml:space="preserve">Synonym: </w:t>
            </w:r>
            <w:r>
              <w:rPr>
                <w:i/>
              </w:rPr>
              <w:t xml:space="preserve">Empoasca mali </w:t>
            </w:r>
            <w:r>
              <w:t>(LeBaron, 1853)</w:t>
            </w:r>
          </w:p>
          <w:p w:rsidR="00B8782D" w:rsidRDefault="00B8782D">
            <w:pPr>
              <w:pStyle w:val="TableText"/>
            </w:pPr>
            <w:r>
              <w:t>[Cicadellidae]</w:t>
            </w:r>
          </w:p>
        </w:tc>
        <w:tc>
          <w:tcPr>
            <w:tcW w:w="575" w:type="pct"/>
            <w:shd w:val="clear" w:color="auto" w:fill="auto"/>
          </w:tcPr>
          <w:p w:rsidR="00B8782D" w:rsidRDefault="00B8782D" w:rsidP="00750C8B">
            <w:pPr>
              <w:pStyle w:val="TableText"/>
            </w:pPr>
            <w:r>
              <w:t xml:space="preserve">Yes </w:t>
            </w:r>
            <w:r>
              <w:rPr>
                <w:noProof/>
              </w:rPr>
              <w:t>(AQSIQ 2006b; CIQSA 2001c)</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w:t>
            </w:r>
            <w:r>
              <w:rPr>
                <w:noProof/>
              </w:rPr>
              <w:t>(AQSIQ 2006b; CABI 2015)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Eriosoma lanigerum</w:t>
            </w:r>
            <w:r>
              <w:t xml:space="preserve"> (Hausmann, 1802)</w:t>
            </w:r>
          </w:p>
          <w:p w:rsidR="00B8782D" w:rsidRDefault="00B8782D">
            <w:pPr>
              <w:pStyle w:val="TableText"/>
            </w:pPr>
            <w:r>
              <w:t>[Aphididae]</w:t>
            </w:r>
          </w:p>
          <w:p w:rsidR="00B8782D" w:rsidRDefault="00B8782D">
            <w:pPr>
              <w:pStyle w:val="TableText"/>
            </w:pPr>
            <w:r>
              <w:t>Woolly aphid</w:t>
            </w:r>
          </w:p>
        </w:tc>
        <w:tc>
          <w:tcPr>
            <w:tcW w:w="575" w:type="pct"/>
            <w:shd w:val="clear" w:color="auto" w:fill="auto"/>
          </w:tcPr>
          <w:p w:rsidR="00B8782D" w:rsidRDefault="00B8782D" w:rsidP="00750C8B">
            <w:pPr>
              <w:pStyle w:val="TableText"/>
            </w:pPr>
            <w:r>
              <w:t xml:space="preserve">Yes </w:t>
            </w:r>
            <w:r>
              <w:rPr>
                <w:noProof/>
              </w:rPr>
              <w:t>(CABI 2015; CIQSA 2001b)</w:t>
            </w:r>
          </w:p>
        </w:tc>
        <w:tc>
          <w:tcPr>
            <w:tcW w:w="615" w:type="pct"/>
            <w:shd w:val="clear" w:color="auto" w:fill="auto"/>
          </w:tcPr>
          <w:p w:rsidR="00B8782D" w:rsidRDefault="00B8782D" w:rsidP="00750C8B">
            <w:pPr>
              <w:pStyle w:val="TableText"/>
            </w:pPr>
            <w:r>
              <w:t xml:space="preserve">Yes. NSW, Qld, SA, Tas., Vic., WA </w:t>
            </w:r>
            <w:r>
              <w:rPr>
                <w:noProof/>
              </w:rPr>
              <w:t>(CABI 2015; 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Erthesina fullo</w:t>
            </w:r>
            <w:r>
              <w:t xml:space="preserve"> (Thunberg, 1783)</w:t>
            </w:r>
          </w:p>
          <w:p w:rsidR="00B8782D" w:rsidRDefault="00B8782D">
            <w:pPr>
              <w:pStyle w:val="TableText"/>
            </w:pPr>
            <w:r>
              <w:t>[Pentatomidae]</w:t>
            </w:r>
          </w:p>
          <w:p w:rsidR="00B8782D" w:rsidRDefault="00B8782D">
            <w:pPr>
              <w:pStyle w:val="TableText"/>
            </w:pPr>
            <w:r>
              <w:t>Yellow spot stink bug</w:t>
            </w:r>
          </w:p>
        </w:tc>
        <w:tc>
          <w:tcPr>
            <w:tcW w:w="575" w:type="pct"/>
            <w:shd w:val="clear" w:color="auto" w:fill="auto"/>
          </w:tcPr>
          <w:p w:rsidR="00B8782D" w:rsidRDefault="00B8782D" w:rsidP="00750C8B">
            <w:pPr>
              <w:pStyle w:val="TableText"/>
            </w:pPr>
            <w:r>
              <w:t xml:space="preserve">Yes </w:t>
            </w:r>
            <w:r>
              <w:rPr>
                <w:noProof/>
              </w:rPr>
              <w:t>(Feng &amp; Wang 2004)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Pest of </w:t>
            </w:r>
            <w:r>
              <w:rPr>
                <w:i/>
              </w:rPr>
              <w:t>P. persica</w:t>
            </w:r>
            <w:r>
              <w:t xml:space="preserve"> </w:t>
            </w:r>
            <w:r>
              <w:rPr>
                <w:noProof/>
              </w:rPr>
              <w:t>(Feng &amp; Wang 2004)</w:t>
            </w:r>
            <w:r>
              <w:t xml:space="preserve">. Eggs deposited in small masses on leaves </w:t>
            </w:r>
            <w:r>
              <w:rPr>
                <w:noProof/>
              </w:rPr>
              <w:t>(Hoffmann 1930)</w:t>
            </w:r>
            <w:r>
              <w:t xml:space="preserve">. Adults and nymphs damage branches and fruit </w:t>
            </w:r>
            <w:r>
              <w:rPr>
                <w:noProof/>
              </w:rPr>
              <w:t>(Feng &amp; Wang 2004)</w:t>
            </w:r>
            <w:r>
              <w:t>. Adults and nymphs are highly mobile and would be likely to fall from the fruit during harvesting.</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Erythroneura sudra</w:t>
            </w:r>
            <w:r>
              <w:t xml:space="preserve"> (Distant, 1908)</w:t>
            </w:r>
          </w:p>
          <w:p w:rsidR="00B8782D" w:rsidRDefault="00B8782D">
            <w:pPr>
              <w:pStyle w:val="TableText"/>
            </w:pPr>
            <w:r>
              <w:t>[Cicadellidae]</w:t>
            </w:r>
          </w:p>
          <w:p w:rsidR="00B8782D" w:rsidRDefault="00B8782D">
            <w:pPr>
              <w:pStyle w:val="TableText"/>
            </w:pPr>
            <w:r>
              <w:t>Peach one spotted leafhopper</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w:t>
            </w:r>
            <w:r>
              <w:rPr>
                <w:noProof/>
              </w:rPr>
              <w:t>(AQSIQ 2006b; CAAS 1992)</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Eulecanium excrescens</w:t>
            </w:r>
            <w:r>
              <w:t xml:space="preserve"> (Ferris, 1920)</w:t>
            </w:r>
          </w:p>
          <w:p w:rsidR="00B8782D" w:rsidRDefault="00B8782D">
            <w:pPr>
              <w:pStyle w:val="TableText"/>
            </w:pPr>
            <w:r>
              <w:t xml:space="preserve">Synonym: </w:t>
            </w:r>
            <w:r>
              <w:rPr>
                <w:i/>
              </w:rPr>
              <w:t>Lecanium excrescens</w:t>
            </w:r>
            <w:r>
              <w:t xml:space="preserve"> Ferris, 1920</w:t>
            </w:r>
          </w:p>
          <w:p w:rsidR="00B8782D" w:rsidRDefault="00B8782D">
            <w:pPr>
              <w:pStyle w:val="TableText"/>
            </w:pPr>
            <w:r>
              <w:t>[Coccidae]</w:t>
            </w:r>
          </w:p>
          <w:p w:rsidR="00B8782D" w:rsidRDefault="00B8782D">
            <w:pPr>
              <w:pStyle w:val="TableText"/>
            </w:pPr>
            <w:r>
              <w:t>Excrescent scale</w:t>
            </w:r>
          </w:p>
        </w:tc>
        <w:tc>
          <w:tcPr>
            <w:tcW w:w="575" w:type="pct"/>
            <w:shd w:val="clear" w:color="auto" w:fill="auto"/>
          </w:tcPr>
          <w:p w:rsidR="00B8782D" w:rsidRDefault="00B8782D" w:rsidP="00750C8B">
            <w:pPr>
              <w:pStyle w:val="TableText"/>
            </w:pPr>
            <w:r>
              <w:t xml:space="preserve">Yes </w:t>
            </w:r>
            <w:r>
              <w:rPr>
                <w:noProof/>
              </w:rPr>
              <w:t>(Malumphy 2005)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but only occurs on the bark or underside of leaves </w:t>
            </w:r>
            <w:r>
              <w:rPr>
                <w:noProof/>
              </w:rPr>
              <w:t>(Malumphy 2005)</w:t>
            </w:r>
            <w:r>
              <w:t xml:space="preserve">. Females that overwinter on stems deposit their eggs underneath their protective scales </w:t>
            </w:r>
            <w:r>
              <w:rPr>
                <w:noProof/>
              </w:rPr>
              <w:t>(Malumphy 2005)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Eulecanium giganteum</w:t>
            </w:r>
            <w:r>
              <w:t xml:space="preserve"> (Shinji, 1935)</w:t>
            </w:r>
          </w:p>
          <w:p w:rsidR="00B8782D" w:rsidRDefault="00B8782D">
            <w:pPr>
              <w:pStyle w:val="TableText"/>
            </w:pPr>
            <w:r>
              <w:t>[Coccidae]</w:t>
            </w:r>
          </w:p>
        </w:tc>
        <w:tc>
          <w:tcPr>
            <w:tcW w:w="575" w:type="pct"/>
            <w:shd w:val="clear" w:color="auto" w:fill="auto"/>
          </w:tcPr>
          <w:p w:rsidR="00B8782D" w:rsidRDefault="00B8782D" w:rsidP="00750C8B">
            <w:pPr>
              <w:pStyle w:val="TableText"/>
            </w:pPr>
            <w:r>
              <w:t xml:space="preserve">Yes </w:t>
            </w:r>
            <w:r>
              <w:rPr>
                <w:noProof/>
              </w:rPr>
              <w:t>(Ben-Dov 2014a; Yang et al. 2008)</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but only feeds on twigs, branches and leaves </w:t>
            </w:r>
            <w:r>
              <w:rPr>
                <w:noProof/>
              </w:rPr>
              <w:t>(Yang et al. 2008)</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Eulecanium kunoense</w:t>
            </w:r>
            <w:r>
              <w:t xml:space="preserve"> (Kuwana, 1907)</w:t>
            </w:r>
          </w:p>
          <w:p w:rsidR="00B8782D" w:rsidRDefault="00B8782D">
            <w:pPr>
              <w:pStyle w:val="TableText"/>
            </w:pPr>
            <w:r>
              <w:t>[Coccidae]</w:t>
            </w:r>
          </w:p>
          <w:p w:rsidR="00B8782D" w:rsidRDefault="00B8782D">
            <w:pPr>
              <w:pStyle w:val="TableText"/>
            </w:pPr>
            <w:r>
              <w:t>Globular peach scale</w:t>
            </w:r>
          </w:p>
        </w:tc>
        <w:tc>
          <w:tcPr>
            <w:tcW w:w="575" w:type="pct"/>
            <w:shd w:val="clear" w:color="auto" w:fill="auto"/>
          </w:tcPr>
          <w:p w:rsidR="00B8782D" w:rsidRDefault="00B8782D" w:rsidP="00750C8B">
            <w:pPr>
              <w:pStyle w:val="TableText"/>
            </w:pPr>
            <w:r>
              <w:t xml:space="preserve">Yes </w:t>
            </w:r>
            <w:r>
              <w:rPr>
                <w:noProof/>
              </w:rPr>
              <w:t>(AQSIQ 2006b; CIQSA 2001c; Feng &amp; Wang 2004)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(AQSIQ 2006b)</w:t>
            </w:r>
            <w:r>
              <w:t xml:space="preserve">. Nymphs and adult females feed on branches and leaves </w:t>
            </w:r>
            <w:r>
              <w:rPr>
                <w:noProof/>
              </w:rPr>
              <w:t>(Feng &amp; Wang 2004)</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Geisha distinctissima</w:t>
            </w:r>
            <w:r>
              <w:t xml:space="preserve"> (Walker, 1858)</w:t>
            </w:r>
          </w:p>
          <w:p w:rsidR="00B8782D" w:rsidRDefault="00B8782D">
            <w:pPr>
              <w:pStyle w:val="TableText"/>
            </w:pPr>
            <w:r>
              <w:t>[Flatidae]</w:t>
            </w:r>
          </w:p>
          <w:p w:rsidR="00B8782D" w:rsidRDefault="00B8782D">
            <w:pPr>
              <w:pStyle w:val="TableText"/>
            </w:pPr>
            <w:r>
              <w:t>Green broad-winged planthopper</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(Li, Wang &amp; Waterhouse 1997)</w:t>
            </w:r>
            <w:r>
              <w:t xml:space="preserve">. On citrus, this planthopper feeds on young leaves </w:t>
            </w:r>
            <w:r>
              <w:rPr>
                <w:noProof/>
              </w:rPr>
              <w:t>(Clausen 1927)</w:t>
            </w:r>
            <w:r>
              <w:t xml:space="preserve"> and it would be expected to behave similarly on nectarine trees.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Halyomorpha halys</w:t>
            </w:r>
            <w:r>
              <w:t xml:space="preserve"> Stål, 1855</w:t>
            </w:r>
          </w:p>
          <w:p w:rsidR="00B8782D" w:rsidRDefault="00B8782D">
            <w:pPr>
              <w:pStyle w:val="TableText"/>
            </w:pPr>
            <w:r>
              <w:t>[Pentatomidae]</w:t>
            </w:r>
          </w:p>
          <w:p w:rsidR="00B8782D" w:rsidRDefault="00B8782D">
            <w:pPr>
              <w:pStyle w:val="TableText"/>
            </w:pPr>
            <w:r>
              <w:t>Yellow-brown stink bug</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(CABI 2015)</w:t>
            </w:r>
            <w:r>
              <w:t xml:space="preserve">. Eggs are attached, side-by-side, to the underside of leaves in masses of 20 to 30 </w:t>
            </w:r>
            <w:r>
              <w:rPr>
                <w:noProof/>
              </w:rPr>
              <w:t>(Jacobs 2014)</w:t>
            </w:r>
            <w:r>
              <w:t xml:space="preserve">. Adults and nymphs feed on fruit, damaging the surface </w:t>
            </w:r>
            <w:r>
              <w:rPr>
                <w:noProof/>
              </w:rPr>
              <w:t>(Feng &amp; Wang 2004)</w:t>
            </w:r>
            <w:r>
              <w:t xml:space="preserve"> and the nymphs feed on leaves and stems </w:t>
            </w:r>
            <w:r>
              <w:rPr>
                <w:noProof/>
              </w:rPr>
              <w:t>(Hoebeke 2002)</w:t>
            </w:r>
            <w:r>
              <w:t>. Adults and nymphs are highly mobile and would be likely to fall from the fruit during harvesting.</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Hemiberlesia lataniae</w:t>
            </w:r>
            <w:r>
              <w:t xml:space="preserve"> (Signoret, 1869)</w:t>
            </w:r>
          </w:p>
          <w:p w:rsidR="00B8782D" w:rsidRDefault="00B8782D">
            <w:pPr>
              <w:pStyle w:val="TableText"/>
            </w:pPr>
            <w:r>
              <w:t>[Diaspididae]</w:t>
            </w:r>
          </w:p>
          <w:p w:rsidR="00B8782D" w:rsidRDefault="00B8782D">
            <w:pPr>
              <w:pStyle w:val="TableText"/>
            </w:pPr>
            <w:r>
              <w:t>Latania scale</w:t>
            </w:r>
          </w:p>
        </w:tc>
        <w:tc>
          <w:tcPr>
            <w:tcW w:w="575" w:type="pct"/>
            <w:shd w:val="clear" w:color="auto" w:fill="auto"/>
          </w:tcPr>
          <w:p w:rsidR="00B8782D" w:rsidRDefault="00B8782D" w:rsidP="00750C8B">
            <w:pPr>
              <w:pStyle w:val="TableText"/>
            </w:pPr>
            <w:r>
              <w:t xml:space="preserve">Yes </w:t>
            </w:r>
            <w:r>
              <w:rPr>
                <w:noProof/>
              </w:rPr>
              <w:t>(CABI 2015)</w:t>
            </w:r>
          </w:p>
        </w:tc>
        <w:tc>
          <w:tcPr>
            <w:tcW w:w="615" w:type="pct"/>
            <w:shd w:val="clear" w:color="auto" w:fill="auto"/>
          </w:tcPr>
          <w:p w:rsidR="00B8782D" w:rsidRDefault="00B8782D" w:rsidP="00750C8B">
            <w:pPr>
              <w:pStyle w:val="TableText"/>
            </w:pPr>
            <w:r>
              <w:t xml:space="preserve">Yes. NSW, NT, Qld, Vic., WA </w:t>
            </w:r>
            <w:r>
              <w:rPr>
                <w:noProof/>
              </w:rPr>
              <w:t>(Plant Health Australia 2001; Poole 2010; Watson 2005)</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Homalogonia obtusa</w:t>
            </w:r>
            <w:r>
              <w:t xml:space="preserve"> (Walker, 1868)</w:t>
            </w:r>
          </w:p>
          <w:p w:rsidR="00B8782D" w:rsidRDefault="00B8782D">
            <w:pPr>
              <w:pStyle w:val="TableText"/>
            </w:pPr>
            <w:r>
              <w:t>[Pentatomidae]</w:t>
            </w:r>
          </w:p>
          <w:p w:rsidR="00B8782D" w:rsidRDefault="00B8782D">
            <w:pPr>
              <w:pStyle w:val="TableText"/>
            </w:pPr>
            <w:r>
              <w:t>Four spotted stink bug</w:t>
            </w:r>
          </w:p>
        </w:tc>
        <w:tc>
          <w:tcPr>
            <w:tcW w:w="575" w:type="pct"/>
            <w:shd w:val="clear" w:color="auto" w:fill="auto"/>
          </w:tcPr>
          <w:p w:rsidR="00B8782D" w:rsidRDefault="00B8782D" w:rsidP="00750C8B">
            <w:pPr>
              <w:pStyle w:val="TableText"/>
            </w:pPr>
            <w:r>
              <w:t xml:space="preserve">Yes </w:t>
            </w:r>
            <w:r>
              <w:rPr>
                <w:noProof/>
              </w:rPr>
              <w:t>(CAAS 1992; GAAS 2008b)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(CAAS 1992; GAAS 2008b; Tayutivutikul &amp; Kusigemati 1992)</w:t>
            </w:r>
            <w:r>
              <w:t xml:space="preserve">. Eggs laid in batches on leaves; nymphs feed on shoots, leaves and fruit </w:t>
            </w:r>
            <w:r>
              <w:rPr>
                <w:noProof/>
              </w:rPr>
              <w:t>(Funayama 2002)</w:t>
            </w:r>
            <w:r>
              <w:t>. Adults and nymphs are highly mobile and would be likely to fall from the fruit during harvesting.</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Hyalopterus amygdali</w:t>
            </w:r>
            <w:r>
              <w:t xml:space="preserve"> Blanchard, 1840</w:t>
            </w:r>
          </w:p>
          <w:p w:rsidR="00B8782D" w:rsidRDefault="00B8782D">
            <w:pPr>
              <w:pStyle w:val="TableText"/>
            </w:pPr>
            <w:r>
              <w:t>[Aphididae]</w:t>
            </w:r>
          </w:p>
          <w:p w:rsidR="00B8782D" w:rsidRDefault="00B8782D">
            <w:pPr>
              <w:pStyle w:val="TableText"/>
            </w:pPr>
            <w:r>
              <w:t>Mealy peach aphid</w:t>
            </w:r>
          </w:p>
        </w:tc>
        <w:tc>
          <w:tcPr>
            <w:tcW w:w="575" w:type="pct"/>
            <w:shd w:val="clear" w:color="auto" w:fill="auto"/>
          </w:tcPr>
          <w:p w:rsidR="00B8782D" w:rsidRDefault="00B8782D" w:rsidP="00750C8B">
            <w:pPr>
              <w:pStyle w:val="TableText"/>
            </w:pPr>
            <w:r>
              <w:t xml:space="preserve">Yes </w:t>
            </w:r>
            <w:r>
              <w:rPr>
                <w:noProof/>
              </w:rPr>
              <w:t>(AQSIQ 2006b; Feng &amp; Wang 2004)</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(AQSIQ 2006b)</w:t>
            </w:r>
            <w:r>
              <w:t xml:space="preserve">. Adults and nymphs feed on the underside of leaves </w:t>
            </w:r>
            <w:r>
              <w:rPr>
                <w:noProof/>
              </w:rPr>
              <w:t>(Feng &amp; Wang 2004)</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Hyalopterus pruni</w:t>
            </w:r>
            <w:r>
              <w:t xml:space="preserve"> (Geoffroy, 1762)</w:t>
            </w:r>
          </w:p>
          <w:p w:rsidR="00B8782D" w:rsidRDefault="00B8782D">
            <w:pPr>
              <w:pStyle w:val="TableText"/>
            </w:pPr>
            <w:r>
              <w:t xml:space="preserve">Synonym: </w:t>
            </w:r>
            <w:r>
              <w:rPr>
                <w:i/>
              </w:rPr>
              <w:t xml:space="preserve">Hyalopterus arundinis </w:t>
            </w:r>
            <w:r>
              <w:t>(Takahashi, 1924)</w:t>
            </w:r>
          </w:p>
          <w:p w:rsidR="00B8782D" w:rsidRDefault="00B8782D">
            <w:pPr>
              <w:pStyle w:val="TableText"/>
            </w:pPr>
            <w:r>
              <w:t>[Aphididae]</w:t>
            </w:r>
          </w:p>
          <w:p w:rsidR="00B8782D" w:rsidRDefault="00B8782D">
            <w:pPr>
              <w:pStyle w:val="TableText"/>
            </w:pPr>
            <w:r>
              <w:t>Mealy plum aphid</w:t>
            </w:r>
          </w:p>
        </w:tc>
        <w:tc>
          <w:tcPr>
            <w:tcW w:w="575" w:type="pct"/>
            <w:shd w:val="clear" w:color="auto" w:fill="auto"/>
          </w:tcPr>
          <w:p w:rsidR="00B8782D" w:rsidRDefault="00B8782D" w:rsidP="00750C8B">
            <w:pPr>
              <w:pStyle w:val="TableText"/>
            </w:pPr>
            <w:r>
              <w:t xml:space="preserve">Yes </w:t>
            </w:r>
            <w:r>
              <w:rPr>
                <w:noProof/>
              </w:rPr>
              <w:t>(AQSIQ 2006b; CAAS 1992; CIQSA 2001c)</w:t>
            </w:r>
          </w:p>
        </w:tc>
        <w:tc>
          <w:tcPr>
            <w:tcW w:w="615" w:type="pct"/>
            <w:shd w:val="clear" w:color="auto" w:fill="auto"/>
          </w:tcPr>
          <w:p w:rsidR="00B8782D" w:rsidRDefault="00B8782D" w:rsidP="00750C8B">
            <w:pPr>
              <w:pStyle w:val="TableText"/>
            </w:pPr>
            <w:r>
              <w:t xml:space="preserve">Yes. NSW, NT, Qld, SA, Tas., Vic. </w:t>
            </w:r>
            <w:r>
              <w:rPr>
                <w:noProof/>
              </w:rPr>
              <w:t>(CSIRO 2005; Plant Health Australia 2001)</w:t>
            </w:r>
            <w:r>
              <w:t xml:space="preserve">. Because </w:t>
            </w:r>
            <w:r>
              <w:rPr>
                <w:i/>
              </w:rPr>
              <w:t>H. pruni</w:t>
            </w:r>
            <w:r>
              <w:t xml:space="preserve"> is a known vector of plum pox virus (which is absent from Australia) </w:t>
            </w:r>
            <w:r>
              <w:rPr>
                <w:noProof/>
              </w:rPr>
              <w:t>(CABI &amp; EPPO 2007; Gildow 2004; Kaya et al. 2014)</w:t>
            </w:r>
            <w:r>
              <w:t xml:space="preserve"> the potential to be on the pathway needs to be assessed.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(AQSIQ 2006b)</w:t>
            </w:r>
            <w:r>
              <w:t xml:space="preserve">. Eggs are laid on the axils of lateral buds or into cracks in the bark. Adults and nymphs feed on flower buds, flowers and leaves </w:t>
            </w:r>
            <w:r>
              <w:rPr>
                <w:noProof/>
              </w:rPr>
              <w:t>(Smith 1936)</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Icerya purchasi</w:t>
            </w:r>
            <w:r>
              <w:t xml:space="preserve"> Maskell, 1878</w:t>
            </w:r>
          </w:p>
          <w:p w:rsidR="00B8782D" w:rsidRDefault="00B8782D">
            <w:pPr>
              <w:pStyle w:val="TableText"/>
            </w:pPr>
            <w:r>
              <w:t>[Monophlebidae]</w:t>
            </w:r>
          </w:p>
          <w:p w:rsidR="00B8782D" w:rsidRDefault="00B8782D">
            <w:pPr>
              <w:pStyle w:val="TableText"/>
            </w:pPr>
            <w:r>
              <w:t>Cottony cushion scale</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All states and territories </w:t>
            </w:r>
            <w:r>
              <w:rPr>
                <w:noProof/>
              </w:rPr>
              <w:t>(CSIRO 2005; 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Icerya seychellarum</w:t>
            </w:r>
            <w:r>
              <w:t xml:space="preserve"> (Westwood, 1855)</w:t>
            </w:r>
          </w:p>
          <w:p w:rsidR="00B8782D" w:rsidRDefault="00B8782D">
            <w:pPr>
              <w:pStyle w:val="TableText"/>
            </w:pPr>
            <w:r>
              <w:t>[Monophlebidae]</w:t>
            </w:r>
          </w:p>
          <w:p w:rsidR="00B8782D" w:rsidRDefault="00B8782D">
            <w:pPr>
              <w:pStyle w:val="TableText"/>
            </w:pPr>
            <w:r>
              <w:t>Seychelles mealybug</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NSW, NT, Qld, WA </w:t>
            </w:r>
            <w:r>
              <w:rPr>
                <w:noProof/>
              </w:rPr>
              <w:t>(Plant Health Australia 2001; Poole 2010)</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Lepidosaphes conchiformis</w:t>
            </w:r>
            <w:r>
              <w:t xml:space="preserve"> (Gmelin, 1790)</w:t>
            </w:r>
          </w:p>
          <w:p w:rsidR="00B8782D" w:rsidRDefault="00B8782D">
            <w:pPr>
              <w:pStyle w:val="TableText"/>
            </w:pPr>
            <w:r>
              <w:t>[Diaspididae]</w:t>
            </w:r>
          </w:p>
          <w:p w:rsidR="00B8782D" w:rsidRDefault="00B8782D">
            <w:pPr>
              <w:pStyle w:val="TableText"/>
            </w:pPr>
            <w:r>
              <w:t>Pear oystershell scale</w:t>
            </w:r>
          </w:p>
        </w:tc>
        <w:tc>
          <w:tcPr>
            <w:tcW w:w="575" w:type="pct"/>
            <w:shd w:val="clear" w:color="auto" w:fill="auto"/>
          </w:tcPr>
          <w:p w:rsidR="00B8782D" w:rsidRDefault="00B8782D" w:rsidP="00750C8B">
            <w:pPr>
              <w:pStyle w:val="TableText"/>
            </w:pPr>
            <w:r>
              <w:t xml:space="preserve">Yes </w:t>
            </w:r>
            <w:r>
              <w:rPr>
                <w:noProof/>
              </w:rPr>
              <w:t>(Ben-Dov et al. 2014)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(Ben-Dov et al. 2014)</w:t>
            </w:r>
            <w:r>
              <w:t xml:space="preserve">. Feeds on leaves and branches </w:t>
            </w:r>
            <w:r>
              <w:rPr>
                <w:noProof/>
              </w:rPr>
              <w:t>(Ben-Dov et al. 2014; Kumral, Gencer &amp; Coskuncu 2004; Watson 2005)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Lepidosaphes gloverii</w:t>
            </w:r>
            <w:r>
              <w:t xml:space="preserve"> (Packard, 1869)</w:t>
            </w:r>
          </w:p>
          <w:p w:rsidR="00B8782D" w:rsidRDefault="00B8782D">
            <w:pPr>
              <w:pStyle w:val="TableText"/>
            </w:pPr>
            <w:r>
              <w:t xml:space="preserve">Synonym: </w:t>
            </w:r>
            <w:r>
              <w:rPr>
                <w:i/>
              </w:rPr>
              <w:t xml:space="preserve">Aspidiotus gloverii </w:t>
            </w:r>
            <w:r>
              <w:t>Packard, 1869</w:t>
            </w:r>
          </w:p>
          <w:p w:rsidR="00B8782D" w:rsidRDefault="00B8782D">
            <w:pPr>
              <w:pStyle w:val="TableText"/>
            </w:pPr>
            <w:r>
              <w:t>[Diaspididae]</w:t>
            </w:r>
          </w:p>
          <w:p w:rsidR="00B8782D" w:rsidRDefault="00B8782D">
            <w:pPr>
              <w:pStyle w:val="TableText"/>
            </w:pPr>
            <w:r>
              <w:t>Glover scale</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NSW, NT, Qld and Vic. </w:t>
            </w:r>
            <w:r>
              <w:rPr>
                <w:noProof/>
              </w:rPr>
              <w:t>(Plant Health Australia 2001)</w:t>
            </w:r>
            <w:r>
              <w:t xml:space="preserve">. This species is listed as a permitted organism (section 11) under the Western Australia BAM Act 2007 </w:t>
            </w:r>
            <w:r>
              <w:rPr>
                <w:noProof/>
              </w:rPr>
              <w:t>(Government of Western Australia 2014)</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 xml:space="preserve">No </w:t>
            </w:r>
          </w:p>
        </w:tc>
      </w:tr>
      <w:tr w:rsidR="00B8782D">
        <w:trPr>
          <w:cantSplit/>
          <w:trHeight w:val="75"/>
          <w:jc w:val="center"/>
        </w:trPr>
        <w:tc>
          <w:tcPr>
            <w:tcW w:w="1087" w:type="pct"/>
            <w:shd w:val="clear" w:color="auto" w:fill="auto"/>
          </w:tcPr>
          <w:p w:rsidR="00B8782D" w:rsidRDefault="00B8782D">
            <w:pPr>
              <w:pStyle w:val="TableText"/>
            </w:pPr>
            <w:r>
              <w:rPr>
                <w:i/>
              </w:rPr>
              <w:t>Lepidosaphes pinnaeformis</w:t>
            </w:r>
            <w:r>
              <w:t xml:space="preserve"> (Bouché, 1851)</w:t>
            </w:r>
          </w:p>
          <w:p w:rsidR="00B8782D" w:rsidRDefault="00B8782D">
            <w:pPr>
              <w:pStyle w:val="TableText"/>
            </w:pPr>
            <w:r>
              <w:t>[Diaspididae]</w:t>
            </w:r>
          </w:p>
          <w:p w:rsidR="00B8782D" w:rsidRDefault="00B8782D">
            <w:pPr>
              <w:pStyle w:val="TableText"/>
            </w:pPr>
            <w:r>
              <w:t>Purple scale</w:t>
            </w:r>
          </w:p>
        </w:tc>
        <w:tc>
          <w:tcPr>
            <w:tcW w:w="575" w:type="pct"/>
            <w:shd w:val="clear" w:color="auto" w:fill="auto"/>
          </w:tcPr>
          <w:p w:rsidR="00B8782D" w:rsidRDefault="00B8782D" w:rsidP="00750C8B">
            <w:pPr>
              <w:pStyle w:val="TableText"/>
            </w:pPr>
            <w:r>
              <w:t xml:space="preserve">Yes </w:t>
            </w:r>
            <w:r>
              <w:rPr>
                <w:noProof/>
              </w:rPr>
              <w:t>(Ben-Dov et al. 2014)</w:t>
            </w:r>
          </w:p>
        </w:tc>
        <w:tc>
          <w:tcPr>
            <w:tcW w:w="615" w:type="pct"/>
            <w:shd w:val="clear" w:color="auto" w:fill="auto"/>
          </w:tcPr>
          <w:p w:rsidR="00B8782D" w:rsidRDefault="00B8782D" w:rsidP="00750C8B">
            <w:pPr>
              <w:pStyle w:val="TableText"/>
            </w:pPr>
            <w:r>
              <w:t xml:space="preserve">Yes. NSW, Qld, Tas., Vic., </w:t>
            </w:r>
            <w:r>
              <w:rPr>
                <w:noProof/>
              </w:rPr>
              <w:t>(Hudson 1967; Plant Health Australia 2001)</w:t>
            </w:r>
            <w:r>
              <w:t xml:space="preserve">. This species is an unlisted organism under the Western Australia BAM Act 2007 </w:t>
            </w:r>
            <w:r>
              <w:rPr>
                <w:noProof/>
              </w:rPr>
              <w:t>(Government of Western Australia 2014)</w:t>
            </w:r>
            <w:r>
              <w:t>.</w:t>
            </w:r>
          </w:p>
        </w:tc>
        <w:tc>
          <w:tcPr>
            <w:tcW w:w="716" w:type="pct"/>
            <w:shd w:val="clear" w:color="auto" w:fill="auto"/>
          </w:tcPr>
          <w:p w:rsidR="00B8782D" w:rsidRDefault="00B8782D" w:rsidP="00750C8B">
            <w:pPr>
              <w:pStyle w:val="TableText"/>
            </w:pPr>
            <w:r>
              <w:t xml:space="preserve">No. </w:t>
            </w:r>
            <w:r>
              <w:rPr>
                <w:i/>
              </w:rPr>
              <w:t>Lepidosaphes pinnaeformis</w:t>
            </w:r>
            <w:r>
              <w:t xml:space="preserve"> affects leaves and sometime stems </w:t>
            </w:r>
            <w:r>
              <w:rPr>
                <w:noProof/>
              </w:rPr>
              <w:t>(Watson 2005)</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Lepidosaphes tubulorum</w:t>
            </w:r>
            <w:r>
              <w:t xml:space="preserve"> (Ferris, 1921)</w:t>
            </w:r>
          </w:p>
          <w:p w:rsidR="00B8782D" w:rsidRDefault="00B8782D">
            <w:pPr>
              <w:pStyle w:val="TableText"/>
            </w:pPr>
            <w:r>
              <w:t>[Diaspididae]</w:t>
            </w:r>
          </w:p>
          <w:p w:rsidR="00B8782D" w:rsidRDefault="00B8782D">
            <w:pPr>
              <w:pStyle w:val="TableText"/>
            </w:pPr>
            <w:r>
              <w:t>Dark oystershell scale</w:t>
            </w:r>
          </w:p>
        </w:tc>
        <w:tc>
          <w:tcPr>
            <w:tcW w:w="575" w:type="pct"/>
            <w:shd w:val="clear" w:color="auto" w:fill="auto"/>
          </w:tcPr>
          <w:p w:rsidR="00B8782D" w:rsidRDefault="00B8782D" w:rsidP="00750C8B">
            <w:pPr>
              <w:pStyle w:val="TableText"/>
            </w:pPr>
            <w:r>
              <w:t xml:space="preserve">Yes </w:t>
            </w:r>
            <w:r>
              <w:rPr>
                <w:noProof/>
              </w:rPr>
              <w:t>(Ben-Dov et al. 2014)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 xml:space="preserve">P. persica </w:t>
            </w:r>
            <w:r>
              <w:rPr>
                <w:noProof/>
              </w:rPr>
              <w:t>(Ben-Dov et al. 2014)</w:t>
            </w:r>
            <w:r>
              <w:t xml:space="preserve">. Feeds on stems </w:t>
            </w:r>
            <w:r>
              <w:rPr>
                <w:noProof/>
              </w:rPr>
              <w:t>(USDA-APHIS 2002)</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Lepidosaphes ulmi</w:t>
            </w:r>
            <w:r>
              <w:t xml:space="preserve"> (Linneaus, 1758)</w:t>
            </w:r>
          </w:p>
          <w:p w:rsidR="00B8782D" w:rsidRDefault="00B8782D">
            <w:pPr>
              <w:pStyle w:val="TableText"/>
            </w:pPr>
            <w:r>
              <w:t>[Diaspididae]</w:t>
            </w:r>
          </w:p>
          <w:p w:rsidR="00B8782D" w:rsidRDefault="00B8782D">
            <w:pPr>
              <w:pStyle w:val="TableText"/>
            </w:pPr>
            <w:r>
              <w:t>Oystershell scale</w:t>
            </w:r>
          </w:p>
        </w:tc>
        <w:tc>
          <w:tcPr>
            <w:tcW w:w="575" w:type="pct"/>
            <w:shd w:val="clear" w:color="auto" w:fill="auto"/>
          </w:tcPr>
          <w:p w:rsidR="00B8782D" w:rsidRDefault="00B8782D" w:rsidP="00750C8B">
            <w:pPr>
              <w:pStyle w:val="TableText"/>
            </w:pPr>
            <w:r>
              <w:t xml:space="preserve">Yes </w:t>
            </w:r>
            <w:r>
              <w:rPr>
                <w:noProof/>
              </w:rPr>
              <w:t>(Ben-Dov et al. 2014; CABI 2015)</w:t>
            </w:r>
          </w:p>
        </w:tc>
        <w:tc>
          <w:tcPr>
            <w:tcW w:w="615" w:type="pct"/>
            <w:shd w:val="clear" w:color="auto" w:fill="auto"/>
          </w:tcPr>
          <w:p w:rsidR="00B8782D" w:rsidRDefault="00B8782D" w:rsidP="00750C8B">
            <w:pPr>
              <w:pStyle w:val="TableText"/>
            </w:pPr>
            <w:r>
              <w:t xml:space="preserve">Yes. NSW, Qld, SA, Tas., Vic., WA </w:t>
            </w:r>
            <w:r>
              <w:rPr>
                <w:noProof/>
              </w:rPr>
              <w:t>(CSIRO 2005; 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Megacopta cribraria</w:t>
            </w:r>
            <w:r>
              <w:t xml:space="preserve"> (Fabricius, 1798)</w:t>
            </w:r>
          </w:p>
          <w:p w:rsidR="00B8782D" w:rsidRDefault="00B8782D">
            <w:pPr>
              <w:pStyle w:val="TableText"/>
            </w:pPr>
            <w:r>
              <w:t>[Plataspididae]</w:t>
            </w:r>
          </w:p>
          <w:p w:rsidR="00B8782D" w:rsidRDefault="00B8782D">
            <w:pPr>
              <w:pStyle w:val="TableText"/>
            </w:pPr>
            <w:r>
              <w:t>Globular stink bug</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 xml:space="preserve">P. persica </w:t>
            </w:r>
            <w:r>
              <w:rPr>
                <w:noProof/>
              </w:rPr>
              <w:t>(Li, Wang &amp; Waterhouse 1997)</w:t>
            </w:r>
            <w:r>
              <w:t xml:space="preserve">. On other hosts, females lay eggs on the underside of leaves </w:t>
            </w:r>
            <w:r>
              <w:rPr>
                <w:noProof/>
              </w:rPr>
              <w:t>(Ren 1984)</w:t>
            </w:r>
            <w:r>
              <w:t xml:space="preserve"> and adults and nymphs feed on stems, leaves or legume pods </w:t>
            </w:r>
            <w:r>
              <w:rPr>
                <w:noProof/>
              </w:rPr>
              <w:t>(Wu, Wu &amp; Hua 2006)</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Myzus momonis</w:t>
            </w:r>
            <w:r>
              <w:t xml:space="preserve"> (Matsumura, 1917)</w:t>
            </w:r>
          </w:p>
          <w:p w:rsidR="00B8782D" w:rsidRDefault="00B8782D">
            <w:pPr>
              <w:pStyle w:val="TableText"/>
            </w:pPr>
            <w:r>
              <w:t>[Aphididae]</w:t>
            </w:r>
          </w:p>
          <w:p w:rsidR="00B8782D" w:rsidRDefault="00B8782D">
            <w:pPr>
              <w:pStyle w:val="TableText"/>
            </w:pPr>
            <w:r>
              <w:t>Peach aphid</w:t>
            </w:r>
          </w:p>
        </w:tc>
        <w:tc>
          <w:tcPr>
            <w:tcW w:w="575" w:type="pct"/>
            <w:shd w:val="clear" w:color="auto" w:fill="auto"/>
          </w:tcPr>
          <w:p w:rsidR="00B8782D" w:rsidRDefault="00B8782D" w:rsidP="00750C8B">
            <w:pPr>
              <w:pStyle w:val="TableText"/>
            </w:pPr>
            <w:r>
              <w:t xml:space="preserve">Yes </w:t>
            </w:r>
            <w:r>
              <w:rPr>
                <w:noProof/>
              </w:rPr>
              <w:t>(CIQSA 2001c)</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(Li, Wang &amp; Waterhouse 1997)</w:t>
            </w:r>
            <w:r>
              <w:t xml:space="preserve">. Attacks the lower surfaces of leaves; infested leaves become rolled </w:t>
            </w:r>
            <w:r>
              <w:rPr>
                <w:noProof/>
              </w:rPr>
              <w:t>(Takahashi 1923)</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Myzus mumecola</w:t>
            </w:r>
            <w:r>
              <w:t xml:space="preserve"> (Matsumura, 1917)</w:t>
            </w:r>
          </w:p>
          <w:p w:rsidR="00B8782D" w:rsidRDefault="00B8782D">
            <w:pPr>
              <w:pStyle w:val="TableText"/>
            </w:pPr>
            <w:r>
              <w:t>[Aphididae]</w:t>
            </w:r>
          </w:p>
          <w:p w:rsidR="00B8782D" w:rsidRDefault="00B8782D">
            <w:pPr>
              <w:pStyle w:val="TableText"/>
            </w:pPr>
            <w:r>
              <w:t>Plum aphid</w:t>
            </w:r>
          </w:p>
        </w:tc>
        <w:tc>
          <w:tcPr>
            <w:tcW w:w="575" w:type="pct"/>
            <w:shd w:val="clear" w:color="auto" w:fill="auto"/>
          </w:tcPr>
          <w:p w:rsidR="00B8782D" w:rsidRDefault="00B8782D" w:rsidP="00750C8B">
            <w:pPr>
              <w:pStyle w:val="TableText"/>
            </w:pPr>
            <w:r>
              <w:t xml:space="preserve">Yes </w:t>
            </w:r>
            <w:r>
              <w:rPr>
                <w:noProof/>
              </w:rPr>
              <w:t>(CAAS 1992; GAAS 2012; Zhang 2009)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(CAAS 1992; MAFF 1989)</w:t>
            </w:r>
            <w:r>
              <w:t xml:space="preserve">. Attacks the lower surfaces of leaves; infested leaves become rolled </w:t>
            </w:r>
            <w:r>
              <w:rPr>
                <w:noProof/>
              </w:rPr>
              <w:t>(Takahashi 1923)</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Myzus persicae</w:t>
            </w:r>
            <w:r>
              <w:t xml:space="preserve"> (Sulzer, 1776)</w:t>
            </w:r>
          </w:p>
          <w:p w:rsidR="00B8782D" w:rsidRDefault="00B8782D">
            <w:pPr>
              <w:pStyle w:val="TableText"/>
            </w:pPr>
            <w:r>
              <w:t xml:space="preserve">Synonym: </w:t>
            </w:r>
            <w:r>
              <w:rPr>
                <w:i/>
              </w:rPr>
              <w:t xml:space="preserve">Aphis persicae </w:t>
            </w:r>
            <w:r>
              <w:t>Sulzer, 1776</w:t>
            </w:r>
          </w:p>
          <w:p w:rsidR="00B8782D" w:rsidRDefault="00B8782D">
            <w:pPr>
              <w:pStyle w:val="TableText"/>
            </w:pPr>
            <w:r>
              <w:t>[Aphididae]</w:t>
            </w:r>
          </w:p>
          <w:p w:rsidR="00B8782D" w:rsidRDefault="00B8782D">
            <w:pPr>
              <w:pStyle w:val="TableText"/>
            </w:pPr>
            <w:r>
              <w:t>Green peach aphid</w:t>
            </w:r>
          </w:p>
        </w:tc>
        <w:tc>
          <w:tcPr>
            <w:tcW w:w="575" w:type="pct"/>
            <w:shd w:val="clear" w:color="auto" w:fill="auto"/>
          </w:tcPr>
          <w:p w:rsidR="00B8782D" w:rsidRDefault="00B8782D" w:rsidP="00750C8B">
            <w:pPr>
              <w:pStyle w:val="TableText"/>
            </w:pPr>
            <w:r>
              <w:t xml:space="preserve">Yes </w:t>
            </w:r>
            <w:r>
              <w:rPr>
                <w:noProof/>
              </w:rPr>
              <w:t>(AQSIQ 2006b)</w:t>
            </w:r>
            <w:r>
              <w:t>.</w:t>
            </w:r>
          </w:p>
        </w:tc>
        <w:tc>
          <w:tcPr>
            <w:tcW w:w="615" w:type="pct"/>
            <w:shd w:val="clear" w:color="auto" w:fill="auto"/>
          </w:tcPr>
          <w:p w:rsidR="00B8782D" w:rsidRDefault="00B8782D" w:rsidP="00750C8B">
            <w:pPr>
              <w:pStyle w:val="TableText"/>
            </w:pPr>
            <w:r>
              <w:t xml:space="preserve">Yes. All states and territories </w:t>
            </w:r>
            <w:r>
              <w:rPr>
                <w:noProof/>
              </w:rPr>
              <w:t>(CSIRO 2005; Plant Health Australia 2001)</w:t>
            </w:r>
            <w:r>
              <w:t xml:space="preserve">. Because </w:t>
            </w:r>
            <w:r>
              <w:rPr>
                <w:i/>
              </w:rPr>
              <w:t>M. persicae</w:t>
            </w:r>
            <w:r>
              <w:t xml:space="preserve"> is a known vector of plum pox virus (which is absent from Australia) </w:t>
            </w:r>
            <w:r>
              <w:rPr>
                <w:noProof/>
              </w:rPr>
              <w:t>(CABI &amp; EPPO 2007; Gildow 2004; Kaya et al. 2014)</w:t>
            </w:r>
            <w:r>
              <w:t xml:space="preserve"> the potential to be on the pathway needs to be assessed.</w:t>
            </w:r>
          </w:p>
        </w:tc>
        <w:tc>
          <w:tcPr>
            <w:tcW w:w="716" w:type="pct"/>
            <w:shd w:val="clear" w:color="auto" w:fill="auto"/>
          </w:tcPr>
          <w:p w:rsidR="00B8782D" w:rsidRDefault="00B8782D" w:rsidP="00750C8B">
            <w:pPr>
              <w:pStyle w:val="TableText"/>
            </w:pPr>
            <w:r>
              <w:t xml:space="preserve">No. On summerfruit hosts, </w:t>
            </w:r>
            <w:r>
              <w:rPr>
                <w:i/>
              </w:rPr>
              <w:t>M. persicae</w:t>
            </w:r>
            <w:r>
              <w:t xml:space="preserve"> feeds along the leaf veins of older leaves </w:t>
            </w:r>
            <w:r>
              <w:rPr>
                <w:noProof/>
              </w:rPr>
              <w:t>(CABI 2015; Feng &amp; Wang 2004)</w:t>
            </w:r>
            <w:r>
              <w:t xml:space="preserve">. Reproductive females usually lay their eggs, in crevices around and in axillary buds. Newly hatched nymphs feed on opened buds, flowers and soft shoots of peach trees </w:t>
            </w:r>
            <w:r>
              <w:rPr>
                <w:noProof/>
              </w:rPr>
              <w:t>(CABI 2015)</w:t>
            </w:r>
            <w:r>
              <w:t xml:space="preserve">. No report of association with mature nectarine or peach fruit was found.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Naratettix zonatus</w:t>
            </w:r>
            <w:r>
              <w:t xml:space="preserve"> (Matsumura, 1915)</w:t>
            </w:r>
          </w:p>
          <w:p w:rsidR="00B8782D" w:rsidRDefault="00B8782D">
            <w:pPr>
              <w:pStyle w:val="TableText"/>
            </w:pPr>
            <w:r>
              <w:t>[Cicadellidae]</w:t>
            </w:r>
          </w:p>
          <w:p w:rsidR="00B8782D" w:rsidRDefault="00B8782D">
            <w:pPr>
              <w:pStyle w:val="TableText"/>
            </w:pPr>
            <w:r>
              <w:t>Banded leafhopper</w:t>
            </w:r>
          </w:p>
        </w:tc>
        <w:tc>
          <w:tcPr>
            <w:tcW w:w="575" w:type="pct"/>
            <w:shd w:val="clear" w:color="auto" w:fill="auto"/>
          </w:tcPr>
          <w:p w:rsidR="00B8782D" w:rsidRDefault="00B8782D" w:rsidP="00750C8B">
            <w:pPr>
              <w:pStyle w:val="TableText"/>
            </w:pPr>
            <w:r>
              <w:t xml:space="preserve">Yes </w:t>
            </w:r>
            <w:r>
              <w:rPr>
                <w:noProof/>
              </w:rPr>
              <w:t>(Yang 1965)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Leafhoppers usually feed on leaves </w:t>
            </w:r>
            <w:r>
              <w:rPr>
                <w:noProof/>
              </w:rPr>
              <w:t>(Yang 1965)</w:t>
            </w:r>
            <w:r>
              <w:t xml:space="preserve">. Nymphs and adults are highly mobile and would be disturbed during harvest and are not likely to remain with the fruit.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Nezara antennata</w:t>
            </w:r>
            <w:r>
              <w:t xml:space="preserve"> Scott, 1874</w:t>
            </w:r>
          </w:p>
          <w:p w:rsidR="00B8782D" w:rsidRDefault="00B8782D">
            <w:pPr>
              <w:pStyle w:val="TableText"/>
            </w:pPr>
            <w:r>
              <w:t>[Pentatomidae]</w:t>
            </w:r>
          </w:p>
          <w:p w:rsidR="00B8782D" w:rsidRDefault="00B8782D">
            <w:pPr>
              <w:pStyle w:val="TableText"/>
            </w:pPr>
            <w:r>
              <w:t>Green stink bug</w:t>
            </w:r>
          </w:p>
        </w:tc>
        <w:tc>
          <w:tcPr>
            <w:tcW w:w="575" w:type="pct"/>
            <w:shd w:val="clear" w:color="auto" w:fill="auto"/>
          </w:tcPr>
          <w:p w:rsidR="00B8782D" w:rsidRDefault="00B8782D" w:rsidP="00750C8B">
            <w:pPr>
              <w:pStyle w:val="TableText"/>
            </w:pPr>
            <w:r>
              <w:t xml:space="preserve">Yes </w:t>
            </w:r>
            <w:r>
              <w:rPr>
                <w:noProof/>
              </w:rPr>
              <w:t>(JNGPC 2008; Li et al. 2001)</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(Li et al. 2001)</w:t>
            </w:r>
            <w:r>
              <w:t>. Feeds on leaves and fruit. Nymphs and adults are highly mobile and would be disturbed during harvest and are not likely to remain with the fruit.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Nezara viridula</w:t>
            </w:r>
            <w:r>
              <w:t xml:space="preserve"> (Linnaeus, 1758)</w:t>
            </w:r>
          </w:p>
          <w:p w:rsidR="00B8782D" w:rsidRDefault="00B8782D">
            <w:pPr>
              <w:pStyle w:val="TableText"/>
            </w:pPr>
            <w:r>
              <w:t>[Pentatomidae]</w:t>
            </w:r>
          </w:p>
          <w:p w:rsidR="00B8782D" w:rsidRDefault="00B8782D">
            <w:pPr>
              <w:pStyle w:val="TableText"/>
            </w:pPr>
            <w:r>
              <w:t>Green vegetable bug</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Nipaecoccus viridis</w:t>
            </w:r>
            <w:r>
              <w:t xml:space="preserve"> (Newstead, 1894)</w:t>
            </w:r>
          </w:p>
          <w:p w:rsidR="00B8782D" w:rsidRDefault="00B8782D">
            <w:pPr>
              <w:pStyle w:val="TableText"/>
            </w:pPr>
            <w:r>
              <w:t>[Pseudococcidae]</w:t>
            </w:r>
          </w:p>
          <w:p w:rsidR="00B8782D" w:rsidRDefault="00B8782D">
            <w:pPr>
              <w:pStyle w:val="TableText"/>
            </w:pPr>
            <w:r>
              <w:t>Spherical mealybug</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NT, Qld, WA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Oncotympana maculaticollis</w:t>
            </w:r>
            <w:r>
              <w:t xml:space="preserve"> (Motschulsky, 1866)</w:t>
            </w:r>
          </w:p>
          <w:p w:rsidR="00B8782D" w:rsidRDefault="00B8782D">
            <w:pPr>
              <w:pStyle w:val="TableText"/>
            </w:pPr>
            <w:r>
              <w:t>[Cicadidae]</w:t>
            </w:r>
          </w:p>
          <w:p w:rsidR="00B8782D" w:rsidRDefault="00B8782D">
            <w:pPr>
              <w:pStyle w:val="TableText"/>
            </w:pPr>
            <w:r>
              <w:t>Mingming cicada</w:t>
            </w:r>
          </w:p>
        </w:tc>
        <w:tc>
          <w:tcPr>
            <w:tcW w:w="575" w:type="pct"/>
            <w:shd w:val="clear" w:color="auto" w:fill="auto"/>
          </w:tcPr>
          <w:p w:rsidR="00B8782D" w:rsidRDefault="00B8782D" w:rsidP="00750C8B">
            <w:pPr>
              <w:pStyle w:val="TableText"/>
            </w:pPr>
            <w:r>
              <w:t xml:space="preserve">Yes </w:t>
            </w:r>
            <w:r>
              <w:rPr>
                <w:noProof/>
              </w:rPr>
              <w:t>(CHNZX-Farming 2008b; 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Adults suck sap from and lay eggs in branches, and nymphs feed on sap of roots </w:t>
            </w:r>
            <w:r>
              <w:rPr>
                <w:noProof/>
              </w:rPr>
              <w:t>(CHNZX-Farming 2008b)</w:t>
            </w:r>
            <w:r>
              <w:t>. No report of an association with mature nectarine or peach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Parasaissetia nigra</w:t>
            </w:r>
            <w:r>
              <w:t xml:space="preserve"> (Nietner,1861)</w:t>
            </w:r>
          </w:p>
          <w:p w:rsidR="00B8782D" w:rsidRDefault="00B8782D">
            <w:pPr>
              <w:pStyle w:val="TableText"/>
            </w:pPr>
            <w:r>
              <w:t xml:space="preserve">Synonym: </w:t>
            </w:r>
            <w:r>
              <w:rPr>
                <w:i/>
              </w:rPr>
              <w:t>Lecanium nigrum</w:t>
            </w:r>
            <w:r>
              <w:t xml:space="preserve"> Nietner, 1861</w:t>
            </w:r>
          </w:p>
          <w:p w:rsidR="00B8782D" w:rsidRDefault="00B8782D">
            <w:pPr>
              <w:pStyle w:val="TableText"/>
            </w:pPr>
            <w:r>
              <w:t>[Coccidae]</w:t>
            </w:r>
          </w:p>
          <w:p w:rsidR="00B8782D" w:rsidRDefault="00B8782D">
            <w:pPr>
              <w:pStyle w:val="TableText"/>
            </w:pPr>
            <w:r>
              <w:t>Pomegranate scale</w:t>
            </w:r>
          </w:p>
        </w:tc>
        <w:tc>
          <w:tcPr>
            <w:tcW w:w="575" w:type="pct"/>
            <w:shd w:val="clear" w:color="auto" w:fill="auto"/>
          </w:tcPr>
          <w:p w:rsidR="00B8782D" w:rsidRDefault="00B8782D" w:rsidP="00750C8B">
            <w:pPr>
              <w:pStyle w:val="TableText"/>
            </w:pPr>
            <w:r>
              <w:t xml:space="preserve">Yes </w:t>
            </w:r>
            <w:r>
              <w:rPr>
                <w:noProof/>
              </w:rPr>
              <w:t>(Ben-Dov 2014a; CABI 2015)</w:t>
            </w:r>
          </w:p>
        </w:tc>
        <w:tc>
          <w:tcPr>
            <w:tcW w:w="615" w:type="pct"/>
            <w:shd w:val="clear" w:color="auto" w:fill="auto"/>
          </w:tcPr>
          <w:p w:rsidR="00B8782D" w:rsidRDefault="00B8782D" w:rsidP="00750C8B">
            <w:pPr>
              <w:pStyle w:val="TableText"/>
            </w:pPr>
            <w:r>
              <w:t xml:space="preserve">Yes. NSW, NT, Qld, SA, Vic., WA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Parabemisia myricae</w:t>
            </w:r>
            <w:r>
              <w:t xml:space="preserve"> (Kuwana, 1927)</w:t>
            </w:r>
          </w:p>
          <w:p w:rsidR="00B8782D" w:rsidRDefault="00B8782D">
            <w:pPr>
              <w:pStyle w:val="TableText"/>
            </w:pPr>
            <w:r>
              <w:t>[Aleyrodidae]</w:t>
            </w:r>
          </w:p>
          <w:p w:rsidR="00B8782D" w:rsidRDefault="00B8782D">
            <w:pPr>
              <w:pStyle w:val="TableText"/>
            </w:pPr>
            <w:r>
              <w:t>Bayberry whitefly</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Qld </w:t>
            </w:r>
            <w:r>
              <w:rPr>
                <w:noProof/>
              </w:rPr>
              <w:t>(CSIRO 2005)</w:t>
            </w:r>
            <w:r>
              <w:t xml:space="preserve">. Listed as a declared organism (Prohibited (section 12)) under the Western Australia BAM Act 2007 </w:t>
            </w:r>
            <w:r>
              <w:rPr>
                <w:noProof/>
              </w:rPr>
              <w:t>(Government of Western Australia 2014)</w:t>
            </w:r>
            <w:r>
              <w:t>.</w:t>
            </w:r>
          </w:p>
        </w:tc>
        <w:tc>
          <w:tcPr>
            <w:tcW w:w="716" w:type="pct"/>
            <w:shd w:val="clear" w:color="auto" w:fill="auto"/>
          </w:tcPr>
          <w:p w:rsidR="00B8782D" w:rsidRDefault="00B8782D" w:rsidP="00750C8B">
            <w:pPr>
              <w:pStyle w:val="TableText"/>
            </w:pPr>
            <w:r>
              <w:t xml:space="preserve">No. </w:t>
            </w:r>
            <w:r>
              <w:rPr>
                <w:i/>
              </w:rPr>
              <w:t>Prunus</w:t>
            </w:r>
            <w:r>
              <w:t xml:space="preserve"> are minor hosts of </w:t>
            </w:r>
            <w:r>
              <w:rPr>
                <w:i/>
              </w:rPr>
              <w:t>Parabemisia myricae</w:t>
            </w:r>
            <w:r>
              <w:t xml:space="preserve">. Eggs are laid on edges or upper surfaces of young leaves where they become sessile </w:t>
            </w:r>
            <w:r>
              <w:rPr>
                <w:noProof/>
              </w:rPr>
              <w:t>(CABI 2015)</w:t>
            </w:r>
            <w:r>
              <w:t xml:space="preserve">.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Parlatoreopsis chinensis</w:t>
            </w:r>
            <w:r>
              <w:t xml:space="preserve"> (Marlatt, 1908)</w:t>
            </w:r>
          </w:p>
          <w:p w:rsidR="00B8782D" w:rsidRDefault="00B8782D">
            <w:pPr>
              <w:pStyle w:val="TableText"/>
            </w:pPr>
            <w:r>
              <w:t xml:space="preserve">Synonym: </w:t>
            </w:r>
            <w:r>
              <w:rPr>
                <w:i/>
              </w:rPr>
              <w:t xml:space="preserve">Parlatoria chinensis </w:t>
            </w:r>
            <w:r>
              <w:t>Sasscer, 1919</w:t>
            </w:r>
          </w:p>
          <w:p w:rsidR="00B8782D" w:rsidRDefault="00B8782D">
            <w:pPr>
              <w:pStyle w:val="TableText"/>
            </w:pPr>
            <w:r>
              <w:t>[Diaspididae]</w:t>
            </w:r>
          </w:p>
          <w:p w:rsidR="00B8782D" w:rsidRDefault="00B8782D">
            <w:pPr>
              <w:pStyle w:val="TableText"/>
            </w:pPr>
            <w:r>
              <w:t>Chinese obscure scale</w:t>
            </w:r>
          </w:p>
        </w:tc>
        <w:tc>
          <w:tcPr>
            <w:tcW w:w="575" w:type="pct"/>
            <w:shd w:val="clear" w:color="auto" w:fill="auto"/>
          </w:tcPr>
          <w:p w:rsidR="00B8782D" w:rsidRDefault="00B8782D" w:rsidP="00750C8B">
            <w:pPr>
              <w:pStyle w:val="TableText"/>
            </w:pPr>
            <w:r>
              <w:t xml:space="preserve">Yes </w:t>
            </w:r>
            <w:r>
              <w:rPr>
                <w:noProof/>
              </w:rPr>
              <w:t>(Ben-Dov et al. 2014; Miller &amp; Davidson 2005)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(Baker et al. 1943; Denning 1942)</w:t>
            </w:r>
            <w:r>
              <w:t xml:space="preserve">. It attacks stems, twigs and leaves </w:t>
            </w:r>
            <w:r>
              <w:rPr>
                <w:noProof/>
              </w:rPr>
              <w:t>(Baker et al. 1943)</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Parlatoria oleae</w:t>
            </w:r>
            <w:r>
              <w:t xml:space="preserve"> (Clovée, 1880)</w:t>
            </w:r>
          </w:p>
          <w:p w:rsidR="00B8782D" w:rsidRDefault="00B8782D">
            <w:pPr>
              <w:pStyle w:val="TableText"/>
            </w:pPr>
            <w:r>
              <w:t>[Diaspidae]</w:t>
            </w:r>
          </w:p>
          <w:p w:rsidR="00B8782D" w:rsidRDefault="00B8782D">
            <w:pPr>
              <w:pStyle w:val="TableText"/>
            </w:pPr>
            <w:r>
              <w:t>Olive parlatoria scale, Olive scale</w:t>
            </w:r>
          </w:p>
        </w:tc>
        <w:tc>
          <w:tcPr>
            <w:tcW w:w="575" w:type="pct"/>
            <w:shd w:val="clear" w:color="auto" w:fill="auto"/>
          </w:tcPr>
          <w:p w:rsidR="00B8782D" w:rsidRDefault="00B8782D" w:rsidP="00750C8B">
            <w:pPr>
              <w:pStyle w:val="TableText"/>
            </w:pPr>
            <w:r>
              <w:t xml:space="preserve">Yes </w:t>
            </w:r>
            <w:r>
              <w:rPr>
                <w:noProof/>
              </w:rPr>
              <w:t>(Chen 2003; Li, Wang &amp; Waterhouse 1997; Yang et al. 2008)</w:t>
            </w:r>
          </w:p>
        </w:tc>
        <w:tc>
          <w:tcPr>
            <w:tcW w:w="615" w:type="pct"/>
            <w:shd w:val="clear" w:color="auto" w:fill="auto"/>
          </w:tcPr>
          <w:p w:rsidR="00B8782D" w:rsidRDefault="00B8782D" w:rsidP="00750C8B">
            <w:pPr>
              <w:pStyle w:val="TableText"/>
            </w:pPr>
            <w:r>
              <w:t xml:space="preserve">Yes. NSW, Qld, WA </w:t>
            </w:r>
            <w:r>
              <w:rPr>
                <w:noProof/>
              </w:rPr>
              <w:t>(CSIRO 2005; Taylor &amp; Burt 2007)</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Parlatoria pergandii</w:t>
            </w:r>
            <w:r>
              <w:t xml:space="preserve"> Comstock, 1881</w:t>
            </w:r>
          </w:p>
          <w:p w:rsidR="00B8782D" w:rsidRDefault="00B8782D">
            <w:pPr>
              <w:pStyle w:val="TableText"/>
            </w:pPr>
            <w:r>
              <w:t xml:space="preserve">Synonym: </w:t>
            </w:r>
            <w:r>
              <w:rPr>
                <w:i/>
              </w:rPr>
              <w:t xml:space="preserve">Parlatoria camelliae </w:t>
            </w:r>
            <w:r>
              <w:t>Comstock, 1883</w:t>
            </w:r>
          </w:p>
          <w:p w:rsidR="00B8782D" w:rsidRDefault="00B8782D">
            <w:pPr>
              <w:pStyle w:val="TableText"/>
            </w:pPr>
            <w:r>
              <w:t>[Diaspididae]</w:t>
            </w:r>
          </w:p>
          <w:p w:rsidR="00B8782D" w:rsidRDefault="00B8782D">
            <w:pPr>
              <w:pStyle w:val="TableText"/>
            </w:pPr>
            <w:r>
              <w:t>Black parlatoria scale, Chaff scale</w:t>
            </w:r>
          </w:p>
        </w:tc>
        <w:tc>
          <w:tcPr>
            <w:tcW w:w="575" w:type="pct"/>
            <w:shd w:val="clear" w:color="auto" w:fill="auto"/>
          </w:tcPr>
          <w:p w:rsidR="00B8782D" w:rsidRDefault="00B8782D" w:rsidP="00750C8B">
            <w:pPr>
              <w:pStyle w:val="TableText"/>
            </w:pPr>
            <w:r>
              <w:t xml:space="preserve">Yes </w:t>
            </w:r>
            <w:r>
              <w:rPr>
                <w:noProof/>
              </w:rPr>
              <w:t>(Ben-Dov et al. 2014; Li, Wang &amp; Waterhouse 1997)</w:t>
            </w:r>
          </w:p>
        </w:tc>
        <w:tc>
          <w:tcPr>
            <w:tcW w:w="615" w:type="pct"/>
            <w:shd w:val="clear" w:color="auto" w:fill="auto"/>
          </w:tcPr>
          <w:p w:rsidR="00B8782D" w:rsidRDefault="00B8782D" w:rsidP="00750C8B">
            <w:pPr>
              <w:pStyle w:val="TableText"/>
            </w:pPr>
            <w:r>
              <w:t xml:space="preserve">Yes. NSW, Qld </w:t>
            </w:r>
            <w:r>
              <w:rPr>
                <w:noProof/>
              </w:rPr>
              <w:t>(CSIRO 2005)</w:t>
            </w:r>
            <w:r>
              <w:t>. Listed as prohibited organism under the Western Australia BAM Act 2007</w:t>
            </w:r>
            <w:r>
              <w:rPr>
                <w:noProof/>
              </w:rPr>
              <w:t>(Government of Western Australia 2014)</w:t>
            </w:r>
            <w:r>
              <w:t>.</w:t>
            </w:r>
          </w:p>
        </w:tc>
        <w:tc>
          <w:tcPr>
            <w:tcW w:w="716" w:type="pct"/>
            <w:shd w:val="clear" w:color="auto" w:fill="auto"/>
          </w:tcPr>
          <w:p w:rsidR="00B8782D" w:rsidRDefault="00B8782D">
            <w:pPr>
              <w:pStyle w:val="TableText"/>
            </w:pPr>
            <w:r>
              <w:t>No. Prunus are minor hosts. It has only been recorded on</w:t>
            </w:r>
            <w:r>
              <w:rPr>
                <w:i/>
              </w:rPr>
              <w:t xml:space="preserve"> Prunus laurocerasus</w:t>
            </w:r>
            <w:r>
              <w:t xml:space="preserve"> </w:t>
            </w:r>
            <w:r>
              <w:rPr>
                <w:noProof/>
              </w:rPr>
              <w:t>(Ben-Dov 2014b)</w:t>
            </w:r>
            <w:r>
              <w:t xml:space="preserve">. </w:t>
            </w:r>
          </w:p>
          <w:p w:rsidR="00B8782D" w:rsidRDefault="00B8782D" w:rsidP="00750C8B">
            <w:pPr>
              <w:pStyle w:val="TableText"/>
            </w:pPr>
            <w:r>
              <w:t xml:space="preserve">This species was not regulated in WA’s policy for fresh stonefruit from the eastern states </w:t>
            </w:r>
            <w:r>
              <w:rPr>
                <w:noProof/>
              </w:rPr>
              <w:t>(Poole et al. 2011)</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Parlatoria proteus</w:t>
            </w:r>
            <w:r>
              <w:t xml:space="preserve"> (Curtis, 1843)</w:t>
            </w:r>
          </w:p>
          <w:p w:rsidR="00B8782D" w:rsidRDefault="00B8782D">
            <w:pPr>
              <w:pStyle w:val="TableText"/>
            </w:pPr>
            <w:r>
              <w:t>[Diaspididae]</w:t>
            </w:r>
          </w:p>
          <w:p w:rsidR="00B8782D" w:rsidRDefault="00B8782D">
            <w:pPr>
              <w:pStyle w:val="TableText"/>
            </w:pPr>
            <w:r>
              <w:t>Common parlatoria scale</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NSW, NT, Qld, SA, WA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Parthenolecanium corni</w:t>
            </w:r>
            <w:r>
              <w:t xml:space="preserve"> (Beuché, 1844)</w:t>
            </w:r>
          </w:p>
          <w:p w:rsidR="00B8782D" w:rsidRDefault="00B8782D">
            <w:pPr>
              <w:pStyle w:val="TableText"/>
            </w:pPr>
            <w:r>
              <w:t>[Coccidae]</w:t>
            </w:r>
          </w:p>
          <w:p w:rsidR="00B8782D" w:rsidRDefault="00B8782D">
            <w:pPr>
              <w:pStyle w:val="TableText"/>
            </w:pPr>
            <w:r>
              <w:t>Plum scale, European fruit lecanium</w:t>
            </w:r>
          </w:p>
        </w:tc>
        <w:tc>
          <w:tcPr>
            <w:tcW w:w="575" w:type="pct"/>
            <w:shd w:val="clear" w:color="auto" w:fill="auto"/>
          </w:tcPr>
          <w:p w:rsidR="00B8782D" w:rsidRDefault="00B8782D" w:rsidP="00750C8B">
            <w:pPr>
              <w:pStyle w:val="TableText"/>
            </w:pPr>
            <w:r>
              <w:t xml:space="preserve">Yes </w:t>
            </w:r>
            <w:r>
              <w:rPr>
                <w:noProof/>
              </w:rPr>
              <w:t>(Feng &amp; Wang 2004; Yang et al. 2008)</w:t>
            </w:r>
          </w:p>
        </w:tc>
        <w:tc>
          <w:tcPr>
            <w:tcW w:w="615" w:type="pct"/>
            <w:shd w:val="clear" w:color="auto" w:fill="auto"/>
          </w:tcPr>
          <w:p w:rsidR="00B8782D" w:rsidRDefault="00B8782D" w:rsidP="00750C8B">
            <w:pPr>
              <w:pStyle w:val="TableText"/>
            </w:pPr>
            <w:r>
              <w:t xml:space="preserve">Yes. NSW, Vic., Tas. </w:t>
            </w:r>
            <w:r>
              <w:rPr>
                <w:noProof/>
              </w:rPr>
              <w:t>(CSIRO 2005)</w:t>
            </w:r>
            <w:r>
              <w:t>. Listed as prohibited organism under the Western Australia BAM Act 2007</w:t>
            </w:r>
            <w:r>
              <w:rPr>
                <w:noProof/>
              </w:rPr>
              <w:t>(Government of Western Australia 2014)</w:t>
            </w:r>
            <w:r>
              <w:t xml:space="preserve">. </w:t>
            </w:r>
          </w:p>
        </w:tc>
        <w:tc>
          <w:tcPr>
            <w:tcW w:w="716" w:type="pct"/>
            <w:shd w:val="clear" w:color="auto" w:fill="auto"/>
          </w:tcPr>
          <w:p w:rsidR="00B8782D" w:rsidRDefault="00B8782D">
            <w:pPr>
              <w:pStyle w:val="TableText"/>
            </w:pPr>
            <w:r>
              <w:t xml:space="preserve">No. Immature </w:t>
            </w:r>
            <w:r>
              <w:rPr>
                <w:i/>
              </w:rPr>
              <w:t>P. corni</w:t>
            </w:r>
            <w:r>
              <w:t xml:space="preserve"> female scales overwinter on the twigs. The young scales tend to settle on the leaves before moving to the stems </w:t>
            </w:r>
            <w:r>
              <w:rPr>
                <w:noProof/>
              </w:rPr>
              <w:t>(Landcare Research 2015)</w:t>
            </w:r>
            <w:r>
              <w:t xml:space="preserve">. Eggs are laid under the body of the female on arboreal parts of plant </w:t>
            </w:r>
            <w:r>
              <w:rPr>
                <w:noProof/>
              </w:rPr>
              <w:t>(Miller et al. 2007a)</w:t>
            </w:r>
            <w:r>
              <w:t xml:space="preserve">. No records of </w:t>
            </w:r>
            <w:r>
              <w:rPr>
                <w:i/>
              </w:rPr>
              <w:t>P. corni</w:t>
            </w:r>
            <w:r>
              <w:t xml:space="preserve"> on commercial nectarine fruit was found.</w:t>
            </w:r>
          </w:p>
          <w:p w:rsidR="00B8782D" w:rsidRDefault="00B8782D" w:rsidP="00750C8B">
            <w:pPr>
              <w:pStyle w:val="TableText"/>
            </w:pPr>
            <w:r>
              <w:t xml:space="preserve">This species was not regulated by WA’s policy for fresh stonefruit from the eastern states </w:t>
            </w:r>
            <w:r>
              <w:rPr>
                <w:noProof/>
              </w:rPr>
              <w:t>(Poole et al. 2011)</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Parthenolecanium orientalis</w:t>
            </w:r>
            <w:r>
              <w:t xml:space="preserve"> Borchsenius, 1957</w:t>
            </w:r>
          </w:p>
          <w:p w:rsidR="00B8782D" w:rsidRDefault="00B8782D">
            <w:pPr>
              <w:pStyle w:val="TableText"/>
            </w:pPr>
            <w:r>
              <w:t>[Coccidae]</w:t>
            </w:r>
          </w:p>
          <w:p w:rsidR="00B8782D" w:rsidRDefault="00B8782D">
            <w:pPr>
              <w:pStyle w:val="TableText"/>
            </w:pPr>
            <w:r>
              <w:t>Oriental scale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w:t>
            </w:r>
            <w:r>
              <w:rPr>
                <w:noProof/>
              </w:rPr>
              <w:t>(AQSIQ 2006b)</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Parthenolecanium persicae</w:t>
            </w:r>
            <w:r>
              <w:t xml:space="preserve"> (Fabricius, 1776)</w:t>
            </w:r>
          </w:p>
          <w:p w:rsidR="00B8782D" w:rsidRDefault="00B8782D">
            <w:pPr>
              <w:pStyle w:val="TableText"/>
            </w:pPr>
            <w:r>
              <w:t>[Coccidae]</w:t>
            </w:r>
          </w:p>
          <w:p w:rsidR="00B8782D" w:rsidRDefault="00B8782D">
            <w:pPr>
              <w:pStyle w:val="TableText"/>
            </w:pPr>
            <w:r>
              <w:t>European peach scale</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ACT, NSW, Qld, SA, Tas., Vic., WA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Pinnaspis strachani</w:t>
            </w:r>
            <w:r>
              <w:t xml:space="preserve"> (Cooley, 1898)</w:t>
            </w:r>
          </w:p>
          <w:p w:rsidR="00B8782D" w:rsidRDefault="00B8782D">
            <w:pPr>
              <w:pStyle w:val="TableText"/>
            </w:pPr>
            <w:r>
              <w:t>[Diaspididae]</w:t>
            </w:r>
          </w:p>
          <w:p w:rsidR="00B8782D" w:rsidRDefault="00B8782D">
            <w:pPr>
              <w:pStyle w:val="TableText"/>
            </w:pPr>
            <w:r>
              <w:t xml:space="preserve">Hibiscus snow scale </w:t>
            </w:r>
          </w:p>
        </w:tc>
        <w:tc>
          <w:tcPr>
            <w:tcW w:w="575" w:type="pct"/>
            <w:shd w:val="clear" w:color="auto" w:fill="auto"/>
          </w:tcPr>
          <w:p w:rsidR="00B8782D" w:rsidRDefault="00B8782D" w:rsidP="00750C8B">
            <w:pPr>
              <w:pStyle w:val="TableText"/>
            </w:pPr>
            <w:r>
              <w:t xml:space="preserve">Yes </w:t>
            </w:r>
            <w:r>
              <w:rPr>
                <w:noProof/>
              </w:rPr>
              <w:t>(Ben-Dov et al. 2014; CABI 2015)</w:t>
            </w:r>
          </w:p>
        </w:tc>
        <w:tc>
          <w:tcPr>
            <w:tcW w:w="615" w:type="pct"/>
            <w:shd w:val="clear" w:color="auto" w:fill="auto"/>
          </w:tcPr>
          <w:p w:rsidR="00B8782D" w:rsidRDefault="00B8782D" w:rsidP="00750C8B">
            <w:pPr>
              <w:pStyle w:val="TableText"/>
            </w:pPr>
            <w:r>
              <w:t xml:space="preserve">Yes. NSW, NT, Qld, WA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Planococcus citri</w:t>
            </w:r>
            <w:r>
              <w:t xml:space="preserve"> (Risso, 1813)</w:t>
            </w:r>
          </w:p>
          <w:p w:rsidR="00B8782D" w:rsidRDefault="00B8782D">
            <w:pPr>
              <w:pStyle w:val="TableText"/>
            </w:pPr>
            <w:r>
              <w:t>[Pseudococcidae]</w:t>
            </w:r>
          </w:p>
          <w:p w:rsidR="00B8782D" w:rsidRDefault="00B8782D">
            <w:pPr>
              <w:pStyle w:val="TableText"/>
            </w:pPr>
            <w:r>
              <w:t>Citrus mealybug</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Plautia stali</w:t>
            </w:r>
            <w:r>
              <w:t xml:space="preserve"> Scott, 1874</w:t>
            </w:r>
          </w:p>
          <w:p w:rsidR="00B8782D" w:rsidRDefault="00B8782D">
            <w:pPr>
              <w:pStyle w:val="TableText"/>
            </w:pPr>
            <w:r>
              <w:t>[Pentatomidae]</w:t>
            </w:r>
          </w:p>
          <w:p w:rsidR="00B8782D" w:rsidRDefault="00B8782D">
            <w:pPr>
              <w:pStyle w:val="TableText"/>
            </w:pPr>
            <w:r>
              <w:t>Brown winged green stinkbug</w:t>
            </w:r>
          </w:p>
        </w:tc>
        <w:tc>
          <w:tcPr>
            <w:tcW w:w="575" w:type="pct"/>
            <w:shd w:val="clear" w:color="auto" w:fill="auto"/>
          </w:tcPr>
          <w:p w:rsidR="00B8782D" w:rsidRDefault="00B8782D" w:rsidP="00750C8B">
            <w:pPr>
              <w:pStyle w:val="TableText"/>
            </w:pPr>
            <w:r>
              <w:t xml:space="preserve">Yes </w:t>
            </w:r>
            <w:r>
              <w:rPr>
                <w:noProof/>
              </w:rPr>
              <w:t>(CABI 2015; Liu &amp; Zheng 1994; Schaefer &amp; Panazzi 2000)</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(Schaefer &amp; Panazzi 2000)</w:t>
            </w:r>
            <w:r>
              <w:t xml:space="preserve">. Nymphs and adults are highly mobile and would be disturbed during harvest and are not likely to remain with the fruit.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Pseudaonidia duplex</w:t>
            </w:r>
            <w:r>
              <w:t xml:space="preserve"> (Cockerell, 1899)</w:t>
            </w:r>
          </w:p>
          <w:p w:rsidR="00B8782D" w:rsidRDefault="00B8782D">
            <w:pPr>
              <w:pStyle w:val="TableText"/>
            </w:pPr>
            <w:r>
              <w:t>[Diaspididae]</w:t>
            </w:r>
          </w:p>
          <w:p w:rsidR="00B8782D" w:rsidRDefault="00B8782D">
            <w:pPr>
              <w:pStyle w:val="TableText"/>
            </w:pPr>
            <w:r>
              <w:t>Camphor scale</w:t>
            </w:r>
          </w:p>
        </w:tc>
        <w:tc>
          <w:tcPr>
            <w:tcW w:w="575" w:type="pct"/>
            <w:shd w:val="clear" w:color="auto" w:fill="auto"/>
          </w:tcPr>
          <w:p w:rsidR="00B8782D" w:rsidRDefault="00B8782D" w:rsidP="00750C8B">
            <w:pPr>
              <w:pStyle w:val="TableText"/>
            </w:pPr>
            <w:r>
              <w:t xml:space="preserve">Yes </w:t>
            </w:r>
            <w:r>
              <w:rPr>
                <w:noProof/>
              </w:rPr>
              <w:t>(Li, Wang &amp; Waterhouse 1997; Watson 2005)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Associated with </w:t>
            </w:r>
            <w:r>
              <w:rPr>
                <w:i/>
              </w:rPr>
              <w:t>P. persica</w:t>
            </w:r>
            <w:r>
              <w:t xml:space="preserve"> </w:t>
            </w:r>
            <w:r>
              <w:rPr>
                <w:noProof/>
              </w:rPr>
              <w:t>(Hodges 2005)</w:t>
            </w:r>
            <w:r>
              <w:t xml:space="preserve">. Mainly feeds on the bark of stems and branches </w:t>
            </w:r>
            <w:r>
              <w:rPr>
                <w:noProof/>
              </w:rPr>
              <w:t>(Shiao 1977)</w:t>
            </w:r>
            <w:r>
              <w:t xml:space="preserve">, but it also attacks leaves and fruit </w:t>
            </w:r>
            <w:r>
              <w:rPr>
                <w:noProof/>
              </w:rPr>
              <w:t>(Watson 2005)</w:t>
            </w:r>
            <w:r>
              <w:t>.</w:t>
            </w:r>
          </w:p>
        </w:tc>
        <w:tc>
          <w:tcPr>
            <w:tcW w:w="717" w:type="pct"/>
            <w:shd w:val="clear" w:color="auto" w:fill="auto"/>
          </w:tcPr>
          <w:p w:rsidR="00B8782D" w:rsidRDefault="00B8782D" w:rsidP="00750C8B">
            <w:pPr>
              <w:pStyle w:val="TableText"/>
            </w:pPr>
            <w:r>
              <w:t xml:space="preserve">Yes. This species has hosts in 57 genera in 10 plant families </w:t>
            </w:r>
            <w:r>
              <w:rPr>
                <w:noProof/>
              </w:rPr>
              <w:t>(Davidson &amp; Miller 1990)</w:t>
            </w:r>
            <w:r>
              <w:t xml:space="preserve"> including </w:t>
            </w:r>
            <w:r>
              <w:rPr>
                <w:i/>
              </w:rPr>
              <w:t>Prunus</w:t>
            </w:r>
            <w:r>
              <w:t xml:space="preserve">, </w:t>
            </w:r>
            <w:r>
              <w:rPr>
                <w:i/>
              </w:rPr>
              <w:t>Pyrus</w:t>
            </w:r>
            <w:r>
              <w:t xml:space="preserve"> and </w:t>
            </w:r>
            <w:r>
              <w:rPr>
                <w:i/>
              </w:rPr>
              <w:t>Citrus</w:t>
            </w:r>
            <w:r>
              <w:t xml:space="preserve"> species </w:t>
            </w:r>
            <w:r>
              <w:rPr>
                <w:noProof/>
              </w:rPr>
              <w:t>(Watson 2005)</w:t>
            </w:r>
            <w:r>
              <w:t>, which are widely cultivated in Australia. Climatic conditions in many parts of Australia will be suitable for its establishment and spread.</w:t>
            </w:r>
          </w:p>
        </w:tc>
        <w:tc>
          <w:tcPr>
            <w:tcW w:w="716" w:type="pct"/>
            <w:shd w:val="clear" w:color="auto" w:fill="auto"/>
          </w:tcPr>
          <w:p w:rsidR="00B8782D" w:rsidRDefault="00B8782D" w:rsidP="00750C8B">
            <w:pPr>
              <w:pStyle w:val="TableText"/>
            </w:pPr>
            <w:r>
              <w:t xml:space="preserve">Yes. A serious pest of tea in Taiwan. Male [nymphs] attack leaves while the females attack branches, eventually leading to plant death </w:t>
            </w:r>
            <w:r>
              <w:rPr>
                <w:noProof/>
              </w:rPr>
              <w:t>(Shiao 1977)</w:t>
            </w:r>
            <w:r>
              <w:t>.</w:t>
            </w:r>
          </w:p>
        </w:tc>
        <w:tc>
          <w:tcPr>
            <w:tcW w:w="574" w:type="pct"/>
            <w:shd w:val="clear" w:color="auto" w:fill="auto"/>
          </w:tcPr>
          <w:p w:rsidR="00B8782D" w:rsidRDefault="00B8782D">
            <w:pPr>
              <w:pStyle w:val="TableText"/>
            </w:pPr>
            <w:r>
              <w:t>Yes</w:t>
            </w:r>
          </w:p>
        </w:tc>
      </w:tr>
      <w:tr w:rsidR="00B8782D">
        <w:trPr>
          <w:cantSplit/>
          <w:trHeight w:val="75"/>
          <w:jc w:val="center"/>
        </w:trPr>
        <w:tc>
          <w:tcPr>
            <w:tcW w:w="1087" w:type="pct"/>
            <w:shd w:val="clear" w:color="auto" w:fill="auto"/>
          </w:tcPr>
          <w:p w:rsidR="00B8782D" w:rsidRDefault="00B8782D">
            <w:pPr>
              <w:pStyle w:val="TableText"/>
            </w:pPr>
            <w:r>
              <w:rPr>
                <w:i/>
              </w:rPr>
              <w:lastRenderedPageBreak/>
              <w:t>Pseudaulacaspis pentagona</w:t>
            </w:r>
            <w:r>
              <w:t xml:space="preserve"> (Targioni-Tozzetti, 1886)</w:t>
            </w:r>
          </w:p>
          <w:p w:rsidR="00B8782D" w:rsidRDefault="00B8782D">
            <w:pPr>
              <w:pStyle w:val="TableText"/>
            </w:pPr>
            <w:r>
              <w:t>[Diaspididae]</w:t>
            </w:r>
          </w:p>
          <w:p w:rsidR="00B8782D" w:rsidRDefault="00B8782D">
            <w:pPr>
              <w:pStyle w:val="TableText"/>
            </w:pPr>
            <w:r>
              <w:t>White peach scale</w:t>
            </w:r>
          </w:p>
        </w:tc>
        <w:tc>
          <w:tcPr>
            <w:tcW w:w="575" w:type="pct"/>
            <w:shd w:val="clear" w:color="auto" w:fill="auto"/>
          </w:tcPr>
          <w:p w:rsidR="00B8782D" w:rsidRDefault="00B8782D" w:rsidP="00750C8B">
            <w:pPr>
              <w:pStyle w:val="TableText"/>
            </w:pPr>
            <w:r>
              <w:t xml:space="preserve">Yes </w:t>
            </w:r>
            <w:r>
              <w:rPr>
                <w:noProof/>
              </w:rPr>
              <w:t>(AQSIQ 2006b)</w:t>
            </w:r>
            <w:r>
              <w:t>;</w:t>
            </w:r>
          </w:p>
        </w:tc>
        <w:tc>
          <w:tcPr>
            <w:tcW w:w="615" w:type="pct"/>
            <w:shd w:val="clear" w:color="auto" w:fill="auto"/>
          </w:tcPr>
          <w:p w:rsidR="00B8782D" w:rsidRDefault="00B8782D" w:rsidP="00750C8B">
            <w:pPr>
              <w:pStyle w:val="TableText"/>
            </w:pPr>
            <w:r>
              <w:t xml:space="preserve">Yes. NSW, Qld </w:t>
            </w:r>
            <w:r>
              <w:rPr>
                <w:noProof/>
              </w:rPr>
              <w:t>(Plant Health Australia 2001)</w:t>
            </w:r>
            <w:r>
              <w:t xml:space="preserve">. This species is listed as a declared organism (Prohibited (section 12)) under the Western Australia BAM Act 2007 </w:t>
            </w:r>
            <w:r>
              <w:rPr>
                <w:noProof/>
              </w:rPr>
              <w:t>(Government of Western Australia 2014)</w:t>
            </w:r>
            <w:r>
              <w:t>.</w:t>
            </w:r>
          </w:p>
        </w:tc>
        <w:tc>
          <w:tcPr>
            <w:tcW w:w="716" w:type="pct"/>
            <w:shd w:val="clear" w:color="auto" w:fill="auto"/>
          </w:tcPr>
          <w:p w:rsidR="00B8782D" w:rsidRDefault="00B8782D" w:rsidP="00750C8B">
            <w:pPr>
              <w:pStyle w:val="TableText"/>
            </w:pPr>
            <w:r>
              <w:t xml:space="preserve">Yes. This pest is mainly associated with leaves, branches and stems of </w:t>
            </w:r>
            <w:r>
              <w:rPr>
                <w:i/>
              </w:rPr>
              <w:t>P. persica</w:t>
            </w:r>
            <w:r>
              <w:t xml:space="preserve"> </w:t>
            </w:r>
            <w:r>
              <w:rPr>
                <w:noProof/>
              </w:rPr>
              <w:t>(AQSIQ 2006b; Feng &amp; Wang 2004; Yang, Tulake &amp; Li 2005)</w:t>
            </w:r>
            <w:r>
              <w:t xml:space="preserve">, but can infest fruit </w:t>
            </w:r>
            <w:r>
              <w:rPr>
                <w:noProof/>
              </w:rPr>
              <w:t>(Watson 2005)</w:t>
            </w:r>
            <w:r>
              <w:t>.</w:t>
            </w:r>
          </w:p>
        </w:tc>
        <w:tc>
          <w:tcPr>
            <w:tcW w:w="717" w:type="pct"/>
            <w:shd w:val="clear" w:color="auto" w:fill="auto"/>
          </w:tcPr>
          <w:p w:rsidR="00B8782D" w:rsidRDefault="00B8782D" w:rsidP="00750C8B">
            <w:pPr>
              <w:pStyle w:val="TableText"/>
            </w:pPr>
            <w:r>
              <w:t xml:space="preserve">Yes. Has been recorded on hosts from 108 genera in 55 plant families </w:t>
            </w:r>
            <w:r>
              <w:rPr>
                <w:noProof/>
              </w:rPr>
              <w:t>(Ben-Dov et al. 2014)</w:t>
            </w:r>
            <w:r>
              <w:t xml:space="preserve">. Many of these hosts are present in Australia. This species is found across Asia and Europe as well as eastern Australia </w:t>
            </w:r>
            <w:r>
              <w:rPr>
                <w:noProof/>
              </w:rPr>
              <w:t>(CABI 2015)</w:t>
            </w:r>
            <w:r>
              <w:t>. Its geographic distribution indicates that this species has the potential to establish and spread in Western Australia.</w:t>
            </w:r>
          </w:p>
        </w:tc>
        <w:tc>
          <w:tcPr>
            <w:tcW w:w="716" w:type="pct"/>
            <w:shd w:val="clear" w:color="auto" w:fill="auto"/>
          </w:tcPr>
          <w:p w:rsidR="00B8782D" w:rsidRDefault="00B8782D">
            <w:pPr>
              <w:pStyle w:val="TableText"/>
            </w:pPr>
            <w:r>
              <w:t xml:space="preserve">Assessment not required. </w:t>
            </w:r>
          </w:p>
          <w:p w:rsidR="00B8782D" w:rsidRDefault="00B8782D" w:rsidP="00750C8B">
            <w:pPr>
              <w:pStyle w:val="TableText"/>
            </w:pPr>
            <w:r>
              <w:rPr>
                <w:i/>
              </w:rPr>
              <w:t>Pseudaulacaspis pentagona</w:t>
            </w:r>
            <w:r>
              <w:t xml:space="preserve"> is a regional pest for Western Australia. The potential economic consequences would only be applicable to WA should this species enter, establish and spread. WA has assessed these consequences as ‘very low’ using similar methodology to the Australian Government Department of Agriculture and Water Resources which meets their ALOP </w:t>
            </w:r>
            <w:r>
              <w:rPr>
                <w:noProof/>
              </w:rPr>
              <w:t>(Poole et al. 2011)</w:t>
            </w:r>
            <w:r>
              <w:t xml:space="preserve">. </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Pseudaulacaspis prunicola</w:t>
            </w:r>
            <w:r>
              <w:t xml:space="preserve"> (Maskell, 1895)</w:t>
            </w:r>
          </w:p>
          <w:p w:rsidR="00B8782D" w:rsidRDefault="00B8782D">
            <w:pPr>
              <w:pStyle w:val="TableText"/>
            </w:pPr>
            <w:r>
              <w:t>[Diaspididae]</w:t>
            </w:r>
          </w:p>
          <w:p w:rsidR="00B8782D" w:rsidRDefault="00B8782D">
            <w:pPr>
              <w:pStyle w:val="TableText"/>
            </w:pPr>
            <w:r>
              <w:t>Armoured scale</w:t>
            </w:r>
          </w:p>
        </w:tc>
        <w:tc>
          <w:tcPr>
            <w:tcW w:w="575" w:type="pct"/>
            <w:shd w:val="clear" w:color="auto" w:fill="auto"/>
          </w:tcPr>
          <w:p w:rsidR="00B8782D" w:rsidRDefault="00B8782D" w:rsidP="00750C8B">
            <w:pPr>
              <w:pStyle w:val="TableText"/>
            </w:pPr>
            <w:r>
              <w:t xml:space="preserve">Yes </w:t>
            </w:r>
            <w:r>
              <w:rPr>
                <w:noProof/>
              </w:rPr>
              <w:t>(Ben-Dov et al. 2014; Davidson &amp; Miller 1990)</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A pest of </w:t>
            </w:r>
            <w:r>
              <w:rPr>
                <w:i/>
              </w:rPr>
              <w:t>P. persica</w:t>
            </w:r>
            <w:r>
              <w:t xml:space="preserve"> </w:t>
            </w:r>
            <w:r>
              <w:rPr>
                <w:noProof/>
              </w:rPr>
              <w:t>(Miller &amp; Davidson 1990)</w:t>
            </w:r>
            <w:r>
              <w:t xml:space="preserve">. It feeds on the bark, fruit and occasionally on leaves </w:t>
            </w:r>
            <w:r>
              <w:rPr>
                <w:noProof/>
              </w:rPr>
              <w:t>(Davidson &amp; Miller 1990)</w:t>
            </w:r>
            <w:r>
              <w:t>.</w:t>
            </w:r>
          </w:p>
        </w:tc>
        <w:tc>
          <w:tcPr>
            <w:tcW w:w="717" w:type="pct"/>
            <w:shd w:val="clear" w:color="auto" w:fill="auto"/>
          </w:tcPr>
          <w:p w:rsidR="00B8782D" w:rsidRDefault="00B8782D" w:rsidP="00750C8B">
            <w:pPr>
              <w:pStyle w:val="TableText"/>
            </w:pPr>
            <w:r>
              <w:t xml:space="preserve">Yes. Crawlers are the primary dispersal stage and are dispersed by wind or animal contact </w:t>
            </w:r>
            <w:r>
              <w:rPr>
                <w:noProof/>
              </w:rPr>
              <w:t>(Davidson &amp; Miller 1990)</w:t>
            </w:r>
            <w:r>
              <w:t xml:space="preserve">. This species is recorded on host plants belonging to 21 genera in 16 families </w:t>
            </w:r>
            <w:r>
              <w:rPr>
                <w:noProof/>
              </w:rPr>
              <w:t>(Davidson &amp; Miller 1990)</w:t>
            </w:r>
            <w:r>
              <w:t>. Climatic conditions in many parts of Australia will be suitable for its establishment and spread.</w:t>
            </w:r>
          </w:p>
        </w:tc>
        <w:tc>
          <w:tcPr>
            <w:tcW w:w="716" w:type="pct"/>
            <w:shd w:val="clear" w:color="auto" w:fill="auto"/>
          </w:tcPr>
          <w:p w:rsidR="00B8782D" w:rsidRDefault="00B8782D" w:rsidP="00750C8B">
            <w:pPr>
              <w:pStyle w:val="TableText"/>
            </w:pPr>
            <w:r>
              <w:t xml:space="preserve">Yes. In the USA and Japan this scale is a serious pest of </w:t>
            </w:r>
            <w:r>
              <w:rPr>
                <w:i/>
              </w:rPr>
              <w:t>Prunus</w:t>
            </w:r>
            <w:r>
              <w:t xml:space="preserve"> spp. </w:t>
            </w:r>
            <w:r>
              <w:rPr>
                <w:noProof/>
              </w:rPr>
              <w:t>(Davidson &amp; Miller 1990; MAFF 2008)</w:t>
            </w:r>
            <w:r>
              <w:t xml:space="preserve">. Despite control measures this pest sometimes kills its host plants </w:t>
            </w:r>
            <w:r>
              <w:rPr>
                <w:noProof/>
              </w:rPr>
              <w:t>(Davidson &amp; Miller 1990)</w:t>
            </w:r>
            <w:r>
              <w:t>.</w:t>
            </w:r>
          </w:p>
        </w:tc>
        <w:tc>
          <w:tcPr>
            <w:tcW w:w="574" w:type="pct"/>
            <w:shd w:val="clear" w:color="auto" w:fill="auto"/>
          </w:tcPr>
          <w:p w:rsidR="00B8782D" w:rsidRDefault="00B8782D">
            <w:pPr>
              <w:pStyle w:val="TableText"/>
            </w:pPr>
            <w:r>
              <w:t>Yes (EP)</w:t>
            </w:r>
          </w:p>
        </w:tc>
      </w:tr>
      <w:tr w:rsidR="00B8782D">
        <w:trPr>
          <w:cantSplit/>
          <w:trHeight w:val="75"/>
          <w:jc w:val="center"/>
        </w:trPr>
        <w:tc>
          <w:tcPr>
            <w:tcW w:w="1087" w:type="pct"/>
            <w:shd w:val="clear" w:color="auto" w:fill="auto"/>
          </w:tcPr>
          <w:p w:rsidR="00B8782D" w:rsidRDefault="00B8782D">
            <w:pPr>
              <w:pStyle w:val="TableText"/>
            </w:pPr>
            <w:r>
              <w:rPr>
                <w:i/>
              </w:rPr>
              <w:lastRenderedPageBreak/>
              <w:t>Pseudococcus calceolariae</w:t>
            </w:r>
            <w:r>
              <w:t xml:space="preserve"> (Maskell, 1879)</w:t>
            </w:r>
          </w:p>
          <w:p w:rsidR="00B8782D" w:rsidRDefault="00B8782D">
            <w:pPr>
              <w:pStyle w:val="TableText"/>
            </w:pPr>
            <w:r>
              <w:t xml:space="preserve">Synonym: </w:t>
            </w:r>
            <w:r>
              <w:rPr>
                <w:i/>
              </w:rPr>
              <w:t>Pseudococcus gahani</w:t>
            </w:r>
            <w:r>
              <w:t xml:space="preserve"> Green, 1915</w:t>
            </w:r>
          </w:p>
          <w:p w:rsidR="00B8782D" w:rsidRDefault="00B8782D">
            <w:pPr>
              <w:pStyle w:val="TableText"/>
            </w:pPr>
            <w:r>
              <w:t>[Pseudococcidae]</w:t>
            </w:r>
          </w:p>
          <w:p w:rsidR="00B8782D" w:rsidRDefault="00B8782D">
            <w:pPr>
              <w:pStyle w:val="TableText"/>
            </w:pPr>
            <w:r>
              <w:t>Citrophilus mealybug</w:t>
            </w:r>
          </w:p>
        </w:tc>
        <w:tc>
          <w:tcPr>
            <w:tcW w:w="575" w:type="pct"/>
            <w:shd w:val="clear" w:color="auto" w:fill="auto"/>
          </w:tcPr>
          <w:p w:rsidR="00B8782D" w:rsidRDefault="00B8782D" w:rsidP="00750C8B">
            <w:pPr>
              <w:pStyle w:val="TableText"/>
            </w:pPr>
            <w:r>
              <w:t xml:space="preserve">Yes </w:t>
            </w:r>
            <w:r>
              <w:rPr>
                <w:noProof/>
              </w:rPr>
              <w:t>(Ben-Dov 2014c; Li, Wang &amp; Waterhouse 1997)</w:t>
            </w:r>
          </w:p>
        </w:tc>
        <w:tc>
          <w:tcPr>
            <w:tcW w:w="615" w:type="pct"/>
            <w:shd w:val="clear" w:color="auto" w:fill="auto"/>
          </w:tcPr>
          <w:p w:rsidR="00B8782D" w:rsidRDefault="00B8782D">
            <w:pPr>
              <w:pStyle w:val="TableText"/>
            </w:pPr>
            <w:r>
              <w:t xml:space="preserve">Yes. NSW, Qld, SA, Tas., Vic. </w:t>
            </w:r>
            <w:r>
              <w:rPr>
                <w:noProof/>
              </w:rPr>
              <w:t>(CABI 2015; Plant Health Australia 2001; Smith, Beattie &amp; Broadley 1997)</w:t>
            </w:r>
            <w:r>
              <w:t xml:space="preserve">. This species is listed as a declared organism (Prohibited (section 12)) under the Western Australia BAM Act 2007 </w:t>
            </w:r>
            <w:r>
              <w:rPr>
                <w:noProof/>
              </w:rPr>
              <w:t>(Government of Western Australia 2014)</w:t>
            </w:r>
            <w:r>
              <w:t>.</w:t>
            </w:r>
          </w:p>
          <w:p w:rsidR="00B8782D" w:rsidRDefault="00B8782D">
            <w:pPr>
              <w:pStyle w:val="TableText"/>
            </w:pPr>
          </w:p>
        </w:tc>
        <w:tc>
          <w:tcPr>
            <w:tcW w:w="716" w:type="pct"/>
            <w:shd w:val="clear" w:color="auto" w:fill="auto"/>
          </w:tcPr>
          <w:p w:rsidR="00B8782D" w:rsidRDefault="00B8782D" w:rsidP="00750C8B">
            <w:pPr>
              <w:pStyle w:val="TableText"/>
            </w:pPr>
            <w:r>
              <w:t xml:space="preserve">Yes. This pest occurs on a wide variety of plants including </w:t>
            </w:r>
            <w:r>
              <w:rPr>
                <w:i/>
              </w:rPr>
              <w:t>Prunus</w:t>
            </w:r>
            <w:r>
              <w:t xml:space="preserve"> spp. </w:t>
            </w:r>
            <w:r>
              <w:rPr>
                <w:noProof/>
              </w:rPr>
              <w:t>(Ben-Dov 2014c)</w:t>
            </w:r>
            <w:r>
              <w:t xml:space="preserve">. Nymphs and adults seek shelter under the fruit calyx, between touching fruit and on leaves. Adult females may reproduce in these protected sites </w:t>
            </w:r>
            <w:r>
              <w:rPr>
                <w:noProof/>
              </w:rPr>
              <w:t>(Smith, Beattie &amp; Broadley 1997)</w:t>
            </w:r>
            <w:r>
              <w:t>.</w:t>
            </w:r>
          </w:p>
        </w:tc>
        <w:tc>
          <w:tcPr>
            <w:tcW w:w="717" w:type="pct"/>
            <w:shd w:val="clear" w:color="auto" w:fill="auto"/>
          </w:tcPr>
          <w:p w:rsidR="00B8782D" w:rsidRDefault="00B8782D" w:rsidP="00750C8B">
            <w:pPr>
              <w:pStyle w:val="TableText"/>
            </w:pPr>
            <w:r>
              <w:t xml:space="preserve">Yes. A highly polyphagous species that has been recorded on plants in 40 families, including many commercial and nursery plants such as apple, pear, grape, stonefruit, potato, hibiscus and rose </w:t>
            </w:r>
            <w:r>
              <w:rPr>
                <w:noProof/>
              </w:rPr>
              <w:t>(Ben-Dov 2014c; Smith, Beattie &amp; Broadley 1997)</w:t>
            </w:r>
            <w:r>
              <w:t>. These hosts are widespread in Western Australia. This species is considered to be native to eastern Australia and now also occurs in the USA, South America, New Zealand, South Africa and Europe as well as China. Conditions in Western Australia will be suitable for its establishment and spread.</w:t>
            </w:r>
          </w:p>
        </w:tc>
        <w:tc>
          <w:tcPr>
            <w:tcW w:w="716" w:type="pct"/>
            <w:shd w:val="clear" w:color="auto" w:fill="auto"/>
          </w:tcPr>
          <w:p w:rsidR="00B8782D" w:rsidRDefault="00B8782D">
            <w:pPr>
              <w:pStyle w:val="TableText"/>
            </w:pPr>
            <w:r>
              <w:t>Assessment not required.</w:t>
            </w:r>
          </w:p>
          <w:p w:rsidR="00B8782D" w:rsidRDefault="00B8782D" w:rsidP="00750C8B">
            <w:pPr>
              <w:pStyle w:val="TableText"/>
            </w:pPr>
            <w:r>
              <w:rPr>
                <w:i/>
              </w:rPr>
              <w:t>Pseudococcus calceolariae</w:t>
            </w:r>
            <w:r>
              <w:t xml:space="preserve"> is a regional pest for Western Australia. Reported as the main pest of stonefruit, citrus and grape </w:t>
            </w:r>
            <w:r>
              <w:rPr>
                <w:noProof/>
              </w:rPr>
              <w:t>(CABI 2015; Smith, Beattie &amp; Broadley 1997)</w:t>
            </w:r>
            <w:r>
              <w:t>. The potential economic consequences would only be applicable to WA should this species enter, establish and spread. WA has assessed these consequences as ‘very low’ using similar methodology to the Australian Government Department of Agriculture and Water Resources which meets their ALOP</w:t>
            </w:r>
            <w:r>
              <w:rPr>
                <w:noProof/>
              </w:rPr>
              <w:t>(Poole et al. 2011)</w:t>
            </w:r>
            <w:r>
              <w:t>.</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Pseudococcus comstocki</w:t>
            </w:r>
            <w:r>
              <w:t xml:space="preserve"> (Kuwana, 1902)</w:t>
            </w:r>
          </w:p>
          <w:p w:rsidR="00B8782D" w:rsidRDefault="00B8782D">
            <w:pPr>
              <w:pStyle w:val="TableText"/>
            </w:pPr>
            <w:r>
              <w:t xml:space="preserve">Synonym: </w:t>
            </w:r>
            <w:r>
              <w:rPr>
                <w:i/>
              </w:rPr>
              <w:t xml:space="preserve">Dactylopius comstocki </w:t>
            </w:r>
            <w:r>
              <w:t>Kuwana, 1902</w:t>
            </w:r>
          </w:p>
          <w:p w:rsidR="00B8782D" w:rsidRDefault="00B8782D">
            <w:pPr>
              <w:pStyle w:val="TableText"/>
            </w:pPr>
            <w:r>
              <w:t>[Pseudococcidae]</w:t>
            </w:r>
          </w:p>
          <w:p w:rsidR="00B8782D" w:rsidRDefault="00B8782D">
            <w:pPr>
              <w:pStyle w:val="TableText"/>
            </w:pPr>
            <w:r>
              <w:t>Comstock mealybug</w:t>
            </w:r>
          </w:p>
        </w:tc>
        <w:tc>
          <w:tcPr>
            <w:tcW w:w="575" w:type="pct"/>
            <w:shd w:val="clear" w:color="auto" w:fill="auto"/>
          </w:tcPr>
          <w:p w:rsidR="00B8782D" w:rsidRDefault="00B8782D" w:rsidP="00750C8B">
            <w:pPr>
              <w:pStyle w:val="TableText"/>
            </w:pPr>
            <w:r>
              <w:t xml:space="preserve">Yes </w:t>
            </w:r>
            <w:r>
              <w:rPr>
                <w:noProof/>
              </w:rPr>
              <w:t>(Ben-Dov 2014c; CABI 2015)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Associated with </w:t>
            </w:r>
            <w:r>
              <w:rPr>
                <w:i/>
              </w:rPr>
              <w:t>P. persica</w:t>
            </w:r>
            <w:r>
              <w:t xml:space="preserve"> </w:t>
            </w:r>
            <w:r>
              <w:rPr>
                <w:noProof/>
              </w:rPr>
              <w:t>(Ben-Dov 2014c)</w:t>
            </w:r>
            <w:r>
              <w:t xml:space="preserve">. Females and third instar nymphs infest fruits localising in the stem end of nectarines and peaches </w:t>
            </w:r>
            <w:r>
              <w:rPr>
                <w:noProof/>
              </w:rPr>
              <w:t>(Pellizzari et al. 2012)</w:t>
            </w:r>
            <w:r>
              <w:t>.</w:t>
            </w:r>
          </w:p>
        </w:tc>
        <w:tc>
          <w:tcPr>
            <w:tcW w:w="717" w:type="pct"/>
            <w:shd w:val="clear" w:color="auto" w:fill="auto"/>
          </w:tcPr>
          <w:p w:rsidR="00B8782D" w:rsidRDefault="00B8782D" w:rsidP="00750C8B">
            <w:pPr>
              <w:pStyle w:val="TableText"/>
            </w:pPr>
            <w:r>
              <w:t xml:space="preserve">Yes. This species feeds on many host plants and is known to damage several horticultural crops such as banana, peach, pear, lemon, apricot, cherry and mulberry </w:t>
            </w:r>
            <w:r>
              <w:rPr>
                <w:noProof/>
              </w:rPr>
              <w:t>(Ben-Dov 2014c)</w:t>
            </w:r>
            <w:r>
              <w:t xml:space="preserve">. These hosts are widespread throughout Australia. This species is believed to be of Asian origin, possibly indigenous to Japan, </w:t>
            </w:r>
            <w:r>
              <w:rPr>
                <w:noProof/>
              </w:rPr>
              <w:t>(Kuwana 1902)</w:t>
            </w:r>
            <w:r>
              <w:t xml:space="preserve"> and has been recorded from numerous countries throughout the world </w:t>
            </w:r>
            <w:r>
              <w:rPr>
                <w:noProof/>
              </w:rPr>
              <w:t>(CABI 2015)</w:t>
            </w:r>
            <w:r>
              <w:t>. This indicates that this species has the ability to adapt to new environments and would be able to establish and spread in Australia.</w:t>
            </w:r>
          </w:p>
        </w:tc>
        <w:tc>
          <w:tcPr>
            <w:tcW w:w="716" w:type="pct"/>
            <w:shd w:val="clear" w:color="auto" w:fill="auto"/>
          </w:tcPr>
          <w:p w:rsidR="00B8782D" w:rsidRDefault="00B8782D" w:rsidP="00750C8B">
            <w:pPr>
              <w:pStyle w:val="TableText"/>
            </w:pPr>
            <w:r>
              <w:t xml:space="preserve">Yes. Occasionally a serious pest in apple, pear and peach orchards in eastern USA </w:t>
            </w:r>
            <w:r>
              <w:rPr>
                <w:noProof/>
              </w:rPr>
              <w:t>(Bartlett et al. 1978)</w:t>
            </w:r>
            <w:r>
              <w:t xml:space="preserve">. A common pest on mulberry, apple and pear in Japan </w:t>
            </w:r>
            <w:r>
              <w:rPr>
                <w:noProof/>
              </w:rPr>
              <w:t>(Murakami, Morimoto &amp; Kajita 1967)</w:t>
            </w:r>
            <w:r>
              <w:t xml:space="preserve">. It damages several agricultural crops including banana, pear, lemon, apricot, cherry peach, and mulberry as well as several ornamental and shade trees </w:t>
            </w:r>
            <w:r>
              <w:rPr>
                <w:noProof/>
              </w:rPr>
              <w:t>(CABI 2015)</w:t>
            </w:r>
            <w:r>
              <w:t xml:space="preserve">. Weires </w:t>
            </w:r>
            <w:r>
              <w:rPr>
                <w:noProof/>
              </w:rPr>
              <w:t>(1984)</w:t>
            </w:r>
            <w:r>
              <w:t xml:space="preserve"> recorded extensive losses from this mealybug in apple orchards.</w:t>
            </w:r>
          </w:p>
        </w:tc>
        <w:tc>
          <w:tcPr>
            <w:tcW w:w="574" w:type="pct"/>
            <w:shd w:val="clear" w:color="auto" w:fill="auto"/>
          </w:tcPr>
          <w:p w:rsidR="00B8782D" w:rsidRDefault="00B8782D">
            <w:pPr>
              <w:pStyle w:val="TableText"/>
            </w:pPr>
            <w:r>
              <w:t>Yes (EP)</w:t>
            </w:r>
          </w:p>
        </w:tc>
      </w:tr>
      <w:tr w:rsidR="00B8782D">
        <w:trPr>
          <w:cantSplit/>
          <w:trHeight w:val="75"/>
          <w:jc w:val="center"/>
        </w:trPr>
        <w:tc>
          <w:tcPr>
            <w:tcW w:w="1087" w:type="pct"/>
            <w:shd w:val="clear" w:color="auto" w:fill="auto"/>
          </w:tcPr>
          <w:p w:rsidR="00B8782D" w:rsidRDefault="00B8782D">
            <w:pPr>
              <w:pStyle w:val="TableText"/>
            </w:pPr>
            <w:r>
              <w:rPr>
                <w:i/>
              </w:rPr>
              <w:t>Pseudococcus longispinus</w:t>
            </w:r>
            <w:r>
              <w:t xml:space="preserve"> (Targioni Tozzetti, 1867)</w:t>
            </w:r>
          </w:p>
          <w:p w:rsidR="00B8782D" w:rsidRDefault="00B8782D">
            <w:pPr>
              <w:pStyle w:val="TableText"/>
            </w:pPr>
            <w:r>
              <w:t>[Pseudococcidae]</w:t>
            </w:r>
          </w:p>
          <w:p w:rsidR="00B8782D" w:rsidRDefault="00B8782D">
            <w:pPr>
              <w:pStyle w:val="TableText"/>
            </w:pPr>
            <w:r>
              <w:t>Longtail mealybug</w:t>
            </w:r>
          </w:p>
        </w:tc>
        <w:tc>
          <w:tcPr>
            <w:tcW w:w="575" w:type="pct"/>
            <w:shd w:val="clear" w:color="auto" w:fill="auto"/>
          </w:tcPr>
          <w:p w:rsidR="00B8782D" w:rsidRDefault="00B8782D" w:rsidP="00750C8B">
            <w:pPr>
              <w:pStyle w:val="TableText"/>
            </w:pPr>
            <w:r>
              <w:t xml:space="preserve">Yes </w:t>
            </w:r>
            <w:r>
              <w:rPr>
                <w:noProof/>
              </w:rPr>
              <w:t>(CABI 2015)</w:t>
            </w:r>
          </w:p>
        </w:tc>
        <w:tc>
          <w:tcPr>
            <w:tcW w:w="615" w:type="pct"/>
            <w:shd w:val="clear" w:color="auto" w:fill="auto"/>
          </w:tcPr>
          <w:p w:rsidR="00B8782D" w:rsidRDefault="00B8782D" w:rsidP="00750C8B">
            <w:pPr>
              <w:pStyle w:val="TableText"/>
            </w:pPr>
            <w:r>
              <w:t xml:space="preserve">Yes. All states and territories </w:t>
            </w:r>
            <w:r>
              <w:rPr>
                <w:noProof/>
              </w:rPr>
              <w:t>(CSIRO 2005; 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Pulvinaria vitis</w:t>
            </w:r>
            <w:r>
              <w:t xml:space="preserve"> (Linnaeus, 1758)</w:t>
            </w:r>
          </w:p>
          <w:p w:rsidR="00B8782D" w:rsidRDefault="00B8782D">
            <w:pPr>
              <w:pStyle w:val="TableText"/>
            </w:pPr>
            <w:r>
              <w:t xml:space="preserve">Synonym: </w:t>
            </w:r>
            <w:r>
              <w:rPr>
                <w:i/>
              </w:rPr>
              <w:t>Coccus betulae</w:t>
            </w:r>
            <w:r>
              <w:t xml:space="preserve"> Linnaeus, 1758</w:t>
            </w:r>
          </w:p>
          <w:p w:rsidR="00B8782D" w:rsidRDefault="00B8782D">
            <w:pPr>
              <w:pStyle w:val="TableText"/>
            </w:pPr>
            <w:r>
              <w:t>[Coccidae]</w:t>
            </w:r>
          </w:p>
          <w:p w:rsidR="00B8782D" w:rsidRDefault="00B8782D">
            <w:pPr>
              <w:pStyle w:val="TableText"/>
            </w:pPr>
            <w:r>
              <w:t>Cottony grape scale</w:t>
            </w:r>
          </w:p>
        </w:tc>
        <w:tc>
          <w:tcPr>
            <w:tcW w:w="575" w:type="pct"/>
            <w:shd w:val="clear" w:color="auto" w:fill="auto"/>
          </w:tcPr>
          <w:p w:rsidR="00B8782D" w:rsidRDefault="00B8782D" w:rsidP="00750C8B">
            <w:pPr>
              <w:pStyle w:val="TableText"/>
            </w:pPr>
            <w:r>
              <w:t xml:space="preserve">Yes </w:t>
            </w:r>
            <w:r>
              <w:rPr>
                <w:noProof/>
              </w:rPr>
              <w:t>(Ben-Dov 2014a; Yang et al. 2008; Zhang &amp; Wu 2007)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(Phillips 1963)</w:t>
            </w:r>
            <w:r>
              <w:t xml:space="preserve">. Found on the stems and underside of leaves; immature females overwinter on twigs of host </w:t>
            </w:r>
            <w:r>
              <w:rPr>
                <w:noProof/>
              </w:rPr>
              <w:t>(Landcare Research 2014)</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Rhodococcus turanicus</w:t>
            </w:r>
            <w:r>
              <w:t xml:space="preserve"> (Archangelskaya, 1937)</w:t>
            </w:r>
          </w:p>
          <w:p w:rsidR="00B8782D" w:rsidRDefault="00B8782D">
            <w:pPr>
              <w:pStyle w:val="TableText"/>
            </w:pPr>
            <w:r>
              <w:t xml:space="preserve">Synonym: </w:t>
            </w:r>
            <w:r>
              <w:rPr>
                <w:i/>
              </w:rPr>
              <w:t>Lecanium coryli turanicum</w:t>
            </w:r>
            <w:r>
              <w:t xml:space="preserve"> Archangelskaya, 1937</w:t>
            </w:r>
          </w:p>
          <w:p w:rsidR="00B8782D" w:rsidRDefault="00B8782D">
            <w:pPr>
              <w:pStyle w:val="TableText"/>
            </w:pPr>
            <w:r>
              <w:t>[Coccidae]</w:t>
            </w:r>
          </w:p>
        </w:tc>
        <w:tc>
          <w:tcPr>
            <w:tcW w:w="575" w:type="pct"/>
            <w:shd w:val="clear" w:color="auto" w:fill="auto"/>
          </w:tcPr>
          <w:p w:rsidR="00B8782D" w:rsidRDefault="00B8782D" w:rsidP="00750C8B">
            <w:pPr>
              <w:pStyle w:val="TableText"/>
            </w:pPr>
            <w:r>
              <w:t xml:space="preserve">Yes </w:t>
            </w:r>
            <w:r>
              <w:rPr>
                <w:noProof/>
              </w:rPr>
              <w:t>(Yang et al. 2008)</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Yang </w:t>
            </w:r>
            <w:r>
              <w:rPr>
                <w:noProof/>
              </w:rPr>
              <w:t>(2008)</w:t>
            </w:r>
            <w:r>
              <w:t xml:space="preserve"> reported that this pest only attacks the twigs, branches and leaves of </w:t>
            </w:r>
            <w:r>
              <w:rPr>
                <w:i/>
              </w:rPr>
              <w:t>P. persica</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Rhopalosiphum padi</w:t>
            </w:r>
            <w:r>
              <w:t xml:space="preserve"> (Linnaeus 1758)</w:t>
            </w:r>
          </w:p>
          <w:p w:rsidR="00B8782D" w:rsidRDefault="00B8782D">
            <w:pPr>
              <w:pStyle w:val="TableText"/>
            </w:pPr>
            <w:r>
              <w:t>[Aphididae]</w:t>
            </w:r>
          </w:p>
          <w:p w:rsidR="00B8782D" w:rsidRDefault="00B8782D">
            <w:pPr>
              <w:pStyle w:val="TableText"/>
            </w:pPr>
            <w:r>
              <w:t>Oat aphid</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NSW, Qld, SA, Tas., Vic., WA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Saissetia coffeae</w:t>
            </w:r>
            <w:r>
              <w:t xml:space="preserve"> (Walker, 1852)</w:t>
            </w:r>
          </w:p>
          <w:p w:rsidR="00B8782D" w:rsidRDefault="00B8782D">
            <w:pPr>
              <w:pStyle w:val="TableText"/>
            </w:pPr>
            <w:r>
              <w:t>[Coccidae]</w:t>
            </w:r>
          </w:p>
          <w:p w:rsidR="00B8782D" w:rsidRDefault="00B8782D">
            <w:pPr>
              <w:pStyle w:val="TableText"/>
            </w:pPr>
            <w:r>
              <w:t>Hemispherical scale</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Saissetia oleae</w:t>
            </w:r>
            <w:r>
              <w:t xml:space="preserve"> (Bernard, 1782)</w:t>
            </w:r>
          </w:p>
          <w:p w:rsidR="00B8782D" w:rsidRDefault="00B8782D">
            <w:pPr>
              <w:pStyle w:val="TableText"/>
            </w:pPr>
            <w:r>
              <w:t>[Coccidae]</w:t>
            </w:r>
          </w:p>
          <w:p w:rsidR="00B8782D" w:rsidRDefault="00B8782D">
            <w:pPr>
              <w:pStyle w:val="TableText"/>
            </w:pPr>
            <w:r>
              <w:t>Olive scale</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NSW, NT, Qld, SA, Tas., Vic., WA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Sphaerolecanium prunastri</w:t>
            </w:r>
            <w:r>
              <w:t xml:space="preserve"> (Boyer de Fonscolombe, 1834)</w:t>
            </w:r>
          </w:p>
          <w:p w:rsidR="00B8782D" w:rsidRDefault="00B8782D">
            <w:pPr>
              <w:pStyle w:val="TableText"/>
            </w:pPr>
            <w:r>
              <w:t>[Coccidae]</w:t>
            </w:r>
          </w:p>
          <w:p w:rsidR="00B8782D" w:rsidRDefault="00B8782D">
            <w:pPr>
              <w:pStyle w:val="TableText"/>
            </w:pPr>
            <w:r>
              <w:t>Plum scale</w:t>
            </w:r>
          </w:p>
        </w:tc>
        <w:tc>
          <w:tcPr>
            <w:tcW w:w="575" w:type="pct"/>
            <w:shd w:val="clear" w:color="auto" w:fill="auto"/>
          </w:tcPr>
          <w:p w:rsidR="00B8782D" w:rsidRDefault="00B8782D" w:rsidP="00750C8B">
            <w:pPr>
              <w:pStyle w:val="TableText"/>
            </w:pPr>
            <w:r>
              <w:t xml:space="preserve">Yes </w:t>
            </w:r>
            <w:r>
              <w:rPr>
                <w:noProof/>
              </w:rPr>
              <w:t>(CABI 2015; Yang, Tulake &amp; Li 2005)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It completes its whole lifecycle on the trunk, branches or twigs of its host plant </w:t>
            </w:r>
            <w:r>
              <w:rPr>
                <w:noProof/>
              </w:rPr>
              <w:t>(CABI 2015)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Stephanitis nashi</w:t>
            </w:r>
            <w:r>
              <w:t xml:space="preserve"> Esaki &amp; Takeya, 1931</w:t>
            </w:r>
          </w:p>
          <w:p w:rsidR="00B8782D" w:rsidRDefault="00B8782D">
            <w:pPr>
              <w:pStyle w:val="TableText"/>
            </w:pPr>
            <w:r>
              <w:t>[Tingidae]</w:t>
            </w:r>
          </w:p>
          <w:p w:rsidR="00B8782D" w:rsidRDefault="00B8782D">
            <w:pPr>
              <w:pStyle w:val="TableText"/>
            </w:pPr>
            <w:r>
              <w:t>Pear lace bug</w:t>
            </w:r>
          </w:p>
        </w:tc>
        <w:tc>
          <w:tcPr>
            <w:tcW w:w="575" w:type="pct"/>
            <w:shd w:val="clear" w:color="auto" w:fill="auto"/>
          </w:tcPr>
          <w:p w:rsidR="00B8782D" w:rsidRDefault="00B8782D" w:rsidP="00750C8B">
            <w:pPr>
              <w:pStyle w:val="TableText"/>
            </w:pPr>
            <w:r>
              <w:t xml:space="preserve">Yes </w:t>
            </w:r>
            <w:r>
              <w:rPr>
                <w:noProof/>
              </w:rPr>
              <w:t>(AQSIQ 2006b)</w:t>
            </w:r>
            <w:r>
              <w:t>.</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Causes damage to many fruit trees including </w:t>
            </w:r>
            <w:r>
              <w:rPr>
                <w:i/>
              </w:rPr>
              <w:t>P. persica</w:t>
            </w:r>
            <w:r>
              <w:t xml:space="preserve"> </w:t>
            </w:r>
            <w:r>
              <w:rPr>
                <w:noProof/>
              </w:rPr>
              <w:t>(Li, Wang &amp; Waterhouse 1997; Shanghai Insects Online 2014)</w:t>
            </w:r>
            <w:r>
              <w:t xml:space="preserve">. Eggs are laid on the underside of leaves. Nymphs feed in groups on the underside of leaves on both sides of main veins. Adults overwinter on the ground in fallen leaves and branches, crevices, grasses and gaps in soil </w:t>
            </w:r>
            <w:r>
              <w:rPr>
                <w:noProof/>
              </w:rPr>
              <w:t>(Shanghai Insects Online 2014)</w:t>
            </w:r>
            <w:r>
              <w:t xml:space="preserve">. No report of an association with mature nectarine or peach fruit was found.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Takahashia japonica</w:t>
            </w:r>
            <w:r>
              <w:t xml:space="preserve"> (Cockerell, 1896)</w:t>
            </w:r>
          </w:p>
          <w:p w:rsidR="00B8782D" w:rsidRDefault="00B8782D">
            <w:pPr>
              <w:pStyle w:val="TableText"/>
            </w:pPr>
            <w:r>
              <w:t>[Coccidae]</w:t>
            </w:r>
          </w:p>
          <w:p w:rsidR="00B8782D" w:rsidRDefault="00B8782D">
            <w:pPr>
              <w:pStyle w:val="TableText"/>
            </w:pPr>
            <w:r>
              <w:t>String cottony scale</w:t>
            </w:r>
          </w:p>
        </w:tc>
        <w:tc>
          <w:tcPr>
            <w:tcW w:w="575" w:type="pct"/>
            <w:shd w:val="clear" w:color="auto" w:fill="auto"/>
          </w:tcPr>
          <w:p w:rsidR="00B8782D" w:rsidRDefault="00B8782D" w:rsidP="00750C8B">
            <w:pPr>
              <w:pStyle w:val="TableText"/>
            </w:pPr>
            <w:r>
              <w:t xml:space="preserve">Yes </w:t>
            </w:r>
            <w:r>
              <w:rPr>
                <w:noProof/>
              </w:rPr>
              <w:t>(Ben-Dov 2014a; 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This species only attacks the leaves and stems of </w:t>
            </w:r>
            <w:r>
              <w:rPr>
                <w:i/>
              </w:rPr>
              <w:t>P. persica</w:t>
            </w:r>
            <w:r>
              <w:t xml:space="preserve"> </w:t>
            </w:r>
            <w:r>
              <w:rPr>
                <w:noProof/>
              </w:rPr>
              <w:t>(MAFF 1989, 1990)</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Toxoptera citricidus</w:t>
            </w:r>
            <w:r>
              <w:t xml:space="preserve"> (Kirkaldy, 1907)</w:t>
            </w:r>
          </w:p>
          <w:p w:rsidR="00B8782D" w:rsidRDefault="00B8782D">
            <w:pPr>
              <w:pStyle w:val="TableText"/>
            </w:pPr>
            <w:r>
              <w:t>[Aphididae]</w:t>
            </w:r>
          </w:p>
          <w:p w:rsidR="00B8782D" w:rsidRDefault="00B8782D">
            <w:pPr>
              <w:pStyle w:val="TableText"/>
            </w:pPr>
            <w:r>
              <w:t>Brown citrus aphid</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ACT, NSW, Qld, SA, Vic. and WA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Tuberocephalus momonis</w:t>
            </w:r>
            <w:r>
              <w:t xml:space="preserve"> (Matsumura, 1917)</w:t>
            </w:r>
          </w:p>
          <w:p w:rsidR="00B8782D" w:rsidRDefault="00B8782D">
            <w:pPr>
              <w:pStyle w:val="TableText"/>
            </w:pPr>
            <w:r>
              <w:t xml:space="preserve">Synonym: </w:t>
            </w:r>
            <w:r>
              <w:rPr>
                <w:i/>
              </w:rPr>
              <w:t xml:space="preserve">Myzus spinulosa </w:t>
            </w:r>
            <w:r>
              <w:t>Matsumura, 1917</w:t>
            </w:r>
          </w:p>
          <w:p w:rsidR="00B8782D" w:rsidRDefault="00B8782D">
            <w:pPr>
              <w:pStyle w:val="TableText"/>
            </w:pPr>
            <w:r>
              <w:t>[Aphididae]</w:t>
            </w:r>
          </w:p>
          <w:p w:rsidR="00B8782D" w:rsidRDefault="00B8782D">
            <w:pPr>
              <w:pStyle w:val="TableText"/>
            </w:pPr>
            <w:r>
              <w:t>Peach aphid</w:t>
            </w:r>
          </w:p>
        </w:tc>
        <w:tc>
          <w:tcPr>
            <w:tcW w:w="575" w:type="pct"/>
            <w:shd w:val="clear" w:color="auto" w:fill="auto"/>
          </w:tcPr>
          <w:p w:rsidR="00B8782D" w:rsidRDefault="00B8782D" w:rsidP="00750C8B">
            <w:pPr>
              <w:pStyle w:val="TableText"/>
            </w:pPr>
            <w:r>
              <w:t xml:space="preserve">Yes </w:t>
            </w:r>
            <w:r>
              <w:rPr>
                <w:noProof/>
              </w:rPr>
              <w:t>(CAAS 1992; CIQSA 2001c; Feng &amp; Wang 2004)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(Li, Wang &amp; Waterhouse 1997)</w:t>
            </w:r>
            <w:r>
              <w:t xml:space="preserve">. Adults and nymphs feed on buds and leaves </w:t>
            </w:r>
            <w:r>
              <w:rPr>
                <w:noProof/>
              </w:rPr>
              <w:t>(CAAS 1992; Feng &amp; Wang 2004)</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Urochela luteovaria</w:t>
            </w:r>
            <w:r>
              <w:t xml:space="preserve"> Distant, 1881</w:t>
            </w:r>
          </w:p>
          <w:p w:rsidR="00B8782D" w:rsidRDefault="00B8782D">
            <w:pPr>
              <w:pStyle w:val="TableText"/>
            </w:pPr>
            <w:r>
              <w:t>[Urostylidae]</w:t>
            </w:r>
          </w:p>
          <w:p w:rsidR="00B8782D" w:rsidRDefault="00B8782D">
            <w:pPr>
              <w:pStyle w:val="TableText"/>
            </w:pPr>
            <w:r>
              <w:t>Pear stink bug</w:t>
            </w:r>
          </w:p>
        </w:tc>
        <w:tc>
          <w:tcPr>
            <w:tcW w:w="575" w:type="pct"/>
            <w:shd w:val="clear" w:color="auto" w:fill="auto"/>
          </w:tcPr>
          <w:p w:rsidR="00B8782D" w:rsidRDefault="00B8782D" w:rsidP="00750C8B">
            <w:pPr>
              <w:pStyle w:val="TableText"/>
            </w:pPr>
            <w:r>
              <w:t xml:space="preserve">Yes </w:t>
            </w:r>
            <w:r>
              <w:rPr>
                <w:noProof/>
              </w:rPr>
              <w:t>(Feng &amp; Wang 2004)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Adults and nymphs feed on branches and fruit of </w:t>
            </w:r>
            <w:r>
              <w:rPr>
                <w:i/>
              </w:rPr>
              <w:t>P. persica</w:t>
            </w:r>
            <w:r>
              <w:t xml:space="preserve"> </w:t>
            </w:r>
            <w:r>
              <w:rPr>
                <w:noProof/>
              </w:rPr>
              <w:t>(Feng &amp; Wang 2004)</w:t>
            </w:r>
            <w:r>
              <w:t xml:space="preserve">. However, adults and nymphs are highly mobile and will not stay on the fruit during harvesting when they are disturbed.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5000" w:type="pct"/>
            <w:gridSpan w:val="7"/>
            <w:shd w:val="clear" w:color="auto" w:fill="auto"/>
          </w:tcPr>
          <w:p w:rsidR="00B8782D" w:rsidRDefault="00B8782D">
            <w:pPr>
              <w:pStyle w:val="TableText"/>
              <w:rPr>
                <w:b/>
              </w:rPr>
            </w:pPr>
            <w:r>
              <w:rPr>
                <w:b/>
              </w:rPr>
              <w:lastRenderedPageBreak/>
              <w:t>Hymenoptera</w:t>
            </w:r>
          </w:p>
        </w:tc>
      </w:tr>
      <w:tr w:rsidR="00B8782D">
        <w:trPr>
          <w:cantSplit/>
          <w:trHeight w:val="75"/>
          <w:jc w:val="center"/>
        </w:trPr>
        <w:tc>
          <w:tcPr>
            <w:tcW w:w="1087" w:type="pct"/>
            <w:shd w:val="clear" w:color="auto" w:fill="auto"/>
          </w:tcPr>
          <w:p w:rsidR="00B8782D" w:rsidRDefault="00B8782D">
            <w:pPr>
              <w:pStyle w:val="TableText"/>
            </w:pPr>
            <w:r>
              <w:rPr>
                <w:i/>
              </w:rPr>
              <w:t>Pristiphora sinensis</w:t>
            </w:r>
            <w:r>
              <w:t xml:space="preserve"> Wong, 1977</w:t>
            </w:r>
          </w:p>
          <w:p w:rsidR="00B8782D" w:rsidRDefault="00B8782D">
            <w:pPr>
              <w:pStyle w:val="TableText"/>
            </w:pPr>
            <w:r>
              <w:t>[Tenthredinidae]</w:t>
            </w:r>
          </w:p>
        </w:tc>
        <w:tc>
          <w:tcPr>
            <w:tcW w:w="575" w:type="pct"/>
            <w:shd w:val="clear" w:color="auto" w:fill="auto"/>
          </w:tcPr>
          <w:p w:rsidR="00B8782D" w:rsidRDefault="00B8782D" w:rsidP="00750C8B">
            <w:pPr>
              <w:pStyle w:val="TableText"/>
            </w:pPr>
            <w:r>
              <w:t xml:space="preserve">Yes </w:t>
            </w:r>
            <w:r>
              <w:rPr>
                <w:noProof/>
              </w:rPr>
              <w:t>(Wu et al. 2006)</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Causes damage to the leaves of </w:t>
            </w:r>
            <w:r>
              <w:rPr>
                <w:i/>
              </w:rPr>
              <w:t>P. persica</w:t>
            </w:r>
            <w:r>
              <w:t xml:space="preserve"> </w:t>
            </w:r>
            <w:r>
              <w:rPr>
                <w:noProof/>
              </w:rPr>
              <w:t>(Wu et al. 2006)</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5000" w:type="pct"/>
            <w:gridSpan w:val="7"/>
            <w:shd w:val="clear" w:color="auto" w:fill="auto"/>
          </w:tcPr>
          <w:p w:rsidR="00B8782D" w:rsidRDefault="00B8782D">
            <w:pPr>
              <w:pStyle w:val="TableText"/>
              <w:rPr>
                <w:b/>
              </w:rPr>
            </w:pPr>
            <w:r>
              <w:rPr>
                <w:b/>
              </w:rPr>
              <w:t>Lepidoptera</w:t>
            </w:r>
          </w:p>
        </w:tc>
      </w:tr>
      <w:tr w:rsidR="00B8782D">
        <w:trPr>
          <w:cantSplit/>
          <w:trHeight w:val="75"/>
          <w:jc w:val="center"/>
        </w:trPr>
        <w:tc>
          <w:tcPr>
            <w:tcW w:w="1087" w:type="pct"/>
            <w:shd w:val="clear" w:color="auto" w:fill="auto"/>
          </w:tcPr>
          <w:p w:rsidR="00B8782D" w:rsidRDefault="00B8782D">
            <w:pPr>
              <w:pStyle w:val="TableText"/>
            </w:pPr>
            <w:r>
              <w:rPr>
                <w:i/>
              </w:rPr>
              <w:t>Acleris fimbriana</w:t>
            </w:r>
            <w:r>
              <w:t xml:space="preserve"> (Thunberg, 1791)</w:t>
            </w:r>
          </w:p>
          <w:p w:rsidR="00B8782D" w:rsidRDefault="00B8782D">
            <w:pPr>
              <w:pStyle w:val="TableText"/>
            </w:pPr>
            <w:r>
              <w:t>[Tortricidae]</w:t>
            </w:r>
          </w:p>
        </w:tc>
        <w:tc>
          <w:tcPr>
            <w:tcW w:w="575" w:type="pct"/>
            <w:shd w:val="clear" w:color="auto" w:fill="auto"/>
          </w:tcPr>
          <w:p w:rsidR="00B8782D" w:rsidRDefault="00B8782D" w:rsidP="00750C8B">
            <w:pPr>
              <w:pStyle w:val="TableText"/>
            </w:pPr>
            <w:r>
              <w:t xml:space="preserve">Yes </w:t>
            </w:r>
            <w:r>
              <w:rPr>
                <w:noProof/>
              </w:rPr>
              <w:t>(AQSIQ 2006b; Han &amp; Ma 1996; Liu &amp; Meng 2003)</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Feeds on leaves and stems of </w:t>
            </w:r>
            <w:r>
              <w:rPr>
                <w:i/>
              </w:rPr>
              <w:t>P. persica</w:t>
            </w:r>
            <w:r>
              <w:t xml:space="preserve"> in China </w:t>
            </w:r>
            <w:r>
              <w:rPr>
                <w:noProof/>
              </w:rPr>
              <w:t>(AQSIQ 2006b)</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Acrobasis pirivorella</w:t>
            </w:r>
            <w:r>
              <w:t xml:space="preserve"> (Matsumura, 1900)</w:t>
            </w:r>
          </w:p>
          <w:p w:rsidR="00B8782D" w:rsidRDefault="00B8782D">
            <w:pPr>
              <w:pStyle w:val="TableText"/>
            </w:pPr>
            <w:r>
              <w:t>[Pyralidae]</w:t>
            </w:r>
          </w:p>
          <w:p w:rsidR="00B8782D" w:rsidRDefault="00B8782D">
            <w:pPr>
              <w:pStyle w:val="TableText"/>
            </w:pPr>
            <w:r>
              <w:t>Pear pyralid</w:t>
            </w:r>
          </w:p>
        </w:tc>
        <w:tc>
          <w:tcPr>
            <w:tcW w:w="575" w:type="pct"/>
            <w:shd w:val="clear" w:color="auto" w:fill="auto"/>
          </w:tcPr>
          <w:p w:rsidR="00B8782D" w:rsidRDefault="00B8782D" w:rsidP="00750C8B">
            <w:pPr>
              <w:pStyle w:val="TableText"/>
            </w:pPr>
            <w:r>
              <w:t xml:space="preserve">Yes </w:t>
            </w:r>
            <w:r>
              <w:rPr>
                <w:noProof/>
              </w:rPr>
              <w:t>(Gao, Zhou &amp; Xie 2004; 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 pest of </w:t>
            </w:r>
            <w:r>
              <w:rPr>
                <w:i/>
              </w:rPr>
              <w:t xml:space="preserve">P. persica </w:t>
            </w:r>
            <w:r>
              <w:t xml:space="preserve">in China </w:t>
            </w:r>
            <w:r>
              <w:rPr>
                <w:noProof/>
              </w:rPr>
              <w:t>(Li, Wang &amp; Waterhouse 1997)</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Acronicta intermedia</w:t>
            </w:r>
            <w:r>
              <w:t xml:space="preserve"> Warren, 1909</w:t>
            </w:r>
          </w:p>
          <w:p w:rsidR="00B8782D" w:rsidRDefault="00B8782D">
            <w:pPr>
              <w:pStyle w:val="TableText"/>
            </w:pPr>
            <w:r>
              <w:t xml:space="preserve">Synonym: </w:t>
            </w:r>
            <w:r>
              <w:rPr>
                <w:i/>
              </w:rPr>
              <w:t>Acronycta incretata</w:t>
            </w:r>
            <w:r>
              <w:t xml:space="preserve"> Hampson, 1909</w:t>
            </w:r>
          </w:p>
          <w:p w:rsidR="00B8782D" w:rsidRDefault="00B8782D">
            <w:pPr>
              <w:pStyle w:val="TableText"/>
            </w:pPr>
            <w:r>
              <w:t>[Noctuidae]</w:t>
            </w:r>
          </w:p>
          <w:p w:rsidR="00B8782D" w:rsidRDefault="00B8782D">
            <w:pPr>
              <w:pStyle w:val="TableText"/>
            </w:pPr>
            <w:r>
              <w:t>Apple dagger moth</w:t>
            </w:r>
          </w:p>
        </w:tc>
        <w:tc>
          <w:tcPr>
            <w:tcW w:w="575" w:type="pct"/>
            <w:shd w:val="clear" w:color="auto" w:fill="auto"/>
          </w:tcPr>
          <w:p w:rsidR="00B8782D" w:rsidRDefault="00B8782D" w:rsidP="00750C8B">
            <w:pPr>
              <w:pStyle w:val="TableText"/>
            </w:pPr>
            <w:r>
              <w:t xml:space="preserve">Yes </w:t>
            </w:r>
            <w:r>
              <w:rPr>
                <w:noProof/>
              </w:rPr>
              <w:t>(Sun &amp; Wang 1999)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 pest of </w:t>
            </w:r>
            <w:r>
              <w:rPr>
                <w:i/>
              </w:rPr>
              <w:t>P. persica</w:t>
            </w:r>
            <w:r>
              <w:t xml:space="preserve"> </w:t>
            </w:r>
            <w:r>
              <w:rPr>
                <w:noProof/>
              </w:rPr>
              <w:t>(Sun &amp; Wang 1999)</w:t>
            </w:r>
            <w:r>
              <w:t xml:space="preserve">. Eggs laid on leaves and larvae feed on leaves </w:t>
            </w:r>
            <w:r>
              <w:rPr>
                <w:noProof/>
              </w:rPr>
              <w:t>(Bailey &amp; Caon 1986; CABI 2015)</w:t>
            </w:r>
            <w:r>
              <w:t xml:space="preserve">. Larvae also chew on fruit skin causing scarring </w:t>
            </w:r>
            <w:r>
              <w:rPr>
                <w:noProof/>
              </w:rPr>
              <w:t>(Feng &amp; Wang 2004)</w:t>
            </w:r>
            <w:r>
              <w:t xml:space="preserve">; such fruit would be removed during packing shed operations. It overwinters as pupae in the soil </w:t>
            </w:r>
            <w:r>
              <w:rPr>
                <w:noProof/>
              </w:rPr>
              <w:t>(Feng &amp; Wang 2004)</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Acronicta rumicis</w:t>
            </w:r>
            <w:r>
              <w:t xml:space="preserve"> (Linnaeus, 1758)</w:t>
            </w:r>
          </w:p>
          <w:p w:rsidR="00B8782D" w:rsidRDefault="00B8782D">
            <w:pPr>
              <w:pStyle w:val="TableText"/>
            </w:pPr>
            <w:r>
              <w:t>[Noctuidae]</w:t>
            </w:r>
          </w:p>
          <w:p w:rsidR="00B8782D" w:rsidRDefault="00B8782D">
            <w:pPr>
              <w:pStyle w:val="TableText"/>
            </w:pPr>
            <w:r>
              <w:t>Knotgrass moth</w:t>
            </w:r>
          </w:p>
        </w:tc>
        <w:tc>
          <w:tcPr>
            <w:tcW w:w="575" w:type="pct"/>
            <w:shd w:val="clear" w:color="auto" w:fill="auto"/>
          </w:tcPr>
          <w:p w:rsidR="00B8782D" w:rsidRDefault="00B8782D" w:rsidP="00750C8B">
            <w:pPr>
              <w:pStyle w:val="TableText"/>
            </w:pPr>
            <w:r>
              <w:t xml:space="preserve">Yes </w:t>
            </w:r>
            <w:r>
              <w:rPr>
                <w:noProof/>
              </w:rPr>
              <w:t>(CABI 2015; Fu, Fu &amp; Yan 2009)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(Feng &amp; Wang 2004)</w:t>
            </w:r>
            <w:r>
              <w:t xml:space="preserve">. Eggs laid on bark and the underside of leaves </w:t>
            </w:r>
            <w:r>
              <w:rPr>
                <w:noProof/>
              </w:rPr>
              <w:t>(Feng &amp; Wang 2004)</w:t>
            </w:r>
            <w:r>
              <w:t xml:space="preserve">. Larvae feed on young leaves in colonies and overwinter in the soil as pupae </w:t>
            </w:r>
            <w:r>
              <w:rPr>
                <w:noProof/>
              </w:rPr>
              <w:t>(Feng &amp; Wang 2004)</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Acronicta strigosa</w:t>
            </w:r>
            <w:r>
              <w:t xml:space="preserve"> (Denis &amp; Schiffermüller, 1775)</w:t>
            </w:r>
          </w:p>
          <w:p w:rsidR="00B8782D" w:rsidRDefault="00B8782D">
            <w:pPr>
              <w:pStyle w:val="TableText"/>
            </w:pPr>
            <w:r>
              <w:t>[Noctuidae]</w:t>
            </w:r>
          </w:p>
          <w:p w:rsidR="00B8782D" w:rsidRDefault="00B8782D">
            <w:pPr>
              <w:pStyle w:val="TableText"/>
            </w:pPr>
            <w:r>
              <w:t>Cherry dagger moth</w:t>
            </w:r>
          </w:p>
        </w:tc>
        <w:tc>
          <w:tcPr>
            <w:tcW w:w="575" w:type="pct"/>
            <w:shd w:val="clear" w:color="auto" w:fill="auto"/>
          </w:tcPr>
          <w:p w:rsidR="00B8782D" w:rsidRDefault="00B8782D" w:rsidP="00750C8B">
            <w:pPr>
              <w:pStyle w:val="TableText"/>
            </w:pPr>
            <w:r>
              <w:t xml:space="preserve">Yes </w:t>
            </w:r>
            <w:r>
              <w:rPr>
                <w:noProof/>
              </w:rPr>
              <w:t>(Cao &amp; Wang 1986)</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 pest of </w:t>
            </w:r>
            <w:r>
              <w:rPr>
                <w:i/>
              </w:rPr>
              <w:t>P. persica</w:t>
            </w:r>
            <w:r>
              <w:t xml:space="preserve"> and other fruit trees </w:t>
            </w:r>
            <w:r>
              <w:rPr>
                <w:noProof/>
              </w:rPr>
              <w:t>(Cao &amp; Wang 1986)</w:t>
            </w:r>
            <w:r>
              <w:t xml:space="preserve">. Larvae feed on leaves </w:t>
            </w:r>
            <w:r>
              <w:rPr>
                <w:noProof/>
              </w:rPr>
              <w:t>(Bailey &amp; Caon 1986; Cao &amp; Wang 1986)</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Actias selene ningpoana</w:t>
            </w:r>
            <w:r>
              <w:t xml:space="preserve"> Felder &amp; Felder, 1862</w:t>
            </w:r>
          </w:p>
          <w:p w:rsidR="00B8782D" w:rsidRDefault="00B8782D">
            <w:pPr>
              <w:pStyle w:val="TableText"/>
            </w:pPr>
            <w:r>
              <w:t>[Saturniidae]</w:t>
            </w:r>
          </w:p>
          <w:p w:rsidR="00B8782D" w:rsidRDefault="00B8782D">
            <w:pPr>
              <w:pStyle w:val="TableText"/>
            </w:pPr>
            <w:r>
              <w:t>Chinese moon moth</w:t>
            </w:r>
          </w:p>
        </w:tc>
        <w:tc>
          <w:tcPr>
            <w:tcW w:w="575" w:type="pct"/>
            <w:shd w:val="clear" w:color="auto" w:fill="auto"/>
          </w:tcPr>
          <w:p w:rsidR="00B8782D" w:rsidRDefault="00B8782D" w:rsidP="00750C8B">
            <w:pPr>
              <w:pStyle w:val="TableText"/>
            </w:pPr>
            <w:r>
              <w:t xml:space="preserve">Yes </w:t>
            </w:r>
            <w:r>
              <w:rPr>
                <w:noProof/>
              </w:rPr>
              <w:t>(He 1991)</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(Feng &amp; Wang 2004)</w:t>
            </w:r>
            <w:r>
              <w:t xml:space="preserve">. Larvae feed on leaves </w:t>
            </w:r>
            <w:r>
              <w:rPr>
                <w:noProof/>
              </w:rPr>
              <w:t>(Feng &amp; Wang 2004)</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Adoxophyes orana</w:t>
            </w:r>
            <w:r>
              <w:t xml:space="preserve"> (Fischer von Roeslerstamm, 1834)</w:t>
            </w:r>
          </w:p>
          <w:p w:rsidR="00B8782D" w:rsidRDefault="00B8782D">
            <w:pPr>
              <w:pStyle w:val="TableText"/>
            </w:pPr>
            <w:r>
              <w:t xml:space="preserve">Synonym: </w:t>
            </w:r>
            <w:r>
              <w:rPr>
                <w:i/>
              </w:rPr>
              <w:t>Adoxophyes fasciata</w:t>
            </w:r>
            <w:r>
              <w:t xml:space="preserve"> Walsingham, 1900</w:t>
            </w:r>
          </w:p>
          <w:p w:rsidR="00B8782D" w:rsidRDefault="00B8782D">
            <w:pPr>
              <w:pStyle w:val="TableText"/>
            </w:pPr>
            <w:r>
              <w:t>[Tortricidae]</w:t>
            </w:r>
          </w:p>
        </w:tc>
        <w:tc>
          <w:tcPr>
            <w:tcW w:w="575" w:type="pct"/>
            <w:shd w:val="clear" w:color="auto" w:fill="auto"/>
          </w:tcPr>
          <w:p w:rsidR="00B8782D" w:rsidRDefault="00B8782D" w:rsidP="00750C8B">
            <w:pPr>
              <w:pStyle w:val="TableText"/>
            </w:pPr>
            <w:r>
              <w:t xml:space="preserve">Yes </w:t>
            </w:r>
            <w:r>
              <w:rPr>
                <w:noProof/>
              </w:rPr>
              <w:t>(AQSIQ 2006b; CIQSA 2001c)</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Associated with </w:t>
            </w:r>
            <w:r>
              <w:rPr>
                <w:i/>
              </w:rPr>
              <w:t>P. persica</w:t>
            </w:r>
            <w:r>
              <w:t xml:space="preserve"> </w:t>
            </w:r>
            <w:r>
              <w:rPr>
                <w:noProof/>
              </w:rPr>
              <w:t>(Milonas &amp; Savopoulou-Soultani 2000)</w:t>
            </w:r>
            <w:r>
              <w:t xml:space="preserve">. The larvae feed on leaves, shoots and fruit. Eggs are also sometimes deposited on fruit </w:t>
            </w:r>
            <w:r>
              <w:rPr>
                <w:noProof/>
              </w:rPr>
              <w:t>(Davis, French &amp; Venette 2005)</w:t>
            </w:r>
            <w:r>
              <w:t>.</w:t>
            </w:r>
          </w:p>
        </w:tc>
        <w:tc>
          <w:tcPr>
            <w:tcW w:w="717" w:type="pct"/>
            <w:shd w:val="clear" w:color="auto" w:fill="auto"/>
          </w:tcPr>
          <w:p w:rsidR="00B8782D" w:rsidRDefault="00B8782D" w:rsidP="00750C8B">
            <w:pPr>
              <w:pStyle w:val="TableText"/>
            </w:pPr>
            <w:r>
              <w:t xml:space="preserve">Yes. Feeds on a wide range of plant families </w:t>
            </w:r>
            <w:r>
              <w:rPr>
                <w:noProof/>
              </w:rPr>
              <w:t>(Davis, French &amp; Venette 2005; Zhou &amp; Deng 2005)</w:t>
            </w:r>
            <w:r>
              <w:t xml:space="preserve">. Fruit trees and other hosts occur commonly throughout Australia. This species has established and spread outside its native range in areas where it has been introduced, for example, Greece </w:t>
            </w:r>
            <w:r>
              <w:rPr>
                <w:noProof/>
              </w:rPr>
              <w:t>(Savopoulou-Soultani et al. 1985)</w:t>
            </w:r>
            <w:r>
              <w:t>. Its host range and demonstrated ability to establish and spread in new environments suggests that it could establish and spread in Australia.</w:t>
            </w:r>
          </w:p>
        </w:tc>
        <w:tc>
          <w:tcPr>
            <w:tcW w:w="716" w:type="pct"/>
            <w:shd w:val="clear" w:color="auto" w:fill="auto"/>
          </w:tcPr>
          <w:p w:rsidR="00B8782D" w:rsidRDefault="00B8782D" w:rsidP="00750C8B">
            <w:pPr>
              <w:pStyle w:val="TableText"/>
            </w:pPr>
            <w:r>
              <w:t xml:space="preserve">Yes. A major pest of fruit tree crops in China and elsewhere in the world and has been reported to cause up to 50 per cent crop loss </w:t>
            </w:r>
            <w:r>
              <w:rPr>
                <w:noProof/>
              </w:rPr>
              <w:t>(Davis, French &amp; Venette 2005)</w:t>
            </w:r>
            <w:r>
              <w:t xml:space="preserve">. The polyphagous nature of </w:t>
            </w:r>
            <w:r>
              <w:rPr>
                <w:i/>
              </w:rPr>
              <w:t>A. orana</w:t>
            </w:r>
            <w:r>
              <w:t xml:space="preserve"> indicates the potential for consequences across a wide range of fruit growing industries, as well as for wild plants.</w:t>
            </w:r>
          </w:p>
        </w:tc>
        <w:tc>
          <w:tcPr>
            <w:tcW w:w="574" w:type="pct"/>
            <w:shd w:val="clear" w:color="auto" w:fill="auto"/>
          </w:tcPr>
          <w:p w:rsidR="00B8782D" w:rsidRDefault="00B8782D">
            <w:pPr>
              <w:pStyle w:val="TableText"/>
            </w:pPr>
            <w:r>
              <w:t>Yes (EP)</w:t>
            </w:r>
          </w:p>
        </w:tc>
      </w:tr>
      <w:tr w:rsidR="00B8782D">
        <w:trPr>
          <w:cantSplit/>
          <w:trHeight w:val="75"/>
          <w:jc w:val="center"/>
        </w:trPr>
        <w:tc>
          <w:tcPr>
            <w:tcW w:w="1087" w:type="pct"/>
            <w:shd w:val="clear" w:color="auto" w:fill="auto"/>
          </w:tcPr>
          <w:p w:rsidR="00B8782D" w:rsidRDefault="00B8782D">
            <w:pPr>
              <w:pStyle w:val="TableText"/>
            </w:pPr>
            <w:r>
              <w:rPr>
                <w:i/>
              </w:rPr>
              <w:t>Agrotis ipsilon</w:t>
            </w:r>
            <w:r>
              <w:t xml:space="preserve"> (Hufnagel, 1766)</w:t>
            </w:r>
          </w:p>
          <w:p w:rsidR="00B8782D" w:rsidRDefault="00B8782D">
            <w:pPr>
              <w:pStyle w:val="TableText"/>
            </w:pPr>
            <w:r>
              <w:t>[Noctuidae]</w:t>
            </w:r>
          </w:p>
          <w:p w:rsidR="00B8782D" w:rsidRDefault="00B8782D">
            <w:pPr>
              <w:pStyle w:val="TableText"/>
            </w:pPr>
            <w:r>
              <w:t>Black cutworm</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ACT, NSW, NT, Qld, SA, Tas., WA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Amphipyra pyramidea</w:t>
            </w:r>
            <w:r>
              <w:t xml:space="preserve"> Linnaeus, 1758</w:t>
            </w:r>
          </w:p>
          <w:p w:rsidR="00B8782D" w:rsidRDefault="00B8782D">
            <w:pPr>
              <w:pStyle w:val="TableText"/>
            </w:pPr>
            <w:r>
              <w:t>[Noctuidae]</w:t>
            </w:r>
          </w:p>
          <w:p w:rsidR="00B8782D" w:rsidRDefault="00B8782D">
            <w:pPr>
              <w:pStyle w:val="TableText"/>
            </w:pPr>
            <w:r>
              <w:t>Copper underwing</w:t>
            </w:r>
          </w:p>
        </w:tc>
        <w:tc>
          <w:tcPr>
            <w:tcW w:w="575" w:type="pct"/>
            <w:shd w:val="clear" w:color="auto" w:fill="auto"/>
          </w:tcPr>
          <w:p w:rsidR="00B8782D" w:rsidRDefault="00B8782D" w:rsidP="00750C8B">
            <w:pPr>
              <w:pStyle w:val="TableText"/>
            </w:pPr>
            <w:r>
              <w:t xml:space="preserve">Yes </w:t>
            </w:r>
            <w:r>
              <w:rPr>
                <w:noProof/>
              </w:rPr>
              <w:t>(CHNZX-Farming 2008a; Zhang 2005)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Larvae have been found on </w:t>
            </w:r>
            <w:r>
              <w:rPr>
                <w:i/>
              </w:rPr>
              <w:t>P. persica</w:t>
            </w:r>
            <w:r>
              <w:t xml:space="preserve"> trees </w:t>
            </w:r>
            <w:r>
              <w:rPr>
                <w:noProof/>
              </w:rPr>
              <w:t>(Chapman &amp; Lienk 1974)</w:t>
            </w:r>
            <w:r>
              <w:t xml:space="preserve">. Larvae feed on leaves and occasionally chew on the skin of fruit </w:t>
            </w:r>
            <w:r>
              <w:rPr>
                <w:noProof/>
              </w:rPr>
              <w:t>(CHNZX-Farming 2008a)</w:t>
            </w:r>
            <w:r>
              <w:t>. Larvae feed externally on fruit and would be dislodged during harvesting and packinghouse operations.</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Anarsia lineatella</w:t>
            </w:r>
            <w:r>
              <w:t xml:space="preserve"> Zeller, 1839</w:t>
            </w:r>
          </w:p>
          <w:p w:rsidR="00B8782D" w:rsidRDefault="00B8782D">
            <w:pPr>
              <w:pStyle w:val="TableText"/>
            </w:pPr>
            <w:r>
              <w:t xml:space="preserve">Synonym: </w:t>
            </w:r>
            <w:r>
              <w:rPr>
                <w:i/>
              </w:rPr>
              <w:t>Anarsia pruniella</w:t>
            </w:r>
            <w:r>
              <w:t xml:space="preserve"> (Clerck, 1759)</w:t>
            </w:r>
          </w:p>
          <w:p w:rsidR="00B8782D" w:rsidRDefault="00B8782D">
            <w:pPr>
              <w:pStyle w:val="TableText"/>
            </w:pPr>
            <w:r>
              <w:t>[Gelechiidae]</w:t>
            </w:r>
          </w:p>
          <w:p w:rsidR="00B8782D" w:rsidRDefault="00B8782D">
            <w:pPr>
              <w:pStyle w:val="TableText"/>
            </w:pPr>
            <w:r>
              <w:t>Peach twig borer</w:t>
            </w:r>
          </w:p>
        </w:tc>
        <w:tc>
          <w:tcPr>
            <w:tcW w:w="575" w:type="pct"/>
            <w:shd w:val="clear" w:color="auto" w:fill="auto"/>
          </w:tcPr>
          <w:p w:rsidR="00B8782D" w:rsidRDefault="00B8782D" w:rsidP="00750C8B">
            <w:pPr>
              <w:pStyle w:val="TableText"/>
            </w:pPr>
            <w:r>
              <w:t xml:space="preserve">Yes </w:t>
            </w:r>
            <w:r>
              <w:rPr>
                <w:noProof/>
              </w:rPr>
              <w:t>(Yang, Tulake &amp; Li 2005)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Associated with </w:t>
            </w:r>
            <w:r>
              <w:rPr>
                <w:i/>
              </w:rPr>
              <w:t>P. persica</w:t>
            </w:r>
            <w:r>
              <w:t xml:space="preserve"> </w:t>
            </w:r>
            <w:r>
              <w:rPr>
                <w:noProof/>
              </w:rPr>
              <w:t>(CABI 2015)</w:t>
            </w:r>
            <w:r>
              <w:t xml:space="preserve">. Larvae feed on shoots and bore into fruit. Females lay eggs on shoots, the underside of the leaves and on developing fruit </w:t>
            </w:r>
            <w:r>
              <w:rPr>
                <w:noProof/>
              </w:rPr>
              <w:t>(Reding &amp; Alston 2003)</w:t>
            </w:r>
            <w:r>
              <w:t>.</w:t>
            </w:r>
          </w:p>
        </w:tc>
        <w:tc>
          <w:tcPr>
            <w:tcW w:w="717" w:type="pct"/>
            <w:shd w:val="clear" w:color="auto" w:fill="auto"/>
          </w:tcPr>
          <w:p w:rsidR="00B8782D" w:rsidRDefault="00B8782D" w:rsidP="00750C8B">
            <w:pPr>
              <w:pStyle w:val="TableText"/>
            </w:pPr>
            <w:r>
              <w:t xml:space="preserve">Yes. Feeds on </w:t>
            </w:r>
            <w:r>
              <w:rPr>
                <w:i/>
              </w:rPr>
              <w:t>Prunus</w:t>
            </w:r>
            <w:r>
              <w:t xml:space="preserve"> spp. </w:t>
            </w:r>
            <w:r>
              <w:rPr>
                <w:noProof/>
              </w:rPr>
              <w:t>(CABI 2015)</w:t>
            </w:r>
            <w:r>
              <w:t xml:space="preserve">. Prunus species are common as residential and amenity plantings and are also commercially grown in many areas of Australia. It is widespread in North America, Europe, Asia and North Africa </w:t>
            </w:r>
            <w:r>
              <w:rPr>
                <w:noProof/>
              </w:rPr>
              <w:t>(CABI 2015)</w:t>
            </w:r>
            <w:r>
              <w:t>, which have regions with similar climates to parts of Australia. The pest’s host range and current distribution suggest that it could establish and spread in Australia.</w:t>
            </w:r>
          </w:p>
        </w:tc>
        <w:tc>
          <w:tcPr>
            <w:tcW w:w="716" w:type="pct"/>
            <w:shd w:val="clear" w:color="auto" w:fill="auto"/>
          </w:tcPr>
          <w:p w:rsidR="00B8782D" w:rsidRDefault="00B8782D" w:rsidP="00750C8B">
            <w:pPr>
              <w:pStyle w:val="TableText"/>
            </w:pPr>
            <w:r>
              <w:t xml:space="preserve">Yes. Feeds on fruit reducing marketability; a major pest of stonefruit across North America, Europe, Asia and North Africa </w:t>
            </w:r>
            <w:r>
              <w:rPr>
                <w:noProof/>
              </w:rPr>
              <w:t>(CABI 2015)</w:t>
            </w:r>
            <w:r>
              <w:t xml:space="preserve">. In California, it has previously been reported to cause damage to 71 per cent of almond kernels in susceptible cultivars and may still cause extensive losses in the absence of adequate control measures </w:t>
            </w:r>
            <w:r>
              <w:rPr>
                <w:noProof/>
              </w:rPr>
              <w:t>(Rice, Garnett &amp; Steenwyk 1996)</w:t>
            </w:r>
            <w:r>
              <w:t>.</w:t>
            </w:r>
          </w:p>
        </w:tc>
        <w:tc>
          <w:tcPr>
            <w:tcW w:w="574" w:type="pct"/>
            <w:shd w:val="clear" w:color="auto" w:fill="auto"/>
          </w:tcPr>
          <w:p w:rsidR="00B8782D" w:rsidRDefault="00B8782D">
            <w:pPr>
              <w:pStyle w:val="TableText"/>
            </w:pPr>
            <w:r>
              <w:t>Yes (EP)</w:t>
            </w:r>
          </w:p>
        </w:tc>
      </w:tr>
      <w:tr w:rsidR="00B8782D">
        <w:trPr>
          <w:cantSplit/>
          <w:trHeight w:val="75"/>
          <w:jc w:val="center"/>
        </w:trPr>
        <w:tc>
          <w:tcPr>
            <w:tcW w:w="1087" w:type="pct"/>
            <w:shd w:val="clear" w:color="auto" w:fill="auto"/>
          </w:tcPr>
          <w:p w:rsidR="00B8782D" w:rsidRDefault="00B8782D">
            <w:pPr>
              <w:pStyle w:val="TableText"/>
            </w:pPr>
            <w:r>
              <w:rPr>
                <w:i/>
              </w:rPr>
              <w:lastRenderedPageBreak/>
              <w:t>Anomis mesogona</w:t>
            </w:r>
            <w:r>
              <w:t xml:space="preserve"> (Walker, 1858)</w:t>
            </w:r>
          </w:p>
          <w:p w:rsidR="00B8782D" w:rsidRDefault="00B8782D">
            <w:pPr>
              <w:pStyle w:val="TableText"/>
            </w:pPr>
            <w:r>
              <w:t>[Noctuidae]</w:t>
            </w:r>
          </w:p>
          <w:p w:rsidR="00B8782D" w:rsidRDefault="00B8782D">
            <w:pPr>
              <w:pStyle w:val="TableText"/>
            </w:pPr>
            <w:r>
              <w:t>Anomis fruit moth</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(CABI 2015)</w:t>
            </w:r>
            <w:r>
              <w:t xml:space="preserve">. </w:t>
            </w:r>
            <w:r>
              <w:rPr>
                <w:i/>
              </w:rPr>
              <w:t>Anomis mesogona</w:t>
            </w:r>
            <w:r>
              <w:t xml:space="preserve"> is a nocturnal fruit piercing moth whose adults pierce and suck the juice from fleshy fruit. This large, wary moth shelters in foliage away from fruit during daylight hours </w:t>
            </w:r>
            <w:r>
              <w:rPr>
                <w:noProof/>
              </w:rPr>
              <w:t>(USDA 2002)</w:t>
            </w:r>
            <w:r>
              <w:t xml:space="preserve"> therefore it would not be present on fruit during harvesting.</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Aporia crataegi adherbal</w:t>
            </w:r>
            <w:r>
              <w:t xml:space="preserve"> Fruhstorfer, 1910</w:t>
            </w:r>
          </w:p>
          <w:p w:rsidR="00B8782D" w:rsidRDefault="00B8782D">
            <w:pPr>
              <w:pStyle w:val="TableText"/>
            </w:pPr>
            <w:r>
              <w:t>[Pieridae]</w:t>
            </w:r>
          </w:p>
          <w:p w:rsidR="00B8782D" w:rsidRDefault="00B8782D">
            <w:pPr>
              <w:pStyle w:val="TableText"/>
            </w:pPr>
            <w:r>
              <w:t>Blackveined white butterfly</w:t>
            </w:r>
          </w:p>
        </w:tc>
        <w:tc>
          <w:tcPr>
            <w:tcW w:w="575" w:type="pct"/>
            <w:shd w:val="clear" w:color="auto" w:fill="auto"/>
          </w:tcPr>
          <w:p w:rsidR="00B8782D" w:rsidRDefault="00B8782D" w:rsidP="00750C8B">
            <w:pPr>
              <w:pStyle w:val="TableText"/>
            </w:pPr>
            <w:r>
              <w:t xml:space="preserve">Yes </w:t>
            </w:r>
            <w:r>
              <w:rPr>
                <w:noProof/>
              </w:rPr>
              <w:t>(Grichanov &amp; Ovsyannikova 2009)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Larvae damage leaves and buds of </w:t>
            </w:r>
            <w:r>
              <w:rPr>
                <w:i/>
              </w:rPr>
              <w:t xml:space="preserve">P. persica </w:t>
            </w:r>
            <w:r>
              <w:rPr>
                <w:noProof/>
              </w:rPr>
              <w:t>(Grichanov &amp; Ovsyannikova 2009)</w:t>
            </w:r>
            <w:r w:rsidRPr="004818C7">
              <w:t>.</w:t>
            </w:r>
            <w:r>
              <w:t xml:space="preserve">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Archips breviplicanus</w:t>
            </w:r>
            <w:r>
              <w:t xml:space="preserve"> Walsingham, 1900</w:t>
            </w:r>
          </w:p>
          <w:p w:rsidR="00B8782D" w:rsidRDefault="00B8782D">
            <w:pPr>
              <w:pStyle w:val="TableText"/>
            </w:pPr>
            <w:r>
              <w:t>[Tortricidae]</w:t>
            </w:r>
          </w:p>
          <w:p w:rsidR="00B8782D" w:rsidRDefault="00B8782D">
            <w:pPr>
              <w:pStyle w:val="TableText"/>
            </w:pPr>
            <w:r>
              <w:t>Asiatic leafroller</w:t>
            </w:r>
          </w:p>
        </w:tc>
        <w:tc>
          <w:tcPr>
            <w:tcW w:w="575" w:type="pct"/>
            <w:shd w:val="clear" w:color="auto" w:fill="auto"/>
          </w:tcPr>
          <w:p w:rsidR="00B8782D" w:rsidRDefault="00B8782D" w:rsidP="00750C8B">
            <w:pPr>
              <w:pStyle w:val="TableText"/>
            </w:pPr>
            <w:r>
              <w:t xml:space="preserve">Yes </w:t>
            </w:r>
            <w:r>
              <w:rPr>
                <w:noProof/>
              </w:rPr>
              <w:t>(Byun, Yan &amp; Li 2003)</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(Meijerman &amp; Ulenberg 2000b)</w:t>
            </w:r>
            <w:r>
              <w:t xml:space="preserve">. Larvae feed on leaves </w:t>
            </w:r>
            <w:r>
              <w:rPr>
                <w:noProof/>
              </w:rPr>
              <w:t>(Jung et al. 2001)</w:t>
            </w:r>
            <w:r>
              <w:t xml:space="preserve"> and buds </w:t>
            </w:r>
            <w:r>
              <w:rPr>
                <w:noProof/>
              </w:rPr>
              <w:t>(Meijerman &amp; Ulenberg 2000b)</w:t>
            </w:r>
            <w:r>
              <w:t xml:space="preserve">. Eggs are laid in batches on the underside of fully expanded leaves </w:t>
            </w:r>
            <w:r>
              <w:rPr>
                <w:noProof/>
              </w:rPr>
              <w:t>(Meijerman &amp; Ulenberg 2000b)</w:t>
            </w:r>
            <w:r>
              <w:t xml:space="preserve">. The older larvae attack young fruit and make shallow feeding scars on fruit that are in contact with leaves </w:t>
            </w:r>
            <w:r>
              <w:rPr>
                <w:noProof/>
              </w:rPr>
              <w:t>(Meijerman &amp; Ulenberg 2000b)</w:t>
            </w:r>
            <w:r>
              <w:t>. Surface feeding of the fruit will result in blemishes. These fruit will be removed during harvesting and packinghouse procedures.</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Archips xylosteana</w:t>
            </w:r>
            <w:r>
              <w:t xml:space="preserve"> (Linnaeus, 1758)</w:t>
            </w:r>
          </w:p>
          <w:p w:rsidR="00B8782D" w:rsidRDefault="00B8782D">
            <w:pPr>
              <w:pStyle w:val="TableText"/>
            </w:pPr>
            <w:r>
              <w:t>[Tortricidae]</w:t>
            </w:r>
          </w:p>
          <w:p w:rsidR="00B8782D" w:rsidRDefault="00B8782D">
            <w:pPr>
              <w:pStyle w:val="TableText"/>
            </w:pPr>
            <w:r>
              <w:t>Apple leafroller, Variegated golden tortrix</w:t>
            </w:r>
          </w:p>
        </w:tc>
        <w:tc>
          <w:tcPr>
            <w:tcW w:w="575" w:type="pct"/>
            <w:shd w:val="clear" w:color="auto" w:fill="auto"/>
          </w:tcPr>
          <w:p w:rsidR="00B8782D" w:rsidRDefault="00B8782D" w:rsidP="00750C8B">
            <w:pPr>
              <w:pStyle w:val="TableText"/>
            </w:pPr>
            <w:r>
              <w:t xml:space="preserve">Yes </w:t>
            </w:r>
            <w:r>
              <w:rPr>
                <w:noProof/>
              </w:rPr>
              <w:t>(Byun, Yan &amp; Li 2003; CABI 2015; Hwang 1974)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Present on </w:t>
            </w:r>
            <w:r>
              <w:rPr>
                <w:i/>
              </w:rPr>
              <w:t>P. persica</w:t>
            </w:r>
            <w:r>
              <w:t xml:space="preserve"> </w:t>
            </w:r>
            <w:r>
              <w:rPr>
                <w:noProof/>
              </w:rPr>
              <w:t>(Byun, Yan &amp; Li 2003; CABI 2015)</w:t>
            </w:r>
            <w:r>
              <w:t xml:space="preserve">. Eggs are laid in batches on trunks or branches </w:t>
            </w:r>
            <w:r>
              <w:rPr>
                <w:noProof/>
              </w:rPr>
              <w:t>(Meijerman &amp; Ulenberg 2000b)</w:t>
            </w:r>
            <w:r>
              <w:t xml:space="preserve">. Larvae feed on buds, fully expanded leaves and sometimes on fruitlets resulting in corky blemishes on the fruits </w:t>
            </w:r>
            <w:r>
              <w:rPr>
                <w:noProof/>
              </w:rPr>
              <w:t>(Alford 2007; Hoebeke, Wheeler &amp; Brown 2008)</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Argyrotaenia ljungiana</w:t>
            </w:r>
            <w:r>
              <w:t xml:space="preserve"> (Thunberg, 1797)</w:t>
            </w:r>
          </w:p>
          <w:p w:rsidR="00B8782D" w:rsidRDefault="00B8782D">
            <w:pPr>
              <w:pStyle w:val="TableText"/>
            </w:pPr>
            <w:r>
              <w:t xml:space="preserve">Synonym: </w:t>
            </w:r>
            <w:r>
              <w:rPr>
                <w:i/>
              </w:rPr>
              <w:t>Argyrotaenia pulchellana</w:t>
            </w:r>
            <w:r>
              <w:t xml:space="preserve"> (Haworth, 1811)</w:t>
            </w:r>
          </w:p>
          <w:p w:rsidR="00B8782D" w:rsidRDefault="00B8782D">
            <w:pPr>
              <w:pStyle w:val="TableText"/>
            </w:pPr>
            <w:r>
              <w:t>[Tortricidae]</w:t>
            </w:r>
          </w:p>
          <w:p w:rsidR="00B8782D" w:rsidRDefault="00B8782D">
            <w:pPr>
              <w:pStyle w:val="TableText"/>
            </w:pPr>
            <w:r>
              <w:t>Grape tortrix, Grey-barred twist</w:t>
            </w:r>
          </w:p>
        </w:tc>
        <w:tc>
          <w:tcPr>
            <w:tcW w:w="575" w:type="pct"/>
            <w:shd w:val="clear" w:color="auto" w:fill="auto"/>
          </w:tcPr>
          <w:p w:rsidR="00B8782D" w:rsidRDefault="00B8782D" w:rsidP="00750C8B">
            <w:pPr>
              <w:pStyle w:val="TableText"/>
            </w:pPr>
            <w:r>
              <w:t xml:space="preserve">Yes </w:t>
            </w:r>
            <w:r>
              <w:rPr>
                <w:noProof/>
              </w:rPr>
              <w:t>(Afonin et al. 2008; Byun, Yan &amp; Li 2003)</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Larvae attack fruit of </w:t>
            </w:r>
            <w:r>
              <w:rPr>
                <w:i/>
              </w:rPr>
              <w:t>P. persica</w:t>
            </w:r>
            <w:r>
              <w:t xml:space="preserve"> </w:t>
            </w:r>
            <w:r>
              <w:rPr>
                <w:noProof/>
              </w:rPr>
              <w:t>(Briolini &amp; Giunchi 1966; Castellari 1988; Kharizanov 1976)</w:t>
            </w:r>
            <w:r>
              <w:t xml:space="preserve">. Larvae feed on both foliage and fruit </w:t>
            </w:r>
            <w:r>
              <w:rPr>
                <w:noProof/>
              </w:rPr>
              <w:t>(Carter 1984; Kharizanov 1976)</w:t>
            </w:r>
            <w:r>
              <w:t>.</w:t>
            </w:r>
          </w:p>
        </w:tc>
        <w:tc>
          <w:tcPr>
            <w:tcW w:w="717" w:type="pct"/>
            <w:shd w:val="clear" w:color="auto" w:fill="auto"/>
          </w:tcPr>
          <w:p w:rsidR="00B8782D" w:rsidRDefault="00B8782D" w:rsidP="00750C8B">
            <w:pPr>
              <w:pStyle w:val="TableText"/>
            </w:pPr>
            <w:r>
              <w:t xml:space="preserve">Yes. Attacks a large number of ornamental and cultivated host plants as well as forest trees </w:t>
            </w:r>
            <w:r>
              <w:rPr>
                <w:noProof/>
              </w:rPr>
              <w:t>(Afonin et al. 2008; Baggiolini 1961; Briolini &amp; Giunchi 1966; Carter 1984; INRA 1997; Meijerman &amp; Ulenberg 2000b; Pollini 2008; Tremblay 1966)</w:t>
            </w:r>
            <w:r>
              <w:t>. The species has a broad host range and its current distribution in China suggests that it could establish and spread in many parts of Australia.</w:t>
            </w:r>
          </w:p>
        </w:tc>
        <w:tc>
          <w:tcPr>
            <w:tcW w:w="716" w:type="pct"/>
            <w:shd w:val="clear" w:color="auto" w:fill="auto"/>
          </w:tcPr>
          <w:p w:rsidR="00B8782D" w:rsidRDefault="00B8782D" w:rsidP="00750C8B">
            <w:pPr>
              <w:pStyle w:val="TableText"/>
            </w:pPr>
            <w:r>
              <w:t xml:space="preserve">Yes. This species is one of the most important insect pests of apricot, peach and plum in Europe </w:t>
            </w:r>
            <w:r>
              <w:rPr>
                <w:noProof/>
              </w:rPr>
              <w:t>(Afonin et al. 2008; Baggiolini 1961; Briolini &amp; Giunchi 1966; Castellari 1988; Kharizanov 1976)</w:t>
            </w:r>
            <w:r>
              <w:t xml:space="preserve">. It is a significant pest of fruit production, industrial, ornamental, and field cultures in the southern regions of Russia </w:t>
            </w:r>
            <w:r>
              <w:rPr>
                <w:noProof/>
              </w:rPr>
              <w:t>(Afonin et al. 2008)</w:t>
            </w:r>
            <w:r>
              <w:t>.</w:t>
            </w:r>
          </w:p>
        </w:tc>
        <w:tc>
          <w:tcPr>
            <w:tcW w:w="574" w:type="pct"/>
            <w:shd w:val="clear" w:color="auto" w:fill="auto"/>
          </w:tcPr>
          <w:p w:rsidR="00B8782D" w:rsidRDefault="00B8782D">
            <w:pPr>
              <w:pStyle w:val="TableText"/>
            </w:pPr>
            <w:r>
              <w:t>Yes</w:t>
            </w:r>
          </w:p>
        </w:tc>
      </w:tr>
      <w:tr w:rsidR="00B8782D">
        <w:trPr>
          <w:cantSplit/>
          <w:trHeight w:val="75"/>
          <w:jc w:val="center"/>
        </w:trPr>
        <w:tc>
          <w:tcPr>
            <w:tcW w:w="1087" w:type="pct"/>
            <w:shd w:val="clear" w:color="auto" w:fill="auto"/>
          </w:tcPr>
          <w:p w:rsidR="00B8782D" w:rsidRDefault="00B8782D">
            <w:pPr>
              <w:pStyle w:val="TableText"/>
            </w:pPr>
            <w:r>
              <w:rPr>
                <w:i/>
              </w:rPr>
              <w:t>Artena dotata</w:t>
            </w:r>
            <w:r>
              <w:t xml:space="preserve"> (Fabricius, 1794)</w:t>
            </w:r>
          </w:p>
          <w:p w:rsidR="00B8782D" w:rsidRDefault="00B8782D">
            <w:pPr>
              <w:pStyle w:val="TableText"/>
            </w:pPr>
            <w:r>
              <w:t>[Noctuidae]</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Fruit-piercer of </w:t>
            </w:r>
            <w:r>
              <w:rPr>
                <w:i/>
              </w:rPr>
              <w:t>P. persica</w:t>
            </w:r>
            <w:r>
              <w:t xml:space="preserve"> </w:t>
            </w:r>
            <w:r>
              <w:rPr>
                <w:noProof/>
              </w:rPr>
              <w:t>(Bänziger 1982)</w:t>
            </w:r>
            <w:r>
              <w:t xml:space="preserve">. Both larvae and adult moths are inactive during the day and hide amongst foliage or leaf litter. During the night, adults usually feed on overripe or fermenting fruit </w:t>
            </w:r>
            <w:r>
              <w:rPr>
                <w:noProof/>
              </w:rPr>
              <w:t>(Common 1990)</w:t>
            </w:r>
            <w:r>
              <w:t xml:space="preserve"> and will fly away when disturbed.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Bhima undulosa</w:t>
            </w:r>
            <w:r>
              <w:t xml:space="preserve"> Walker, 1855</w:t>
            </w:r>
          </w:p>
          <w:p w:rsidR="00B8782D" w:rsidRDefault="00B8782D">
            <w:pPr>
              <w:pStyle w:val="TableText"/>
            </w:pPr>
            <w:r>
              <w:t>[Lasiocampidae]</w:t>
            </w:r>
          </w:p>
        </w:tc>
        <w:tc>
          <w:tcPr>
            <w:tcW w:w="575" w:type="pct"/>
            <w:shd w:val="clear" w:color="auto" w:fill="auto"/>
          </w:tcPr>
          <w:p w:rsidR="00B8782D" w:rsidRDefault="00B8782D" w:rsidP="00750C8B">
            <w:pPr>
              <w:pStyle w:val="TableText"/>
            </w:pPr>
            <w:r>
              <w:t xml:space="preserve">Yes </w:t>
            </w:r>
            <w:r>
              <w:rPr>
                <w:noProof/>
              </w:rPr>
              <w:t>(Wu &amp; Huang 1986)</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Found on </w:t>
            </w:r>
            <w:r>
              <w:rPr>
                <w:i/>
              </w:rPr>
              <w:t>P. persica</w:t>
            </w:r>
            <w:r>
              <w:t xml:space="preserve"> </w:t>
            </w:r>
            <w:r>
              <w:rPr>
                <w:noProof/>
              </w:rPr>
              <w:t>(Wu &amp; Huang 1986)</w:t>
            </w:r>
            <w:r>
              <w:t xml:space="preserve">. Larvae feed on leaves and overwinter on bark close to the ground. Eggs are laid in the fork of branches </w:t>
            </w:r>
            <w:r>
              <w:rPr>
                <w:noProof/>
              </w:rPr>
              <w:t>(Wu &amp; Huang 1986)</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Biston panterinaria</w:t>
            </w:r>
            <w:r>
              <w:t xml:space="preserve"> (Bremer &amp; Grey, 1853)</w:t>
            </w:r>
          </w:p>
          <w:p w:rsidR="00B8782D" w:rsidRDefault="00B8782D">
            <w:pPr>
              <w:pStyle w:val="TableText"/>
            </w:pPr>
            <w:r>
              <w:t xml:space="preserve">Synonym: </w:t>
            </w:r>
            <w:r>
              <w:rPr>
                <w:i/>
              </w:rPr>
              <w:t>Culcula panterinaria</w:t>
            </w:r>
            <w:r>
              <w:t xml:space="preserve"> (Bremer &amp; Grey, 1853)</w:t>
            </w:r>
          </w:p>
          <w:p w:rsidR="00B8782D" w:rsidRDefault="00B8782D">
            <w:pPr>
              <w:pStyle w:val="TableText"/>
            </w:pPr>
            <w:r>
              <w:t>[Geometridae]</w:t>
            </w:r>
          </w:p>
          <w:p w:rsidR="00B8782D" w:rsidRDefault="00B8782D">
            <w:pPr>
              <w:pStyle w:val="TableText"/>
            </w:pPr>
            <w:r>
              <w:t>Chinese pistacia looper</w:t>
            </w:r>
          </w:p>
        </w:tc>
        <w:tc>
          <w:tcPr>
            <w:tcW w:w="575" w:type="pct"/>
            <w:shd w:val="clear" w:color="auto" w:fill="auto"/>
          </w:tcPr>
          <w:p w:rsidR="00B8782D" w:rsidRDefault="00B8782D" w:rsidP="00750C8B">
            <w:pPr>
              <w:pStyle w:val="TableText"/>
            </w:pPr>
            <w:r>
              <w:t xml:space="preserve">Yes </w:t>
            </w:r>
            <w:r>
              <w:rPr>
                <w:noProof/>
              </w:rPr>
              <w:t>(Ding et al. 2006; FSLY 2010; Li, Wang &amp; Waterhouse 1997; Zhu, Guo &amp; Zhang 1985)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w:t>
            </w:r>
            <w:r>
              <w:rPr>
                <w:i/>
              </w:rPr>
              <w:t>P. persica</w:t>
            </w:r>
            <w:r>
              <w:t xml:space="preserve"> is a host tree </w:t>
            </w:r>
            <w:r>
              <w:rPr>
                <w:noProof/>
              </w:rPr>
              <w:t>(Yu 2001)</w:t>
            </w:r>
            <w:r>
              <w:t xml:space="preserve">. Larvae feed on leaves </w:t>
            </w:r>
            <w:r>
              <w:rPr>
                <w:noProof/>
              </w:rPr>
              <w:t>(Ding et al. 2006; FSLY 2010)</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Calyptra gruesa</w:t>
            </w:r>
            <w:r>
              <w:t xml:space="preserve"> (Draudt, 1950)</w:t>
            </w:r>
          </w:p>
          <w:p w:rsidR="00B8782D" w:rsidRDefault="00B8782D">
            <w:pPr>
              <w:pStyle w:val="TableText"/>
            </w:pPr>
            <w:r>
              <w:t xml:space="preserve">Synonym: </w:t>
            </w:r>
            <w:r>
              <w:rPr>
                <w:i/>
              </w:rPr>
              <w:t>Calpe gruesa</w:t>
            </w:r>
            <w:r>
              <w:t xml:space="preserve"> (Draudt, 1950)</w:t>
            </w:r>
          </w:p>
          <w:p w:rsidR="00B8782D" w:rsidRDefault="00B8782D">
            <w:pPr>
              <w:pStyle w:val="TableText"/>
            </w:pPr>
            <w:r>
              <w:t>[Noctuidae]</w:t>
            </w:r>
          </w:p>
        </w:tc>
        <w:tc>
          <w:tcPr>
            <w:tcW w:w="575" w:type="pct"/>
            <w:shd w:val="clear" w:color="auto" w:fill="auto"/>
          </w:tcPr>
          <w:p w:rsidR="00B8782D" w:rsidRDefault="00B8782D" w:rsidP="00750C8B">
            <w:pPr>
              <w:pStyle w:val="TableText"/>
            </w:pPr>
            <w:r>
              <w:t xml:space="preserve">Yes </w:t>
            </w:r>
            <w:r>
              <w:rPr>
                <w:noProof/>
              </w:rPr>
              <w:t>(Savela 2009; ZDCBIC 2005)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Attacks </w:t>
            </w:r>
            <w:r>
              <w:rPr>
                <w:i/>
              </w:rPr>
              <w:t>P. persica</w:t>
            </w:r>
            <w:r>
              <w:t xml:space="preserve"> </w:t>
            </w:r>
            <w:r>
              <w:rPr>
                <w:noProof/>
              </w:rPr>
              <w:t>(Hattori 1969)</w:t>
            </w:r>
            <w:r>
              <w:t xml:space="preserve">. Both larvae and adult moths are inactive during the day and hide amongst the foliage or leaf litter. At night adults usually feed on overripe or fermenting fruit </w:t>
            </w:r>
            <w:r>
              <w:rPr>
                <w:noProof/>
              </w:rPr>
              <w:t>(Common 1990)</w:t>
            </w:r>
            <w:r>
              <w:t xml:space="preserve"> and will fly away when disturbed.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Calyptra lata</w:t>
            </w:r>
            <w:r>
              <w:t xml:space="preserve"> (Butler, 1881)</w:t>
            </w:r>
          </w:p>
          <w:p w:rsidR="00B8782D" w:rsidRDefault="00B8782D">
            <w:pPr>
              <w:pStyle w:val="TableText"/>
            </w:pPr>
            <w:r>
              <w:t xml:space="preserve">Synonyms: </w:t>
            </w:r>
            <w:r>
              <w:rPr>
                <w:i/>
              </w:rPr>
              <w:t>Calpe lata</w:t>
            </w:r>
            <w:r>
              <w:t xml:space="preserve"> (Butler, 1881)</w:t>
            </w:r>
          </w:p>
          <w:p w:rsidR="00B8782D" w:rsidRDefault="00B8782D">
            <w:pPr>
              <w:pStyle w:val="TableText"/>
            </w:pPr>
            <w:r>
              <w:t>[Noctuidae]</w:t>
            </w:r>
          </w:p>
        </w:tc>
        <w:tc>
          <w:tcPr>
            <w:tcW w:w="575" w:type="pct"/>
            <w:shd w:val="clear" w:color="auto" w:fill="auto"/>
          </w:tcPr>
          <w:p w:rsidR="00B8782D" w:rsidRDefault="00B8782D" w:rsidP="00750C8B">
            <w:pPr>
              <w:pStyle w:val="TableText"/>
            </w:pPr>
            <w:r>
              <w:t xml:space="preserve">Yes </w:t>
            </w:r>
            <w:r>
              <w:rPr>
                <w:noProof/>
              </w:rPr>
              <w:t>(Savela 2009)</w:t>
            </w:r>
          </w:p>
        </w:tc>
        <w:tc>
          <w:tcPr>
            <w:tcW w:w="615" w:type="pct"/>
            <w:shd w:val="clear" w:color="auto" w:fill="auto"/>
          </w:tcPr>
          <w:p w:rsidR="00B8782D" w:rsidRDefault="00B8782D">
            <w:pPr>
              <w:pStyle w:val="TableText"/>
            </w:pPr>
            <w:r>
              <w:t>No record found</w:t>
            </w:r>
          </w:p>
        </w:tc>
        <w:tc>
          <w:tcPr>
            <w:tcW w:w="716" w:type="pct"/>
            <w:shd w:val="clear" w:color="auto" w:fill="auto"/>
          </w:tcPr>
          <w:p w:rsidR="00B8782D" w:rsidRDefault="00B8782D" w:rsidP="00750C8B">
            <w:pPr>
              <w:pStyle w:val="TableText"/>
            </w:pPr>
            <w:r>
              <w:t xml:space="preserve">No. Attacks </w:t>
            </w:r>
            <w:r>
              <w:rPr>
                <w:i/>
              </w:rPr>
              <w:t>P. persica</w:t>
            </w:r>
            <w:r>
              <w:t xml:space="preserve"> </w:t>
            </w:r>
            <w:r>
              <w:rPr>
                <w:noProof/>
              </w:rPr>
              <w:t>(Hattori 1969)</w:t>
            </w:r>
            <w:r>
              <w:t xml:space="preserve">. Both larvae and adult noctuid moths are inactive during the day and hide amongst the foliage or leaf litter. At night adults suck sap of fruit </w:t>
            </w:r>
            <w:r>
              <w:rPr>
                <w:noProof/>
              </w:rPr>
              <w:t>(GAAS 2008a)</w:t>
            </w:r>
            <w:r>
              <w:t xml:space="preserve"> and will fly away when disturbed.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Calyptra thalictri</w:t>
            </w:r>
            <w:r>
              <w:t xml:space="preserve"> (Borkhausen, 1790)</w:t>
            </w:r>
          </w:p>
          <w:p w:rsidR="00B8782D" w:rsidRDefault="00B8782D">
            <w:pPr>
              <w:pStyle w:val="TableText"/>
            </w:pPr>
            <w:r>
              <w:t>[Noctuidae]</w:t>
            </w:r>
          </w:p>
          <w:p w:rsidR="00B8782D" w:rsidRDefault="00B8782D">
            <w:pPr>
              <w:pStyle w:val="TableText"/>
            </w:pPr>
            <w:r>
              <w:t>Fruit-piercing moth</w:t>
            </w:r>
          </w:p>
        </w:tc>
        <w:tc>
          <w:tcPr>
            <w:tcW w:w="575" w:type="pct"/>
            <w:shd w:val="clear" w:color="auto" w:fill="auto"/>
          </w:tcPr>
          <w:p w:rsidR="00B8782D" w:rsidRDefault="00B8782D" w:rsidP="00750C8B">
            <w:pPr>
              <w:pStyle w:val="TableText"/>
            </w:pPr>
            <w:r>
              <w:t xml:space="preserve">Yes </w:t>
            </w:r>
            <w:r>
              <w:rPr>
                <w:noProof/>
              </w:rPr>
              <w:t>(Li, Wang &amp; Waterhouse 1997; Savela 2009)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This pest attacks </w:t>
            </w:r>
            <w:r>
              <w:rPr>
                <w:i/>
              </w:rPr>
              <w:t>P. persica</w:t>
            </w:r>
            <w:r>
              <w:t xml:space="preserve"> </w:t>
            </w:r>
            <w:r>
              <w:rPr>
                <w:noProof/>
              </w:rPr>
              <w:t>(Hattori 1969)</w:t>
            </w:r>
            <w:r>
              <w:t xml:space="preserve">. Both larvae and adults of fruit-piercing moths are inactive during the day and hide in foliage or leaf litter </w:t>
            </w:r>
            <w:r>
              <w:rPr>
                <w:noProof/>
              </w:rPr>
              <w:t>(Common 1990)</w:t>
            </w:r>
            <w:r>
              <w:t xml:space="preserve">. Larvae feed on leaves at night and usually fall to the ground when disturbed </w:t>
            </w:r>
            <w:r>
              <w:rPr>
                <w:noProof/>
              </w:rPr>
              <w:t>(Hattori 1969)</w:t>
            </w:r>
            <w:r>
              <w:t xml:space="preserve">. Adults usually feed on overripe or fermenting fruit </w:t>
            </w:r>
            <w:r>
              <w:rPr>
                <w:noProof/>
              </w:rPr>
              <w:t>(Common 1990)</w:t>
            </w:r>
            <w:r>
              <w:t xml:space="preserve"> and will fly away when disturbed.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Carposina sasakii</w:t>
            </w:r>
            <w:r>
              <w:t xml:space="preserve"> Matsumura, 1900</w:t>
            </w:r>
          </w:p>
          <w:p w:rsidR="00B8782D" w:rsidRDefault="00B8782D">
            <w:pPr>
              <w:pStyle w:val="TableText"/>
            </w:pPr>
            <w:r>
              <w:t xml:space="preserve">Synonym: </w:t>
            </w:r>
            <w:r>
              <w:rPr>
                <w:i/>
              </w:rPr>
              <w:t>Carposina niponensis</w:t>
            </w:r>
            <w:r>
              <w:t xml:space="preserve"> Walsingham, 1900</w:t>
            </w:r>
          </w:p>
          <w:p w:rsidR="00B8782D" w:rsidRDefault="00B8782D">
            <w:pPr>
              <w:pStyle w:val="TableText"/>
            </w:pPr>
            <w:r>
              <w:t>[Carposinidae]</w:t>
            </w:r>
          </w:p>
          <w:p w:rsidR="00B8782D" w:rsidRDefault="00B8782D">
            <w:pPr>
              <w:pStyle w:val="TableText"/>
            </w:pPr>
            <w:r>
              <w:t>Peach fruit borer</w:t>
            </w:r>
          </w:p>
        </w:tc>
        <w:tc>
          <w:tcPr>
            <w:tcW w:w="575" w:type="pct"/>
            <w:shd w:val="clear" w:color="auto" w:fill="auto"/>
          </w:tcPr>
          <w:p w:rsidR="00B8782D" w:rsidRDefault="00B8782D" w:rsidP="00750C8B">
            <w:pPr>
              <w:pStyle w:val="TableText"/>
            </w:pPr>
            <w:r>
              <w:t xml:space="preserve">Yes </w:t>
            </w:r>
            <w:r>
              <w:rPr>
                <w:noProof/>
              </w:rPr>
              <w:t>(AQSIQ 2006c)</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Feeds on fruit of </w:t>
            </w:r>
            <w:r>
              <w:rPr>
                <w:i/>
              </w:rPr>
              <w:t>P. persica</w:t>
            </w:r>
            <w:r>
              <w:t xml:space="preserve"> </w:t>
            </w:r>
            <w:r>
              <w:rPr>
                <w:noProof/>
              </w:rPr>
              <w:t>(AQSIQ 2006b; Zhang et al. 1995)</w:t>
            </w:r>
            <w:r>
              <w:t xml:space="preserve">. Females lay eggs on the fruit near the calyx. Larvae may tunnel into fruit and feed on the flesh and seed </w:t>
            </w:r>
            <w:r>
              <w:rPr>
                <w:noProof/>
              </w:rPr>
              <w:t>(CABI 2015)</w:t>
            </w:r>
            <w:r>
              <w:t>.</w:t>
            </w:r>
          </w:p>
        </w:tc>
        <w:tc>
          <w:tcPr>
            <w:tcW w:w="717" w:type="pct"/>
            <w:shd w:val="clear" w:color="auto" w:fill="auto"/>
          </w:tcPr>
          <w:p w:rsidR="00B8782D" w:rsidRDefault="00B8782D" w:rsidP="00750C8B">
            <w:pPr>
              <w:pStyle w:val="TableText"/>
            </w:pPr>
            <w:r>
              <w:t xml:space="preserve">Yes. This species feeds on a wide range of cultivated fruit trees, such as apple, pear and stonefruit, especially the Rosaceae but also other families. This pest is capable of spreading independently as the adult moths can fly long distances </w:t>
            </w:r>
            <w:r>
              <w:rPr>
                <w:noProof/>
              </w:rPr>
              <w:t>(CABI 2015)</w:t>
            </w:r>
            <w:r>
              <w:t xml:space="preserve">. </w:t>
            </w:r>
            <w:r>
              <w:rPr>
                <w:i/>
              </w:rPr>
              <w:t>Carposina sasakii</w:t>
            </w:r>
            <w:r>
              <w:t xml:space="preserve"> is known to have established and spread outside its native range in areas where it has been introduced. In Russia, internal quarantine measures are employed in an attempt to control the spread of </w:t>
            </w:r>
            <w:r>
              <w:rPr>
                <w:i/>
              </w:rPr>
              <w:t>C. sasakii</w:t>
            </w:r>
            <w:r>
              <w:t xml:space="preserve"> </w:t>
            </w:r>
            <w:r>
              <w:rPr>
                <w:noProof/>
              </w:rPr>
              <w:t>(CABI 2015)</w:t>
            </w:r>
            <w:r>
              <w:t xml:space="preserve">. </w:t>
            </w:r>
            <w:r>
              <w:rPr>
                <w:i/>
              </w:rPr>
              <w:t>C. sasakii</w:t>
            </w:r>
            <w:r>
              <w:t xml:space="preserve"> is found throughout many areas of China as well as Japan, Korea and Russia </w:t>
            </w:r>
            <w:r>
              <w:rPr>
                <w:noProof/>
              </w:rPr>
              <w:t>(CABI 2015)</w:t>
            </w:r>
            <w:r>
              <w:t>. The pest’s host range, current distribution and demonstrated ability to spread into new areas suggest that it could establish and spread in Australia.</w:t>
            </w:r>
          </w:p>
        </w:tc>
        <w:tc>
          <w:tcPr>
            <w:tcW w:w="716" w:type="pct"/>
            <w:shd w:val="clear" w:color="auto" w:fill="auto"/>
          </w:tcPr>
          <w:p w:rsidR="00B8782D" w:rsidRDefault="00B8782D" w:rsidP="00750C8B">
            <w:pPr>
              <w:pStyle w:val="TableText"/>
            </w:pPr>
            <w:r>
              <w:t xml:space="preserve">Yes. </w:t>
            </w:r>
            <w:r>
              <w:rPr>
                <w:i/>
              </w:rPr>
              <w:t>Carposina sasakii</w:t>
            </w:r>
            <w:r>
              <w:t xml:space="preserve"> is a very serious pest of fruit crops, causing up to 100 per cent crop loss in apple and pear orchards </w:t>
            </w:r>
            <w:r>
              <w:rPr>
                <w:noProof/>
              </w:rPr>
              <w:t>(CABI 2015; Gibanov &amp; Sanin 1971; Sytenko 1960)</w:t>
            </w:r>
            <w:r>
              <w:t xml:space="preserve">. It causes significant economic consequences in its current range and would potentially do so in Australia. Consequences would include crop losses as well as quarantine restrictions on trade, both within Australia and internationally to areas where </w:t>
            </w:r>
            <w:r>
              <w:rPr>
                <w:i/>
              </w:rPr>
              <w:t>C. sasakii</w:t>
            </w:r>
            <w:r>
              <w:t xml:space="preserve"> is not present.</w:t>
            </w:r>
          </w:p>
        </w:tc>
        <w:tc>
          <w:tcPr>
            <w:tcW w:w="574" w:type="pct"/>
            <w:shd w:val="clear" w:color="auto" w:fill="auto"/>
          </w:tcPr>
          <w:p w:rsidR="00B8782D" w:rsidRDefault="00B8782D">
            <w:pPr>
              <w:pStyle w:val="TableText"/>
            </w:pPr>
            <w:r>
              <w:t>Yes (EP)</w:t>
            </w:r>
          </w:p>
        </w:tc>
      </w:tr>
      <w:tr w:rsidR="00B8782D">
        <w:trPr>
          <w:cantSplit/>
          <w:trHeight w:val="75"/>
          <w:jc w:val="center"/>
        </w:trPr>
        <w:tc>
          <w:tcPr>
            <w:tcW w:w="1087" w:type="pct"/>
            <w:shd w:val="clear" w:color="auto" w:fill="auto"/>
          </w:tcPr>
          <w:p w:rsidR="00B8782D" w:rsidRDefault="00B8782D">
            <w:pPr>
              <w:pStyle w:val="TableText"/>
            </w:pPr>
            <w:r>
              <w:rPr>
                <w:i/>
              </w:rPr>
              <w:t>Choreutis pariana</w:t>
            </w:r>
            <w:r>
              <w:t xml:space="preserve"> (Clerck, 1759)</w:t>
            </w:r>
          </w:p>
          <w:p w:rsidR="00B8782D" w:rsidRDefault="00B8782D">
            <w:pPr>
              <w:pStyle w:val="TableText"/>
            </w:pPr>
            <w:r>
              <w:t>[Choreutidae]</w:t>
            </w:r>
          </w:p>
          <w:p w:rsidR="00B8782D" w:rsidRDefault="00B8782D">
            <w:pPr>
              <w:pStyle w:val="TableText"/>
            </w:pPr>
            <w:r>
              <w:lastRenderedPageBreak/>
              <w:t>Apple-and-thorn skeletonizer</w:t>
            </w:r>
          </w:p>
        </w:tc>
        <w:tc>
          <w:tcPr>
            <w:tcW w:w="575" w:type="pct"/>
            <w:shd w:val="clear" w:color="auto" w:fill="auto"/>
          </w:tcPr>
          <w:p w:rsidR="00B8782D" w:rsidRDefault="00B8782D" w:rsidP="00750C8B">
            <w:pPr>
              <w:pStyle w:val="TableText"/>
            </w:pPr>
            <w:r>
              <w:lastRenderedPageBreak/>
              <w:t xml:space="preserve">Yes </w:t>
            </w:r>
            <w:r>
              <w:rPr>
                <w:noProof/>
              </w:rPr>
              <w:t>(Yin et al. 1987)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Larvae feed on leaves of </w:t>
            </w:r>
            <w:r>
              <w:rPr>
                <w:i/>
              </w:rPr>
              <w:t xml:space="preserve">P. persica </w:t>
            </w:r>
            <w:r>
              <w:rPr>
                <w:noProof/>
              </w:rPr>
              <w:lastRenderedPageBreak/>
              <w:t>(Yin et al. 1987)</w:t>
            </w:r>
            <w:r>
              <w:t>. No report of an association with mature nectarine or peach fruit was found.</w:t>
            </w:r>
          </w:p>
        </w:tc>
        <w:tc>
          <w:tcPr>
            <w:tcW w:w="717" w:type="pct"/>
            <w:shd w:val="clear" w:color="auto" w:fill="auto"/>
          </w:tcPr>
          <w:p w:rsidR="00B8782D" w:rsidRDefault="00B8782D">
            <w:pPr>
              <w:pStyle w:val="TableText"/>
            </w:pPr>
            <w:r>
              <w:lastRenderedPageBreak/>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Choristoneura longicellana</w:t>
            </w:r>
            <w:r>
              <w:t xml:space="preserve"> (Walsingham, 1900)</w:t>
            </w:r>
          </w:p>
          <w:p w:rsidR="00B8782D" w:rsidRDefault="00B8782D">
            <w:pPr>
              <w:pStyle w:val="TableText"/>
            </w:pPr>
            <w:r>
              <w:t>[Tortricidae]</w:t>
            </w:r>
          </w:p>
          <w:p w:rsidR="00B8782D" w:rsidRDefault="00B8782D">
            <w:pPr>
              <w:pStyle w:val="TableText"/>
            </w:pPr>
            <w:r>
              <w:t>Common apple leafroller</w:t>
            </w:r>
          </w:p>
        </w:tc>
        <w:tc>
          <w:tcPr>
            <w:tcW w:w="575" w:type="pct"/>
            <w:shd w:val="clear" w:color="auto" w:fill="auto"/>
          </w:tcPr>
          <w:p w:rsidR="00B8782D" w:rsidRDefault="00B8782D" w:rsidP="00750C8B">
            <w:pPr>
              <w:pStyle w:val="TableText"/>
            </w:pPr>
            <w:r>
              <w:t xml:space="preserve">Yes </w:t>
            </w:r>
            <w:r>
              <w:rPr>
                <w:noProof/>
              </w:rPr>
              <w:t>(Feng &amp; Wang 2004)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(Robinson et al. 2010)</w:t>
            </w:r>
            <w:r>
              <w:t xml:space="preserve">. Larvae mainly damage leaves and branches and the females lay eggs on the surface of the leaves </w:t>
            </w:r>
            <w:r>
              <w:rPr>
                <w:noProof/>
              </w:rPr>
              <w:t>(Byun, Yan &amp; Li 2003; Feng &amp; Wang 2004)</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Clania variegata</w:t>
            </w:r>
            <w:r>
              <w:t xml:space="preserve"> (Snellen, 1879)</w:t>
            </w:r>
          </w:p>
          <w:p w:rsidR="00B8782D" w:rsidRDefault="00B8782D">
            <w:pPr>
              <w:pStyle w:val="TableText"/>
            </w:pPr>
            <w:r>
              <w:t>[Psychidae]</w:t>
            </w:r>
          </w:p>
          <w:p w:rsidR="00B8782D" w:rsidRDefault="00B8782D">
            <w:pPr>
              <w:pStyle w:val="TableText"/>
            </w:pPr>
            <w:r>
              <w:t>Cotton bag worm</w:t>
            </w:r>
          </w:p>
        </w:tc>
        <w:tc>
          <w:tcPr>
            <w:tcW w:w="575" w:type="pct"/>
            <w:shd w:val="clear" w:color="auto" w:fill="auto"/>
          </w:tcPr>
          <w:p w:rsidR="00B8782D" w:rsidRDefault="00B8782D" w:rsidP="00750C8B">
            <w:pPr>
              <w:pStyle w:val="TableText"/>
            </w:pPr>
            <w:r>
              <w:t xml:space="preserve">Yes </w:t>
            </w:r>
            <w:r>
              <w:rPr>
                <w:noProof/>
              </w:rPr>
              <w:t>(AQSIQ 2006c)</w:t>
            </w:r>
          </w:p>
        </w:tc>
        <w:tc>
          <w:tcPr>
            <w:tcW w:w="615" w:type="pct"/>
            <w:shd w:val="clear" w:color="auto" w:fill="auto"/>
          </w:tcPr>
          <w:p w:rsidR="00B8782D" w:rsidRDefault="00B8782D" w:rsidP="00750C8B">
            <w:pPr>
              <w:pStyle w:val="TableText"/>
            </w:pPr>
            <w:r>
              <w:t xml:space="preserve">Yes. NT, WA </w:t>
            </w:r>
            <w:r>
              <w:rPr>
                <w:noProof/>
              </w:rPr>
              <w:t>(Plant Health Australia 2001)</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Conogethes punctiferalis</w:t>
            </w:r>
            <w:r>
              <w:t xml:space="preserve"> (Guenée 1854)</w:t>
            </w:r>
          </w:p>
          <w:p w:rsidR="00B8782D" w:rsidRDefault="00B8782D">
            <w:pPr>
              <w:pStyle w:val="TableText"/>
            </w:pPr>
            <w:r>
              <w:t>[Pyralidae]</w:t>
            </w:r>
          </w:p>
          <w:p w:rsidR="00B8782D" w:rsidRDefault="00B8782D">
            <w:pPr>
              <w:pStyle w:val="TableText"/>
            </w:pPr>
            <w:r>
              <w:t>Yellow peach moth</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NSW, NT, Qld, SA, Vic., WA </w:t>
            </w:r>
            <w:r>
              <w:rPr>
                <w:noProof/>
              </w:rPr>
              <w:t>(Plant Health Australia 2001; Poole 2010)</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Cydia pomonella</w:t>
            </w:r>
            <w:r>
              <w:t xml:space="preserve"> Linnaeus, 1758</w:t>
            </w:r>
          </w:p>
          <w:p w:rsidR="00B8782D" w:rsidRDefault="00B8782D">
            <w:pPr>
              <w:pStyle w:val="TableText"/>
            </w:pPr>
            <w:r>
              <w:t xml:space="preserve">Synonym: </w:t>
            </w:r>
            <w:r>
              <w:rPr>
                <w:i/>
              </w:rPr>
              <w:t>Laspeyresia pomonella</w:t>
            </w:r>
            <w:r>
              <w:t xml:space="preserve"> (Linnaeus, 1758)</w:t>
            </w:r>
          </w:p>
          <w:p w:rsidR="00B8782D" w:rsidRDefault="00B8782D">
            <w:pPr>
              <w:pStyle w:val="TableText"/>
            </w:pPr>
            <w:r>
              <w:t>[Tortricidae]</w:t>
            </w:r>
          </w:p>
          <w:p w:rsidR="00B8782D" w:rsidRDefault="00B8782D">
            <w:pPr>
              <w:pStyle w:val="TableText"/>
            </w:pPr>
            <w:r>
              <w:t>Codling moth</w:t>
            </w:r>
          </w:p>
        </w:tc>
        <w:tc>
          <w:tcPr>
            <w:tcW w:w="575" w:type="pct"/>
            <w:shd w:val="clear" w:color="auto" w:fill="auto"/>
          </w:tcPr>
          <w:p w:rsidR="00B8782D" w:rsidRDefault="00B8782D" w:rsidP="00750C8B">
            <w:pPr>
              <w:pStyle w:val="TableText"/>
            </w:pPr>
            <w:r>
              <w:t xml:space="preserve">Yes </w:t>
            </w:r>
            <w:r>
              <w:rPr>
                <w:noProof/>
              </w:rPr>
              <w:t>(Men et al. 2013; Yang, Tulake &amp; Li 2005)</w:t>
            </w:r>
          </w:p>
        </w:tc>
        <w:tc>
          <w:tcPr>
            <w:tcW w:w="615" w:type="pct"/>
            <w:shd w:val="clear" w:color="auto" w:fill="auto"/>
          </w:tcPr>
          <w:p w:rsidR="00B8782D" w:rsidRDefault="00B8782D">
            <w:pPr>
              <w:pStyle w:val="TableText"/>
            </w:pPr>
            <w:r>
              <w:t xml:space="preserve">Yes. ACT, NSW, NT, Qld, SA, Tas., Vic. </w:t>
            </w:r>
            <w:r>
              <w:rPr>
                <w:noProof/>
              </w:rPr>
              <w:t>(Plant Health Australia 2001)</w:t>
            </w:r>
            <w:r>
              <w:t xml:space="preserve">. Eradicated from WA </w:t>
            </w:r>
            <w:r>
              <w:rPr>
                <w:noProof/>
              </w:rPr>
              <w:t>(CABI 2015; Poole 2010)</w:t>
            </w:r>
            <w:r>
              <w:t xml:space="preserve">. This species is listed as a declared organism (Prohibited (section 12)) under the Western Australia BAM Act 2007 </w:t>
            </w:r>
            <w:r>
              <w:rPr>
                <w:noProof/>
              </w:rPr>
              <w:t>(Government of Western Australia 2014)</w:t>
            </w:r>
            <w:r>
              <w:t>.</w:t>
            </w:r>
          </w:p>
          <w:p w:rsidR="00B8782D" w:rsidRDefault="00B8782D">
            <w:pPr>
              <w:pStyle w:val="TableText"/>
            </w:pPr>
          </w:p>
        </w:tc>
        <w:tc>
          <w:tcPr>
            <w:tcW w:w="716" w:type="pct"/>
            <w:shd w:val="clear" w:color="auto" w:fill="auto"/>
          </w:tcPr>
          <w:p w:rsidR="00B8782D" w:rsidRDefault="00B8782D" w:rsidP="00750C8B">
            <w:pPr>
              <w:pStyle w:val="TableText"/>
            </w:pPr>
            <w:r>
              <w:t xml:space="preserve">Yes. Pest </w:t>
            </w:r>
            <w:r>
              <w:rPr>
                <w:i/>
              </w:rPr>
              <w:t>of P. persica</w:t>
            </w:r>
            <w:r>
              <w:t xml:space="preserve"> </w:t>
            </w:r>
            <w:r>
              <w:rPr>
                <w:noProof/>
              </w:rPr>
              <w:t>(Alford 2007; Men et al. 2013; Yang, Tulake &amp; Li 2005)</w:t>
            </w:r>
            <w:r>
              <w:t xml:space="preserve">. There is a marked tendency for young fruit of peach and nectarine to exude gum at the site of attempted entry resulting in larval mortality </w:t>
            </w:r>
            <w:r>
              <w:rPr>
                <w:noProof/>
              </w:rPr>
              <w:t>(Smith 1929)</w:t>
            </w:r>
            <w:r>
              <w:t xml:space="preserve">. Codling moth infestations associated with secondary hosts are usually in close proximity to apple orchards </w:t>
            </w:r>
            <w:r>
              <w:rPr>
                <w:noProof/>
              </w:rPr>
              <w:t>(Barnes 1991)</w:t>
            </w:r>
            <w:r>
              <w:t>.</w:t>
            </w:r>
          </w:p>
        </w:tc>
        <w:tc>
          <w:tcPr>
            <w:tcW w:w="717" w:type="pct"/>
            <w:shd w:val="clear" w:color="auto" w:fill="auto"/>
          </w:tcPr>
          <w:p w:rsidR="00B8782D" w:rsidRDefault="00B8782D" w:rsidP="00750C8B">
            <w:pPr>
              <w:pStyle w:val="TableText"/>
            </w:pPr>
            <w:r>
              <w:t xml:space="preserve">Yes. Main hosts are apple and pear. Larvae are known to be polyphagous feeding on apple, pear, peach, nectarine, Japanese plum, prune, quince, walnut and maize </w:t>
            </w:r>
            <w:r>
              <w:rPr>
                <w:noProof/>
              </w:rPr>
              <w:t>(Alford 2007; CABI 2015)</w:t>
            </w:r>
            <w:r>
              <w:t xml:space="preserve">. These hosts are widespread in Western Australia. </w:t>
            </w:r>
            <w:r>
              <w:rPr>
                <w:i/>
              </w:rPr>
              <w:t>Cydia pomonella</w:t>
            </w:r>
            <w:r>
              <w:t xml:space="preserve"> has been reported from all Australian states and territories except Western Australia. However, several outbreaks have occurred in Western Australia and have been successfully eradicated, indicating that climatic conditions are suitable for its establishment in Western Australia.</w:t>
            </w:r>
          </w:p>
        </w:tc>
        <w:tc>
          <w:tcPr>
            <w:tcW w:w="716" w:type="pct"/>
            <w:shd w:val="clear" w:color="auto" w:fill="auto"/>
          </w:tcPr>
          <w:p w:rsidR="00B8782D" w:rsidRDefault="00B8782D" w:rsidP="00750C8B">
            <w:pPr>
              <w:pStyle w:val="TableText"/>
            </w:pPr>
            <w:r>
              <w:t xml:space="preserve">Yes. Codling moth is a serious pest of apples and pears </w:t>
            </w:r>
            <w:r>
              <w:rPr>
                <w:noProof/>
              </w:rPr>
              <w:t>(Alford 2007; CABI 2015)</w:t>
            </w:r>
            <w:r>
              <w:t xml:space="preserve">. In the Czech Republic, codling moth has been reported to cause 80 per cent damage to apples in untreated plots and up to 30 per cent damage in chemically treated plots </w:t>
            </w:r>
            <w:r>
              <w:rPr>
                <w:noProof/>
              </w:rPr>
              <w:t>(Stará &amp; Kocourek 2007)</w:t>
            </w:r>
            <w:r>
              <w:t>. The potential economic consequences would only apply to WA should this species enter, establish and spread.</w:t>
            </w:r>
          </w:p>
        </w:tc>
        <w:tc>
          <w:tcPr>
            <w:tcW w:w="574" w:type="pct"/>
            <w:shd w:val="clear" w:color="auto" w:fill="auto"/>
          </w:tcPr>
          <w:p w:rsidR="00B8782D" w:rsidRDefault="00B8782D">
            <w:pPr>
              <w:pStyle w:val="TableText"/>
            </w:pPr>
            <w:r>
              <w:t>Yes (EP, WA)</w:t>
            </w:r>
          </w:p>
        </w:tc>
      </w:tr>
      <w:tr w:rsidR="00B8782D">
        <w:trPr>
          <w:cantSplit/>
          <w:trHeight w:val="75"/>
          <w:jc w:val="center"/>
        </w:trPr>
        <w:tc>
          <w:tcPr>
            <w:tcW w:w="1087" w:type="pct"/>
            <w:shd w:val="clear" w:color="auto" w:fill="auto"/>
          </w:tcPr>
          <w:p w:rsidR="00B8782D" w:rsidRDefault="00B8782D">
            <w:pPr>
              <w:pStyle w:val="TableText"/>
            </w:pPr>
            <w:r>
              <w:rPr>
                <w:i/>
              </w:rPr>
              <w:lastRenderedPageBreak/>
              <w:t>Cystidia couaggaria</w:t>
            </w:r>
            <w:r>
              <w:t xml:space="preserve"> (Guenee, 1858)</w:t>
            </w:r>
          </w:p>
          <w:p w:rsidR="00B8782D" w:rsidRDefault="00B8782D">
            <w:pPr>
              <w:pStyle w:val="TableText"/>
            </w:pPr>
            <w:r>
              <w:t>[Geometridae]</w:t>
            </w:r>
          </w:p>
          <w:p w:rsidR="00B8782D" w:rsidRDefault="00B8782D">
            <w:pPr>
              <w:pStyle w:val="TableText"/>
            </w:pPr>
            <w:r>
              <w:t>Canker worm</w:t>
            </w:r>
          </w:p>
        </w:tc>
        <w:tc>
          <w:tcPr>
            <w:tcW w:w="575" w:type="pct"/>
            <w:shd w:val="clear" w:color="auto" w:fill="auto"/>
          </w:tcPr>
          <w:p w:rsidR="00B8782D" w:rsidRDefault="00B8782D" w:rsidP="00750C8B">
            <w:pPr>
              <w:pStyle w:val="TableText"/>
            </w:pPr>
            <w:r>
              <w:t xml:space="preserve">Yes </w:t>
            </w:r>
            <w:r>
              <w:rPr>
                <w:noProof/>
              </w:rPr>
              <w:t>(Zhang et al. 1995)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(Robinson et al. 2010)</w:t>
            </w:r>
            <w:r>
              <w:t xml:space="preserve">. Larvae feed on flower buds, young leaves and shoots </w:t>
            </w:r>
            <w:r>
              <w:rPr>
                <w:noProof/>
              </w:rPr>
              <w:t>(AQSIQ 2006c)</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Endoclyta excrescens</w:t>
            </w:r>
            <w:r>
              <w:t xml:space="preserve"> (Butler, 1877)</w:t>
            </w:r>
          </w:p>
          <w:p w:rsidR="00B8782D" w:rsidRDefault="00B8782D">
            <w:pPr>
              <w:pStyle w:val="TableText"/>
            </w:pPr>
            <w:r>
              <w:t xml:space="preserve">Synonym: </w:t>
            </w:r>
            <w:r>
              <w:rPr>
                <w:i/>
              </w:rPr>
              <w:t xml:space="preserve">Phassus excrescens </w:t>
            </w:r>
            <w:r>
              <w:t>(Butler, 1877)</w:t>
            </w:r>
          </w:p>
          <w:p w:rsidR="00B8782D" w:rsidRDefault="00B8782D">
            <w:pPr>
              <w:pStyle w:val="TableText"/>
            </w:pPr>
            <w:r>
              <w:t>[Hepialidae]</w:t>
            </w:r>
          </w:p>
          <w:p w:rsidR="00B8782D" w:rsidRDefault="00B8782D">
            <w:pPr>
              <w:pStyle w:val="TableText"/>
            </w:pPr>
            <w:r>
              <w:t>Japanese swift moth</w:t>
            </w:r>
          </w:p>
        </w:tc>
        <w:tc>
          <w:tcPr>
            <w:tcW w:w="575" w:type="pct"/>
            <w:shd w:val="clear" w:color="auto" w:fill="auto"/>
          </w:tcPr>
          <w:p w:rsidR="00B8782D" w:rsidRDefault="00B8782D" w:rsidP="00750C8B">
            <w:pPr>
              <w:pStyle w:val="TableText"/>
            </w:pPr>
            <w:r>
              <w:t xml:space="preserve">Yes </w:t>
            </w:r>
            <w:r>
              <w:rPr>
                <w:noProof/>
              </w:rPr>
              <w:t>(Zhang 2005)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 pest of </w:t>
            </w:r>
            <w:r>
              <w:rPr>
                <w:i/>
              </w:rPr>
              <w:t xml:space="preserve">P. persica </w:t>
            </w:r>
            <w:r>
              <w:rPr>
                <w:noProof/>
              </w:rPr>
              <w:t>(MAFF 1989)</w:t>
            </w:r>
            <w:r>
              <w:t xml:space="preserve">. Larvae of this species feed internally on the woody parts (trunk, branches, stems, roots) of their host plants </w:t>
            </w:r>
            <w:r>
              <w:rPr>
                <w:noProof/>
              </w:rPr>
              <w:t>(Grehan 1989; Zhang 2005)</w:t>
            </w:r>
            <w:r>
              <w:t xml:space="preserve">.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Eudocima fullonia</w:t>
            </w:r>
            <w:r>
              <w:t xml:space="preserve"> (Clerck, 1764)</w:t>
            </w:r>
          </w:p>
          <w:p w:rsidR="00B8782D" w:rsidRDefault="00B8782D">
            <w:pPr>
              <w:pStyle w:val="TableText"/>
            </w:pPr>
            <w:r>
              <w:t xml:space="preserve">Synonym: </w:t>
            </w:r>
            <w:r>
              <w:rPr>
                <w:i/>
              </w:rPr>
              <w:t>Othreis fullonia</w:t>
            </w:r>
            <w:r>
              <w:t xml:space="preserve"> (Clerck, 1764)</w:t>
            </w:r>
          </w:p>
          <w:p w:rsidR="00B8782D" w:rsidRDefault="00B8782D">
            <w:pPr>
              <w:pStyle w:val="TableText"/>
            </w:pPr>
            <w:r>
              <w:t>[Noctuidae]</w:t>
            </w:r>
          </w:p>
        </w:tc>
        <w:tc>
          <w:tcPr>
            <w:tcW w:w="575" w:type="pct"/>
            <w:shd w:val="clear" w:color="auto" w:fill="auto"/>
          </w:tcPr>
          <w:p w:rsidR="00B8782D" w:rsidRDefault="00B8782D" w:rsidP="00750C8B">
            <w:pPr>
              <w:pStyle w:val="TableText"/>
            </w:pPr>
            <w:r>
              <w:t xml:space="preserve">Yes </w:t>
            </w:r>
            <w:r>
              <w:rPr>
                <w:noProof/>
              </w:rPr>
              <w:t>(ZDCBIC 2005)</w:t>
            </w:r>
          </w:p>
        </w:tc>
        <w:tc>
          <w:tcPr>
            <w:tcW w:w="615" w:type="pct"/>
            <w:shd w:val="clear" w:color="auto" w:fill="auto"/>
          </w:tcPr>
          <w:p w:rsidR="00B8782D" w:rsidRDefault="00B8782D" w:rsidP="00750C8B">
            <w:pPr>
              <w:pStyle w:val="TableText"/>
            </w:pPr>
            <w:r>
              <w:t xml:space="preserve">NSW, NT, Qld, WA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Eudocima tyrannus</w:t>
            </w:r>
            <w:r>
              <w:t xml:space="preserve"> (Guenée, 1852)</w:t>
            </w:r>
          </w:p>
          <w:p w:rsidR="00B8782D" w:rsidRDefault="00B8782D">
            <w:pPr>
              <w:pStyle w:val="TableText"/>
            </w:pPr>
            <w:r>
              <w:t>[Noctuidae]</w:t>
            </w:r>
          </w:p>
        </w:tc>
        <w:tc>
          <w:tcPr>
            <w:tcW w:w="575" w:type="pct"/>
            <w:shd w:val="clear" w:color="auto" w:fill="auto"/>
          </w:tcPr>
          <w:p w:rsidR="00B8782D" w:rsidRDefault="00B8782D" w:rsidP="00750C8B">
            <w:pPr>
              <w:pStyle w:val="TableText"/>
            </w:pPr>
            <w:r>
              <w:t xml:space="preserve">Yes </w:t>
            </w:r>
            <w:r>
              <w:rPr>
                <w:noProof/>
              </w:rPr>
              <w:t>(AQSIQ 2006a)</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w:t>
            </w:r>
            <w:r>
              <w:rPr>
                <w:i/>
              </w:rPr>
              <w:t>P. persica</w:t>
            </w:r>
            <w:r>
              <w:t xml:space="preserve"> is a host of this species </w:t>
            </w:r>
            <w:r>
              <w:rPr>
                <w:noProof/>
              </w:rPr>
              <w:t>(Robinson et al. 2010)</w:t>
            </w:r>
            <w:r>
              <w:t xml:space="preserve"> which is a primary fruit-piercer of peach </w:t>
            </w:r>
            <w:r>
              <w:rPr>
                <w:noProof/>
              </w:rPr>
              <w:t>(Bänziger 1982)</w:t>
            </w:r>
            <w:r>
              <w:t xml:space="preserve">. Both larvae and adult noctuid moths are inactive during the day and hide amongst foliage or leaf litter. During the night, adults usually feed on overripe or fermenting fruit </w:t>
            </w:r>
            <w:r>
              <w:rPr>
                <w:noProof/>
              </w:rPr>
              <w:t>(Common 1990)</w:t>
            </w:r>
            <w:r>
              <w:t xml:space="preserve"> and will fly away when disturbed.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Gastropacha quercifolia</w:t>
            </w:r>
            <w:r>
              <w:t xml:space="preserve"> (Linneaus, 1758)</w:t>
            </w:r>
          </w:p>
          <w:p w:rsidR="00B8782D" w:rsidRDefault="00B8782D">
            <w:pPr>
              <w:pStyle w:val="TableText"/>
            </w:pPr>
            <w:r>
              <w:t>[Lasiocampidae]</w:t>
            </w:r>
          </w:p>
          <w:p w:rsidR="00B8782D" w:rsidRDefault="00B8782D">
            <w:pPr>
              <w:pStyle w:val="TableText"/>
            </w:pPr>
            <w:r>
              <w:t>Lappet moth</w:t>
            </w:r>
          </w:p>
        </w:tc>
        <w:tc>
          <w:tcPr>
            <w:tcW w:w="575" w:type="pct"/>
            <w:shd w:val="clear" w:color="auto" w:fill="auto"/>
          </w:tcPr>
          <w:p w:rsidR="00B8782D" w:rsidRDefault="00B8782D" w:rsidP="00750C8B">
            <w:pPr>
              <w:pStyle w:val="TableText"/>
            </w:pPr>
            <w:r>
              <w:t xml:space="preserve">Yes </w:t>
            </w:r>
            <w:r>
              <w:rPr>
                <w:noProof/>
              </w:rPr>
              <w:t>(Sun &amp; Wang 1999)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(Panait &amp; Ciortan 1972)</w:t>
            </w:r>
            <w:r>
              <w:t xml:space="preserve">. Larvae feed on flower buds and leaves </w:t>
            </w:r>
            <w:r>
              <w:rPr>
                <w:noProof/>
              </w:rPr>
              <w:t>(Panait &amp; Ciortan 1972)</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Grapholita funebrana</w:t>
            </w:r>
            <w:r>
              <w:t xml:space="preserve"> [Treitschke, 1835]</w:t>
            </w:r>
          </w:p>
          <w:p w:rsidR="00B8782D" w:rsidRDefault="00B8782D">
            <w:pPr>
              <w:pStyle w:val="TableText"/>
            </w:pPr>
            <w:r>
              <w:t xml:space="preserve">Synonym: </w:t>
            </w:r>
            <w:r>
              <w:rPr>
                <w:i/>
              </w:rPr>
              <w:t>Cydia funebrana</w:t>
            </w:r>
            <w:r>
              <w:t xml:space="preserve"> (Treitschke, 1835)</w:t>
            </w:r>
          </w:p>
          <w:p w:rsidR="00B8782D" w:rsidRDefault="00B8782D">
            <w:pPr>
              <w:pStyle w:val="TableText"/>
            </w:pPr>
            <w:r>
              <w:t>[Tortricidae]</w:t>
            </w:r>
          </w:p>
          <w:p w:rsidR="00B8782D" w:rsidRDefault="00B8782D">
            <w:pPr>
              <w:pStyle w:val="TableText"/>
            </w:pPr>
            <w:r>
              <w:t>Plum fruit moth</w:t>
            </w:r>
          </w:p>
        </w:tc>
        <w:tc>
          <w:tcPr>
            <w:tcW w:w="575" w:type="pct"/>
            <w:shd w:val="clear" w:color="auto" w:fill="auto"/>
          </w:tcPr>
          <w:p w:rsidR="00B8782D" w:rsidRDefault="00B8782D" w:rsidP="00750C8B">
            <w:pPr>
              <w:pStyle w:val="TableText"/>
            </w:pPr>
            <w:r>
              <w:t xml:space="preserve">Yes </w:t>
            </w:r>
            <w:r>
              <w:rPr>
                <w:noProof/>
              </w:rPr>
              <w:t>(AQSIQ 2006b; Kang et al. 1989)</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Yes. Damages </w:t>
            </w:r>
            <w:r>
              <w:rPr>
                <w:i/>
              </w:rPr>
              <w:t>P. persica</w:t>
            </w:r>
            <w:r>
              <w:t xml:space="preserve"> fruit </w:t>
            </w:r>
            <w:r>
              <w:rPr>
                <w:noProof/>
              </w:rPr>
              <w:t>(AQSIQ 2006b; CABI 2015)</w:t>
            </w:r>
            <w:r>
              <w:t xml:space="preserve">. Females lay eggs on fruitlets. Newly hatched larvae bore into the fruitlets. Larval feeding continues for several weeks until they reach the fifth instar </w:t>
            </w:r>
            <w:r>
              <w:rPr>
                <w:noProof/>
              </w:rPr>
              <w:t>(Meijerman &amp; Ulenberg 2000b)</w:t>
            </w:r>
            <w:r>
              <w:t xml:space="preserve">. Second generation females lay eggs near the base of developing fruit </w:t>
            </w:r>
            <w:r>
              <w:rPr>
                <w:noProof/>
              </w:rPr>
              <w:t>(Gilligan &amp; Epstein 2012)</w:t>
            </w:r>
            <w:r>
              <w:t>.</w:t>
            </w:r>
          </w:p>
        </w:tc>
        <w:tc>
          <w:tcPr>
            <w:tcW w:w="717" w:type="pct"/>
            <w:shd w:val="clear" w:color="auto" w:fill="auto"/>
          </w:tcPr>
          <w:p w:rsidR="00B8782D" w:rsidRDefault="00B8782D" w:rsidP="00750C8B">
            <w:pPr>
              <w:pStyle w:val="TableText"/>
            </w:pPr>
            <w:r>
              <w:t xml:space="preserve">Yes. Main hosts are species of the genus </w:t>
            </w:r>
            <w:r>
              <w:rPr>
                <w:i/>
              </w:rPr>
              <w:t>Prunus</w:t>
            </w:r>
            <w:r>
              <w:t xml:space="preserve"> (including plum, apricot, cherry, peach) and also apple </w:t>
            </w:r>
            <w:r>
              <w:rPr>
                <w:noProof/>
              </w:rPr>
              <w:t>(Meijerman &amp; Ulenberg 2000b)</w:t>
            </w:r>
            <w:r>
              <w:t xml:space="preserve">. Other hosts include chestnut and almond </w:t>
            </w:r>
            <w:r>
              <w:rPr>
                <w:noProof/>
              </w:rPr>
              <w:t>(CABI 2015)</w:t>
            </w:r>
            <w:r>
              <w:t xml:space="preserve">. Present in north east China and across central Asia to Turkey, also present in Algeria and throughout Europe </w:t>
            </w:r>
            <w:r>
              <w:rPr>
                <w:noProof/>
              </w:rPr>
              <w:t>(CABI 2015)</w:t>
            </w:r>
            <w:r>
              <w:t>. Host plants of this pest are grown across Australia. Australia also has similar climatic conditions to areas where the pest currently occurs. It is likely that this pest could establish and spread in Australia.</w:t>
            </w:r>
          </w:p>
        </w:tc>
        <w:tc>
          <w:tcPr>
            <w:tcW w:w="716" w:type="pct"/>
            <w:shd w:val="clear" w:color="auto" w:fill="auto"/>
          </w:tcPr>
          <w:p w:rsidR="00B8782D" w:rsidRDefault="00B8782D" w:rsidP="00750C8B">
            <w:pPr>
              <w:pStyle w:val="TableText"/>
            </w:pPr>
            <w:r>
              <w:t xml:space="preserve">Yes. This species is one of the most important lepidopteran pests of fruit in Europe. Larvae can cause significant damage to apricot, cherry, peach, plum and other </w:t>
            </w:r>
            <w:r>
              <w:rPr>
                <w:i/>
              </w:rPr>
              <w:t>Prunus</w:t>
            </w:r>
            <w:r>
              <w:t xml:space="preserve"> species </w:t>
            </w:r>
            <w:r>
              <w:rPr>
                <w:noProof/>
              </w:rPr>
              <w:t>(CABI 2015; Gilligan &amp; Epstein 2012)</w:t>
            </w:r>
            <w:r>
              <w:t xml:space="preserve">. In plum orchards, first generation larvae are reported to cause 8–12 per cent damage, but second and third generation larvae caused up to 33 per cent damage </w:t>
            </w:r>
            <w:r>
              <w:rPr>
                <w:noProof/>
              </w:rPr>
              <w:t>(Andreev &amp; Kutinkova 2010)</w:t>
            </w:r>
            <w:r>
              <w:t>.</w:t>
            </w:r>
          </w:p>
        </w:tc>
        <w:tc>
          <w:tcPr>
            <w:tcW w:w="574" w:type="pct"/>
            <w:shd w:val="clear" w:color="auto" w:fill="auto"/>
          </w:tcPr>
          <w:p w:rsidR="00B8782D" w:rsidRDefault="00B8782D">
            <w:pPr>
              <w:pStyle w:val="TableText"/>
            </w:pPr>
            <w:r>
              <w:t>Yes</w:t>
            </w:r>
          </w:p>
        </w:tc>
      </w:tr>
      <w:tr w:rsidR="00B8782D">
        <w:trPr>
          <w:cantSplit/>
          <w:trHeight w:val="75"/>
          <w:jc w:val="center"/>
        </w:trPr>
        <w:tc>
          <w:tcPr>
            <w:tcW w:w="1087" w:type="pct"/>
            <w:shd w:val="clear" w:color="auto" w:fill="auto"/>
          </w:tcPr>
          <w:p w:rsidR="00B8782D" w:rsidRDefault="00B8782D">
            <w:pPr>
              <w:pStyle w:val="TableText"/>
            </w:pPr>
            <w:r>
              <w:rPr>
                <w:i/>
              </w:rPr>
              <w:lastRenderedPageBreak/>
              <w:t>Grapholita molesta</w:t>
            </w:r>
            <w:r>
              <w:t xml:space="preserve"> (Busck, 1916)</w:t>
            </w:r>
          </w:p>
          <w:p w:rsidR="00B8782D" w:rsidRDefault="00B8782D">
            <w:pPr>
              <w:pStyle w:val="TableText"/>
            </w:pPr>
            <w:r>
              <w:t xml:space="preserve">Synonym: </w:t>
            </w:r>
            <w:r>
              <w:rPr>
                <w:i/>
              </w:rPr>
              <w:t>Cydia molesta</w:t>
            </w:r>
            <w:r>
              <w:t xml:space="preserve"> (Busck, 1916)</w:t>
            </w:r>
          </w:p>
          <w:p w:rsidR="00B8782D" w:rsidRDefault="00B8782D">
            <w:pPr>
              <w:pStyle w:val="TableText"/>
            </w:pPr>
            <w:r>
              <w:t>[Tortricidae]</w:t>
            </w:r>
          </w:p>
          <w:p w:rsidR="00B8782D" w:rsidRDefault="00B8782D">
            <w:pPr>
              <w:pStyle w:val="TableText"/>
            </w:pPr>
            <w:r>
              <w:t>Oriental fruit moth</w:t>
            </w:r>
          </w:p>
        </w:tc>
        <w:tc>
          <w:tcPr>
            <w:tcW w:w="575" w:type="pct"/>
            <w:shd w:val="clear" w:color="auto" w:fill="auto"/>
          </w:tcPr>
          <w:p w:rsidR="00B8782D" w:rsidRDefault="00B8782D" w:rsidP="00750C8B">
            <w:pPr>
              <w:pStyle w:val="TableText"/>
            </w:pPr>
            <w:r>
              <w:t xml:space="preserve">Yes </w:t>
            </w:r>
            <w:r>
              <w:rPr>
                <w:noProof/>
              </w:rPr>
              <w:t>(AQSIQ 2006b; CIQSA 2001b, c)</w:t>
            </w:r>
          </w:p>
        </w:tc>
        <w:tc>
          <w:tcPr>
            <w:tcW w:w="615" w:type="pct"/>
            <w:shd w:val="clear" w:color="auto" w:fill="auto"/>
          </w:tcPr>
          <w:p w:rsidR="00B8782D" w:rsidRDefault="00B8782D">
            <w:pPr>
              <w:pStyle w:val="TableText"/>
            </w:pPr>
            <w:r>
              <w:t xml:space="preserve">Yes. ACT, NSW, Qld, SA, Tas., Vic. </w:t>
            </w:r>
            <w:r>
              <w:rPr>
                <w:noProof/>
              </w:rPr>
              <w:t>(CABI 2015; Plant Health Australia 2001)</w:t>
            </w:r>
            <w:r>
              <w:t xml:space="preserve">. This species is listed as a declared organism (Prohibited (section 12)) under the Western Australia BAM Act 2007 </w:t>
            </w:r>
            <w:r>
              <w:rPr>
                <w:noProof/>
              </w:rPr>
              <w:t>(Government of Western Australia 2014)</w:t>
            </w:r>
            <w:r>
              <w:t>.</w:t>
            </w:r>
          </w:p>
          <w:p w:rsidR="00B8782D" w:rsidRDefault="00B8782D">
            <w:pPr>
              <w:pStyle w:val="TableText"/>
            </w:pPr>
          </w:p>
        </w:tc>
        <w:tc>
          <w:tcPr>
            <w:tcW w:w="716" w:type="pct"/>
            <w:shd w:val="clear" w:color="auto" w:fill="auto"/>
          </w:tcPr>
          <w:p w:rsidR="00B8782D" w:rsidRDefault="00B8782D" w:rsidP="00750C8B">
            <w:pPr>
              <w:pStyle w:val="TableText"/>
            </w:pPr>
            <w:r>
              <w:t xml:space="preserve">Yes. A pest of </w:t>
            </w:r>
            <w:r>
              <w:rPr>
                <w:i/>
              </w:rPr>
              <w:t>P. persica</w:t>
            </w:r>
            <w:r>
              <w:t xml:space="preserve"> in China </w:t>
            </w:r>
            <w:r>
              <w:rPr>
                <w:noProof/>
              </w:rPr>
              <w:t>(AQSIQ 2006b; CIQSA 2001c; Li, Wang &amp; Waterhouse 1997)</w:t>
            </w:r>
            <w:r>
              <w:t xml:space="preserve">. Early instar larvae may penetrate fruit through the side of the stem. Such fruit has no obvious signs of the presence of the larva inside the fruit. The larvae remain inside the fruit, feeding until ready to pupate </w:t>
            </w:r>
            <w:r>
              <w:rPr>
                <w:noProof/>
              </w:rPr>
              <w:t>(Howitt 1993)</w:t>
            </w:r>
            <w:r>
              <w:t>.</w:t>
            </w:r>
          </w:p>
        </w:tc>
        <w:tc>
          <w:tcPr>
            <w:tcW w:w="717" w:type="pct"/>
            <w:shd w:val="clear" w:color="auto" w:fill="auto"/>
          </w:tcPr>
          <w:p w:rsidR="00B8782D" w:rsidRDefault="00B8782D" w:rsidP="00750C8B">
            <w:pPr>
              <w:pStyle w:val="TableText"/>
            </w:pPr>
            <w:r>
              <w:t xml:space="preserve">Yes. The principal economic hosts are peach, apricot, nectarine, almond, apple, quince, pear, plum and cherry </w:t>
            </w:r>
            <w:r>
              <w:rPr>
                <w:noProof/>
              </w:rPr>
              <w:t>(Howitt 1993)</w:t>
            </w:r>
            <w:r>
              <w:t xml:space="preserve">. Many woody ornamental plants are also hosts </w:t>
            </w:r>
            <w:r>
              <w:rPr>
                <w:noProof/>
              </w:rPr>
              <w:t>(Howitt 1993)</w:t>
            </w:r>
            <w:r>
              <w:t xml:space="preserve">. Late ripening peach cultivars are particularly vulnerable to this pest. Some of these host species are widespread in Western Australia. </w:t>
            </w:r>
            <w:r>
              <w:rPr>
                <w:i/>
              </w:rPr>
              <w:t>Grapholita molesta</w:t>
            </w:r>
            <w:r>
              <w:t xml:space="preserve"> is already reported from all other Australian states and territories </w:t>
            </w:r>
            <w:r>
              <w:rPr>
                <w:noProof/>
              </w:rPr>
              <w:t>(Plant Health Australia 2001)</w:t>
            </w:r>
            <w:r>
              <w:t xml:space="preserve"> except the Northern Territory </w:t>
            </w:r>
            <w:r>
              <w:rPr>
                <w:noProof/>
              </w:rPr>
              <w:t>(Poole et al. 2011)</w:t>
            </w:r>
            <w:r>
              <w:t xml:space="preserve">. The previously eradicated incursion of </w:t>
            </w:r>
            <w:r>
              <w:rPr>
                <w:i/>
              </w:rPr>
              <w:t>G. molesta</w:t>
            </w:r>
            <w:r>
              <w:t xml:space="preserve"> in Western Australia indicates that areas with a suitable environment for the establishment of </w:t>
            </w:r>
            <w:r>
              <w:rPr>
                <w:i/>
              </w:rPr>
              <w:t>G. molesta</w:t>
            </w:r>
            <w:r>
              <w:t xml:space="preserve"> occur in Western Australia.</w:t>
            </w:r>
          </w:p>
        </w:tc>
        <w:tc>
          <w:tcPr>
            <w:tcW w:w="716" w:type="pct"/>
            <w:shd w:val="clear" w:color="auto" w:fill="auto"/>
          </w:tcPr>
          <w:p w:rsidR="00B8782D" w:rsidRDefault="00B8782D" w:rsidP="00750C8B">
            <w:pPr>
              <w:pStyle w:val="TableText"/>
            </w:pPr>
            <w:r>
              <w:t xml:space="preserve">Yes. A major pest of stonefruit throughout the world and a principal economic pest of apple, pear and quince </w:t>
            </w:r>
            <w:r>
              <w:rPr>
                <w:noProof/>
              </w:rPr>
              <w:t>(CABI 2015; Gilligan &amp; Epstein 2012; Rothschild &amp; Vickers 1991)</w:t>
            </w:r>
            <w:r>
              <w:t xml:space="preserve">. In severe attacks, young trees can suffer distortion of growing shoots and stems leading to economic losses </w:t>
            </w:r>
            <w:r>
              <w:rPr>
                <w:noProof/>
              </w:rPr>
              <w:t>(CABI 2015)</w:t>
            </w:r>
            <w:r>
              <w:t>. The potential economic consequences would only be applicable to WA should this species enter, establish and spread.</w:t>
            </w:r>
          </w:p>
        </w:tc>
        <w:tc>
          <w:tcPr>
            <w:tcW w:w="574" w:type="pct"/>
            <w:shd w:val="clear" w:color="auto" w:fill="auto"/>
          </w:tcPr>
          <w:p w:rsidR="00B8782D" w:rsidRDefault="00B8782D">
            <w:pPr>
              <w:pStyle w:val="TableText"/>
            </w:pPr>
            <w:r>
              <w:t>Yes (EP, WA)</w:t>
            </w:r>
          </w:p>
        </w:tc>
      </w:tr>
      <w:tr w:rsidR="00B8782D">
        <w:trPr>
          <w:cantSplit/>
          <w:trHeight w:val="75"/>
          <w:jc w:val="center"/>
        </w:trPr>
        <w:tc>
          <w:tcPr>
            <w:tcW w:w="1087" w:type="pct"/>
            <w:shd w:val="clear" w:color="auto" w:fill="auto"/>
          </w:tcPr>
          <w:p w:rsidR="00B8782D" w:rsidRDefault="00B8782D">
            <w:pPr>
              <w:pStyle w:val="TableText"/>
            </w:pPr>
            <w:r>
              <w:rPr>
                <w:i/>
              </w:rPr>
              <w:lastRenderedPageBreak/>
              <w:t>Helicoverpa armigera</w:t>
            </w:r>
            <w:r>
              <w:t xml:space="preserve"> (Hubner, 1805)</w:t>
            </w:r>
          </w:p>
          <w:p w:rsidR="00B8782D" w:rsidRDefault="00B8782D">
            <w:pPr>
              <w:pStyle w:val="TableText"/>
            </w:pPr>
            <w:r>
              <w:t>[Noctuidae]</w:t>
            </w:r>
          </w:p>
          <w:p w:rsidR="00B8782D" w:rsidRDefault="00B8782D">
            <w:pPr>
              <w:pStyle w:val="TableText"/>
            </w:pPr>
            <w:r>
              <w:t>Cotton bollworm</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Homona magnanima</w:t>
            </w:r>
            <w:r>
              <w:t xml:space="preserve"> Diakonoff, 1948</w:t>
            </w:r>
          </w:p>
          <w:p w:rsidR="00B8782D" w:rsidRDefault="00B8782D">
            <w:pPr>
              <w:pStyle w:val="TableText"/>
            </w:pPr>
            <w:r>
              <w:t>[Tortricidae]</w:t>
            </w:r>
          </w:p>
          <w:p w:rsidR="00B8782D" w:rsidRDefault="00B8782D">
            <w:pPr>
              <w:pStyle w:val="TableText"/>
            </w:pPr>
            <w:r>
              <w:t>Oriental tea tortrix</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Feeds on </w:t>
            </w:r>
            <w:r>
              <w:rPr>
                <w:i/>
              </w:rPr>
              <w:t>P. persica</w:t>
            </w:r>
            <w:r>
              <w:t xml:space="preserve"> </w:t>
            </w:r>
            <w:r>
              <w:rPr>
                <w:noProof/>
              </w:rPr>
              <w:t>(Meijerman &amp; Ulenberg 2000b)</w:t>
            </w:r>
            <w:r>
              <w:t xml:space="preserve">. Eggs are laid on the upper surface of leaves. Larvae web mature leaves together to form a nest from which to feed on leaves and young shoots </w:t>
            </w:r>
            <w:r>
              <w:rPr>
                <w:noProof/>
              </w:rPr>
              <w:t>(Meijerman &amp; Ulenberg 2000b)</w:t>
            </w:r>
            <w:r>
              <w:t xml:space="preserve">. Fruits are not affected </w:t>
            </w:r>
            <w:r>
              <w:rPr>
                <w:noProof/>
              </w:rPr>
              <w:t>(CABI 2015)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Hyphantria cunea</w:t>
            </w:r>
            <w:r>
              <w:t xml:space="preserve"> (Drury, 1773)</w:t>
            </w:r>
          </w:p>
          <w:p w:rsidR="00B8782D" w:rsidRDefault="00B8782D">
            <w:pPr>
              <w:pStyle w:val="TableText"/>
            </w:pPr>
            <w:r>
              <w:t>[Arctiidae]</w:t>
            </w:r>
          </w:p>
          <w:p w:rsidR="00B8782D" w:rsidRDefault="00B8782D">
            <w:pPr>
              <w:pStyle w:val="TableText"/>
            </w:pPr>
            <w:r>
              <w:t>Fall webworm</w:t>
            </w:r>
          </w:p>
        </w:tc>
        <w:tc>
          <w:tcPr>
            <w:tcW w:w="575" w:type="pct"/>
            <w:shd w:val="clear" w:color="auto" w:fill="auto"/>
          </w:tcPr>
          <w:p w:rsidR="00B8782D" w:rsidRDefault="00B8782D" w:rsidP="00750C8B">
            <w:pPr>
              <w:pStyle w:val="TableText"/>
            </w:pPr>
            <w:r>
              <w:t xml:space="preserve">Yes </w:t>
            </w:r>
            <w:r>
              <w:rPr>
                <w:noProof/>
              </w:rPr>
              <w:t>(Feng &amp; Wang 2004)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Larvae feed on leaves of </w:t>
            </w:r>
            <w:r>
              <w:rPr>
                <w:i/>
              </w:rPr>
              <w:t xml:space="preserve">P. persica </w:t>
            </w:r>
            <w:r>
              <w:rPr>
                <w:noProof/>
              </w:rPr>
              <w:t>(Feng &amp; Wang 2004; Robinson et al. 2010)</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Latoia consocia</w:t>
            </w:r>
            <w:r>
              <w:t xml:space="preserve"> (Walker, 1863)</w:t>
            </w:r>
          </w:p>
          <w:p w:rsidR="00B8782D" w:rsidRDefault="00B8782D">
            <w:pPr>
              <w:pStyle w:val="TableText"/>
            </w:pPr>
            <w:r>
              <w:t>[Limacodidae]</w:t>
            </w:r>
          </w:p>
          <w:p w:rsidR="00B8782D" w:rsidRDefault="00B8782D">
            <w:pPr>
              <w:pStyle w:val="TableText"/>
            </w:pPr>
            <w:r>
              <w:t>Green urticating caterpillar</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in China </w:t>
            </w:r>
            <w:r>
              <w:rPr>
                <w:noProof/>
              </w:rPr>
              <w:t>(AQSIQ 2006b)</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Leucoptera malifoliella</w:t>
            </w:r>
            <w:r>
              <w:t xml:space="preserve"> (Costa, 1836)</w:t>
            </w:r>
          </w:p>
          <w:p w:rsidR="00B8782D" w:rsidRDefault="00B8782D">
            <w:pPr>
              <w:pStyle w:val="TableText"/>
            </w:pPr>
            <w:r>
              <w:t xml:space="preserve">Synonym: </w:t>
            </w:r>
            <w:r>
              <w:rPr>
                <w:i/>
              </w:rPr>
              <w:t>Leucoptera scitella</w:t>
            </w:r>
            <w:r>
              <w:t xml:space="preserve"> (Zeller, 1839)</w:t>
            </w:r>
          </w:p>
          <w:p w:rsidR="00B8782D" w:rsidRDefault="00B8782D">
            <w:pPr>
              <w:pStyle w:val="TableText"/>
            </w:pPr>
            <w:r>
              <w:t>[Lyonetiidae]</w:t>
            </w:r>
          </w:p>
          <w:p w:rsidR="00B8782D" w:rsidRDefault="00B8782D">
            <w:pPr>
              <w:pStyle w:val="TableText"/>
            </w:pPr>
            <w:r>
              <w:t>Pear leaf-miner</w:t>
            </w:r>
          </w:p>
        </w:tc>
        <w:tc>
          <w:tcPr>
            <w:tcW w:w="575" w:type="pct"/>
            <w:shd w:val="clear" w:color="auto" w:fill="auto"/>
          </w:tcPr>
          <w:p w:rsidR="00B8782D" w:rsidRDefault="00B8782D" w:rsidP="00750C8B">
            <w:pPr>
              <w:pStyle w:val="TableText"/>
            </w:pPr>
            <w:r>
              <w:t xml:space="preserve">Yes </w:t>
            </w:r>
            <w:r>
              <w:rPr>
                <w:noProof/>
              </w:rPr>
              <w:t>(CABI 2015; CIQSA 2001c)</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(Robinson et al. 2010)</w:t>
            </w:r>
            <w:r>
              <w:t xml:space="preserve">. It is generally a leaf eating pest, but overwinters on twigs, branches, trunks and on the soil surface </w:t>
            </w:r>
            <w:r>
              <w:rPr>
                <w:noProof/>
              </w:rPr>
              <w:t>(Maciesiak 1999)</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Lymantria dispar</w:t>
            </w:r>
            <w:r>
              <w:t xml:space="preserve"> (Linnaeus, 1759)</w:t>
            </w:r>
          </w:p>
          <w:p w:rsidR="00B8782D" w:rsidRDefault="00B8782D">
            <w:pPr>
              <w:pStyle w:val="TableText"/>
            </w:pPr>
            <w:r>
              <w:t>[Lymantriidae]</w:t>
            </w:r>
          </w:p>
          <w:p w:rsidR="00B8782D" w:rsidRDefault="00B8782D">
            <w:pPr>
              <w:pStyle w:val="TableText"/>
            </w:pPr>
            <w:r>
              <w:t>Asian gypsy moth</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in China </w:t>
            </w:r>
            <w:r>
              <w:rPr>
                <w:noProof/>
              </w:rPr>
              <w:t>(AQSIQ 2006b)</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Lyonetia clerkella</w:t>
            </w:r>
            <w:r>
              <w:t xml:space="preserve"> (Linneaus, 1758)</w:t>
            </w:r>
          </w:p>
          <w:p w:rsidR="00B8782D" w:rsidRDefault="00B8782D">
            <w:pPr>
              <w:pStyle w:val="TableText"/>
            </w:pPr>
            <w:r>
              <w:t>[Lyonetiidae]</w:t>
            </w:r>
          </w:p>
          <w:p w:rsidR="00B8782D" w:rsidRDefault="00B8782D">
            <w:pPr>
              <w:pStyle w:val="TableText"/>
            </w:pPr>
            <w:r>
              <w:t>Peach leaf-miner</w:t>
            </w:r>
          </w:p>
        </w:tc>
        <w:tc>
          <w:tcPr>
            <w:tcW w:w="575" w:type="pct"/>
            <w:shd w:val="clear" w:color="auto" w:fill="auto"/>
          </w:tcPr>
          <w:p w:rsidR="00B8782D" w:rsidRDefault="00B8782D" w:rsidP="00750C8B">
            <w:pPr>
              <w:pStyle w:val="TableText"/>
            </w:pPr>
            <w:r>
              <w:t xml:space="preserve">Yes </w:t>
            </w:r>
            <w:r>
              <w:rPr>
                <w:noProof/>
              </w:rPr>
              <w:t>(AQSIQ 2006c)</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No. Common leaf and stem feeder on </w:t>
            </w:r>
            <w:r>
              <w:rPr>
                <w:i/>
              </w:rPr>
              <w:t>P. persica</w:t>
            </w:r>
            <w:r>
              <w:t xml:space="preserve"> in China </w:t>
            </w:r>
            <w:r>
              <w:rPr>
                <w:noProof/>
              </w:rPr>
              <w:t>(AQSIQ 2006b)</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Malacosoma neustria</w:t>
            </w:r>
            <w:r>
              <w:t xml:space="preserve"> </w:t>
            </w:r>
            <w:r>
              <w:rPr>
                <w:i/>
              </w:rPr>
              <w:t>testacea</w:t>
            </w:r>
            <w:r>
              <w:t xml:space="preserve"> Motschulsky, 1861</w:t>
            </w:r>
          </w:p>
          <w:p w:rsidR="00B8782D" w:rsidRDefault="00B8782D">
            <w:pPr>
              <w:pStyle w:val="TableText"/>
            </w:pPr>
            <w:r>
              <w:t>[Lasiocampidae]</w:t>
            </w:r>
          </w:p>
          <w:p w:rsidR="00B8782D" w:rsidRDefault="00B8782D">
            <w:pPr>
              <w:pStyle w:val="TableText"/>
            </w:pPr>
            <w:r>
              <w:t>Tent caterpillar</w:t>
            </w:r>
          </w:p>
        </w:tc>
        <w:tc>
          <w:tcPr>
            <w:tcW w:w="575" w:type="pct"/>
            <w:shd w:val="clear" w:color="auto" w:fill="auto"/>
          </w:tcPr>
          <w:p w:rsidR="00B8782D" w:rsidRDefault="00B8782D" w:rsidP="00750C8B">
            <w:pPr>
              <w:pStyle w:val="TableText"/>
            </w:pPr>
            <w:r>
              <w:t xml:space="preserve">Yes </w:t>
            </w:r>
            <w:r>
              <w:rPr>
                <w:noProof/>
              </w:rPr>
              <w:t>(Feng &amp; Wang 2004)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in China </w:t>
            </w:r>
            <w:r>
              <w:rPr>
                <w:noProof/>
              </w:rPr>
              <w:t>(Feng &amp; Wang 2004)</w:t>
            </w:r>
            <w:r>
              <w:t xml:space="preserve">. Eggs are laid on twigs and are the overwintering stage. Larvae feed on leaves in spring </w:t>
            </w:r>
            <w:r>
              <w:rPr>
                <w:noProof/>
              </w:rPr>
              <w:t>(Feng &amp; Wang 2004)</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Malacosoma parallela</w:t>
            </w:r>
            <w:r>
              <w:t xml:space="preserve"> (Staudinger, 1887)</w:t>
            </w:r>
          </w:p>
          <w:p w:rsidR="00B8782D" w:rsidRDefault="00B8782D">
            <w:pPr>
              <w:pStyle w:val="TableText"/>
            </w:pPr>
            <w:r>
              <w:t>[Lasiocampidae]</w:t>
            </w:r>
          </w:p>
          <w:p w:rsidR="00B8782D" w:rsidRDefault="00B8782D">
            <w:pPr>
              <w:pStyle w:val="TableText"/>
            </w:pPr>
            <w:r>
              <w:t>Mountain ring silk moth</w:t>
            </w:r>
          </w:p>
        </w:tc>
        <w:tc>
          <w:tcPr>
            <w:tcW w:w="575" w:type="pct"/>
            <w:shd w:val="clear" w:color="auto" w:fill="auto"/>
          </w:tcPr>
          <w:p w:rsidR="00B8782D" w:rsidRDefault="00B8782D" w:rsidP="00750C8B">
            <w:pPr>
              <w:pStyle w:val="TableText"/>
            </w:pPr>
            <w:r>
              <w:t xml:space="preserve">Yes </w:t>
            </w:r>
            <w:r>
              <w:rPr>
                <w:noProof/>
              </w:rPr>
              <w:t>(Yang, Tulake &amp; Li 2005)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(CABI 2015)</w:t>
            </w:r>
            <w:r>
              <w:t xml:space="preserve">. Larvae feed on leaves </w:t>
            </w:r>
            <w:r>
              <w:rPr>
                <w:noProof/>
              </w:rPr>
              <w:t>(Yang, Tulake &amp; Li 2005)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Mamestra brassicae</w:t>
            </w:r>
            <w:r>
              <w:t xml:space="preserve"> (Linnaeus, 1758)</w:t>
            </w:r>
          </w:p>
          <w:p w:rsidR="00B8782D" w:rsidRDefault="00B8782D">
            <w:pPr>
              <w:pStyle w:val="TableText"/>
            </w:pPr>
            <w:r>
              <w:t>[Noctuidae]</w:t>
            </w:r>
          </w:p>
          <w:p w:rsidR="00B8782D" w:rsidRDefault="00B8782D">
            <w:pPr>
              <w:pStyle w:val="TableText"/>
            </w:pPr>
            <w:r>
              <w:t>Cabbage army worm</w:t>
            </w:r>
          </w:p>
        </w:tc>
        <w:tc>
          <w:tcPr>
            <w:tcW w:w="575" w:type="pct"/>
            <w:shd w:val="clear" w:color="auto" w:fill="auto"/>
          </w:tcPr>
          <w:p w:rsidR="00B8782D" w:rsidRDefault="00B8782D" w:rsidP="00750C8B">
            <w:pPr>
              <w:pStyle w:val="TableText"/>
            </w:pPr>
            <w:r>
              <w:t xml:space="preserve">Yes </w:t>
            </w:r>
            <w:r>
              <w:rPr>
                <w:noProof/>
              </w:rPr>
              <w:t>(CABI 2015; CABI &amp; EPPO 1984)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Larvae are primarily associated with </w:t>
            </w:r>
            <w:r>
              <w:rPr>
                <w:i/>
              </w:rPr>
              <w:t>Brassica</w:t>
            </w:r>
            <w:r>
              <w:t xml:space="preserve"> crops </w:t>
            </w:r>
            <w:r>
              <w:rPr>
                <w:noProof/>
              </w:rPr>
              <w:t>(CABI 2015)</w:t>
            </w:r>
            <w:r>
              <w:t xml:space="preserve">, but also feed on </w:t>
            </w:r>
            <w:r>
              <w:rPr>
                <w:i/>
              </w:rPr>
              <w:t>P. persica</w:t>
            </w:r>
            <w:r>
              <w:t xml:space="preserve"> </w:t>
            </w:r>
            <w:r>
              <w:rPr>
                <w:noProof/>
              </w:rPr>
              <w:t>(Molinari et al. 1995)</w:t>
            </w:r>
            <w:r>
              <w:t xml:space="preserve">. Eggs are laid on the underside of leaves; larvae feed on leaves </w:t>
            </w:r>
            <w:r>
              <w:rPr>
                <w:noProof/>
              </w:rPr>
              <w:t>(CABI 2015)</w:t>
            </w:r>
            <w:r>
              <w:t xml:space="preserve">. This pest only has an incidental association with peach and nectarine in orchards where understorey grass is high and other preferred host plants are present. Damage is only to the outside of ripening fruit </w:t>
            </w:r>
            <w:r>
              <w:rPr>
                <w:noProof/>
              </w:rPr>
              <w:t>(Molinari et al. 1995)</w:t>
            </w:r>
            <w:r>
              <w:t xml:space="preserve"> Larvae feed externally on fruit and would be dislodged during harvesting and packinghouse operations.</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Marumba goschkewitshi</w:t>
            </w:r>
            <w:r>
              <w:t xml:space="preserve"> (Bremer &amp; Grey, 1852)</w:t>
            </w:r>
          </w:p>
          <w:p w:rsidR="00B8782D" w:rsidRDefault="00B8782D">
            <w:pPr>
              <w:pStyle w:val="TableText"/>
            </w:pPr>
            <w:r>
              <w:t>[Sphingidae]</w:t>
            </w:r>
          </w:p>
          <w:p w:rsidR="00B8782D" w:rsidRDefault="00B8782D">
            <w:pPr>
              <w:pStyle w:val="TableText"/>
            </w:pPr>
            <w:r>
              <w:t>Peach horn worm</w:t>
            </w:r>
          </w:p>
        </w:tc>
        <w:tc>
          <w:tcPr>
            <w:tcW w:w="575" w:type="pct"/>
            <w:shd w:val="clear" w:color="auto" w:fill="auto"/>
          </w:tcPr>
          <w:p w:rsidR="00B8782D" w:rsidRDefault="00B8782D" w:rsidP="00750C8B">
            <w:pPr>
              <w:pStyle w:val="TableText"/>
            </w:pPr>
            <w:r>
              <w:t xml:space="preserve">Yes </w:t>
            </w:r>
            <w:r>
              <w:rPr>
                <w:noProof/>
              </w:rPr>
              <w:t>(CIQSA 2001c; Feng &amp; Wang 2004; Sun &amp; Wang 1999)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in China </w:t>
            </w:r>
            <w:r>
              <w:rPr>
                <w:noProof/>
              </w:rPr>
              <w:t>(AQSIQ 2006b; Feng &amp; Wang 2004)</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Monema flavescens</w:t>
            </w:r>
            <w:r>
              <w:t xml:space="preserve"> (Walker, 1855)</w:t>
            </w:r>
          </w:p>
          <w:p w:rsidR="00B8782D" w:rsidRDefault="00B8782D">
            <w:pPr>
              <w:pStyle w:val="TableText"/>
            </w:pPr>
            <w:r>
              <w:t>[Limacodidae]</w:t>
            </w:r>
          </w:p>
          <w:p w:rsidR="00B8782D" w:rsidRDefault="00B8782D">
            <w:pPr>
              <w:pStyle w:val="TableText"/>
            </w:pPr>
            <w:r>
              <w:t>Oriental moth</w:t>
            </w:r>
          </w:p>
        </w:tc>
        <w:tc>
          <w:tcPr>
            <w:tcW w:w="575" w:type="pct"/>
            <w:shd w:val="clear" w:color="auto" w:fill="auto"/>
          </w:tcPr>
          <w:p w:rsidR="00B8782D" w:rsidRDefault="00B8782D" w:rsidP="00750C8B">
            <w:pPr>
              <w:pStyle w:val="TableText"/>
            </w:pPr>
            <w:r>
              <w:t xml:space="preserve">Yes </w:t>
            </w:r>
            <w:r>
              <w:rPr>
                <w:noProof/>
              </w:rPr>
              <w:t>(CIQSA 2001c; Lammers &amp; Stigter 2004)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in China </w:t>
            </w:r>
            <w:r>
              <w:rPr>
                <w:noProof/>
              </w:rPr>
              <w:t>(AQSIQ 2006b)</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Oraesia emarginata</w:t>
            </w:r>
            <w:r>
              <w:t xml:space="preserve"> (Fabricius, 1794)</w:t>
            </w:r>
          </w:p>
          <w:p w:rsidR="00B8782D" w:rsidRDefault="00B8782D">
            <w:pPr>
              <w:pStyle w:val="TableText"/>
            </w:pPr>
            <w:r>
              <w:t>[Noctuidae]</w:t>
            </w:r>
          </w:p>
        </w:tc>
        <w:tc>
          <w:tcPr>
            <w:tcW w:w="575" w:type="pct"/>
            <w:shd w:val="clear" w:color="auto" w:fill="auto"/>
          </w:tcPr>
          <w:p w:rsidR="00B8782D" w:rsidRDefault="00B8782D" w:rsidP="00750C8B">
            <w:pPr>
              <w:pStyle w:val="TableText"/>
            </w:pPr>
            <w:r>
              <w:t xml:space="preserve">Yes </w:t>
            </w:r>
            <w:r>
              <w:rPr>
                <w:noProof/>
              </w:rPr>
              <w:t>(Liu &amp; Kuang 2001)</w:t>
            </w:r>
          </w:p>
        </w:tc>
        <w:tc>
          <w:tcPr>
            <w:tcW w:w="615" w:type="pct"/>
            <w:shd w:val="clear" w:color="auto" w:fill="auto"/>
          </w:tcPr>
          <w:p w:rsidR="00B8782D" w:rsidRDefault="00B8782D" w:rsidP="00750C8B">
            <w:pPr>
              <w:pStyle w:val="TableText"/>
            </w:pPr>
            <w:r>
              <w:t xml:space="preserve">Yes. Qld </w:t>
            </w:r>
            <w:r>
              <w:rPr>
                <w:noProof/>
              </w:rPr>
              <w:t>(Plant Health Australia 2001)</w:t>
            </w:r>
            <w:r>
              <w:t xml:space="preserve">. Not a regulated pest for Tas. </w:t>
            </w:r>
            <w:r>
              <w:rPr>
                <w:noProof/>
              </w:rPr>
              <w:t>(DPIPWE 2013)</w:t>
            </w:r>
            <w:r>
              <w:t xml:space="preserve">. This species is listed as a declared organism (Prohibited (section 12)) under the Western Australia BAM Act 2007 </w:t>
            </w:r>
            <w:r>
              <w:rPr>
                <w:noProof/>
              </w:rPr>
              <w:t>(Government of Western Australia 2014)</w:t>
            </w:r>
            <w:r>
              <w:t>.</w:t>
            </w:r>
          </w:p>
        </w:tc>
        <w:tc>
          <w:tcPr>
            <w:tcW w:w="716" w:type="pct"/>
            <w:shd w:val="clear" w:color="auto" w:fill="auto"/>
          </w:tcPr>
          <w:p w:rsidR="00B8782D" w:rsidRDefault="00B8782D" w:rsidP="00750C8B">
            <w:pPr>
              <w:pStyle w:val="TableText"/>
            </w:pPr>
            <w:r>
              <w:t xml:space="preserve">No. A pest of </w:t>
            </w:r>
            <w:r>
              <w:rPr>
                <w:i/>
              </w:rPr>
              <w:t>P. persica</w:t>
            </w:r>
            <w:r>
              <w:t xml:space="preserve"> </w:t>
            </w:r>
            <w:r>
              <w:rPr>
                <w:noProof/>
              </w:rPr>
              <w:t>(Liu &amp; Kuang 2001)</w:t>
            </w:r>
            <w:r>
              <w:t xml:space="preserve">. Both larvae and adult noctuid moths are inactive during the day and hide amongst foliage or leaf litter. During the night, adults usually feed on overripe or fermenting fruit </w:t>
            </w:r>
            <w:r>
              <w:rPr>
                <w:noProof/>
              </w:rPr>
              <w:t>(Common 1990)</w:t>
            </w:r>
            <w:r>
              <w:t>. Adults fly off from the fruit, once disturbed.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Oraesia excavata</w:t>
            </w:r>
            <w:r>
              <w:t xml:space="preserve"> (Butler, 1878)</w:t>
            </w:r>
          </w:p>
          <w:p w:rsidR="00B8782D" w:rsidRDefault="00B8782D">
            <w:pPr>
              <w:pStyle w:val="TableText"/>
            </w:pPr>
            <w:r>
              <w:t>[Noctuidae]</w:t>
            </w:r>
          </w:p>
        </w:tc>
        <w:tc>
          <w:tcPr>
            <w:tcW w:w="575" w:type="pct"/>
            <w:shd w:val="clear" w:color="auto" w:fill="auto"/>
          </w:tcPr>
          <w:p w:rsidR="00B8782D" w:rsidRDefault="00B8782D" w:rsidP="00750C8B">
            <w:pPr>
              <w:pStyle w:val="TableText"/>
            </w:pPr>
            <w:r>
              <w:t xml:space="preserve">Yes </w:t>
            </w:r>
            <w:r>
              <w:rPr>
                <w:noProof/>
              </w:rPr>
              <w:t>(Liu 2002)</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(Robinson et al. 2010)</w:t>
            </w:r>
            <w:r>
              <w:t xml:space="preserve">. Both larval and adult noctuid moths are inactive during the day and hide amongst foliage or leaf litter. During the night, adults usually feed on overripe or fermenting fruit </w:t>
            </w:r>
            <w:r>
              <w:rPr>
                <w:noProof/>
              </w:rPr>
              <w:t>(Common 1990)</w:t>
            </w:r>
            <w:r>
              <w:t>. Adults fly off fruit, once disturbed.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Pandemis cerasana</w:t>
            </w:r>
            <w:r>
              <w:t xml:space="preserve"> (Hübner, 1786)</w:t>
            </w:r>
          </w:p>
          <w:p w:rsidR="00B8782D" w:rsidRDefault="00B8782D">
            <w:pPr>
              <w:pStyle w:val="TableText"/>
            </w:pPr>
            <w:r>
              <w:t xml:space="preserve">Synonym: </w:t>
            </w:r>
            <w:r>
              <w:rPr>
                <w:i/>
              </w:rPr>
              <w:t xml:space="preserve">Pandemis ribeana </w:t>
            </w:r>
            <w:r>
              <w:t>Hübner, 1797</w:t>
            </w:r>
          </w:p>
          <w:p w:rsidR="00B8782D" w:rsidRDefault="00B8782D">
            <w:pPr>
              <w:pStyle w:val="TableText"/>
            </w:pPr>
            <w:r>
              <w:t>[Tortricidae]</w:t>
            </w:r>
          </w:p>
          <w:p w:rsidR="00B8782D" w:rsidRDefault="00B8782D">
            <w:pPr>
              <w:pStyle w:val="TableText"/>
            </w:pPr>
            <w:r>
              <w:t>Common twist moth</w:t>
            </w:r>
          </w:p>
        </w:tc>
        <w:tc>
          <w:tcPr>
            <w:tcW w:w="575" w:type="pct"/>
            <w:shd w:val="clear" w:color="auto" w:fill="auto"/>
          </w:tcPr>
          <w:p w:rsidR="00B8782D" w:rsidRDefault="00B8782D" w:rsidP="00750C8B">
            <w:pPr>
              <w:pStyle w:val="TableText"/>
            </w:pPr>
            <w:r>
              <w:t xml:space="preserve">Yes </w:t>
            </w:r>
            <w:r>
              <w:rPr>
                <w:noProof/>
              </w:rPr>
              <w:t>(CABI 2015; Hwang 1974)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(CABI 2015)</w:t>
            </w:r>
            <w:r>
              <w:t xml:space="preserve">. Egg masses are laid on leaves. Larvae feed on leaves and can also nibble at the skin of fruit near foliage </w:t>
            </w:r>
            <w:r>
              <w:rPr>
                <w:noProof/>
              </w:rPr>
              <w:t>(INRA 1997)</w:t>
            </w:r>
            <w:r>
              <w:t xml:space="preserve">. Larvae overwinter as young larvae protected in a silken shelter under a dry leaf fixed by a silken thread to the branches </w:t>
            </w:r>
            <w:r>
              <w:rPr>
                <w:noProof/>
              </w:rPr>
              <w:t>(CABI 2015)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Pandemis heparana</w:t>
            </w:r>
            <w:r>
              <w:t xml:space="preserve"> Denis &amp; Schiffermüller, 1775</w:t>
            </w:r>
          </w:p>
          <w:p w:rsidR="00B8782D" w:rsidRDefault="00B8782D">
            <w:pPr>
              <w:pStyle w:val="TableText"/>
            </w:pPr>
            <w:r>
              <w:t>[Tortricidae]</w:t>
            </w:r>
          </w:p>
          <w:p w:rsidR="00B8782D" w:rsidRDefault="00B8782D">
            <w:pPr>
              <w:pStyle w:val="TableText"/>
            </w:pPr>
            <w:r>
              <w:t>Apple brown tortrix</w:t>
            </w:r>
          </w:p>
        </w:tc>
        <w:tc>
          <w:tcPr>
            <w:tcW w:w="575" w:type="pct"/>
            <w:shd w:val="clear" w:color="auto" w:fill="auto"/>
          </w:tcPr>
          <w:p w:rsidR="00B8782D" w:rsidRDefault="00B8782D" w:rsidP="00750C8B">
            <w:pPr>
              <w:pStyle w:val="TableText"/>
            </w:pPr>
            <w:r>
              <w:t xml:space="preserve">Yes </w:t>
            </w:r>
            <w:r>
              <w:rPr>
                <w:noProof/>
              </w:rPr>
              <w:t>(AQSIQ 2006b, c)</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Feeds on </w:t>
            </w:r>
            <w:r>
              <w:rPr>
                <w:i/>
              </w:rPr>
              <w:t>P. persica</w:t>
            </w:r>
            <w:r>
              <w:t xml:space="preserve"> </w:t>
            </w:r>
            <w:r>
              <w:rPr>
                <w:noProof/>
              </w:rPr>
              <w:t>(Gilligan &amp; Epstein 2012; Ma 2006)</w:t>
            </w:r>
            <w:r>
              <w:t xml:space="preserve">. Eggs laid in masses on upper surface of leaves. Larvae feed on leaves and construct a hibernaculum under bark in the second or third instar in which to overwinter </w:t>
            </w:r>
            <w:r>
              <w:rPr>
                <w:noProof/>
              </w:rPr>
              <w:t>(Gilligan &amp; Epstein 2012; INRA 1997)</w:t>
            </w:r>
            <w:r>
              <w:t xml:space="preserve">. Larvae only feed superficially on fruit </w:t>
            </w:r>
            <w:r>
              <w:rPr>
                <w:noProof/>
              </w:rPr>
              <w:t>(Ma 2006)</w:t>
            </w:r>
            <w:r>
              <w:t xml:space="preserve"> and it is rarely reported from summerfruit </w:t>
            </w:r>
            <w:r>
              <w:rPr>
                <w:noProof/>
              </w:rPr>
              <w:t>(CABI 2015)</w:t>
            </w:r>
            <w:r>
              <w:t xml:space="preserve">. If present, this pest would be removed during harvest and post-harvest packing procedures </w:t>
            </w:r>
            <w:r>
              <w:rPr>
                <w:noProof/>
              </w:rPr>
              <w:t>(Feng &amp; Wang 2004)</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Peridroma saucia</w:t>
            </w:r>
            <w:r>
              <w:t xml:space="preserve"> (Hübner, 1808)</w:t>
            </w:r>
          </w:p>
          <w:p w:rsidR="00B8782D" w:rsidRDefault="00B8782D">
            <w:pPr>
              <w:pStyle w:val="TableText"/>
            </w:pPr>
            <w:r>
              <w:t>[Noctuidae]</w:t>
            </w:r>
          </w:p>
          <w:p w:rsidR="00B8782D" w:rsidRDefault="00B8782D">
            <w:pPr>
              <w:pStyle w:val="TableText"/>
            </w:pPr>
            <w:r>
              <w:t>Pearly underwing moth</w:t>
            </w:r>
          </w:p>
        </w:tc>
        <w:tc>
          <w:tcPr>
            <w:tcW w:w="575" w:type="pct"/>
            <w:shd w:val="clear" w:color="auto" w:fill="auto"/>
          </w:tcPr>
          <w:p w:rsidR="00B8782D" w:rsidRDefault="00B8782D" w:rsidP="00750C8B">
            <w:pPr>
              <w:pStyle w:val="TableText"/>
            </w:pPr>
            <w:r>
              <w:t xml:space="preserve">Yes </w:t>
            </w:r>
            <w:r>
              <w:rPr>
                <w:noProof/>
              </w:rPr>
              <w:t>(CABI 2015; Kuang 1985)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Present on </w:t>
            </w:r>
            <w:r>
              <w:rPr>
                <w:i/>
              </w:rPr>
              <w:t>P. persica</w:t>
            </w:r>
            <w:r>
              <w:t xml:space="preserve"> </w:t>
            </w:r>
            <w:r>
              <w:rPr>
                <w:noProof/>
              </w:rPr>
              <w:t>(CABI 2015)</w:t>
            </w:r>
            <w:r>
              <w:t xml:space="preserve">. Adult females oviposit on the ground or on the leaves of weeds. Upon hatching, larvae feed on the leaves of hosts and fully grown larvae overwinter in the soil </w:t>
            </w:r>
            <w:r>
              <w:rPr>
                <w:noProof/>
              </w:rPr>
              <w:t>(Kuang 1985)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Phalera flavescens</w:t>
            </w:r>
            <w:r>
              <w:t xml:space="preserve"> (Bremer &amp; Grey, 1852)</w:t>
            </w:r>
          </w:p>
          <w:p w:rsidR="00B8782D" w:rsidRDefault="00B8782D">
            <w:pPr>
              <w:pStyle w:val="TableText"/>
            </w:pPr>
            <w:r>
              <w:t>[Noctuidae]</w:t>
            </w:r>
          </w:p>
          <w:p w:rsidR="00B8782D" w:rsidRDefault="00B8782D">
            <w:pPr>
              <w:pStyle w:val="TableText"/>
            </w:pPr>
            <w:r>
              <w:t>Cherry caterpillar</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in China </w:t>
            </w:r>
            <w:r>
              <w:rPr>
                <w:noProof/>
              </w:rPr>
              <w:t>(AQSIQ 2006b; CIQSA 2001c)</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Phyllonorycter ringoniella</w:t>
            </w:r>
            <w:r>
              <w:t xml:space="preserve"> (Matsumura, 1931)</w:t>
            </w:r>
          </w:p>
          <w:p w:rsidR="00B8782D" w:rsidRDefault="00B8782D">
            <w:pPr>
              <w:pStyle w:val="TableText"/>
            </w:pPr>
            <w:r>
              <w:t>[Gracillariidae]</w:t>
            </w:r>
          </w:p>
          <w:p w:rsidR="00B8782D" w:rsidRDefault="00B8782D">
            <w:pPr>
              <w:pStyle w:val="TableText"/>
            </w:pPr>
            <w:r>
              <w:t>Apple leafminer</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in China </w:t>
            </w:r>
            <w:r>
              <w:rPr>
                <w:noProof/>
              </w:rPr>
              <w:t>(AQSIQ 2006b; CIQSA 2001c)</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Recurvaria syrictis</w:t>
            </w:r>
            <w:r>
              <w:t xml:space="preserve"> Meyrick, 1925</w:t>
            </w:r>
          </w:p>
          <w:p w:rsidR="00B8782D" w:rsidRDefault="00B8782D">
            <w:pPr>
              <w:pStyle w:val="TableText"/>
            </w:pPr>
            <w:r>
              <w:t>[Gelechiidae]</w:t>
            </w:r>
          </w:p>
        </w:tc>
        <w:tc>
          <w:tcPr>
            <w:tcW w:w="575" w:type="pct"/>
            <w:shd w:val="clear" w:color="auto" w:fill="auto"/>
          </w:tcPr>
          <w:p w:rsidR="00B8782D" w:rsidRDefault="00B8782D" w:rsidP="00750C8B">
            <w:pPr>
              <w:pStyle w:val="TableText"/>
            </w:pPr>
            <w:r>
              <w:t xml:space="preserve">Yes </w:t>
            </w:r>
            <w:r>
              <w:rPr>
                <w:noProof/>
              </w:rPr>
              <w:t>(Cao &amp; Guo 1987)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 pest of </w:t>
            </w:r>
            <w:r>
              <w:rPr>
                <w:i/>
              </w:rPr>
              <w:t>P. persica</w:t>
            </w:r>
            <w:r>
              <w:t xml:space="preserve">. Larvae feed on mesophyll tissue in leaves </w:t>
            </w:r>
            <w:r>
              <w:rPr>
                <w:noProof/>
              </w:rPr>
              <w:t>(Cao &amp; Guo 1987)</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Serrodes campana</w:t>
            </w:r>
            <w:r>
              <w:t xml:space="preserve"> Guenée, 1852</w:t>
            </w:r>
          </w:p>
          <w:p w:rsidR="00B8782D" w:rsidRDefault="00B8782D">
            <w:pPr>
              <w:pStyle w:val="TableText"/>
            </w:pPr>
            <w:r>
              <w:t>[Noctuidae]</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NSW, Qld </w:t>
            </w:r>
            <w:r>
              <w:rPr>
                <w:noProof/>
              </w:rPr>
              <w:t>(Plant Health Australia 2001)</w:t>
            </w:r>
            <w:r>
              <w:t xml:space="preserve">. Not a regulated pest for Tas. </w:t>
            </w:r>
            <w:r>
              <w:rPr>
                <w:noProof/>
              </w:rPr>
              <w:t>(DPIPWE 2013)</w:t>
            </w:r>
            <w:r>
              <w:t xml:space="preserve">. This species is listed as a declared organism (Prohibited (section 12)) under the Western Australia BAM Act 2007 </w:t>
            </w:r>
            <w:r>
              <w:rPr>
                <w:noProof/>
              </w:rPr>
              <w:t>(Government of Western Australia 2014)</w:t>
            </w:r>
            <w:r>
              <w:t>.</w:t>
            </w:r>
          </w:p>
        </w:tc>
        <w:tc>
          <w:tcPr>
            <w:tcW w:w="716" w:type="pct"/>
            <w:shd w:val="clear" w:color="auto" w:fill="auto"/>
          </w:tcPr>
          <w:p w:rsidR="00B8782D" w:rsidRDefault="00B8782D" w:rsidP="00750C8B">
            <w:pPr>
              <w:pStyle w:val="TableText"/>
            </w:pPr>
            <w:r>
              <w:t xml:space="preserve">No. Adults pierce </w:t>
            </w:r>
            <w:r>
              <w:rPr>
                <w:i/>
              </w:rPr>
              <w:t>P. persica</w:t>
            </w:r>
            <w:r>
              <w:t xml:space="preserve"> fruit and the larvae feed on leaves </w:t>
            </w:r>
            <w:r>
              <w:rPr>
                <w:noProof/>
              </w:rPr>
              <w:t>(Hattori 1969)</w:t>
            </w:r>
            <w:r>
              <w:t xml:space="preserve">. Both larvae and adult noctuid moths are inactive during the day and hide amongst foliage or leaf litter. During the night, adults usually feed on overripe or fermenting fruit </w:t>
            </w:r>
            <w:r>
              <w:rPr>
                <w:noProof/>
              </w:rPr>
              <w:t>(Common 1990)</w:t>
            </w:r>
            <w:r>
              <w:t>. Adults fly off from the fruit, once disturbed.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Setora postornata</w:t>
            </w:r>
            <w:r>
              <w:t xml:space="preserve"> (Hampson, 1900)</w:t>
            </w:r>
          </w:p>
          <w:p w:rsidR="00B8782D" w:rsidRDefault="00B8782D">
            <w:pPr>
              <w:pStyle w:val="TableText"/>
            </w:pPr>
            <w:r>
              <w:t>[Limacodidae]</w:t>
            </w:r>
          </w:p>
          <w:p w:rsidR="00B8782D" w:rsidRDefault="00B8782D">
            <w:pPr>
              <w:pStyle w:val="TableText"/>
            </w:pPr>
            <w:r>
              <w:t>Brown cochild</w:t>
            </w:r>
          </w:p>
        </w:tc>
        <w:tc>
          <w:tcPr>
            <w:tcW w:w="575" w:type="pct"/>
            <w:shd w:val="clear" w:color="auto" w:fill="auto"/>
          </w:tcPr>
          <w:p w:rsidR="00B8782D" w:rsidRDefault="00B8782D" w:rsidP="00750C8B">
            <w:pPr>
              <w:pStyle w:val="TableText"/>
            </w:pPr>
            <w:r>
              <w:t xml:space="preserve">Yes </w:t>
            </w:r>
            <w:r>
              <w:rPr>
                <w:noProof/>
              </w:rPr>
              <w:t>(Fang et al. 2001)</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w:t>
            </w:r>
            <w:r>
              <w:rPr>
                <w:i/>
              </w:rPr>
              <w:t>P. persica</w:t>
            </w:r>
            <w:r>
              <w:t xml:space="preserve"> listed as a host; larvae feed on the leaves </w:t>
            </w:r>
            <w:r>
              <w:rPr>
                <w:noProof/>
              </w:rPr>
              <w:t>(Ruiting et al. 2014)</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Spilonota albicana</w:t>
            </w:r>
            <w:r>
              <w:t xml:space="preserve"> (Motschulsky, 1866)</w:t>
            </w:r>
          </w:p>
          <w:p w:rsidR="00B8782D" w:rsidRDefault="00B8782D">
            <w:pPr>
              <w:pStyle w:val="TableText"/>
            </w:pPr>
            <w:r>
              <w:t xml:space="preserve">Synonym: </w:t>
            </w:r>
            <w:r>
              <w:rPr>
                <w:i/>
              </w:rPr>
              <w:t>Spilonota prognathana</w:t>
            </w:r>
            <w:r>
              <w:t xml:space="preserve"> (Sneller, 1883)</w:t>
            </w:r>
          </w:p>
          <w:p w:rsidR="00B8782D" w:rsidRDefault="00B8782D">
            <w:pPr>
              <w:pStyle w:val="TableText"/>
            </w:pPr>
            <w:r>
              <w:t>[Tortricidae]</w:t>
            </w:r>
          </w:p>
          <w:p w:rsidR="00B8782D" w:rsidRDefault="00B8782D">
            <w:pPr>
              <w:pStyle w:val="TableText"/>
            </w:pPr>
            <w:r>
              <w:t>White fruit moth</w:t>
            </w:r>
          </w:p>
        </w:tc>
        <w:tc>
          <w:tcPr>
            <w:tcW w:w="575" w:type="pct"/>
            <w:shd w:val="clear" w:color="auto" w:fill="auto"/>
          </w:tcPr>
          <w:p w:rsidR="00B8782D" w:rsidRDefault="00B8782D" w:rsidP="00750C8B">
            <w:pPr>
              <w:pStyle w:val="TableText"/>
            </w:pPr>
            <w:r>
              <w:t xml:space="preserve">Yes </w:t>
            </w:r>
            <w:r>
              <w:rPr>
                <w:noProof/>
              </w:rPr>
              <w:t>(AQSIQ 2006c)</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Feeds on </w:t>
            </w:r>
            <w:r>
              <w:rPr>
                <w:i/>
              </w:rPr>
              <w:t>P. persica</w:t>
            </w:r>
            <w:r>
              <w:t xml:space="preserve"> </w:t>
            </w:r>
            <w:r>
              <w:rPr>
                <w:noProof/>
              </w:rPr>
              <w:t>(Kondo &amp; Miyahara 1930; Zhang &amp; Qi 2013)</w:t>
            </w:r>
            <w:r>
              <w:t xml:space="preserve">. Eggs are usually laid on underside of leaves but can be laid directly into plum fruit </w:t>
            </w:r>
            <w:r>
              <w:rPr>
                <w:noProof/>
              </w:rPr>
              <w:t>(Zhang &amp; Qi 2013)</w:t>
            </w:r>
            <w:r>
              <w:t xml:space="preserve">. The larvae bore directly into the fruit </w:t>
            </w:r>
            <w:r>
              <w:rPr>
                <w:noProof/>
              </w:rPr>
              <w:t>(Kondo &amp; Miyahara 1930)</w:t>
            </w:r>
            <w:r>
              <w:t xml:space="preserve">, most often at the calyx </w:t>
            </w:r>
            <w:r>
              <w:rPr>
                <w:noProof/>
              </w:rPr>
              <w:t>(Afonin et al. 2008)</w:t>
            </w:r>
            <w:r>
              <w:t>.</w:t>
            </w:r>
          </w:p>
        </w:tc>
        <w:tc>
          <w:tcPr>
            <w:tcW w:w="717" w:type="pct"/>
            <w:shd w:val="clear" w:color="auto" w:fill="auto"/>
          </w:tcPr>
          <w:p w:rsidR="00B8782D" w:rsidRDefault="00B8782D" w:rsidP="00750C8B">
            <w:pPr>
              <w:pStyle w:val="TableText"/>
            </w:pPr>
            <w:r>
              <w:t xml:space="preserve">Yes. This species has a wide range of hosts including apple, pear, apricot, peach, and plum </w:t>
            </w:r>
            <w:r>
              <w:rPr>
                <w:noProof/>
              </w:rPr>
              <w:t>(Kondo &amp; Miyahara 1930; Zhang &amp; Li 2005)</w:t>
            </w:r>
            <w:r>
              <w:t xml:space="preserve">. It is widespread across China, and is also present in Japan, Korea and Russia </w:t>
            </w:r>
            <w:r>
              <w:rPr>
                <w:noProof/>
              </w:rPr>
              <w:t>(Afonin et al. 2008; Ma 2006)</w:t>
            </w:r>
            <w:r>
              <w:t>. Its host range and current distribution suggest that it could establish and spread in Australia.</w:t>
            </w:r>
          </w:p>
        </w:tc>
        <w:tc>
          <w:tcPr>
            <w:tcW w:w="716" w:type="pct"/>
            <w:shd w:val="clear" w:color="auto" w:fill="auto"/>
          </w:tcPr>
          <w:p w:rsidR="00B8782D" w:rsidRDefault="00B8782D" w:rsidP="00750C8B">
            <w:pPr>
              <w:pStyle w:val="TableText"/>
            </w:pPr>
            <w:r>
              <w:t xml:space="preserve">Yes. A pest of apple, pear, hawthorn, peach, plum, apricot and cherry </w:t>
            </w:r>
            <w:r>
              <w:rPr>
                <w:noProof/>
              </w:rPr>
              <w:t>(Afonin et al. 2008)</w:t>
            </w:r>
            <w:r>
              <w:t xml:space="preserve">. Up to 85 per cent of an apple crop can be damaged by this pest </w:t>
            </w:r>
            <w:r>
              <w:rPr>
                <w:noProof/>
              </w:rPr>
              <w:t>(Afonin et al. 2008)</w:t>
            </w:r>
            <w:r>
              <w:t>.</w:t>
            </w:r>
          </w:p>
        </w:tc>
        <w:tc>
          <w:tcPr>
            <w:tcW w:w="574" w:type="pct"/>
            <w:shd w:val="clear" w:color="auto" w:fill="auto"/>
          </w:tcPr>
          <w:p w:rsidR="00B8782D" w:rsidRDefault="00B8782D">
            <w:pPr>
              <w:pStyle w:val="TableText"/>
            </w:pPr>
            <w:r>
              <w:t>Yes (EP)</w:t>
            </w:r>
          </w:p>
        </w:tc>
      </w:tr>
      <w:tr w:rsidR="00B8782D">
        <w:trPr>
          <w:cantSplit/>
          <w:trHeight w:val="75"/>
          <w:jc w:val="center"/>
        </w:trPr>
        <w:tc>
          <w:tcPr>
            <w:tcW w:w="1087" w:type="pct"/>
            <w:shd w:val="clear" w:color="auto" w:fill="auto"/>
          </w:tcPr>
          <w:p w:rsidR="00B8782D" w:rsidRDefault="00B8782D">
            <w:pPr>
              <w:pStyle w:val="TableText"/>
            </w:pPr>
            <w:r>
              <w:rPr>
                <w:i/>
              </w:rPr>
              <w:lastRenderedPageBreak/>
              <w:t>Spilosoma subcarnea</w:t>
            </w:r>
            <w:r>
              <w:t xml:space="preserve"> (Walker, 1855)</w:t>
            </w:r>
          </w:p>
          <w:p w:rsidR="00B8782D" w:rsidRDefault="00B8782D">
            <w:pPr>
              <w:pStyle w:val="TableText"/>
            </w:pPr>
            <w:r>
              <w:t>[Arctiidae]</w:t>
            </w:r>
          </w:p>
        </w:tc>
        <w:tc>
          <w:tcPr>
            <w:tcW w:w="575" w:type="pct"/>
            <w:shd w:val="clear" w:color="auto" w:fill="auto"/>
          </w:tcPr>
          <w:p w:rsidR="00B8782D" w:rsidRDefault="00B8782D" w:rsidP="00750C8B">
            <w:pPr>
              <w:pStyle w:val="TableText"/>
            </w:pPr>
            <w:r>
              <w:t xml:space="preserve">Yes </w:t>
            </w:r>
            <w:r>
              <w:rPr>
                <w:noProof/>
              </w:rPr>
              <w:t>(Feng &amp; Wang 2004)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(Feng &amp; Wang 2004)</w:t>
            </w:r>
            <w:r>
              <w:t xml:space="preserve">. Larvae feed on leaves, in some cases only leaving the stem and veins of the leaf. Later instar larvae feed on the surface of fruit in addition to feeding on leaves </w:t>
            </w:r>
            <w:r>
              <w:rPr>
                <w:noProof/>
              </w:rPr>
              <w:t>(Feng &amp; Wang 2004)</w:t>
            </w:r>
            <w:r>
              <w:t xml:space="preserve">. Later instar larvae are easily detectable because they are large (approximately 46–55 millimetres), colourful and hairy, and would be removed during harvest or post-harvest packing procedures </w:t>
            </w:r>
            <w:r>
              <w:rPr>
                <w:noProof/>
              </w:rPr>
              <w:t>(Feng &amp; Wang 2004)</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Stathmopoda auriferella</w:t>
            </w:r>
            <w:r>
              <w:t xml:space="preserve"> (Walker, 1864)</w:t>
            </w:r>
          </w:p>
          <w:p w:rsidR="00B8782D" w:rsidRDefault="00B8782D">
            <w:pPr>
              <w:pStyle w:val="TableText"/>
            </w:pPr>
            <w:r>
              <w:t xml:space="preserve">Synonym: </w:t>
            </w:r>
            <w:r>
              <w:rPr>
                <w:i/>
              </w:rPr>
              <w:t>Stathmopoda crocophanes</w:t>
            </w:r>
            <w:r>
              <w:t xml:space="preserve"> Meyrick, 1897</w:t>
            </w:r>
          </w:p>
          <w:p w:rsidR="00B8782D" w:rsidRDefault="00B8782D">
            <w:pPr>
              <w:pStyle w:val="TableText"/>
            </w:pPr>
            <w:r>
              <w:t>[Oecophoridae]</w:t>
            </w:r>
          </w:p>
          <w:p w:rsidR="00B8782D" w:rsidRDefault="00B8782D">
            <w:pPr>
              <w:pStyle w:val="TableText"/>
            </w:pPr>
            <w:r>
              <w:t>Apple heliodinid</w:t>
            </w:r>
          </w:p>
        </w:tc>
        <w:tc>
          <w:tcPr>
            <w:tcW w:w="575" w:type="pct"/>
            <w:shd w:val="clear" w:color="auto" w:fill="auto"/>
          </w:tcPr>
          <w:p w:rsidR="00B8782D" w:rsidRDefault="00B8782D" w:rsidP="00750C8B">
            <w:pPr>
              <w:pStyle w:val="TableText"/>
            </w:pPr>
            <w:r>
              <w:t xml:space="preserve">Yes </w:t>
            </w:r>
            <w:r>
              <w:rPr>
                <w:noProof/>
              </w:rPr>
              <w:t>(Shanghai Insects Online 2014)</w:t>
            </w:r>
          </w:p>
        </w:tc>
        <w:tc>
          <w:tcPr>
            <w:tcW w:w="615" w:type="pct"/>
            <w:shd w:val="clear" w:color="auto" w:fill="auto"/>
          </w:tcPr>
          <w:p w:rsidR="00B8782D" w:rsidRDefault="00B8782D" w:rsidP="00750C8B">
            <w:pPr>
              <w:pStyle w:val="TableText"/>
            </w:pPr>
            <w:r>
              <w:t xml:space="preserve">Yes. SA, Tas., Vic., WA </w:t>
            </w:r>
            <w:r>
              <w:rPr>
                <w:noProof/>
              </w:rPr>
              <w:t>(CSIRO 2005; Plant Health Australia 2001)</w:t>
            </w:r>
            <w:r>
              <w:t xml:space="preserve"> (as </w:t>
            </w:r>
            <w:r>
              <w:rPr>
                <w:i/>
              </w:rPr>
              <w:t>Stathmopoda crocophanes</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Synanthedon hector</w:t>
            </w:r>
            <w:r>
              <w:t xml:space="preserve"> (Butler, 1878)</w:t>
            </w:r>
          </w:p>
          <w:p w:rsidR="00B8782D" w:rsidRDefault="00B8782D">
            <w:pPr>
              <w:pStyle w:val="TableText"/>
            </w:pPr>
            <w:r>
              <w:t xml:space="preserve">Synonym: </w:t>
            </w:r>
            <w:r>
              <w:rPr>
                <w:i/>
              </w:rPr>
              <w:t xml:space="preserve">Conopia hector </w:t>
            </w:r>
            <w:r>
              <w:t>Butler, 1878</w:t>
            </w:r>
          </w:p>
          <w:p w:rsidR="00B8782D" w:rsidRDefault="00B8782D">
            <w:pPr>
              <w:pStyle w:val="TableText"/>
            </w:pPr>
            <w:r>
              <w:t>[Sesiidae]</w:t>
            </w:r>
          </w:p>
          <w:p w:rsidR="00B8782D" w:rsidRDefault="00B8782D">
            <w:pPr>
              <w:pStyle w:val="TableText"/>
            </w:pPr>
            <w:r>
              <w:t>Cherry tree borer, Apple borer</w:t>
            </w:r>
          </w:p>
        </w:tc>
        <w:tc>
          <w:tcPr>
            <w:tcW w:w="575" w:type="pct"/>
            <w:shd w:val="clear" w:color="auto" w:fill="auto"/>
          </w:tcPr>
          <w:p w:rsidR="00B8782D" w:rsidRDefault="00B8782D" w:rsidP="00750C8B">
            <w:pPr>
              <w:pStyle w:val="TableText"/>
            </w:pPr>
            <w:r>
              <w:t xml:space="preserve">Yes </w:t>
            </w:r>
            <w:r>
              <w:rPr>
                <w:noProof/>
              </w:rPr>
              <w:t>(AQSIQ 2006c)</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Serious pest of </w:t>
            </w:r>
            <w:r>
              <w:rPr>
                <w:i/>
              </w:rPr>
              <w:t>P. persica</w:t>
            </w:r>
            <w:r>
              <w:t xml:space="preserve"> </w:t>
            </w:r>
            <w:r>
              <w:rPr>
                <w:noProof/>
              </w:rPr>
              <w:t>(Matsumoto, Nakamuta &amp; Nakashima 2007)</w:t>
            </w:r>
            <w:r>
              <w:t xml:space="preserve">. Larval sesiids are stem borers of fruit trees and shrubs and do not feed on the fruit </w:t>
            </w:r>
            <w:r>
              <w:rPr>
                <w:noProof/>
              </w:rPr>
              <w:t>(CABI 2015)</w:t>
            </w:r>
            <w:r>
              <w:t xml:space="preserve">. The larvae of this species bore into the lower trunk of trees and feed on the cambium layer </w:t>
            </w:r>
            <w:r>
              <w:rPr>
                <w:noProof/>
              </w:rPr>
              <w:t>(Naka et al. 2008)</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 xml:space="preserve"> 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Telphusa chloroderces</w:t>
            </w:r>
            <w:r>
              <w:t xml:space="preserve"> Meyrick, 1929</w:t>
            </w:r>
          </w:p>
          <w:p w:rsidR="00B8782D" w:rsidRDefault="00B8782D">
            <w:pPr>
              <w:pStyle w:val="TableText"/>
            </w:pPr>
            <w:r>
              <w:t>[Gelechiidae]</w:t>
            </w:r>
          </w:p>
          <w:p w:rsidR="00B8782D" w:rsidRDefault="00B8782D">
            <w:pPr>
              <w:pStyle w:val="TableText"/>
            </w:pPr>
            <w:r>
              <w:t>Black star-spotted gelechid moth</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w:t>
            </w:r>
            <w:r>
              <w:rPr>
                <w:noProof/>
              </w:rPr>
              <w:t>(CIQSA 2001c)</w:t>
            </w:r>
            <w:r>
              <w:t>. No report of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Thosea sinensis</w:t>
            </w:r>
            <w:r>
              <w:t xml:space="preserve"> (Walker, 1855)</w:t>
            </w:r>
          </w:p>
          <w:p w:rsidR="00B8782D" w:rsidRDefault="00B8782D">
            <w:pPr>
              <w:pStyle w:val="TableText"/>
            </w:pPr>
            <w:r>
              <w:t>[Limacodidae]</w:t>
            </w:r>
          </w:p>
          <w:p w:rsidR="00B8782D" w:rsidRDefault="00B8782D">
            <w:pPr>
              <w:pStyle w:val="TableText"/>
            </w:pPr>
            <w:r>
              <w:t>Coconut cup moth</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and stems of </w:t>
            </w:r>
            <w:r>
              <w:rPr>
                <w:i/>
              </w:rPr>
              <w:t>P. persica</w:t>
            </w:r>
            <w:r>
              <w:t xml:space="preserve"> </w:t>
            </w:r>
            <w:r>
              <w:rPr>
                <w:noProof/>
              </w:rPr>
              <w:t>(CIQSA 2001c)</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Thyas juno</w:t>
            </w:r>
            <w:r>
              <w:t xml:space="preserve"> (Dalman, 1823)</w:t>
            </w:r>
          </w:p>
          <w:p w:rsidR="00B8782D" w:rsidRDefault="00B8782D">
            <w:pPr>
              <w:pStyle w:val="TableText"/>
            </w:pPr>
            <w:r>
              <w:t>[Noctuidae]</w:t>
            </w:r>
          </w:p>
        </w:tc>
        <w:tc>
          <w:tcPr>
            <w:tcW w:w="575" w:type="pct"/>
            <w:shd w:val="clear" w:color="auto" w:fill="auto"/>
          </w:tcPr>
          <w:p w:rsidR="00B8782D" w:rsidRDefault="00B8782D" w:rsidP="00750C8B">
            <w:pPr>
              <w:pStyle w:val="TableText"/>
            </w:pPr>
            <w:r>
              <w:t xml:space="preserve">Yes </w:t>
            </w:r>
            <w:r>
              <w:rPr>
                <w:noProof/>
              </w:rPr>
              <w:t>(CABI 2015; 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(CABI 2015)</w:t>
            </w:r>
            <w:r>
              <w:t xml:space="preserve">. Both larvae and adult noctuid moths are inactive during the day and hide amongst foliage or leaf litter. During the night, adults usually feed on overripe or fermenting fruit </w:t>
            </w:r>
            <w:r>
              <w:rPr>
                <w:noProof/>
              </w:rPr>
              <w:t>(Common 1990)</w:t>
            </w:r>
            <w:r>
              <w:t>. Adults fly off fruit, once disturbed.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Trifurcula sinica</w:t>
            </w:r>
            <w:r>
              <w:t xml:space="preserve"> (Yang, 1989)</w:t>
            </w:r>
          </w:p>
          <w:p w:rsidR="00B8782D" w:rsidRDefault="00B8782D">
            <w:pPr>
              <w:pStyle w:val="TableText"/>
            </w:pPr>
            <w:r>
              <w:t>[Nepticulidae]</w:t>
            </w:r>
          </w:p>
        </w:tc>
        <w:tc>
          <w:tcPr>
            <w:tcW w:w="575" w:type="pct"/>
            <w:shd w:val="clear" w:color="auto" w:fill="auto"/>
          </w:tcPr>
          <w:p w:rsidR="00B8782D" w:rsidRDefault="00B8782D" w:rsidP="00750C8B">
            <w:pPr>
              <w:pStyle w:val="TableText"/>
            </w:pPr>
            <w:r>
              <w:t xml:space="preserve">Yes </w:t>
            </w:r>
            <w:r>
              <w:rPr>
                <w:noProof/>
              </w:rPr>
              <w:t>(Wang et al. 2007; Yang 1989)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(Wang et al. 2007; Yang 1989)</w:t>
            </w:r>
            <w:r>
              <w:t xml:space="preserve">. Larvae form galls on young branch tips of apricot </w:t>
            </w:r>
            <w:r>
              <w:rPr>
                <w:noProof/>
              </w:rPr>
              <w:t>(Wang et al. 2007)</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Xestia c-nigrum</w:t>
            </w:r>
            <w:r>
              <w:t xml:space="preserve"> (Linnaeus, 1758)</w:t>
            </w:r>
          </w:p>
          <w:p w:rsidR="00B8782D" w:rsidRDefault="00B8782D">
            <w:pPr>
              <w:pStyle w:val="TableText"/>
            </w:pPr>
            <w:r>
              <w:t>[Noctuidae]</w:t>
            </w:r>
          </w:p>
          <w:p w:rsidR="00B8782D" w:rsidRDefault="00B8782D">
            <w:pPr>
              <w:pStyle w:val="TableText"/>
            </w:pPr>
            <w:r>
              <w:t>Spotted cutworm</w:t>
            </w:r>
          </w:p>
        </w:tc>
        <w:tc>
          <w:tcPr>
            <w:tcW w:w="575" w:type="pct"/>
            <w:shd w:val="clear" w:color="auto" w:fill="auto"/>
          </w:tcPr>
          <w:p w:rsidR="00B8782D" w:rsidRDefault="00B8782D" w:rsidP="00750C8B">
            <w:pPr>
              <w:pStyle w:val="TableText"/>
            </w:pPr>
            <w:r>
              <w:t xml:space="preserve">Yes </w:t>
            </w:r>
            <w:r>
              <w:rPr>
                <w:noProof/>
              </w:rPr>
              <w:t>(CABI 2015)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This insect is a pest of </w:t>
            </w:r>
            <w:r>
              <w:rPr>
                <w:i/>
              </w:rPr>
              <w:t>P. persica</w:t>
            </w:r>
            <w:r>
              <w:t xml:space="preserve"> </w:t>
            </w:r>
            <w:r>
              <w:rPr>
                <w:noProof/>
              </w:rPr>
              <w:t>(CABI 2015)</w:t>
            </w:r>
            <w:r>
              <w:t xml:space="preserve">. The larvae prefer to feed on foliage. Any damage by larval feeding on fruit results in deep external erosions </w:t>
            </w:r>
            <w:r>
              <w:rPr>
                <w:noProof/>
              </w:rPr>
              <w:t>(Molinari et al. 1995)</w:t>
            </w:r>
            <w:r>
              <w:t xml:space="preserve">. Larvae feed at night, and then descend to the ground to hide during the day </w:t>
            </w:r>
            <w:r>
              <w:rPr>
                <w:noProof/>
              </w:rPr>
              <w:t>(CABI 2015)</w:t>
            </w:r>
            <w:r>
              <w:t xml:space="preserve"> and would not be present at harvest.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5000" w:type="pct"/>
            <w:gridSpan w:val="7"/>
            <w:shd w:val="clear" w:color="auto" w:fill="auto"/>
          </w:tcPr>
          <w:p w:rsidR="00B8782D" w:rsidRDefault="00B8782D">
            <w:pPr>
              <w:pStyle w:val="TableText"/>
              <w:rPr>
                <w:b/>
              </w:rPr>
            </w:pPr>
            <w:r>
              <w:rPr>
                <w:b/>
              </w:rPr>
              <w:t>Orthoptera</w:t>
            </w:r>
          </w:p>
        </w:tc>
      </w:tr>
      <w:tr w:rsidR="00B8782D">
        <w:trPr>
          <w:cantSplit/>
          <w:trHeight w:val="75"/>
          <w:jc w:val="center"/>
        </w:trPr>
        <w:tc>
          <w:tcPr>
            <w:tcW w:w="1087" w:type="pct"/>
            <w:shd w:val="clear" w:color="auto" w:fill="auto"/>
          </w:tcPr>
          <w:p w:rsidR="00B8782D" w:rsidRDefault="00B8782D">
            <w:pPr>
              <w:pStyle w:val="TableText"/>
            </w:pPr>
            <w:r>
              <w:rPr>
                <w:i/>
              </w:rPr>
              <w:t>Gryllus bimaculatus</w:t>
            </w:r>
            <w:r>
              <w:t xml:space="preserve"> DeGeer, 1773</w:t>
            </w:r>
          </w:p>
          <w:p w:rsidR="00B8782D" w:rsidRDefault="00B8782D">
            <w:pPr>
              <w:pStyle w:val="TableText"/>
            </w:pPr>
            <w:r>
              <w:t>[Gryllidae]</w:t>
            </w:r>
          </w:p>
          <w:p w:rsidR="00B8782D" w:rsidRDefault="00B8782D">
            <w:pPr>
              <w:pStyle w:val="TableText"/>
            </w:pPr>
            <w:r>
              <w:t>Field cricket</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(Li, Wang &amp; Waterhouse 1997)</w:t>
            </w:r>
            <w:r>
              <w:t xml:space="preserve">. Usually feeds on seeds, seedlings, leaves and also sometimes on grasshoppers and caterpillars </w:t>
            </w:r>
            <w:r>
              <w:rPr>
                <w:noProof/>
              </w:rPr>
              <w:t>(Saeed, Saeed &amp; Yousuf 2000)</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Holochlora japonica</w:t>
            </w:r>
            <w:r>
              <w:t xml:space="preserve"> Brunner von Wattenwyl, 1878</w:t>
            </w:r>
          </w:p>
          <w:p w:rsidR="00B8782D" w:rsidRDefault="00B8782D">
            <w:pPr>
              <w:pStyle w:val="TableText"/>
            </w:pPr>
            <w:r>
              <w:t>[Tettigoniidae]</w:t>
            </w:r>
          </w:p>
          <w:p w:rsidR="00B8782D" w:rsidRDefault="00B8782D">
            <w:pPr>
              <w:pStyle w:val="TableText"/>
            </w:pPr>
            <w:r>
              <w:t>Japanese broad winged katydid</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(Li, Wang &amp; Waterhouse 1997)</w:t>
            </w:r>
            <w:r>
              <w:t>. May feed on the surface of fruit but would jump away when disturbed during harvesting.</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Tarbinskiellus portentosus</w:t>
            </w:r>
            <w:r>
              <w:t xml:space="preserve"> (Lichtenstein, 1796)</w:t>
            </w:r>
          </w:p>
          <w:p w:rsidR="00B8782D" w:rsidRDefault="00B8782D">
            <w:pPr>
              <w:pStyle w:val="TableText"/>
            </w:pPr>
            <w:r>
              <w:t>[Gryllidae]</w:t>
            </w:r>
          </w:p>
          <w:p w:rsidR="00B8782D" w:rsidRDefault="00B8782D">
            <w:pPr>
              <w:pStyle w:val="TableText"/>
            </w:pPr>
            <w:r>
              <w:t>Rice field cricket</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(Li, Wang &amp; Waterhouse 1997)</w:t>
            </w:r>
            <w:r>
              <w:t xml:space="preserve">. Adults and nymphs live in the soil and emerge at night. Feeds on seedlings and tender shoots of agricultural crops and nursery stock </w:t>
            </w:r>
            <w:r>
              <w:rPr>
                <w:noProof/>
              </w:rPr>
              <w:t>(Li, Wang &amp; Waterhouse 1997)</w:t>
            </w:r>
            <w:r>
              <w:t>. No report of an association with mature nectarine or peach fruit was found.</w:t>
            </w:r>
          </w:p>
          <w:p w:rsidR="00B8782D" w:rsidRDefault="00B8782D" w:rsidP="00750C8B">
            <w:pPr>
              <w:pStyle w:val="TableText"/>
            </w:pPr>
          </w:p>
          <w:p w:rsidR="00B8782D" w:rsidRDefault="00B8782D" w:rsidP="00750C8B">
            <w:pPr>
              <w:pStyle w:val="TableText"/>
            </w:pPr>
          </w:p>
          <w:p w:rsidR="00B8782D" w:rsidRDefault="00B8782D" w:rsidP="00750C8B">
            <w:pPr>
              <w:pStyle w:val="TableText"/>
            </w:pPr>
          </w:p>
          <w:p w:rsidR="00B8782D" w:rsidRDefault="00B8782D" w:rsidP="00750C8B">
            <w:pPr>
              <w:pStyle w:val="TableText"/>
            </w:pPr>
          </w:p>
          <w:p w:rsidR="00B8782D" w:rsidRDefault="00B8782D" w:rsidP="00750C8B">
            <w:pPr>
              <w:pStyle w:val="TableText"/>
            </w:pPr>
          </w:p>
          <w:p w:rsidR="00B8782D" w:rsidRDefault="00B8782D" w:rsidP="00750C8B">
            <w:pPr>
              <w:pStyle w:val="TableText"/>
            </w:pPr>
          </w:p>
          <w:p w:rsidR="00B8782D" w:rsidRDefault="00B8782D" w:rsidP="00750C8B">
            <w:pPr>
              <w:pStyle w:val="TableText"/>
            </w:pPr>
          </w:p>
          <w:p w:rsidR="00B8782D" w:rsidRDefault="00B8782D" w:rsidP="00750C8B">
            <w:pPr>
              <w:pStyle w:val="TableText"/>
            </w:pPr>
          </w:p>
          <w:p w:rsidR="00B8782D" w:rsidRDefault="00B8782D" w:rsidP="00750C8B">
            <w:pPr>
              <w:pStyle w:val="TableText"/>
            </w:pPr>
          </w:p>
          <w:p w:rsidR="00B8782D" w:rsidRDefault="00B8782D" w:rsidP="00750C8B">
            <w:pPr>
              <w:pStyle w:val="TableText"/>
            </w:pPr>
          </w:p>
          <w:p w:rsidR="00B8782D" w:rsidRDefault="00B8782D" w:rsidP="00750C8B">
            <w:pPr>
              <w:pStyle w:val="TableText"/>
            </w:pP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5000" w:type="pct"/>
            <w:gridSpan w:val="7"/>
            <w:shd w:val="clear" w:color="auto" w:fill="auto"/>
          </w:tcPr>
          <w:p w:rsidR="00B8782D" w:rsidRDefault="00B8782D">
            <w:pPr>
              <w:pStyle w:val="TableText"/>
              <w:rPr>
                <w:b/>
              </w:rPr>
            </w:pPr>
            <w:r>
              <w:rPr>
                <w:b/>
              </w:rPr>
              <w:lastRenderedPageBreak/>
              <w:t>Thysanoptera</w:t>
            </w:r>
          </w:p>
        </w:tc>
      </w:tr>
      <w:tr w:rsidR="00B8782D">
        <w:trPr>
          <w:cantSplit/>
          <w:trHeight w:val="75"/>
          <w:jc w:val="center"/>
        </w:trPr>
        <w:tc>
          <w:tcPr>
            <w:tcW w:w="1087" w:type="pct"/>
            <w:shd w:val="clear" w:color="auto" w:fill="auto"/>
          </w:tcPr>
          <w:p w:rsidR="00B8782D" w:rsidRDefault="00B8782D">
            <w:pPr>
              <w:pStyle w:val="TableText"/>
            </w:pPr>
            <w:r>
              <w:rPr>
                <w:i/>
              </w:rPr>
              <w:t>Frankliniella intonsa</w:t>
            </w:r>
            <w:r>
              <w:t xml:space="preserve"> (Trybom, 1895)</w:t>
            </w:r>
          </w:p>
          <w:p w:rsidR="00B8782D" w:rsidRDefault="00B8782D">
            <w:pPr>
              <w:pStyle w:val="TableText"/>
            </w:pPr>
            <w:r>
              <w:t>[Thripidae]</w:t>
            </w:r>
          </w:p>
          <w:p w:rsidR="00B8782D" w:rsidRDefault="00B8782D">
            <w:pPr>
              <w:pStyle w:val="TableText"/>
            </w:pPr>
            <w:r>
              <w:t>Eurasian flower thrips</w:t>
            </w:r>
          </w:p>
        </w:tc>
        <w:tc>
          <w:tcPr>
            <w:tcW w:w="575" w:type="pct"/>
            <w:shd w:val="clear" w:color="auto" w:fill="auto"/>
          </w:tcPr>
          <w:p w:rsidR="00B8782D" w:rsidRDefault="00B8782D" w:rsidP="00750C8B">
            <w:pPr>
              <w:pStyle w:val="TableText"/>
            </w:pPr>
            <w:r>
              <w:t xml:space="preserve">Yes </w:t>
            </w:r>
            <w:r>
              <w:rPr>
                <w:noProof/>
              </w:rPr>
              <w:t>(CABI 2015; Li, Wang &amp; Waterhouse 1997)</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Principally a pest of flowers and strawberries, but is reported to cause damage to developing </w:t>
            </w:r>
            <w:r>
              <w:rPr>
                <w:i/>
              </w:rPr>
              <w:t>P. persica</w:t>
            </w:r>
            <w:r>
              <w:t xml:space="preserve"> fruit </w:t>
            </w:r>
            <w:r>
              <w:rPr>
                <w:noProof/>
              </w:rPr>
              <w:t>(CABI 2015)</w:t>
            </w:r>
            <w:r>
              <w:t xml:space="preserve">. It feeds and lays eggs in fruit </w:t>
            </w:r>
            <w:r>
              <w:rPr>
                <w:noProof/>
              </w:rPr>
              <w:t>(CABI 2015)</w:t>
            </w:r>
            <w:r>
              <w:t>.</w:t>
            </w:r>
          </w:p>
        </w:tc>
        <w:tc>
          <w:tcPr>
            <w:tcW w:w="717" w:type="pct"/>
            <w:shd w:val="clear" w:color="auto" w:fill="auto"/>
          </w:tcPr>
          <w:p w:rsidR="00B8782D" w:rsidRDefault="00B8782D" w:rsidP="00750C8B">
            <w:pPr>
              <w:pStyle w:val="TableText"/>
            </w:pPr>
            <w:r>
              <w:t xml:space="preserve">Yes. Wide host range including cotton, peanuts, leafy vegetables, rice, sugarcane, sweet potato, capsicum, asparagus, strawberry, bean, pea, rose and tomato </w:t>
            </w:r>
            <w:r>
              <w:rPr>
                <w:noProof/>
              </w:rPr>
              <w:t>(CABI 2015; Li, Wang &amp; Waterhouse 1997)</w:t>
            </w:r>
            <w:r>
              <w:t>. Distributed over a range of environments across Asia including China, the Middle East, North America, Europe and New Zealand. Its host range and geographic range suggests potential for establishment and spread.</w:t>
            </w:r>
          </w:p>
        </w:tc>
        <w:tc>
          <w:tcPr>
            <w:tcW w:w="716" w:type="pct"/>
            <w:shd w:val="clear" w:color="auto" w:fill="auto"/>
          </w:tcPr>
          <w:p w:rsidR="00B8782D" w:rsidRDefault="00B8782D" w:rsidP="00750C8B">
            <w:pPr>
              <w:pStyle w:val="TableText"/>
            </w:pPr>
            <w:r>
              <w:t xml:space="preserve">Yes. Feeds on fruit and lays eggs in fruit reducing marketability. Can be a vector of economically important tospoviruses such as Tomato spotted wilt tospovirus (TSWV) </w:t>
            </w:r>
            <w:r>
              <w:rPr>
                <w:noProof/>
              </w:rPr>
              <w:t>(CABI 2015; Jones 2005; Wijkamp et al. 1995)</w:t>
            </w:r>
            <w:r>
              <w:t>.</w:t>
            </w:r>
          </w:p>
        </w:tc>
        <w:tc>
          <w:tcPr>
            <w:tcW w:w="574" w:type="pct"/>
            <w:shd w:val="clear" w:color="auto" w:fill="auto"/>
          </w:tcPr>
          <w:p w:rsidR="00B8782D" w:rsidRDefault="00B8782D">
            <w:pPr>
              <w:pStyle w:val="TableText"/>
            </w:pPr>
            <w:r>
              <w:t>Yes (EP)</w:t>
            </w:r>
          </w:p>
        </w:tc>
      </w:tr>
      <w:tr w:rsidR="00B8782D">
        <w:trPr>
          <w:cantSplit/>
          <w:trHeight w:val="75"/>
          <w:jc w:val="center"/>
        </w:trPr>
        <w:tc>
          <w:tcPr>
            <w:tcW w:w="1087" w:type="pct"/>
            <w:shd w:val="clear" w:color="auto" w:fill="auto"/>
          </w:tcPr>
          <w:p w:rsidR="00B8782D" w:rsidRDefault="00B8782D">
            <w:pPr>
              <w:pStyle w:val="TableText"/>
            </w:pPr>
            <w:r>
              <w:rPr>
                <w:i/>
              </w:rPr>
              <w:lastRenderedPageBreak/>
              <w:t>Frankliniella occidentalis</w:t>
            </w:r>
            <w:r>
              <w:t xml:space="preserve"> (Pergande, 1895)</w:t>
            </w:r>
          </w:p>
          <w:p w:rsidR="00B8782D" w:rsidRDefault="00B8782D">
            <w:pPr>
              <w:pStyle w:val="TableText"/>
            </w:pPr>
            <w:r>
              <w:t>[Thripidae]</w:t>
            </w:r>
          </w:p>
          <w:p w:rsidR="00B8782D" w:rsidRDefault="00B8782D">
            <w:pPr>
              <w:pStyle w:val="TableText"/>
            </w:pPr>
            <w:r>
              <w:t>Western flower thrips</w:t>
            </w:r>
          </w:p>
        </w:tc>
        <w:tc>
          <w:tcPr>
            <w:tcW w:w="575" w:type="pct"/>
            <w:shd w:val="clear" w:color="auto" w:fill="auto"/>
          </w:tcPr>
          <w:p w:rsidR="00B8782D" w:rsidRDefault="00B8782D" w:rsidP="00750C8B">
            <w:pPr>
              <w:pStyle w:val="TableText"/>
            </w:pPr>
            <w:r>
              <w:t xml:space="preserve">Yes </w:t>
            </w:r>
            <w:r>
              <w:rPr>
                <w:noProof/>
              </w:rPr>
              <w:t>(Lu et al. 2007)</w:t>
            </w:r>
          </w:p>
        </w:tc>
        <w:tc>
          <w:tcPr>
            <w:tcW w:w="615" w:type="pct"/>
            <w:shd w:val="clear" w:color="auto" w:fill="auto"/>
          </w:tcPr>
          <w:p w:rsidR="00B8782D" w:rsidRDefault="00B8782D" w:rsidP="00750C8B">
            <w:pPr>
              <w:pStyle w:val="TableText"/>
            </w:pPr>
            <w:r>
              <w:t xml:space="preserve">Yes. All states and ACT </w:t>
            </w:r>
            <w:r>
              <w:rPr>
                <w:noProof/>
              </w:rPr>
              <w:t>(Plant Health Australia 2001)</w:t>
            </w:r>
            <w:r>
              <w:t xml:space="preserve"> but is absent from NT. Regulated for the NT </w:t>
            </w:r>
            <w:r>
              <w:rPr>
                <w:noProof/>
              </w:rPr>
              <w:t>(Northern Territory Government 2011)</w:t>
            </w:r>
            <w:r>
              <w:t>.</w:t>
            </w:r>
          </w:p>
        </w:tc>
        <w:tc>
          <w:tcPr>
            <w:tcW w:w="716" w:type="pct"/>
            <w:shd w:val="clear" w:color="auto" w:fill="auto"/>
          </w:tcPr>
          <w:p w:rsidR="00B8782D" w:rsidRDefault="00B8782D" w:rsidP="00750C8B">
            <w:pPr>
              <w:pStyle w:val="TableText"/>
            </w:pPr>
            <w:r>
              <w:t xml:space="preserve">Yes. Pest of </w:t>
            </w:r>
            <w:r>
              <w:rPr>
                <w:i/>
              </w:rPr>
              <w:t>P. persica</w:t>
            </w:r>
            <w:r>
              <w:t xml:space="preserve"> </w:t>
            </w:r>
            <w:r>
              <w:rPr>
                <w:noProof/>
              </w:rPr>
              <w:t>(CABI 2015)</w:t>
            </w:r>
            <w:r>
              <w:t xml:space="preserve">. Affects the fruiting stages of its hosts feeding on, and laying eggs in the fruit </w:t>
            </w:r>
            <w:r>
              <w:rPr>
                <w:noProof/>
              </w:rPr>
              <w:t>(CABI 2015)</w:t>
            </w:r>
            <w:r>
              <w:t xml:space="preserve">. It has been collected on nectarine fruit during harvest </w:t>
            </w:r>
            <w:r>
              <w:rPr>
                <w:noProof/>
              </w:rPr>
              <w:t>(Tommasini &amp; Ceredi 2007)</w:t>
            </w:r>
            <w:r>
              <w:t>.</w:t>
            </w:r>
          </w:p>
        </w:tc>
        <w:tc>
          <w:tcPr>
            <w:tcW w:w="717" w:type="pct"/>
            <w:shd w:val="clear" w:color="auto" w:fill="auto"/>
          </w:tcPr>
          <w:p w:rsidR="00B8782D" w:rsidRDefault="00B8782D" w:rsidP="00750C8B">
            <w:pPr>
              <w:pStyle w:val="TableText"/>
            </w:pPr>
            <w:r>
              <w:t xml:space="preserve">Yes. Wide host range and distributed worldwide. It has a limited distribution in Australia, indicating that suitable environments exist in Australia for this thrips to establish </w:t>
            </w:r>
            <w:r>
              <w:rPr>
                <w:noProof/>
              </w:rPr>
              <w:t>(CABI 2015; Davidson, Butler &amp; Teulon 2006; Jones 2005)</w:t>
            </w:r>
            <w:r>
              <w:t xml:space="preserve">. The high fecundity, short generation time, and capacity to reproduce by parthenogenesis suggests that minimal numbers are required for establishment of founding populations </w:t>
            </w:r>
            <w:r>
              <w:rPr>
                <w:noProof/>
              </w:rPr>
              <w:t>(Morse &amp; Hoddle 2006)</w:t>
            </w:r>
            <w:r>
              <w:t xml:space="preserve">. Under optimal conditions, thrips populations could potentially establish from a single female </w:t>
            </w:r>
            <w:r>
              <w:rPr>
                <w:noProof/>
              </w:rPr>
              <w:t>(Morse &amp; Hoddle 2006)</w:t>
            </w:r>
            <w:r>
              <w:t>.</w:t>
            </w:r>
          </w:p>
        </w:tc>
        <w:tc>
          <w:tcPr>
            <w:tcW w:w="716" w:type="pct"/>
            <w:shd w:val="clear" w:color="auto" w:fill="auto"/>
          </w:tcPr>
          <w:p w:rsidR="00B8782D" w:rsidRDefault="00B8782D" w:rsidP="00750C8B">
            <w:pPr>
              <w:pStyle w:val="TableText"/>
            </w:pPr>
            <w:r>
              <w:t xml:space="preserve">Yes. Direct damage through feeding and oviposition may scar leaf, flower, or fruit surfaces and/or deform plant growth </w:t>
            </w:r>
            <w:r>
              <w:rPr>
                <w:noProof/>
              </w:rPr>
              <w:t>(Dreistadt &amp; Phillips 2007b)</w:t>
            </w:r>
            <w:r>
              <w:t xml:space="preserve">. Leaves may become mottled, dwarfed and distorted with browned or wilted margins and may drop prematurely </w:t>
            </w:r>
            <w:r>
              <w:rPr>
                <w:noProof/>
              </w:rPr>
              <w:t>(Dreistadt &amp; Phillips 2007b; Smith &amp; Van Driesche 2003)</w:t>
            </w:r>
            <w:r>
              <w:t xml:space="preserve">. This species is one of the most important greenhouse pests in the world and is also a major pest of some outdoor crops in warmer climates </w:t>
            </w:r>
            <w:r>
              <w:rPr>
                <w:noProof/>
              </w:rPr>
              <w:t>(CABI 2015)</w:t>
            </w:r>
            <w:r>
              <w:t xml:space="preserve">. It is also an important vector of plant diseases </w:t>
            </w:r>
            <w:r>
              <w:rPr>
                <w:noProof/>
              </w:rPr>
              <w:t>(CABI 2015)</w:t>
            </w:r>
            <w:r>
              <w:t>.</w:t>
            </w:r>
          </w:p>
        </w:tc>
        <w:tc>
          <w:tcPr>
            <w:tcW w:w="574" w:type="pct"/>
            <w:shd w:val="clear" w:color="auto" w:fill="auto"/>
          </w:tcPr>
          <w:p w:rsidR="00B8782D" w:rsidRDefault="00B8782D">
            <w:pPr>
              <w:pStyle w:val="TableText"/>
            </w:pPr>
            <w:r>
              <w:t>Yes (EP, NT)</w:t>
            </w:r>
          </w:p>
        </w:tc>
      </w:tr>
      <w:tr w:rsidR="00B8782D">
        <w:trPr>
          <w:cantSplit/>
          <w:trHeight w:val="75"/>
          <w:jc w:val="center"/>
        </w:trPr>
        <w:tc>
          <w:tcPr>
            <w:tcW w:w="1087" w:type="pct"/>
            <w:shd w:val="clear" w:color="auto" w:fill="auto"/>
          </w:tcPr>
          <w:p w:rsidR="00B8782D" w:rsidRDefault="00B8782D">
            <w:pPr>
              <w:pStyle w:val="TableText"/>
            </w:pPr>
            <w:r>
              <w:rPr>
                <w:i/>
              </w:rPr>
              <w:t>Heliothrips haemorrhoidalis</w:t>
            </w:r>
            <w:r>
              <w:t xml:space="preserve"> (Bouché, 1833)</w:t>
            </w:r>
          </w:p>
          <w:p w:rsidR="00B8782D" w:rsidRDefault="00B8782D">
            <w:pPr>
              <w:pStyle w:val="TableText"/>
            </w:pPr>
            <w:r>
              <w:t>[Thripidae]</w:t>
            </w:r>
          </w:p>
          <w:p w:rsidR="00B8782D" w:rsidRDefault="00B8782D">
            <w:pPr>
              <w:pStyle w:val="TableText"/>
            </w:pPr>
            <w:r>
              <w:t>Greenhouse thrips</w:t>
            </w:r>
          </w:p>
        </w:tc>
        <w:tc>
          <w:tcPr>
            <w:tcW w:w="575" w:type="pct"/>
            <w:shd w:val="clear" w:color="auto" w:fill="auto"/>
          </w:tcPr>
          <w:p w:rsidR="00B8782D" w:rsidRDefault="00B8782D" w:rsidP="00750C8B">
            <w:pPr>
              <w:pStyle w:val="TableText"/>
            </w:pPr>
            <w:r>
              <w:t xml:space="preserve">Yes </w:t>
            </w:r>
            <w:r>
              <w:rPr>
                <w:noProof/>
              </w:rPr>
              <w:t>(Li, Wang &amp; Waterhouse 1997)</w:t>
            </w:r>
          </w:p>
        </w:tc>
        <w:tc>
          <w:tcPr>
            <w:tcW w:w="615" w:type="pct"/>
            <w:shd w:val="clear" w:color="auto" w:fill="auto"/>
          </w:tcPr>
          <w:p w:rsidR="00B8782D" w:rsidRDefault="00B8782D" w:rsidP="00750C8B">
            <w:pPr>
              <w:pStyle w:val="TableText"/>
            </w:pPr>
            <w:r>
              <w:t xml:space="preserve">Yes. NSW, NT, Qld, SA, Tas., Vic., WA </w:t>
            </w:r>
            <w:r>
              <w:rPr>
                <w:noProof/>
              </w:rPr>
              <w:t>(Plant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lastRenderedPageBreak/>
              <w:t>Scirtothrips dorsalis</w:t>
            </w:r>
            <w:r>
              <w:t xml:space="preserve"> Hood, 1919</w:t>
            </w:r>
          </w:p>
          <w:p w:rsidR="00B8782D" w:rsidRDefault="00B8782D">
            <w:pPr>
              <w:pStyle w:val="TableText"/>
            </w:pPr>
            <w:r>
              <w:t>[Thripidae]</w:t>
            </w:r>
          </w:p>
          <w:p w:rsidR="00B8782D" w:rsidRDefault="00B8782D">
            <w:pPr>
              <w:pStyle w:val="TableText"/>
            </w:pPr>
            <w:r>
              <w:t>Yellow tea thrips, Chilli thrips, Strawberry thrips</w:t>
            </w:r>
          </w:p>
        </w:tc>
        <w:tc>
          <w:tcPr>
            <w:tcW w:w="575" w:type="pct"/>
            <w:shd w:val="clear" w:color="auto" w:fill="auto"/>
          </w:tcPr>
          <w:p w:rsidR="00B8782D" w:rsidRDefault="00B8782D" w:rsidP="00750C8B">
            <w:pPr>
              <w:pStyle w:val="TableText"/>
            </w:pPr>
            <w:r>
              <w:t xml:space="preserve">Yes </w:t>
            </w:r>
            <w:r>
              <w:rPr>
                <w:noProof/>
              </w:rPr>
              <w:t>(CABI &amp; EPPO 2010)</w:t>
            </w:r>
          </w:p>
        </w:tc>
        <w:tc>
          <w:tcPr>
            <w:tcW w:w="615" w:type="pct"/>
            <w:shd w:val="clear" w:color="auto" w:fill="auto"/>
          </w:tcPr>
          <w:p w:rsidR="00B8782D" w:rsidRDefault="00B8782D" w:rsidP="00750C8B">
            <w:pPr>
              <w:pStyle w:val="TableText"/>
            </w:pPr>
            <w:r>
              <w:t xml:space="preserve">Yes. NSW, NT, Qld </w:t>
            </w:r>
            <w:r>
              <w:rPr>
                <w:noProof/>
              </w:rPr>
              <w:t>(Plant Health Australia 2001)</w:t>
            </w:r>
            <w:r>
              <w:t xml:space="preserve"> and WA </w:t>
            </w:r>
            <w:r>
              <w:rPr>
                <w:noProof/>
              </w:rPr>
              <w:t>(Poole 2010)</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 xml:space="preserve">Assessment not required </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Thrips flavus</w:t>
            </w:r>
            <w:r>
              <w:t xml:space="preserve"> Schrank, 1776</w:t>
            </w:r>
          </w:p>
          <w:p w:rsidR="00B8782D" w:rsidRDefault="00B8782D">
            <w:pPr>
              <w:pStyle w:val="TableText"/>
            </w:pPr>
            <w:r>
              <w:t>[Thripidae]</w:t>
            </w:r>
          </w:p>
          <w:p w:rsidR="00B8782D" w:rsidRDefault="00B8782D">
            <w:pPr>
              <w:pStyle w:val="TableText"/>
            </w:pPr>
            <w:r>
              <w:t>Eurasian yellow flower thrips, Honeysuckle thrips</w:t>
            </w:r>
          </w:p>
        </w:tc>
        <w:tc>
          <w:tcPr>
            <w:tcW w:w="575" w:type="pct"/>
            <w:shd w:val="clear" w:color="auto" w:fill="auto"/>
          </w:tcPr>
          <w:p w:rsidR="00B8782D" w:rsidRDefault="00B8782D" w:rsidP="00750C8B">
            <w:pPr>
              <w:pStyle w:val="TableText"/>
            </w:pPr>
            <w:r>
              <w:t xml:space="preserve">Yes </w:t>
            </w:r>
            <w:r>
              <w:rPr>
                <w:noProof/>
              </w:rPr>
              <w:t>(CABI 2015; Li, Wang &amp; Waterhouse 1997; Liang et al. 2007)</w:t>
            </w:r>
          </w:p>
        </w:tc>
        <w:tc>
          <w:tcPr>
            <w:tcW w:w="615" w:type="pct"/>
            <w:shd w:val="clear" w:color="auto" w:fill="auto"/>
          </w:tcPr>
          <w:p w:rsidR="00B8782D" w:rsidRDefault="00B8782D" w:rsidP="00750C8B">
            <w:pPr>
              <w:pStyle w:val="TableText"/>
            </w:pPr>
            <w:r>
              <w:t xml:space="preserve">Yes. NSW </w:t>
            </w:r>
            <w:r>
              <w:rPr>
                <w:noProof/>
              </w:rPr>
              <w:t>(Plant Health Australia 2001)</w:t>
            </w:r>
          </w:p>
        </w:tc>
        <w:tc>
          <w:tcPr>
            <w:tcW w:w="716" w:type="pct"/>
            <w:shd w:val="clear" w:color="auto" w:fill="auto"/>
          </w:tcPr>
          <w:p w:rsidR="00B8782D" w:rsidRDefault="00B8782D" w:rsidP="00750C8B">
            <w:pPr>
              <w:pStyle w:val="TableText"/>
            </w:pPr>
            <w:r>
              <w:t xml:space="preserve">No. Pest of </w:t>
            </w:r>
            <w:r>
              <w:rPr>
                <w:i/>
              </w:rPr>
              <w:t>P. persica</w:t>
            </w:r>
            <w:r>
              <w:t xml:space="preserve"> </w:t>
            </w:r>
            <w:r>
              <w:rPr>
                <w:noProof/>
              </w:rPr>
              <w:t>(Veer 1985)</w:t>
            </w:r>
            <w:r>
              <w:t xml:space="preserve">. This thrips feeds on the lower surface of leaves and on floral parts and lays eggs in petals, the walls of the ovary in young fruit or on the lower surface of the leaves </w:t>
            </w:r>
            <w:r>
              <w:rPr>
                <w:noProof/>
              </w:rPr>
              <w:t>(Veer 1985)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1087" w:type="pct"/>
            <w:shd w:val="clear" w:color="auto" w:fill="auto"/>
          </w:tcPr>
          <w:p w:rsidR="00B8782D" w:rsidRDefault="00B8782D">
            <w:pPr>
              <w:pStyle w:val="TableText"/>
            </w:pPr>
            <w:r>
              <w:rPr>
                <w:i/>
              </w:rPr>
              <w:t>Thrips tabaci</w:t>
            </w:r>
            <w:r>
              <w:t xml:space="preserve"> Lindeman, 1888</w:t>
            </w:r>
          </w:p>
          <w:p w:rsidR="00B8782D" w:rsidRDefault="00B8782D">
            <w:pPr>
              <w:pStyle w:val="TableText"/>
            </w:pPr>
            <w:r>
              <w:t>[Thripidae]</w:t>
            </w:r>
          </w:p>
          <w:p w:rsidR="00B8782D" w:rsidRDefault="00B8782D">
            <w:pPr>
              <w:pStyle w:val="TableText"/>
            </w:pPr>
            <w:r>
              <w:t>Onion thrips</w:t>
            </w:r>
          </w:p>
        </w:tc>
        <w:tc>
          <w:tcPr>
            <w:tcW w:w="575" w:type="pct"/>
            <w:shd w:val="clear" w:color="auto" w:fill="auto"/>
          </w:tcPr>
          <w:p w:rsidR="00B8782D" w:rsidRDefault="00B8782D" w:rsidP="00750C8B">
            <w:pPr>
              <w:pStyle w:val="TableText"/>
            </w:pPr>
            <w:r>
              <w:t xml:space="preserve">Yes </w:t>
            </w:r>
            <w:r>
              <w:rPr>
                <w:noProof/>
              </w:rPr>
              <w:t>(AQSIQ 2006a; Li, Wang &amp; Waterhouse 1997)</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 Poole 2010)</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5000" w:type="pct"/>
            <w:gridSpan w:val="7"/>
            <w:shd w:val="clear" w:color="auto" w:fill="auto"/>
          </w:tcPr>
          <w:p w:rsidR="00B8782D" w:rsidRDefault="00B8782D">
            <w:pPr>
              <w:pStyle w:val="TableText"/>
              <w:rPr>
                <w:b/>
              </w:rPr>
            </w:pPr>
            <w:r>
              <w:rPr>
                <w:b/>
              </w:rPr>
              <w:t>BACTERIA</w:t>
            </w:r>
          </w:p>
        </w:tc>
      </w:tr>
      <w:tr w:rsidR="00B8782D">
        <w:trPr>
          <w:cantSplit/>
          <w:jc w:val="center"/>
        </w:trPr>
        <w:tc>
          <w:tcPr>
            <w:tcW w:w="1087" w:type="pct"/>
            <w:shd w:val="clear" w:color="auto" w:fill="auto"/>
          </w:tcPr>
          <w:p w:rsidR="00B8782D" w:rsidRDefault="00B8782D">
            <w:pPr>
              <w:pStyle w:val="TableText"/>
            </w:pPr>
            <w:r>
              <w:rPr>
                <w:i/>
              </w:rPr>
              <w:t>Pseudomonas syringae</w:t>
            </w:r>
            <w:r>
              <w:t xml:space="preserve"> pv. </w:t>
            </w:r>
            <w:r>
              <w:rPr>
                <w:i/>
              </w:rPr>
              <w:t>syringae</w:t>
            </w:r>
            <w:r>
              <w:t xml:space="preserve"> van Hall 1902</w:t>
            </w:r>
          </w:p>
          <w:p w:rsidR="00B8782D" w:rsidRDefault="00B8782D">
            <w:pPr>
              <w:pStyle w:val="TableText"/>
            </w:pPr>
            <w:r>
              <w:t xml:space="preserve">Synonym: </w:t>
            </w:r>
            <w:r>
              <w:rPr>
                <w:i/>
              </w:rPr>
              <w:t>Pseudomonas</w:t>
            </w:r>
            <w:r>
              <w:t xml:space="preserve"> </w:t>
            </w:r>
            <w:r>
              <w:rPr>
                <w:i/>
              </w:rPr>
              <w:t>syringae</w:t>
            </w:r>
            <w:r>
              <w:t xml:space="preserve"> f.sp.</w:t>
            </w:r>
            <w:r>
              <w:rPr>
                <w:i/>
              </w:rPr>
              <w:t>prunicola</w:t>
            </w:r>
            <w:r>
              <w:t xml:space="preserve"> (Wormald) Dowson 1949</w:t>
            </w:r>
          </w:p>
          <w:p w:rsidR="00B8782D" w:rsidRDefault="00B8782D">
            <w:pPr>
              <w:pStyle w:val="TableText"/>
            </w:pPr>
            <w:r>
              <w:t>[Pseudomonadales: Pseudomonadaceae]</w:t>
            </w:r>
          </w:p>
          <w:p w:rsidR="00B8782D" w:rsidRDefault="00B8782D">
            <w:pPr>
              <w:pStyle w:val="TableText"/>
            </w:pPr>
            <w:r>
              <w:t>Bacterial canker</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All states and territories </w:t>
            </w:r>
            <w:r>
              <w:rPr>
                <w:noProof/>
              </w:rPr>
              <w:t>(Bradbury 1986; Plant Health Australia 2001)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5000" w:type="pct"/>
            <w:gridSpan w:val="7"/>
            <w:shd w:val="clear" w:color="auto" w:fill="auto"/>
          </w:tcPr>
          <w:p w:rsidR="00B8782D" w:rsidRDefault="00B8782D">
            <w:pPr>
              <w:pStyle w:val="TableText"/>
              <w:rPr>
                <w:b/>
                <w:highlight w:val="yellow"/>
              </w:rPr>
            </w:pPr>
            <w:r>
              <w:rPr>
                <w:b/>
              </w:rPr>
              <w:lastRenderedPageBreak/>
              <w:t>CHROMALVEOLATA</w:t>
            </w:r>
          </w:p>
        </w:tc>
      </w:tr>
      <w:tr w:rsidR="00B8782D">
        <w:trPr>
          <w:cantSplit/>
          <w:jc w:val="center"/>
        </w:trPr>
        <w:tc>
          <w:tcPr>
            <w:tcW w:w="1087" w:type="pct"/>
            <w:shd w:val="clear" w:color="auto" w:fill="auto"/>
          </w:tcPr>
          <w:p w:rsidR="00B8782D" w:rsidRDefault="00B8782D">
            <w:pPr>
              <w:pStyle w:val="TableText"/>
            </w:pPr>
            <w:r>
              <w:rPr>
                <w:i/>
              </w:rPr>
              <w:t>Phytophthora cactorum</w:t>
            </w:r>
            <w:r>
              <w:t xml:space="preserve"> (Lebert &amp; Cohn) Schröt.</w:t>
            </w:r>
          </w:p>
          <w:p w:rsidR="00B8782D" w:rsidRDefault="00B8782D">
            <w:pPr>
              <w:pStyle w:val="TableText"/>
            </w:pPr>
            <w:r>
              <w:t>[Peronosporales: Peronosporaceae]</w:t>
            </w:r>
          </w:p>
        </w:tc>
        <w:tc>
          <w:tcPr>
            <w:tcW w:w="575" w:type="pct"/>
            <w:shd w:val="clear" w:color="auto" w:fill="auto"/>
          </w:tcPr>
          <w:p w:rsidR="00B8782D" w:rsidRDefault="00B8782D" w:rsidP="00750C8B">
            <w:pPr>
              <w:pStyle w:val="TableText"/>
            </w:pPr>
            <w:r>
              <w:t xml:space="preserve">Yes </w:t>
            </w:r>
            <w:r>
              <w:rPr>
                <w:noProof/>
              </w:rPr>
              <w:t>(CIQSA 2001b)</w:t>
            </w:r>
          </w:p>
        </w:tc>
        <w:tc>
          <w:tcPr>
            <w:tcW w:w="615" w:type="pct"/>
            <w:shd w:val="clear" w:color="auto" w:fill="auto"/>
          </w:tcPr>
          <w:p w:rsidR="00B8782D" w:rsidRDefault="00B8782D" w:rsidP="00750C8B">
            <w:pPr>
              <w:pStyle w:val="TableText"/>
            </w:pPr>
            <w:r>
              <w:t xml:space="preserve">Yes. ACT, NSW, Qld, SA, Tas., Vic., WA </w:t>
            </w:r>
            <w:r>
              <w:rPr>
                <w:noProof/>
              </w:rPr>
              <w:t>(Plant Health Australia 2001)</w:t>
            </w:r>
            <w:r>
              <w:t xml:space="preserve"> </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Phytophthora cambivora</w:t>
            </w:r>
            <w:r>
              <w:t xml:space="preserve"> (Petri) Buisman</w:t>
            </w:r>
          </w:p>
          <w:p w:rsidR="00B8782D" w:rsidRDefault="00B8782D">
            <w:pPr>
              <w:pStyle w:val="TableText"/>
            </w:pPr>
            <w:r>
              <w:t>[Peronosporales: Peronosporaceae]</w:t>
            </w:r>
          </w:p>
        </w:tc>
        <w:tc>
          <w:tcPr>
            <w:tcW w:w="575" w:type="pct"/>
            <w:shd w:val="clear" w:color="auto" w:fill="auto"/>
          </w:tcPr>
          <w:p w:rsidR="00B8782D" w:rsidRDefault="00B8782D" w:rsidP="00750C8B">
            <w:pPr>
              <w:pStyle w:val="TableText"/>
            </w:pPr>
            <w:r>
              <w:t xml:space="preserve">Yes </w:t>
            </w:r>
            <w:r>
              <w:rPr>
                <w:noProof/>
              </w:rPr>
              <w:t>(Bounous &amp; Liu 1996)</w:t>
            </w:r>
          </w:p>
        </w:tc>
        <w:tc>
          <w:tcPr>
            <w:tcW w:w="615" w:type="pct"/>
            <w:shd w:val="clear" w:color="auto" w:fill="auto"/>
          </w:tcPr>
          <w:p w:rsidR="00B8782D" w:rsidRDefault="00B8782D" w:rsidP="00750C8B">
            <w:pPr>
              <w:pStyle w:val="TableText"/>
            </w:pPr>
            <w:r>
              <w:t xml:space="preserve">Yes. NSW, Qld, SA, Vic., WA </w:t>
            </w:r>
            <w:r>
              <w:rPr>
                <w:noProof/>
              </w:rPr>
              <w:t>(Plant Health Australia 2001)</w:t>
            </w:r>
            <w:r>
              <w:t xml:space="preserve">. Not a regulated pest for Tas. </w:t>
            </w:r>
            <w:r>
              <w:rPr>
                <w:noProof/>
              </w:rPr>
              <w:t>(DPIPWE 2013)</w:t>
            </w:r>
            <w:r>
              <w:t>.</w:t>
            </w:r>
          </w:p>
        </w:tc>
        <w:tc>
          <w:tcPr>
            <w:tcW w:w="716" w:type="pct"/>
            <w:shd w:val="clear" w:color="auto" w:fill="auto"/>
          </w:tcPr>
          <w:p w:rsidR="00B8782D" w:rsidRDefault="00B8782D">
            <w:pPr>
              <w:pStyle w:val="TableText"/>
            </w:pPr>
            <w:r>
              <w:t xml:space="preserve">Assessment not required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75"/>
          <w:jc w:val="center"/>
        </w:trPr>
        <w:tc>
          <w:tcPr>
            <w:tcW w:w="5000" w:type="pct"/>
            <w:gridSpan w:val="7"/>
            <w:shd w:val="clear" w:color="auto" w:fill="auto"/>
          </w:tcPr>
          <w:p w:rsidR="00B8782D" w:rsidRDefault="00B8782D">
            <w:pPr>
              <w:pStyle w:val="TableText"/>
              <w:rPr>
                <w:b/>
              </w:rPr>
            </w:pPr>
            <w:r>
              <w:rPr>
                <w:b/>
              </w:rPr>
              <w:t xml:space="preserve">FUNGI </w:t>
            </w:r>
          </w:p>
        </w:tc>
      </w:tr>
      <w:tr w:rsidR="00B8782D">
        <w:trPr>
          <w:cantSplit/>
          <w:jc w:val="center"/>
        </w:trPr>
        <w:tc>
          <w:tcPr>
            <w:tcW w:w="1087" w:type="pct"/>
            <w:shd w:val="clear" w:color="auto" w:fill="auto"/>
          </w:tcPr>
          <w:p w:rsidR="00B8782D" w:rsidRDefault="00B8782D">
            <w:pPr>
              <w:pStyle w:val="TableText"/>
            </w:pPr>
            <w:r>
              <w:rPr>
                <w:i/>
              </w:rPr>
              <w:t>Alternaria alternata</w:t>
            </w:r>
            <w:r>
              <w:t xml:space="preserve"> (Fr.) Keissl.</w:t>
            </w:r>
          </w:p>
          <w:p w:rsidR="00B8782D" w:rsidRDefault="00B8782D">
            <w:pPr>
              <w:pStyle w:val="TableText"/>
            </w:pPr>
            <w:r>
              <w:t>[Pleosporales: Pleosporaceae]</w:t>
            </w:r>
          </w:p>
          <w:p w:rsidR="00B8782D" w:rsidRDefault="00B8782D">
            <w:pPr>
              <w:pStyle w:val="TableText"/>
            </w:pPr>
            <w:r>
              <w:t>Alternaria leaf blight</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Alternaria tenuissima</w:t>
            </w:r>
            <w:r>
              <w:t xml:space="preserve"> (Kunze) Wiltshire</w:t>
            </w:r>
          </w:p>
          <w:p w:rsidR="00B8782D" w:rsidRDefault="00B8782D">
            <w:pPr>
              <w:pStyle w:val="TableText"/>
            </w:pPr>
            <w:r>
              <w:t>[Pleosporales:Pleosporaceae]</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All states </w:t>
            </w:r>
            <w:r>
              <w:rPr>
                <w:noProof/>
              </w:rPr>
              <w:t>(DAWA 2006; 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Armillaria tabescens</w:t>
            </w:r>
            <w:r>
              <w:t xml:space="preserve"> (Scop.) Emel</w:t>
            </w:r>
          </w:p>
          <w:p w:rsidR="00B8782D" w:rsidRDefault="00B8782D">
            <w:pPr>
              <w:pStyle w:val="TableText"/>
            </w:pPr>
            <w:r>
              <w:t>[Agaricales: Physalacriaceae]</w:t>
            </w:r>
          </w:p>
          <w:p w:rsidR="00B8782D" w:rsidRDefault="00B8782D">
            <w:pPr>
              <w:pStyle w:val="TableText"/>
            </w:pPr>
            <w:r>
              <w:t>Armillaria root rot</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Infects roots </w:t>
            </w:r>
            <w:r>
              <w:rPr>
                <w:noProof/>
              </w:rPr>
              <w:t>(Drake 1990)</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Ascochyta pruni</w:t>
            </w:r>
            <w:r>
              <w:t xml:space="preserve"> Kabát &amp; Bubák</w:t>
            </w:r>
          </w:p>
          <w:p w:rsidR="00B8782D" w:rsidRDefault="00B8782D">
            <w:pPr>
              <w:pStyle w:val="TableText"/>
            </w:pPr>
            <w:r>
              <w:t>[Pleosporales: Incertae sedis]</w:t>
            </w:r>
          </w:p>
        </w:tc>
        <w:tc>
          <w:tcPr>
            <w:tcW w:w="575" w:type="pct"/>
            <w:shd w:val="clear" w:color="auto" w:fill="auto"/>
          </w:tcPr>
          <w:p w:rsidR="00B8782D" w:rsidRDefault="00B8782D" w:rsidP="00750C8B">
            <w:pPr>
              <w:pStyle w:val="TableText"/>
            </w:pPr>
            <w:r>
              <w:t xml:space="preserve">Yes </w:t>
            </w:r>
            <w:r>
              <w:rPr>
                <w:noProof/>
              </w:rPr>
              <w:t>(Bai 2003)</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No. Affects leaves </w:t>
            </w:r>
            <w:r>
              <w:rPr>
                <w:noProof/>
              </w:rPr>
              <w:t>(Bai 2003)</w:t>
            </w:r>
            <w:r>
              <w:t>. No report of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Ascochyta prunicola</w:t>
            </w:r>
            <w:r>
              <w:t xml:space="preserve"> P.K. Chi</w:t>
            </w:r>
          </w:p>
          <w:p w:rsidR="00B8782D" w:rsidRDefault="00B8782D">
            <w:pPr>
              <w:pStyle w:val="TableText"/>
            </w:pPr>
            <w:r>
              <w:t>[Pleosporales: Incertae sedis]</w:t>
            </w:r>
          </w:p>
        </w:tc>
        <w:tc>
          <w:tcPr>
            <w:tcW w:w="575" w:type="pct"/>
            <w:shd w:val="clear" w:color="auto" w:fill="auto"/>
          </w:tcPr>
          <w:p w:rsidR="00B8782D" w:rsidRDefault="00B8782D" w:rsidP="00750C8B">
            <w:pPr>
              <w:pStyle w:val="TableText"/>
            </w:pPr>
            <w:r>
              <w:t xml:space="preserve">Yes </w:t>
            </w:r>
            <w:r>
              <w:rPr>
                <w:noProof/>
              </w:rPr>
              <w:t>(Bai 2003)</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Affects leaves </w:t>
            </w:r>
            <w:r>
              <w:rPr>
                <w:noProof/>
              </w:rPr>
              <w:t>(Bai 2003)</w:t>
            </w:r>
            <w:r>
              <w:t>. No report of an association with nectarine or peach fruit was found.</w:t>
            </w:r>
          </w:p>
        </w:tc>
        <w:tc>
          <w:tcPr>
            <w:tcW w:w="717" w:type="pct"/>
            <w:shd w:val="clear" w:color="auto" w:fill="auto"/>
          </w:tcPr>
          <w:p w:rsidR="00B8782D" w:rsidRDefault="00B8782D">
            <w:pPr>
              <w:pStyle w:val="TableText"/>
            </w:pPr>
            <w:r>
              <w:t xml:space="preserve">Assessment not required </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Aspergillus awamori</w:t>
            </w:r>
            <w:r>
              <w:t xml:space="preserve"> Nakaz.</w:t>
            </w:r>
          </w:p>
          <w:p w:rsidR="00B8782D" w:rsidRDefault="00B8782D">
            <w:pPr>
              <w:pStyle w:val="TableText"/>
            </w:pPr>
            <w:r>
              <w:t>[Eurotiales: Trichocomaceae]</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Most </w:t>
            </w:r>
            <w:r>
              <w:rPr>
                <w:i/>
              </w:rPr>
              <w:t>Aspergillus</w:t>
            </w:r>
            <w:r>
              <w:t xml:space="preserve"> spp. are saprotrophs, but can also affect stored fruit, acting as opportunistic pathogens that grow on living tissues </w:t>
            </w:r>
            <w:r>
              <w:rPr>
                <w:noProof/>
              </w:rPr>
              <w:t>(CABI 2015; Huber 1930)</w:t>
            </w:r>
            <w:r>
              <w:t>.</w:t>
            </w:r>
          </w:p>
        </w:tc>
        <w:tc>
          <w:tcPr>
            <w:tcW w:w="717" w:type="pct"/>
            <w:shd w:val="clear" w:color="auto" w:fill="auto"/>
          </w:tcPr>
          <w:p w:rsidR="00B8782D" w:rsidRDefault="00B8782D" w:rsidP="00750C8B">
            <w:pPr>
              <w:pStyle w:val="TableText"/>
            </w:pPr>
            <w:r>
              <w:t xml:space="preserve">Yes. </w:t>
            </w:r>
            <w:r>
              <w:rPr>
                <w:i/>
              </w:rPr>
              <w:t>Aspergillus</w:t>
            </w:r>
            <w:r>
              <w:t xml:space="preserve"> spp. are rapidly growing filamentous fungi or moulds that are ubiquitous in the environment and are found worldwide. </w:t>
            </w:r>
            <w:r>
              <w:rPr>
                <w:i/>
              </w:rPr>
              <w:t>Aspergillus</w:t>
            </w:r>
            <w:r>
              <w:t xml:space="preserve"> disperse easily and grow almost anywhere when food and water are available </w:t>
            </w:r>
            <w:r>
              <w:rPr>
                <w:noProof/>
              </w:rPr>
              <w:t>(Bennett 2010)</w:t>
            </w:r>
            <w:r>
              <w:t xml:space="preserve">. They commonly grow in soil and moist locations and are among the most common moulds encountered on spoiled food and decaying vegetation, in compost piles and in stored hay and grain. Many other species of this genus are present in Australia </w:t>
            </w:r>
            <w:r>
              <w:rPr>
                <w:noProof/>
              </w:rPr>
              <w:t>(Plant Health Australia 2001)</w:t>
            </w:r>
            <w:r>
              <w:t>.</w:t>
            </w:r>
          </w:p>
        </w:tc>
        <w:tc>
          <w:tcPr>
            <w:tcW w:w="716" w:type="pct"/>
            <w:shd w:val="clear" w:color="auto" w:fill="auto"/>
          </w:tcPr>
          <w:p w:rsidR="00B8782D" w:rsidRDefault="00B8782D" w:rsidP="00750C8B">
            <w:pPr>
              <w:pStyle w:val="TableText"/>
            </w:pPr>
            <w:r>
              <w:t xml:space="preserve">No. </w:t>
            </w:r>
            <w:r>
              <w:rPr>
                <w:i/>
              </w:rPr>
              <w:t>Aspergillus</w:t>
            </w:r>
            <w:r>
              <w:t xml:space="preserve"> spp. are secondary invaders of fruits that have been damaged by insects, pathogens, environmental factors such as rain and wind </w:t>
            </w:r>
            <w:r>
              <w:rPr>
                <w:noProof/>
              </w:rPr>
              <w:t>(Somma, Perrone &amp; Logrieco 2012)</w:t>
            </w:r>
            <w:r>
              <w:t xml:space="preserve">. Many other species of this genus are present in Australia </w:t>
            </w:r>
            <w:r>
              <w:rPr>
                <w:noProof/>
              </w:rPr>
              <w:t>(Plant Health Australia 2001)</w:t>
            </w:r>
            <w:r>
              <w:t>. Introduction of this species is unlikely to have significant economic effects.</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Aspergillus japonicus</w:t>
            </w:r>
            <w:r>
              <w:t xml:space="preserve"> Saito</w:t>
            </w:r>
          </w:p>
          <w:p w:rsidR="00B8782D" w:rsidRDefault="00B8782D">
            <w:pPr>
              <w:pStyle w:val="TableText"/>
            </w:pPr>
            <w:r>
              <w:t>[Eurotiales: Trichocomaceae]</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E048C1">
            <w:pPr>
              <w:pStyle w:val="TableText"/>
            </w:pPr>
            <w:r>
              <w:t xml:space="preserve">Yes. NSW </w:t>
            </w:r>
            <w:r>
              <w:rPr>
                <w:noProof/>
              </w:rPr>
              <w:t>(Burrows 1976)</w:t>
            </w:r>
            <w:r>
              <w:t xml:space="preserve">, Qld </w:t>
            </w:r>
            <w:r>
              <w:rPr>
                <w:noProof/>
              </w:rPr>
              <w:t>(Upsher &amp; Upsher 1995)</w:t>
            </w:r>
            <w:r>
              <w:t xml:space="preserve">. Not a regulated pest for Tas. </w:t>
            </w:r>
            <w:r>
              <w:rPr>
                <w:noProof/>
              </w:rPr>
              <w:t>(DPIPWE 2013)</w:t>
            </w:r>
            <w:r>
              <w:t xml:space="preserve"> and an unlisted organism under the Western Australia BAM Act 2007 </w:t>
            </w:r>
            <w:r>
              <w:rPr>
                <w:noProof/>
              </w:rPr>
              <w:t>(Government of Western Australia 2014)</w:t>
            </w:r>
            <w:r>
              <w:t xml:space="preserve">. </w:t>
            </w:r>
          </w:p>
        </w:tc>
        <w:tc>
          <w:tcPr>
            <w:tcW w:w="716" w:type="pct"/>
            <w:shd w:val="clear" w:color="auto" w:fill="auto"/>
          </w:tcPr>
          <w:p w:rsidR="00B8782D" w:rsidRDefault="00B8782D" w:rsidP="00E048C1">
            <w:pPr>
              <w:pStyle w:val="TableText"/>
            </w:pPr>
            <w:r>
              <w:t xml:space="preserve">No. </w:t>
            </w:r>
            <w:r>
              <w:rPr>
                <w:i/>
              </w:rPr>
              <w:t>Aspergillus japonicus</w:t>
            </w:r>
            <w:r>
              <w:t xml:space="preserve"> is generally a postharvest pathogen and not known to occur in fruits of nectarine </w:t>
            </w:r>
            <w:r>
              <w:rPr>
                <w:noProof/>
              </w:rPr>
              <w:t>(Al-Hindi, Al-Najada &amp; Mohamed 2011; Kozakiewicz 2003; Varga et al. 2004)</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Aspergillus niger</w:t>
            </w:r>
            <w:r>
              <w:t xml:space="preserve"> Tiegh.</w:t>
            </w:r>
          </w:p>
          <w:p w:rsidR="00B8782D" w:rsidRDefault="00B8782D">
            <w:pPr>
              <w:pStyle w:val="TableText"/>
            </w:pPr>
            <w:r>
              <w:t>[Eurotiales: Trichocomaceae]</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750C8B">
            <w:pPr>
              <w:pStyle w:val="TableText"/>
            </w:pPr>
            <w:r>
              <w:t xml:space="preserve">Yes. ACT, NSW, NT, Qld, SA, Vic., WA </w:t>
            </w:r>
            <w:r>
              <w:rPr>
                <w:noProof/>
              </w:rPr>
              <w:t>(Plant Health Australia 2001)</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Aspergillus versicolor</w:t>
            </w:r>
            <w:r>
              <w:t xml:space="preserve"> (Vuill.) Tirab.</w:t>
            </w:r>
          </w:p>
          <w:p w:rsidR="00B8782D" w:rsidRDefault="00B8782D">
            <w:pPr>
              <w:pStyle w:val="TableText"/>
            </w:pPr>
            <w:r>
              <w:t>[Eurotiales: Trichocomaceae]</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750C8B">
            <w:pPr>
              <w:pStyle w:val="TableText"/>
            </w:pPr>
            <w:r>
              <w:t xml:space="preserve">Yes. All states and territories </w:t>
            </w:r>
            <w:r>
              <w:rPr>
                <w:noProof/>
              </w:rPr>
              <w:t>(Global Biodiversity Information Facility 2013)</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Botryosphaeria dothidea</w:t>
            </w:r>
            <w:r>
              <w:t xml:space="preserve"> (Moug.) Ces. &amp; De Not.</w:t>
            </w:r>
          </w:p>
          <w:p w:rsidR="00B8782D" w:rsidRDefault="00B8782D">
            <w:pPr>
              <w:pStyle w:val="TableText"/>
            </w:pPr>
            <w:r>
              <w:t xml:space="preserve">Synonym: </w:t>
            </w:r>
            <w:r>
              <w:rPr>
                <w:i/>
              </w:rPr>
              <w:t>Fusicoccum aesculi</w:t>
            </w:r>
            <w:r>
              <w:t xml:space="preserve"> Corda Grossenb. &amp; Duggar</w:t>
            </w:r>
          </w:p>
          <w:p w:rsidR="00B8782D" w:rsidRDefault="00B8782D">
            <w:pPr>
              <w:pStyle w:val="TableText"/>
            </w:pPr>
            <w:r>
              <w:t>[Botyosphaeriales: Botryosphaeriaceae]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NSW, Qld, Vic., WA </w:t>
            </w:r>
            <w:r>
              <w:rPr>
                <w:noProof/>
              </w:rPr>
              <w:t>(Plant Health Australia 2001)</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Botryosphaeria ribis</w:t>
            </w:r>
            <w:r>
              <w:t xml:space="preserve"> Grossenb. &amp; Duggar</w:t>
            </w:r>
          </w:p>
          <w:p w:rsidR="00B8782D" w:rsidRDefault="00B8782D">
            <w:pPr>
              <w:pStyle w:val="TableText"/>
            </w:pPr>
            <w:r>
              <w:t xml:space="preserve">Synonym: </w:t>
            </w:r>
            <w:r>
              <w:rPr>
                <w:i/>
              </w:rPr>
              <w:t>Neofusicoccum ribis</w:t>
            </w:r>
            <w:r>
              <w:t xml:space="preserve"> (Slippers, Crous &amp; M. J. Wingf.) Crous, Slippers &amp; A. J. L. Phillips</w:t>
            </w:r>
          </w:p>
          <w:p w:rsidR="00B8782D" w:rsidRDefault="00B8782D">
            <w:pPr>
              <w:pStyle w:val="TableText"/>
            </w:pPr>
            <w:r>
              <w:t>[Botryosphaeriales: Botryosphaeriaceae]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ACT, NSW, Qld, Vic, WA </w:t>
            </w:r>
            <w:r>
              <w:rPr>
                <w:noProof/>
              </w:rPr>
              <w:t>(Plant Health Australia 2001)</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 xml:space="preserve">Assessment not required </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Botryosphaeria obtusa</w:t>
            </w:r>
            <w:r>
              <w:t xml:space="preserve"> (Schwein.) Shoemaker</w:t>
            </w:r>
          </w:p>
          <w:p w:rsidR="00B8782D" w:rsidRDefault="00B8782D">
            <w:pPr>
              <w:pStyle w:val="TableText"/>
            </w:pPr>
            <w:r>
              <w:t xml:space="preserve">Synonym: </w:t>
            </w:r>
            <w:r>
              <w:rPr>
                <w:i/>
              </w:rPr>
              <w:t>Physalospora obtusa</w:t>
            </w:r>
            <w:r>
              <w:t xml:space="preserve"> (Schwein.) Cooke</w:t>
            </w:r>
          </w:p>
          <w:p w:rsidR="00B8782D" w:rsidRDefault="00B8782D">
            <w:pPr>
              <w:pStyle w:val="TableText"/>
            </w:pPr>
            <w:r>
              <w:t>[Botyosphaeriales: Botryosphaeriaceae]</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750C8B">
            <w:pPr>
              <w:pStyle w:val="TableText"/>
            </w:pPr>
            <w:r>
              <w:t xml:space="preserve">Yes. All states and territories </w:t>
            </w:r>
            <w:r>
              <w:rPr>
                <w:noProof/>
              </w:rPr>
              <w:t>(Cunnington et al. 2007; Plant Health Australia 2001; Sampson &amp; Walker 1982)</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Botrytis cinerea</w:t>
            </w:r>
            <w:r>
              <w:t xml:space="preserve"> Pers.</w:t>
            </w:r>
          </w:p>
          <w:p w:rsidR="00B8782D" w:rsidRDefault="00B8782D">
            <w:pPr>
              <w:pStyle w:val="TableText"/>
            </w:pPr>
            <w:r>
              <w:t xml:space="preserve">Synonym: </w:t>
            </w:r>
            <w:r>
              <w:rPr>
                <w:i/>
              </w:rPr>
              <w:t>Botryotinia fuckeliana</w:t>
            </w:r>
            <w:r>
              <w:t xml:space="preserve"> (de Bary) Whetzel</w:t>
            </w:r>
          </w:p>
          <w:p w:rsidR="00B8782D" w:rsidRDefault="00B8782D">
            <w:pPr>
              <w:pStyle w:val="TableText"/>
            </w:pPr>
            <w:r>
              <w:t>[Heliotiales: Sclerotiniaceae]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Camarosporium persicae</w:t>
            </w:r>
            <w:r>
              <w:t xml:space="preserve"> Maubl.</w:t>
            </w:r>
          </w:p>
          <w:p w:rsidR="00B8782D" w:rsidRDefault="00B8782D">
            <w:pPr>
              <w:pStyle w:val="TableText"/>
            </w:pPr>
            <w:r>
              <w:t>[Botryosphaeriales: Incertae sedis]</w:t>
            </w:r>
          </w:p>
          <w:p w:rsidR="00B8782D" w:rsidRDefault="00B8782D">
            <w:pPr>
              <w:pStyle w:val="TableText"/>
            </w:pPr>
            <w:r>
              <w:t>Camarosporium canker</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No. Attacks trunks, branches and young shoots of </w:t>
            </w:r>
            <w:r>
              <w:rPr>
                <w:i/>
              </w:rPr>
              <w:t>P. persica</w:t>
            </w:r>
            <w:r>
              <w:t xml:space="preserve"> </w:t>
            </w:r>
            <w:r>
              <w:rPr>
                <w:noProof/>
              </w:rPr>
              <w:t>(Homma 1927)</w:t>
            </w:r>
            <w:r>
              <w:t xml:space="preserve">. No report of an association with nectarine or peach fruit was found.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Caryospora putaminum</w:t>
            </w:r>
            <w:r>
              <w:t xml:space="preserve"> (Schwein.) De Not.</w:t>
            </w:r>
          </w:p>
          <w:p w:rsidR="00B8782D" w:rsidRDefault="00B8782D">
            <w:pPr>
              <w:pStyle w:val="TableText"/>
            </w:pPr>
            <w:r>
              <w:t>[Pleosporales: Zopfiaceae]</w:t>
            </w:r>
          </w:p>
        </w:tc>
        <w:tc>
          <w:tcPr>
            <w:tcW w:w="575" w:type="pct"/>
            <w:shd w:val="clear" w:color="auto" w:fill="auto"/>
          </w:tcPr>
          <w:p w:rsidR="00B8782D" w:rsidRDefault="00B8782D" w:rsidP="00750C8B">
            <w:pPr>
              <w:pStyle w:val="TableText"/>
            </w:pPr>
            <w:r>
              <w:t xml:space="preserve">Yes </w:t>
            </w:r>
            <w:r>
              <w:rPr>
                <w:noProof/>
              </w:rPr>
              <w:t>(Jeffers 1940)</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No. Grows on dead woody tissues and is found on </w:t>
            </w:r>
            <w:r>
              <w:rPr>
                <w:i/>
              </w:rPr>
              <w:t>P. persica</w:t>
            </w:r>
            <w:r>
              <w:t xml:space="preserve"> stones that are left on the ground after the fruit has decomposed </w:t>
            </w:r>
            <w:r>
              <w:rPr>
                <w:noProof/>
              </w:rPr>
              <w:t>(Jeffers 1940)</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Ceratocystis fimbriata</w:t>
            </w:r>
            <w:r>
              <w:t xml:space="preserve"> Ellis &amp; Halst.</w:t>
            </w:r>
          </w:p>
          <w:p w:rsidR="00B8782D" w:rsidRDefault="00B8782D">
            <w:pPr>
              <w:pStyle w:val="TableText"/>
            </w:pPr>
            <w:r>
              <w:t>[Microascales: Ceratocystidaceae]</w:t>
            </w:r>
          </w:p>
          <w:p w:rsidR="00B8782D" w:rsidRDefault="00B8782D">
            <w:pPr>
              <w:pStyle w:val="TableText"/>
            </w:pPr>
            <w:r>
              <w:t>Mallet wound fungus</w:t>
            </w:r>
          </w:p>
        </w:tc>
        <w:tc>
          <w:tcPr>
            <w:tcW w:w="575" w:type="pct"/>
            <w:shd w:val="clear" w:color="auto" w:fill="auto"/>
          </w:tcPr>
          <w:p w:rsidR="00B8782D" w:rsidRDefault="00B8782D" w:rsidP="00750C8B">
            <w:pPr>
              <w:pStyle w:val="TableText"/>
            </w:pPr>
            <w:r>
              <w:t xml:space="preserve">Yes </w:t>
            </w:r>
            <w:r>
              <w:rPr>
                <w:noProof/>
              </w:rPr>
              <w:t>(Huang et al. 2007)</w:t>
            </w:r>
          </w:p>
        </w:tc>
        <w:tc>
          <w:tcPr>
            <w:tcW w:w="615" w:type="pct"/>
            <w:shd w:val="clear" w:color="auto" w:fill="auto"/>
          </w:tcPr>
          <w:p w:rsidR="00B8782D" w:rsidRDefault="00B8782D" w:rsidP="00750C8B">
            <w:pPr>
              <w:pStyle w:val="TableText"/>
            </w:pPr>
            <w:r>
              <w:t xml:space="preserve">No. There are several apparently host-specialised strains that are sometimes called ‘types’, ‘races’, or ‘forms’ </w:t>
            </w:r>
            <w:r>
              <w:rPr>
                <w:noProof/>
              </w:rPr>
              <w:t>(Baker et al. 2003; Harrington 2000; Vogelzang &amp; Scott 1990)</w:t>
            </w:r>
            <w:r>
              <w:t xml:space="preserve">. </w:t>
            </w:r>
            <w:r>
              <w:rPr>
                <w:i/>
              </w:rPr>
              <w:t>Ceratocystis fimbriata</w:t>
            </w:r>
            <w:r>
              <w:t xml:space="preserve"> records reported in Australia are all from </w:t>
            </w:r>
            <w:r>
              <w:rPr>
                <w:i/>
              </w:rPr>
              <w:t>Syngonium</w:t>
            </w:r>
            <w:r>
              <w:t xml:space="preserve"> and is not pathogenic to </w:t>
            </w:r>
            <w:r>
              <w:rPr>
                <w:i/>
              </w:rPr>
              <w:t>Prunus</w:t>
            </w:r>
            <w:r>
              <w:t xml:space="preserve"> spp. </w:t>
            </w:r>
            <w:r>
              <w:rPr>
                <w:noProof/>
              </w:rPr>
              <w:t>(Vogelzang &amp; Scott 1990)</w:t>
            </w:r>
            <w:r>
              <w:t>.</w:t>
            </w:r>
          </w:p>
        </w:tc>
        <w:tc>
          <w:tcPr>
            <w:tcW w:w="716" w:type="pct"/>
            <w:shd w:val="clear" w:color="auto" w:fill="auto"/>
          </w:tcPr>
          <w:p w:rsidR="00B8782D" w:rsidRDefault="00B8782D" w:rsidP="00750C8B">
            <w:pPr>
              <w:pStyle w:val="TableText"/>
            </w:pPr>
            <w:r>
              <w:t xml:space="preserve">No. Unlikely to be on the pathway as </w:t>
            </w:r>
            <w:r>
              <w:rPr>
                <w:i/>
              </w:rPr>
              <w:t>C. fimbriata</w:t>
            </w:r>
            <w:r>
              <w:t xml:space="preserve"> does not infect the fruit </w:t>
            </w:r>
            <w:r>
              <w:rPr>
                <w:noProof/>
              </w:rPr>
              <w:t>(CABI 2015)</w:t>
            </w:r>
            <w:r>
              <w:t xml:space="preserve">.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Cercospora rubrotincta</w:t>
            </w:r>
            <w:r>
              <w:t xml:space="preserve"> Ellis &amp; Everh.</w:t>
            </w:r>
          </w:p>
          <w:p w:rsidR="00B8782D" w:rsidRDefault="00B8782D">
            <w:pPr>
              <w:pStyle w:val="TableText"/>
            </w:pPr>
            <w:r>
              <w:t>[Capnodiales: Mycosphaerellaceae]</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Causes leaf spots on </w:t>
            </w:r>
            <w:r>
              <w:rPr>
                <w:i/>
              </w:rPr>
              <w:t>P. persica</w:t>
            </w:r>
            <w:r>
              <w:t xml:space="preserve"> </w:t>
            </w:r>
            <w:r>
              <w:rPr>
                <w:noProof/>
              </w:rPr>
              <w:t>(Farr &amp; Rossman 2014)</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trHeight w:val="1186"/>
          <w:jc w:val="center"/>
        </w:trPr>
        <w:tc>
          <w:tcPr>
            <w:tcW w:w="1087" w:type="pct"/>
            <w:shd w:val="clear" w:color="auto" w:fill="auto"/>
          </w:tcPr>
          <w:p w:rsidR="00B8782D" w:rsidRDefault="00B8782D">
            <w:pPr>
              <w:pStyle w:val="TableText"/>
            </w:pPr>
            <w:r>
              <w:rPr>
                <w:i/>
              </w:rPr>
              <w:t>Chondrostereum purpureum</w:t>
            </w:r>
            <w:r>
              <w:t xml:space="preserve"> (Pers.) Pouzar</w:t>
            </w:r>
          </w:p>
          <w:p w:rsidR="00B8782D" w:rsidRDefault="00B8782D">
            <w:pPr>
              <w:pStyle w:val="TableText"/>
            </w:pPr>
            <w:r>
              <w:t>[Russulales: Stereaceae]</w:t>
            </w:r>
          </w:p>
          <w:p w:rsidR="00B8782D" w:rsidRDefault="00B8782D">
            <w:pPr>
              <w:pStyle w:val="TableText"/>
            </w:pPr>
            <w:r>
              <w:t>Silver leaf</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NSW, SA, Tas., Vic., WA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Cladosporium cladosporioides</w:t>
            </w:r>
            <w:r>
              <w:t xml:space="preserve"> (Fresen.) G.A. De Vries</w:t>
            </w:r>
          </w:p>
          <w:p w:rsidR="00B8782D" w:rsidRDefault="00B8782D">
            <w:pPr>
              <w:pStyle w:val="TableText"/>
            </w:pPr>
            <w:r>
              <w:t>[Capnodiales: Davidiellaceae]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All states and territories </w:t>
            </w:r>
            <w:r>
              <w:rPr>
                <w:noProof/>
              </w:rPr>
              <w:t>(DAWA 2006; 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Colletotrichum acutatum</w:t>
            </w:r>
            <w:r>
              <w:t xml:space="preserve"> J.H. Simmonds</w:t>
            </w:r>
          </w:p>
          <w:p w:rsidR="00B8782D" w:rsidRDefault="00B8782D">
            <w:pPr>
              <w:pStyle w:val="TableText"/>
            </w:pPr>
            <w:r>
              <w:t>[Incertae sedis: Glomerellaceae]</w:t>
            </w:r>
          </w:p>
          <w:p w:rsidR="00B8782D" w:rsidRDefault="00B8782D">
            <w:pPr>
              <w:pStyle w:val="TableText"/>
            </w:pPr>
            <w:r>
              <w:t>Anthracnose</w:t>
            </w:r>
          </w:p>
        </w:tc>
        <w:tc>
          <w:tcPr>
            <w:tcW w:w="575" w:type="pct"/>
            <w:shd w:val="clear" w:color="auto" w:fill="auto"/>
          </w:tcPr>
          <w:p w:rsidR="00B8782D" w:rsidRDefault="00B8782D" w:rsidP="00750C8B">
            <w:pPr>
              <w:pStyle w:val="TableText"/>
            </w:pPr>
            <w:r>
              <w:t xml:space="preserve">Yes </w:t>
            </w:r>
            <w:r>
              <w:rPr>
                <w:noProof/>
              </w:rPr>
              <w:t>(Farr &amp; Rossman 2014)</w:t>
            </w:r>
          </w:p>
        </w:tc>
        <w:tc>
          <w:tcPr>
            <w:tcW w:w="615" w:type="pct"/>
            <w:shd w:val="clear" w:color="auto" w:fill="auto"/>
          </w:tcPr>
          <w:p w:rsidR="00B8782D" w:rsidRDefault="00B8782D" w:rsidP="00750C8B">
            <w:pPr>
              <w:pStyle w:val="TableText"/>
            </w:pPr>
            <w:r>
              <w:t xml:space="preserve">Yes. ACT, NSW, Qld., SA, Tas., Vic., WA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Colletotrichum gloeosporioides</w:t>
            </w:r>
            <w:r>
              <w:t xml:space="preserve"> (Penz.) Penz. &amp; Sacc.</w:t>
            </w:r>
          </w:p>
          <w:p w:rsidR="00B8782D" w:rsidRDefault="00B8782D">
            <w:pPr>
              <w:pStyle w:val="TableText"/>
            </w:pPr>
            <w:r>
              <w:t xml:space="preserve">Synonym: </w:t>
            </w:r>
            <w:r>
              <w:rPr>
                <w:i/>
              </w:rPr>
              <w:t>Glomerella cingulata</w:t>
            </w:r>
            <w:r>
              <w:t xml:space="preserve"> (Stoneman) Spauld. &amp; H. Schrenk</w:t>
            </w:r>
          </w:p>
          <w:p w:rsidR="00B8782D" w:rsidRDefault="00B8782D">
            <w:pPr>
              <w:pStyle w:val="TableText"/>
            </w:pPr>
            <w:r>
              <w:t>[Incertae sedis: Glomerellaceae]</w:t>
            </w:r>
          </w:p>
          <w:p w:rsidR="00B8782D" w:rsidRDefault="00B8782D">
            <w:pPr>
              <w:pStyle w:val="TableText"/>
            </w:pPr>
            <w:r>
              <w:t>Anthracnose, bitter rot</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 xml:space="preserve">Assessment not required </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 xml:space="preserve">No </w:t>
            </w:r>
          </w:p>
        </w:tc>
      </w:tr>
      <w:tr w:rsidR="00B8782D">
        <w:trPr>
          <w:cantSplit/>
          <w:jc w:val="center"/>
        </w:trPr>
        <w:tc>
          <w:tcPr>
            <w:tcW w:w="1087" w:type="pct"/>
            <w:shd w:val="clear" w:color="auto" w:fill="auto"/>
          </w:tcPr>
          <w:p w:rsidR="00B8782D" w:rsidRDefault="00B8782D">
            <w:pPr>
              <w:pStyle w:val="TableText"/>
            </w:pPr>
            <w:r>
              <w:rPr>
                <w:i/>
              </w:rPr>
              <w:t>Coniothyrium nakatae</w:t>
            </w:r>
            <w:r>
              <w:t xml:space="preserve"> Hara</w:t>
            </w:r>
          </w:p>
          <w:p w:rsidR="00B8782D" w:rsidRDefault="00B8782D">
            <w:pPr>
              <w:pStyle w:val="TableText"/>
            </w:pPr>
            <w:r>
              <w:t>[Pleosporales: Leptosphaeriaceae]</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w:t>
            </w:r>
            <w:r>
              <w:rPr>
                <w:i/>
              </w:rPr>
              <w:t>Coniothyrium</w:t>
            </w:r>
            <w:r>
              <w:t xml:space="preserve"> spp. are common wood and soil inhabiting fungi </w:t>
            </w:r>
            <w:r>
              <w:rPr>
                <w:noProof/>
              </w:rPr>
              <w:t>(Damm et al. 2008)</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Coryneum foliicola</w:t>
            </w:r>
            <w:r>
              <w:t xml:space="preserve"> Fuckel</w:t>
            </w:r>
          </w:p>
          <w:p w:rsidR="00B8782D" w:rsidRDefault="00B8782D">
            <w:pPr>
              <w:pStyle w:val="TableText"/>
            </w:pPr>
            <w:r>
              <w:t>[Diaporthales: Pseudovalsaceae]</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On branches, twigs and leaves </w:t>
            </w:r>
            <w:r>
              <w:rPr>
                <w:noProof/>
              </w:rPr>
              <w:t>(Farr et al. 1995)</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Davidiella tassiana</w:t>
            </w:r>
            <w:r>
              <w:t xml:space="preserve"> (De Not.) Crous &amp; U. Braun</w:t>
            </w:r>
          </w:p>
          <w:p w:rsidR="00B8782D" w:rsidRDefault="00B8782D">
            <w:pPr>
              <w:pStyle w:val="TableText"/>
            </w:pPr>
            <w:r>
              <w:t xml:space="preserve">Synonym: </w:t>
            </w:r>
            <w:r>
              <w:rPr>
                <w:i/>
              </w:rPr>
              <w:t>Cladosporium herbarum</w:t>
            </w:r>
            <w:r>
              <w:t xml:space="preserve"> (Pers.) Link.</w:t>
            </w:r>
          </w:p>
          <w:p w:rsidR="00B8782D" w:rsidRDefault="00B8782D">
            <w:pPr>
              <w:pStyle w:val="TableText"/>
            </w:pPr>
            <w:r>
              <w:t>[Capnodiales: Mycosphaerellaceae]</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NSW, Qld, SA, Tas., Vic., WA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Dermea cerasi</w:t>
            </w:r>
            <w:r>
              <w:t xml:space="preserve"> (Pers.) Fr.</w:t>
            </w:r>
          </w:p>
          <w:p w:rsidR="00B8782D" w:rsidRDefault="00B8782D">
            <w:pPr>
              <w:pStyle w:val="TableText"/>
            </w:pPr>
            <w:r>
              <w:t xml:space="preserve">Synonym: </w:t>
            </w:r>
            <w:r>
              <w:rPr>
                <w:i/>
              </w:rPr>
              <w:t>Foveostroma drupacearum</w:t>
            </w:r>
            <w:r>
              <w:t xml:space="preserve"> (Lév.) DiCosmo</w:t>
            </w:r>
          </w:p>
          <w:p w:rsidR="00B8782D" w:rsidRDefault="00B8782D">
            <w:pPr>
              <w:pStyle w:val="TableText"/>
            </w:pPr>
            <w:r>
              <w:t>[Helotiales: Dermateaceae]</w:t>
            </w:r>
          </w:p>
        </w:tc>
        <w:tc>
          <w:tcPr>
            <w:tcW w:w="575" w:type="pct"/>
            <w:shd w:val="clear" w:color="auto" w:fill="auto"/>
          </w:tcPr>
          <w:p w:rsidR="00B8782D" w:rsidRDefault="00B8782D" w:rsidP="00750C8B">
            <w:pPr>
              <w:pStyle w:val="TableText"/>
            </w:pPr>
            <w:r>
              <w:t xml:space="preserve">Yes </w:t>
            </w:r>
            <w:r>
              <w:rPr>
                <w:noProof/>
              </w:rPr>
              <w:t>(Teng 1996)</w:t>
            </w:r>
            <w:r>
              <w:t>.</w:t>
            </w:r>
          </w:p>
        </w:tc>
        <w:tc>
          <w:tcPr>
            <w:tcW w:w="615" w:type="pct"/>
            <w:shd w:val="clear" w:color="auto" w:fill="auto"/>
          </w:tcPr>
          <w:p w:rsidR="00B8782D" w:rsidRDefault="00B8782D" w:rsidP="00E048C1">
            <w:pPr>
              <w:pStyle w:val="TableText"/>
            </w:pPr>
            <w:r>
              <w:t xml:space="preserve">Yes. NSW, Vic. </w:t>
            </w:r>
            <w:r>
              <w:rPr>
                <w:noProof/>
              </w:rPr>
              <w:t>(Plant Health Australia 2001)</w:t>
            </w:r>
            <w:r>
              <w:t xml:space="preserve"> Not a regulated pest for Tas. </w:t>
            </w:r>
            <w:r>
              <w:rPr>
                <w:noProof/>
              </w:rPr>
              <w:t>(DPIPWE 2013)</w:t>
            </w:r>
            <w:r>
              <w:t xml:space="preserve">. An unlisted organism under the Western Australia BAM Act 2007 </w:t>
            </w:r>
            <w:r>
              <w:rPr>
                <w:noProof/>
              </w:rPr>
              <w:t>(Government of Western Australia 2014)</w:t>
            </w:r>
            <w:r>
              <w:t>.</w:t>
            </w:r>
          </w:p>
        </w:tc>
        <w:tc>
          <w:tcPr>
            <w:tcW w:w="716" w:type="pct"/>
            <w:shd w:val="clear" w:color="auto" w:fill="auto"/>
          </w:tcPr>
          <w:p w:rsidR="00B8782D" w:rsidRDefault="00B8782D">
            <w:pPr>
              <w:pStyle w:val="TableText"/>
            </w:pPr>
            <w:r>
              <w:t>No</w:t>
            </w:r>
          </w:p>
          <w:p w:rsidR="00B8782D" w:rsidRDefault="00B8782D" w:rsidP="00750C8B">
            <w:pPr>
              <w:pStyle w:val="TableText"/>
            </w:pPr>
            <w:r>
              <w:rPr>
                <w:i/>
              </w:rPr>
              <w:t>Dermea cerasi</w:t>
            </w:r>
            <w:r>
              <w:t xml:space="preserve"> recorded on stem or bark </w:t>
            </w:r>
            <w:r>
              <w:rPr>
                <w:noProof/>
              </w:rPr>
              <w:t>(Plant Health Australia 2001)</w:t>
            </w:r>
            <w:r>
              <w:t>. No record on harvested commercial nectarine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Diaporthe amygdali</w:t>
            </w:r>
            <w:r>
              <w:t xml:space="preserve"> (Delacr.) Udayanga, Crous &amp; K.D. Hyde</w:t>
            </w:r>
          </w:p>
          <w:p w:rsidR="00B8782D" w:rsidRDefault="00B8782D">
            <w:pPr>
              <w:pStyle w:val="TableText"/>
            </w:pPr>
            <w:r>
              <w:t xml:space="preserve">Synonyms: </w:t>
            </w:r>
            <w:r>
              <w:rPr>
                <w:i/>
              </w:rPr>
              <w:t>Phomopsis amygdali</w:t>
            </w:r>
            <w:r>
              <w:t xml:space="preserve"> (Del.) Tuset &amp; Portilla</w:t>
            </w:r>
          </w:p>
          <w:p w:rsidR="00B8782D" w:rsidRDefault="00B8782D">
            <w:pPr>
              <w:pStyle w:val="TableText"/>
            </w:pPr>
            <w:r>
              <w:t>[Botryosphaeriales: Botryosphaeriaceae]</w:t>
            </w:r>
          </w:p>
          <w:p w:rsidR="00B8782D" w:rsidRDefault="00B8782D">
            <w:pPr>
              <w:pStyle w:val="TableText"/>
            </w:pPr>
            <w:r>
              <w:t>Fusicoccum canker, Constriction canker</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Affects </w:t>
            </w:r>
            <w:r>
              <w:rPr>
                <w:i/>
              </w:rPr>
              <w:t>P. persica</w:t>
            </w:r>
            <w:r>
              <w:t xml:space="preserve"> shoots and fruit causing withering of infected fruit </w:t>
            </w:r>
            <w:r>
              <w:rPr>
                <w:noProof/>
              </w:rPr>
              <w:t>(MAFF 2008)</w:t>
            </w:r>
            <w:r>
              <w:t xml:space="preserve">. Leaves and twigs are the most affected tissues and fruit infections are rare </w:t>
            </w:r>
            <w:r>
              <w:rPr>
                <w:noProof/>
              </w:rPr>
              <w:t>(Zehr 1995a)</w:t>
            </w:r>
            <w:r>
              <w:t xml:space="preserve">. Young peach fruit can become infected via the shoots that eventually wilt and drop off </w:t>
            </w:r>
            <w:r>
              <w:rPr>
                <w:noProof/>
              </w:rPr>
              <w:t>(Lalancette &amp; Robison 2002; MAFF 2008)</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Diaporthe eres</w:t>
            </w:r>
            <w:r>
              <w:t xml:space="preserve"> Nitschke</w:t>
            </w:r>
          </w:p>
          <w:p w:rsidR="00B8782D" w:rsidRDefault="00B8782D">
            <w:pPr>
              <w:pStyle w:val="TableText"/>
            </w:pPr>
            <w:r>
              <w:t xml:space="preserve">Synonym: </w:t>
            </w:r>
            <w:r>
              <w:rPr>
                <w:i/>
              </w:rPr>
              <w:t>Phomopsis oblonga</w:t>
            </w:r>
            <w:r>
              <w:t xml:space="preserve"> (Desm.) Traverso</w:t>
            </w:r>
          </w:p>
          <w:p w:rsidR="00B8782D" w:rsidRDefault="00B8782D">
            <w:pPr>
              <w:pStyle w:val="TableText"/>
            </w:pPr>
            <w:r>
              <w:t>[Diaporthales: Diaporthaceae]</w:t>
            </w:r>
          </w:p>
          <w:p w:rsidR="00B8782D" w:rsidRDefault="00B8782D">
            <w:pPr>
              <w:pStyle w:val="TableText"/>
            </w:pPr>
            <w:r>
              <w:t>Constriction canker</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E048C1">
            <w:pPr>
              <w:pStyle w:val="TableText"/>
            </w:pPr>
            <w:r>
              <w:t xml:space="preserve">Yes. NSW </w:t>
            </w:r>
            <w:r>
              <w:rPr>
                <w:noProof/>
              </w:rPr>
              <w:t>(Plant Health Australia 2001)</w:t>
            </w:r>
            <w:r>
              <w:t xml:space="preserve">. Not a regulated pest for Tas. </w:t>
            </w:r>
            <w:r>
              <w:rPr>
                <w:noProof/>
              </w:rPr>
              <w:t>(DPIPWE 2013)</w:t>
            </w:r>
            <w:r>
              <w:t xml:space="preserve"> and an unlisted organism under the Western Australia BAM Act 2007 </w:t>
            </w:r>
            <w:r>
              <w:rPr>
                <w:noProof/>
              </w:rPr>
              <w:t>(Government of Western Australia 2014)</w:t>
            </w:r>
            <w:r>
              <w:t xml:space="preserve">. </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Fomes fasciatus</w:t>
            </w:r>
            <w:r>
              <w:t xml:space="preserve"> (Sw.) Cooke</w:t>
            </w:r>
          </w:p>
          <w:p w:rsidR="00B8782D" w:rsidRDefault="00B8782D">
            <w:pPr>
              <w:pStyle w:val="TableText"/>
            </w:pPr>
            <w:r>
              <w:t>[Polyporales: Polyporaceae]</w:t>
            </w:r>
          </w:p>
        </w:tc>
        <w:tc>
          <w:tcPr>
            <w:tcW w:w="575" w:type="pct"/>
            <w:shd w:val="clear" w:color="auto" w:fill="auto"/>
          </w:tcPr>
          <w:p w:rsidR="00B8782D" w:rsidRDefault="00B8782D" w:rsidP="00750C8B">
            <w:pPr>
              <w:pStyle w:val="TableText"/>
            </w:pPr>
            <w:r>
              <w:t xml:space="preserve">Yes </w:t>
            </w:r>
            <w:r>
              <w:rPr>
                <w:noProof/>
              </w:rPr>
              <w:t>(Reinking 1919)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Parasitic on woody parts of trees </w:t>
            </w:r>
            <w:r>
              <w:rPr>
                <w:noProof/>
              </w:rPr>
              <w:t>(Reinking 1919; Zhao &amp; Zhang 1992)</w:t>
            </w:r>
            <w:r>
              <w:t xml:space="preserve">. No report of an association with nectarine or peach fruit was found.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Fomes fomentarius</w:t>
            </w:r>
            <w:r>
              <w:t xml:space="preserve"> (L.) J.J. Kickx</w:t>
            </w:r>
          </w:p>
          <w:p w:rsidR="00B8782D" w:rsidRDefault="00B8782D">
            <w:pPr>
              <w:pStyle w:val="TableText"/>
            </w:pPr>
            <w:r>
              <w:t>[Polyporales: Polyporaceae]</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Vic. </w:t>
            </w:r>
            <w:r>
              <w:rPr>
                <w:noProof/>
              </w:rPr>
              <w:t>(Plant Health Australia 2001)</w:t>
            </w:r>
            <w:r>
              <w:t xml:space="preserve">. An unwanted quarantine pest for Tas. (revoked list A pest) </w:t>
            </w:r>
            <w:r>
              <w:rPr>
                <w:noProof/>
              </w:rPr>
              <w:t>(DPIPWE 2013)</w:t>
            </w:r>
            <w:r>
              <w:t xml:space="preserve">. Listed as a regulated pest in the Western Australia BAM Act  2007  </w:t>
            </w:r>
            <w:r>
              <w:rPr>
                <w:noProof/>
              </w:rPr>
              <w:t>(Government of Western Australia 2014)</w:t>
            </w:r>
            <w:r>
              <w:t>.</w:t>
            </w:r>
          </w:p>
        </w:tc>
        <w:tc>
          <w:tcPr>
            <w:tcW w:w="716" w:type="pct"/>
            <w:shd w:val="clear" w:color="auto" w:fill="auto"/>
          </w:tcPr>
          <w:p w:rsidR="00B8782D" w:rsidRDefault="00B8782D" w:rsidP="00750C8B">
            <w:pPr>
              <w:pStyle w:val="TableText"/>
            </w:pPr>
            <w:r>
              <w:t xml:space="preserve">No. Saprophytic or parasitic on dead, rotten or living wood of trees </w:t>
            </w:r>
            <w:r>
              <w:rPr>
                <w:noProof/>
              </w:rPr>
              <w:t>(Zhuang 2005)</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Fomes fulvus</w:t>
            </w:r>
            <w:r>
              <w:t xml:space="preserve"> (Scop.) Gillet</w:t>
            </w:r>
          </w:p>
          <w:p w:rsidR="00B8782D" w:rsidRDefault="00B8782D">
            <w:pPr>
              <w:pStyle w:val="TableText"/>
            </w:pPr>
            <w:r>
              <w:t>[Polyporales: Polyporaceae]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Qld </w:t>
            </w:r>
            <w:r>
              <w:rPr>
                <w:noProof/>
              </w:rPr>
              <w:t>(Plant Health Australia 2001)</w:t>
            </w:r>
            <w:r>
              <w:t xml:space="preserve">. A quarantine pest for Tas. </w:t>
            </w:r>
            <w:r>
              <w:rPr>
                <w:noProof/>
              </w:rPr>
              <w:t>(DPIPWE 2013)</w:t>
            </w:r>
            <w:r>
              <w:t xml:space="preserve"> and an unlisted organism under the Western Australia BAM Act 2007</w:t>
            </w:r>
            <w:r>
              <w:rPr>
                <w:noProof/>
              </w:rPr>
              <w:t>(Government of Western Australia 2014)</w:t>
            </w:r>
            <w:r>
              <w:t>.</w:t>
            </w:r>
          </w:p>
        </w:tc>
        <w:tc>
          <w:tcPr>
            <w:tcW w:w="716" w:type="pct"/>
            <w:shd w:val="clear" w:color="auto" w:fill="auto"/>
          </w:tcPr>
          <w:p w:rsidR="00B8782D" w:rsidRDefault="00B8782D" w:rsidP="00750C8B">
            <w:pPr>
              <w:pStyle w:val="TableText"/>
            </w:pPr>
            <w:r>
              <w:t xml:space="preserve">No. Associated with branches of </w:t>
            </w:r>
            <w:r>
              <w:rPr>
                <w:i/>
              </w:rPr>
              <w:t>P. persica</w:t>
            </w:r>
            <w:r>
              <w:t xml:space="preserve"> </w:t>
            </w:r>
            <w:r>
              <w:rPr>
                <w:noProof/>
              </w:rPr>
              <w:t>(Farr &amp; Rossman 2014)</w:t>
            </w:r>
            <w:r>
              <w:t>. No report on harvested commercial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Fomitopsis pinicola</w:t>
            </w:r>
            <w:r>
              <w:t xml:space="preserve"> (Sw.) P. Karst.</w:t>
            </w:r>
          </w:p>
          <w:p w:rsidR="00B8782D" w:rsidRDefault="00B8782D">
            <w:pPr>
              <w:pStyle w:val="TableText"/>
            </w:pPr>
            <w:r>
              <w:t>[Polyporales: Fomitopsidaceae]</w:t>
            </w:r>
          </w:p>
          <w:p w:rsidR="00B8782D" w:rsidRDefault="00B8782D">
            <w:pPr>
              <w:pStyle w:val="TableText"/>
            </w:pPr>
            <w:r>
              <w:t>Brown cubical rot</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E048C1">
            <w:pPr>
              <w:pStyle w:val="TableText"/>
            </w:pPr>
            <w:r>
              <w:t xml:space="preserve">Yes. Vic. </w:t>
            </w:r>
            <w:r>
              <w:rPr>
                <w:noProof/>
              </w:rPr>
              <w:t>(Plant Health Australia 2001)</w:t>
            </w:r>
            <w:r>
              <w:t xml:space="preserve">. Not a regulated pest for Tas. </w:t>
            </w:r>
            <w:r>
              <w:rPr>
                <w:noProof/>
              </w:rPr>
              <w:t>(DPIPWE 2013)</w:t>
            </w:r>
            <w:r>
              <w:t xml:space="preserve"> and listed as a regulated pest in the Western Australia BAM Act 2007 </w:t>
            </w:r>
            <w:r>
              <w:rPr>
                <w:noProof/>
              </w:rPr>
              <w:t>(Government of Western Australia 2014)</w:t>
            </w:r>
            <w:r>
              <w:t>.</w:t>
            </w:r>
          </w:p>
        </w:tc>
        <w:tc>
          <w:tcPr>
            <w:tcW w:w="716" w:type="pct"/>
            <w:shd w:val="clear" w:color="auto" w:fill="auto"/>
          </w:tcPr>
          <w:p w:rsidR="00B8782D" w:rsidRDefault="00B8782D" w:rsidP="00750C8B">
            <w:pPr>
              <w:pStyle w:val="TableText"/>
            </w:pPr>
            <w:r>
              <w:t xml:space="preserve">No. Wood decay pathogen that affects </w:t>
            </w:r>
            <w:r>
              <w:rPr>
                <w:i/>
              </w:rPr>
              <w:t>P. persica</w:t>
            </w:r>
            <w:r>
              <w:t xml:space="preserve"> </w:t>
            </w:r>
            <w:r>
              <w:rPr>
                <w:noProof/>
              </w:rPr>
              <w:t>(CABI 2015)</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Fusarium avenaceum</w:t>
            </w:r>
            <w:r>
              <w:t xml:space="preserve"> (Fr.) Sacc.</w:t>
            </w:r>
          </w:p>
          <w:p w:rsidR="00B8782D" w:rsidRDefault="00B8782D">
            <w:pPr>
              <w:pStyle w:val="TableText"/>
            </w:pPr>
            <w:r>
              <w:t xml:space="preserve">Synonym: </w:t>
            </w:r>
            <w:r>
              <w:rPr>
                <w:i/>
              </w:rPr>
              <w:t>Gibberella avenacea</w:t>
            </w:r>
            <w:r>
              <w:t xml:space="preserve"> R.J. Cook</w:t>
            </w:r>
          </w:p>
          <w:p w:rsidR="00B8782D" w:rsidRDefault="00B8782D">
            <w:pPr>
              <w:pStyle w:val="TableText"/>
            </w:pPr>
            <w:r>
              <w:t>[Hypocreales: Nectriaceae]</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750C8B">
            <w:pPr>
              <w:pStyle w:val="TableText"/>
            </w:pPr>
            <w:r>
              <w:t xml:space="preserve">Yes. NSW, NT, Qld, SA, Tas., Vic., WA </w:t>
            </w:r>
            <w:r>
              <w:rPr>
                <w:noProof/>
              </w:rPr>
              <w:t>(Plant Health Australia 2001)</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Fusarium lateritium</w:t>
            </w:r>
            <w:r>
              <w:t xml:space="preserve"> Nees</w:t>
            </w:r>
          </w:p>
          <w:p w:rsidR="00B8782D" w:rsidRDefault="00B8782D">
            <w:pPr>
              <w:pStyle w:val="TableText"/>
            </w:pPr>
            <w:r>
              <w:t xml:space="preserve">Synonym: </w:t>
            </w:r>
            <w:r>
              <w:rPr>
                <w:i/>
              </w:rPr>
              <w:t>Gibberella baccata</w:t>
            </w:r>
            <w:r>
              <w:t xml:space="preserve"> (Wallr.) Sacc.</w:t>
            </w:r>
          </w:p>
          <w:p w:rsidR="00B8782D" w:rsidRDefault="00B8782D">
            <w:pPr>
              <w:pStyle w:val="TableText"/>
            </w:pPr>
            <w:r>
              <w:t>[Hypocreales: Nectriaceae]</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750C8B">
            <w:pPr>
              <w:pStyle w:val="TableText"/>
            </w:pPr>
            <w:r>
              <w:t xml:space="preserve">Yes. NSW, Qld, SA, Tas., Vic., WA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Fusarium oxysporum</w:t>
            </w:r>
            <w:r>
              <w:t xml:space="preserve"> Schltdl.</w:t>
            </w:r>
          </w:p>
          <w:p w:rsidR="00B8782D" w:rsidRDefault="00B8782D">
            <w:pPr>
              <w:pStyle w:val="TableText"/>
            </w:pPr>
            <w:r>
              <w:t>[Hypocreales: Nectriaceae]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r>
              <w:t>. An unlisted organism under the Western Australia BAM Act 2007</w:t>
            </w:r>
            <w:r>
              <w:rPr>
                <w:noProof/>
              </w:rPr>
              <w:t>(Government of Western Australia 2014)</w:t>
            </w:r>
            <w:r>
              <w:t xml:space="preserve">. There are known formae speciales of this species and more than 200 records of </w:t>
            </w:r>
            <w:r>
              <w:rPr>
                <w:i/>
              </w:rPr>
              <w:t>F. oxysporum</w:t>
            </w:r>
            <w:r>
              <w:t xml:space="preserve"> formae specials in WA were found.  </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Geotrichum candidum</w:t>
            </w:r>
            <w:r>
              <w:t xml:space="preserve"> Link</w:t>
            </w:r>
          </w:p>
          <w:p w:rsidR="00B8782D" w:rsidRDefault="00B8782D">
            <w:pPr>
              <w:pStyle w:val="TableText"/>
            </w:pPr>
            <w:r>
              <w:t>[Saccharomycetales: Dipodascaceae]</w:t>
            </w:r>
          </w:p>
          <w:p w:rsidR="00B8782D" w:rsidRDefault="00B8782D">
            <w:pPr>
              <w:pStyle w:val="TableText"/>
            </w:pPr>
            <w:r>
              <w:t>Citrus sour rot</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750C8B">
            <w:pPr>
              <w:pStyle w:val="TableText"/>
            </w:pPr>
            <w:r>
              <w:t xml:space="preserve">Yes. NSW, NT, Qld, Tas., Vic., WA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Gloeodes pomigena</w:t>
            </w:r>
            <w:r>
              <w:t xml:space="preserve"> (Schwein.) Colby</w:t>
            </w:r>
          </w:p>
          <w:p w:rsidR="00B8782D" w:rsidRDefault="00B8782D">
            <w:pPr>
              <w:pStyle w:val="TableText"/>
            </w:pPr>
            <w:r>
              <w:t>[Phyllachorales: Phyllachoraceae]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NSW, Qld, Tas., WA </w:t>
            </w:r>
            <w:r>
              <w:rPr>
                <w:noProof/>
              </w:rPr>
              <w:t>(Plant Health Australia 2001; Sampson &amp; Walker 1982; Shivas 1989; Simmonds 1966)</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Inonotus hispidus</w:t>
            </w:r>
            <w:r>
              <w:t xml:space="preserve"> (Bull.) P. Karst.</w:t>
            </w:r>
          </w:p>
          <w:p w:rsidR="00B8782D" w:rsidRDefault="00B8782D">
            <w:pPr>
              <w:pStyle w:val="TableText"/>
            </w:pPr>
            <w:r>
              <w:t>[Hymenochaetales: Hymenochaetaceae]</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Parasitic on wood </w:t>
            </w:r>
            <w:r>
              <w:rPr>
                <w:noProof/>
              </w:rPr>
              <w:t>(CABI 2015; Grand &amp; Vernia 2005)</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Irpex lacteus</w:t>
            </w:r>
            <w:r>
              <w:t xml:space="preserve"> (Fr.) Fr.</w:t>
            </w:r>
          </w:p>
          <w:p w:rsidR="00B8782D" w:rsidRDefault="00B8782D">
            <w:pPr>
              <w:pStyle w:val="TableText"/>
            </w:pPr>
            <w:r>
              <w:t>[Polyporales: Meruliaceae]</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E048C1">
            <w:pPr>
              <w:pStyle w:val="TableText"/>
            </w:pPr>
            <w:r>
              <w:t xml:space="preserve">Yes. NSW </w:t>
            </w:r>
            <w:r>
              <w:rPr>
                <w:noProof/>
              </w:rPr>
              <w:t>(Plant Health Australia 2001)</w:t>
            </w:r>
            <w:r>
              <w:t xml:space="preserve">. Not a regulated pest for Tas. </w:t>
            </w:r>
            <w:r>
              <w:rPr>
                <w:noProof/>
              </w:rPr>
              <w:t>(DPIPWE 2013)</w:t>
            </w:r>
            <w:r>
              <w:t xml:space="preserve"> and an unlisted organism under the Western Australia BAM Act 2007 </w:t>
            </w:r>
            <w:r>
              <w:rPr>
                <w:noProof/>
              </w:rPr>
              <w:t>(Government of Western Australia 2014)</w:t>
            </w:r>
            <w:r>
              <w:t>.</w:t>
            </w:r>
          </w:p>
        </w:tc>
        <w:tc>
          <w:tcPr>
            <w:tcW w:w="716" w:type="pct"/>
            <w:shd w:val="clear" w:color="auto" w:fill="auto"/>
          </w:tcPr>
          <w:p w:rsidR="00B8782D" w:rsidRDefault="00B8782D" w:rsidP="00750C8B">
            <w:pPr>
              <w:pStyle w:val="TableText"/>
            </w:pPr>
            <w:r>
              <w:t xml:space="preserve">No. Wood rot-diseases </w:t>
            </w:r>
            <w:r>
              <w:rPr>
                <w:noProof/>
              </w:rPr>
              <w:t>(Uyemoto, Ogawa &amp; Jaffee 2001)</w:t>
            </w:r>
            <w:r>
              <w:t xml:space="preserve">. </w:t>
            </w:r>
            <w:r>
              <w:rPr>
                <w:i/>
              </w:rPr>
              <w:t>Irpex lacteus</w:t>
            </w:r>
            <w:r>
              <w:t xml:space="preserve"> is common on dead branches of hardwood trees </w:t>
            </w:r>
            <w:r>
              <w:rPr>
                <w:noProof/>
              </w:rPr>
              <w:t>(Ostry, Anderson &amp; O'Brien 2013)</w:t>
            </w:r>
            <w:r>
              <w:t xml:space="preserve">.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Laetiporus sulphureus</w:t>
            </w:r>
            <w:r>
              <w:t xml:space="preserve"> (Bull.) Murrill</w:t>
            </w:r>
          </w:p>
          <w:p w:rsidR="00B8782D" w:rsidRDefault="00B8782D">
            <w:pPr>
              <w:pStyle w:val="TableText"/>
            </w:pPr>
            <w:r>
              <w:t>[Polyporales: Fomitopsidaceae]</w:t>
            </w:r>
          </w:p>
          <w:p w:rsidR="00B8782D" w:rsidRDefault="00B8782D">
            <w:pPr>
              <w:pStyle w:val="TableText"/>
            </w:pPr>
            <w:r>
              <w:t>Sulphur fungus</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NSW, Qld </w:t>
            </w:r>
            <w:r>
              <w:rPr>
                <w:noProof/>
              </w:rPr>
              <w:t>(Plant Health Australia 2001)</w:t>
            </w:r>
            <w:r>
              <w:t xml:space="preserve">. Not a regulated pest for Tas. </w:t>
            </w:r>
            <w:r>
              <w:rPr>
                <w:noProof/>
              </w:rPr>
              <w:t>(DPIPWE 2013)</w:t>
            </w:r>
            <w:r>
              <w:t xml:space="preserve"> and an unlisted organism under the Western Australia BAM Act 2007</w:t>
            </w:r>
            <w:r>
              <w:rPr>
                <w:noProof/>
              </w:rPr>
              <w:t>(Government of Western Australia 2014)</w:t>
            </w:r>
            <w:r>
              <w:t>.</w:t>
            </w:r>
          </w:p>
        </w:tc>
        <w:tc>
          <w:tcPr>
            <w:tcW w:w="716" w:type="pct"/>
            <w:shd w:val="clear" w:color="auto" w:fill="auto"/>
          </w:tcPr>
          <w:p w:rsidR="00B8782D" w:rsidRDefault="00B8782D" w:rsidP="00750C8B">
            <w:pPr>
              <w:pStyle w:val="TableText"/>
            </w:pPr>
            <w:r>
              <w:t xml:space="preserve">No. It is associated with a brown rot of wood, occurring in the roots, butt, or heartwood of living trees, but also decaying logs or trunks of trees that have died </w:t>
            </w:r>
            <w:r>
              <w:rPr>
                <w:noProof/>
              </w:rPr>
              <w:t>(Burdsall &amp; Banik 2001)</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Lasiodiplodia theobromae</w:t>
            </w:r>
            <w:r>
              <w:t xml:space="preserve"> (Pat.) Griffon &amp; Maubl.</w:t>
            </w:r>
          </w:p>
          <w:p w:rsidR="00B8782D" w:rsidRDefault="00B8782D">
            <w:pPr>
              <w:pStyle w:val="TableText"/>
            </w:pPr>
            <w:r>
              <w:t xml:space="preserve">Synonym: </w:t>
            </w:r>
            <w:r>
              <w:rPr>
                <w:i/>
              </w:rPr>
              <w:t>Botryosphaeria rhodina</w:t>
            </w:r>
            <w:r>
              <w:t xml:space="preserve"> (Berk. &amp; M.A. Curtis) Arx (1970)</w:t>
            </w:r>
          </w:p>
          <w:p w:rsidR="00B8782D" w:rsidRDefault="00B8782D">
            <w:pPr>
              <w:pStyle w:val="TableText"/>
            </w:pPr>
            <w:r>
              <w:t>[Botryosphaeriales: Botryosphaeriaceae]</w:t>
            </w:r>
          </w:p>
          <w:p w:rsidR="00B8782D" w:rsidRDefault="00B8782D">
            <w:pPr>
              <w:pStyle w:val="TableText"/>
            </w:pPr>
            <w:r>
              <w:t>Blister canker, Peach gummosis</w:t>
            </w:r>
          </w:p>
        </w:tc>
        <w:tc>
          <w:tcPr>
            <w:tcW w:w="575" w:type="pct"/>
            <w:shd w:val="clear" w:color="auto" w:fill="auto"/>
          </w:tcPr>
          <w:p w:rsidR="00B8782D" w:rsidRDefault="00B8782D" w:rsidP="00750C8B">
            <w:pPr>
              <w:pStyle w:val="TableText"/>
            </w:pPr>
            <w:r>
              <w:t xml:space="preserve">Yes </w:t>
            </w:r>
            <w:r>
              <w:rPr>
                <w:noProof/>
              </w:rPr>
              <w:t>(Farr &amp; Rossman 2014)</w:t>
            </w:r>
          </w:p>
        </w:tc>
        <w:tc>
          <w:tcPr>
            <w:tcW w:w="615" w:type="pct"/>
            <w:shd w:val="clear" w:color="auto" w:fill="auto"/>
          </w:tcPr>
          <w:p w:rsidR="00B8782D" w:rsidRDefault="00B8782D" w:rsidP="00750C8B">
            <w:pPr>
              <w:pStyle w:val="TableText"/>
            </w:pPr>
            <w:r>
              <w:t xml:space="preserve">Yes. NSW, NT, Qld, SA, WA </w:t>
            </w:r>
            <w:r>
              <w:rPr>
                <w:noProof/>
              </w:rPr>
              <w:t>(Plant Health Australia 2001)</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Leptosphaeria yulan</w:t>
            </w:r>
            <w:r>
              <w:t xml:space="preserve"> Sacc.</w:t>
            </w:r>
          </w:p>
          <w:p w:rsidR="00B8782D" w:rsidRDefault="00B8782D">
            <w:pPr>
              <w:pStyle w:val="TableText"/>
            </w:pPr>
            <w:r>
              <w:t>[Pleosporales: Leptosphaeriaceae]</w:t>
            </w:r>
          </w:p>
        </w:tc>
        <w:tc>
          <w:tcPr>
            <w:tcW w:w="575" w:type="pct"/>
            <w:shd w:val="clear" w:color="auto" w:fill="auto"/>
          </w:tcPr>
          <w:p w:rsidR="00B8782D" w:rsidRDefault="00B8782D" w:rsidP="00750C8B">
            <w:pPr>
              <w:pStyle w:val="TableText"/>
            </w:pPr>
            <w:r>
              <w:t xml:space="preserve">Yes </w:t>
            </w:r>
            <w:r>
              <w:rPr>
                <w:noProof/>
              </w:rPr>
              <w:t>(Yu 1940)</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No. Leaf spot disease affecting </w:t>
            </w:r>
            <w:r>
              <w:rPr>
                <w:i/>
              </w:rPr>
              <w:t>P. persica</w:t>
            </w:r>
            <w:r>
              <w:t xml:space="preserve"> </w:t>
            </w:r>
            <w:r>
              <w:rPr>
                <w:noProof/>
              </w:rPr>
              <w:t>(NIAS 2009)</w:t>
            </w:r>
            <w:r>
              <w:t xml:space="preserve"> and not associated with fruit </w:t>
            </w:r>
            <w:r>
              <w:rPr>
                <w:noProof/>
              </w:rPr>
              <w:t>(MAFF 2010)</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Leptoxyphium fumago</w:t>
            </w:r>
            <w:r>
              <w:t xml:space="preserve"> (Woron.) R.C. Srivast.</w:t>
            </w:r>
          </w:p>
          <w:p w:rsidR="00B8782D" w:rsidRDefault="00B8782D">
            <w:pPr>
              <w:pStyle w:val="TableText"/>
            </w:pPr>
            <w:r>
              <w:t xml:space="preserve">Synonym: </w:t>
            </w:r>
            <w:r>
              <w:rPr>
                <w:i/>
              </w:rPr>
              <w:t>Caldariomyces fumago</w:t>
            </w:r>
            <w:r>
              <w:t xml:space="preserve"> Woron.; Fumago vagans Pers.</w:t>
            </w:r>
          </w:p>
          <w:p w:rsidR="00B8782D" w:rsidRDefault="00B8782D">
            <w:pPr>
              <w:pStyle w:val="TableText"/>
            </w:pPr>
            <w:r>
              <w:t>[Capnodiales: Capnodiaceae]</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750C8B">
            <w:pPr>
              <w:pStyle w:val="TableText"/>
            </w:pPr>
            <w:r>
              <w:t xml:space="preserve">Yes. NSW, Qld, SA, </w:t>
            </w:r>
            <w:r>
              <w:rPr>
                <w:noProof/>
              </w:rPr>
              <w:t>(Phillips 1994; Plant Health Australia 2001)</w:t>
            </w:r>
            <w:r>
              <w:t xml:space="preserve">. Not a regulated pest for Tas. </w:t>
            </w:r>
            <w:r>
              <w:rPr>
                <w:noProof/>
              </w:rPr>
              <w:t>(DPIPWE 2013)</w:t>
            </w:r>
            <w:r>
              <w:t xml:space="preserve"> and an unlisted organism under the Western Australia BAM Act 2007</w:t>
            </w:r>
            <w:r>
              <w:rPr>
                <w:noProof/>
              </w:rPr>
              <w:t>(Government of Western Australia 2014)</w:t>
            </w:r>
            <w:r>
              <w:t>.</w:t>
            </w:r>
          </w:p>
        </w:tc>
        <w:tc>
          <w:tcPr>
            <w:tcW w:w="716" w:type="pct"/>
            <w:shd w:val="clear" w:color="auto" w:fill="auto"/>
          </w:tcPr>
          <w:p w:rsidR="00B8782D" w:rsidRDefault="00B8782D" w:rsidP="00750C8B">
            <w:pPr>
              <w:pStyle w:val="TableText"/>
            </w:pPr>
            <w:r>
              <w:t xml:space="preserve">No. </w:t>
            </w:r>
            <w:r>
              <w:rPr>
                <w:i/>
              </w:rPr>
              <w:t>Leptoxyphium fumago</w:t>
            </w:r>
            <w:r>
              <w:t xml:space="preserve"> is a foliar pathogen and not associated with fruit </w:t>
            </w:r>
            <w:r>
              <w:rPr>
                <w:noProof/>
              </w:rPr>
              <w:t>(Tomoshevich &amp; Banaev 2013)</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Leucotelium pruni-persicae</w:t>
            </w:r>
            <w:r>
              <w:t xml:space="preserve"> (Hori) Tranzschel.</w:t>
            </w:r>
          </w:p>
          <w:p w:rsidR="00B8782D" w:rsidRDefault="00B8782D">
            <w:pPr>
              <w:pStyle w:val="TableText"/>
            </w:pPr>
            <w:r>
              <w:t>[Pucciniales: Uropyxidaceae]</w:t>
            </w:r>
          </w:p>
          <w:p w:rsidR="00B8782D" w:rsidRDefault="00B8782D">
            <w:pPr>
              <w:pStyle w:val="TableText"/>
            </w:pPr>
            <w:r>
              <w:t>White rust of peach</w:t>
            </w:r>
          </w:p>
        </w:tc>
        <w:tc>
          <w:tcPr>
            <w:tcW w:w="575" w:type="pct"/>
            <w:shd w:val="clear" w:color="auto" w:fill="auto"/>
          </w:tcPr>
          <w:p w:rsidR="00B8782D" w:rsidRDefault="00B8782D" w:rsidP="00750C8B">
            <w:pPr>
              <w:pStyle w:val="TableText"/>
            </w:pPr>
            <w:r>
              <w:t xml:space="preserve">Yes </w:t>
            </w:r>
            <w:r>
              <w:rPr>
                <w:noProof/>
              </w:rPr>
              <w:t>(Teng 1996)</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No. Disease only occurs on leaves and is heteroecious with </w:t>
            </w:r>
            <w:r>
              <w:rPr>
                <w:i/>
              </w:rPr>
              <w:t>Semiaquilegia adoxoides</w:t>
            </w:r>
            <w:r>
              <w:t xml:space="preserve"> plants being the alternate host </w:t>
            </w:r>
            <w:r>
              <w:rPr>
                <w:noProof/>
              </w:rPr>
              <w:t>(Kitajima &amp; Sawamura 1995)</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Monilia mumecola</w:t>
            </w:r>
            <w:r>
              <w:t xml:space="preserve"> Y. Harada, Y. Sasaki &amp; Sano</w:t>
            </w:r>
          </w:p>
          <w:p w:rsidR="00B8782D" w:rsidRDefault="00B8782D">
            <w:pPr>
              <w:pStyle w:val="TableText"/>
            </w:pPr>
            <w:r>
              <w:t>[Helotiales; Sclerotiniaceae]</w:t>
            </w:r>
          </w:p>
          <w:p w:rsidR="00B8782D" w:rsidRDefault="00B8782D">
            <w:pPr>
              <w:pStyle w:val="TableText"/>
            </w:pPr>
            <w:r>
              <w:t xml:space="preserve">Brown rot </w:t>
            </w:r>
          </w:p>
        </w:tc>
        <w:tc>
          <w:tcPr>
            <w:tcW w:w="575" w:type="pct"/>
            <w:shd w:val="clear" w:color="auto" w:fill="auto"/>
          </w:tcPr>
          <w:p w:rsidR="00B8782D" w:rsidRDefault="00B8782D" w:rsidP="00750C8B">
            <w:pPr>
              <w:pStyle w:val="TableText"/>
            </w:pPr>
            <w:r>
              <w:t xml:space="preserve">Yes </w:t>
            </w:r>
            <w:r>
              <w:rPr>
                <w:noProof/>
              </w:rPr>
              <w:t>(Hu et al. 2011)</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This fungus causes brown rot of </w:t>
            </w:r>
            <w:r>
              <w:rPr>
                <w:i/>
              </w:rPr>
              <w:t>P. persica</w:t>
            </w:r>
            <w:r>
              <w:t xml:space="preserve"> in China </w:t>
            </w:r>
            <w:r>
              <w:rPr>
                <w:noProof/>
              </w:rPr>
              <w:t>(Hu et al. 2011; Yin et al. 2013)</w:t>
            </w:r>
            <w:r>
              <w:t>.</w:t>
            </w:r>
          </w:p>
        </w:tc>
        <w:tc>
          <w:tcPr>
            <w:tcW w:w="717" w:type="pct"/>
            <w:shd w:val="clear" w:color="auto" w:fill="auto"/>
          </w:tcPr>
          <w:p w:rsidR="00B8782D" w:rsidRDefault="00B8782D" w:rsidP="00750C8B">
            <w:pPr>
              <w:pStyle w:val="TableText"/>
            </w:pPr>
            <w:r>
              <w:t xml:space="preserve">Yes. </w:t>
            </w:r>
            <w:r>
              <w:rPr>
                <w:i/>
              </w:rPr>
              <w:t>Monilia mumecola</w:t>
            </w:r>
            <w:r>
              <w:t xml:space="preserve"> causes brown rot of apricot, peach and nectarine </w:t>
            </w:r>
            <w:r>
              <w:rPr>
                <w:noProof/>
              </w:rPr>
              <w:t>(Hu et al. 2011; Yin et al. 2013)</w:t>
            </w:r>
            <w:r>
              <w:t>. These hosts are widespread in Australia. It has been reported from Hubei in southern China and Japan. The climatic conditions in many parts of Australia are similar to these countries.</w:t>
            </w:r>
          </w:p>
        </w:tc>
        <w:tc>
          <w:tcPr>
            <w:tcW w:w="716" w:type="pct"/>
            <w:shd w:val="clear" w:color="auto" w:fill="auto"/>
          </w:tcPr>
          <w:p w:rsidR="00B8782D" w:rsidRDefault="00B8782D" w:rsidP="00750C8B">
            <w:pPr>
              <w:pStyle w:val="TableText"/>
            </w:pPr>
            <w:r>
              <w:t xml:space="preserve">Yes. </w:t>
            </w:r>
            <w:r>
              <w:rPr>
                <w:i/>
              </w:rPr>
              <w:t>Monilia mumecola</w:t>
            </w:r>
            <w:r>
              <w:t xml:space="preserve"> causes brown rot of apricot, peach and nectarine which is an economically important disease </w:t>
            </w:r>
            <w:r>
              <w:rPr>
                <w:noProof/>
              </w:rPr>
              <w:t>(Hu et al. 2011; Yin et al. 2013)</w:t>
            </w:r>
            <w:r>
              <w:t>.</w:t>
            </w:r>
          </w:p>
        </w:tc>
        <w:tc>
          <w:tcPr>
            <w:tcW w:w="574" w:type="pct"/>
            <w:shd w:val="clear" w:color="auto" w:fill="auto"/>
          </w:tcPr>
          <w:p w:rsidR="00B8782D" w:rsidRDefault="00B8782D">
            <w:pPr>
              <w:pStyle w:val="TableText"/>
            </w:pPr>
            <w:r>
              <w:t>Yes</w:t>
            </w:r>
          </w:p>
        </w:tc>
      </w:tr>
      <w:tr w:rsidR="00B8782D">
        <w:trPr>
          <w:cantSplit/>
          <w:jc w:val="center"/>
        </w:trPr>
        <w:tc>
          <w:tcPr>
            <w:tcW w:w="1087" w:type="pct"/>
            <w:shd w:val="clear" w:color="auto" w:fill="auto"/>
          </w:tcPr>
          <w:p w:rsidR="00B8782D" w:rsidRDefault="00B8782D">
            <w:pPr>
              <w:pStyle w:val="TableText"/>
            </w:pPr>
            <w:r>
              <w:rPr>
                <w:i/>
              </w:rPr>
              <w:lastRenderedPageBreak/>
              <w:t>Monilia polystroma</w:t>
            </w:r>
            <w:r>
              <w:t xml:space="preserve"> G. Leeuwen</w:t>
            </w:r>
          </w:p>
          <w:p w:rsidR="00B8782D" w:rsidRDefault="00B8782D">
            <w:pPr>
              <w:pStyle w:val="TableText"/>
            </w:pPr>
            <w:r>
              <w:t>[Heliotales: Sclerotiniaceae]</w:t>
            </w:r>
          </w:p>
          <w:p w:rsidR="00B8782D" w:rsidRDefault="00B8782D">
            <w:pPr>
              <w:pStyle w:val="TableText"/>
            </w:pPr>
            <w:r>
              <w:t>Brown rot</w:t>
            </w:r>
          </w:p>
        </w:tc>
        <w:tc>
          <w:tcPr>
            <w:tcW w:w="575" w:type="pct"/>
            <w:shd w:val="clear" w:color="auto" w:fill="auto"/>
          </w:tcPr>
          <w:p w:rsidR="00B8782D" w:rsidRDefault="00B8782D" w:rsidP="00750C8B">
            <w:pPr>
              <w:pStyle w:val="TableText"/>
            </w:pPr>
            <w:r>
              <w:t xml:space="preserve">Yes </w:t>
            </w:r>
            <w:r>
              <w:rPr>
                <w:noProof/>
              </w:rPr>
              <w:t>(Zhu, Chen &amp; Guo 2011)</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Yes. This fungus causes brown rot of fruit </w:t>
            </w:r>
            <w:r>
              <w:rPr>
                <w:noProof/>
              </w:rPr>
              <w:t>(Farr &amp; Rossman 2014)</w:t>
            </w:r>
            <w:r>
              <w:t>.</w:t>
            </w:r>
          </w:p>
        </w:tc>
        <w:tc>
          <w:tcPr>
            <w:tcW w:w="717" w:type="pct"/>
            <w:shd w:val="clear" w:color="auto" w:fill="auto"/>
          </w:tcPr>
          <w:p w:rsidR="00B8782D" w:rsidRDefault="00B8782D" w:rsidP="00750C8B">
            <w:pPr>
              <w:pStyle w:val="TableText"/>
            </w:pPr>
            <w:r>
              <w:t xml:space="preserve">Yes. Affects, amongst other hosts, </w:t>
            </w:r>
            <w:r>
              <w:rPr>
                <w:i/>
              </w:rPr>
              <w:t>Prunus</w:t>
            </w:r>
            <w:r>
              <w:t xml:space="preserve"> spp. </w:t>
            </w:r>
            <w:r>
              <w:rPr>
                <w:noProof/>
              </w:rPr>
              <w:t>(Farr &amp; Rossman 2014)</w:t>
            </w:r>
            <w:r>
              <w:t xml:space="preserve">. </w:t>
            </w:r>
            <w:r>
              <w:rPr>
                <w:i/>
              </w:rPr>
              <w:t>Monilia polystroma</w:t>
            </w:r>
            <w:r>
              <w:t xml:space="preserve"> produces specialised structures during infection which protect the infected fruit against degradation and decomposition. This inhibition in degradation of infected fruit may enhance survival and subsequently increase the amount of primary inoculum </w:t>
            </w:r>
            <w:r>
              <w:rPr>
                <w:noProof/>
              </w:rPr>
              <w:t>(van Leeuwen et al. 2002)</w:t>
            </w:r>
            <w:r>
              <w:t xml:space="preserve">. This fungus disperses easily over long distances by wind or attached to vectors. Suitable climatic conditions for spore germination occur in many parts of Australia, specifically in southern temperate Australia </w:t>
            </w:r>
            <w:r>
              <w:rPr>
                <w:noProof/>
              </w:rPr>
              <w:t>(Farr &amp; Rossman 2014)</w:t>
            </w:r>
            <w:r>
              <w:t>.</w:t>
            </w:r>
          </w:p>
        </w:tc>
        <w:tc>
          <w:tcPr>
            <w:tcW w:w="716" w:type="pct"/>
            <w:shd w:val="clear" w:color="auto" w:fill="auto"/>
          </w:tcPr>
          <w:p w:rsidR="00B8782D" w:rsidRDefault="00B8782D" w:rsidP="00750C8B">
            <w:pPr>
              <w:pStyle w:val="TableText"/>
            </w:pPr>
            <w:r>
              <w:t xml:space="preserve">Yes. Causes significant yield losses and loss of vigour of apple, pear and </w:t>
            </w:r>
            <w:r>
              <w:rPr>
                <w:i/>
              </w:rPr>
              <w:t>Prunus</w:t>
            </w:r>
            <w:r>
              <w:t xml:space="preserve"> species </w:t>
            </w:r>
            <w:r>
              <w:rPr>
                <w:noProof/>
              </w:rPr>
              <w:t>(van Leeuwen et al. 2002)</w:t>
            </w:r>
            <w:r>
              <w:t>.</w:t>
            </w:r>
          </w:p>
        </w:tc>
        <w:tc>
          <w:tcPr>
            <w:tcW w:w="574" w:type="pct"/>
            <w:shd w:val="clear" w:color="auto" w:fill="auto"/>
          </w:tcPr>
          <w:p w:rsidR="00B8782D" w:rsidRDefault="00B8782D">
            <w:pPr>
              <w:pStyle w:val="TableText"/>
            </w:pPr>
            <w:r>
              <w:t>Yes</w:t>
            </w:r>
          </w:p>
        </w:tc>
      </w:tr>
      <w:tr w:rsidR="00B8782D">
        <w:trPr>
          <w:cantSplit/>
          <w:jc w:val="center"/>
        </w:trPr>
        <w:tc>
          <w:tcPr>
            <w:tcW w:w="1087" w:type="pct"/>
            <w:shd w:val="clear" w:color="auto" w:fill="auto"/>
          </w:tcPr>
          <w:p w:rsidR="00B8782D" w:rsidRDefault="00B8782D">
            <w:pPr>
              <w:pStyle w:val="TableText"/>
            </w:pPr>
            <w:r>
              <w:rPr>
                <w:i/>
              </w:rPr>
              <w:t>Monilinia fructicola</w:t>
            </w:r>
            <w:r>
              <w:t xml:space="preserve"> (G. Winter) Honey</w:t>
            </w:r>
          </w:p>
          <w:p w:rsidR="00B8782D" w:rsidRDefault="00B8782D">
            <w:pPr>
              <w:pStyle w:val="TableText"/>
            </w:pPr>
            <w:r>
              <w:t>[Helotiales: Sclerotiniaceae]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Monilinia fructigena</w:t>
            </w:r>
            <w:r>
              <w:t xml:space="preserve"> Honey</w:t>
            </w:r>
          </w:p>
          <w:p w:rsidR="00B8782D" w:rsidRDefault="00B8782D">
            <w:pPr>
              <w:pStyle w:val="TableText"/>
            </w:pPr>
            <w:r>
              <w:t>[Helotiales; Sclerotiniaceae]</w:t>
            </w:r>
          </w:p>
          <w:p w:rsidR="00B8782D" w:rsidRDefault="00B8782D">
            <w:pPr>
              <w:pStyle w:val="TableText"/>
            </w:pPr>
            <w:r>
              <w:t>Brown rot</w:t>
            </w:r>
          </w:p>
        </w:tc>
        <w:tc>
          <w:tcPr>
            <w:tcW w:w="575" w:type="pct"/>
            <w:shd w:val="clear" w:color="auto" w:fill="auto"/>
          </w:tcPr>
          <w:p w:rsidR="00B8782D" w:rsidRDefault="00B8782D" w:rsidP="00750C8B">
            <w:pPr>
              <w:pStyle w:val="TableText"/>
            </w:pPr>
            <w:r>
              <w:t xml:space="preserve">Yes </w:t>
            </w:r>
            <w:r>
              <w:rPr>
                <w:noProof/>
              </w:rPr>
              <w:t>(AQSIQ 2006b, 2007b)</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Yes. Causes brown rot of pome and stonefruits </w:t>
            </w:r>
            <w:r>
              <w:rPr>
                <w:noProof/>
              </w:rPr>
              <w:t>(Farr &amp; Rossman 2014; Ogawa, Zehr &amp; Biggs 1995)</w:t>
            </w:r>
            <w:r>
              <w:t>.</w:t>
            </w:r>
          </w:p>
        </w:tc>
        <w:tc>
          <w:tcPr>
            <w:tcW w:w="717" w:type="pct"/>
            <w:shd w:val="clear" w:color="auto" w:fill="auto"/>
          </w:tcPr>
          <w:p w:rsidR="00B8782D" w:rsidRDefault="00B8782D" w:rsidP="00750C8B">
            <w:pPr>
              <w:pStyle w:val="TableText"/>
            </w:pPr>
            <w:r>
              <w:t xml:space="preserve">Yes. </w:t>
            </w:r>
            <w:r>
              <w:rPr>
                <w:i/>
              </w:rPr>
              <w:t>Monilinia fructigena</w:t>
            </w:r>
            <w:r>
              <w:t xml:space="preserve"> can infect many fruit crops including apple, pear, plum, quince, peach, apricot, nectarine and hazel </w:t>
            </w:r>
            <w:r>
              <w:rPr>
                <w:noProof/>
              </w:rPr>
              <w:t>(Byrde &amp; Willets 1977)</w:t>
            </w:r>
            <w:r>
              <w:t xml:space="preserve">. These host plants are widely available in Australia. The spores of this fungus can be spread from one orchard to another through air </w:t>
            </w:r>
            <w:r>
              <w:rPr>
                <w:noProof/>
              </w:rPr>
              <w:t>(Byrde &amp; Willets 1977; Jones 1990)</w:t>
            </w:r>
            <w:r>
              <w:t>.</w:t>
            </w:r>
          </w:p>
        </w:tc>
        <w:tc>
          <w:tcPr>
            <w:tcW w:w="716" w:type="pct"/>
            <w:shd w:val="clear" w:color="auto" w:fill="auto"/>
          </w:tcPr>
          <w:p w:rsidR="00B8782D" w:rsidRDefault="00B8782D" w:rsidP="00750C8B">
            <w:pPr>
              <w:pStyle w:val="TableText"/>
            </w:pPr>
            <w:r>
              <w:t xml:space="preserve">Yes. </w:t>
            </w:r>
            <w:r>
              <w:rPr>
                <w:i/>
              </w:rPr>
              <w:t>Monilinia fructigena</w:t>
            </w:r>
            <w:r>
              <w:t xml:space="preserve"> causes significant yield losses both before and after harvest. In Europe, losses of 7–36 per cent were reported in individual orchards </w:t>
            </w:r>
            <w:r>
              <w:rPr>
                <w:noProof/>
              </w:rPr>
              <w:t>(Jones 1990)</w:t>
            </w:r>
            <w:r>
              <w:t>.</w:t>
            </w:r>
          </w:p>
        </w:tc>
        <w:tc>
          <w:tcPr>
            <w:tcW w:w="574" w:type="pct"/>
            <w:shd w:val="clear" w:color="auto" w:fill="auto"/>
          </w:tcPr>
          <w:p w:rsidR="00B8782D" w:rsidRDefault="00B8782D">
            <w:pPr>
              <w:pStyle w:val="TableText"/>
            </w:pPr>
            <w:r>
              <w:t>Yes (EP)</w:t>
            </w:r>
          </w:p>
        </w:tc>
      </w:tr>
      <w:tr w:rsidR="00B8782D">
        <w:trPr>
          <w:cantSplit/>
          <w:jc w:val="center"/>
        </w:trPr>
        <w:tc>
          <w:tcPr>
            <w:tcW w:w="1087" w:type="pct"/>
            <w:shd w:val="clear" w:color="auto" w:fill="auto"/>
          </w:tcPr>
          <w:p w:rsidR="00B8782D" w:rsidRDefault="00B8782D">
            <w:pPr>
              <w:pStyle w:val="TableText"/>
            </w:pPr>
            <w:r>
              <w:rPr>
                <w:i/>
              </w:rPr>
              <w:t>Monilinia laxa</w:t>
            </w:r>
            <w:r>
              <w:t xml:space="preserve"> (Aderh. &amp; Ruhland) Honey</w:t>
            </w:r>
          </w:p>
          <w:p w:rsidR="00B8782D" w:rsidRDefault="00B8782D">
            <w:pPr>
              <w:pStyle w:val="TableText"/>
            </w:pPr>
            <w:r>
              <w:t>[Helotiales: Sclerotiniaceae]</w:t>
            </w:r>
          </w:p>
          <w:p w:rsidR="00B8782D" w:rsidRDefault="00B8782D">
            <w:pPr>
              <w:pStyle w:val="TableText"/>
            </w:pPr>
            <w:r>
              <w:t>Blossom and twig rot, Gummosis, Brown rot, Fruit rot</w:t>
            </w:r>
          </w:p>
        </w:tc>
        <w:tc>
          <w:tcPr>
            <w:tcW w:w="575" w:type="pct"/>
            <w:shd w:val="clear" w:color="auto" w:fill="auto"/>
          </w:tcPr>
          <w:p w:rsidR="00B8782D" w:rsidRDefault="00B8782D" w:rsidP="00750C8B">
            <w:pPr>
              <w:pStyle w:val="TableText"/>
            </w:pPr>
            <w:r>
              <w:t xml:space="preserve">Yes </w:t>
            </w:r>
            <w:r>
              <w:rPr>
                <w:noProof/>
              </w:rPr>
              <w:t>(Feng &amp; Wang 2004)</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Monilinia yunnanensis</w:t>
            </w:r>
            <w:r>
              <w:t xml:space="preserve"> M. J. Hu &amp; C. X. Luo</w:t>
            </w:r>
          </w:p>
          <w:p w:rsidR="00B8782D" w:rsidRDefault="00B8782D">
            <w:pPr>
              <w:pStyle w:val="TableText"/>
            </w:pPr>
            <w:r>
              <w:t>[Helotiales; Sclerotiniaceae]</w:t>
            </w:r>
          </w:p>
          <w:p w:rsidR="00B8782D" w:rsidRDefault="00B8782D">
            <w:pPr>
              <w:pStyle w:val="TableText"/>
            </w:pPr>
            <w:r>
              <w:t>Brown rot</w:t>
            </w:r>
          </w:p>
        </w:tc>
        <w:tc>
          <w:tcPr>
            <w:tcW w:w="575" w:type="pct"/>
            <w:shd w:val="clear" w:color="auto" w:fill="auto"/>
          </w:tcPr>
          <w:p w:rsidR="00B8782D" w:rsidRDefault="00B8782D" w:rsidP="00750C8B">
            <w:pPr>
              <w:pStyle w:val="TableText"/>
            </w:pPr>
            <w:r>
              <w:t xml:space="preserve">Yes </w:t>
            </w:r>
            <w:r>
              <w:rPr>
                <w:noProof/>
              </w:rPr>
              <w:t>(Hu et al. 2011)</w:t>
            </w:r>
          </w:p>
        </w:tc>
        <w:tc>
          <w:tcPr>
            <w:tcW w:w="615" w:type="pct"/>
            <w:shd w:val="clear" w:color="auto" w:fill="auto"/>
          </w:tcPr>
          <w:p w:rsidR="00B8782D" w:rsidRDefault="00B8782D">
            <w:pPr>
              <w:pStyle w:val="TableText"/>
            </w:pPr>
            <w:r>
              <w:t xml:space="preserve">No records found </w:t>
            </w:r>
          </w:p>
        </w:tc>
        <w:tc>
          <w:tcPr>
            <w:tcW w:w="716" w:type="pct"/>
            <w:shd w:val="clear" w:color="auto" w:fill="auto"/>
          </w:tcPr>
          <w:p w:rsidR="00B8782D" w:rsidRDefault="00B8782D" w:rsidP="00750C8B">
            <w:pPr>
              <w:pStyle w:val="TableText"/>
            </w:pPr>
            <w:r>
              <w:t xml:space="preserve">Yes. Causes brown rot of peach fruit and survives in mummified fruit </w:t>
            </w:r>
            <w:r>
              <w:rPr>
                <w:noProof/>
              </w:rPr>
              <w:t>(Hu et al. 2011)</w:t>
            </w:r>
            <w:r>
              <w:t>.</w:t>
            </w:r>
          </w:p>
        </w:tc>
        <w:tc>
          <w:tcPr>
            <w:tcW w:w="717" w:type="pct"/>
            <w:shd w:val="clear" w:color="auto" w:fill="auto"/>
          </w:tcPr>
          <w:p w:rsidR="00B8782D" w:rsidRDefault="00B8782D" w:rsidP="00750C8B">
            <w:pPr>
              <w:pStyle w:val="TableText"/>
            </w:pPr>
            <w:r>
              <w:t xml:space="preserve">Yes. </w:t>
            </w:r>
            <w:r>
              <w:rPr>
                <w:i/>
              </w:rPr>
              <w:t>Monilinia yunnanensis</w:t>
            </w:r>
            <w:r>
              <w:t xml:space="preserve"> has recently been reported from Yunnan and Liaoning in China </w:t>
            </w:r>
            <w:r>
              <w:rPr>
                <w:noProof/>
              </w:rPr>
              <w:t>(Hu et al. 2011)</w:t>
            </w:r>
            <w:r>
              <w:t>. Suitable climatic conditions for spore germination would occur in many parts of Australia.</w:t>
            </w:r>
          </w:p>
        </w:tc>
        <w:tc>
          <w:tcPr>
            <w:tcW w:w="716" w:type="pct"/>
            <w:shd w:val="clear" w:color="auto" w:fill="auto"/>
          </w:tcPr>
          <w:p w:rsidR="00B8782D" w:rsidRDefault="00B8782D" w:rsidP="00750C8B">
            <w:pPr>
              <w:pStyle w:val="TableText"/>
            </w:pPr>
            <w:r>
              <w:t xml:space="preserve">Yes. </w:t>
            </w:r>
            <w:r>
              <w:rPr>
                <w:i/>
              </w:rPr>
              <w:t>Monilinia yunnanensis</w:t>
            </w:r>
            <w:r>
              <w:t xml:space="preserve"> which causes brown rot of </w:t>
            </w:r>
            <w:r>
              <w:rPr>
                <w:i/>
              </w:rPr>
              <w:t>Prunus persica</w:t>
            </w:r>
            <w:r>
              <w:t xml:space="preserve"> in China, is most closely related to </w:t>
            </w:r>
            <w:r>
              <w:rPr>
                <w:i/>
              </w:rPr>
              <w:t>M. fructigena,</w:t>
            </w:r>
            <w:r>
              <w:t xml:space="preserve"> a species widely prevalent in Europe </w:t>
            </w:r>
            <w:r>
              <w:rPr>
                <w:noProof/>
              </w:rPr>
              <w:t>(Hu et al. 2011)</w:t>
            </w:r>
            <w:r>
              <w:t xml:space="preserve">. </w:t>
            </w:r>
            <w:r>
              <w:rPr>
                <w:i/>
              </w:rPr>
              <w:t>Monilinia fructigena</w:t>
            </w:r>
            <w:r>
              <w:t xml:space="preserve"> causes significant yield losses both before and after harvest with losses of 7–36 per cent being reported </w:t>
            </w:r>
            <w:r>
              <w:rPr>
                <w:noProof/>
              </w:rPr>
              <w:t>(Jones 1990)</w:t>
            </w:r>
            <w:r>
              <w:t xml:space="preserve">. It is considered that </w:t>
            </w:r>
            <w:r>
              <w:rPr>
                <w:i/>
              </w:rPr>
              <w:t>M. yunnanensis</w:t>
            </w:r>
            <w:r>
              <w:t xml:space="preserve"> will produce similar economic consequences.</w:t>
            </w:r>
          </w:p>
        </w:tc>
        <w:tc>
          <w:tcPr>
            <w:tcW w:w="574" w:type="pct"/>
            <w:shd w:val="clear" w:color="auto" w:fill="auto"/>
          </w:tcPr>
          <w:p w:rsidR="00B8782D" w:rsidRDefault="00B8782D">
            <w:pPr>
              <w:pStyle w:val="TableText"/>
            </w:pPr>
            <w:r>
              <w:t>Yes</w:t>
            </w:r>
          </w:p>
        </w:tc>
      </w:tr>
      <w:tr w:rsidR="00B8782D">
        <w:trPr>
          <w:cantSplit/>
          <w:jc w:val="center"/>
        </w:trPr>
        <w:tc>
          <w:tcPr>
            <w:tcW w:w="1087" w:type="pct"/>
            <w:shd w:val="clear" w:color="auto" w:fill="auto"/>
          </w:tcPr>
          <w:p w:rsidR="00B8782D" w:rsidRDefault="00B8782D">
            <w:pPr>
              <w:pStyle w:val="TableText"/>
            </w:pPr>
            <w:r>
              <w:rPr>
                <w:i/>
              </w:rPr>
              <w:t>Mucor circinelloides</w:t>
            </w:r>
            <w:r>
              <w:t xml:space="preserve"> Tiegh.</w:t>
            </w:r>
          </w:p>
          <w:p w:rsidR="00B8782D" w:rsidRDefault="00B8782D">
            <w:pPr>
              <w:pStyle w:val="TableText"/>
            </w:pPr>
            <w:r>
              <w:t>[Mucorales: Mucoraceae]</w:t>
            </w:r>
          </w:p>
          <w:p w:rsidR="00B8782D" w:rsidRDefault="00B8782D">
            <w:pPr>
              <w:pStyle w:val="TableText"/>
            </w:pPr>
            <w:r>
              <w:t>Mucor fruit rot</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Qld, Vic. </w:t>
            </w:r>
            <w:r>
              <w:rPr>
                <w:noProof/>
              </w:rPr>
              <w:t>(Plant Health Australia 2001)</w:t>
            </w:r>
            <w:r>
              <w:t xml:space="preserve">. Not a regulated pest for Tas. </w:t>
            </w:r>
            <w:r>
              <w:rPr>
                <w:noProof/>
              </w:rPr>
              <w:t>(DPIPWE 2013)</w:t>
            </w:r>
            <w:r>
              <w:t xml:space="preserve"> and listed as a permitted organism (section 11) in the Western Australia BAM Act 2007</w:t>
            </w:r>
            <w:r>
              <w:rPr>
                <w:noProof/>
              </w:rPr>
              <w:t>(Government of Western Australia 2014)</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Mucor racemosus</w:t>
            </w:r>
            <w:r>
              <w:t xml:space="preserve"> Fresen.</w:t>
            </w:r>
          </w:p>
          <w:p w:rsidR="00B8782D" w:rsidRDefault="00B8782D">
            <w:pPr>
              <w:pStyle w:val="TableText"/>
            </w:pPr>
            <w:r>
              <w:t>[Mucorales: Mucoraceae]</w:t>
            </w:r>
          </w:p>
          <w:p w:rsidR="00B8782D" w:rsidRDefault="00B8782D">
            <w:pPr>
              <w:pStyle w:val="TableText"/>
            </w:pPr>
            <w:r>
              <w:t>Spongy storage rot</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ACT, NSW, Vic. </w:t>
            </w:r>
            <w:r>
              <w:rPr>
                <w:noProof/>
              </w:rPr>
              <w:t>(Plant Health Australia 2001)</w:t>
            </w:r>
            <w:r>
              <w:t xml:space="preserve">. Not a regulated pest for Tas. </w:t>
            </w:r>
            <w:r>
              <w:rPr>
                <w:noProof/>
              </w:rPr>
              <w:t>(DPIPWE 2013)</w:t>
            </w:r>
            <w:r>
              <w:t xml:space="preserve"> and listed as a permitted organism (section 11) in the Western Australia BAM Act 2007</w:t>
            </w:r>
            <w:r>
              <w:rPr>
                <w:noProof/>
              </w:rPr>
              <w:t>(Government of Western Australia 2014)</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Mycosphaerella cerasella</w:t>
            </w:r>
            <w:r>
              <w:t xml:space="preserve"> Aderh.</w:t>
            </w:r>
          </w:p>
          <w:p w:rsidR="00B8782D" w:rsidRDefault="00B8782D">
            <w:pPr>
              <w:pStyle w:val="TableText"/>
            </w:pPr>
            <w:r>
              <w:t xml:space="preserve">Synonyms: </w:t>
            </w:r>
            <w:r>
              <w:rPr>
                <w:i/>
              </w:rPr>
              <w:t>Cercospora cerasella</w:t>
            </w:r>
            <w:r>
              <w:t xml:space="preserve"> Sacc.; </w:t>
            </w:r>
            <w:r>
              <w:rPr>
                <w:i/>
              </w:rPr>
              <w:t>Cercospora circumscissa</w:t>
            </w:r>
            <w:r>
              <w:t xml:space="preserve"> Sacc.</w:t>
            </w:r>
          </w:p>
          <w:p w:rsidR="00B8782D" w:rsidRDefault="00B8782D">
            <w:pPr>
              <w:pStyle w:val="TableText"/>
            </w:pPr>
            <w:r>
              <w:t>[Capnodiales: Mycosphaerellaceae]</w:t>
            </w:r>
          </w:p>
          <w:p w:rsidR="00B8782D" w:rsidRDefault="00B8782D">
            <w:pPr>
              <w:pStyle w:val="TableText"/>
            </w:pPr>
            <w:r>
              <w:t>Shot hole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NSW, NT, Qld, SA, Vic. </w:t>
            </w:r>
            <w:r>
              <w:rPr>
                <w:noProof/>
              </w:rPr>
              <w:t>(Plant Health Australia 2001)</w:t>
            </w:r>
            <w:r>
              <w:t xml:space="preserve">. Not a regulated pest for Tas. </w:t>
            </w:r>
            <w:r>
              <w:rPr>
                <w:noProof/>
              </w:rPr>
              <w:t>(DPIPWE 2013)</w:t>
            </w:r>
            <w:r>
              <w:t>. Listed as a regulated pest in the Western Australia BAM Act 2007</w:t>
            </w:r>
            <w:r>
              <w:rPr>
                <w:noProof/>
              </w:rPr>
              <w:t>(Government of Western Australia 2014)</w:t>
            </w:r>
            <w:r>
              <w:t>..</w:t>
            </w:r>
          </w:p>
        </w:tc>
        <w:tc>
          <w:tcPr>
            <w:tcW w:w="716" w:type="pct"/>
            <w:shd w:val="clear" w:color="auto" w:fill="auto"/>
          </w:tcPr>
          <w:p w:rsidR="00B8782D" w:rsidRDefault="00B8782D" w:rsidP="00750C8B">
            <w:pPr>
              <w:pStyle w:val="TableText"/>
            </w:pPr>
            <w:r>
              <w:t xml:space="preserve">No. Causes necrotic spots on leaves of </w:t>
            </w:r>
            <w:r>
              <w:rPr>
                <w:i/>
              </w:rPr>
              <w:t>P. persica</w:t>
            </w:r>
            <w:r>
              <w:t xml:space="preserve"> that coalesce and drop out leaving shot-hole symptoms </w:t>
            </w:r>
            <w:r>
              <w:rPr>
                <w:noProof/>
              </w:rPr>
              <w:t>(Sztejnberg 1995)</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Mycosphaerella pruni-persicae</w:t>
            </w:r>
            <w:r>
              <w:t xml:space="preserve"> Deighton</w:t>
            </w:r>
          </w:p>
          <w:p w:rsidR="00B8782D" w:rsidRDefault="00B8782D">
            <w:pPr>
              <w:pStyle w:val="TableText"/>
            </w:pPr>
            <w:r>
              <w:t xml:space="preserve">Synonym: </w:t>
            </w:r>
            <w:r>
              <w:rPr>
                <w:i/>
              </w:rPr>
              <w:t>Mycosphaerella persicae</w:t>
            </w:r>
            <w:r>
              <w:t xml:space="preserve"> B.B. Higgins &amp; F.A. Wolf</w:t>
            </w:r>
          </w:p>
          <w:p w:rsidR="00B8782D" w:rsidRDefault="00B8782D">
            <w:pPr>
              <w:pStyle w:val="TableText"/>
            </w:pPr>
            <w:r>
              <w:t>[Capnodiales: Mycosphaerellaceae]</w:t>
            </w:r>
          </w:p>
          <w:p w:rsidR="00B8782D" w:rsidRDefault="00B8782D">
            <w:pPr>
              <w:pStyle w:val="TableText"/>
            </w:pPr>
            <w:r>
              <w:t>Frosty mildew of peach</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Affects leaves of </w:t>
            </w:r>
            <w:r>
              <w:rPr>
                <w:i/>
              </w:rPr>
              <w:t>P. persica</w:t>
            </w:r>
            <w:r>
              <w:t xml:space="preserve"> </w:t>
            </w:r>
            <w:r>
              <w:rPr>
                <w:noProof/>
              </w:rPr>
              <w:t>(Zehr 1995b)</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Nectria cinnabarina</w:t>
            </w:r>
            <w:r>
              <w:t xml:space="preserve"> (Tode) Fr.</w:t>
            </w:r>
          </w:p>
          <w:p w:rsidR="00B8782D" w:rsidRDefault="00B8782D">
            <w:pPr>
              <w:pStyle w:val="TableText"/>
            </w:pPr>
            <w:r>
              <w:t xml:space="preserve">Synonym: </w:t>
            </w:r>
            <w:r>
              <w:rPr>
                <w:i/>
              </w:rPr>
              <w:t>Tubercularia vulgaris</w:t>
            </w:r>
            <w:r>
              <w:t xml:space="preserve"> Tode</w:t>
            </w:r>
          </w:p>
          <w:p w:rsidR="00B8782D" w:rsidRDefault="00B8782D">
            <w:pPr>
              <w:pStyle w:val="TableText"/>
            </w:pPr>
            <w:r>
              <w:t>[Hypocreales: Nectriaceae]</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NSW, Qld, Tas., Vic. </w:t>
            </w:r>
            <w:r>
              <w:rPr>
                <w:noProof/>
              </w:rPr>
              <w:t>(Plant Health Australia 2001)</w:t>
            </w:r>
            <w:r>
              <w:t>. Listed as a regulated pest (prohibited (section 12)) in the Western Australia BAM Act 2007</w:t>
            </w:r>
            <w:r>
              <w:rPr>
                <w:noProof/>
              </w:rPr>
              <w:t>(Government of Western Australia 2014)</w:t>
            </w:r>
            <w:r>
              <w:t>.</w:t>
            </w:r>
          </w:p>
        </w:tc>
        <w:tc>
          <w:tcPr>
            <w:tcW w:w="716" w:type="pct"/>
            <w:shd w:val="clear" w:color="auto" w:fill="auto"/>
          </w:tcPr>
          <w:p w:rsidR="00B8782D" w:rsidRDefault="00B8782D" w:rsidP="00750C8B">
            <w:pPr>
              <w:pStyle w:val="TableText"/>
            </w:pPr>
            <w:r>
              <w:t xml:space="preserve">No. Occurs as a saprophyte on dead wood but can be a weak opportunistic wound parasite on various hosts including </w:t>
            </w:r>
            <w:r>
              <w:rPr>
                <w:i/>
              </w:rPr>
              <w:t>Prunus</w:t>
            </w:r>
            <w:r>
              <w:t xml:space="preserve"> spp. </w:t>
            </w:r>
            <w:r>
              <w:rPr>
                <w:noProof/>
              </w:rPr>
              <w:t>(Hirooka, Kobayashi &amp; Natsuaki 2005; MBG Integrated Pest Management 2011)</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rPr>
                <w:i/>
              </w:rPr>
            </w:pPr>
            <w:r>
              <w:rPr>
                <w:i/>
              </w:rPr>
              <w:t>Neocosmospora solani</w:t>
            </w:r>
            <w:r>
              <w:t xml:space="preserve"> (Mart.) L. Lombard &amp; Crous</w:t>
            </w:r>
          </w:p>
          <w:p w:rsidR="00B8782D" w:rsidRDefault="00B8782D">
            <w:pPr>
              <w:pStyle w:val="TableText"/>
            </w:pPr>
            <w:r>
              <w:t xml:space="preserve">Synonym: </w:t>
            </w:r>
            <w:r>
              <w:rPr>
                <w:i/>
              </w:rPr>
              <w:t>Fusarium solani</w:t>
            </w:r>
            <w:r>
              <w:t xml:space="preserve"> (Mart.) Sacc.</w:t>
            </w:r>
          </w:p>
          <w:p w:rsidR="00B8782D" w:rsidRDefault="00B8782D">
            <w:pPr>
              <w:pStyle w:val="TableText"/>
            </w:pPr>
            <w:r>
              <w:t xml:space="preserve"> [Hypocreales: Nectriaceae]</w:t>
            </w:r>
          </w:p>
        </w:tc>
        <w:tc>
          <w:tcPr>
            <w:tcW w:w="575" w:type="pct"/>
            <w:shd w:val="clear" w:color="auto" w:fill="auto"/>
          </w:tcPr>
          <w:p w:rsidR="00B8782D" w:rsidRDefault="00B8782D" w:rsidP="00750C8B">
            <w:pPr>
              <w:pStyle w:val="TableText"/>
            </w:pPr>
            <w:r>
              <w:t xml:space="preserve">Yes </w:t>
            </w:r>
            <w:r>
              <w:rPr>
                <w:noProof/>
              </w:rPr>
              <w:t>(AQSIQ 2006a)</w:t>
            </w:r>
          </w:p>
        </w:tc>
        <w:tc>
          <w:tcPr>
            <w:tcW w:w="615" w:type="pct"/>
            <w:shd w:val="clear" w:color="auto" w:fill="auto"/>
          </w:tcPr>
          <w:p w:rsidR="00B8782D" w:rsidRDefault="00B8782D" w:rsidP="00750C8B">
            <w:pPr>
              <w:pStyle w:val="TableText"/>
            </w:pPr>
            <w:r>
              <w:t xml:space="preserve">Yes. NSW, NT, Qld, SA, Tas., Vic., WA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3"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Oxyporus populinus</w:t>
            </w:r>
            <w:r>
              <w:t xml:space="preserve"> (Schumach.) Donk</w:t>
            </w:r>
          </w:p>
          <w:p w:rsidR="00B8782D" w:rsidRDefault="00B8782D">
            <w:pPr>
              <w:pStyle w:val="TableText"/>
            </w:pPr>
            <w:r>
              <w:t>[Incertae sedis: Incertae sedis]</w:t>
            </w:r>
          </w:p>
        </w:tc>
        <w:tc>
          <w:tcPr>
            <w:tcW w:w="575" w:type="pct"/>
            <w:shd w:val="clear" w:color="auto" w:fill="auto"/>
          </w:tcPr>
          <w:p w:rsidR="00B8782D" w:rsidRDefault="00B8782D" w:rsidP="00750C8B">
            <w:pPr>
              <w:pStyle w:val="TableText"/>
            </w:pPr>
            <w:r>
              <w:t xml:space="preserve">Yes </w:t>
            </w:r>
            <w:r>
              <w:rPr>
                <w:noProof/>
              </w:rPr>
              <w:t>(Farr &amp; Rossman 2014; Teng 1996)</w:t>
            </w:r>
          </w:p>
        </w:tc>
        <w:tc>
          <w:tcPr>
            <w:tcW w:w="615" w:type="pct"/>
            <w:shd w:val="clear" w:color="auto" w:fill="auto"/>
          </w:tcPr>
          <w:p w:rsidR="00B8782D" w:rsidRDefault="00B8782D" w:rsidP="00750C8B">
            <w:pPr>
              <w:pStyle w:val="TableText"/>
            </w:pPr>
            <w:r>
              <w:t xml:space="preserve">Yes. Qld </w:t>
            </w:r>
            <w:r>
              <w:rPr>
                <w:noProof/>
              </w:rPr>
              <w:t>(May et al. 2003; Plant Health Australia 2001)</w:t>
            </w:r>
            <w:r>
              <w:t xml:space="preserve">. Not a regulated pest for Tas. </w:t>
            </w:r>
            <w:r>
              <w:rPr>
                <w:noProof/>
              </w:rPr>
              <w:t>(DPIPWE 2013)</w:t>
            </w:r>
            <w:r>
              <w:t xml:space="preserve"> and an unlisted organism under the Western Australia BAM Act 2007</w:t>
            </w:r>
            <w:r>
              <w:rPr>
                <w:noProof/>
              </w:rPr>
              <w:t>(Government of Western Australia 2014)</w:t>
            </w:r>
            <w:r>
              <w:t xml:space="preserve">. </w:t>
            </w:r>
          </w:p>
        </w:tc>
        <w:tc>
          <w:tcPr>
            <w:tcW w:w="716" w:type="pct"/>
            <w:shd w:val="clear" w:color="auto" w:fill="auto"/>
          </w:tcPr>
          <w:p w:rsidR="00B8782D" w:rsidRDefault="00B8782D" w:rsidP="00750C8B">
            <w:pPr>
              <w:pStyle w:val="TableText"/>
            </w:pPr>
            <w:r>
              <w:t xml:space="preserve">No. </w:t>
            </w:r>
            <w:r>
              <w:rPr>
                <w:i/>
              </w:rPr>
              <w:t>Oxyporus Populinus</w:t>
            </w:r>
            <w:r>
              <w:t xml:space="preserve"> is a wood decaying pathogen </w:t>
            </w:r>
            <w:r>
              <w:rPr>
                <w:noProof/>
              </w:rPr>
              <w:t>(Uyemoto, Ogawa &amp; Jaffee 2001)</w:t>
            </w:r>
            <w:r>
              <w:t xml:space="preserve">.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Penicillium corylophilum</w:t>
            </w:r>
            <w:r>
              <w:t xml:space="preserve"> Dierckx</w:t>
            </w:r>
          </w:p>
          <w:p w:rsidR="00B8782D" w:rsidRDefault="00B8782D">
            <w:pPr>
              <w:pStyle w:val="TableText"/>
            </w:pPr>
            <w:r>
              <w:t>[Eurotiales: Trichocomaceae]</w:t>
            </w:r>
          </w:p>
        </w:tc>
        <w:tc>
          <w:tcPr>
            <w:tcW w:w="575" w:type="pct"/>
            <w:shd w:val="clear" w:color="auto" w:fill="auto"/>
          </w:tcPr>
          <w:p w:rsidR="00B8782D" w:rsidRDefault="00B8782D" w:rsidP="00750C8B">
            <w:pPr>
              <w:pStyle w:val="TableText"/>
            </w:pPr>
            <w:r>
              <w:t xml:space="preserve">Yes </w:t>
            </w:r>
            <w:r>
              <w:rPr>
                <w:noProof/>
              </w:rPr>
              <w:t>(Farr &amp; Rossman 2014; Tai 1979)</w:t>
            </w:r>
          </w:p>
        </w:tc>
        <w:tc>
          <w:tcPr>
            <w:tcW w:w="615" w:type="pct"/>
            <w:shd w:val="clear" w:color="auto" w:fill="auto"/>
          </w:tcPr>
          <w:p w:rsidR="00B8782D" w:rsidRDefault="00B8782D" w:rsidP="00750C8B">
            <w:pPr>
              <w:pStyle w:val="TableText"/>
            </w:pPr>
            <w:r>
              <w:t xml:space="preserve">Yes. All states and territories </w:t>
            </w:r>
            <w:r>
              <w:rPr>
                <w:noProof/>
              </w:rPr>
              <w:t>(Cook &amp; Dubé 1989; Plant Health Australia 2001; Sampson &amp; Walker 1982)</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Penicillium expansum</w:t>
            </w:r>
            <w:r>
              <w:t xml:space="preserve"> Link</w:t>
            </w:r>
          </w:p>
          <w:p w:rsidR="00B8782D" w:rsidRDefault="00B8782D">
            <w:pPr>
              <w:pStyle w:val="TableText"/>
            </w:pPr>
            <w:r>
              <w:t>[Eurotiales: Trichocomaceae]</w:t>
            </w:r>
          </w:p>
          <w:p w:rsidR="00B8782D" w:rsidRDefault="00B8782D">
            <w:pPr>
              <w:pStyle w:val="TableText"/>
            </w:pPr>
            <w:r>
              <w:t>Blue mould</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750C8B">
            <w:pPr>
              <w:pStyle w:val="TableText"/>
            </w:pPr>
            <w:r>
              <w:t xml:space="preserve">Yes. NSW, Qld, Vic., WA </w:t>
            </w:r>
            <w:r>
              <w:rPr>
                <w:noProof/>
              </w:rPr>
              <w:t>(Plant Health Australia 2001)</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Phellinus baumii</w:t>
            </w:r>
            <w:r>
              <w:t xml:space="preserve"> Pilát</w:t>
            </w:r>
          </w:p>
          <w:p w:rsidR="00B8782D" w:rsidRDefault="00B8782D">
            <w:pPr>
              <w:pStyle w:val="TableText"/>
            </w:pPr>
            <w:r>
              <w:t>[Hymenochaetales: Hymenochaetaceae]</w:t>
            </w:r>
          </w:p>
        </w:tc>
        <w:tc>
          <w:tcPr>
            <w:tcW w:w="575" w:type="pct"/>
            <w:shd w:val="clear" w:color="auto" w:fill="auto"/>
          </w:tcPr>
          <w:p w:rsidR="00B8782D" w:rsidRDefault="00B8782D" w:rsidP="00750C8B">
            <w:pPr>
              <w:pStyle w:val="TableText"/>
            </w:pPr>
            <w:r>
              <w:t xml:space="preserve">Yes </w:t>
            </w:r>
            <w:r>
              <w:rPr>
                <w:noProof/>
              </w:rPr>
              <w:t>(Dai &amp; Xu 1998)</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Found on wood of broadleaf trees </w:t>
            </w:r>
            <w:r>
              <w:rPr>
                <w:noProof/>
              </w:rPr>
              <w:t>(Zhuang 2005)</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Phellinus conchatus</w:t>
            </w:r>
            <w:r>
              <w:t xml:space="preserve"> (Pers.) Quél.</w:t>
            </w:r>
          </w:p>
          <w:p w:rsidR="00B8782D" w:rsidRDefault="00B8782D">
            <w:pPr>
              <w:pStyle w:val="TableText"/>
            </w:pPr>
            <w:r>
              <w:t>[Hymenochaetales: Hymenochaetaceae]</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NSW, WA </w:t>
            </w:r>
            <w:r>
              <w:rPr>
                <w:noProof/>
              </w:rPr>
              <w:t>(Plant Health Australia 2001)</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Phellinus pomaceus</w:t>
            </w:r>
            <w:r>
              <w:t xml:space="preserve"> (Pers.) Maire</w:t>
            </w:r>
          </w:p>
          <w:p w:rsidR="00B8782D" w:rsidRDefault="00B8782D">
            <w:pPr>
              <w:pStyle w:val="TableText"/>
            </w:pPr>
            <w:r>
              <w:t xml:space="preserve">Synonym: </w:t>
            </w:r>
            <w:r>
              <w:rPr>
                <w:i/>
              </w:rPr>
              <w:t>Phellinus tuberculosus</w:t>
            </w:r>
            <w:r>
              <w:t xml:space="preserve"> Niemelä</w:t>
            </w:r>
          </w:p>
          <w:p w:rsidR="00B8782D" w:rsidRDefault="00B8782D">
            <w:pPr>
              <w:pStyle w:val="TableText"/>
            </w:pPr>
            <w:r>
              <w:t>[Hymenochaetales: Hymenochaetaceae]</w:t>
            </w:r>
          </w:p>
        </w:tc>
        <w:tc>
          <w:tcPr>
            <w:tcW w:w="575" w:type="pct"/>
            <w:shd w:val="clear" w:color="auto" w:fill="auto"/>
          </w:tcPr>
          <w:p w:rsidR="00B8782D" w:rsidRDefault="00B8782D" w:rsidP="00750C8B">
            <w:pPr>
              <w:pStyle w:val="TableText"/>
            </w:pPr>
            <w:r>
              <w:t xml:space="preserve">Yes </w:t>
            </w:r>
            <w:r>
              <w:rPr>
                <w:noProof/>
              </w:rPr>
              <w:t>(Teng 1996)</w:t>
            </w:r>
          </w:p>
        </w:tc>
        <w:tc>
          <w:tcPr>
            <w:tcW w:w="615" w:type="pct"/>
            <w:shd w:val="clear" w:color="auto" w:fill="auto"/>
          </w:tcPr>
          <w:p w:rsidR="00B8782D" w:rsidRDefault="00B8782D" w:rsidP="00750C8B">
            <w:pPr>
              <w:pStyle w:val="TableText"/>
            </w:pPr>
            <w:r>
              <w:t xml:space="preserve">Yes. Vic. </w:t>
            </w:r>
            <w:r>
              <w:rPr>
                <w:noProof/>
              </w:rPr>
              <w:t>(Plant Health Australia 2001)</w:t>
            </w:r>
            <w:r>
              <w:t xml:space="preserve">. Not a regulated pest for Tas. </w:t>
            </w:r>
            <w:r>
              <w:rPr>
                <w:noProof/>
              </w:rPr>
              <w:t>(DPIPWE 2013)</w:t>
            </w:r>
            <w:r>
              <w:t xml:space="preserve"> and an unlisted organism under the Western Australia BAM Act 2007</w:t>
            </w:r>
            <w:r>
              <w:rPr>
                <w:noProof/>
              </w:rPr>
              <w:t>(Government of Western Australia 2014)</w:t>
            </w:r>
            <w:r>
              <w:t>.</w:t>
            </w:r>
          </w:p>
        </w:tc>
        <w:tc>
          <w:tcPr>
            <w:tcW w:w="716" w:type="pct"/>
            <w:shd w:val="clear" w:color="auto" w:fill="auto"/>
          </w:tcPr>
          <w:p w:rsidR="00B8782D" w:rsidRDefault="00B8782D" w:rsidP="00750C8B">
            <w:pPr>
              <w:pStyle w:val="TableText"/>
            </w:pPr>
            <w:r>
              <w:t xml:space="preserve">No. </w:t>
            </w:r>
            <w:r>
              <w:rPr>
                <w:i/>
              </w:rPr>
              <w:t>Phellinus pomaceus</w:t>
            </w:r>
            <w:r>
              <w:t xml:space="preserve"> causes wood decay and rots </w:t>
            </w:r>
            <w:r>
              <w:rPr>
                <w:noProof/>
              </w:rPr>
              <w:t>(Uyemoto, Ogawa &amp; Jaffee 2001)</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Phoma persicae</w:t>
            </w:r>
            <w:r>
              <w:t xml:space="preserve"> Schulzer &amp; Sacc.</w:t>
            </w:r>
          </w:p>
          <w:p w:rsidR="00B8782D" w:rsidRDefault="00B8782D">
            <w:pPr>
              <w:pStyle w:val="TableText"/>
            </w:pPr>
            <w:r>
              <w:t>[Pleosporales, Incertae sedis]</w:t>
            </w:r>
          </w:p>
        </w:tc>
        <w:tc>
          <w:tcPr>
            <w:tcW w:w="575" w:type="pct"/>
            <w:shd w:val="clear" w:color="auto" w:fill="auto"/>
          </w:tcPr>
          <w:p w:rsidR="00B8782D" w:rsidRDefault="00B8782D" w:rsidP="00750C8B">
            <w:pPr>
              <w:pStyle w:val="TableText"/>
            </w:pPr>
            <w:r>
              <w:t xml:space="preserve">Yes </w:t>
            </w:r>
            <w:r>
              <w:rPr>
                <w:noProof/>
              </w:rPr>
              <w:t>(Farr &amp; Rossman 2014; Tai 1979)</w:t>
            </w:r>
          </w:p>
        </w:tc>
        <w:tc>
          <w:tcPr>
            <w:tcW w:w="615" w:type="pct"/>
            <w:shd w:val="clear" w:color="auto" w:fill="auto"/>
          </w:tcPr>
          <w:p w:rsidR="00B8782D" w:rsidRDefault="00B8782D" w:rsidP="00750C8B">
            <w:pPr>
              <w:pStyle w:val="TableText"/>
            </w:pPr>
            <w:r>
              <w:t xml:space="preserve">Yes. Qld </w:t>
            </w:r>
            <w:r>
              <w:rPr>
                <w:noProof/>
              </w:rPr>
              <w:t>(Plant Health Australia 2001)</w:t>
            </w:r>
            <w:r>
              <w:t xml:space="preserve">. Not a regulated pest for Tas. </w:t>
            </w:r>
            <w:r>
              <w:rPr>
                <w:noProof/>
              </w:rPr>
              <w:t>(DPIPWE 2013)</w:t>
            </w:r>
            <w:r>
              <w:t xml:space="preserve"> and an unlisted organism under the Western Australia BAM Act 2007</w:t>
            </w:r>
            <w:r>
              <w:rPr>
                <w:noProof/>
              </w:rPr>
              <w:t>(Government of Western Australia 2014)</w:t>
            </w:r>
            <w:r>
              <w:t xml:space="preserve">. </w:t>
            </w:r>
          </w:p>
        </w:tc>
        <w:tc>
          <w:tcPr>
            <w:tcW w:w="716" w:type="pct"/>
            <w:shd w:val="clear" w:color="auto" w:fill="auto"/>
          </w:tcPr>
          <w:p w:rsidR="00B8782D" w:rsidRDefault="00B8782D" w:rsidP="00750C8B">
            <w:pPr>
              <w:pStyle w:val="TableText"/>
            </w:pPr>
            <w:r>
              <w:t xml:space="preserve">No. </w:t>
            </w:r>
            <w:r>
              <w:rPr>
                <w:i/>
              </w:rPr>
              <w:t>Phoma persicae</w:t>
            </w:r>
            <w:r>
              <w:t xml:space="preserve"> causes shoot dieback in the peach (</w:t>
            </w:r>
            <w:r>
              <w:rPr>
                <w:i/>
              </w:rPr>
              <w:t xml:space="preserve">Prunus persica </w:t>
            </w:r>
            <w:r>
              <w:t xml:space="preserve">(L.) Batsch). Disease was observed as chlorotic, wilted, or necrotic leaves on shoots girdled by the Phomopsis anamorph of </w:t>
            </w:r>
            <w:r>
              <w:rPr>
                <w:i/>
              </w:rPr>
              <w:t>Diaporthe pemiciosa</w:t>
            </w:r>
            <w:r>
              <w:t xml:space="preserve"> Marchal (syn. </w:t>
            </w:r>
            <w:r>
              <w:rPr>
                <w:i/>
              </w:rPr>
              <w:t>Phoma persicae</w:t>
            </w:r>
            <w:r>
              <w:t xml:space="preserve"> Schulzer &amp; Sacc.) </w:t>
            </w:r>
            <w:r>
              <w:rPr>
                <w:noProof/>
              </w:rPr>
              <w:t>(Latham, Morgan-Jones &amp; Campbell 1992)</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Phoma pomorum</w:t>
            </w:r>
            <w:r>
              <w:t xml:space="preserve"> Thüm.</w:t>
            </w:r>
          </w:p>
          <w:p w:rsidR="00B8782D" w:rsidRDefault="00B8782D">
            <w:pPr>
              <w:pStyle w:val="TableText"/>
            </w:pPr>
            <w:r>
              <w:t xml:space="preserve">Synonyms: </w:t>
            </w:r>
            <w:r>
              <w:rPr>
                <w:i/>
              </w:rPr>
              <w:t>Phyllosticta persicae</w:t>
            </w:r>
            <w:r>
              <w:t xml:space="preserve"> Sacc.; </w:t>
            </w:r>
            <w:r>
              <w:rPr>
                <w:i/>
              </w:rPr>
              <w:t>Phyllosticta prunicola</w:t>
            </w:r>
            <w:r>
              <w:t xml:space="preserve"> Opiz ex Sacc.</w:t>
            </w:r>
          </w:p>
          <w:p w:rsidR="00B8782D" w:rsidRDefault="00B8782D">
            <w:pPr>
              <w:pStyle w:val="TableText"/>
            </w:pPr>
            <w:r>
              <w:t>[Pleosporales:Incertae sedis]</w:t>
            </w:r>
          </w:p>
        </w:tc>
        <w:tc>
          <w:tcPr>
            <w:tcW w:w="575" w:type="pct"/>
            <w:shd w:val="clear" w:color="auto" w:fill="auto"/>
          </w:tcPr>
          <w:p w:rsidR="00B8782D" w:rsidRDefault="00B8782D" w:rsidP="00750C8B">
            <w:pPr>
              <w:pStyle w:val="TableText"/>
            </w:pPr>
            <w:r>
              <w:t xml:space="preserve">Yes </w:t>
            </w:r>
            <w:r>
              <w:rPr>
                <w:noProof/>
              </w:rPr>
              <w:t>(AQSIQ 2006b; Tai 1979)</w:t>
            </w:r>
          </w:p>
        </w:tc>
        <w:tc>
          <w:tcPr>
            <w:tcW w:w="615" w:type="pct"/>
            <w:shd w:val="clear" w:color="auto" w:fill="auto"/>
          </w:tcPr>
          <w:p w:rsidR="00B8782D" w:rsidRDefault="00B8782D" w:rsidP="00750C8B">
            <w:pPr>
              <w:pStyle w:val="TableText"/>
            </w:pPr>
            <w:r>
              <w:t xml:space="preserve">Yes. NSW, Qld, SA, Vic., WA </w:t>
            </w:r>
            <w:r>
              <w:rPr>
                <w:noProof/>
              </w:rPr>
              <w:t>(Plant Health Australia 2001)</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Phyllactinia guttata</w:t>
            </w:r>
            <w:r>
              <w:t xml:space="preserve"> (Wallr.) Lév.</w:t>
            </w:r>
          </w:p>
          <w:p w:rsidR="00B8782D" w:rsidRDefault="00B8782D">
            <w:pPr>
              <w:pStyle w:val="TableText"/>
            </w:pPr>
            <w:r>
              <w:t xml:space="preserve">Synonym: </w:t>
            </w:r>
            <w:r>
              <w:rPr>
                <w:i/>
              </w:rPr>
              <w:t>Ovulariopsis moricola</w:t>
            </w:r>
            <w:r>
              <w:t xml:space="preserve"> Delarc.</w:t>
            </w:r>
          </w:p>
          <w:p w:rsidR="00B8782D" w:rsidRDefault="00B8782D">
            <w:pPr>
              <w:pStyle w:val="TableText"/>
            </w:pPr>
            <w:r>
              <w:t>[Erisyphales: Erysiphaceae]</w:t>
            </w:r>
          </w:p>
          <w:p w:rsidR="00B8782D" w:rsidRDefault="00B8782D">
            <w:pPr>
              <w:pStyle w:val="TableText"/>
            </w:pPr>
            <w:r>
              <w:t>Powdery mildew</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Affects leaves and stems of </w:t>
            </w:r>
            <w:r>
              <w:rPr>
                <w:i/>
              </w:rPr>
              <w:t>P. persica</w:t>
            </w:r>
            <w:r>
              <w:t xml:space="preserve"> </w:t>
            </w:r>
            <w:r>
              <w:rPr>
                <w:noProof/>
              </w:rPr>
              <w:t>(Farr &amp; Rossman 2014)</w:t>
            </w:r>
            <w:r>
              <w:t xml:space="preserve">. No report of an association with nectarine or peach fruit was found.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Podosphaera leucotricha</w:t>
            </w:r>
            <w:r>
              <w:t xml:space="preserve"> (Ellis &amp; Everh.) E.S. Salmon</w:t>
            </w:r>
          </w:p>
          <w:p w:rsidR="00B8782D" w:rsidRDefault="00B8782D">
            <w:pPr>
              <w:pStyle w:val="TableText"/>
            </w:pPr>
            <w:r>
              <w:t xml:space="preserve">Synonym: </w:t>
            </w:r>
            <w:r>
              <w:rPr>
                <w:i/>
              </w:rPr>
              <w:t>Oidium mespili</w:t>
            </w:r>
            <w:r>
              <w:t xml:space="preserve"> Cooke</w:t>
            </w:r>
          </w:p>
          <w:p w:rsidR="00B8782D" w:rsidRDefault="00B8782D">
            <w:pPr>
              <w:pStyle w:val="TableText"/>
            </w:pPr>
            <w:r>
              <w:t>[Erysiphales: Erysiphaceae]</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Podosphaera pannosa</w:t>
            </w:r>
            <w:r>
              <w:t xml:space="preserve"> (Wallr.) de Bary</w:t>
            </w:r>
          </w:p>
          <w:p w:rsidR="00B8782D" w:rsidRDefault="00B8782D">
            <w:pPr>
              <w:pStyle w:val="TableText"/>
            </w:pPr>
            <w:r>
              <w:t xml:space="preserve">Synonym: </w:t>
            </w:r>
            <w:r>
              <w:rPr>
                <w:i/>
              </w:rPr>
              <w:t>Oidium leucoconium</w:t>
            </w:r>
            <w:r>
              <w:t xml:space="preserve"> Desm.</w:t>
            </w:r>
          </w:p>
          <w:p w:rsidR="00B8782D" w:rsidRDefault="00B8782D">
            <w:pPr>
              <w:pStyle w:val="TableText"/>
            </w:pPr>
            <w:r>
              <w:t>[Erysiphales: Erysiphaceae]</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Podosphaera tridactyla</w:t>
            </w:r>
            <w:r>
              <w:t xml:space="preserve"> (Wallr.) de Bary</w:t>
            </w:r>
          </w:p>
          <w:p w:rsidR="00B8782D" w:rsidRDefault="00B8782D">
            <w:pPr>
              <w:pStyle w:val="TableText"/>
            </w:pPr>
            <w:r>
              <w:t>[Erysiphales: Erysiphaceae]</w:t>
            </w:r>
          </w:p>
          <w:p w:rsidR="00B8782D" w:rsidRDefault="00B8782D">
            <w:pPr>
              <w:pStyle w:val="TableText"/>
            </w:pPr>
            <w:r>
              <w:t>Plum powdery mildew</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 xml:space="preserve">Yes. ACT, NSW, Qld, SA, Tas., Vic. </w:t>
            </w:r>
            <w:r>
              <w:rPr>
                <w:noProof/>
              </w:rPr>
              <w:t>(Plant Health Australia 2001)</w:t>
            </w:r>
            <w:r>
              <w:t>. Listed as a regulated pest (prohibited (section 12)) in the Western Australia BAM Act 2007</w:t>
            </w:r>
            <w:r>
              <w:rPr>
                <w:noProof/>
              </w:rPr>
              <w:t>(Government of Western Australia 2014)</w:t>
            </w:r>
            <w:r>
              <w:t>.</w:t>
            </w:r>
          </w:p>
          <w:p w:rsidR="00B8782D" w:rsidRDefault="00B8782D">
            <w:pPr>
              <w:pStyle w:val="TableText"/>
            </w:pPr>
          </w:p>
        </w:tc>
        <w:tc>
          <w:tcPr>
            <w:tcW w:w="716" w:type="pct"/>
            <w:shd w:val="clear" w:color="auto" w:fill="auto"/>
          </w:tcPr>
          <w:p w:rsidR="00B8782D" w:rsidRDefault="00B8782D" w:rsidP="00750C8B">
            <w:pPr>
              <w:pStyle w:val="TableText"/>
            </w:pPr>
            <w:r>
              <w:t xml:space="preserve">Yes. Fruit and leaves of </w:t>
            </w:r>
            <w:r>
              <w:rPr>
                <w:i/>
              </w:rPr>
              <w:t>P. persica</w:t>
            </w:r>
            <w:r>
              <w:t xml:space="preserve"> can both be infected </w:t>
            </w:r>
            <w:r>
              <w:rPr>
                <w:noProof/>
              </w:rPr>
              <w:t>(Grove 1995)</w:t>
            </w:r>
            <w:r>
              <w:t>.</w:t>
            </w:r>
          </w:p>
        </w:tc>
        <w:tc>
          <w:tcPr>
            <w:tcW w:w="717" w:type="pct"/>
            <w:shd w:val="clear" w:color="auto" w:fill="auto"/>
          </w:tcPr>
          <w:p w:rsidR="00B8782D" w:rsidRDefault="00B8782D" w:rsidP="00750C8B">
            <w:pPr>
              <w:pStyle w:val="TableText"/>
            </w:pPr>
            <w:r>
              <w:t xml:space="preserve">Yes. Hosts include almond, cherry, peach and plum </w:t>
            </w:r>
            <w:r>
              <w:rPr>
                <w:noProof/>
              </w:rPr>
              <w:t>(Farr et al. 1989)</w:t>
            </w:r>
            <w:r>
              <w:t xml:space="preserve">. These plants are widely distributed in Western Australia. Powdery mildews generally grow and spread well in warmer climates. The fungus overwinters as cleistothecia on the surface of shoots, on dead leaves on the ground in orchards and on bark. Ascospores are produced from these structures during spring rains and infect the developing foliage </w:t>
            </w:r>
            <w:r>
              <w:rPr>
                <w:noProof/>
              </w:rPr>
              <w:t>(Grove 1995)</w:t>
            </w:r>
            <w:r>
              <w:t xml:space="preserve">. Climatic conditions in Western Australia are favourable for the establishment of </w:t>
            </w:r>
            <w:r>
              <w:rPr>
                <w:i/>
              </w:rPr>
              <w:t>P. tridactyla</w:t>
            </w:r>
            <w:r>
              <w:t>, given that other closely related powdery mildews are already established in Western Australia.</w:t>
            </w:r>
          </w:p>
        </w:tc>
        <w:tc>
          <w:tcPr>
            <w:tcW w:w="716" w:type="pct"/>
            <w:shd w:val="clear" w:color="auto" w:fill="auto"/>
          </w:tcPr>
          <w:p w:rsidR="00B8782D" w:rsidRDefault="00B8782D">
            <w:pPr>
              <w:pStyle w:val="TableText"/>
            </w:pPr>
            <w:r>
              <w:t>Assessment not required.</w:t>
            </w:r>
          </w:p>
          <w:p w:rsidR="00B8782D" w:rsidRDefault="00B8782D" w:rsidP="00750C8B">
            <w:pPr>
              <w:pStyle w:val="TableText"/>
            </w:pPr>
            <w:r>
              <w:t xml:space="preserve">It was assessed as unlikely to have potential for economic consequences in the IRA for summerfruit from eastern Australia into WA </w:t>
            </w:r>
            <w:r>
              <w:rPr>
                <w:noProof/>
              </w:rPr>
              <w:t>(Poole et al. 2011)</w:t>
            </w:r>
            <w:r>
              <w:t xml:space="preserve"> as the requirement for management measures to control the more severe powdery mildew pathogens (</w:t>
            </w:r>
            <w:r>
              <w:rPr>
                <w:i/>
              </w:rPr>
              <w:t>Sphaerotheca pannosa</w:t>
            </w:r>
            <w:r>
              <w:t xml:space="preserve"> and </w:t>
            </w:r>
            <w:r>
              <w:rPr>
                <w:i/>
              </w:rPr>
              <w:t>Podosphaera clandestine</w:t>
            </w:r>
            <w:r>
              <w:t xml:space="preserve">) present in WA. </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Polystigma deformans</w:t>
            </w:r>
            <w:r>
              <w:t xml:space="preserve"> Syd.</w:t>
            </w:r>
          </w:p>
          <w:p w:rsidR="00B8782D" w:rsidRDefault="00B8782D">
            <w:pPr>
              <w:pStyle w:val="TableText"/>
            </w:pPr>
            <w:r>
              <w:t>[Phyllachorales: Phyllachoraceae]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leaves of </w:t>
            </w:r>
            <w:r>
              <w:rPr>
                <w:i/>
              </w:rPr>
              <w:t>Prunus</w:t>
            </w:r>
            <w:r>
              <w:t xml:space="preserve"> </w:t>
            </w:r>
            <w:r>
              <w:rPr>
                <w:noProof/>
              </w:rPr>
              <w:t>(Cannon 1996)</w:t>
            </w:r>
            <w:r>
              <w:t xml:space="preserve">, including apricot and peach </w:t>
            </w:r>
            <w:r>
              <w:rPr>
                <w:noProof/>
              </w:rPr>
              <w:t>(Tai 1979)</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Polystigma rubrum</w:t>
            </w:r>
            <w:r>
              <w:t xml:space="preserve"> subsp. </w:t>
            </w:r>
            <w:r>
              <w:rPr>
                <w:i/>
              </w:rPr>
              <w:t>rubrum</w:t>
            </w:r>
            <w:r>
              <w:t xml:space="preserve"> (Pers.) DC.</w:t>
            </w:r>
          </w:p>
          <w:p w:rsidR="00B8782D" w:rsidRDefault="00B8782D">
            <w:pPr>
              <w:pStyle w:val="TableText"/>
            </w:pPr>
            <w:r>
              <w:t>[Phyllachorales: Phyllachoraceae]</w:t>
            </w:r>
          </w:p>
          <w:p w:rsidR="00B8782D" w:rsidRDefault="00B8782D">
            <w:pPr>
              <w:pStyle w:val="TableText"/>
            </w:pPr>
            <w:r>
              <w:t>Apricot red spot</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Associated with living leaves of </w:t>
            </w:r>
            <w:r>
              <w:rPr>
                <w:i/>
              </w:rPr>
              <w:t>Prunus</w:t>
            </w:r>
            <w:r>
              <w:t xml:space="preserve"> species </w:t>
            </w:r>
            <w:r>
              <w:rPr>
                <w:noProof/>
              </w:rPr>
              <w:t>(Cannon 1996)</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Rhizopus stolonifer</w:t>
            </w:r>
            <w:r>
              <w:t xml:space="preserve"> (Ehrenb. Fr.) Vuill</w:t>
            </w:r>
          </w:p>
          <w:p w:rsidR="00B8782D" w:rsidRDefault="00B8782D">
            <w:pPr>
              <w:pStyle w:val="TableText"/>
            </w:pPr>
            <w:r>
              <w:t>[Mucorales: Incertae sedis]</w:t>
            </w:r>
          </w:p>
          <w:p w:rsidR="00B8782D" w:rsidRDefault="00B8782D">
            <w:pPr>
              <w:pStyle w:val="TableText"/>
            </w:pPr>
            <w:r>
              <w:t>Rhizopus rot, Plum black mould</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All states and territories </w:t>
            </w:r>
            <w:r>
              <w:rPr>
                <w:noProof/>
              </w:rPr>
              <w:t>(Cook &amp; Dubé 1989; Plant Health Australia 2001; Sampson &amp; Walker 1982)</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Rosellinia necatrix</w:t>
            </w:r>
            <w:r>
              <w:t xml:space="preserve"> Berl. ex Prill.</w:t>
            </w:r>
          </w:p>
          <w:p w:rsidR="00B8782D" w:rsidRDefault="00B8782D">
            <w:pPr>
              <w:pStyle w:val="TableText"/>
            </w:pPr>
            <w:r>
              <w:t xml:space="preserve">Synonym: </w:t>
            </w:r>
            <w:r>
              <w:rPr>
                <w:i/>
              </w:rPr>
              <w:t>Dematophora necatrix</w:t>
            </w:r>
            <w:r>
              <w:t xml:space="preserve"> R. Hartig</w:t>
            </w:r>
          </w:p>
          <w:p w:rsidR="00B8782D" w:rsidRDefault="00B8782D">
            <w:pPr>
              <w:pStyle w:val="TableText"/>
            </w:pPr>
            <w:r>
              <w:t>[Xylariales: Xylariaceae]</w:t>
            </w:r>
          </w:p>
          <w:p w:rsidR="00B8782D" w:rsidRDefault="00B8782D">
            <w:pPr>
              <w:pStyle w:val="TableText"/>
            </w:pPr>
            <w:r>
              <w:t>Dematophora root rot</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NSW, Qld, WA </w:t>
            </w:r>
            <w:r>
              <w:rPr>
                <w:noProof/>
              </w:rPr>
              <w:t>(Plant Health Australia 2001; Shivas 1989; Washington &amp; Nancarrow 1983)</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Schizophyllum commune</w:t>
            </w:r>
            <w:r>
              <w:t xml:space="preserve"> Fr.</w:t>
            </w:r>
          </w:p>
          <w:p w:rsidR="00B8782D" w:rsidRDefault="00B8782D">
            <w:pPr>
              <w:pStyle w:val="TableText"/>
            </w:pPr>
            <w:r>
              <w:t>[Agaricales: Schizophyllaceae]</w:t>
            </w:r>
          </w:p>
        </w:tc>
        <w:tc>
          <w:tcPr>
            <w:tcW w:w="575" w:type="pct"/>
            <w:shd w:val="clear" w:color="auto" w:fill="auto"/>
          </w:tcPr>
          <w:p w:rsidR="00B8782D" w:rsidRDefault="00B8782D" w:rsidP="00750C8B">
            <w:pPr>
              <w:pStyle w:val="TableText"/>
            </w:pPr>
            <w:r>
              <w:t xml:space="preserve">Yes </w:t>
            </w:r>
            <w:r>
              <w:rPr>
                <w:noProof/>
              </w:rPr>
              <w:t>(Dai 2005)</w:t>
            </w:r>
          </w:p>
        </w:tc>
        <w:tc>
          <w:tcPr>
            <w:tcW w:w="615" w:type="pct"/>
            <w:shd w:val="clear" w:color="auto" w:fill="auto"/>
          </w:tcPr>
          <w:p w:rsidR="00B8782D" w:rsidRDefault="00B8782D" w:rsidP="00750C8B">
            <w:pPr>
              <w:pStyle w:val="TableText"/>
            </w:pPr>
            <w:r>
              <w:t xml:space="preserve">Yes. NSW, NT, Qld, SA, Vic., WA </w:t>
            </w:r>
            <w:r>
              <w:rPr>
                <w:noProof/>
              </w:rPr>
              <w:t>(Plant Health Australia 2001)</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Schizothyrium pomi</w:t>
            </w:r>
            <w:r>
              <w:t xml:space="preserve"> (Mont. &amp; Fr.) Arx</w:t>
            </w:r>
          </w:p>
          <w:p w:rsidR="00B8782D" w:rsidRDefault="00B8782D">
            <w:pPr>
              <w:pStyle w:val="TableText"/>
            </w:pPr>
            <w:r>
              <w:t xml:space="preserve">Synonym: </w:t>
            </w:r>
            <w:r>
              <w:rPr>
                <w:i/>
              </w:rPr>
              <w:t>Leptothyrium pomi</w:t>
            </w:r>
            <w:r>
              <w:t xml:space="preserve"> (Mont. &amp; Fr.) Sacc.</w:t>
            </w:r>
          </w:p>
          <w:p w:rsidR="00B8782D" w:rsidRDefault="00B8782D">
            <w:pPr>
              <w:pStyle w:val="TableText"/>
            </w:pPr>
            <w:r>
              <w:t>[Capnodiales: Schizothyriaceae]</w:t>
            </w:r>
          </w:p>
          <w:p w:rsidR="00B8782D" w:rsidRDefault="00B8782D">
            <w:pPr>
              <w:pStyle w:val="TableText"/>
            </w:pPr>
            <w:r>
              <w:t>Fly speck</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750C8B">
            <w:pPr>
              <w:pStyle w:val="TableText"/>
            </w:pPr>
            <w:r>
              <w:t xml:space="preserve">Yes. NSW, Qld, WA </w:t>
            </w:r>
            <w:r>
              <w:rPr>
                <w:noProof/>
              </w:rPr>
              <w:t>(Plant Health Australia 2001; Simmonds 1966)</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Sclerotinia sclerotiorum</w:t>
            </w:r>
            <w:r>
              <w:t xml:space="preserve"> (Lib.) de Bary</w:t>
            </w:r>
          </w:p>
          <w:p w:rsidR="00B8782D" w:rsidRDefault="00B8782D">
            <w:pPr>
              <w:pStyle w:val="TableText"/>
            </w:pPr>
            <w:r>
              <w:t>[Helotiales: Sclerotiniaceae]</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Sclerotium rolfsii</w:t>
            </w:r>
            <w:r>
              <w:t xml:space="preserve"> Sacc.</w:t>
            </w:r>
          </w:p>
          <w:p w:rsidR="00B8782D" w:rsidRDefault="00B8782D">
            <w:pPr>
              <w:pStyle w:val="TableText"/>
            </w:pPr>
            <w:r>
              <w:t>[Atheliales: Atheliaceae]</w:t>
            </w:r>
          </w:p>
          <w:p w:rsidR="00B8782D" w:rsidRDefault="00B8782D">
            <w:pPr>
              <w:pStyle w:val="TableText"/>
            </w:pPr>
            <w:r>
              <w:t>Sclerotium stem rot</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Septobasidium bogoriense</w:t>
            </w:r>
            <w:r>
              <w:t xml:space="preserve"> Pat.</w:t>
            </w:r>
          </w:p>
          <w:p w:rsidR="00B8782D" w:rsidRDefault="00B8782D">
            <w:pPr>
              <w:pStyle w:val="TableText"/>
            </w:pPr>
            <w:r>
              <w:t>[Septobasidiales: Septobasidiaceae]</w:t>
            </w:r>
          </w:p>
          <w:p w:rsidR="00B8782D" w:rsidRDefault="00B8782D">
            <w:pPr>
              <w:pStyle w:val="TableText"/>
            </w:pPr>
            <w:r>
              <w:t>Velvet blight</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750C8B">
            <w:pPr>
              <w:pStyle w:val="TableText"/>
            </w:pPr>
            <w:r>
              <w:t xml:space="preserve">Yes. NT, Qld </w:t>
            </w:r>
            <w:r>
              <w:rPr>
                <w:noProof/>
              </w:rPr>
              <w:t>(Plant Health Australia 2001)</w:t>
            </w:r>
            <w:r>
              <w:t xml:space="preserve">. Not a regulated pest for Tas. </w:t>
            </w:r>
            <w:r>
              <w:rPr>
                <w:noProof/>
              </w:rPr>
              <w:t>(DPIPWE 2013)</w:t>
            </w:r>
            <w:r>
              <w:t xml:space="preserve"> and an unlisted organism under the Western Australia BAM Act 2007</w:t>
            </w:r>
            <w:r>
              <w:rPr>
                <w:noProof/>
              </w:rPr>
              <w:t>(Government of Western Australia 2014)</w:t>
            </w:r>
            <w:r>
              <w:t>.</w:t>
            </w:r>
          </w:p>
        </w:tc>
        <w:tc>
          <w:tcPr>
            <w:tcW w:w="716" w:type="pct"/>
            <w:shd w:val="clear" w:color="auto" w:fill="auto"/>
          </w:tcPr>
          <w:p w:rsidR="00B8782D" w:rsidRDefault="00B8782D" w:rsidP="00750C8B">
            <w:pPr>
              <w:pStyle w:val="TableText"/>
            </w:pPr>
            <w:r>
              <w:t xml:space="preserve">No. Generally it is a felt fungus and associated with branch </w:t>
            </w:r>
            <w:r>
              <w:rPr>
                <w:noProof/>
              </w:rPr>
              <w:t>(Cao &amp; Wang 1989)</w:t>
            </w:r>
            <w:r>
              <w:t xml:space="preserve">. Commonly found in mango and tea </w:t>
            </w:r>
            <w:r>
              <w:rPr>
                <w:noProof/>
              </w:rPr>
              <w:t>(Pernezny &amp; Simone 2000)</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Septobasidium tanakae</w:t>
            </w:r>
            <w:r>
              <w:t xml:space="preserve"> Miyabe, Boedijn &amp; B.A. Steinm.</w:t>
            </w:r>
          </w:p>
          <w:p w:rsidR="00B8782D" w:rsidRDefault="00B8782D">
            <w:pPr>
              <w:pStyle w:val="TableText"/>
            </w:pPr>
            <w:r>
              <w:t>[Septobasidiales: Septobasidiaceae]</w:t>
            </w:r>
          </w:p>
          <w:p w:rsidR="00B8782D" w:rsidRDefault="00B8782D">
            <w:pPr>
              <w:pStyle w:val="TableText"/>
            </w:pPr>
            <w:r>
              <w:t>Felty fungus</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w:t>
            </w:r>
            <w:r>
              <w:rPr>
                <w:i/>
              </w:rPr>
              <w:t>Septobasidium</w:t>
            </w:r>
            <w:r>
              <w:t xml:space="preserve"> spp. are epiphytic on trees, usually on stems and branches, and associated with scale insects which they parasitise </w:t>
            </w:r>
            <w:r>
              <w:rPr>
                <w:noProof/>
              </w:rPr>
              <w:t>(Lepp 2006; McRitchie 1991)</w:t>
            </w:r>
            <w:r>
              <w:t>. No report of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Skeletocutis nivea</w:t>
            </w:r>
            <w:r>
              <w:t xml:space="preserve"> (Jungh.) Jean Keller</w:t>
            </w:r>
          </w:p>
          <w:p w:rsidR="00B8782D" w:rsidRDefault="00B8782D">
            <w:pPr>
              <w:pStyle w:val="TableText"/>
            </w:pPr>
            <w:r>
              <w:t>[Polyporales: Polyporaceae]</w:t>
            </w:r>
          </w:p>
        </w:tc>
        <w:tc>
          <w:tcPr>
            <w:tcW w:w="575" w:type="pct"/>
            <w:shd w:val="clear" w:color="auto" w:fill="auto"/>
          </w:tcPr>
          <w:p w:rsidR="00B8782D" w:rsidRDefault="00B8782D" w:rsidP="00750C8B">
            <w:pPr>
              <w:pStyle w:val="TableText"/>
            </w:pPr>
            <w:r>
              <w:t xml:space="preserve">Yes </w:t>
            </w:r>
            <w:r>
              <w:rPr>
                <w:noProof/>
              </w:rPr>
              <w:t>(Farr &amp; Rossman 2014)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On dead hardwoods causing white rots </w:t>
            </w:r>
            <w:r>
              <w:rPr>
                <w:noProof/>
              </w:rPr>
              <w:t>(Farr &amp; Rossman 2014)</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Stigmina carpophila</w:t>
            </w:r>
            <w:r>
              <w:t xml:space="preserve"> (Lév.) M.B. Ellis</w:t>
            </w:r>
          </w:p>
          <w:p w:rsidR="00B8782D" w:rsidRDefault="00B8782D">
            <w:pPr>
              <w:pStyle w:val="TableText"/>
            </w:pPr>
            <w:r>
              <w:t>[Capnodiales: Mycosphaerellaceae]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ACT, NSW, Tas., Vic., WA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Taphrina deformans</w:t>
            </w:r>
            <w:r>
              <w:t xml:space="preserve"> (Berk.) Tul.</w:t>
            </w:r>
          </w:p>
          <w:p w:rsidR="00B8782D" w:rsidRDefault="00B8782D">
            <w:pPr>
              <w:pStyle w:val="TableText"/>
            </w:pPr>
            <w:r>
              <w:t>[Taphrinales: Taphrinaceae]</w:t>
            </w:r>
          </w:p>
          <w:p w:rsidR="00B8782D" w:rsidRDefault="00B8782D">
            <w:pPr>
              <w:pStyle w:val="TableText"/>
            </w:pPr>
            <w:r>
              <w:t>Peach leaf curl</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ACT, NSW, Qld, SA, Tas., Vic., WA </w:t>
            </w:r>
            <w:r>
              <w:rPr>
                <w:noProof/>
              </w:rPr>
              <w:t>(Plant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Thanatephorus cucumeris</w:t>
            </w:r>
            <w:r>
              <w:t xml:space="preserve"> (A. B. Frank) Donk</w:t>
            </w:r>
          </w:p>
          <w:p w:rsidR="00B8782D" w:rsidRDefault="00B8782D">
            <w:pPr>
              <w:pStyle w:val="TableText"/>
            </w:pPr>
            <w:r>
              <w:t xml:space="preserve">Synonym: </w:t>
            </w:r>
            <w:r>
              <w:rPr>
                <w:i/>
              </w:rPr>
              <w:t>Rhizoctonia</w:t>
            </w:r>
            <w:r>
              <w:t xml:space="preserve"> </w:t>
            </w:r>
            <w:r>
              <w:rPr>
                <w:i/>
              </w:rPr>
              <w:t>solani</w:t>
            </w:r>
            <w:r>
              <w:t xml:space="preserve"> J. G. Kühn</w:t>
            </w:r>
          </w:p>
          <w:p w:rsidR="00B8782D" w:rsidRDefault="00B8782D">
            <w:pPr>
              <w:pStyle w:val="TableText"/>
            </w:pPr>
            <w:r>
              <w:t>[Cantharellales: Ceratobasidiaceae]</w:t>
            </w:r>
          </w:p>
          <w:p w:rsidR="00B8782D" w:rsidRDefault="00B8782D">
            <w:pPr>
              <w:pStyle w:val="TableText"/>
            </w:pPr>
            <w:r>
              <w:t>Thread blight</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Trametes gallica</w:t>
            </w:r>
            <w:r>
              <w:t xml:space="preserve"> var. </w:t>
            </w:r>
            <w:r>
              <w:rPr>
                <w:i/>
              </w:rPr>
              <w:t>trogii</w:t>
            </w:r>
            <w:r>
              <w:t xml:space="preserve"> Berk Pilát</w:t>
            </w:r>
          </w:p>
          <w:p w:rsidR="00B8782D" w:rsidRDefault="00B8782D">
            <w:pPr>
              <w:pStyle w:val="TableText"/>
            </w:pPr>
            <w:r>
              <w:t>[Polyporales: Polyporaceae]</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On deciduous trees, especially stumps of </w:t>
            </w:r>
            <w:r>
              <w:rPr>
                <w:i/>
              </w:rPr>
              <w:t>Salix</w:t>
            </w:r>
            <w:r>
              <w:t xml:space="preserve"> and </w:t>
            </w:r>
            <w:r>
              <w:rPr>
                <w:i/>
              </w:rPr>
              <w:t>Populus</w:t>
            </w:r>
            <w:r>
              <w:t xml:space="preserve"> </w:t>
            </w:r>
            <w:r>
              <w:rPr>
                <w:noProof/>
              </w:rPr>
              <w:t>(Zhao &amp; Zhang 1992)</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Trametes hirsuta</w:t>
            </w:r>
            <w:r>
              <w:t xml:space="preserve"> (Wulfen) Lloyd</w:t>
            </w:r>
          </w:p>
          <w:p w:rsidR="00B8782D" w:rsidRDefault="00B8782D">
            <w:pPr>
              <w:pStyle w:val="TableText"/>
            </w:pPr>
            <w:r>
              <w:t>[Polyporales: Polyporaceae]</w:t>
            </w:r>
          </w:p>
        </w:tc>
        <w:tc>
          <w:tcPr>
            <w:tcW w:w="575" w:type="pct"/>
            <w:shd w:val="clear" w:color="auto" w:fill="auto"/>
          </w:tcPr>
          <w:p w:rsidR="00B8782D" w:rsidRDefault="00B8782D" w:rsidP="00750C8B">
            <w:pPr>
              <w:pStyle w:val="TableText"/>
            </w:pPr>
            <w:r>
              <w:t xml:space="preserve">Yes </w:t>
            </w:r>
            <w:r>
              <w:rPr>
                <w:noProof/>
              </w:rPr>
              <w:t>(Teng 1996)</w:t>
            </w:r>
          </w:p>
        </w:tc>
        <w:tc>
          <w:tcPr>
            <w:tcW w:w="615" w:type="pct"/>
            <w:shd w:val="clear" w:color="auto" w:fill="auto"/>
          </w:tcPr>
          <w:p w:rsidR="00B8782D" w:rsidRDefault="00B8782D" w:rsidP="00750C8B">
            <w:pPr>
              <w:pStyle w:val="TableText"/>
            </w:pPr>
            <w:r>
              <w:t xml:space="preserve">Yes. NSW, Qld, Tas., Vic., WA </w:t>
            </w:r>
            <w:r>
              <w:rPr>
                <w:noProof/>
              </w:rPr>
              <w:t>(ALA 2014; 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Trametes versicolor</w:t>
            </w:r>
            <w:r>
              <w:t xml:space="preserve"> (L.) Lloyd</w:t>
            </w:r>
          </w:p>
          <w:p w:rsidR="00B8782D" w:rsidRDefault="00B8782D">
            <w:pPr>
              <w:pStyle w:val="TableText"/>
            </w:pPr>
            <w:r>
              <w:t>[Polyporales: Polyporaceae]</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ACT, NSW, Qld, SA, Tas., Vic., WA </w:t>
            </w:r>
            <w:r>
              <w:rPr>
                <w:noProof/>
              </w:rPr>
              <w:t>(ALA 2014; Plant Health Australia 2001)</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Tranzschelia discolor</w:t>
            </w:r>
            <w:r>
              <w:t xml:space="preserve"> Fuckel Tranzschel &amp; Litv.</w:t>
            </w:r>
          </w:p>
          <w:p w:rsidR="00B8782D" w:rsidRDefault="00B8782D">
            <w:pPr>
              <w:pStyle w:val="TableText"/>
            </w:pPr>
            <w:r>
              <w:t>[Pucciniales: Uropyxidaceae]</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All states and territories </w:t>
            </w:r>
            <w:r>
              <w:rPr>
                <w:noProof/>
              </w:rPr>
              <w:t>(Plant Health Australia 2001)</w:t>
            </w:r>
            <w:r>
              <w:t>. There are known formae speciales of this species. An unlisted organism under the Western Australia BAM Act 2007</w:t>
            </w:r>
            <w:r>
              <w:rPr>
                <w:noProof/>
              </w:rPr>
              <w:t>(Government of Western Australia 2014)</w:t>
            </w:r>
            <w:r>
              <w:t xml:space="preserve">. It was not regulated in WA’s policy for Summerfruit from eastern states </w:t>
            </w:r>
            <w:r>
              <w:rPr>
                <w:noProof/>
              </w:rPr>
              <w:t>(Poole et al. 2011)</w:t>
            </w:r>
            <w:r>
              <w:t xml:space="preserve">. </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Tranzschelia pruni-spinosae</w:t>
            </w:r>
            <w:r>
              <w:t xml:space="preserve"> (Pers.) Dietel (1922)</w:t>
            </w:r>
          </w:p>
          <w:p w:rsidR="00B8782D" w:rsidRDefault="00B8782D">
            <w:pPr>
              <w:pStyle w:val="TableText"/>
            </w:pPr>
            <w:r>
              <w:t xml:space="preserve">Synonym: </w:t>
            </w:r>
            <w:r>
              <w:rPr>
                <w:i/>
              </w:rPr>
              <w:t>Puccinia</w:t>
            </w:r>
            <w:r>
              <w:t xml:space="preserve"> </w:t>
            </w:r>
            <w:r>
              <w:rPr>
                <w:i/>
              </w:rPr>
              <w:t>pruni-spinosae</w:t>
            </w:r>
            <w:r>
              <w:t xml:space="preserve"> Pers.: Pers.</w:t>
            </w:r>
          </w:p>
          <w:p w:rsidR="00B8782D" w:rsidRDefault="00B8782D">
            <w:pPr>
              <w:pStyle w:val="TableText"/>
            </w:pPr>
            <w:r>
              <w:t>[Pucciniales: Uropyxidaceae]</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750C8B">
            <w:pPr>
              <w:pStyle w:val="TableText"/>
            </w:pPr>
            <w:r>
              <w:t xml:space="preserve">Yes. SA, Tas., Vic. </w:t>
            </w:r>
            <w:r>
              <w:rPr>
                <w:noProof/>
              </w:rPr>
              <w:t>(Plant Health Australia 2001)</w:t>
            </w:r>
            <w:r>
              <w:t xml:space="preserve">, </w:t>
            </w:r>
            <w:r>
              <w:rPr>
                <w:noProof/>
              </w:rPr>
              <w:t>(Sampson &amp; Walker 1982)</w:t>
            </w:r>
            <w:r>
              <w:t>. Listed as a permitted organism (section 11) under the Western Australia BAM Act 2007</w:t>
            </w:r>
            <w:r>
              <w:rPr>
                <w:noProof/>
              </w:rPr>
              <w:t>(Government of Western Australia 2014)</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Trichothecium roseum</w:t>
            </w:r>
            <w:r>
              <w:t xml:space="preserve"> (Pers.) Link</w:t>
            </w:r>
          </w:p>
          <w:p w:rsidR="00B8782D" w:rsidRDefault="00B8782D">
            <w:pPr>
              <w:pStyle w:val="TableText"/>
            </w:pPr>
            <w:r>
              <w:t>[Hyphocreales: Incertae sedis]</w:t>
            </w:r>
          </w:p>
          <w:p w:rsidR="00B8782D" w:rsidRDefault="00B8782D">
            <w:pPr>
              <w:pStyle w:val="TableText"/>
            </w:pPr>
            <w:r>
              <w:t>Pink mould rot</w:t>
            </w:r>
          </w:p>
        </w:tc>
        <w:tc>
          <w:tcPr>
            <w:tcW w:w="575" w:type="pct"/>
            <w:shd w:val="clear" w:color="auto" w:fill="auto"/>
          </w:tcPr>
          <w:p w:rsidR="00B8782D" w:rsidRDefault="00B8782D" w:rsidP="00750C8B">
            <w:pPr>
              <w:pStyle w:val="TableText"/>
            </w:pPr>
            <w:r>
              <w:t xml:space="preserve">Yes </w:t>
            </w:r>
            <w:r>
              <w:rPr>
                <w:noProof/>
              </w:rPr>
              <w:t>(Tai 1979)</w:t>
            </w:r>
          </w:p>
        </w:tc>
        <w:tc>
          <w:tcPr>
            <w:tcW w:w="615" w:type="pct"/>
            <w:shd w:val="clear" w:color="auto" w:fill="auto"/>
          </w:tcPr>
          <w:p w:rsidR="00B8782D" w:rsidRDefault="00B8782D" w:rsidP="00750C8B">
            <w:pPr>
              <w:pStyle w:val="TableText"/>
            </w:pPr>
            <w:r>
              <w:t xml:space="preserve">Yes. ACT, NSW, Qld, SA, Vic., WA </w:t>
            </w:r>
            <w:r>
              <w:rPr>
                <w:noProof/>
              </w:rPr>
              <w:t>(Plant Health Australia 2001)</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Valsa ambiens</w:t>
            </w:r>
            <w:r>
              <w:t xml:space="preserve"> (Pers.) Fr.</w:t>
            </w:r>
          </w:p>
          <w:p w:rsidR="00B8782D" w:rsidRDefault="00B8782D">
            <w:pPr>
              <w:pStyle w:val="TableText"/>
            </w:pPr>
            <w:r>
              <w:t xml:space="preserve">Synonym: </w:t>
            </w:r>
            <w:r>
              <w:rPr>
                <w:i/>
              </w:rPr>
              <w:t>Cytospora leucosperma</w:t>
            </w:r>
            <w:r>
              <w:t xml:space="preserve"> (Pers.) Fr.</w:t>
            </w:r>
          </w:p>
          <w:p w:rsidR="00B8782D" w:rsidRDefault="00B8782D">
            <w:pPr>
              <w:pStyle w:val="TableText"/>
            </w:pPr>
            <w:r>
              <w:t>[Diaporthales: Valsaceae]</w:t>
            </w:r>
          </w:p>
          <w:p w:rsidR="00B8782D" w:rsidRDefault="00B8782D">
            <w:pPr>
              <w:pStyle w:val="TableText"/>
            </w:pPr>
            <w:r>
              <w:t>Valsa canker</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NSW, SA, Tas., Vic. </w:t>
            </w:r>
            <w:r>
              <w:rPr>
                <w:noProof/>
              </w:rPr>
              <w:t>(Plant Health Australia 2001)</w:t>
            </w:r>
            <w:r>
              <w:t>. An unlisted organism under the Western Australia BAM Act 2007</w:t>
            </w:r>
            <w:r>
              <w:rPr>
                <w:noProof/>
              </w:rPr>
              <w:t>(Government of Western Australia 2014)</w:t>
            </w:r>
            <w:r>
              <w:t>.</w:t>
            </w:r>
          </w:p>
        </w:tc>
        <w:tc>
          <w:tcPr>
            <w:tcW w:w="716" w:type="pct"/>
            <w:shd w:val="clear" w:color="auto" w:fill="auto"/>
          </w:tcPr>
          <w:p w:rsidR="00B8782D" w:rsidRDefault="00B8782D">
            <w:pPr>
              <w:pStyle w:val="TableText"/>
            </w:pPr>
            <w:r>
              <w:t xml:space="preserve">No. </w:t>
            </w:r>
            <w:r>
              <w:rPr>
                <w:i/>
              </w:rPr>
              <w:t>Valsa ambiens</w:t>
            </w:r>
            <w:r>
              <w:t xml:space="preserve"> is a wood decomposing fungus </w:t>
            </w:r>
            <w:r>
              <w:rPr>
                <w:noProof/>
              </w:rPr>
              <w:t>(Kovacs 2001)</w:t>
            </w:r>
            <w:r>
              <w:t xml:space="preserve">. </w:t>
            </w:r>
          </w:p>
          <w:p w:rsidR="00B8782D" w:rsidRDefault="00B8782D">
            <w:pPr>
              <w:pStyle w:val="TableText"/>
            </w:pP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Valsa ceratosperma</w:t>
            </w:r>
            <w:r>
              <w:t xml:space="preserve"> (Tode) Maire</w:t>
            </w:r>
          </w:p>
          <w:p w:rsidR="00B8782D" w:rsidRDefault="00B8782D">
            <w:pPr>
              <w:pStyle w:val="TableText"/>
            </w:pPr>
            <w:r>
              <w:t xml:space="preserve">Synonym: </w:t>
            </w:r>
            <w:r>
              <w:rPr>
                <w:i/>
              </w:rPr>
              <w:t>Cytospora sacculus</w:t>
            </w:r>
            <w:r>
              <w:t xml:space="preserve"> (Schwein. : Fr.) Gvrit</w:t>
            </w:r>
          </w:p>
          <w:p w:rsidR="00B8782D" w:rsidRDefault="00B8782D">
            <w:pPr>
              <w:pStyle w:val="TableText"/>
            </w:pPr>
            <w:r>
              <w:t>[Diaporthales: Valsaceae]</w:t>
            </w:r>
          </w:p>
        </w:tc>
        <w:tc>
          <w:tcPr>
            <w:tcW w:w="575" w:type="pct"/>
            <w:shd w:val="clear" w:color="auto" w:fill="auto"/>
          </w:tcPr>
          <w:p w:rsidR="00B8782D" w:rsidRDefault="00B8782D" w:rsidP="00750C8B">
            <w:pPr>
              <w:pStyle w:val="TableText"/>
            </w:pPr>
            <w:r>
              <w:t xml:space="preserve">Yes </w:t>
            </w:r>
            <w:r>
              <w:rPr>
                <w:noProof/>
              </w:rPr>
              <w:t>(Zhuang 2005)</w:t>
            </w:r>
          </w:p>
        </w:tc>
        <w:tc>
          <w:tcPr>
            <w:tcW w:w="615" w:type="pct"/>
            <w:shd w:val="clear" w:color="auto" w:fill="auto"/>
          </w:tcPr>
          <w:p w:rsidR="00B8782D" w:rsidRDefault="00B8782D" w:rsidP="00750C8B">
            <w:pPr>
              <w:pStyle w:val="TableText"/>
            </w:pPr>
            <w:r>
              <w:t xml:space="preserve">Yes. ACT, NSW, Tas. </w:t>
            </w:r>
            <w:r>
              <w:rPr>
                <w:noProof/>
              </w:rPr>
              <w:t>(Plant Health Australia 2001)</w:t>
            </w:r>
            <w:r>
              <w:t>.</w:t>
            </w:r>
          </w:p>
        </w:tc>
        <w:tc>
          <w:tcPr>
            <w:tcW w:w="716" w:type="pct"/>
            <w:shd w:val="clear" w:color="auto" w:fill="auto"/>
          </w:tcPr>
          <w:p w:rsidR="00B8782D" w:rsidRDefault="00B8782D" w:rsidP="00750C8B">
            <w:pPr>
              <w:pStyle w:val="TableText"/>
            </w:pPr>
            <w:r>
              <w:t xml:space="preserve">No. Causes cankers on trunk, branches and twigs </w:t>
            </w:r>
            <w:r>
              <w:rPr>
                <w:noProof/>
              </w:rPr>
              <w:t>(EPPO 2004; Zhuang 2005)</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Valsa persoonii</w:t>
            </w:r>
            <w:r>
              <w:t xml:space="preserve"> Nitschke 1870</w:t>
            </w:r>
          </w:p>
          <w:p w:rsidR="00B8782D" w:rsidRDefault="00B8782D">
            <w:pPr>
              <w:pStyle w:val="TableText"/>
            </w:pPr>
            <w:r>
              <w:t xml:space="preserve">Synonyms: </w:t>
            </w:r>
            <w:r>
              <w:rPr>
                <w:i/>
              </w:rPr>
              <w:t>Cytospora leucostoma</w:t>
            </w:r>
            <w:r>
              <w:t xml:space="preserve"> (Pers.) Sacc.; </w:t>
            </w:r>
            <w:r>
              <w:rPr>
                <w:i/>
              </w:rPr>
              <w:t>Leucostoma persoonii</w:t>
            </w:r>
            <w:r>
              <w:t xml:space="preserve"> (Nitschke) Höhn.</w:t>
            </w:r>
          </w:p>
          <w:p w:rsidR="00B8782D" w:rsidRDefault="00B8782D">
            <w:pPr>
              <w:pStyle w:val="TableText"/>
            </w:pPr>
            <w:r>
              <w:t>[Diaporthales: Valsaceae]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NSW, SA, Vic. </w:t>
            </w:r>
            <w:r>
              <w:rPr>
                <w:noProof/>
              </w:rPr>
              <w:t>(Plant Health Australia 2001)</w:t>
            </w:r>
            <w:r>
              <w:t>. Listed as a declared organism (Prohibited (section 12)) under the Western Australia BAM Act 2007</w:t>
            </w:r>
            <w:r>
              <w:rPr>
                <w:noProof/>
              </w:rPr>
              <w:t>(Government of Western Australia 2014)</w:t>
            </w:r>
            <w:r>
              <w:t>.</w:t>
            </w:r>
          </w:p>
        </w:tc>
        <w:tc>
          <w:tcPr>
            <w:tcW w:w="716" w:type="pct"/>
            <w:shd w:val="clear" w:color="auto" w:fill="auto"/>
          </w:tcPr>
          <w:p w:rsidR="00B8782D" w:rsidRDefault="00B8782D" w:rsidP="00750C8B">
            <w:pPr>
              <w:pStyle w:val="TableText"/>
            </w:pPr>
            <w:r>
              <w:t xml:space="preserve">No. Associated with branches of </w:t>
            </w:r>
            <w:r>
              <w:rPr>
                <w:i/>
              </w:rPr>
              <w:t>P. persica</w:t>
            </w:r>
            <w:r>
              <w:t xml:space="preserve"> </w:t>
            </w:r>
            <w:r>
              <w:rPr>
                <w:noProof/>
              </w:rPr>
              <w:t>(AQSIQ 2006b)</w:t>
            </w:r>
            <w:r>
              <w:t>. No report of an association with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Venturia carpophila</w:t>
            </w:r>
            <w:r>
              <w:t xml:space="preserve"> E.E.Fisher</w:t>
            </w:r>
          </w:p>
          <w:p w:rsidR="00B8782D" w:rsidRDefault="00B8782D">
            <w:pPr>
              <w:pStyle w:val="TableText"/>
            </w:pPr>
            <w:r>
              <w:t xml:space="preserve">Synonyms: </w:t>
            </w:r>
            <w:r>
              <w:rPr>
                <w:i/>
              </w:rPr>
              <w:t xml:space="preserve">Fusicladium carpophilum </w:t>
            </w:r>
            <w:r>
              <w:t xml:space="preserve">(Thüm.) Oudem.; </w:t>
            </w:r>
            <w:r>
              <w:rPr>
                <w:i/>
              </w:rPr>
              <w:t>Cladosporium carpophilum</w:t>
            </w:r>
            <w:r>
              <w:t xml:space="preserve"> Thüm</w:t>
            </w:r>
          </w:p>
          <w:p w:rsidR="00B8782D" w:rsidRDefault="00B8782D">
            <w:pPr>
              <w:pStyle w:val="TableText"/>
            </w:pPr>
            <w:r>
              <w:t>[Pleosporales: Venturiaceae]</w:t>
            </w:r>
          </w:p>
        </w:tc>
        <w:tc>
          <w:tcPr>
            <w:tcW w:w="575" w:type="pct"/>
            <w:shd w:val="clear" w:color="auto" w:fill="auto"/>
          </w:tcPr>
          <w:p w:rsidR="00B8782D" w:rsidRDefault="00B8782D" w:rsidP="00750C8B">
            <w:pPr>
              <w:pStyle w:val="TableText"/>
            </w:pPr>
            <w:r>
              <w:t xml:space="preserve">Yes </w:t>
            </w:r>
            <w:r>
              <w:rPr>
                <w:noProof/>
              </w:rPr>
              <w:t>(AQSIQ 2006b)</w:t>
            </w:r>
          </w:p>
        </w:tc>
        <w:tc>
          <w:tcPr>
            <w:tcW w:w="615" w:type="pct"/>
            <w:shd w:val="clear" w:color="auto" w:fill="auto"/>
          </w:tcPr>
          <w:p w:rsidR="00B8782D" w:rsidRDefault="00B8782D" w:rsidP="00750C8B">
            <w:pPr>
              <w:pStyle w:val="TableText"/>
            </w:pPr>
            <w:r>
              <w:t xml:space="preserve">Yes. ACT, NSW, Qld, SA, Tas., Vic. </w:t>
            </w:r>
            <w:r>
              <w:rPr>
                <w:noProof/>
              </w:rPr>
              <w:t>(Plant Health Australia 2001)</w:t>
            </w:r>
            <w:r>
              <w:t>. Listed as a permitted organism (section 11) under the Western Australia BAM Act 2007</w:t>
            </w:r>
            <w:r>
              <w:rPr>
                <w:noProof/>
              </w:rPr>
              <w:t>(Government of Western Australia 2014)</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5000" w:type="pct"/>
            <w:gridSpan w:val="7"/>
            <w:shd w:val="clear" w:color="auto" w:fill="auto"/>
          </w:tcPr>
          <w:p w:rsidR="00B8782D" w:rsidRDefault="00B8782D">
            <w:pPr>
              <w:pStyle w:val="TableText"/>
              <w:rPr>
                <w:b/>
              </w:rPr>
            </w:pPr>
            <w:r>
              <w:rPr>
                <w:b/>
              </w:rPr>
              <w:t>VIRUSES</w:t>
            </w:r>
          </w:p>
        </w:tc>
      </w:tr>
      <w:tr w:rsidR="00B8782D">
        <w:trPr>
          <w:cantSplit/>
          <w:jc w:val="center"/>
        </w:trPr>
        <w:tc>
          <w:tcPr>
            <w:tcW w:w="1087" w:type="pct"/>
            <w:shd w:val="clear" w:color="auto" w:fill="auto"/>
          </w:tcPr>
          <w:p w:rsidR="00B8782D" w:rsidRDefault="00B8782D">
            <w:pPr>
              <w:pStyle w:val="TableText"/>
            </w:pPr>
            <w:r>
              <w:rPr>
                <w:i/>
              </w:rPr>
              <w:t>Apple chlorotic leaf spot trichovirus</w:t>
            </w:r>
          </w:p>
          <w:p w:rsidR="00B8782D" w:rsidRDefault="00B8782D">
            <w:pPr>
              <w:pStyle w:val="TableText"/>
            </w:pPr>
            <w:r>
              <w:t>[Flexiviridae: Trichovirus]</w:t>
            </w:r>
          </w:p>
          <w:p w:rsidR="00B8782D" w:rsidRDefault="00B8782D">
            <w:pPr>
              <w:pStyle w:val="TableText"/>
            </w:pPr>
            <w:r>
              <w:t>ACLSV</w:t>
            </w:r>
          </w:p>
        </w:tc>
        <w:tc>
          <w:tcPr>
            <w:tcW w:w="575" w:type="pct"/>
            <w:shd w:val="clear" w:color="auto" w:fill="auto"/>
          </w:tcPr>
          <w:p w:rsidR="00B8782D" w:rsidRDefault="00B8782D" w:rsidP="00750C8B">
            <w:pPr>
              <w:pStyle w:val="TableText"/>
            </w:pPr>
            <w:r>
              <w:t xml:space="preserve">Yes </w:t>
            </w:r>
            <w:r>
              <w:rPr>
                <w:noProof/>
              </w:rPr>
              <w:t>(Brunt et al. 1996; Zhou et al. 1996)</w:t>
            </w:r>
            <w:r>
              <w:t>.</w:t>
            </w:r>
          </w:p>
        </w:tc>
        <w:tc>
          <w:tcPr>
            <w:tcW w:w="615" w:type="pct"/>
            <w:shd w:val="clear" w:color="auto" w:fill="auto"/>
          </w:tcPr>
          <w:p w:rsidR="00B8782D" w:rsidRDefault="00B8782D" w:rsidP="00750C8B">
            <w:pPr>
              <w:pStyle w:val="TableText"/>
            </w:pPr>
            <w:r>
              <w:t xml:space="preserve">Yes. NSW, Qld, SA, Tas., Vic., WA </w:t>
            </w:r>
            <w:r>
              <w:rPr>
                <w:noProof/>
              </w:rPr>
              <w:t>(Constable, Joyce &amp; Rodoni 2007; Letham 1995; Washington &amp; Nancarrow 1983)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Apple mosaic ilarvirus</w:t>
            </w:r>
          </w:p>
          <w:p w:rsidR="00B8782D" w:rsidRDefault="00B8782D">
            <w:pPr>
              <w:pStyle w:val="TableText"/>
            </w:pPr>
            <w:r>
              <w:t xml:space="preserve">Synonyms: </w:t>
            </w:r>
            <w:r>
              <w:rPr>
                <w:i/>
              </w:rPr>
              <w:t>Dutch plum line pattern virus</w:t>
            </w:r>
            <w:r>
              <w:t xml:space="preserve">; </w:t>
            </w:r>
            <w:r>
              <w:rPr>
                <w:i/>
              </w:rPr>
              <w:t>European plum line pattern virus</w:t>
            </w:r>
            <w:r>
              <w:t xml:space="preserve">, </w:t>
            </w:r>
            <w:r>
              <w:rPr>
                <w:i/>
              </w:rPr>
              <w:t>Hop A virus</w:t>
            </w:r>
          </w:p>
          <w:p w:rsidR="00B8782D" w:rsidRDefault="00B8782D">
            <w:pPr>
              <w:pStyle w:val="TableText"/>
            </w:pPr>
            <w:r>
              <w:t>[Bromoviridae: Ilarvirus]</w:t>
            </w:r>
          </w:p>
          <w:p w:rsidR="00B8782D" w:rsidRDefault="00B8782D">
            <w:pPr>
              <w:pStyle w:val="TableText"/>
            </w:pPr>
            <w:r>
              <w:t>Apple mosaic (ApMV)</w:t>
            </w:r>
          </w:p>
        </w:tc>
        <w:tc>
          <w:tcPr>
            <w:tcW w:w="575" w:type="pct"/>
            <w:shd w:val="clear" w:color="auto" w:fill="auto"/>
          </w:tcPr>
          <w:p w:rsidR="00B8782D" w:rsidRDefault="00B8782D" w:rsidP="00750C8B">
            <w:pPr>
              <w:pStyle w:val="TableText"/>
            </w:pPr>
            <w:r>
              <w:t xml:space="preserve">Yes </w:t>
            </w:r>
            <w:r>
              <w:rPr>
                <w:noProof/>
              </w:rPr>
              <w:t>(Diekmann &amp; Putter 1996; Zhou et al. 1996)</w:t>
            </w:r>
          </w:p>
        </w:tc>
        <w:tc>
          <w:tcPr>
            <w:tcW w:w="615" w:type="pct"/>
            <w:shd w:val="clear" w:color="auto" w:fill="auto"/>
          </w:tcPr>
          <w:p w:rsidR="00B8782D" w:rsidRDefault="00B8782D" w:rsidP="00750C8B">
            <w:pPr>
              <w:pStyle w:val="TableText"/>
            </w:pPr>
            <w:r>
              <w:t xml:space="preserve">Yes. Qld, SA, Vic., WA </w:t>
            </w:r>
            <w:r>
              <w:rPr>
                <w:noProof/>
              </w:rPr>
              <w:t>(Constable, Joyce &amp; Rodoni 2007)</w:t>
            </w:r>
            <w:r>
              <w:t xml:space="preserve">. Not a regulated pest for Tas. </w:t>
            </w:r>
            <w:r>
              <w:rPr>
                <w:noProof/>
              </w:rPr>
              <w:t>(DPIPWE 2013)</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 xml:space="preserve">Assessment not required </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Apple stem pitting virus</w:t>
            </w:r>
          </w:p>
          <w:p w:rsidR="00B8782D" w:rsidRDefault="00B8782D">
            <w:pPr>
              <w:pStyle w:val="TableText"/>
            </w:pPr>
            <w:r>
              <w:t>[Flexiviridae: Foveavirus]</w:t>
            </w:r>
          </w:p>
          <w:p w:rsidR="00B8782D" w:rsidRDefault="00B8782D">
            <w:pPr>
              <w:pStyle w:val="TableText"/>
            </w:pPr>
            <w:r>
              <w:t>ASPV</w:t>
            </w:r>
          </w:p>
        </w:tc>
        <w:tc>
          <w:tcPr>
            <w:tcW w:w="575" w:type="pct"/>
            <w:shd w:val="clear" w:color="auto" w:fill="auto"/>
          </w:tcPr>
          <w:p w:rsidR="00B8782D" w:rsidRDefault="00B8782D" w:rsidP="00750C8B">
            <w:pPr>
              <w:pStyle w:val="TableText"/>
            </w:pPr>
            <w:r>
              <w:t xml:space="preserve">Yes </w:t>
            </w:r>
            <w:r>
              <w:rPr>
                <w:noProof/>
              </w:rPr>
              <w:t>(Brunt et al. 1996)</w:t>
            </w:r>
            <w:r>
              <w:t>.</w:t>
            </w:r>
          </w:p>
        </w:tc>
        <w:tc>
          <w:tcPr>
            <w:tcW w:w="615" w:type="pct"/>
            <w:shd w:val="clear" w:color="auto" w:fill="auto"/>
          </w:tcPr>
          <w:p w:rsidR="00B8782D" w:rsidRDefault="00B8782D" w:rsidP="00750C8B">
            <w:pPr>
              <w:pStyle w:val="TableText"/>
            </w:pPr>
            <w:r>
              <w:t xml:space="preserve">Yes. NSW, Qld, SA, Tas., Vic., WA </w:t>
            </w:r>
            <w:r>
              <w:rPr>
                <w:noProof/>
              </w:rPr>
              <w:t>(Constable, Joyce &amp; Rodoni 2007)</w:t>
            </w:r>
            <w:r>
              <w:t>. Listed as a declared organism under the Western Australia BAM Act 2007</w:t>
            </w:r>
            <w:r>
              <w:rPr>
                <w:noProof/>
              </w:rPr>
              <w:t>(Government of Western Australia 2014)</w:t>
            </w:r>
            <w:r>
              <w:t xml:space="preserve">.. However, it was not regulated in WA’s policy for Summerfruit from eastern states </w:t>
            </w:r>
            <w:r>
              <w:rPr>
                <w:noProof/>
              </w:rPr>
              <w:t>(Poole et al. 2011)</w:t>
            </w:r>
            <w:r>
              <w:t>.</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Apricot pseudo-chlorotic leaf spot virus</w:t>
            </w:r>
          </w:p>
          <w:p w:rsidR="00B8782D" w:rsidRDefault="00B8782D">
            <w:pPr>
              <w:pStyle w:val="TableText"/>
            </w:pPr>
            <w:r>
              <w:t>[Betaflexiviridae: Trichovirus]</w:t>
            </w:r>
          </w:p>
          <w:p w:rsidR="00B8782D" w:rsidRDefault="00B8782D">
            <w:pPr>
              <w:pStyle w:val="TableText"/>
            </w:pPr>
            <w:r>
              <w:t>APCLSV</w:t>
            </w:r>
          </w:p>
        </w:tc>
        <w:tc>
          <w:tcPr>
            <w:tcW w:w="575" w:type="pct"/>
            <w:shd w:val="clear" w:color="auto" w:fill="auto"/>
          </w:tcPr>
          <w:p w:rsidR="00B8782D" w:rsidRDefault="00B8782D" w:rsidP="00750C8B">
            <w:pPr>
              <w:pStyle w:val="TableText"/>
            </w:pPr>
            <w:r>
              <w:t xml:space="preserve">Yes </w:t>
            </w:r>
            <w:r>
              <w:rPr>
                <w:noProof/>
              </w:rPr>
              <w:t>(Niu et al. 2012)</w:t>
            </w:r>
          </w:p>
        </w:tc>
        <w:tc>
          <w:tcPr>
            <w:tcW w:w="615" w:type="pct"/>
            <w:shd w:val="clear" w:color="auto" w:fill="auto"/>
          </w:tcPr>
          <w:p w:rsidR="00B8782D" w:rsidRDefault="00B8782D" w:rsidP="00750C8B">
            <w:pPr>
              <w:pStyle w:val="TableText"/>
            </w:pPr>
            <w:r>
              <w:t xml:space="preserve">Yes. Vic. </w:t>
            </w:r>
            <w:r>
              <w:rPr>
                <w:noProof/>
              </w:rPr>
              <w:t>(Liberti et al. 2005)</w:t>
            </w:r>
            <w:r>
              <w:t xml:space="preserve">. Not a regulated pest for Tas. </w:t>
            </w:r>
            <w:r>
              <w:rPr>
                <w:noProof/>
              </w:rPr>
              <w:t>(DPIPWE 2013)</w:t>
            </w:r>
            <w:r>
              <w:t xml:space="preserve"> and an unlisted organism under the Western Australia BAM Act 2007</w:t>
            </w:r>
            <w:r>
              <w:rPr>
                <w:noProof/>
              </w:rPr>
              <w:t>(Government of Western Australia 2014)</w:t>
            </w:r>
            <w:r>
              <w:t xml:space="preserve">. </w:t>
            </w:r>
          </w:p>
        </w:tc>
        <w:tc>
          <w:tcPr>
            <w:tcW w:w="716" w:type="pct"/>
            <w:shd w:val="clear" w:color="auto" w:fill="auto"/>
          </w:tcPr>
          <w:p w:rsidR="00B8782D" w:rsidRDefault="00B8782D" w:rsidP="00750C8B">
            <w:pPr>
              <w:pStyle w:val="TableText"/>
            </w:pPr>
            <w:r>
              <w:t xml:space="preserve">No. APCLSV has been isolated from leaf sample of several prunus species </w:t>
            </w:r>
            <w:r>
              <w:rPr>
                <w:noProof/>
              </w:rPr>
              <w:t>(Liberti et al. 2005; Safarova et al. 2012)</w:t>
            </w:r>
            <w:r>
              <w:t xml:space="preserve">. The transmission and vector of the virus are not elucidated elsewhere </w:t>
            </w:r>
            <w:r>
              <w:rPr>
                <w:noProof/>
              </w:rPr>
              <w:t>(EPPO 2006)</w:t>
            </w:r>
            <w:r>
              <w:t>.</w:t>
            </w:r>
          </w:p>
        </w:tc>
        <w:tc>
          <w:tcPr>
            <w:tcW w:w="717" w:type="pct"/>
            <w:shd w:val="clear" w:color="auto" w:fill="auto"/>
          </w:tcPr>
          <w:p w:rsidR="00B8782D" w:rsidRDefault="00B8782D">
            <w:pPr>
              <w:pStyle w:val="TableText"/>
            </w:pPr>
            <w:r>
              <w:t xml:space="preserve">Assessment not required </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Cherry green ring mottle virus</w:t>
            </w:r>
          </w:p>
          <w:p w:rsidR="00B8782D" w:rsidRDefault="00B8782D">
            <w:pPr>
              <w:pStyle w:val="TableText"/>
            </w:pPr>
            <w:r>
              <w:t>[Flexiviridae: Foveavirus]</w:t>
            </w:r>
          </w:p>
          <w:p w:rsidR="00B8782D" w:rsidRDefault="00B8782D">
            <w:pPr>
              <w:pStyle w:val="TableText"/>
            </w:pPr>
            <w:r>
              <w:t>CGRMV</w:t>
            </w:r>
          </w:p>
        </w:tc>
        <w:tc>
          <w:tcPr>
            <w:tcW w:w="575" w:type="pct"/>
            <w:shd w:val="clear" w:color="auto" w:fill="auto"/>
          </w:tcPr>
          <w:p w:rsidR="00B8782D" w:rsidRDefault="00B8782D" w:rsidP="00750C8B">
            <w:pPr>
              <w:pStyle w:val="TableText"/>
            </w:pPr>
            <w:r>
              <w:t xml:space="preserve">Yes </w:t>
            </w:r>
            <w:r>
              <w:rPr>
                <w:noProof/>
              </w:rPr>
              <w:t>(Zhou et al. 2011)</w:t>
            </w:r>
          </w:p>
        </w:tc>
        <w:tc>
          <w:tcPr>
            <w:tcW w:w="615" w:type="pct"/>
            <w:shd w:val="clear" w:color="auto" w:fill="auto"/>
          </w:tcPr>
          <w:p w:rsidR="00B8782D" w:rsidRDefault="00B8782D" w:rsidP="00750C8B">
            <w:pPr>
              <w:pStyle w:val="TableText"/>
            </w:pPr>
            <w:r>
              <w:t xml:space="preserve">Yes (Diekmann and Putter 1996). Not a regulated pest for Tas. </w:t>
            </w:r>
            <w:r>
              <w:rPr>
                <w:noProof/>
              </w:rPr>
              <w:t>(DPIPWE 2013)</w:t>
            </w:r>
            <w:r>
              <w:t xml:space="preserve"> and an unlisted organism under the Western Australia BAM Act 2007</w:t>
            </w:r>
            <w:r>
              <w:rPr>
                <w:noProof/>
              </w:rPr>
              <w:t>(Government of Western Australia 2014)</w:t>
            </w:r>
            <w:r>
              <w:t>.</w:t>
            </w:r>
          </w:p>
        </w:tc>
        <w:tc>
          <w:tcPr>
            <w:tcW w:w="716" w:type="pct"/>
            <w:shd w:val="clear" w:color="auto" w:fill="auto"/>
          </w:tcPr>
          <w:p w:rsidR="00B8782D" w:rsidRDefault="00B8782D" w:rsidP="00750C8B">
            <w:pPr>
              <w:pStyle w:val="TableText"/>
            </w:pPr>
            <w:r>
              <w:t xml:space="preserve">No. Transmitted by budding and grafting, or by the bud mite </w:t>
            </w:r>
            <w:r>
              <w:rPr>
                <w:i/>
              </w:rPr>
              <w:t>Eriophyes inaequalis</w:t>
            </w:r>
            <w:r>
              <w:t xml:space="preserve">, which does not feed on fruit </w:t>
            </w:r>
            <w:r>
              <w:rPr>
                <w:noProof/>
              </w:rPr>
              <w:t>(Adaskaveg &amp; Caprile 2014)</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Cherry leaf roll virus</w:t>
            </w:r>
          </w:p>
          <w:p w:rsidR="00B8782D" w:rsidRDefault="00B8782D">
            <w:pPr>
              <w:pStyle w:val="TableText"/>
            </w:pPr>
            <w:r>
              <w:t>[Comoviridae: Nepovirus]</w:t>
            </w:r>
          </w:p>
          <w:p w:rsidR="00B8782D" w:rsidRDefault="00B8782D">
            <w:pPr>
              <w:pStyle w:val="TableText"/>
            </w:pPr>
            <w:r>
              <w:t>CLRV</w:t>
            </w:r>
          </w:p>
        </w:tc>
        <w:tc>
          <w:tcPr>
            <w:tcW w:w="575" w:type="pct"/>
            <w:shd w:val="clear" w:color="auto" w:fill="auto"/>
          </w:tcPr>
          <w:p w:rsidR="00B8782D" w:rsidRDefault="00B8782D" w:rsidP="00750C8B">
            <w:pPr>
              <w:pStyle w:val="TableText"/>
            </w:pPr>
            <w:r>
              <w:t xml:space="preserve">Yes </w:t>
            </w:r>
            <w:r>
              <w:rPr>
                <w:noProof/>
              </w:rPr>
              <w:t>(Brunt et al. 1996)</w:t>
            </w:r>
            <w:r>
              <w:t>.</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The virus is transmitted through the seed of most natural hosts including </w:t>
            </w:r>
            <w:r>
              <w:rPr>
                <w:i/>
              </w:rPr>
              <w:t>Prunus</w:t>
            </w:r>
            <w:r>
              <w:t xml:space="preserve"> spp. </w:t>
            </w:r>
            <w:r>
              <w:rPr>
                <w:noProof/>
              </w:rPr>
              <w:t>(Lister &amp; Murant 1967; Schimanski, Schmelzer &amp; Albrecht 1976)</w:t>
            </w:r>
            <w:r>
              <w:t xml:space="preserve"> and has been associated with peach </w:t>
            </w:r>
            <w:r>
              <w:rPr>
                <w:noProof/>
              </w:rPr>
              <w:t>(Delbos et al. 1982)</w:t>
            </w:r>
            <w:r>
              <w:t xml:space="preserve">. Strains of the virus are distinct and defined by host </w:t>
            </w:r>
            <w:r>
              <w:rPr>
                <w:noProof/>
              </w:rPr>
              <w:t>(Rebenstorf et al. 2006)</w:t>
            </w:r>
            <w:r>
              <w:t xml:space="preserve">. However, no records on </w:t>
            </w:r>
            <w:r>
              <w:rPr>
                <w:i/>
              </w:rPr>
              <w:t>P. persica</w:t>
            </w:r>
            <w:r>
              <w:t xml:space="preserve"> or other summerfruit in China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Cherry mottle leaf virus</w:t>
            </w:r>
          </w:p>
          <w:p w:rsidR="00B8782D" w:rsidRDefault="00B8782D">
            <w:pPr>
              <w:pStyle w:val="TableText"/>
            </w:pPr>
            <w:r>
              <w:t>[Betaflexiviridae: Trichovirus]</w:t>
            </w:r>
          </w:p>
        </w:tc>
        <w:tc>
          <w:tcPr>
            <w:tcW w:w="575" w:type="pct"/>
            <w:shd w:val="clear" w:color="auto" w:fill="auto"/>
          </w:tcPr>
          <w:p w:rsidR="00B8782D" w:rsidRDefault="00B8782D" w:rsidP="00750C8B">
            <w:pPr>
              <w:pStyle w:val="TableText"/>
            </w:pPr>
            <w:r>
              <w:t xml:space="preserve">Yes </w:t>
            </w:r>
            <w:r>
              <w:rPr>
                <w:noProof/>
              </w:rPr>
              <w:t>(Ma et al. 2014)</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Transmitted by budding and grafting, or by the bud mite </w:t>
            </w:r>
            <w:r>
              <w:rPr>
                <w:i/>
              </w:rPr>
              <w:t>Eriophyes inaequalis</w:t>
            </w:r>
            <w:r>
              <w:t xml:space="preserve">, which does not feed on fruit </w:t>
            </w:r>
            <w:r>
              <w:rPr>
                <w:noProof/>
              </w:rPr>
              <w:t>(Adaskaveg &amp; Caprile 2014)</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Cherry necrotic rusty mottle virus</w:t>
            </w:r>
          </w:p>
          <w:p w:rsidR="00B8782D" w:rsidRDefault="00B8782D">
            <w:pPr>
              <w:pStyle w:val="TableText"/>
            </w:pPr>
            <w:r>
              <w:t>[Betaflexiviridae: Not assigned]</w:t>
            </w:r>
          </w:p>
          <w:p w:rsidR="00B8782D" w:rsidRDefault="00B8782D">
            <w:pPr>
              <w:pStyle w:val="TableText"/>
            </w:pPr>
            <w:r>
              <w:t>CNRM</w:t>
            </w:r>
          </w:p>
        </w:tc>
        <w:tc>
          <w:tcPr>
            <w:tcW w:w="575" w:type="pct"/>
            <w:shd w:val="clear" w:color="auto" w:fill="auto"/>
          </w:tcPr>
          <w:p w:rsidR="00B8782D" w:rsidRDefault="00B8782D" w:rsidP="00750C8B">
            <w:pPr>
              <w:pStyle w:val="TableText"/>
            </w:pPr>
            <w:r>
              <w:t xml:space="preserve">Yes </w:t>
            </w:r>
            <w:r>
              <w:rPr>
                <w:noProof/>
              </w:rPr>
              <w:t>(Zhou et al. 2013)</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Affects </w:t>
            </w:r>
            <w:r>
              <w:rPr>
                <w:i/>
              </w:rPr>
              <w:t>P. persica</w:t>
            </w:r>
            <w:r>
              <w:t xml:space="preserve"> </w:t>
            </w:r>
            <w:r>
              <w:rPr>
                <w:noProof/>
              </w:rPr>
              <w:t>(Zhou et al. 2013)</w:t>
            </w:r>
            <w:r>
              <w:t xml:space="preserve">. Spread by grafting and budding </w:t>
            </w:r>
            <w:r>
              <w:rPr>
                <w:noProof/>
              </w:rPr>
              <w:t>(Rott &amp; Jelkmann 2011)</w:t>
            </w:r>
            <w:r>
              <w:t>.</w:t>
            </w:r>
          </w:p>
        </w:tc>
        <w:tc>
          <w:tcPr>
            <w:tcW w:w="717" w:type="pct"/>
            <w:shd w:val="clear" w:color="auto" w:fill="auto"/>
          </w:tcPr>
          <w:p w:rsidR="00B8782D" w:rsidRDefault="00B8782D">
            <w:pPr>
              <w:pStyle w:val="TableText"/>
            </w:pPr>
            <w:r>
              <w:t xml:space="preserve">Assessment not required </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Cherry rasp leaf virus</w:t>
            </w:r>
          </w:p>
          <w:p w:rsidR="00B8782D" w:rsidRDefault="00B8782D">
            <w:pPr>
              <w:pStyle w:val="TableText"/>
            </w:pPr>
            <w:r>
              <w:t>[Comoviridae: Nepovirus]</w:t>
            </w:r>
          </w:p>
          <w:p w:rsidR="00B8782D" w:rsidRDefault="00B8782D">
            <w:pPr>
              <w:pStyle w:val="TableText"/>
            </w:pPr>
            <w:r>
              <w:t>CRLV</w:t>
            </w:r>
          </w:p>
        </w:tc>
        <w:tc>
          <w:tcPr>
            <w:tcW w:w="575" w:type="pct"/>
            <w:shd w:val="clear" w:color="auto" w:fill="auto"/>
          </w:tcPr>
          <w:p w:rsidR="00B8782D" w:rsidRDefault="00B8782D" w:rsidP="00750C8B">
            <w:pPr>
              <w:pStyle w:val="TableText"/>
            </w:pPr>
            <w:r>
              <w:t xml:space="preserve">Yes </w:t>
            </w:r>
            <w:r>
              <w:rPr>
                <w:noProof/>
              </w:rPr>
              <w:t>(ICTVdB Management 2014)</w:t>
            </w:r>
          </w:p>
        </w:tc>
        <w:tc>
          <w:tcPr>
            <w:tcW w:w="615" w:type="pct"/>
            <w:shd w:val="clear" w:color="auto" w:fill="auto"/>
          </w:tcPr>
          <w:p w:rsidR="00B8782D" w:rsidRDefault="00B8782D" w:rsidP="00750C8B">
            <w:pPr>
              <w:pStyle w:val="TableText"/>
            </w:pPr>
            <w:r>
              <w:t xml:space="preserve">No. It was listed as present in Australia </w:t>
            </w:r>
            <w:r>
              <w:rPr>
                <w:noProof/>
              </w:rPr>
              <w:t>(ICTVdB Management 2002)</w:t>
            </w:r>
            <w:r>
              <w:t xml:space="preserve">. However these specimens are believed to be based on symptoms that may have been caused by other viruses </w:t>
            </w:r>
            <w:r>
              <w:rPr>
                <w:noProof/>
              </w:rPr>
              <w:t>(Büchen-Osmond et al. 1988)</w:t>
            </w:r>
            <w:r>
              <w:t>. There is doubt that this virus is correctly reported from Australia and the Australian Government Department of Agriculture and Water Resources considers it absent.</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(CABI 2015)</w:t>
            </w:r>
            <w:r>
              <w:t xml:space="preserve">. While it can be isolated from the sap of trees, there is no report that it has been isolated from fruit. Transmitted only by its nematode vector or by mechanical inoculation </w:t>
            </w:r>
            <w:r>
              <w:rPr>
                <w:noProof/>
              </w:rPr>
              <w:t>(CABI &amp; EPPO 1997c)</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Cherry virus A</w:t>
            </w:r>
          </w:p>
          <w:p w:rsidR="00B8782D" w:rsidRDefault="00B8782D">
            <w:pPr>
              <w:pStyle w:val="TableText"/>
            </w:pPr>
            <w:r>
              <w:t>[Flexiviridae: Capillovirus]</w:t>
            </w:r>
          </w:p>
          <w:p w:rsidR="00B8782D" w:rsidRDefault="00B8782D">
            <w:pPr>
              <w:pStyle w:val="TableText"/>
            </w:pPr>
            <w:r>
              <w:t>CVA</w:t>
            </w:r>
          </w:p>
        </w:tc>
        <w:tc>
          <w:tcPr>
            <w:tcW w:w="575" w:type="pct"/>
            <w:shd w:val="clear" w:color="auto" w:fill="auto"/>
          </w:tcPr>
          <w:p w:rsidR="00B8782D" w:rsidRDefault="00B8782D" w:rsidP="00750C8B">
            <w:pPr>
              <w:pStyle w:val="TableText"/>
            </w:pPr>
            <w:r>
              <w:t xml:space="preserve">Yes </w:t>
            </w:r>
            <w:r>
              <w:rPr>
                <w:noProof/>
              </w:rPr>
              <w:t>(Rao, Zhang &amp; Li 2009)</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Affects </w:t>
            </w:r>
            <w:r>
              <w:rPr>
                <w:i/>
              </w:rPr>
              <w:t>P. persica</w:t>
            </w:r>
            <w:r>
              <w:t xml:space="preserve"> </w:t>
            </w:r>
            <w:r>
              <w:rPr>
                <w:noProof/>
              </w:rPr>
              <w:t>(Barone &amp; Alioto 2006; Svanella-Dumas et al. 2005)</w:t>
            </w:r>
            <w:r>
              <w:t xml:space="preserve"> and is graft-transmissible </w:t>
            </w:r>
            <w:r>
              <w:rPr>
                <w:noProof/>
              </w:rPr>
              <w:t>(Brunt et al. 1996; Svanella-Dumas et al. 2005)</w:t>
            </w:r>
            <w:r>
              <w:t>. No report of an association with mature nectarine or peach fruit was found.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Cucumber mosaic virus</w:t>
            </w:r>
          </w:p>
          <w:p w:rsidR="00B8782D" w:rsidRDefault="00B8782D">
            <w:pPr>
              <w:pStyle w:val="TableText"/>
            </w:pPr>
            <w:r>
              <w:t>[Bromoviridae: Fabavirus]</w:t>
            </w:r>
          </w:p>
        </w:tc>
        <w:tc>
          <w:tcPr>
            <w:tcW w:w="575" w:type="pct"/>
            <w:shd w:val="clear" w:color="auto" w:fill="auto"/>
          </w:tcPr>
          <w:p w:rsidR="00B8782D" w:rsidRDefault="00B8782D" w:rsidP="00750C8B">
            <w:pPr>
              <w:pStyle w:val="TableText"/>
            </w:pPr>
            <w:r>
              <w:t xml:space="preserve">Yes </w:t>
            </w:r>
            <w:r>
              <w:rPr>
                <w:noProof/>
              </w:rPr>
              <w:t>(CABI &amp; EPPO 2002; Tan, Li &amp; Du 2010)</w:t>
            </w:r>
          </w:p>
        </w:tc>
        <w:tc>
          <w:tcPr>
            <w:tcW w:w="615" w:type="pct"/>
            <w:shd w:val="clear" w:color="auto" w:fill="auto"/>
          </w:tcPr>
          <w:p w:rsidR="00B8782D" w:rsidRDefault="00B8782D" w:rsidP="00750C8B">
            <w:pPr>
              <w:pStyle w:val="TableText"/>
            </w:pPr>
            <w:r>
              <w:t xml:space="preserve">Yes. NSW, Qld, SA, Tas., Vic., WA </w:t>
            </w:r>
            <w:r>
              <w:rPr>
                <w:noProof/>
              </w:rPr>
              <w:t>(CABI &amp; EPPO 2002)</w:t>
            </w:r>
          </w:p>
        </w:tc>
        <w:tc>
          <w:tcPr>
            <w:tcW w:w="716" w:type="pct"/>
            <w:shd w:val="clear" w:color="auto" w:fill="auto"/>
          </w:tcPr>
          <w:p w:rsidR="00B8782D" w:rsidRDefault="00B8782D">
            <w:pPr>
              <w:pStyle w:val="TableText"/>
            </w:pPr>
            <w:r>
              <w:t xml:space="preserve">Assessment not required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Little cherry virus</w:t>
            </w:r>
          </w:p>
          <w:p w:rsidR="00B8782D" w:rsidRDefault="00B8782D">
            <w:pPr>
              <w:pStyle w:val="TableText"/>
            </w:pPr>
            <w:r>
              <w:t>[Closteroviridae: Closterovirus]</w:t>
            </w:r>
          </w:p>
          <w:p w:rsidR="00B8782D" w:rsidRDefault="00B8782D">
            <w:pPr>
              <w:pStyle w:val="TableText"/>
            </w:pPr>
            <w:r>
              <w:t>LChV1, LChV2</w:t>
            </w:r>
          </w:p>
        </w:tc>
        <w:tc>
          <w:tcPr>
            <w:tcW w:w="575" w:type="pct"/>
            <w:shd w:val="clear" w:color="auto" w:fill="auto"/>
          </w:tcPr>
          <w:p w:rsidR="00B8782D" w:rsidRDefault="00B8782D" w:rsidP="00750C8B">
            <w:pPr>
              <w:pStyle w:val="TableText"/>
            </w:pPr>
            <w:r>
              <w:t xml:space="preserve">Yes </w:t>
            </w:r>
            <w:r>
              <w:rPr>
                <w:noProof/>
              </w:rPr>
              <w:t>(AQSIQ 2006d, c)</w:t>
            </w:r>
          </w:p>
        </w:tc>
        <w:tc>
          <w:tcPr>
            <w:tcW w:w="615" w:type="pct"/>
            <w:shd w:val="clear" w:color="auto" w:fill="auto"/>
          </w:tcPr>
          <w:p w:rsidR="00B8782D" w:rsidRDefault="00B8782D">
            <w:pPr>
              <w:pStyle w:val="TableText"/>
            </w:pPr>
            <w:r>
              <w:t xml:space="preserve">No. </w:t>
            </w:r>
          </w:p>
          <w:p w:rsidR="00B8782D" w:rsidRDefault="00B8782D" w:rsidP="00750C8B">
            <w:pPr>
              <w:pStyle w:val="TableText"/>
            </w:pPr>
            <w:r>
              <w:rPr>
                <w:i/>
              </w:rPr>
              <w:t>Little cherry virus 2</w:t>
            </w:r>
            <w:r>
              <w:t xml:space="preserve"> is present in NSW, Tas., Vic. </w:t>
            </w:r>
            <w:r>
              <w:rPr>
                <w:noProof/>
              </w:rPr>
              <w:t>(IPPC 2015)</w:t>
            </w:r>
            <w:r>
              <w:t xml:space="preserve">. However, </w:t>
            </w:r>
            <w:r>
              <w:rPr>
                <w:i/>
              </w:rPr>
              <w:t>little cherry virus 1</w:t>
            </w:r>
            <w:r>
              <w:t xml:space="preserve"> has not been reported in Australia.</w:t>
            </w:r>
          </w:p>
        </w:tc>
        <w:tc>
          <w:tcPr>
            <w:tcW w:w="716" w:type="pct"/>
            <w:shd w:val="clear" w:color="auto" w:fill="auto"/>
          </w:tcPr>
          <w:p w:rsidR="00B8782D" w:rsidRDefault="00B8782D" w:rsidP="00750C8B">
            <w:pPr>
              <w:pStyle w:val="TableText"/>
            </w:pPr>
            <w:r>
              <w:t xml:space="preserve">No. Associated with </w:t>
            </w:r>
            <w:r>
              <w:rPr>
                <w:i/>
              </w:rPr>
              <w:t>P. persica</w:t>
            </w:r>
            <w:r>
              <w:t xml:space="preserve"> </w:t>
            </w:r>
            <w:r>
              <w:rPr>
                <w:noProof/>
              </w:rPr>
              <w:t>(CABI 2015)</w:t>
            </w:r>
            <w:r>
              <w:t xml:space="preserve">. </w:t>
            </w:r>
            <w:r>
              <w:rPr>
                <w:i/>
              </w:rPr>
              <w:t>Little cherry virus</w:t>
            </w:r>
            <w:r>
              <w:t xml:space="preserve"> is transmitted by budding and grafting </w:t>
            </w:r>
            <w:r>
              <w:rPr>
                <w:noProof/>
              </w:rPr>
              <w:t>(CABI 2015; Diekmann &amp; Putter 1996)</w:t>
            </w:r>
            <w:r>
              <w:t xml:space="preserve"> and is also spread from tree to tree by the apple mealy bug </w:t>
            </w:r>
            <w:r>
              <w:rPr>
                <w:i/>
              </w:rPr>
              <w:t>Phenacoccus aceris</w:t>
            </w:r>
            <w:r>
              <w:t xml:space="preserve"> </w:t>
            </w:r>
            <w:r>
              <w:rPr>
                <w:noProof/>
              </w:rPr>
              <w:t>(MAL 2006; Raine, McMullen &amp; Forbes 1986)</w:t>
            </w:r>
            <w:r>
              <w:t xml:space="preserve">. There are no reports that </w:t>
            </w:r>
            <w:r>
              <w:rPr>
                <w:i/>
              </w:rPr>
              <w:t>little cherry viruses</w:t>
            </w:r>
            <w:r>
              <w:t xml:space="preserve"> have been isolated from nectarine or peach fruit.</w:t>
            </w:r>
          </w:p>
        </w:tc>
        <w:tc>
          <w:tcPr>
            <w:tcW w:w="717" w:type="pct"/>
            <w:shd w:val="clear" w:color="auto" w:fill="auto"/>
          </w:tcPr>
          <w:p w:rsidR="00B8782D" w:rsidRDefault="00B8782D">
            <w:pPr>
              <w:pStyle w:val="TableText"/>
            </w:pPr>
            <w:r>
              <w:t xml:space="preserve">Assessment not required </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Plum bark necrosis stem pitting</w:t>
            </w:r>
            <w:r>
              <w:t>-</w:t>
            </w:r>
            <w:r>
              <w:rPr>
                <w:i/>
              </w:rPr>
              <w:t>associated virus</w:t>
            </w:r>
          </w:p>
          <w:p w:rsidR="00B8782D" w:rsidRDefault="00B8782D">
            <w:pPr>
              <w:pStyle w:val="TableText"/>
            </w:pPr>
            <w:r>
              <w:t>[Closteroviridae: Ampelovirus]</w:t>
            </w:r>
          </w:p>
          <w:p w:rsidR="00B8782D" w:rsidRDefault="00B8782D">
            <w:pPr>
              <w:pStyle w:val="TableText"/>
            </w:pPr>
            <w:r>
              <w:t>PBNSP</w:t>
            </w:r>
          </w:p>
        </w:tc>
        <w:tc>
          <w:tcPr>
            <w:tcW w:w="575" w:type="pct"/>
            <w:shd w:val="clear" w:color="auto" w:fill="auto"/>
          </w:tcPr>
          <w:p w:rsidR="00B8782D" w:rsidRDefault="00B8782D" w:rsidP="00750C8B">
            <w:pPr>
              <w:pStyle w:val="TableText"/>
            </w:pPr>
            <w:r>
              <w:t xml:space="preserve">Yes </w:t>
            </w:r>
            <w:r>
              <w:rPr>
                <w:noProof/>
              </w:rPr>
              <w:t>(Cui et al. 2011)</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No. PBNSP causes trunk gummosis and/or stem pitting in </w:t>
            </w:r>
            <w:r>
              <w:rPr>
                <w:i/>
              </w:rPr>
              <w:t>P. persica</w:t>
            </w:r>
            <w:r>
              <w:t xml:space="preserve"> </w:t>
            </w:r>
            <w:r>
              <w:rPr>
                <w:noProof/>
              </w:rPr>
              <w:t>(Cui et al. 2011)</w:t>
            </w:r>
            <w:r>
              <w:t xml:space="preserve">. It is not known to be transmitted by seeds. Infected propagated material is considered the primary source of infection </w:t>
            </w:r>
            <w:r>
              <w:rPr>
                <w:noProof/>
              </w:rPr>
              <w:t>(Boscia, Myrta &amp; Uyemoto 2011)</w:t>
            </w:r>
            <w:r>
              <w:t>.</w:t>
            </w:r>
          </w:p>
        </w:tc>
        <w:tc>
          <w:tcPr>
            <w:tcW w:w="717" w:type="pct"/>
            <w:shd w:val="clear" w:color="auto" w:fill="auto"/>
          </w:tcPr>
          <w:p w:rsidR="00B8782D" w:rsidRDefault="00B8782D">
            <w:pPr>
              <w:pStyle w:val="TableText"/>
            </w:pPr>
            <w:r>
              <w:t xml:space="preserve">Assessment not required </w:t>
            </w:r>
          </w:p>
        </w:tc>
        <w:tc>
          <w:tcPr>
            <w:tcW w:w="716" w:type="pct"/>
            <w:shd w:val="clear" w:color="auto" w:fill="auto"/>
          </w:tcPr>
          <w:p w:rsidR="00B8782D" w:rsidRDefault="00B8782D">
            <w:pPr>
              <w:pStyle w:val="TableText"/>
            </w:pPr>
            <w:r>
              <w:t xml:space="preserve">Assessment not required </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Plum pox virus</w:t>
            </w:r>
          </w:p>
          <w:p w:rsidR="00B8782D" w:rsidRDefault="00B8782D">
            <w:pPr>
              <w:pStyle w:val="TableText"/>
            </w:pPr>
            <w:r>
              <w:t>[Potyviridae: Virus]</w:t>
            </w:r>
          </w:p>
          <w:p w:rsidR="00B8782D" w:rsidRDefault="00B8782D">
            <w:pPr>
              <w:pStyle w:val="TableText"/>
            </w:pPr>
            <w:r>
              <w:t>PPV</w:t>
            </w:r>
          </w:p>
        </w:tc>
        <w:tc>
          <w:tcPr>
            <w:tcW w:w="575" w:type="pct"/>
            <w:shd w:val="clear" w:color="auto" w:fill="auto"/>
          </w:tcPr>
          <w:p w:rsidR="00B8782D" w:rsidRDefault="00B8782D" w:rsidP="00750C8B">
            <w:pPr>
              <w:pStyle w:val="TableText"/>
            </w:pPr>
            <w:r>
              <w:t xml:space="preserve">Yes </w:t>
            </w:r>
            <w:r>
              <w:rPr>
                <w:noProof/>
              </w:rPr>
              <w:t>(Navratil et al. 2005)</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750C8B">
            <w:pPr>
              <w:pStyle w:val="TableText"/>
            </w:pPr>
            <w:r>
              <w:t xml:space="preserve">Yes. Infects </w:t>
            </w:r>
            <w:r>
              <w:rPr>
                <w:i/>
              </w:rPr>
              <w:t>P. persica</w:t>
            </w:r>
            <w:r>
              <w:t xml:space="preserve"> </w:t>
            </w:r>
            <w:r>
              <w:rPr>
                <w:noProof/>
              </w:rPr>
              <w:t>(Adams 1995)</w:t>
            </w:r>
            <w:r>
              <w:t xml:space="preserve">. PPV can be isolated from fruit and seed. There have been reports of aphids being able to transmit the virus from infected fruit </w:t>
            </w:r>
            <w:r>
              <w:rPr>
                <w:noProof/>
              </w:rPr>
              <w:t>(Gildow et al. 2004)</w:t>
            </w:r>
            <w:r>
              <w:t xml:space="preserve">. Important method of spread is via diseased plant material </w:t>
            </w:r>
            <w:r>
              <w:rPr>
                <w:noProof/>
              </w:rPr>
              <w:t>(Adams 1995)</w:t>
            </w:r>
            <w:r>
              <w:t xml:space="preserve">. </w:t>
            </w:r>
          </w:p>
        </w:tc>
        <w:tc>
          <w:tcPr>
            <w:tcW w:w="717" w:type="pct"/>
            <w:shd w:val="clear" w:color="auto" w:fill="auto"/>
          </w:tcPr>
          <w:p w:rsidR="00B8782D" w:rsidRDefault="00B8782D" w:rsidP="00750C8B">
            <w:pPr>
              <w:pStyle w:val="TableText"/>
            </w:pPr>
            <w:r>
              <w:t xml:space="preserve">Yes. Considerable spread can occur from new disease foci before infections are recognised </w:t>
            </w:r>
            <w:r>
              <w:rPr>
                <w:noProof/>
              </w:rPr>
              <w:t>(Adams 1995)</w:t>
            </w:r>
            <w:r>
              <w:t xml:space="preserve">. </w:t>
            </w:r>
            <w:r>
              <w:rPr>
                <w:i/>
              </w:rPr>
              <w:t>Plum pox virus</w:t>
            </w:r>
            <w:r>
              <w:t xml:space="preserve"> is extremely difficult to eradicate once established. Affects all </w:t>
            </w:r>
            <w:r>
              <w:rPr>
                <w:i/>
              </w:rPr>
              <w:t>Prunus</w:t>
            </w:r>
            <w:r>
              <w:t xml:space="preserve"> spp. in a variety of environments similar to Australia. The virus is transmitted by grafting. It is also transmitted non-persistently by two main aphid vectors </w:t>
            </w:r>
            <w:r>
              <w:rPr>
                <w:i/>
              </w:rPr>
              <w:t>Aphis spiraecola</w:t>
            </w:r>
            <w:r>
              <w:t xml:space="preserve"> and </w:t>
            </w:r>
            <w:r>
              <w:rPr>
                <w:i/>
              </w:rPr>
              <w:t>Myzus persicae</w:t>
            </w:r>
            <w:r>
              <w:t xml:space="preserve">. Other aphids able to transmit the virus are: </w:t>
            </w:r>
            <w:r>
              <w:rPr>
                <w:i/>
              </w:rPr>
              <w:t>Aphis craccivora</w:t>
            </w:r>
            <w:r>
              <w:t xml:space="preserve">, </w:t>
            </w:r>
            <w:r>
              <w:rPr>
                <w:i/>
              </w:rPr>
              <w:t>A. fabae</w:t>
            </w:r>
            <w:r>
              <w:t xml:space="preserve">, </w:t>
            </w:r>
            <w:r>
              <w:rPr>
                <w:i/>
              </w:rPr>
              <w:t>Brachycaudus cardui</w:t>
            </w:r>
            <w:r>
              <w:t xml:space="preserve">, </w:t>
            </w:r>
            <w:r>
              <w:rPr>
                <w:i/>
              </w:rPr>
              <w:t>B. helychrysi</w:t>
            </w:r>
            <w:r>
              <w:t xml:space="preserve">, </w:t>
            </w:r>
            <w:r>
              <w:rPr>
                <w:i/>
              </w:rPr>
              <w:t>B.</w:t>
            </w:r>
            <w:r>
              <w:t> </w:t>
            </w:r>
            <w:r>
              <w:rPr>
                <w:i/>
              </w:rPr>
              <w:t>persicae</w:t>
            </w:r>
            <w:r>
              <w:t xml:space="preserve">, </w:t>
            </w:r>
            <w:r>
              <w:rPr>
                <w:i/>
              </w:rPr>
              <w:t>Hyalopterus prun</w:t>
            </w:r>
            <w:r>
              <w:t xml:space="preserve">i, </w:t>
            </w:r>
            <w:r>
              <w:rPr>
                <w:i/>
              </w:rPr>
              <w:t>Myzus varians</w:t>
            </w:r>
            <w:r>
              <w:t xml:space="preserve">, </w:t>
            </w:r>
            <w:r>
              <w:rPr>
                <w:i/>
              </w:rPr>
              <w:t>Phorodon humuli</w:t>
            </w:r>
            <w:r>
              <w:t xml:space="preserve"> </w:t>
            </w:r>
            <w:r>
              <w:rPr>
                <w:noProof/>
              </w:rPr>
              <w:t>(CABI &amp; EPPO 2007; Gildow et al. 2004)</w:t>
            </w:r>
            <w:r>
              <w:t xml:space="preserve">, </w:t>
            </w:r>
            <w:r>
              <w:rPr>
                <w:i/>
              </w:rPr>
              <w:t>A. gossypi</w:t>
            </w:r>
            <w:r>
              <w:t xml:space="preserve">i, </w:t>
            </w:r>
            <w:r>
              <w:rPr>
                <w:i/>
              </w:rPr>
              <w:t>Rhopalosiphum padi</w:t>
            </w:r>
            <w:r>
              <w:t xml:space="preserve"> and </w:t>
            </w:r>
            <w:r>
              <w:rPr>
                <w:i/>
              </w:rPr>
              <w:t>A. hederae</w:t>
            </w:r>
            <w:r>
              <w:t xml:space="preserve"> </w:t>
            </w:r>
            <w:r>
              <w:rPr>
                <w:noProof/>
              </w:rPr>
              <w:t>(Labonne et al. 1995)</w:t>
            </w:r>
            <w:r>
              <w:t xml:space="preserve">. </w:t>
            </w:r>
          </w:p>
        </w:tc>
        <w:tc>
          <w:tcPr>
            <w:tcW w:w="716" w:type="pct"/>
            <w:shd w:val="clear" w:color="auto" w:fill="auto"/>
          </w:tcPr>
          <w:p w:rsidR="00B8782D" w:rsidRDefault="00B8782D">
            <w:pPr>
              <w:pStyle w:val="TableText"/>
            </w:pPr>
            <w:r>
              <w:t xml:space="preserve">Yes. Plum pox arrival in Australia would see the loss of overseas and potentially new markets. PPV reduces the value and marketability of many apricot and some other </w:t>
            </w:r>
            <w:r>
              <w:rPr>
                <w:i/>
              </w:rPr>
              <w:t>Prunus</w:t>
            </w:r>
            <w:r>
              <w:t xml:space="preserve"> spp. cultivars that have been naturally infected. Some are latently infected and act as a reservoir for continued infection cycles. There is a high cost in living with PPV through testing, eradication, and breeding resistant cultivars such as in Europe and USA.</w:t>
            </w:r>
          </w:p>
        </w:tc>
        <w:tc>
          <w:tcPr>
            <w:tcW w:w="574" w:type="pct"/>
            <w:shd w:val="clear" w:color="auto" w:fill="auto"/>
          </w:tcPr>
          <w:p w:rsidR="00B8782D" w:rsidRDefault="00B8782D">
            <w:pPr>
              <w:pStyle w:val="TableText"/>
            </w:pPr>
            <w:r>
              <w:t>Yes (EP)</w:t>
            </w:r>
          </w:p>
        </w:tc>
      </w:tr>
      <w:tr w:rsidR="00B8782D">
        <w:trPr>
          <w:cantSplit/>
          <w:jc w:val="center"/>
        </w:trPr>
        <w:tc>
          <w:tcPr>
            <w:tcW w:w="1087" w:type="pct"/>
            <w:shd w:val="clear" w:color="auto" w:fill="auto"/>
          </w:tcPr>
          <w:p w:rsidR="00B8782D" w:rsidRDefault="00B8782D">
            <w:pPr>
              <w:pStyle w:val="TableText"/>
            </w:pPr>
            <w:r>
              <w:rPr>
                <w:i/>
              </w:rPr>
              <w:lastRenderedPageBreak/>
              <w:t>Prune dwarf virus</w:t>
            </w:r>
          </w:p>
          <w:p w:rsidR="00B8782D" w:rsidRDefault="00B8782D">
            <w:pPr>
              <w:pStyle w:val="TableText"/>
            </w:pPr>
            <w:r>
              <w:t xml:space="preserve">Synonyms: </w:t>
            </w:r>
            <w:r>
              <w:rPr>
                <w:i/>
              </w:rPr>
              <w:t>Prune dwarf ilarvirus</w:t>
            </w:r>
            <w:r>
              <w:t xml:space="preserve">, </w:t>
            </w:r>
            <w:r>
              <w:rPr>
                <w:i/>
              </w:rPr>
              <w:t>cherry chlorotic ringspot virus</w:t>
            </w:r>
            <w:r>
              <w:t xml:space="preserve">, </w:t>
            </w:r>
            <w:r>
              <w:rPr>
                <w:i/>
              </w:rPr>
              <w:t>peach stunt virus</w:t>
            </w:r>
            <w:r>
              <w:t xml:space="preserve">, </w:t>
            </w:r>
            <w:r>
              <w:rPr>
                <w:i/>
              </w:rPr>
              <w:t>sour cherry yellows virus</w:t>
            </w:r>
          </w:p>
          <w:p w:rsidR="00B8782D" w:rsidRDefault="00B8782D">
            <w:pPr>
              <w:pStyle w:val="TableText"/>
            </w:pPr>
            <w:r>
              <w:t>[Bromoviridae: Ilarvirus]</w:t>
            </w:r>
          </w:p>
          <w:p w:rsidR="00B8782D" w:rsidRDefault="00B8782D">
            <w:pPr>
              <w:pStyle w:val="TableText"/>
            </w:pPr>
            <w:r>
              <w:t>Prune dwarf</w:t>
            </w:r>
          </w:p>
        </w:tc>
        <w:tc>
          <w:tcPr>
            <w:tcW w:w="575" w:type="pct"/>
            <w:shd w:val="clear" w:color="auto" w:fill="auto"/>
          </w:tcPr>
          <w:p w:rsidR="00B8782D" w:rsidRDefault="00B8782D" w:rsidP="00750C8B">
            <w:pPr>
              <w:pStyle w:val="TableText"/>
            </w:pPr>
            <w:r>
              <w:t xml:space="preserve">Yes </w:t>
            </w:r>
            <w:r>
              <w:rPr>
                <w:noProof/>
              </w:rPr>
              <w:t>(Zhou et al. 1996)</w:t>
            </w:r>
          </w:p>
        </w:tc>
        <w:tc>
          <w:tcPr>
            <w:tcW w:w="615" w:type="pct"/>
            <w:shd w:val="clear" w:color="auto" w:fill="auto"/>
          </w:tcPr>
          <w:p w:rsidR="00B8782D" w:rsidRDefault="00B8782D" w:rsidP="00750C8B">
            <w:pPr>
              <w:pStyle w:val="TableText"/>
            </w:pPr>
            <w:r>
              <w:t xml:space="preserve">Yes. NSW, SA, Tas., Vic., WA </w:t>
            </w:r>
            <w:r>
              <w:rPr>
                <w:noProof/>
              </w:rPr>
              <w:t>(ICTVdB Management 2002; Johnstone et al. 1995; McLean &amp; Price 1984; Smith, Stubbs &amp; Challen 1977)</w:t>
            </w:r>
          </w:p>
        </w:tc>
        <w:tc>
          <w:tcPr>
            <w:tcW w:w="716" w:type="pct"/>
            <w:shd w:val="clear" w:color="auto" w:fill="auto"/>
          </w:tcPr>
          <w:p w:rsidR="00B8782D" w:rsidRDefault="00B8782D">
            <w:pPr>
              <w:pStyle w:val="TableText"/>
            </w:pPr>
            <w:r>
              <w:t>Assessment not required</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Prunus necrotic ringspot virus</w:t>
            </w:r>
          </w:p>
          <w:p w:rsidR="00B8782D" w:rsidRDefault="00B8782D">
            <w:pPr>
              <w:pStyle w:val="TableText"/>
            </w:pPr>
            <w:r>
              <w:t xml:space="preserve">Synonyms: </w:t>
            </w:r>
            <w:r>
              <w:rPr>
                <w:i/>
              </w:rPr>
              <w:t>European plum line</w:t>
            </w:r>
            <w:r>
              <w:t xml:space="preserve"> </w:t>
            </w:r>
            <w:r>
              <w:rPr>
                <w:i/>
              </w:rPr>
              <w:t>pattern virus</w:t>
            </w:r>
            <w:r>
              <w:t xml:space="preserve">, </w:t>
            </w:r>
            <w:r>
              <w:rPr>
                <w:i/>
              </w:rPr>
              <w:t>Hop B virus</w:t>
            </w:r>
            <w:r>
              <w:t xml:space="preserve">, </w:t>
            </w:r>
            <w:r>
              <w:rPr>
                <w:i/>
              </w:rPr>
              <w:t>Hop C virus</w:t>
            </w:r>
            <w:r>
              <w:t xml:space="preserve">, </w:t>
            </w:r>
            <w:r>
              <w:rPr>
                <w:i/>
              </w:rPr>
              <w:t>Peach ringspot virus</w:t>
            </w:r>
            <w:r>
              <w:t xml:space="preserve">, </w:t>
            </w:r>
            <w:r>
              <w:rPr>
                <w:i/>
              </w:rPr>
              <w:t>Plum line pattern virus</w:t>
            </w:r>
            <w:r>
              <w:t xml:space="preserve">, </w:t>
            </w:r>
            <w:r>
              <w:rPr>
                <w:i/>
              </w:rPr>
              <w:t>Prunus ringspot virus</w:t>
            </w:r>
          </w:p>
          <w:p w:rsidR="00B8782D" w:rsidRDefault="00B8782D">
            <w:pPr>
              <w:pStyle w:val="TableText"/>
            </w:pPr>
            <w:r>
              <w:t>[Bromoviridae: Ilarvirus]</w:t>
            </w:r>
          </w:p>
          <w:p w:rsidR="00B8782D" w:rsidRDefault="00B8782D">
            <w:pPr>
              <w:pStyle w:val="TableText"/>
            </w:pPr>
            <w:r>
              <w:t>PNRSV</w:t>
            </w:r>
          </w:p>
        </w:tc>
        <w:tc>
          <w:tcPr>
            <w:tcW w:w="575" w:type="pct"/>
            <w:shd w:val="clear" w:color="auto" w:fill="auto"/>
          </w:tcPr>
          <w:p w:rsidR="00B8782D" w:rsidRDefault="00B8782D" w:rsidP="00750C8B">
            <w:pPr>
              <w:pStyle w:val="TableText"/>
            </w:pPr>
            <w:r>
              <w:t xml:space="preserve">Yes </w:t>
            </w:r>
            <w:r>
              <w:rPr>
                <w:noProof/>
              </w:rPr>
              <w:t>(Kulshrestha et al. 2005; Zhou et al. 1996)</w:t>
            </w:r>
          </w:p>
        </w:tc>
        <w:tc>
          <w:tcPr>
            <w:tcW w:w="615" w:type="pct"/>
            <w:shd w:val="clear" w:color="auto" w:fill="auto"/>
          </w:tcPr>
          <w:p w:rsidR="00B8782D" w:rsidRDefault="00B8782D" w:rsidP="00750C8B">
            <w:pPr>
              <w:pStyle w:val="TableText"/>
            </w:pPr>
            <w:r>
              <w:t xml:space="preserve">Yes. NSW, Qld, SA, Tas., Vic., WA </w:t>
            </w:r>
            <w:r>
              <w:rPr>
                <w:noProof/>
              </w:rPr>
              <w:t>(CABI 2015; Cook &amp; Dubé 1989; McLean &amp; Price 1984; Munro 1987; Smith, Stubbs &amp; Challen 1977)</w:t>
            </w:r>
            <w:r>
              <w:t xml:space="preserve">. There are recognised strains of this virus </w:t>
            </w:r>
            <w:r>
              <w:rPr>
                <w:noProof/>
              </w:rPr>
              <w:t>(Brunt et al. 1996)</w:t>
            </w:r>
            <w:r>
              <w:t xml:space="preserve">. An unlisted organism (section 14) under the Western Australian BAM Act 2007 </w:t>
            </w:r>
            <w:r>
              <w:rPr>
                <w:noProof/>
              </w:rPr>
              <w:t>(Government of Western Australia 2014)</w:t>
            </w:r>
            <w:r>
              <w:t xml:space="preserve">. </w:t>
            </w:r>
          </w:p>
        </w:tc>
        <w:tc>
          <w:tcPr>
            <w:tcW w:w="716" w:type="pct"/>
            <w:shd w:val="clear" w:color="auto" w:fill="auto"/>
          </w:tcPr>
          <w:p w:rsidR="00B8782D" w:rsidRDefault="00B8782D">
            <w:pPr>
              <w:pStyle w:val="TableText"/>
            </w:pPr>
            <w:r>
              <w:t xml:space="preserve">Assessment not required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 xml:space="preserve">Tobacco necrosis viruses </w:t>
            </w:r>
            <w:r>
              <w:t>(</w:t>
            </w:r>
            <w:r>
              <w:rPr>
                <w:i/>
              </w:rPr>
              <w:t>Tobacco necrosis virus A</w:t>
            </w:r>
            <w:r>
              <w:t xml:space="preserve">, </w:t>
            </w:r>
            <w:r>
              <w:rPr>
                <w:i/>
              </w:rPr>
              <w:t>Tobacco necrosis virus D</w:t>
            </w:r>
            <w:r>
              <w:t>)</w:t>
            </w:r>
          </w:p>
          <w:p w:rsidR="00B8782D" w:rsidRDefault="00B8782D">
            <w:pPr>
              <w:pStyle w:val="TableText"/>
            </w:pPr>
            <w:r>
              <w:t>[Tombusviridae: Necrovirus]</w:t>
            </w:r>
          </w:p>
          <w:p w:rsidR="00B8782D" w:rsidRDefault="00B8782D">
            <w:pPr>
              <w:pStyle w:val="TableText"/>
            </w:pPr>
            <w:r>
              <w:t>TNV</w:t>
            </w:r>
          </w:p>
        </w:tc>
        <w:tc>
          <w:tcPr>
            <w:tcW w:w="575" w:type="pct"/>
            <w:shd w:val="clear" w:color="auto" w:fill="auto"/>
          </w:tcPr>
          <w:p w:rsidR="00B8782D" w:rsidRDefault="00B8782D" w:rsidP="00750C8B">
            <w:pPr>
              <w:pStyle w:val="TableText"/>
            </w:pPr>
            <w:r>
              <w:t xml:space="preserve">Yes </w:t>
            </w:r>
            <w:r>
              <w:rPr>
                <w:noProof/>
              </w:rPr>
              <w:t>(Huang et al. 1984; Xi et al. 2008)</w:t>
            </w:r>
          </w:p>
        </w:tc>
        <w:tc>
          <w:tcPr>
            <w:tcW w:w="615" w:type="pct"/>
            <w:shd w:val="clear" w:color="auto" w:fill="auto"/>
          </w:tcPr>
          <w:p w:rsidR="00B8782D" w:rsidRDefault="00B8782D" w:rsidP="00E048C1">
            <w:pPr>
              <w:pStyle w:val="TableText"/>
            </w:pPr>
            <w:r>
              <w:t xml:space="preserve">Yes. Vic., Qld </w:t>
            </w:r>
            <w:r>
              <w:rPr>
                <w:noProof/>
              </w:rPr>
              <w:t>(Finlay &amp; Teakle 1969; Teakle 1988)</w:t>
            </w:r>
            <w:r>
              <w:t xml:space="preserve">. Not a regulated pest for Tas. </w:t>
            </w:r>
            <w:r>
              <w:rPr>
                <w:noProof/>
              </w:rPr>
              <w:t>(DPIPWE 2013)</w:t>
            </w:r>
            <w:r>
              <w:t xml:space="preserve">. </w:t>
            </w:r>
            <w:r>
              <w:rPr>
                <w:i/>
              </w:rPr>
              <w:t xml:space="preserve">Tobacco necrosis virus A </w:t>
            </w:r>
            <w:r>
              <w:t xml:space="preserve">listed as a declared organism (Prohibited (section 12)) and </w:t>
            </w:r>
            <w:r>
              <w:rPr>
                <w:i/>
              </w:rPr>
              <w:t xml:space="preserve">Tobacco necrosis virus D </w:t>
            </w:r>
            <w:r>
              <w:t>is an unlisted organism under the Western Australia BAM Act 2007</w:t>
            </w:r>
            <w:r>
              <w:rPr>
                <w:noProof/>
              </w:rPr>
              <w:t>(Government of Western Australia 2014)</w:t>
            </w:r>
            <w:r>
              <w:t xml:space="preserve">. However, </w:t>
            </w:r>
            <w:r>
              <w:rPr>
                <w:i/>
              </w:rPr>
              <w:t>Tobacco necrosis viruses</w:t>
            </w:r>
            <w:r>
              <w:t xml:space="preserve"> were not regulated in WA’s policy for summerfruit from eastern Australian states to WA </w:t>
            </w:r>
            <w:r>
              <w:rPr>
                <w:noProof/>
              </w:rPr>
              <w:t>(Poole et al. 2011)</w:t>
            </w:r>
            <w:r>
              <w:t xml:space="preserve">. </w:t>
            </w:r>
          </w:p>
        </w:tc>
        <w:tc>
          <w:tcPr>
            <w:tcW w:w="716" w:type="pct"/>
            <w:shd w:val="clear" w:color="auto" w:fill="auto"/>
          </w:tcPr>
          <w:p w:rsidR="00B8782D" w:rsidRDefault="00B8782D" w:rsidP="00750C8B">
            <w:pPr>
              <w:pStyle w:val="TableText"/>
            </w:pPr>
            <w:r>
              <w:t xml:space="preserve">Yes. Rarely associated with peach and symptomless in fruit trees </w:t>
            </w:r>
            <w:r>
              <w:rPr>
                <w:noProof/>
              </w:rPr>
              <w:t>(NCPN-FT 2014)</w:t>
            </w:r>
            <w:r>
              <w:t>. Virus particles released from plant debris and acquired in soil by zoospores of chytrid fungi (</w:t>
            </w:r>
            <w:r>
              <w:rPr>
                <w:i/>
              </w:rPr>
              <w:t>Olpidium</w:t>
            </w:r>
            <w:r>
              <w:t xml:space="preserve"> spp.) may be transmitted to suitable hosts </w:t>
            </w:r>
            <w:r>
              <w:rPr>
                <w:noProof/>
              </w:rPr>
              <w:t>(CABI 2015; Spence 2001; Uyemoto 1981)</w:t>
            </w:r>
            <w:r>
              <w:t xml:space="preserve">. Necroviruses may also be transmitted in soil water without a vector </w:t>
            </w:r>
            <w:r>
              <w:rPr>
                <w:noProof/>
              </w:rPr>
              <w:t>(Lommel et al. 2005)</w:t>
            </w:r>
            <w:r>
              <w:t>.</w:t>
            </w:r>
          </w:p>
        </w:tc>
        <w:tc>
          <w:tcPr>
            <w:tcW w:w="717" w:type="pct"/>
            <w:shd w:val="clear" w:color="auto" w:fill="auto"/>
          </w:tcPr>
          <w:p w:rsidR="00B8782D" w:rsidRDefault="00B8782D" w:rsidP="00750C8B">
            <w:pPr>
              <w:pStyle w:val="TableText"/>
            </w:pPr>
            <w:r>
              <w:t xml:space="preserve">Yes. Tobacco necrosis virus strains are established in Australia </w:t>
            </w:r>
            <w:r>
              <w:rPr>
                <w:noProof/>
              </w:rPr>
              <w:t>(Teakle 1988)</w:t>
            </w:r>
            <w:r>
              <w:t xml:space="preserve">. TNVs infect common vegetable crop plants, ornamental plants and tree species </w:t>
            </w:r>
            <w:r>
              <w:rPr>
                <w:noProof/>
              </w:rPr>
              <w:t>(Brunt et al. 1996; CABI 2015; Zitikaite &amp; Staniulis 2009)</w:t>
            </w:r>
            <w:r>
              <w:t xml:space="preserve">. TNVs are transmitted by </w:t>
            </w:r>
            <w:r>
              <w:rPr>
                <w:i/>
              </w:rPr>
              <w:t>Olpidium</w:t>
            </w:r>
            <w:r>
              <w:t xml:space="preserve"> spp. </w:t>
            </w:r>
            <w:r>
              <w:rPr>
                <w:noProof/>
              </w:rPr>
              <w:t>(Rochon et al. 2004; Sasaya &amp; Koganezawa 2006)</w:t>
            </w:r>
            <w:r>
              <w:t xml:space="preserve"> and these vectors occur in Australia </w:t>
            </w:r>
            <w:r>
              <w:rPr>
                <w:noProof/>
              </w:rPr>
              <w:t>(Maccarone et al. 2008; McDougall 2006)</w:t>
            </w:r>
            <w:r>
              <w:t>.</w:t>
            </w:r>
          </w:p>
        </w:tc>
        <w:tc>
          <w:tcPr>
            <w:tcW w:w="716" w:type="pct"/>
            <w:shd w:val="clear" w:color="auto" w:fill="auto"/>
          </w:tcPr>
          <w:p w:rsidR="00B8782D" w:rsidRDefault="00B8782D" w:rsidP="00750C8B">
            <w:pPr>
              <w:pStyle w:val="TableText"/>
            </w:pPr>
            <w:r>
              <w:t xml:space="preserve">Yes. Tobacco necrosis viruses cause rusty root disease of carrot, Augusta disease of tulip, stipple streak disease of common bean, necrosis diseases of cabbage, cucumber, soybean and zucchini and ABC disease of potato </w:t>
            </w:r>
            <w:r>
              <w:rPr>
                <w:noProof/>
              </w:rPr>
              <w:t>(Smith et al. 1988; Uyemoto 1981; Xi et al. 2008; Zitikaite &amp; Staniulis 2009)</w:t>
            </w:r>
            <w:r>
              <w:t>.</w:t>
            </w:r>
          </w:p>
        </w:tc>
        <w:tc>
          <w:tcPr>
            <w:tcW w:w="574" w:type="pct"/>
            <w:shd w:val="clear" w:color="auto" w:fill="auto"/>
          </w:tcPr>
          <w:p w:rsidR="00B8782D" w:rsidRDefault="00B8782D">
            <w:pPr>
              <w:pStyle w:val="TableText"/>
            </w:pPr>
            <w:r>
              <w:t>Yes (EP)</w:t>
            </w:r>
          </w:p>
        </w:tc>
      </w:tr>
      <w:tr w:rsidR="00B8782D">
        <w:trPr>
          <w:cantSplit/>
          <w:jc w:val="center"/>
        </w:trPr>
        <w:tc>
          <w:tcPr>
            <w:tcW w:w="1087" w:type="pct"/>
            <w:shd w:val="clear" w:color="auto" w:fill="auto"/>
          </w:tcPr>
          <w:p w:rsidR="00B8782D" w:rsidRDefault="00B8782D">
            <w:pPr>
              <w:pStyle w:val="TableText"/>
            </w:pPr>
            <w:r>
              <w:rPr>
                <w:i/>
              </w:rPr>
              <w:lastRenderedPageBreak/>
              <w:t>Tobacco ringspot virus</w:t>
            </w:r>
          </w:p>
          <w:p w:rsidR="00B8782D" w:rsidRDefault="00B8782D">
            <w:pPr>
              <w:pStyle w:val="TableText"/>
            </w:pPr>
            <w:r>
              <w:t>[Comoviridae: Nepovirus]</w:t>
            </w:r>
          </w:p>
          <w:p w:rsidR="00B8782D" w:rsidRDefault="00B8782D">
            <w:pPr>
              <w:pStyle w:val="TableText"/>
            </w:pPr>
            <w:r>
              <w:t>TRSV</w:t>
            </w:r>
          </w:p>
        </w:tc>
        <w:tc>
          <w:tcPr>
            <w:tcW w:w="575" w:type="pct"/>
            <w:shd w:val="clear" w:color="auto" w:fill="auto"/>
          </w:tcPr>
          <w:p w:rsidR="00B8782D" w:rsidRDefault="00B8782D" w:rsidP="00750C8B">
            <w:pPr>
              <w:pStyle w:val="TableText"/>
            </w:pPr>
            <w:r>
              <w:t xml:space="preserve">Yes </w:t>
            </w:r>
            <w:r>
              <w:rPr>
                <w:noProof/>
              </w:rPr>
              <w:t>(CABI 2015)</w:t>
            </w:r>
          </w:p>
        </w:tc>
        <w:tc>
          <w:tcPr>
            <w:tcW w:w="615" w:type="pct"/>
            <w:shd w:val="clear" w:color="auto" w:fill="auto"/>
          </w:tcPr>
          <w:p w:rsidR="00B8782D" w:rsidRDefault="00B8782D" w:rsidP="00750C8B">
            <w:pPr>
              <w:pStyle w:val="TableText"/>
            </w:pPr>
            <w:r>
              <w:t xml:space="preserve">Yes. Qld, SA </w:t>
            </w:r>
            <w:r>
              <w:rPr>
                <w:noProof/>
              </w:rPr>
              <w:t>(Brunt et al. 1996; McLean &amp; Price 1984; Randles &amp; Francki 1965; Reynolds &amp; Teakle 1976)</w:t>
            </w:r>
            <w:r>
              <w:t xml:space="preserve">. Not a regulated pest for Tas. </w:t>
            </w:r>
            <w:r>
              <w:rPr>
                <w:noProof/>
              </w:rPr>
              <w:t>(DPIPWE 2013)</w:t>
            </w:r>
            <w:r>
              <w:t>. Not considered to be present in WA (DAFWA 2013). An unlisted organisms (section 14) under the Western Australia BAM Act 2007</w:t>
            </w:r>
            <w:r>
              <w:rPr>
                <w:noProof/>
              </w:rPr>
              <w:t>(Government of Western Australia 2014)</w:t>
            </w:r>
            <w:r>
              <w:t xml:space="preserve">. </w:t>
            </w:r>
          </w:p>
        </w:tc>
        <w:tc>
          <w:tcPr>
            <w:tcW w:w="716" w:type="pct"/>
            <w:shd w:val="clear" w:color="auto" w:fill="auto"/>
          </w:tcPr>
          <w:p w:rsidR="00B8782D" w:rsidRDefault="00B8782D" w:rsidP="00E048C1">
            <w:pPr>
              <w:pStyle w:val="TableText"/>
            </w:pPr>
            <w:r>
              <w:t xml:space="preserve">Yes. This virus is associated with embryonic tissue of the seed of its host plants. Some seed transmission probably occurs in most hosts </w:t>
            </w:r>
            <w:r>
              <w:rPr>
                <w:noProof/>
              </w:rPr>
              <w:t>(Stace-Smith 1985)</w:t>
            </w:r>
            <w:r>
              <w:t>.</w:t>
            </w:r>
          </w:p>
        </w:tc>
        <w:tc>
          <w:tcPr>
            <w:tcW w:w="717" w:type="pct"/>
            <w:shd w:val="clear" w:color="auto" w:fill="auto"/>
          </w:tcPr>
          <w:p w:rsidR="00B8782D" w:rsidRDefault="00B8782D">
            <w:pPr>
              <w:pStyle w:val="TableText"/>
            </w:pPr>
            <w:r>
              <w:t>Assessment not required.</w:t>
            </w:r>
          </w:p>
          <w:p w:rsidR="00B8782D" w:rsidRDefault="00B8782D" w:rsidP="00750C8B">
            <w:pPr>
              <w:pStyle w:val="TableText"/>
            </w:pPr>
            <w:r>
              <w:t xml:space="preserve">This virus was not assessed, as it may be seedborne in capsicum seed </w:t>
            </w:r>
            <w:r>
              <w:rPr>
                <w:noProof/>
              </w:rPr>
              <w:t>(Stace-Smith 1985)</w:t>
            </w:r>
            <w:r>
              <w:t xml:space="preserve"> for planting that is permitted entry into Western Australia.</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t>Tomato ringspot virus</w:t>
            </w:r>
          </w:p>
          <w:p w:rsidR="00B8782D" w:rsidRDefault="00B8782D">
            <w:pPr>
              <w:pStyle w:val="TableText"/>
            </w:pPr>
            <w:r>
              <w:t xml:space="preserve">Synonyms: </w:t>
            </w:r>
            <w:r>
              <w:rPr>
                <w:i/>
              </w:rPr>
              <w:t>Peach yellow bud mosaic virus</w:t>
            </w:r>
            <w:r>
              <w:t xml:space="preserve">, </w:t>
            </w:r>
            <w:r>
              <w:rPr>
                <w:i/>
              </w:rPr>
              <w:t>Prune brown line</w:t>
            </w:r>
            <w:r>
              <w:t xml:space="preserve">, </w:t>
            </w:r>
            <w:r>
              <w:rPr>
                <w:i/>
              </w:rPr>
              <w:t>Prunus stem</w:t>
            </w:r>
            <w:r>
              <w:t xml:space="preserve"> </w:t>
            </w:r>
            <w:r>
              <w:rPr>
                <w:i/>
              </w:rPr>
              <w:t>pitting</w:t>
            </w:r>
          </w:p>
          <w:p w:rsidR="00B8782D" w:rsidRDefault="00B8782D">
            <w:pPr>
              <w:pStyle w:val="TableText"/>
            </w:pPr>
            <w:r>
              <w:t>[Comoviridae: Nepovirus]</w:t>
            </w:r>
          </w:p>
          <w:p w:rsidR="00B8782D" w:rsidRDefault="00B8782D">
            <w:pPr>
              <w:pStyle w:val="TableText"/>
            </w:pPr>
            <w:r>
              <w:t>ToRSV</w:t>
            </w:r>
          </w:p>
        </w:tc>
        <w:tc>
          <w:tcPr>
            <w:tcW w:w="575" w:type="pct"/>
            <w:shd w:val="clear" w:color="auto" w:fill="auto"/>
          </w:tcPr>
          <w:p w:rsidR="00B8782D" w:rsidRDefault="00B8782D" w:rsidP="00750C8B">
            <w:pPr>
              <w:pStyle w:val="TableText"/>
            </w:pPr>
            <w:r>
              <w:t xml:space="preserve">Yes </w:t>
            </w:r>
            <w:r>
              <w:rPr>
                <w:noProof/>
              </w:rPr>
              <w:t>(Zhang &amp; Huang 1990)</w:t>
            </w:r>
          </w:p>
        </w:tc>
        <w:tc>
          <w:tcPr>
            <w:tcW w:w="615" w:type="pct"/>
            <w:shd w:val="clear" w:color="auto" w:fill="auto"/>
          </w:tcPr>
          <w:p w:rsidR="00B8782D" w:rsidRDefault="00B8782D" w:rsidP="00750C8B">
            <w:pPr>
              <w:pStyle w:val="TableText"/>
            </w:pPr>
            <w:r>
              <w:t xml:space="preserve">No. Eradicated </w:t>
            </w:r>
            <w:r>
              <w:rPr>
                <w:noProof/>
              </w:rPr>
              <w:t>(CABI 2015; IPPC 2013)</w:t>
            </w:r>
          </w:p>
        </w:tc>
        <w:tc>
          <w:tcPr>
            <w:tcW w:w="716" w:type="pct"/>
            <w:shd w:val="clear" w:color="auto" w:fill="auto"/>
          </w:tcPr>
          <w:p w:rsidR="00B8782D" w:rsidRDefault="00B8782D" w:rsidP="00750C8B">
            <w:pPr>
              <w:pStyle w:val="TableText"/>
            </w:pPr>
            <w:r>
              <w:t xml:space="preserve">No. This virus is seed-borne in several weed hosts </w:t>
            </w:r>
            <w:r>
              <w:rPr>
                <w:noProof/>
              </w:rPr>
              <w:t>(Gonsalves 1995)</w:t>
            </w:r>
            <w:r>
              <w:t xml:space="preserve">. However, no report of seed transmission in </w:t>
            </w:r>
            <w:r>
              <w:rPr>
                <w:i/>
              </w:rPr>
              <w:t>Prunus</w:t>
            </w:r>
            <w:r>
              <w:t xml:space="preserve"> spp. or evidence of infection of </w:t>
            </w:r>
            <w:r>
              <w:rPr>
                <w:i/>
              </w:rPr>
              <w:t xml:space="preserve">P. persica </w:t>
            </w:r>
            <w:r>
              <w:t xml:space="preserve">or other summerfruit in China can be found. Therefore, it is not considered to be associated with the summerfruit pathway from China. </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5000" w:type="pct"/>
            <w:gridSpan w:val="7"/>
            <w:shd w:val="clear" w:color="auto" w:fill="auto"/>
          </w:tcPr>
          <w:p w:rsidR="00B8782D" w:rsidRDefault="00B8782D">
            <w:pPr>
              <w:pStyle w:val="TableText"/>
              <w:rPr>
                <w:b/>
              </w:rPr>
            </w:pPr>
            <w:r>
              <w:rPr>
                <w:b/>
              </w:rPr>
              <w:lastRenderedPageBreak/>
              <w:t>VIROIDS</w:t>
            </w:r>
          </w:p>
        </w:tc>
      </w:tr>
      <w:tr w:rsidR="00B8782D">
        <w:tblPrEx>
          <w:tblBorders>
            <w:insideH w:val="single" w:sz="4" w:space="0" w:color="BFBFBF" w:themeColor="background1" w:themeShade="BF"/>
          </w:tblBorders>
        </w:tblPrEx>
        <w:trPr>
          <w:cantSplit/>
          <w:jc w:val="center"/>
        </w:trPr>
        <w:tc>
          <w:tcPr>
            <w:tcW w:w="1087" w:type="pct"/>
            <w:shd w:val="clear" w:color="auto" w:fill="auto"/>
          </w:tcPr>
          <w:p w:rsidR="00B8782D" w:rsidRDefault="00B8782D">
            <w:pPr>
              <w:pStyle w:val="TableText"/>
            </w:pPr>
            <w:r>
              <w:rPr>
                <w:i/>
              </w:rPr>
              <w:t>Apple scar skin viroid</w:t>
            </w:r>
          </w:p>
          <w:p w:rsidR="00B8782D" w:rsidRDefault="00B8782D">
            <w:pPr>
              <w:pStyle w:val="TableText"/>
            </w:pPr>
            <w:r>
              <w:t>[Pospiviroidae: Apscaviroid]</w:t>
            </w:r>
          </w:p>
          <w:p w:rsidR="00B8782D" w:rsidRDefault="00B8782D">
            <w:pPr>
              <w:pStyle w:val="TableText"/>
            </w:pPr>
            <w:r>
              <w:t>ASSVd</w:t>
            </w:r>
          </w:p>
        </w:tc>
        <w:tc>
          <w:tcPr>
            <w:tcW w:w="575" w:type="pct"/>
            <w:shd w:val="clear" w:color="auto" w:fill="auto"/>
          </w:tcPr>
          <w:p w:rsidR="00B8782D" w:rsidRDefault="00B8782D" w:rsidP="00750C8B">
            <w:pPr>
              <w:pStyle w:val="TableText"/>
            </w:pPr>
            <w:r>
              <w:t xml:space="preserve">Yes </w:t>
            </w:r>
            <w:r>
              <w:rPr>
                <w:noProof/>
              </w:rPr>
              <w:t>(Han et al. 2003; Kaponi et al. 2010; Zhao &amp; Niu 2008a)</w:t>
            </w:r>
            <w:r>
              <w:t>.</w:t>
            </w:r>
          </w:p>
        </w:tc>
        <w:tc>
          <w:tcPr>
            <w:tcW w:w="615" w:type="pct"/>
            <w:shd w:val="clear" w:color="auto" w:fill="auto"/>
          </w:tcPr>
          <w:p w:rsidR="00B8782D" w:rsidRDefault="00B8782D">
            <w:pPr>
              <w:pStyle w:val="TableText"/>
            </w:pPr>
            <w:r>
              <w:t>No records found</w:t>
            </w:r>
          </w:p>
        </w:tc>
        <w:tc>
          <w:tcPr>
            <w:tcW w:w="716" w:type="pct"/>
            <w:shd w:val="clear" w:color="auto" w:fill="auto"/>
          </w:tcPr>
          <w:p w:rsidR="00B8782D" w:rsidRDefault="00B8782D" w:rsidP="00CD2EAF">
            <w:pPr>
              <w:pStyle w:val="TableText"/>
            </w:pPr>
            <w:r>
              <w:t xml:space="preserve">Yes. Recorded from </w:t>
            </w:r>
            <w:r>
              <w:rPr>
                <w:i/>
              </w:rPr>
              <w:t>P. persica</w:t>
            </w:r>
            <w:r>
              <w:t xml:space="preserve"> trees in China </w:t>
            </w:r>
            <w:r>
              <w:rPr>
                <w:noProof/>
              </w:rPr>
              <w:t>(Kaponi et al. 2010; Zhao &amp; Niu 2008a; Zhao &amp; Niu 2008b)</w:t>
            </w:r>
            <w:r>
              <w:t xml:space="preserve">. A recent study suggested </w:t>
            </w:r>
            <w:r>
              <w:rPr>
                <w:i/>
              </w:rPr>
              <w:t>Apple scar skin viroid</w:t>
            </w:r>
            <w:r>
              <w:t xml:space="preserve"> can be transmitted from infected apple seeds to the seedlings germinated from these seeds, with a 7.7 percent transmission rate </w:t>
            </w:r>
            <w:r>
              <w:rPr>
                <w:noProof/>
              </w:rPr>
              <w:t>(Kim et al. 2006)</w:t>
            </w:r>
            <w:r>
              <w:t>. No seed transmission of ASSVd on stonefruit was reported.</w:t>
            </w:r>
          </w:p>
        </w:tc>
        <w:tc>
          <w:tcPr>
            <w:tcW w:w="717" w:type="pct"/>
            <w:shd w:val="clear" w:color="auto" w:fill="auto"/>
          </w:tcPr>
          <w:p w:rsidR="00B8782D" w:rsidRDefault="00B8782D" w:rsidP="00750C8B">
            <w:pPr>
              <w:pStyle w:val="TableText"/>
            </w:pPr>
            <w:r>
              <w:t xml:space="preserve">Yes. </w:t>
            </w:r>
            <w:r>
              <w:rPr>
                <w:i/>
              </w:rPr>
              <w:t>Apple scar skin viroid</w:t>
            </w:r>
            <w:r>
              <w:t xml:space="preserve"> has spread in a number of Asian countries, Europe and North America. This viroid can be found in the fruit pulp of apples and pears including apple seeds </w:t>
            </w:r>
            <w:r>
              <w:rPr>
                <w:noProof/>
              </w:rPr>
              <w:t>(Hadidi et al. 1991; Han et al. 2003; Hurtt &amp; Podleckis 1995; Koganezawa et al. 2003)</w:t>
            </w:r>
            <w:r>
              <w:t xml:space="preserve">. Transmission of </w:t>
            </w:r>
            <w:r>
              <w:rPr>
                <w:i/>
              </w:rPr>
              <w:t>Apple scar skin viroid</w:t>
            </w:r>
            <w:r>
              <w:t xml:space="preserve"> is by grafting and contaminated pruning equipment </w:t>
            </w:r>
            <w:r>
              <w:rPr>
                <w:noProof/>
              </w:rPr>
              <w:t>(Grove et al. 2003; Kim et al. 2006)</w:t>
            </w:r>
            <w:r>
              <w:t xml:space="preserve">. </w:t>
            </w:r>
          </w:p>
        </w:tc>
        <w:tc>
          <w:tcPr>
            <w:tcW w:w="716" w:type="pct"/>
            <w:shd w:val="clear" w:color="auto" w:fill="auto"/>
          </w:tcPr>
          <w:p w:rsidR="00B8782D" w:rsidRDefault="00B8782D" w:rsidP="00750C8B">
            <w:pPr>
              <w:pStyle w:val="TableText"/>
            </w:pPr>
            <w:r>
              <w:t xml:space="preserve">Yes. Apple scar skin disease has been a very destructive disease in Korea </w:t>
            </w:r>
            <w:r>
              <w:rPr>
                <w:noProof/>
              </w:rPr>
              <w:t>(Kim et al. 2006)</w:t>
            </w:r>
            <w:r>
              <w:t xml:space="preserve">. In China, in the 1950’s, some counties of Shanxi, Hebei and Shanxi provinces, more than 50 per cent of the apple trees were affected with this viroid </w:t>
            </w:r>
            <w:r>
              <w:rPr>
                <w:noProof/>
              </w:rPr>
              <w:t>(Han et al. 2003)</w:t>
            </w:r>
            <w:r>
              <w:t xml:space="preserve">. </w:t>
            </w:r>
          </w:p>
        </w:tc>
        <w:tc>
          <w:tcPr>
            <w:tcW w:w="574" w:type="pct"/>
            <w:shd w:val="clear" w:color="auto" w:fill="auto"/>
          </w:tcPr>
          <w:p w:rsidR="00B8782D" w:rsidRDefault="00B8782D">
            <w:pPr>
              <w:pStyle w:val="TableText"/>
            </w:pPr>
            <w:r>
              <w:t>Yes (EP)</w:t>
            </w:r>
          </w:p>
        </w:tc>
      </w:tr>
      <w:tr w:rsidR="00B8782D">
        <w:trPr>
          <w:cantSplit/>
          <w:jc w:val="center"/>
        </w:trPr>
        <w:tc>
          <w:tcPr>
            <w:tcW w:w="1087" w:type="pct"/>
            <w:shd w:val="clear" w:color="auto" w:fill="auto"/>
          </w:tcPr>
          <w:p w:rsidR="00B8782D" w:rsidRDefault="00B8782D">
            <w:pPr>
              <w:pStyle w:val="TableText"/>
            </w:pPr>
            <w:r>
              <w:rPr>
                <w:i/>
              </w:rPr>
              <w:lastRenderedPageBreak/>
              <w:t>Hop stunt viroid</w:t>
            </w:r>
          </w:p>
          <w:p w:rsidR="00B8782D" w:rsidRDefault="00B8782D">
            <w:pPr>
              <w:pStyle w:val="TableText"/>
            </w:pPr>
            <w:r>
              <w:t xml:space="preserve">Synonym: </w:t>
            </w:r>
            <w:r>
              <w:rPr>
                <w:i/>
              </w:rPr>
              <w:t>Peach dapple viroid</w:t>
            </w:r>
          </w:p>
          <w:p w:rsidR="00B8782D" w:rsidRDefault="00B8782D">
            <w:pPr>
              <w:pStyle w:val="TableText"/>
            </w:pPr>
            <w:r>
              <w:t>[Pospiviroidae: Hostuviroid]</w:t>
            </w:r>
          </w:p>
          <w:p w:rsidR="00B8782D" w:rsidRDefault="00B8782D">
            <w:pPr>
              <w:pStyle w:val="TableText"/>
            </w:pPr>
            <w:r>
              <w:t>HSVd</w:t>
            </w:r>
          </w:p>
        </w:tc>
        <w:tc>
          <w:tcPr>
            <w:tcW w:w="575" w:type="pct"/>
            <w:shd w:val="clear" w:color="auto" w:fill="auto"/>
          </w:tcPr>
          <w:p w:rsidR="00B8782D" w:rsidRDefault="00B8782D" w:rsidP="00750C8B">
            <w:pPr>
              <w:pStyle w:val="TableText"/>
            </w:pPr>
            <w:r>
              <w:t xml:space="preserve">Yes </w:t>
            </w:r>
            <w:r>
              <w:rPr>
                <w:noProof/>
              </w:rPr>
              <w:t>(Guo et al. 2008; Yang et al. 2006; Zhou et al. 2006b; Zhou et al. 2006c)</w:t>
            </w:r>
            <w:r>
              <w:t>.</w:t>
            </w:r>
          </w:p>
        </w:tc>
        <w:tc>
          <w:tcPr>
            <w:tcW w:w="615" w:type="pct"/>
            <w:shd w:val="clear" w:color="auto" w:fill="auto"/>
          </w:tcPr>
          <w:p w:rsidR="00B8782D" w:rsidRDefault="00B8782D" w:rsidP="00750C8B">
            <w:pPr>
              <w:pStyle w:val="TableText"/>
            </w:pPr>
            <w:r>
              <w:t xml:space="preserve">Yes. SA, Vic. </w:t>
            </w:r>
            <w:r>
              <w:rPr>
                <w:noProof/>
              </w:rPr>
              <w:t>(Koltunow, Krake &amp; Rezaian 1988)</w:t>
            </w:r>
            <w:r>
              <w:t xml:space="preserve">. Not a regulated pest for Tas. </w:t>
            </w:r>
            <w:r>
              <w:rPr>
                <w:noProof/>
              </w:rPr>
              <w:t>(DPIPWE 2013)</w:t>
            </w:r>
            <w:r>
              <w:t>. Listed as a declared organism (Prohibited) under the Western Australia BAM Act 2007</w:t>
            </w:r>
            <w:r>
              <w:rPr>
                <w:noProof/>
              </w:rPr>
              <w:t>(Government of Western Australia 2014)</w:t>
            </w:r>
            <w:r>
              <w:t xml:space="preserve">. It was not regulated in WA’s policy for summerfruit from eastern Australian states to WA </w:t>
            </w:r>
            <w:r>
              <w:rPr>
                <w:noProof/>
              </w:rPr>
              <w:t>(Poole et al. 2011)</w:t>
            </w:r>
            <w:r>
              <w:t>.</w:t>
            </w:r>
          </w:p>
        </w:tc>
        <w:tc>
          <w:tcPr>
            <w:tcW w:w="716" w:type="pct"/>
            <w:shd w:val="clear" w:color="auto" w:fill="auto"/>
          </w:tcPr>
          <w:p w:rsidR="00B8782D" w:rsidRDefault="00B8782D">
            <w:pPr>
              <w:pStyle w:val="TableText"/>
            </w:pPr>
            <w:r>
              <w:t>No. HSVd has been demonstrated to be seed transmitted in grapevines (Wan Chow Wah and Symons 1999), but not in any other species.</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r w:rsidR="00B8782D">
        <w:trPr>
          <w:cantSplit/>
          <w:jc w:val="center"/>
        </w:trPr>
        <w:tc>
          <w:tcPr>
            <w:tcW w:w="1087" w:type="pct"/>
            <w:shd w:val="clear" w:color="auto" w:fill="auto"/>
          </w:tcPr>
          <w:p w:rsidR="00B8782D" w:rsidRDefault="00B8782D">
            <w:pPr>
              <w:pStyle w:val="TableText"/>
            </w:pPr>
            <w:r>
              <w:rPr>
                <w:i/>
              </w:rPr>
              <w:lastRenderedPageBreak/>
              <w:t>Peach latent mosaic viroid</w:t>
            </w:r>
          </w:p>
          <w:p w:rsidR="00B8782D" w:rsidRDefault="00B8782D">
            <w:pPr>
              <w:pStyle w:val="TableText"/>
            </w:pPr>
            <w:r>
              <w:t>[Avsunviroidae: Pelamoviroid]</w:t>
            </w:r>
          </w:p>
          <w:p w:rsidR="00B8782D" w:rsidRDefault="00B8782D">
            <w:pPr>
              <w:pStyle w:val="TableText"/>
            </w:pPr>
            <w:r>
              <w:t>PLMVd</w:t>
            </w:r>
          </w:p>
        </w:tc>
        <w:tc>
          <w:tcPr>
            <w:tcW w:w="575" w:type="pct"/>
            <w:shd w:val="clear" w:color="auto" w:fill="auto"/>
          </w:tcPr>
          <w:p w:rsidR="00B8782D" w:rsidRDefault="00B8782D" w:rsidP="00750C8B">
            <w:pPr>
              <w:pStyle w:val="TableText"/>
            </w:pPr>
            <w:r>
              <w:t xml:space="preserve">Yes </w:t>
            </w:r>
            <w:r>
              <w:rPr>
                <w:noProof/>
              </w:rPr>
              <w:t>(Hadidi et al. 1997; Turturo et al. 1998)</w:t>
            </w:r>
          </w:p>
        </w:tc>
        <w:tc>
          <w:tcPr>
            <w:tcW w:w="615" w:type="pct"/>
            <w:shd w:val="clear" w:color="auto" w:fill="auto"/>
          </w:tcPr>
          <w:p w:rsidR="00B8782D" w:rsidRDefault="00B8782D" w:rsidP="00750C8B">
            <w:pPr>
              <w:pStyle w:val="TableText"/>
            </w:pPr>
            <w:r>
              <w:t xml:space="preserve">Yes. SA </w:t>
            </w:r>
            <w:r>
              <w:rPr>
                <w:noProof/>
              </w:rPr>
              <w:t>(di Serio et al. 1999)</w:t>
            </w:r>
            <w:r>
              <w:t xml:space="preserve">. Not a regulated pest for Tas. </w:t>
            </w:r>
            <w:r>
              <w:rPr>
                <w:noProof/>
              </w:rPr>
              <w:t>(DPIPWE 2013)</w:t>
            </w:r>
            <w:r>
              <w:t>. Listed as a declared organism (Prohibited) under the Western Australia BAM Act 2007</w:t>
            </w:r>
            <w:r>
              <w:rPr>
                <w:noProof/>
              </w:rPr>
              <w:t>(Government of Western Australia 2014)</w:t>
            </w:r>
            <w:r>
              <w:t xml:space="preserve">. However, it was not regulated in WA’s policy for summerfruit from eastern Australian states to WA </w:t>
            </w:r>
            <w:r>
              <w:rPr>
                <w:noProof/>
              </w:rPr>
              <w:t>(Poole et al. 2011)</w:t>
            </w:r>
            <w:r>
              <w:t>.</w:t>
            </w:r>
          </w:p>
        </w:tc>
        <w:tc>
          <w:tcPr>
            <w:tcW w:w="716" w:type="pct"/>
            <w:shd w:val="clear" w:color="auto" w:fill="auto"/>
          </w:tcPr>
          <w:p w:rsidR="00B8782D" w:rsidRDefault="00B8782D" w:rsidP="00750C8B">
            <w:pPr>
              <w:pStyle w:val="TableText"/>
            </w:pPr>
            <w:r>
              <w:t xml:space="preserve">No. Viroid particles have been detected in fruit. However, there are no records of disease transmission from fruit including seed </w:t>
            </w:r>
            <w:r>
              <w:rPr>
                <w:noProof/>
              </w:rPr>
              <w:t>(Poole, Woods &amp; Tuten 2009)</w:t>
            </w:r>
            <w:r>
              <w:t xml:space="preserve">. It was assessed as unlikely to be on pathway in WA’s policy for summerfruit from eastern Australian states to WA </w:t>
            </w:r>
            <w:r>
              <w:rPr>
                <w:noProof/>
              </w:rPr>
              <w:t>(Poole et al. 2011)</w:t>
            </w:r>
            <w:r>
              <w:t>.</w:t>
            </w:r>
          </w:p>
        </w:tc>
        <w:tc>
          <w:tcPr>
            <w:tcW w:w="717" w:type="pct"/>
            <w:shd w:val="clear" w:color="auto" w:fill="auto"/>
          </w:tcPr>
          <w:p w:rsidR="00B8782D" w:rsidRDefault="00B8782D">
            <w:pPr>
              <w:pStyle w:val="TableText"/>
            </w:pPr>
            <w:r>
              <w:t>Assessment not required</w:t>
            </w:r>
          </w:p>
        </w:tc>
        <w:tc>
          <w:tcPr>
            <w:tcW w:w="716" w:type="pct"/>
            <w:shd w:val="clear" w:color="auto" w:fill="auto"/>
          </w:tcPr>
          <w:p w:rsidR="00B8782D" w:rsidRDefault="00B8782D">
            <w:pPr>
              <w:pStyle w:val="TableText"/>
            </w:pPr>
            <w:r>
              <w:t>Assessment not required</w:t>
            </w:r>
          </w:p>
        </w:tc>
        <w:tc>
          <w:tcPr>
            <w:tcW w:w="574" w:type="pct"/>
            <w:shd w:val="clear" w:color="auto" w:fill="auto"/>
          </w:tcPr>
          <w:p w:rsidR="00B8782D" w:rsidRDefault="00B8782D">
            <w:pPr>
              <w:pStyle w:val="TableText"/>
            </w:pPr>
            <w:r>
              <w:t>No</w:t>
            </w:r>
          </w:p>
        </w:tc>
      </w:tr>
    </w:tbl>
    <w:p w:rsidR="00B8782D" w:rsidRDefault="00B8782D">
      <w:pPr>
        <w:sectPr w:rsidR="00B8782D">
          <w:headerReference w:type="default" r:id="rId64"/>
          <w:footerReference w:type="default" r:id="rId65"/>
          <w:type w:val="oddPage"/>
          <w:pgSz w:w="16838" w:h="11906" w:orient="landscape"/>
          <w:pgMar w:top="1418" w:right="1418" w:bottom="1418" w:left="1418" w:header="567" w:footer="283" w:gutter="0"/>
          <w:cols w:space="708"/>
          <w:docGrid w:linePitch="360"/>
        </w:sectPr>
      </w:pPr>
    </w:p>
    <w:p w:rsidR="00B8782D" w:rsidRDefault="00B8782D">
      <w:pPr>
        <w:pStyle w:val="Heading1nonumbers"/>
      </w:pPr>
      <w:bookmarkStart w:id="133" w:name="_Toc448312521"/>
      <w:r>
        <w:lastRenderedPageBreak/>
        <w:t>Appendix B</w:t>
      </w:r>
      <w:r>
        <w:tab/>
        <w:t>Biosecurity framework</w:t>
      </w:r>
      <w:bookmarkEnd w:id="133"/>
    </w:p>
    <w:p w:rsidR="00B8782D" w:rsidRDefault="00B8782D">
      <w:pPr>
        <w:pStyle w:val="Heading3Nonumber"/>
      </w:pPr>
      <w:bookmarkStart w:id="134" w:name="_Toc384209883"/>
      <w:r>
        <w:t>Australia’s biosecurity policies</w:t>
      </w:r>
      <w:bookmarkEnd w:id="134"/>
    </w:p>
    <w:p w:rsidR="00B8782D" w:rsidRDefault="00B8782D">
      <w:r>
        <w:t>The objective of Australia’s biosecurity policies and risk management measures is the prevention or control of the entry, establishment or spread of pests and diseases that could cause significant harm to people, animals, plants and other aspects of the environment.</w:t>
      </w:r>
    </w:p>
    <w:p w:rsidR="00B8782D" w:rsidRDefault="00B8782D">
      <w:r>
        <w:t>Australia has diverse native flora and fauna and a large agricultural sector, and is relatively free from the more significant pests and diseases present in other countries. Therefore, successive Australian Governments have maintained a conservative, but not a zero-risk, approach to the management of biosecurity risks. This approach is consistent with the World Trade Organization’s (WTO’s) Agreement on the Application of Sanitary and Phytosanitary Measures (SPS Agreement).</w:t>
      </w:r>
    </w:p>
    <w:p w:rsidR="00B8782D" w:rsidRDefault="00B8782D">
      <w:r>
        <w:t>The SPS Agreement defines the concept of an ‘appropriate level of protection’ (ALOP) as the level of protection deemed appropriate by a WTO Member establishing a sanitary or phytosanitary measure to protect human, animal or plant life or health within its territory. Among a number of obligations, a WTO Member should take into account the objective of minimising negative trade effects in setting its ALOP.</w:t>
      </w:r>
    </w:p>
    <w:p w:rsidR="00B8782D" w:rsidRDefault="00B8782D">
      <w:r>
        <w:t>Like many other countries, Australia expresses its ALOP in qualitative terms. Australia’s ALOP, which reflects community expectations through Australian Government policy, is currently expressed as providing a high level of sanitary and phytosanitary protection, aimed at reducing risk to a very low level, but not to zero.</w:t>
      </w:r>
    </w:p>
    <w:p w:rsidR="00B8782D" w:rsidRDefault="00B8782D">
      <w:r>
        <w:t>Consistent with the SPS Agreement, in conducting risk analyses Australia takes into account as relevant economic factors:</w:t>
      </w:r>
    </w:p>
    <w:p w:rsidR="00B8782D" w:rsidRDefault="00B8782D">
      <w:pPr>
        <w:pStyle w:val="ListBullet"/>
      </w:pPr>
      <w:r>
        <w:t>the potential damage in terms of loss of production or sales in the event of the entry, establishment or spread of a pest or disease in the territory of Australia</w:t>
      </w:r>
    </w:p>
    <w:p w:rsidR="00B8782D" w:rsidRDefault="00B8782D">
      <w:pPr>
        <w:pStyle w:val="ListBullet"/>
      </w:pPr>
      <w:r>
        <w:t>the costs of control or eradication of a pest or disease</w:t>
      </w:r>
    </w:p>
    <w:p w:rsidR="00B8782D" w:rsidRDefault="00B8782D">
      <w:pPr>
        <w:pStyle w:val="ListBullet"/>
      </w:pPr>
      <w:r>
        <w:t>and the relative cost-effectiveness of alternative approaches to limiting risks.</w:t>
      </w:r>
    </w:p>
    <w:p w:rsidR="00B8782D" w:rsidRDefault="00B8782D">
      <w:pPr>
        <w:pStyle w:val="Heading3Nonumber"/>
      </w:pPr>
      <w:bookmarkStart w:id="135" w:name="_Toc384209884"/>
      <w:r>
        <w:t>Roles and responsibilities within Australia’s quarantine system</w:t>
      </w:r>
      <w:bookmarkEnd w:id="135"/>
    </w:p>
    <w:p w:rsidR="00B8782D" w:rsidRDefault="00B8782D">
      <w:r>
        <w:t>Australia protects its human, animal and plant life or health through a comprehensive quarantine system that covers the quarantine continuum, from pre-border to border and post-border activities. The Australian Government Department of Health is responsible for human health aspects of quarantine. The Australian Government Department of Agriculture and Water Resources is responsible for animal and plant life or health.</w:t>
      </w:r>
    </w:p>
    <w:p w:rsidR="00B8782D" w:rsidRDefault="00B8782D">
      <w:r>
        <w:t>Pre-border, Australia participates in international standard-setting bodies, undertakes risk analyses, develops offshore quarantine arrangements where appropriate, and engages with our neighbours to counter the spread of exotic pests and diseases.</w:t>
      </w:r>
    </w:p>
    <w:p w:rsidR="00B8782D" w:rsidRDefault="00B8782D">
      <w:r>
        <w:t>At the border, Australia screens vessels (including aircraft), people and goods entering the country to detect potential threats to Australian human, animal and plant health.</w:t>
      </w:r>
    </w:p>
    <w:p w:rsidR="00B8782D" w:rsidRDefault="00B8782D">
      <w:r>
        <w:lastRenderedPageBreak/>
        <w:t>The Australian Government also undertakes targeted measures at the immediate post-border level within Australia. This includes national co-ordination of emergency responses to pest and disease incursions. The movement of goods of quarantine concern within Australia’s border is the responsibility of relevant state and territory authorities, which undertake inter– and intra–state quarantine operations that reflect regional differences in pest and disease status, as a part of their wider plant and animal health responsibilities.</w:t>
      </w:r>
    </w:p>
    <w:p w:rsidR="00B8782D" w:rsidRDefault="00B8782D">
      <w:pPr>
        <w:pStyle w:val="Heading3Nonumber"/>
      </w:pPr>
      <w:bookmarkStart w:id="136" w:name="_Toc384209885"/>
      <w:r>
        <w:t>Roles and responsibilities within the Australian Government Department of Agriculture and Water Resources</w:t>
      </w:r>
      <w:bookmarkEnd w:id="136"/>
    </w:p>
    <w:p w:rsidR="00B8782D" w:rsidRDefault="00B8782D">
      <w:r>
        <w:t xml:space="preserve">The Australian Government Department of Agriculture and Water Resources is responsible for the Australian Government’s animal and plant biosecurity policy development and the establishment of risk management measures. The Secretary of the Australian Government Department of Agriculture and Water Resources is appointed as the Director of Animal and Plant Quarantine under the </w:t>
      </w:r>
      <w:r>
        <w:rPr>
          <w:i/>
        </w:rPr>
        <w:t>Quarantine Act 1908</w:t>
      </w:r>
      <w:r>
        <w:t xml:space="preserve"> (the Act).</w:t>
      </w:r>
    </w:p>
    <w:p w:rsidR="00B8782D" w:rsidRDefault="00B8782D">
      <w:r>
        <w:t>The Australian Government Department of Agriculture and Water Resources takes the lead in biosecurity and quarantine policy development and the establishment and implementation of risk management measures across the biosecurity continuum, and:</w:t>
      </w:r>
    </w:p>
    <w:p w:rsidR="00B8782D" w:rsidRDefault="00B8782D">
      <w:pPr>
        <w:pStyle w:val="ListBullet"/>
      </w:pPr>
      <w:r>
        <w:rPr>
          <w:b/>
        </w:rPr>
        <w:t>Pre-border</w:t>
      </w:r>
      <w:r>
        <w:t xml:space="preserve"> conducts risk analyses, including IRAs, and develops recommendations for biosecurity policy as well as providing quarantine policy advice to the Director of Animal and Plant Quarantine</w:t>
      </w:r>
    </w:p>
    <w:p w:rsidR="00B8782D" w:rsidRDefault="00B8782D">
      <w:pPr>
        <w:pStyle w:val="ListBullet"/>
      </w:pPr>
      <w:r>
        <w:rPr>
          <w:b/>
        </w:rPr>
        <w:t>At the border</w:t>
      </w:r>
      <w:r>
        <w:t xml:space="preserve"> develops operational procedures, makes a range of quarantine decisions under the Act (including import permit decisions under delegation from the Director of Animal and Plant Quarantine) and delivers quarantine services</w:t>
      </w:r>
    </w:p>
    <w:p w:rsidR="00B8782D" w:rsidRDefault="00B8782D">
      <w:pPr>
        <w:pStyle w:val="ListBullet"/>
      </w:pPr>
      <w:r>
        <w:rPr>
          <w:b/>
        </w:rPr>
        <w:t>Post-border</w:t>
      </w:r>
      <w:r>
        <w:t xml:space="preserve"> coordinates pest and disease preparedness, emergency responses and liaison on inter– and intra–state quarantine arrangements for the Australian Government, in conjunction with Australia’s state and territory governments.</w:t>
      </w:r>
    </w:p>
    <w:p w:rsidR="00B8782D" w:rsidRDefault="00B8782D">
      <w:pPr>
        <w:pStyle w:val="Heading3Nonumber"/>
      </w:pPr>
      <w:bookmarkStart w:id="137" w:name="_Toc384209886"/>
      <w:r>
        <w:t>Roles and responsibilities of other government agencies</w:t>
      </w:r>
      <w:bookmarkEnd w:id="137"/>
    </w:p>
    <w:p w:rsidR="00B8782D" w:rsidRDefault="00B8782D">
      <w:r>
        <w:t>State and territory governments play a vital role in the quarantine continuum. The Australian Government Department of Agriculture and Water Resources works in partnership with state and territory governments to address regional differences in pest and disease status and risk within Australia, and develops appropriate sanitary and phytosanitary measures to account for those differences. Australia’s partnership approach to quarantine is supported by a formal Memorandum of Understanding that provides for consultation between the Australian Government and the state and territory governments.</w:t>
      </w:r>
    </w:p>
    <w:p w:rsidR="00B8782D" w:rsidRDefault="00B8782D">
      <w:r>
        <w:t>Depending on the nature of the good being imported or proposed for importation, the Australian Government Department of Agriculture and Water Resources may consult other Australian Government authorities or agencies in developing its recommendations and providing advice.</w:t>
      </w:r>
    </w:p>
    <w:p w:rsidR="00B8782D" w:rsidRDefault="00B8782D">
      <w:r>
        <w:t xml:space="preserve">As well as a Director of Animal and Plant Quarantine, the Act provides for a Director of Human Quarantine. The Australian Government Department of Health is responsible for human health aspects of quarantine and Australia’s Chief Medical Officer within that Department holds the position of Director of Human Quarantine. The Australian Government Department of Agriculture and Water Resources may, where appropriate, consult with that Australian </w:t>
      </w:r>
      <w:r>
        <w:lastRenderedPageBreak/>
        <w:t>Government Department of Agriculture and Water Resources on relevant matters that may have implications for human health.</w:t>
      </w:r>
    </w:p>
    <w:p w:rsidR="00B8782D" w:rsidRDefault="00B8782D">
      <w:r>
        <w:t xml:space="preserve">The Act also requires the Director of Animal and Plant Quarantine, before making certain decisions, to request advice from the Environment Minister and to take the advice into account when making those decisions. The Australian Government Department of the Environment is responsible under the </w:t>
      </w:r>
      <w:r>
        <w:rPr>
          <w:i/>
        </w:rPr>
        <w:t>Environment Protection and Biodiversity Conservation Act 1999</w:t>
      </w:r>
      <w:r>
        <w:t xml:space="preserve"> for assessing the environmental impact associated with proposals to import live species. Anyone proposing to import such material should contact the Department of the Environment directly for further information.</w:t>
      </w:r>
    </w:p>
    <w:p w:rsidR="00B8782D" w:rsidRDefault="00B8782D">
      <w:r>
        <w:t>When undertaking risk analyses, the Australian Government Department of Agriculture and Water Resources consults with the Department of the Environment about environmental issues and may use or refer to the Department of the Environment’s assessment.</w:t>
      </w:r>
    </w:p>
    <w:p w:rsidR="00B8782D" w:rsidRDefault="00B8782D">
      <w:pPr>
        <w:pStyle w:val="Heading3Nonumber"/>
      </w:pPr>
      <w:bookmarkStart w:id="138" w:name="_Toc384209887"/>
      <w:r>
        <w:t>Australian quarantine legislation</w:t>
      </w:r>
      <w:bookmarkEnd w:id="138"/>
    </w:p>
    <w:p w:rsidR="00B8782D" w:rsidRDefault="00B8782D">
      <w:r>
        <w:t>The Australian quarantine system is supported by Commonwealth, state and territory quarantine laws. Under the Australian Constitution, the Commonwealth Government does not have exclusive power to make laws in relation to quarantine, and as a result, Commonwealth and state quarantine laws can co-exist.</w:t>
      </w:r>
    </w:p>
    <w:p w:rsidR="00B8782D" w:rsidRDefault="00B8782D">
      <w:r>
        <w:t xml:space="preserve">Commonwealth quarantine laws are contained in the </w:t>
      </w:r>
      <w:r>
        <w:rPr>
          <w:i/>
        </w:rPr>
        <w:t>Quarantine Act 1908</w:t>
      </w:r>
      <w:r>
        <w:t xml:space="preserve"> and subordinate legislation including the Quarantine Regulations 2000, the Quarantine Proclamation 1998, the Quarantine (Cocos Islands) Proclamation 2004 and the Quarantine (Christmas Island) Proclamation 2004.</w:t>
      </w:r>
    </w:p>
    <w:p w:rsidR="00B8782D" w:rsidRDefault="00B8782D">
      <w:r>
        <w:t>The quarantine proclamations identify goods, which cannot be imported, into Australia, the Cocos Islands and or Christmas Island unless the Director of Animal and Plant Quarantine or delegate grants an import permit or unless they comply with other conditions specified in the proclamations. Section 70 of the Quarantine Proclamation 1998, section 34 of the Quarantine (Cocos Islands) Proclamation 2004 and section 34 of the Quarantine (Christmas Island) Proclamation 2004 specify the things a Director of Animal and Plant Quarantine must take into account when deciding whether to grant a permit.</w:t>
      </w:r>
    </w:p>
    <w:p w:rsidR="00B8782D" w:rsidRDefault="00B8782D">
      <w:r>
        <w:t>In particular, a Director of Animal and Plant Quarantine (or delegate):</w:t>
      </w:r>
    </w:p>
    <w:p w:rsidR="00B8782D" w:rsidRDefault="00B8782D">
      <w:pPr>
        <w:pStyle w:val="ListBullet"/>
      </w:pPr>
      <w:r>
        <w:t>must consider the level of quarantine risk if the permit were granted, and</w:t>
      </w:r>
    </w:p>
    <w:p w:rsidR="00B8782D" w:rsidRDefault="00B8782D">
      <w:pPr>
        <w:pStyle w:val="ListBullet"/>
      </w:pPr>
      <w:r>
        <w:t>must consider whether, if the permit were granted, the imposition of conditions would be necessary to limit the level of quarantine risk to one that is acceptably low, and</w:t>
      </w:r>
    </w:p>
    <w:p w:rsidR="00B8782D" w:rsidRDefault="00B8782D">
      <w:pPr>
        <w:pStyle w:val="ListBullet"/>
      </w:pPr>
      <w:r>
        <w:t xml:space="preserve">for a permit to import a seed of a plant that was produced by genetic manipulation—must take into account any risk assessment prepared, and any decision made, in relation to the seed under the </w:t>
      </w:r>
      <w:r>
        <w:rPr>
          <w:i/>
        </w:rPr>
        <w:t>Gene Technology Act</w:t>
      </w:r>
      <w:r>
        <w:t>, and</w:t>
      </w:r>
    </w:p>
    <w:p w:rsidR="00B8782D" w:rsidRDefault="00B8782D">
      <w:pPr>
        <w:pStyle w:val="ListBullet"/>
      </w:pPr>
      <w:r>
        <w:t>may take into account anything else that he or she knows is relevant.</w:t>
      </w:r>
    </w:p>
    <w:p w:rsidR="00B8782D" w:rsidRDefault="00B8782D">
      <w:r>
        <w:t xml:space="preserve">The level of quarantine risk is defined in section 5D of the </w:t>
      </w:r>
      <w:r>
        <w:rPr>
          <w:i/>
        </w:rPr>
        <w:t>Quarantine Act 1908</w:t>
      </w:r>
      <w:r>
        <w:t>. The definition is as follows:</w:t>
      </w:r>
    </w:p>
    <w:p w:rsidR="00B8782D" w:rsidRDefault="00B8782D">
      <w:r>
        <w:t xml:space="preserve">reference in this Act to a </w:t>
      </w:r>
      <w:r>
        <w:rPr>
          <w:i/>
        </w:rPr>
        <w:t>level of quarantine risk</w:t>
      </w:r>
      <w:r>
        <w:t xml:space="preserve"> is a reference to:</w:t>
      </w:r>
    </w:p>
    <w:p w:rsidR="00B8782D" w:rsidRDefault="00B8782D" w:rsidP="00B8782D">
      <w:pPr>
        <w:pStyle w:val="ListNumber2"/>
        <w:numPr>
          <w:ilvl w:val="0"/>
          <w:numId w:val="4"/>
        </w:numPr>
        <w:ind w:left="568" w:hanging="284"/>
      </w:pPr>
      <w:r>
        <w:lastRenderedPageBreak/>
        <w:t>the likelihood of:</w:t>
      </w:r>
    </w:p>
    <w:p w:rsidR="00B8782D" w:rsidRDefault="00B8782D">
      <w:pPr>
        <w:pStyle w:val="ListNumber3"/>
      </w:pPr>
      <w:r>
        <w:t>a disease or pest being introduced, established or spread in Australia, the Cocos Islands or Christmas Island; and</w:t>
      </w:r>
    </w:p>
    <w:p w:rsidR="00B8782D" w:rsidRDefault="00B8782D">
      <w:pPr>
        <w:pStyle w:val="ListNumber3"/>
      </w:pPr>
      <w:r>
        <w:t>the disease or pest causing harm to human beings, animals, plants, other aspects of the environment, or economic activities; and</w:t>
      </w:r>
    </w:p>
    <w:p w:rsidR="00B8782D" w:rsidRDefault="00B8782D" w:rsidP="00B8782D">
      <w:pPr>
        <w:pStyle w:val="ListNumber2"/>
        <w:numPr>
          <w:ilvl w:val="0"/>
          <w:numId w:val="4"/>
        </w:numPr>
        <w:ind w:left="568" w:hanging="284"/>
      </w:pPr>
      <w:r>
        <w:t>the probable extent of the harm.</w:t>
      </w:r>
    </w:p>
    <w:p w:rsidR="00B8782D" w:rsidRDefault="00B8782D">
      <w:r>
        <w:t>The Quarantine Regulations 2000 were amended in 2007 to regulate keys steps of the import risk analysis process. The Regulations:</w:t>
      </w:r>
    </w:p>
    <w:p w:rsidR="00B8782D" w:rsidRDefault="00B8782D">
      <w:pPr>
        <w:pStyle w:val="ListBullet"/>
      </w:pPr>
      <w:r>
        <w:t>define both a standard and an expanded IRA;</w:t>
      </w:r>
    </w:p>
    <w:p w:rsidR="00B8782D" w:rsidRDefault="00B8782D">
      <w:pPr>
        <w:pStyle w:val="ListBullet"/>
      </w:pPr>
      <w:r>
        <w:t>identify certain steps, which must be included in each type of IRA;</w:t>
      </w:r>
    </w:p>
    <w:p w:rsidR="00B8782D" w:rsidRDefault="00B8782D">
      <w:pPr>
        <w:pStyle w:val="ListBullet"/>
      </w:pPr>
      <w:r>
        <w:t>specify time limits for certain steps and overall timeframes for the completion of IRAs (up to 24 months for a standard IRA and up to 30 months for an expanded IRA);</w:t>
      </w:r>
    </w:p>
    <w:p w:rsidR="00B8782D" w:rsidRDefault="00B8782D">
      <w:pPr>
        <w:pStyle w:val="ListBullet"/>
      </w:pPr>
      <w:r>
        <w:t>specify publication requirements;</w:t>
      </w:r>
    </w:p>
    <w:p w:rsidR="00B8782D" w:rsidRDefault="00B8782D">
      <w:pPr>
        <w:pStyle w:val="ListBullet"/>
      </w:pPr>
      <w:r>
        <w:t>make provision for termination of an IRA; and</w:t>
      </w:r>
    </w:p>
    <w:p w:rsidR="00B8782D" w:rsidRDefault="00B8782D">
      <w:pPr>
        <w:pStyle w:val="ListBullet"/>
      </w:pPr>
      <w:r>
        <w:t>allow for a partially completed risk analysis to be completed as an IRA under the Regulations.</w:t>
      </w:r>
    </w:p>
    <w:p w:rsidR="00B8782D" w:rsidRDefault="00B8782D">
      <w:r>
        <w:t xml:space="preserve">The Regulations are available on the </w:t>
      </w:r>
      <w:hyperlink r:id="rId66" w:history="1">
        <w:r>
          <w:rPr>
            <w:rStyle w:val="Hyperlink"/>
          </w:rPr>
          <w:t>ComLaw</w:t>
        </w:r>
      </w:hyperlink>
      <w:r>
        <w:t xml:space="preserve"> website.</w:t>
      </w:r>
    </w:p>
    <w:p w:rsidR="00B8782D" w:rsidRDefault="00B8782D">
      <w:pPr>
        <w:pStyle w:val="Heading3Nonumber"/>
      </w:pPr>
      <w:bookmarkStart w:id="139" w:name="_Toc384209888"/>
      <w:r>
        <w:t>International agreements and standards</w:t>
      </w:r>
      <w:bookmarkEnd w:id="139"/>
    </w:p>
    <w:p w:rsidR="00B8782D" w:rsidRDefault="00B8782D">
      <w:r>
        <w:t xml:space="preserve">The process set out in the </w:t>
      </w:r>
      <w:r>
        <w:rPr>
          <w:i/>
        </w:rPr>
        <w:t>Import Risk Analysis Handbook 2011</w:t>
      </w:r>
      <w:r>
        <w:t xml:space="preserve"> is consistent with Australia’s international obligations under the SPS Agreement. It also takes into account relevant international standards on risk assessment developed under the International Plant Protection Convention (IPPC) and by the World Organisation for Animal Health (OIE).</w:t>
      </w:r>
    </w:p>
    <w:p w:rsidR="00B8782D" w:rsidRDefault="00B8782D">
      <w:r>
        <w:t>Australia bases its national risk management measures on international standards where they exist and when they achieve Australia’s ALOP. Otherwise, Australia exercises its right under the SPS Agreement to apply science-based sanitary and phytosanitary measures that are not more trade restrictive than required to achieve Australia’s ALOP.</w:t>
      </w:r>
    </w:p>
    <w:p w:rsidR="00B8782D" w:rsidRDefault="00B8782D">
      <w:pPr>
        <w:pStyle w:val="Heading3Nonumber"/>
      </w:pPr>
      <w:bookmarkStart w:id="140" w:name="_Toc384209889"/>
      <w:r>
        <w:t>Notification obligations</w:t>
      </w:r>
      <w:bookmarkEnd w:id="140"/>
    </w:p>
    <w:p w:rsidR="00B8782D" w:rsidRDefault="00B8782D">
      <w:r>
        <w:t>Under the transparency provisions of the SPS Agreement, WTO Members are required, among other things, to notify other members of recommended sanitary or phytosanitary regulations, or changes to existing regulations, that are not substantially the same as the content of an international standard and that may have a significant effect on trade of other WTO Members.</w:t>
      </w:r>
    </w:p>
    <w:p w:rsidR="00B8782D" w:rsidRDefault="00B8782D">
      <w:pPr>
        <w:pStyle w:val="Heading3Nonumber"/>
      </w:pPr>
      <w:bookmarkStart w:id="141" w:name="_Toc384209890"/>
      <w:r>
        <w:t>Risk analysis</w:t>
      </w:r>
      <w:bookmarkEnd w:id="141"/>
    </w:p>
    <w:p w:rsidR="00B8782D" w:rsidRDefault="00B8782D">
      <w:r>
        <w:t>Within Australia’s quarantine framework, the Australian Government uses risk analyses to assist it in considering the level of quarantine risk that may be associated with the importation or proposed importation of animals, plants or other goods.</w:t>
      </w:r>
    </w:p>
    <w:p w:rsidR="00B8782D" w:rsidRDefault="00B8782D">
      <w:r>
        <w:lastRenderedPageBreak/>
        <w:t>In conducting a risk analysis, the Australian Government Department of Agriculture and Water Resources:</w:t>
      </w:r>
    </w:p>
    <w:p w:rsidR="00B8782D" w:rsidRDefault="00B8782D">
      <w:pPr>
        <w:pStyle w:val="ListBullet"/>
      </w:pPr>
      <w:r>
        <w:t>identifies the pests and diseases of quarantine concern that may be carried by the good</w:t>
      </w:r>
    </w:p>
    <w:p w:rsidR="00B8782D" w:rsidRDefault="00B8782D">
      <w:pPr>
        <w:pStyle w:val="ListBullet"/>
      </w:pPr>
      <w:r>
        <w:t>assesses the likelihood that an identified pest or disease would enter, establish or spread</w:t>
      </w:r>
    </w:p>
    <w:p w:rsidR="00B8782D" w:rsidRDefault="00B8782D">
      <w:pPr>
        <w:pStyle w:val="ListBullet"/>
      </w:pPr>
      <w:r>
        <w:t>assesses the probable extent of the harm that would result.</w:t>
      </w:r>
    </w:p>
    <w:p w:rsidR="00B8782D" w:rsidRDefault="00B8782D">
      <w:r>
        <w:t>If the assessed level of quarantine risk exceeds Australia’s ALOP, the Australian Government Department of Agriculture and Water Resources will consider whether there are any risk management measures that will reduce quarantine risk to achieve the ALOP. If there are no risk management measures that reduce the risk to that level, trade will not be allowed.</w:t>
      </w:r>
    </w:p>
    <w:p w:rsidR="00B8782D" w:rsidRDefault="00B8782D">
      <w:r>
        <w:t>Risk analyses may be carried out by the Australian Government Department of Agriculture and Water Resources’ specialists, but may also involve relevant experts from state and territory agencies, the Commonwealth Scientific and Industrial Research Organisation (CSIRO), universities and industry to access the technical expertise needed for a particular analysis.</w:t>
      </w:r>
    </w:p>
    <w:p w:rsidR="00B8782D" w:rsidRDefault="00B8782D">
      <w:pPr>
        <w:rPr>
          <w:i/>
        </w:rPr>
      </w:pPr>
      <w:r>
        <w:t xml:space="preserve">Risk analyses are conducted across a spectrum of scientific complexity and available scientific information. An IRA is a type of risk analysis with key steps regulated under the Quarantine Regulations 2000. The Australian Government Department of Agriculture and Water Resources’ assessment of risk may also take the form of a non-regulated analysis of existing policy or technical advice. Further information on the types of risk analysis is provided in the </w:t>
      </w:r>
      <w:r>
        <w:rPr>
          <w:i/>
        </w:rPr>
        <w:t>Import Risk Analysis Handbook 2011.</w:t>
      </w:r>
    </w:p>
    <w:p w:rsidR="00B8782D" w:rsidRDefault="00B8782D">
      <w:pPr>
        <w:rPr>
          <w:i/>
        </w:rPr>
      </w:pPr>
    </w:p>
    <w:p w:rsidR="00B8782D" w:rsidRDefault="00B8782D">
      <w:pPr>
        <w:rPr>
          <w:i/>
        </w:rPr>
        <w:sectPr w:rsidR="00B8782D">
          <w:headerReference w:type="default" r:id="rId67"/>
          <w:footerReference w:type="default" r:id="rId68"/>
          <w:pgSz w:w="11906" w:h="16838"/>
          <w:pgMar w:top="1418" w:right="1418" w:bottom="1418" w:left="1418" w:header="567" w:footer="283" w:gutter="0"/>
          <w:cols w:space="708"/>
          <w:docGrid w:linePitch="360"/>
        </w:sectPr>
      </w:pPr>
    </w:p>
    <w:p w:rsidR="00B8782D" w:rsidRDefault="00B8782D">
      <w:pPr>
        <w:pStyle w:val="Heading1nonumbers"/>
      </w:pPr>
      <w:bookmarkStart w:id="142" w:name="_Toc448312522"/>
      <w:r>
        <w:lastRenderedPageBreak/>
        <w:t>Glossary</w:t>
      </w:r>
      <w:bookmarkEnd w:id="142"/>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B8782D">
        <w:trPr>
          <w:cantSplit/>
          <w:tblHeader/>
        </w:trPr>
        <w:tc>
          <w:tcPr>
            <w:tcW w:w="1509" w:type="pct"/>
            <w:shd w:val="clear" w:color="auto" w:fill="auto"/>
          </w:tcPr>
          <w:p w:rsidR="00B8782D" w:rsidRDefault="00B8782D">
            <w:pPr>
              <w:pStyle w:val="TableHeading"/>
            </w:pPr>
            <w:r>
              <w:t>Term or abbreviation</w:t>
            </w:r>
          </w:p>
        </w:tc>
        <w:tc>
          <w:tcPr>
            <w:tcW w:w="3491" w:type="pct"/>
            <w:shd w:val="clear" w:color="auto" w:fill="auto"/>
          </w:tcPr>
          <w:p w:rsidR="00B8782D" w:rsidRDefault="00B8782D">
            <w:pPr>
              <w:pStyle w:val="TableHeading"/>
            </w:pPr>
            <w:r>
              <w:t>Definition</w:t>
            </w:r>
          </w:p>
        </w:tc>
      </w:tr>
      <w:tr w:rsidR="00B8782D">
        <w:tc>
          <w:tcPr>
            <w:tcW w:w="1509" w:type="pct"/>
            <w:shd w:val="clear" w:color="auto" w:fill="auto"/>
          </w:tcPr>
          <w:p w:rsidR="00B8782D" w:rsidRDefault="00B8782D">
            <w:pPr>
              <w:pStyle w:val="TableText"/>
            </w:pPr>
            <w:r>
              <w:t>Additional declaration</w:t>
            </w:r>
          </w:p>
        </w:tc>
        <w:tc>
          <w:tcPr>
            <w:tcW w:w="3491" w:type="pct"/>
            <w:shd w:val="clear" w:color="auto" w:fill="auto"/>
          </w:tcPr>
          <w:p w:rsidR="00B8782D" w:rsidRDefault="00B8782D" w:rsidP="00750C8B">
            <w:pPr>
              <w:pStyle w:val="TableText"/>
            </w:pPr>
            <w:r>
              <w:t xml:space="preserve">A statement that is required by an importing country to be entered on a phytosanitary certificate and which provides specific additional information on a consignment in relation to regulated pests </w:t>
            </w:r>
            <w:r>
              <w:rPr>
                <w:noProof/>
              </w:rPr>
              <w:t>(FAO 2015a)</w:t>
            </w:r>
            <w:r>
              <w:t>.</w:t>
            </w:r>
          </w:p>
        </w:tc>
      </w:tr>
      <w:tr w:rsidR="00B8782D">
        <w:tc>
          <w:tcPr>
            <w:tcW w:w="1509" w:type="pct"/>
            <w:shd w:val="clear" w:color="auto" w:fill="auto"/>
          </w:tcPr>
          <w:p w:rsidR="00B8782D" w:rsidRDefault="00B8782D">
            <w:pPr>
              <w:pStyle w:val="TableText"/>
            </w:pPr>
            <w:r>
              <w:t>Anamorph</w:t>
            </w:r>
          </w:p>
        </w:tc>
        <w:tc>
          <w:tcPr>
            <w:tcW w:w="3491" w:type="pct"/>
            <w:shd w:val="clear" w:color="auto" w:fill="auto"/>
          </w:tcPr>
          <w:p w:rsidR="00B8782D" w:rsidRDefault="00B8782D">
            <w:pPr>
              <w:pStyle w:val="TableText"/>
            </w:pPr>
            <w:r>
              <w:t>An asexual stage in the life cycle of a fungus, also known as the imperfect state of a fungus.</w:t>
            </w:r>
          </w:p>
        </w:tc>
      </w:tr>
      <w:tr w:rsidR="00B8782D">
        <w:tc>
          <w:tcPr>
            <w:tcW w:w="1509" w:type="pct"/>
            <w:shd w:val="clear" w:color="auto" w:fill="auto"/>
          </w:tcPr>
          <w:p w:rsidR="00B8782D" w:rsidRDefault="00B8782D">
            <w:pPr>
              <w:pStyle w:val="TableText"/>
            </w:pPr>
            <w:r>
              <w:t>Appropriate level of protection (ALOP)</w:t>
            </w:r>
          </w:p>
        </w:tc>
        <w:tc>
          <w:tcPr>
            <w:tcW w:w="3491" w:type="pct"/>
            <w:shd w:val="clear" w:color="auto" w:fill="auto"/>
          </w:tcPr>
          <w:p w:rsidR="00B8782D" w:rsidRDefault="00B8782D" w:rsidP="00750C8B">
            <w:pPr>
              <w:pStyle w:val="TableText"/>
            </w:pPr>
            <w:r>
              <w:t xml:space="preserve">The level of protection deemed appropriate by the Member establishing a sanitary or phytosanitary measure to protect human, animal or plant life or health within its territory </w:t>
            </w:r>
            <w:r>
              <w:rPr>
                <w:noProof/>
              </w:rPr>
              <w:t>(WTO 1995)</w:t>
            </w:r>
            <w:r>
              <w:t>.</w:t>
            </w:r>
          </w:p>
        </w:tc>
      </w:tr>
      <w:tr w:rsidR="00B8782D">
        <w:tc>
          <w:tcPr>
            <w:tcW w:w="1509" w:type="pct"/>
            <w:shd w:val="clear" w:color="auto" w:fill="auto"/>
          </w:tcPr>
          <w:p w:rsidR="00B8782D" w:rsidRDefault="00B8782D">
            <w:pPr>
              <w:pStyle w:val="TableText"/>
            </w:pPr>
            <w:r>
              <w:t>Area</w:t>
            </w:r>
          </w:p>
        </w:tc>
        <w:tc>
          <w:tcPr>
            <w:tcW w:w="3491" w:type="pct"/>
            <w:shd w:val="clear" w:color="auto" w:fill="auto"/>
          </w:tcPr>
          <w:p w:rsidR="00B8782D" w:rsidRDefault="00B8782D" w:rsidP="00750C8B">
            <w:pPr>
              <w:pStyle w:val="TableText"/>
            </w:pPr>
            <w:r>
              <w:t xml:space="preserve">An officially defined country, part of a country or all or parts of several countries </w:t>
            </w:r>
            <w:r>
              <w:rPr>
                <w:noProof/>
              </w:rPr>
              <w:t>(FAO 2015a)</w:t>
            </w:r>
            <w:r>
              <w:t>.</w:t>
            </w:r>
          </w:p>
        </w:tc>
      </w:tr>
      <w:tr w:rsidR="00B8782D">
        <w:tc>
          <w:tcPr>
            <w:tcW w:w="1509" w:type="pct"/>
            <w:shd w:val="clear" w:color="auto" w:fill="auto"/>
          </w:tcPr>
          <w:p w:rsidR="00B8782D" w:rsidRDefault="00B8782D">
            <w:pPr>
              <w:pStyle w:val="TableText"/>
            </w:pPr>
            <w:r>
              <w:t>Area of low pest prevalence</w:t>
            </w:r>
          </w:p>
        </w:tc>
        <w:tc>
          <w:tcPr>
            <w:tcW w:w="3491" w:type="pct"/>
            <w:shd w:val="clear" w:color="auto" w:fill="auto"/>
          </w:tcPr>
          <w:p w:rsidR="00B8782D" w:rsidRDefault="00B8782D" w:rsidP="00750C8B">
            <w:pPr>
              <w:pStyle w:val="TableText"/>
            </w:pPr>
            <w:r>
              <w:t xml:space="preserve">An area, whether all of a country, part of a country, or all parts of several countries, as identified by the competent authorities, in which a specific pest occurs at low levels and which is subject to effective surveillance, control or eradication measures </w:t>
            </w:r>
            <w:r>
              <w:rPr>
                <w:noProof/>
              </w:rPr>
              <w:t>(FAO 2015a)</w:t>
            </w:r>
            <w:r>
              <w:t>.</w:t>
            </w:r>
          </w:p>
        </w:tc>
      </w:tr>
      <w:tr w:rsidR="00B8782D">
        <w:tc>
          <w:tcPr>
            <w:tcW w:w="1509" w:type="pct"/>
            <w:shd w:val="clear" w:color="auto" w:fill="auto"/>
          </w:tcPr>
          <w:p w:rsidR="00B8782D" w:rsidRDefault="00B8782D">
            <w:pPr>
              <w:pStyle w:val="TableText"/>
            </w:pPr>
            <w:r>
              <w:t>Arthropod</w:t>
            </w:r>
          </w:p>
        </w:tc>
        <w:tc>
          <w:tcPr>
            <w:tcW w:w="3491" w:type="pct"/>
            <w:shd w:val="clear" w:color="auto" w:fill="auto"/>
          </w:tcPr>
          <w:p w:rsidR="00B8782D" w:rsidRDefault="00B8782D">
            <w:pPr>
              <w:pStyle w:val="TableText"/>
            </w:pPr>
            <w:r>
              <w:t>The largest phylum of animals, including the insects, arachnids and crustaceans.</w:t>
            </w:r>
          </w:p>
        </w:tc>
      </w:tr>
      <w:tr w:rsidR="00B8782D">
        <w:tc>
          <w:tcPr>
            <w:tcW w:w="1509" w:type="pct"/>
            <w:shd w:val="clear" w:color="auto" w:fill="auto"/>
          </w:tcPr>
          <w:p w:rsidR="00B8782D" w:rsidRDefault="00B8782D">
            <w:pPr>
              <w:pStyle w:val="TableText"/>
            </w:pPr>
            <w:r>
              <w:t>Asexual reproduction</w:t>
            </w:r>
          </w:p>
        </w:tc>
        <w:tc>
          <w:tcPr>
            <w:tcW w:w="3491" w:type="pct"/>
            <w:shd w:val="clear" w:color="auto" w:fill="auto"/>
          </w:tcPr>
          <w:p w:rsidR="00B8782D" w:rsidRDefault="00B8782D">
            <w:pPr>
              <w:pStyle w:val="TableText"/>
            </w:pPr>
            <w:r>
              <w:t>The development of new individual from a single cell or group of cells in the absence of meiosis.</w:t>
            </w:r>
          </w:p>
        </w:tc>
      </w:tr>
      <w:tr w:rsidR="00B8782D">
        <w:tc>
          <w:tcPr>
            <w:tcW w:w="1509" w:type="pct"/>
            <w:shd w:val="clear" w:color="auto" w:fill="auto"/>
          </w:tcPr>
          <w:p w:rsidR="00B8782D" w:rsidRDefault="00B8782D">
            <w:pPr>
              <w:pStyle w:val="TableText"/>
            </w:pPr>
            <w:r>
              <w:t>Biosecurity Australia</w:t>
            </w:r>
          </w:p>
        </w:tc>
        <w:tc>
          <w:tcPr>
            <w:tcW w:w="3491" w:type="pct"/>
            <w:shd w:val="clear" w:color="auto" w:fill="auto"/>
          </w:tcPr>
          <w:p w:rsidR="00B8782D" w:rsidRDefault="00B8782D">
            <w:pPr>
              <w:pStyle w:val="TableText"/>
            </w:pPr>
            <w:r>
              <w:t>The previous name for the unit, within the Australian Government Department of Agriculture and Water Resources, responsible for recommendations for the development of Australia’s biosecurity policy. These functions are undertaken within the Plant Division of the Australian Government Department of Agriculture and Water Resources.</w:t>
            </w:r>
          </w:p>
        </w:tc>
      </w:tr>
      <w:tr w:rsidR="00B8782D">
        <w:tc>
          <w:tcPr>
            <w:tcW w:w="1509" w:type="pct"/>
            <w:shd w:val="clear" w:color="auto" w:fill="auto"/>
          </w:tcPr>
          <w:p w:rsidR="00B8782D" w:rsidRDefault="00B8782D">
            <w:pPr>
              <w:pStyle w:val="TableText"/>
            </w:pPr>
            <w:r>
              <w:t>Certificate</w:t>
            </w:r>
          </w:p>
        </w:tc>
        <w:tc>
          <w:tcPr>
            <w:tcW w:w="3491" w:type="pct"/>
            <w:shd w:val="clear" w:color="auto" w:fill="auto"/>
          </w:tcPr>
          <w:p w:rsidR="00B8782D" w:rsidRDefault="00B8782D" w:rsidP="00750C8B">
            <w:pPr>
              <w:pStyle w:val="TableText"/>
            </w:pPr>
            <w:r>
              <w:t xml:space="preserve">An official document which attests to the phytosanitary status of any consignment affected by phytosanitary regulations </w:t>
            </w:r>
            <w:r>
              <w:rPr>
                <w:noProof/>
              </w:rPr>
              <w:t>(FAO 2015a)</w:t>
            </w:r>
            <w:r>
              <w:t xml:space="preserve">. </w:t>
            </w:r>
          </w:p>
        </w:tc>
      </w:tr>
      <w:tr w:rsidR="00B8782D">
        <w:tc>
          <w:tcPr>
            <w:tcW w:w="1509" w:type="pct"/>
            <w:shd w:val="clear" w:color="auto" w:fill="auto"/>
          </w:tcPr>
          <w:p w:rsidR="00B8782D" w:rsidRDefault="00B8782D">
            <w:pPr>
              <w:pStyle w:val="TableText"/>
            </w:pPr>
            <w:r>
              <w:t>Consignment</w:t>
            </w:r>
          </w:p>
        </w:tc>
        <w:tc>
          <w:tcPr>
            <w:tcW w:w="3491" w:type="pct"/>
            <w:shd w:val="clear" w:color="auto" w:fill="auto"/>
          </w:tcPr>
          <w:p w:rsidR="00B8782D" w:rsidRDefault="00B8782D" w:rsidP="00750C8B">
            <w:pPr>
              <w:pStyle w:val="TableText"/>
            </w:pPr>
            <w:r>
              <w:t xml:space="preserve">A quantity of plants, plant products and/or other articles being moved from one country to another and covered, when required, by a single phytosanitary certificate (a consignment may be composed of one or more commodities or lots) </w:t>
            </w:r>
            <w:r>
              <w:rPr>
                <w:noProof/>
              </w:rPr>
              <w:t>(FAO 2015a)</w:t>
            </w:r>
            <w:r>
              <w:t>.</w:t>
            </w:r>
          </w:p>
        </w:tc>
      </w:tr>
      <w:tr w:rsidR="00B8782D">
        <w:tc>
          <w:tcPr>
            <w:tcW w:w="1509" w:type="pct"/>
            <w:shd w:val="clear" w:color="auto" w:fill="auto"/>
          </w:tcPr>
          <w:p w:rsidR="00B8782D" w:rsidRDefault="00B8782D">
            <w:pPr>
              <w:pStyle w:val="TableText"/>
            </w:pPr>
            <w:r>
              <w:t>Control (of a pest)</w:t>
            </w:r>
          </w:p>
        </w:tc>
        <w:tc>
          <w:tcPr>
            <w:tcW w:w="3491" w:type="pct"/>
            <w:shd w:val="clear" w:color="auto" w:fill="auto"/>
          </w:tcPr>
          <w:p w:rsidR="00B8782D" w:rsidRDefault="00B8782D" w:rsidP="00750C8B">
            <w:pPr>
              <w:pStyle w:val="TableText"/>
            </w:pPr>
            <w:r>
              <w:t xml:space="preserve">Suppression, containment or eradication of a pest population </w:t>
            </w:r>
            <w:r>
              <w:rPr>
                <w:noProof/>
              </w:rPr>
              <w:t>(FAO 2015a)</w:t>
            </w:r>
            <w:r>
              <w:t>.</w:t>
            </w:r>
          </w:p>
        </w:tc>
      </w:tr>
      <w:tr w:rsidR="00B8782D">
        <w:tc>
          <w:tcPr>
            <w:tcW w:w="1509" w:type="pct"/>
            <w:shd w:val="clear" w:color="auto" w:fill="auto"/>
          </w:tcPr>
          <w:p w:rsidR="00B8782D" w:rsidRDefault="00B8782D">
            <w:pPr>
              <w:pStyle w:val="TableText"/>
            </w:pPr>
            <w:r>
              <w:t>Diapause</w:t>
            </w:r>
          </w:p>
        </w:tc>
        <w:tc>
          <w:tcPr>
            <w:tcW w:w="3491" w:type="pct"/>
            <w:shd w:val="clear" w:color="auto" w:fill="auto"/>
          </w:tcPr>
          <w:p w:rsidR="00B8782D" w:rsidRDefault="00B8782D">
            <w:pPr>
              <w:pStyle w:val="TableText"/>
            </w:pPr>
            <w:r>
              <w:t>Period of suspended development/growth occurring in some insects, in which metabolism is decreased.</w:t>
            </w:r>
          </w:p>
        </w:tc>
      </w:tr>
      <w:tr w:rsidR="00B8782D">
        <w:tc>
          <w:tcPr>
            <w:tcW w:w="1509" w:type="pct"/>
            <w:shd w:val="clear" w:color="auto" w:fill="auto"/>
          </w:tcPr>
          <w:p w:rsidR="00B8782D" w:rsidRDefault="00B8782D">
            <w:pPr>
              <w:pStyle w:val="TableText"/>
            </w:pPr>
            <w:r>
              <w:t>Disease</w:t>
            </w:r>
          </w:p>
        </w:tc>
        <w:tc>
          <w:tcPr>
            <w:tcW w:w="3491" w:type="pct"/>
            <w:shd w:val="clear" w:color="auto" w:fill="auto"/>
          </w:tcPr>
          <w:p w:rsidR="00B8782D" w:rsidRDefault="00B8782D">
            <w:pPr>
              <w:pStyle w:val="TableText"/>
            </w:pPr>
            <w:r>
              <w:t>A condition of part or all of an organism that may result from various causes such as infection, genetic defect or environmental stress.</w:t>
            </w:r>
          </w:p>
        </w:tc>
      </w:tr>
      <w:tr w:rsidR="00B8782D">
        <w:tc>
          <w:tcPr>
            <w:tcW w:w="1509" w:type="pct"/>
            <w:shd w:val="clear" w:color="auto" w:fill="auto"/>
          </w:tcPr>
          <w:p w:rsidR="00B8782D" w:rsidRDefault="00B8782D">
            <w:pPr>
              <w:pStyle w:val="TableText"/>
            </w:pPr>
            <w:r>
              <w:t>Endangered area</w:t>
            </w:r>
          </w:p>
        </w:tc>
        <w:tc>
          <w:tcPr>
            <w:tcW w:w="3491" w:type="pct"/>
            <w:shd w:val="clear" w:color="auto" w:fill="auto"/>
          </w:tcPr>
          <w:p w:rsidR="00B8782D" w:rsidRDefault="00B8782D" w:rsidP="00750C8B">
            <w:pPr>
              <w:pStyle w:val="TableText"/>
            </w:pPr>
            <w:r>
              <w:t xml:space="preserve">An area where ecological factors favour the establishment of a pest whose presence in the area will result in economically important loss </w:t>
            </w:r>
            <w:r>
              <w:rPr>
                <w:noProof/>
              </w:rPr>
              <w:t>(FAO 2015a)</w:t>
            </w:r>
            <w:r>
              <w:t>.</w:t>
            </w:r>
          </w:p>
        </w:tc>
      </w:tr>
      <w:tr w:rsidR="00B8782D">
        <w:tc>
          <w:tcPr>
            <w:tcW w:w="1509" w:type="pct"/>
            <w:shd w:val="clear" w:color="auto" w:fill="auto"/>
          </w:tcPr>
          <w:p w:rsidR="00B8782D" w:rsidRDefault="00B8782D">
            <w:pPr>
              <w:pStyle w:val="TableText"/>
            </w:pPr>
            <w:r>
              <w:t>Endemic</w:t>
            </w:r>
          </w:p>
        </w:tc>
        <w:tc>
          <w:tcPr>
            <w:tcW w:w="3491" w:type="pct"/>
            <w:shd w:val="clear" w:color="auto" w:fill="auto"/>
          </w:tcPr>
          <w:p w:rsidR="00B8782D" w:rsidRDefault="00B8782D">
            <w:pPr>
              <w:pStyle w:val="TableText"/>
            </w:pPr>
            <w:r>
              <w:t>Belonging to, native to, or prevalent in a particular geography, area or environment.</w:t>
            </w:r>
          </w:p>
        </w:tc>
      </w:tr>
      <w:tr w:rsidR="00B8782D">
        <w:tc>
          <w:tcPr>
            <w:tcW w:w="1509" w:type="pct"/>
            <w:shd w:val="clear" w:color="auto" w:fill="auto"/>
          </w:tcPr>
          <w:p w:rsidR="00B8782D" w:rsidRDefault="00B8782D">
            <w:pPr>
              <w:pStyle w:val="TableText"/>
            </w:pPr>
            <w:r>
              <w:t>Entry (of a pest)</w:t>
            </w:r>
          </w:p>
        </w:tc>
        <w:tc>
          <w:tcPr>
            <w:tcW w:w="3491" w:type="pct"/>
            <w:shd w:val="clear" w:color="auto" w:fill="auto"/>
          </w:tcPr>
          <w:p w:rsidR="00B8782D" w:rsidRDefault="00B8782D" w:rsidP="00750C8B">
            <w:pPr>
              <w:pStyle w:val="TableText"/>
            </w:pPr>
            <w:r>
              <w:t xml:space="preserve">Movement of a pest into an area where it is not yet present, or present but not widely distributed and being officially controlled </w:t>
            </w:r>
            <w:r>
              <w:rPr>
                <w:noProof/>
              </w:rPr>
              <w:t>(FAO 2015a)</w:t>
            </w:r>
            <w:r>
              <w:t>.</w:t>
            </w:r>
          </w:p>
        </w:tc>
      </w:tr>
      <w:tr w:rsidR="00B8782D">
        <w:tc>
          <w:tcPr>
            <w:tcW w:w="1509" w:type="pct"/>
            <w:shd w:val="clear" w:color="auto" w:fill="auto"/>
          </w:tcPr>
          <w:p w:rsidR="00B8782D" w:rsidRDefault="00B8782D">
            <w:pPr>
              <w:pStyle w:val="TableText"/>
            </w:pPr>
            <w:r>
              <w:t>Establishment</w:t>
            </w:r>
          </w:p>
        </w:tc>
        <w:tc>
          <w:tcPr>
            <w:tcW w:w="3491" w:type="pct"/>
            <w:shd w:val="clear" w:color="auto" w:fill="auto"/>
          </w:tcPr>
          <w:p w:rsidR="00B8782D" w:rsidRDefault="00B8782D" w:rsidP="00750C8B">
            <w:pPr>
              <w:pStyle w:val="TableText"/>
            </w:pPr>
            <w:r>
              <w:t xml:space="preserve">Perpetuation, for the foreseeable future, of a pest within an area after entry </w:t>
            </w:r>
            <w:r>
              <w:rPr>
                <w:noProof/>
              </w:rPr>
              <w:t>(FAO 2015a)</w:t>
            </w:r>
            <w:r>
              <w:t>.</w:t>
            </w:r>
          </w:p>
        </w:tc>
      </w:tr>
      <w:tr w:rsidR="00B8782D">
        <w:tc>
          <w:tcPr>
            <w:tcW w:w="1509" w:type="pct"/>
            <w:shd w:val="clear" w:color="auto" w:fill="auto"/>
          </w:tcPr>
          <w:p w:rsidR="00B8782D" w:rsidRDefault="00B8782D">
            <w:pPr>
              <w:pStyle w:val="TableText"/>
            </w:pPr>
            <w:r>
              <w:t>Fecundity</w:t>
            </w:r>
          </w:p>
        </w:tc>
        <w:tc>
          <w:tcPr>
            <w:tcW w:w="3491" w:type="pct"/>
            <w:shd w:val="clear" w:color="auto" w:fill="auto"/>
          </w:tcPr>
          <w:p w:rsidR="00B8782D" w:rsidRDefault="00B8782D">
            <w:pPr>
              <w:pStyle w:val="TableText"/>
            </w:pPr>
            <w:r>
              <w:t>The fertility of an organism.</w:t>
            </w:r>
          </w:p>
        </w:tc>
      </w:tr>
      <w:tr w:rsidR="00B8782D">
        <w:tc>
          <w:tcPr>
            <w:tcW w:w="1509" w:type="pct"/>
            <w:shd w:val="clear" w:color="auto" w:fill="auto"/>
          </w:tcPr>
          <w:p w:rsidR="00B8782D" w:rsidRDefault="00B8782D">
            <w:pPr>
              <w:pStyle w:val="TableText"/>
            </w:pPr>
            <w:r>
              <w:t>Fresh</w:t>
            </w:r>
          </w:p>
        </w:tc>
        <w:tc>
          <w:tcPr>
            <w:tcW w:w="3491" w:type="pct"/>
            <w:shd w:val="clear" w:color="auto" w:fill="auto"/>
          </w:tcPr>
          <w:p w:rsidR="00B8782D" w:rsidRDefault="00B8782D" w:rsidP="00750C8B">
            <w:pPr>
              <w:pStyle w:val="TableText"/>
            </w:pPr>
            <w:r>
              <w:t>Living; not dried, deep</w:t>
            </w:r>
            <w:r>
              <w:noBreakHyphen/>
              <w:t xml:space="preserve">frozen or otherwise conserved </w:t>
            </w:r>
            <w:r>
              <w:rPr>
                <w:noProof/>
              </w:rPr>
              <w:t>(FAO 2015a)</w:t>
            </w:r>
            <w:r>
              <w:t>.</w:t>
            </w:r>
          </w:p>
        </w:tc>
      </w:tr>
      <w:tr w:rsidR="00B8782D">
        <w:tc>
          <w:tcPr>
            <w:tcW w:w="1509" w:type="pct"/>
            <w:shd w:val="clear" w:color="auto" w:fill="auto"/>
          </w:tcPr>
          <w:p w:rsidR="00B8782D" w:rsidRDefault="00B8782D">
            <w:pPr>
              <w:pStyle w:val="TableText"/>
            </w:pPr>
            <w:r>
              <w:t>Fumigation</w:t>
            </w:r>
          </w:p>
        </w:tc>
        <w:tc>
          <w:tcPr>
            <w:tcW w:w="3491" w:type="pct"/>
            <w:shd w:val="clear" w:color="auto" w:fill="auto"/>
          </w:tcPr>
          <w:p w:rsidR="00B8782D" w:rsidRDefault="00B8782D">
            <w:pPr>
              <w:pStyle w:val="TableText"/>
            </w:pPr>
            <w:r>
              <w:t>A method of pest control that completely fills an area with gaseous pesticides to suffocate or poison the pests within.</w:t>
            </w:r>
          </w:p>
        </w:tc>
      </w:tr>
      <w:tr w:rsidR="00B8782D">
        <w:tc>
          <w:tcPr>
            <w:tcW w:w="1509" w:type="pct"/>
            <w:shd w:val="clear" w:color="auto" w:fill="auto"/>
          </w:tcPr>
          <w:p w:rsidR="00B8782D" w:rsidRDefault="00B8782D">
            <w:pPr>
              <w:pStyle w:val="TableText"/>
            </w:pPr>
            <w:r>
              <w:t>Genus</w:t>
            </w:r>
          </w:p>
        </w:tc>
        <w:tc>
          <w:tcPr>
            <w:tcW w:w="3491" w:type="pct"/>
            <w:shd w:val="clear" w:color="auto" w:fill="auto"/>
          </w:tcPr>
          <w:p w:rsidR="00B8782D" w:rsidRDefault="00B8782D">
            <w:pPr>
              <w:pStyle w:val="TableText"/>
            </w:pPr>
            <w:r>
              <w:t xml:space="preserve">A taxonomic category ranking below a family and above a species and generally consisting of a group of species exhibiting similar characteristics. In taxonomic </w:t>
            </w:r>
            <w:r>
              <w:lastRenderedPageBreak/>
              <w:t>nomenclature the genus name is used, either alone or followed by a Latin adjective or epithet, to form the name of a species.</w:t>
            </w:r>
          </w:p>
        </w:tc>
      </w:tr>
      <w:tr w:rsidR="00B8782D">
        <w:tc>
          <w:tcPr>
            <w:tcW w:w="1509" w:type="pct"/>
            <w:shd w:val="clear" w:color="auto" w:fill="auto"/>
          </w:tcPr>
          <w:p w:rsidR="00B8782D" w:rsidRDefault="00B8782D">
            <w:pPr>
              <w:pStyle w:val="TableText"/>
            </w:pPr>
            <w:r>
              <w:lastRenderedPageBreak/>
              <w:t>Host</w:t>
            </w:r>
          </w:p>
        </w:tc>
        <w:tc>
          <w:tcPr>
            <w:tcW w:w="3491" w:type="pct"/>
            <w:shd w:val="clear" w:color="auto" w:fill="auto"/>
          </w:tcPr>
          <w:p w:rsidR="00B8782D" w:rsidRDefault="00B8782D">
            <w:pPr>
              <w:pStyle w:val="TableText"/>
            </w:pPr>
            <w:r>
              <w:t>An organism that harbours a parasite, mutual partner, or commensal partner, typically providing nourishment and shelter.</w:t>
            </w:r>
          </w:p>
        </w:tc>
      </w:tr>
      <w:tr w:rsidR="00B8782D">
        <w:tc>
          <w:tcPr>
            <w:tcW w:w="1509" w:type="pct"/>
            <w:shd w:val="clear" w:color="auto" w:fill="auto"/>
          </w:tcPr>
          <w:p w:rsidR="00B8782D" w:rsidRDefault="00B8782D">
            <w:pPr>
              <w:pStyle w:val="TableText"/>
            </w:pPr>
            <w:r>
              <w:t>Host range</w:t>
            </w:r>
          </w:p>
        </w:tc>
        <w:tc>
          <w:tcPr>
            <w:tcW w:w="3491" w:type="pct"/>
            <w:shd w:val="clear" w:color="auto" w:fill="auto"/>
          </w:tcPr>
          <w:p w:rsidR="00B8782D" w:rsidRDefault="00B8782D" w:rsidP="00750C8B">
            <w:pPr>
              <w:pStyle w:val="TableText"/>
            </w:pPr>
            <w:r>
              <w:t xml:space="preserve">Species capable, under natural conditions, of sustaining a specific pest or other organism </w:t>
            </w:r>
            <w:r>
              <w:rPr>
                <w:noProof/>
              </w:rPr>
              <w:t>(FAO 2015a)</w:t>
            </w:r>
            <w:r>
              <w:t>.</w:t>
            </w:r>
          </w:p>
        </w:tc>
      </w:tr>
      <w:tr w:rsidR="00B8782D">
        <w:tc>
          <w:tcPr>
            <w:tcW w:w="1509" w:type="pct"/>
            <w:shd w:val="clear" w:color="auto" w:fill="auto"/>
          </w:tcPr>
          <w:p w:rsidR="00B8782D" w:rsidRDefault="00B8782D">
            <w:pPr>
              <w:pStyle w:val="TableText"/>
            </w:pPr>
            <w:r>
              <w:t>Import permit</w:t>
            </w:r>
          </w:p>
        </w:tc>
        <w:tc>
          <w:tcPr>
            <w:tcW w:w="3491" w:type="pct"/>
            <w:shd w:val="clear" w:color="auto" w:fill="auto"/>
          </w:tcPr>
          <w:p w:rsidR="00B8782D" w:rsidRDefault="00B8782D" w:rsidP="00750C8B">
            <w:pPr>
              <w:pStyle w:val="TableText"/>
            </w:pPr>
            <w:r>
              <w:t xml:space="preserve">Official document authorising importation of a commodity in accordance with specified phytosanitary import requirements </w:t>
            </w:r>
            <w:r>
              <w:rPr>
                <w:noProof/>
              </w:rPr>
              <w:t>(FAO 2015a)</w:t>
            </w:r>
            <w:r>
              <w:t>.</w:t>
            </w:r>
          </w:p>
        </w:tc>
      </w:tr>
      <w:tr w:rsidR="00B8782D">
        <w:tc>
          <w:tcPr>
            <w:tcW w:w="1509" w:type="pct"/>
            <w:shd w:val="clear" w:color="auto" w:fill="auto"/>
          </w:tcPr>
          <w:p w:rsidR="00B8782D" w:rsidRDefault="00B8782D">
            <w:pPr>
              <w:pStyle w:val="TableText"/>
            </w:pPr>
            <w:r>
              <w:t>Import risk analysis</w:t>
            </w:r>
          </w:p>
        </w:tc>
        <w:tc>
          <w:tcPr>
            <w:tcW w:w="3491" w:type="pct"/>
            <w:shd w:val="clear" w:color="auto" w:fill="auto"/>
          </w:tcPr>
          <w:p w:rsidR="00B8782D" w:rsidRDefault="00B8782D">
            <w:pPr>
              <w:pStyle w:val="TableText"/>
            </w:pPr>
            <w:r>
              <w:t>An administrative process through which quarantine policy is developed or reviewed, incorporating risk assessment, risk management and risk communication.</w:t>
            </w:r>
          </w:p>
        </w:tc>
      </w:tr>
      <w:tr w:rsidR="00B8782D">
        <w:tc>
          <w:tcPr>
            <w:tcW w:w="1509" w:type="pct"/>
            <w:shd w:val="clear" w:color="auto" w:fill="auto"/>
          </w:tcPr>
          <w:p w:rsidR="00B8782D" w:rsidRDefault="00B8782D">
            <w:pPr>
              <w:pStyle w:val="TableText"/>
            </w:pPr>
            <w:r>
              <w:t>Infection</w:t>
            </w:r>
          </w:p>
        </w:tc>
        <w:tc>
          <w:tcPr>
            <w:tcW w:w="3491" w:type="pct"/>
            <w:shd w:val="clear" w:color="auto" w:fill="auto"/>
          </w:tcPr>
          <w:p w:rsidR="00B8782D" w:rsidRDefault="00B8782D">
            <w:pPr>
              <w:pStyle w:val="TableText"/>
            </w:pPr>
            <w:r>
              <w:t>The internal ‘endophytic’ colonisation of a plant, or plant organ, and is generally associated with the development of disease symptoms as the integrity of cells and/or biological processes are disrupted.</w:t>
            </w:r>
          </w:p>
        </w:tc>
      </w:tr>
      <w:tr w:rsidR="00B8782D">
        <w:tc>
          <w:tcPr>
            <w:tcW w:w="1509" w:type="pct"/>
            <w:shd w:val="clear" w:color="auto" w:fill="auto"/>
          </w:tcPr>
          <w:p w:rsidR="00B8782D" w:rsidRDefault="00B8782D">
            <w:pPr>
              <w:pStyle w:val="TableText"/>
            </w:pPr>
            <w:r>
              <w:t>Infestation (of a commodity)</w:t>
            </w:r>
          </w:p>
        </w:tc>
        <w:tc>
          <w:tcPr>
            <w:tcW w:w="3491" w:type="pct"/>
            <w:shd w:val="clear" w:color="auto" w:fill="auto"/>
          </w:tcPr>
          <w:p w:rsidR="00B8782D" w:rsidRDefault="00B8782D" w:rsidP="00750C8B">
            <w:pPr>
              <w:pStyle w:val="TableText"/>
            </w:pPr>
            <w:r>
              <w:t xml:space="preserve">Presence in a commodity of a living pest of the plant or plant product concerned. Infestation includes infection </w:t>
            </w:r>
            <w:r>
              <w:rPr>
                <w:noProof/>
              </w:rPr>
              <w:t>(FAO 2015a)</w:t>
            </w:r>
            <w:r>
              <w:t>.</w:t>
            </w:r>
          </w:p>
        </w:tc>
      </w:tr>
      <w:tr w:rsidR="00B8782D">
        <w:tc>
          <w:tcPr>
            <w:tcW w:w="1509" w:type="pct"/>
            <w:shd w:val="clear" w:color="auto" w:fill="auto"/>
          </w:tcPr>
          <w:p w:rsidR="00B8782D" w:rsidRDefault="00B8782D">
            <w:pPr>
              <w:pStyle w:val="TableText"/>
            </w:pPr>
            <w:r>
              <w:t>Inspection</w:t>
            </w:r>
          </w:p>
        </w:tc>
        <w:tc>
          <w:tcPr>
            <w:tcW w:w="3491" w:type="pct"/>
            <w:shd w:val="clear" w:color="auto" w:fill="auto"/>
          </w:tcPr>
          <w:p w:rsidR="00B8782D" w:rsidRDefault="00B8782D" w:rsidP="00750C8B">
            <w:pPr>
              <w:pStyle w:val="TableText"/>
            </w:pPr>
            <w:r>
              <w:t xml:space="preserve">Official visual examination of plants, plant products or other regulated articles to determine if pests are present and/or to determine compliance with phytosanitary regulations </w:t>
            </w:r>
            <w:r>
              <w:rPr>
                <w:noProof/>
              </w:rPr>
              <w:t>(FAO 2015a)</w:t>
            </w:r>
            <w:r>
              <w:t>.</w:t>
            </w:r>
          </w:p>
        </w:tc>
      </w:tr>
      <w:tr w:rsidR="00B8782D">
        <w:tc>
          <w:tcPr>
            <w:tcW w:w="1509" w:type="pct"/>
            <w:shd w:val="clear" w:color="auto" w:fill="auto"/>
          </w:tcPr>
          <w:p w:rsidR="00B8782D" w:rsidRDefault="00B8782D">
            <w:pPr>
              <w:pStyle w:val="TableText"/>
            </w:pPr>
            <w:r>
              <w:t>Intended use</w:t>
            </w:r>
          </w:p>
        </w:tc>
        <w:tc>
          <w:tcPr>
            <w:tcW w:w="3491" w:type="pct"/>
            <w:shd w:val="clear" w:color="auto" w:fill="auto"/>
          </w:tcPr>
          <w:p w:rsidR="00B8782D" w:rsidRDefault="00B8782D" w:rsidP="00750C8B">
            <w:pPr>
              <w:pStyle w:val="TableText"/>
            </w:pPr>
            <w:r>
              <w:t xml:space="preserve">Declared purpose for which plants, plant products, or other regulated articles are imported, produced, or used </w:t>
            </w:r>
            <w:r>
              <w:rPr>
                <w:noProof/>
              </w:rPr>
              <w:t>(FAO 2015a)</w:t>
            </w:r>
            <w:r>
              <w:t>.</w:t>
            </w:r>
          </w:p>
        </w:tc>
      </w:tr>
      <w:tr w:rsidR="00B8782D">
        <w:tc>
          <w:tcPr>
            <w:tcW w:w="1509" w:type="pct"/>
            <w:shd w:val="clear" w:color="auto" w:fill="auto"/>
          </w:tcPr>
          <w:p w:rsidR="00B8782D" w:rsidRDefault="00B8782D">
            <w:pPr>
              <w:pStyle w:val="TableText"/>
            </w:pPr>
            <w:r>
              <w:t>Interception (of a pest)</w:t>
            </w:r>
          </w:p>
        </w:tc>
        <w:tc>
          <w:tcPr>
            <w:tcW w:w="3491" w:type="pct"/>
            <w:shd w:val="clear" w:color="auto" w:fill="auto"/>
          </w:tcPr>
          <w:p w:rsidR="00B8782D" w:rsidRDefault="00B8782D" w:rsidP="00750C8B">
            <w:pPr>
              <w:pStyle w:val="TableText"/>
            </w:pPr>
            <w:r>
              <w:t xml:space="preserve">The detection of a pest during inspection or testing of an imported consignment </w:t>
            </w:r>
            <w:r>
              <w:rPr>
                <w:noProof/>
              </w:rPr>
              <w:t>(FAO 2015a)</w:t>
            </w:r>
            <w:r>
              <w:t>.</w:t>
            </w:r>
          </w:p>
        </w:tc>
      </w:tr>
      <w:tr w:rsidR="00B8782D">
        <w:tc>
          <w:tcPr>
            <w:tcW w:w="1509" w:type="pct"/>
            <w:shd w:val="clear" w:color="auto" w:fill="auto"/>
          </w:tcPr>
          <w:p w:rsidR="00B8782D" w:rsidRDefault="00B8782D">
            <w:pPr>
              <w:pStyle w:val="TableText"/>
            </w:pPr>
            <w:r>
              <w:t>International Standard for Phytosanitary Measures (ISPM)</w:t>
            </w:r>
          </w:p>
        </w:tc>
        <w:tc>
          <w:tcPr>
            <w:tcW w:w="3491" w:type="pct"/>
            <w:shd w:val="clear" w:color="auto" w:fill="auto"/>
          </w:tcPr>
          <w:p w:rsidR="00B8782D" w:rsidRDefault="00B8782D" w:rsidP="00750C8B">
            <w:pPr>
              <w:pStyle w:val="TableText"/>
            </w:pPr>
            <w:r>
              <w:t xml:space="preserve">An international standard adopted by the Conference of the Food and Agriculture Organization, the Interim Commission on phytosanitary measures or the Commission on phytosanitary measures, established under the IPCC </w:t>
            </w:r>
            <w:r>
              <w:rPr>
                <w:noProof/>
              </w:rPr>
              <w:t>(FAO 2015a)</w:t>
            </w:r>
            <w:r>
              <w:t>.</w:t>
            </w:r>
          </w:p>
        </w:tc>
      </w:tr>
      <w:tr w:rsidR="00B8782D">
        <w:tc>
          <w:tcPr>
            <w:tcW w:w="1509" w:type="pct"/>
            <w:shd w:val="clear" w:color="auto" w:fill="auto"/>
          </w:tcPr>
          <w:p w:rsidR="00B8782D" w:rsidRDefault="00B8782D">
            <w:pPr>
              <w:pStyle w:val="TableText"/>
            </w:pPr>
            <w:r>
              <w:t>Introduction (of a pest)</w:t>
            </w:r>
          </w:p>
        </w:tc>
        <w:tc>
          <w:tcPr>
            <w:tcW w:w="3491" w:type="pct"/>
            <w:shd w:val="clear" w:color="auto" w:fill="auto"/>
          </w:tcPr>
          <w:p w:rsidR="00B8782D" w:rsidRDefault="00B8782D" w:rsidP="00750C8B">
            <w:pPr>
              <w:pStyle w:val="TableText"/>
            </w:pPr>
            <w:r>
              <w:t xml:space="preserve">The entry of a pest resulting in its establishment </w:t>
            </w:r>
            <w:r>
              <w:rPr>
                <w:noProof/>
              </w:rPr>
              <w:t>(FAO 2015a)</w:t>
            </w:r>
            <w:r>
              <w:t>.</w:t>
            </w:r>
          </w:p>
        </w:tc>
      </w:tr>
      <w:tr w:rsidR="00B8782D">
        <w:tc>
          <w:tcPr>
            <w:tcW w:w="1509" w:type="pct"/>
            <w:shd w:val="clear" w:color="auto" w:fill="auto"/>
          </w:tcPr>
          <w:p w:rsidR="00B8782D" w:rsidRDefault="00B8782D">
            <w:pPr>
              <w:pStyle w:val="TableText"/>
            </w:pPr>
            <w:r>
              <w:t>Lot</w:t>
            </w:r>
          </w:p>
        </w:tc>
        <w:tc>
          <w:tcPr>
            <w:tcW w:w="3491" w:type="pct"/>
            <w:shd w:val="clear" w:color="auto" w:fill="auto"/>
          </w:tcPr>
          <w:p w:rsidR="00B8782D" w:rsidRDefault="00B8782D" w:rsidP="00750C8B">
            <w:pPr>
              <w:pStyle w:val="TableText"/>
            </w:pPr>
            <w:r>
              <w:t xml:space="preserve">A number of units of a single commodity, identifiable by its homogeneity of composition, origin, forming part of a consignment </w:t>
            </w:r>
            <w:r>
              <w:rPr>
                <w:noProof/>
              </w:rPr>
              <w:t>(FAO 2015a)</w:t>
            </w:r>
            <w:r>
              <w:t>. Within this report a ‘lot’ refers to a quantity of fruit of a single variety, harvested from a single production site during a single pick and packed at one time.</w:t>
            </w:r>
          </w:p>
        </w:tc>
      </w:tr>
      <w:tr w:rsidR="00B8782D">
        <w:tc>
          <w:tcPr>
            <w:tcW w:w="1509" w:type="pct"/>
            <w:shd w:val="clear" w:color="auto" w:fill="auto"/>
          </w:tcPr>
          <w:p w:rsidR="00B8782D" w:rsidRDefault="00B8782D">
            <w:pPr>
              <w:pStyle w:val="TableText"/>
            </w:pPr>
            <w:r>
              <w:t>Mature fruit</w:t>
            </w:r>
          </w:p>
        </w:tc>
        <w:tc>
          <w:tcPr>
            <w:tcW w:w="3491" w:type="pct"/>
            <w:shd w:val="clear" w:color="auto" w:fill="auto"/>
          </w:tcPr>
          <w:p w:rsidR="00B8782D" w:rsidRDefault="00B8782D" w:rsidP="00CD2EAF">
            <w:pPr>
              <w:pStyle w:val="TableText"/>
            </w:pPr>
            <w:r>
              <w:t>Commercial maturity is the start of the ripening process. The ripening process will then continue for climacteric fruit and provide a product that is consumer</w:t>
            </w:r>
            <w:r>
              <w:noBreakHyphen/>
              <w:t>acceptable. Maturity assessments include colour, starch, index, soluble solids content, flesh firmness, acidity, and ethylene production rate.</w:t>
            </w:r>
          </w:p>
        </w:tc>
      </w:tr>
      <w:tr w:rsidR="00B8782D">
        <w:tc>
          <w:tcPr>
            <w:tcW w:w="1509" w:type="pct"/>
            <w:shd w:val="clear" w:color="auto" w:fill="auto"/>
          </w:tcPr>
          <w:p w:rsidR="00B8782D" w:rsidRDefault="00B8782D">
            <w:pPr>
              <w:pStyle w:val="TableText"/>
            </w:pPr>
            <w:r>
              <w:t>Mortality</w:t>
            </w:r>
          </w:p>
        </w:tc>
        <w:tc>
          <w:tcPr>
            <w:tcW w:w="3491" w:type="pct"/>
            <w:shd w:val="clear" w:color="auto" w:fill="auto"/>
          </w:tcPr>
          <w:p w:rsidR="00B8782D" w:rsidRDefault="00B8782D">
            <w:pPr>
              <w:pStyle w:val="TableText"/>
            </w:pPr>
            <w:r>
              <w:t>The total number of organisms killed by a particular disease.</w:t>
            </w:r>
          </w:p>
        </w:tc>
      </w:tr>
      <w:tr w:rsidR="00B8782D">
        <w:tc>
          <w:tcPr>
            <w:tcW w:w="1509" w:type="pct"/>
            <w:shd w:val="clear" w:color="auto" w:fill="auto"/>
          </w:tcPr>
          <w:p w:rsidR="00B8782D" w:rsidRDefault="00B8782D">
            <w:pPr>
              <w:pStyle w:val="TableText"/>
            </w:pPr>
            <w:r>
              <w:t>National Plant Protection Organization (NPPO)</w:t>
            </w:r>
          </w:p>
        </w:tc>
        <w:tc>
          <w:tcPr>
            <w:tcW w:w="3491" w:type="pct"/>
            <w:shd w:val="clear" w:color="auto" w:fill="auto"/>
          </w:tcPr>
          <w:p w:rsidR="00B8782D" w:rsidRDefault="00B8782D" w:rsidP="00750C8B">
            <w:pPr>
              <w:pStyle w:val="TableText"/>
            </w:pPr>
            <w:r>
              <w:t xml:space="preserve">Official service established by a government to discharge the functions specified by the IPPC </w:t>
            </w:r>
            <w:r>
              <w:rPr>
                <w:noProof/>
              </w:rPr>
              <w:t>(FAO 2015a)</w:t>
            </w:r>
            <w:r>
              <w:t>.</w:t>
            </w:r>
          </w:p>
        </w:tc>
      </w:tr>
      <w:tr w:rsidR="00B8782D">
        <w:tc>
          <w:tcPr>
            <w:tcW w:w="1509" w:type="pct"/>
            <w:shd w:val="clear" w:color="auto" w:fill="auto"/>
          </w:tcPr>
          <w:p w:rsidR="00B8782D" w:rsidRDefault="00B8782D">
            <w:pPr>
              <w:pStyle w:val="TableText"/>
            </w:pPr>
            <w:r>
              <w:t>Official control</w:t>
            </w:r>
          </w:p>
        </w:tc>
        <w:tc>
          <w:tcPr>
            <w:tcW w:w="3491" w:type="pct"/>
            <w:shd w:val="clear" w:color="auto" w:fill="auto"/>
          </w:tcPr>
          <w:p w:rsidR="00B8782D" w:rsidRDefault="00B8782D" w:rsidP="00750C8B">
            <w:pPr>
              <w:pStyle w:val="TableText"/>
            </w:pPr>
            <w:r>
              <w:t>The active enforcement of mandatory phytosanitary regulations and the application of mandatory phytosanitary procedures with the objective of eradication or containment of quarantine pests or for the management of regulated non</w:t>
            </w:r>
            <w:r>
              <w:noBreakHyphen/>
              <w:t xml:space="preserve">quarantine pests </w:t>
            </w:r>
            <w:r>
              <w:rPr>
                <w:noProof/>
              </w:rPr>
              <w:t>(FAO 2015a)</w:t>
            </w:r>
            <w:r>
              <w:t>.</w:t>
            </w:r>
          </w:p>
        </w:tc>
      </w:tr>
      <w:tr w:rsidR="00B8782D">
        <w:tc>
          <w:tcPr>
            <w:tcW w:w="1509" w:type="pct"/>
            <w:shd w:val="clear" w:color="auto" w:fill="auto"/>
          </w:tcPr>
          <w:p w:rsidR="00B8782D" w:rsidRDefault="00B8782D">
            <w:pPr>
              <w:pStyle w:val="TableText"/>
            </w:pPr>
            <w:r>
              <w:t>Orchard</w:t>
            </w:r>
          </w:p>
        </w:tc>
        <w:tc>
          <w:tcPr>
            <w:tcW w:w="3491" w:type="pct"/>
            <w:shd w:val="clear" w:color="auto" w:fill="auto"/>
          </w:tcPr>
          <w:p w:rsidR="00B8782D" w:rsidRDefault="00B8782D">
            <w:pPr>
              <w:pStyle w:val="TableText"/>
            </w:pPr>
            <w:r>
              <w:t>A contiguous area of nectarine trees operated as a single entity. Within this report a single orchard is covered under one registration and is issued a unique identifying number.</w:t>
            </w:r>
          </w:p>
        </w:tc>
      </w:tr>
      <w:tr w:rsidR="00B8782D">
        <w:tc>
          <w:tcPr>
            <w:tcW w:w="1509" w:type="pct"/>
            <w:shd w:val="clear" w:color="auto" w:fill="auto"/>
          </w:tcPr>
          <w:p w:rsidR="00B8782D" w:rsidRDefault="00B8782D">
            <w:pPr>
              <w:pStyle w:val="TableText"/>
            </w:pPr>
            <w:r>
              <w:t>Parthenogenesis</w:t>
            </w:r>
          </w:p>
        </w:tc>
        <w:tc>
          <w:tcPr>
            <w:tcW w:w="3491" w:type="pct"/>
            <w:shd w:val="clear" w:color="auto" w:fill="auto"/>
          </w:tcPr>
          <w:p w:rsidR="00B8782D" w:rsidRDefault="00B8782D">
            <w:pPr>
              <w:pStyle w:val="TableText"/>
            </w:pPr>
            <w:r>
              <w:t>Production of an embryo from unfertilised egg.</w:t>
            </w:r>
          </w:p>
        </w:tc>
      </w:tr>
      <w:tr w:rsidR="00B8782D">
        <w:tc>
          <w:tcPr>
            <w:tcW w:w="1509" w:type="pct"/>
            <w:shd w:val="clear" w:color="auto" w:fill="auto"/>
          </w:tcPr>
          <w:p w:rsidR="00B8782D" w:rsidRDefault="00B8782D">
            <w:pPr>
              <w:pStyle w:val="TableText"/>
            </w:pPr>
            <w:r>
              <w:t>Pathogen</w:t>
            </w:r>
          </w:p>
        </w:tc>
        <w:tc>
          <w:tcPr>
            <w:tcW w:w="3491" w:type="pct"/>
            <w:shd w:val="clear" w:color="auto" w:fill="auto"/>
          </w:tcPr>
          <w:p w:rsidR="00B8782D" w:rsidRDefault="00B8782D">
            <w:pPr>
              <w:pStyle w:val="TableText"/>
            </w:pPr>
            <w:r>
              <w:t>A biological agent that can cause disease to its host.</w:t>
            </w:r>
          </w:p>
        </w:tc>
      </w:tr>
      <w:tr w:rsidR="00B8782D">
        <w:tc>
          <w:tcPr>
            <w:tcW w:w="1509" w:type="pct"/>
            <w:shd w:val="clear" w:color="auto" w:fill="auto"/>
          </w:tcPr>
          <w:p w:rsidR="00B8782D" w:rsidRDefault="00B8782D">
            <w:pPr>
              <w:pStyle w:val="TableText"/>
            </w:pPr>
            <w:r>
              <w:t>Pathway</w:t>
            </w:r>
          </w:p>
        </w:tc>
        <w:tc>
          <w:tcPr>
            <w:tcW w:w="3491" w:type="pct"/>
            <w:shd w:val="clear" w:color="auto" w:fill="auto"/>
          </w:tcPr>
          <w:p w:rsidR="00B8782D" w:rsidRDefault="00B8782D" w:rsidP="00750C8B">
            <w:pPr>
              <w:pStyle w:val="TableText"/>
            </w:pPr>
            <w:r>
              <w:t xml:space="preserve">Any means that allows the entry or spread of a pest </w:t>
            </w:r>
            <w:r>
              <w:rPr>
                <w:noProof/>
              </w:rPr>
              <w:t>(FAO 2015a)</w:t>
            </w:r>
            <w:r>
              <w:t>.</w:t>
            </w:r>
          </w:p>
        </w:tc>
      </w:tr>
      <w:tr w:rsidR="00B8782D">
        <w:tc>
          <w:tcPr>
            <w:tcW w:w="1509" w:type="pct"/>
            <w:shd w:val="clear" w:color="auto" w:fill="auto"/>
          </w:tcPr>
          <w:p w:rsidR="00B8782D" w:rsidRDefault="00B8782D">
            <w:pPr>
              <w:pStyle w:val="TableText"/>
            </w:pPr>
            <w:r>
              <w:t>Pest</w:t>
            </w:r>
          </w:p>
        </w:tc>
        <w:tc>
          <w:tcPr>
            <w:tcW w:w="3491" w:type="pct"/>
            <w:shd w:val="clear" w:color="auto" w:fill="auto"/>
          </w:tcPr>
          <w:p w:rsidR="00B8782D" w:rsidRDefault="00B8782D" w:rsidP="00750C8B">
            <w:pPr>
              <w:pStyle w:val="TableText"/>
            </w:pPr>
            <w:r>
              <w:t xml:space="preserve">Any species, strain or biotype of plant, animal, or pathogenic agent injurious to plants or plant products </w:t>
            </w:r>
            <w:r>
              <w:rPr>
                <w:noProof/>
              </w:rPr>
              <w:t>(FAO 2015a)</w:t>
            </w:r>
            <w:r>
              <w:t>.</w:t>
            </w:r>
          </w:p>
        </w:tc>
      </w:tr>
      <w:tr w:rsidR="00B8782D">
        <w:tc>
          <w:tcPr>
            <w:tcW w:w="1509" w:type="pct"/>
            <w:shd w:val="clear" w:color="auto" w:fill="auto"/>
          </w:tcPr>
          <w:p w:rsidR="00B8782D" w:rsidRDefault="00B8782D">
            <w:pPr>
              <w:pStyle w:val="TableText"/>
            </w:pPr>
            <w:r>
              <w:lastRenderedPageBreak/>
              <w:t>Pest categorisation</w:t>
            </w:r>
          </w:p>
        </w:tc>
        <w:tc>
          <w:tcPr>
            <w:tcW w:w="3491" w:type="pct"/>
            <w:shd w:val="clear" w:color="auto" w:fill="auto"/>
          </w:tcPr>
          <w:p w:rsidR="00B8782D" w:rsidRDefault="00B8782D" w:rsidP="00750C8B">
            <w:pPr>
              <w:pStyle w:val="TableText"/>
            </w:pPr>
            <w:r>
              <w:t>The process for determining whether a pest has or has not the characteristics of a quarantine pest or those of a regulated non</w:t>
            </w:r>
            <w:r>
              <w:noBreakHyphen/>
              <w:t xml:space="preserve">quarantine pest </w:t>
            </w:r>
            <w:r>
              <w:rPr>
                <w:noProof/>
              </w:rPr>
              <w:t>(FAO 2015a)</w:t>
            </w:r>
            <w:r>
              <w:t>.</w:t>
            </w:r>
          </w:p>
        </w:tc>
      </w:tr>
      <w:tr w:rsidR="00B8782D">
        <w:tc>
          <w:tcPr>
            <w:tcW w:w="1509" w:type="pct"/>
            <w:shd w:val="clear" w:color="auto" w:fill="auto"/>
          </w:tcPr>
          <w:p w:rsidR="00B8782D" w:rsidRDefault="00B8782D">
            <w:pPr>
              <w:pStyle w:val="TableText"/>
            </w:pPr>
            <w:r>
              <w:t>Pest free area (PFA)</w:t>
            </w:r>
          </w:p>
        </w:tc>
        <w:tc>
          <w:tcPr>
            <w:tcW w:w="3491" w:type="pct"/>
            <w:shd w:val="clear" w:color="auto" w:fill="auto"/>
          </w:tcPr>
          <w:p w:rsidR="00B8782D" w:rsidRDefault="00B8782D" w:rsidP="00750C8B">
            <w:pPr>
              <w:pStyle w:val="TableText"/>
            </w:pPr>
            <w:r>
              <w:t xml:space="preserve">An area in which a specific pest does not occur as demonstrated by scientific evidence and in which, where appropriate, this condition is being officially maintained </w:t>
            </w:r>
            <w:r>
              <w:rPr>
                <w:noProof/>
              </w:rPr>
              <w:t>(FAO 2015a)</w:t>
            </w:r>
            <w:r>
              <w:t>.</w:t>
            </w:r>
          </w:p>
        </w:tc>
      </w:tr>
      <w:tr w:rsidR="00B8782D">
        <w:tc>
          <w:tcPr>
            <w:tcW w:w="1509" w:type="pct"/>
            <w:shd w:val="clear" w:color="auto" w:fill="auto"/>
          </w:tcPr>
          <w:p w:rsidR="00B8782D" w:rsidRDefault="00B8782D">
            <w:pPr>
              <w:pStyle w:val="TableText"/>
            </w:pPr>
            <w:r>
              <w:t>Pest free place of production</w:t>
            </w:r>
          </w:p>
        </w:tc>
        <w:tc>
          <w:tcPr>
            <w:tcW w:w="3491" w:type="pct"/>
            <w:shd w:val="clear" w:color="auto" w:fill="auto"/>
          </w:tcPr>
          <w:p w:rsidR="00B8782D" w:rsidRDefault="00B8782D" w:rsidP="00750C8B">
            <w:pPr>
              <w:pStyle w:val="TableText"/>
            </w:pPr>
            <w:r>
              <w:t xml:space="preserve">Place of production in which a specific pest does not occur as demonstrated by scientific evidence and in which, where appropriate, this condition is being officially maintained for a defined period </w:t>
            </w:r>
            <w:r>
              <w:rPr>
                <w:noProof/>
              </w:rPr>
              <w:t>(FAO 2015a)</w:t>
            </w:r>
            <w:r>
              <w:t>.</w:t>
            </w:r>
          </w:p>
        </w:tc>
      </w:tr>
      <w:tr w:rsidR="00B8782D">
        <w:tc>
          <w:tcPr>
            <w:tcW w:w="1509" w:type="pct"/>
            <w:shd w:val="clear" w:color="auto" w:fill="auto"/>
          </w:tcPr>
          <w:p w:rsidR="00B8782D" w:rsidRDefault="00B8782D">
            <w:pPr>
              <w:pStyle w:val="TableText"/>
            </w:pPr>
            <w:r>
              <w:t>Pest free production site</w:t>
            </w:r>
          </w:p>
        </w:tc>
        <w:tc>
          <w:tcPr>
            <w:tcW w:w="3491" w:type="pct"/>
            <w:shd w:val="clear" w:color="auto" w:fill="auto"/>
          </w:tcPr>
          <w:p w:rsidR="00B8782D" w:rsidRDefault="00B8782D" w:rsidP="00750C8B">
            <w:pPr>
              <w:pStyle w:val="TableText"/>
            </w:pPr>
            <w:r>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Pr>
                <w:noProof/>
              </w:rPr>
              <w:t>(FAO 2015a)</w:t>
            </w:r>
            <w:r>
              <w:t>.</w:t>
            </w:r>
          </w:p>
        </w:tc>
      </w:tr>
      <w:tr w:rsidR="00B8782D">
        <w:tc>
          <w:tcPr>
            <w:tcW w:w="1509" w:type="pct"/>
            <w:shd w:val="clear" w:color="auto" w:fill="auto"/>
          </w:tcPr>
          <w:p w:rsidR="00B8782D" w:rsidRDefault="00B8782D">
            <w:pPr>
              <w:pStyle w:val="TableText"/>
            </w:pPr>
            <w:r>
              <w:t>Pest risk analysis (PRA)</w:t>
            </w:r>
          </w:p>
        </w:tc>
        <w:tc>
          <w:tcPr>
            <w:tcW w:w="3491" w:type="pct"/>
            <w:shd w:val="clear" w:color="auto" w:fill="auto"/>
          </w:tcPr>
          <w:p w:rsidR="00B8782D" w:rsidRDefault="00B8782D" w:rsidP="00750C8B">
            <w:pPr>
              <w:pStyle w:val="TableText"/>
            </w:pPr>
            <w:r>
              <w:t xml:space="preserve">The process of evaluating biological or other scientific and economic evidence to determine whether an organism is a pest, whether it should be regulated, and the strength of any phytosanitary measures to be taken against it </w:t>
            </w:r>
            <w:r>
              <w:rPr>
                <w:noProof/>
              </w:rPr>
              <w:t>(FAO 2015a)</w:t>
            </w:r>
            <w:r>
              <w:t>.</w:t>
            </w:r>
          </w:p>
        </w:tc>
      </w:tr>
      <w:tr w:rsidR="00B8782D">
        <w:tc>
          <w:tcPr>
            <w:tcW w:w="1509" w:type="pct"/>
            <w:shd w:val="clear" w:color="auto" w:fill="auto"/>
          </w:tcPr>
          <w:p w:rsidR="00B8782D" w:rsidRDefault="00B8782D">
            <w:pPr>
              <w:pStyle w:val="TableText"/>
            </w:pPr>
            <w:r>
              <w:t>Pest risk assessment (for quarantine pests)</w:t>
            </w:r>
          </w:p>
        </w:tc>
        <w:tc>
          <w:tcPr>
            <w:tcW w:w="3491" w:type="pct"/>
            <w:shd w:val="clear" w:color="auto" w:fill="auto"/>
          </w:tcPr>
          <w:p w:rsidR="00B8782D" w:rsidRDefault="00B8782D" w:rsidP="00750C8B">
            <w:pPr>
              <w:pStyle w:val="TableText"/>
            </w:pPr>
            <w:r>
              <w:t xml:space="preserve">Evaluation of the likelihood of the introduction and spread of a pest and of the associated potential economic consequences </w:t>
            </w:r>
            <w:r>
              <w:rPr>
                <w:noProof/>
              </w:rPr>
              <w:t>(FAO 2015a)</w:t>
            </w:r>
            <w:r>
              <w:t>.</w:t>
            </w:r>
          </w:p>
        </w:tc>
      </w:tr>
      <w:tr w:rsidR="00B8782D">
        <w:tc>
          <w:tcPr>
            <w:tcW w:w="1509" w:type="pct"/>
            <w:shd w:val="clear" w:color="auto" w:fill="auto"/>
          </w:tcPr>
          <w:p w:rsidR="00B8782D" w:rsidRDefault="00B8782D">
            <w:pPr>
              <w:pStyle w:val="TableText"/>
            </w:pPr>
            <w:r>
              <w:t>Pest risk management (for quarantine pests)</w:t>
            </w:r>
          </w:p>
        </w:tc>
        <w:tc>
          <w:tcPr>
            <w:tcW w:w="3491" w:type="pct"/>
            <w:shd w:val="clear" w:color="auto" w:fill="auto"/>
          </w:tcPr>
          <w:p w:rsidR="00B8782D" w:rsidRDefault="00B8782D" w:rsidP="00750C8B">
            <w:pPr>
              <w:pStyle w:val="TableText"/>
            </w:pPr>
            <w:r>
              <w:t xml:space="preserve">Evaluation and selection of options to reduce the risk of introduction and spread of a pest </w:t>
            </w:r>
            <w:r>
              <w:rPr>
                <w:noProof/>
              </w:rPr>
              <w:t>(FAO 2015a)</w:t>
            </w:r>
            <w:r>
              <w:t>.</w:t>
            </w:r>
          </w:p>
        </w:tc>
      </w:tr>
      <w:tr w:rsidR="00B8782D">
        <w:tc>
          <w:tcPr>
            <w:tcW w:w="1509" w:type="pct"/>
            <w:shd w:val="clear" w:color="auto" w:fill="auto"/>
          </w:tcPr>
          <w:p w:rsidR="00B8782D" w:rsidRDefault="00B8782D">
            <w:pPr>
              <w:pStyle w:val="TableText"/>
            </w:pPr>
            <w:r>
              <w:t>Pest status (in an area)</w:t>
            </w:r>
          </w:p>
        </w:tc>
        <w:tc>
          <w:tcPr>
            <w:tcW w:w="3491" w:type="pct"/>
            <w:shd w:val="clear" w:color="auto" w:fill="auto"/>
          </w:tcPr>
          <w:p w:rsidR="00B8782D" w:rsidRDefault="00B8782D" w:rsidP="00750C8B">
            <w:pPr>
              <w:pStyle w:val="TableText"/>
            </w:pPr>
            <w:r>
              <w:t xml:space="preserve">Presence or absence, at the present time, of a pest in an area, including where appropriate its distribution, as officially determined using expert judgement on the basis of current and historical pest records and other information </w:t>
            </w:r>
            <w:r>
              <w:rPr>
                <w:noProof/>
              </w:rPr>
              <w:t>(FAO 2015a)</w:t>
            </w:r>
            <w:r>
              <w:t>.</w:t>
            </w:r>
          </w:p>
        </w:tc>
      </w:tr>
      <w:tr w:rsidR="00B8782D">
        <w:tc>
          <w:tcPr>
            <w:tcW w:w="1509" w:type="pct"/>
            <w:shd w:val="clear" w:color="auto" w:fill="auto"/>
          </w:tcPr>
          <w:p w:rsidR="00B8782D" w:rsidRDefault="00B8782D">
            <w:pPr>
              <w:pStyle w:val="TableText"/>
            </w:pPr>
            <w:r>
              <w:t>Phytosanitary certificate</w:t>
            </w:r>
          </w:p>
        </w:tc>
        <w:tc>
          <w:tcPr>
            <w:tcW w:w="3491" w:type="pct"/>
            <w:shd w:val="clear" w:color="auto" w:fill="auto"/>
          </w:tcPr>
          <w:p w:rsidR="00B8782D" w:rsidRDefault="00B8782D" w:rsidP="00750C8B">
            <w:pPr>
              <w:pStyle w:val="TableText"/>
            </w:pPr>
            <w:r>
              <w:t xml:space="preserve">An official paper document or its official electronic equivalent, consistent with the model of certificates of the IPPC, attesting that a consignment meets phytosanitary import requirements </w:t>
            </w:r>
            <w:r>
              <w:rPr>
                <w:noProof/>
              </w:rPr>
              <w:t>(FAO 2015a)</w:t>
            </w:r>
            <w:r>
              <w:t>.</w:t>
            </w:r>
          </w:p>
        </w:tc>
      </w:tr>
      <w:tr w:rsidR="00B8782D">
        <w:tc>
          <w:tcPr>
            <w:tcW w:w="1509" w:type="pct"/>
            <w:shd w:val="clear" w:color="auto" w:fill="auto"/>
          </w:tcPr>
          <w:p w:rsidR="00B8782D" w:rsidRDefault="00B8782D">
            <w:pPr>
              <w:pStyle w:val="TableText"/>
            </w:pPr>
            <w:r>
              <w:t>Phytosanitary certification</w:t>
            </w:r>
          </w:p>
        </w:tc>
        <w:tc>
          <w:tcPr>
            <w:tcW w:w="3491" w:type="pct"/>
            <w:shd w:val="clear" w:color="auto" w:fill="auto"/>
          </w:tcPr>
          <w:p w:rsidR="00B8782D" w:rsidRDefault="00B8782D" w:rsidP="00750C8B">
            <w:pPr>
              <w:pStyle w:val="TableText"/>
            </w:pPr>
            <w:r>
              <w:t xml:space="preserve">Use of phytosanitary procedures leading to the issue of a phytosanitary certificate </w:t>
            </w:r>
            <w:r>
              <w:rPr>
                <w:noProof/>
              </w:rPr>
              <w:t>(FAO 2015a)</w:t>
            </w:r>
            <w:r>
              <w:t>.</w:t>
            </w:r>
          </w:p>
        </w:tc>
      </w:tr>
      <w:tr w:rsidR="00B8782D">
        <w:tc>
          <w:tcPr>
            <w:tcW w:w="1509" w:type="pct"/>
            <w:shd w:val="clear" w:color="auto" w:fill="auto"/>
          </w:tcPr>
          <w:p w:rsidR="00B8782D" w:rsidRDefault="00B8782D">
            <w:pPr>
              <w:pStyle w:val="TableText"/>
            </w:pPr>
            <w:r>
              <w:t>Phytosanitary measure</w:t>
            </w:r>
          </w:p>
        </w:tc>
        <w:tc>
          <w:tcPr>
            <w:tcW w:w="3491" w:type="pct"/>
            <w:shd w:val="clear" w:color="auto" w:fill="auto"/>
          </w:tcPr>
          <w:p w:rsidR="00B8782D" w:rsidRDefault="00B8782D" w:rsidP="00750C8B">
            <w:pPr>
              <w:pStyle w:val="TableText"/>
            </w:pPr>
            <w:r>
              <w:t>Any legislation, regulation or official procedure having the purpose to prevent the introduction and/or spread of quarantine pests, or to limit the economic impact of regulated non</w:t>
            </w:r>
            <w:r>
              <w:noBreakHyphen/>
              <w:t xml:space="preserve">quarantine pests </w:t>
            </w:r>
            <w:r>
              <w:rPr>
                <w:noProof/>
              </w:rPr>
              <w:t>(FAO 2015a)</w:t>
            </w:r>
            <w:r>
              <w:t>.</w:t>
            </w:r>
          </w:p>
        </w:tc>
      </w:tr>
      <w:tr w:rsidR="00B8782D">
        <w:tc>
          <w:tcPr>
            <w:tcW w:w="1509" w:type="pct"/>
            <w:shd w:val="clear" w:color="auto" w:fill="auto"/>
          </w:tcPr>
          <w:p w:rsidR="00B8782D" w:rsidRDefault="00B8782D">
            <w:pPr>
              <w:pStyle w:val="TableText"/>
            </w:pPr>
            <w:r>
              <w:t>Phytosanitary procedure</w:t>
            </w:r>
          </w:p>
        </w:tc>
        <w:tc>
          <w:tcPr>
            <w:tcW w:w="3491" w:type="pct"/>
            <w:shd w:val="clear" w:color="auto" w:fill="auto"/>
          </w:tcPr>
          <w:p w:rsidR="00B8782D" w:rsidRDefault="00B8782D" w:rsidP="00750C8B">
            <w:pPr>
              <w:pStyle w:val="TableText"/>
            </w:pPr>
            <w:r>
              <w:t xml:space="preserve">An official method for implementing phytosanitary measures including the performance of inspections, tests, surveillance or treatments in connection with regulated pests </w:t>
            </w:r>
            <w:r>
              <w:rPr>
                <w:noProof/>
              </w:rPr>
              <w:t>(FAO 2015a)</w:t>
            </w:r>
            <w:r>
              <w:t>.</w:t>
            </w:r>
          </w:p>
        </w:tc>
      </w:tr>
      <w:tr w:rsidR="00B8782D">
        <w:tc>
          <w:tcPr>
            <w:tcW w:w="1509" w:type="pct"/>
            <w:shd w:val="clear" w:color="auto" w:fill="auto"/>
          </w:tcPr>
          <w:p w:rsidR="00B8782D" w:rsidRDefault="00B8782D">
            <w:pPr>
              <w:pStyle w:val="TableText"/>
            </w:pPr>
            <w:r>
              <w:t>Phytosanitary regulation</w:t>
            </w:r>
          </w:p>
        </w:tc>
        <w:tc>
          <w:tcPr>
            <w:tcW w:w="3491" w:type="pct"/>
            <w:shd w:val="clear" w:color="auto" w:fill="auto"/>
          </w:tcPr>
          <w:p w:rsidR="00B8782D" w:rsidRDefault="00B8782D" w:rsidP="00750C8B">
            <w:pPr>
              <w:pStyle w:val="TableText"/>
            </w:pPr>
            <w:r>
              <w:t xml:space="preserve">Official rule to prevent the introduction and/or spread of quarantine pests, or to limit the economic impact of regulated non-quarantine pests, including establishment of procedures for phytosanitary certification </w:t>
            </w:r>
            <w:r>
              <w:rPr>
                <w:noProof/>
              </w:rPr>
              <w:t>(FAO 2015a)</w:t>
            </w:r>
            <w:r>
              <w:t>.</w:t>
            </w:r>
          </w:p>
        </w:tc>
      </w:tr>
      <w:tr w:rsidR="00B8782D">
        <w:tc>
          <w:tcPr>
            <w:tcW w:w="1509" w:type="pct"/>
            <w:shd w:val="clear" w:color="auto" w:fill="auto"/>
          </w:tcPr>
          <w:p w:rsidR="00B8782D" w:rsidRDefault="00B8782D">
            <w:pPr>
              <w:pStyle w:val="TableText"/>
            </w:pPr>
            <w:r>
              <w:t>Polyphagous</w:t>
            </w:r>
          </w:p>
        </w:tc>
        <w:tc>
          <w:tcPr>
            <w:tcW w:w="3491" w:type="pct"/>
            <w:shd w:val="clear" w:color="auto" w:fill="auto"/>
          </w:tcPr>
          <w:p w:rsidR="00B8782D" w:rsidRDefault="00B8782D">
            <w:pPr>
              <w:pStyle w:val="TableText"/>
            </w:pPr>
            <w:r>
              <w:t>Feeding on a relatively large number of hosts from different plant family and/or genera.</w:t>
            </w:r>
          </w:p>
        </w:tc>
      </w:tr>
      <w:tr w:rsidR="00B8782D">
        <w:tc>
          <w:tcPr>
            <w:tcW w:w="1509" w:type="pct"/>
            <w:shd w:val="clear" w:color="auto" w:fill="auto"/>
          </w:tcPr>
          <w:p w:rsidR="00B8782D" w:rsidRDefault="00B8782D">
            <w:pPr>
              <w:pStyle w:val="TableText"/>
            </w:pPr>
            <w:r>
              <w:t>PRA area</w:t>
            </w:r>
          </w:p>
        </w:tc>
        <w:tc>
          <w:tcPr>
            <w:tcW w:w="3491" w:type="pct"/>
            <w:shd w:val="clear" w:color="auto" w:fill="auto"/>
          </w:tcPr>
          <w:p w:rsidR="00B8782D" w:rsidRDefault="00B8782D" w:rsidP="00750C8B">
            <w:pPr>
              <w:pStyle w:val="TableText"/>
            </w:pPr>
            <w:r>
              <w:t xml:space="preserve">Area in relation to which a pest risk analysis is conducted </w:t>
            </w:r>
            <w:r>
              <w:rPr>
                <w:noProof/>
              </w:rPr>
              <w:t>(FAO 2015a)</w:t>
            </w:r>
            <w:r>
              <w:t>.</w:t>
            </w:r>
          </w:p>
        </w:tc>
      </w:tr>
      <w:tr w:rsidR="00B8782D">
        <w:tc>
          <w:tcPr>
            <w:tcW w:w="1509" w:type="pct"/>
            <w:shd w:val="clear" w:color="auto" w:fill="auto"/>
          </w:tcPr>
          <w:p w:rsidR="00B8782D" w:rsidRDefault="00B8782D">
            <w:pPr>
              <w:pStyle w:val="TableText"/>
            </w:pPr>
            <w:r>
              <w:t>Practically free</w:t>
            </w:r>
          </w:p>
        </w:tc>
        <w:tc>
          <w:tcPr>
            <w:tcW w:w="3491" w:type="pct"/>
            <w:shd w:val="clear" w:color="auto" w:fill="auto"/>
          </w:tcPr>
          <w:p w:rsidR="00B8782D" w:rsidRDefault="00B8782D" w:rsidP="00750C8B">
            <w:pPr>
              <w:pStyle w:val="TableText"/>
            </w:pPr>
            <w:r>
              <w:t xml:space="preserve">Of a consignment, field or place of production, without pests (or a specific pest) in numbers or quantities in excess of those that can be expected to result from, and be consistent with good cultural and handling practices employed in the production and marketing of the commodity </w:t>
            </w:r>
            <w:r>
              <w:rPr>
                <w:noProof/>
              </w:rPr>
              <w:t>(FAO 2015a)</w:t>
            </w:r>
            <w:r>
              <w:t xml:space="preserve">. </w:t>
            </w:r>
          </w:p>
        </w:tc>
      </w:tr>
      <w:tr w:rsidR="00B8782D">
        <w:tc>
          <w:tcPr>
            <w:tcW w:w="1509" w:type="pct"/>
            <w:shd w:val="clear" w:color="auto" w:fill="auto"/>
          </w:tcPr>
          <w:p w:rsidR="00B8782D" w:rsidRDefault="00B8782D">
            <w:pPr>
              <w:pStyle w:val="TableText"/>
            </w:pPr>
            <w:r>
              <w:t>Production site</w:t>
            </w:r>
          </w:p>
        </w:tc>
        <w:tc>
          <w:tcPr>
            <w:tcW w:w="3491" w:type="pct"/>
            <w:shd w:val="clear" w:color="auto" w:fill="auto"/>
          </w:tcPr>
          <w:p w:rsidR="00B8782D" w:rsidRDefault="00B8782D">
            <w:pPr>
              <w:pStyle w:val="TableText"/>
            </w:pPr>
            <w:r>
              <w:t>In this report, a production site is a continuous planting of nectarine trees treated as a single unit for pest management purposes. If an orchard is subdivided into one or more units for pest management purposes, then each unit is a production site. If the orchard is not subdivided, then the orchard is also the production site.</w:t>
            </w:r>
          </w:p>
        </w:tc>
      </w:tr>
      <w:tr w:rsidR="00B8782D">
        <w:tc>
          <w:tcPr>
            <w:tcW w:w="1509" w:type="pct"/>
            <w:shd w:val="clear" w:color="auto" w:fill="auto"/>
          </w:tcPr>
          <w:p w:rsidR="00B8782D" w:rsidRDefault="00B8782D">
            <w:pPr>
              <w:pStyle w:val="TableText"/>
            </w:pPr>
            <w:r>
              <w:t>Quarantine</w:t>
            </w:r>
          </w:p>
        </w:tc>
        <w:tc>
          <w:tcPr>
            <w:tcW w:w="3491" w:type="pct"/>
            <w:shd w:val="clear" w:color="auto" w:fill="auto"/>
          </w:tcPr>
          <w:p w:rsidR="00B8782D" w:rsidRDefault="00B8782D" w:rsidP="00750C8B">
            <w:pPr>
              <w:pStyle w:val="TableText"/>
            </w:pPr>
            <w:r>
              <w:t xml:space="preserve">Official confinement of regulated articles for observation and research or for further inspection, testing or treatment </w:t>
            </w:r>
            <w:r>
              <w:rPr>
                <w:noProof/>
              </w:rPr>
              <w:t>(FAO 2015a)</w:t>
            </w:r>
            <w:r>
              <w:t>.</w:t>
            </w:r>
          </w:p>
        </w:tc>
      </w:tr>
      <w:tr w:rsidR="00B8782D">
        <w:tc>
          <w:tcPr>
            <w:tcW w:w="1509" w:type="pct"/>
            <w:shd w:val="clear" w:color="auto" w:fill="auto"/>
          </w:tcPr>
          <w:p w:rsidR="00B8782D" w:rsidRDefault="00B8782D">
            <w:pPr>
              <w:pStyle w:val="TableText"/>
            </w:pPr>
            <w:r>
              <w:lastRenderedPageBreak/>
              <w:t>Quarantine pest</w:t>
            </w:r>
          </w:p>
        </w:tc>
        <w:tc>
          <w:tcPr>
            <w:tcW w:w="3491" w:type="pct"/>
            <w:shd w:val="clear" w:color="auto" w:fill="auto"/>
          </w:tcPr>
          <w:p w:rsidR="00B8782D" w:rsidRDefault="00B8782D" w:rsidP="00750C8B">
            <w:pPr>
              <w:pStyle w:val="TableText"/>
            </w:pPr>
            <w:r>
              <w:t xml:space="preserve">A pest of potential economic importance to the area endangered thereby and not yet present there, or present but not widely distributed and being officially controlled </w:t>
            </w:r>
            <w:r>
              <w:rPr>
                <w:noProof/>
              </w:rPr>
              <w:t>(FAO 2015a)</w:t>
            </w:r>
            <w:r>
              <w:t>.</w:t>
            </w:r>
          </w:p>
        </w:tc>
      </w:tr>
      <w:tr w:rsidR="00B8782D">
        <w:tc>
          <w:tcPr>
            <w:tcW w:w="1509" w:type="pct"/>
            <w:shd w:val="clear" w:color="auto" w:fill="auto"/>
          </w:tcPr>
          <w:p w:rsidR="00B8782D" w:rsidRDefault="00B8782D">
            <w:pPr>
              <w:pStyle w:val="TableText"/>
            </w:pPr>
            <w:r>
              <w:t>Regulated article</w:t>
            </w:r>
          </w:p>
        </w:tc>
        <w:tc>
          <w:tcPr>
            <w:tcW w:w="3491" w:type="pct"/>
            <w:shd w:val="clear" w:color="auto" w:fill="auto"/>
          </w:tcPr>
          <w:p w:rsidR="00B8782D" w:rsidRDefault="00B8782D" w:rsidP="00750C8B">
            <w:pPr>
              <w:pStyle w:val="TableText"/>
            </w:pPr>
            <w:r>
              <w:t xml:space="preserve">Any plant, plant product, storage place, packing, conveyance, container, soil and any other organism, object or material capable of harbouring or spreading pests, deemed to require phytosanitary measures, particularly where international transportation is involved </w:t>
            </w:r>
            <w:r>
              <w:rPr>
                <w:noProof/>
              </w:rPr>
              <w:t>(FAO 2015a)</w:t>
            </w:r>
            <w:r>
              <w:t>.</w:t>
            </w:r>
          </w:p>
        </w:tc>
      </w:tr>
      <w:tr w:rsidR="00B8782D">
        <w:tc>
          <w:tcPr>
            <w:tcW w:w="1509" w:type="pct"/>
            <w:shd w:val="clear" w:color="auto" w:fill="auto"/>
          </w:tcPr>
          <w:p w:rsidR="00B8782D" w:rsidRDefault="00B8782D">
            <w:pPr>
              <w:pStyle w:val="TableText"/>
            </w:pPr>
            <w:r>
              <w:t>Regulated pest</w:t>
            </w:r>
          </w:p>
        </w:tc>
        <w:tc>
          <w:tcPr>
            <w:tcW w:w="3491" w:type="pct"/>
            <w:shd w:val="clear" w:color="auto" w:fill="auto"/>
          </w:tcPr>
          <w:p w:rsidR="00B8782D" w:rsidRDefault="00B8782D" w:rsidP="00750C8B">
            <w:pPr>
              <w:pStyle w:val="TableText"/>
            </w:pPr>
            <w:r>
              <w:t>A quarantine pest or a regulated non</w:t>
            </w:r>
            <w:r>
              <w:noBreakHyphen/>
              <w:t xml:space="preserve">quarantine pest </w:t>
            </w:r>
            <w:r>
              <w:rPr>
                <w:noProof/>
              </w:rPr>
              <w:t>(FAO 2015a)</w:t>
            </w:r>
            <w:r>
              <w:t>.</w:t>
            </w:r>
          </w:p>
        </w:tc>
      </w:tr>
      <w:tr w:rsidR="00B8782D">
        <w:tc>
          <w:tcPr>
            <w:tcW w:w="1509" w:type="pct"/>
            <w:shd w:val="clear" w:color="auto" w:fill="auto"/>
          </w:tcPr>
          <w:p w:rsidR="00B8782D" w:rsidRDefault="00B8782D">
            <w:pPr>
              <w:pStyle w:val="TableText"/>
            </w:pPr>
            <w:r>
              <w:t>Restricted risk</w:t>
            </w:r>
          </w:p>
        </w:tc>
        <w:tc>
          <w:tcPr>
            <w:tcW w:w="3491" w:type="pct"/>
            <w:shd w:val="clear" w:color="auto" w:fill="auto"/>
          </w:tcPr>
          <w:p w:rsidR="00B8782D" w:rsidRDefault="00B8782D">
            <w:pPr>
              <w:pStyle w:val="TableText"/>
            </w:pPr>
            <w:r>
              <w:t>Risk estimate with phytosanitary measure(s) applied.</w:t>
            </w:r>
          </w:p>
        </w:tc>
      </w:tr>
      <w:tr w:rsidR="00B8782D">
        <w:tc>
          <w:tcPr>
            <w:tcW w:w="1509" w:type="pct"/>
            <w:shd w:val="clear" w:color="auto" w:fill="auto"/>
          </w:tcPr>
          <w:p w:rsidR="00B8782D" w:rsidRDefault="00B8782D">
            <w:pPr>
              <w:pStyle w:val="TableText"/>
            </w:pPr>
            <w:r>
              <w:t>Saprophyte</w:t>
            </w:r>
          </w:p>
        </w:tc>
        <w:tc>
          <w:tcPr>
            <w:tcW w:w="3491" w:type="pct"/>
            <w:shd w:val="clear" w:color="auto" w:fill="auto"/>
          </w:tcPr>
          <w:p w:rsidR="00B8782D" w:rsidRDefault="00B8782D">
            <w:pPr>
              <w:pStyle w:val="TableText"/>
            </w:pPr>
            <w:r>
              <w:t>An organism deriving its nourishment from dead organic matter.</w:t>
            </w:r>
          </w:p>
        </w:tc>
      </w:tr>
      <w:tr w:rsidR="00B8782D">
        <w:tc>
          <w:tcPr>
            <w:tcW w:w="1509" w:type="pct"/>
            <w:shd w:val="clear" w:color="auto" w:fill="auto"/>
          </w:tcPr>
          <w:p w:rsidR="00B8782D" w:rsidRDefault="00B8782D">
            <w:pPr>
              <w:pStyle w:val="TableText"/>
            </w:pPr>
            <w:r>
              <w:t>Spread (of a pest)</w:t>
            </w:r>
          </w:p>
        </w:tc>
        <w:tc>
          <w:tcPr>
            <w:tcW w:w="3491" w:type="pct"/>
            <w:shd w:val="clear" w:color="auto" w:fill="auto"/>
          </w:tcPr>
          <w:p w:rsidR="00B8782D" w:rsidRDefault="00B8782D" w:rsidP="00750C8B">
            <w:pPr>
              <w:pStyle w:val="TableText"/>
            </w:pPr>
            <w:r>
              <w:t xml:space="preserve">Expansion of the geographical distribution of a pest within an area </w:t>
            </w:r>
            <w:r>
              <w:rPr>
                <w:noProof/>
              </w:rPr>
              <w:t>(FAO 2015a)</w:t>
            </w:r>
            <w:r>
              <w:t>.</w:t>
            </w:r>
          </w:p>
        </w:tc>
      </w:tr>
      <w:tr w:rsidR="00B8782D">
        <w:tc>
          <w:tcPr>
            <w:tcW w:w="1509" w:type="pct"/>
            <w:shd w:val="clear" w:color="auto" w:fill="auto"/>
          </w:tcPr>
          <w:p w:rsidR="00B8782D" w:rsidRDefault="00B8782D">
            <w:pPr>
              <w:pStyle w:val="TableText"/>
            </w:pPr>
            <w:r>
              <w:t>SPS Agreement</w:t>
            </w:r>
          </w:p>
        </w:tc>
        <w:tc>
          <w:tcPr>
            <w:tcW w:w="3491" w:type="pct"/>
            <w:shd w:val="clear" w:color="auto" w:fill="auto"/>
          </w:tcPr>
          <w:p w:rsidR="00B8782D" w:rsidRDefault="00B8782D">
            <w:pPr>
              <w:pStyle w:val="TableText"/>
            </w:pPr>
            <w:r>
              <w:t>WTO Agreement on the Application of Sanitary and Phytosanitary Measures.</w:t>
            </w:r>
          </w:p>
        </w:tc>
      </w:tr>
      <w:tr w:rsidR="00B8782D">
        <w:tc>
          <w:tcPr>
            <w:tcW w:w="1509" w:type="pct"/>
            <w:shd w:val="clear" w:color="auto" w:fill="auto"/>
          </w:tcPr>
          <w:p w:rsidR="00B8782D" w:rsidRDefault="00B8782D">
            <w:pPr>
              <w:pStyle w:val="TableText"/>
            </w:pPr>
            <w:r>
              <w:t>Stakeholders</w:t>
            </w:r>
          </w:p>
        </w:tc>
        <w:tc>
          <w:tcPr>
            <w:tcW w:w="3491" w:type="pct"/>
            <w:shd w:val="clear" w:color="auto" w:fill="auto"/>
          </w:tcPr>
          <w:p w:rsidR="00B8782D" w:rsidRDefault="00B8782D">
            <w:pPr>
              <w:pStyle w:val="TableText"/>
            </w:pPr>
            <w:r>
              <w:t>Government agencies, individuals, community or industry groups or organizations, whether in Australia or overseas, including the proponent/applicant for a specific proposal, who have an interest in the policy issues.</w:t>
            </w:r>
          </w:p>
        </w:tc>
      </w:tr>
      <w:tr w:rsidR="00B8782D">
        <w:tc>
          <w:tcPr>
            <w:tcW w:w="1509" w:type="pct"/>
            <w:shd w:val="clear" w:color="auto" w:fill="auto"/>
          </w:tcPr>
          <w:p w:rsidR="00B8782D" w:rsidRDefault="00B8782D">
            <w:pPr>
              <w:pStyle w:val="TableText"/>
            </w:pPr>
            <w:r>
              <w:t>Stonefruit</w:t>
            </w:r>
          </w:p>
        </w:tc>
        <w:tc>
          <w:tcPr>
            <w:tcW w:w="3491" w:type="pct"/>
            <w:shd w:val="clear" w:color="auto" w:fill="auto"/>
          </w:tcPr>
          <w:p w:rsidR="00B8782D" w:rsidRDefault="00B8782D">
            <w:pPr>
              <w:pStyle w:val="TableText"/>
            </w:pPr>
            <w:r>
              <w:t>Fleshy indehiscent fruit with a single seed: for example, apricot, peach, nectarine, plum.</w:t>
            </w:r>
          </w:p>
        </w:tc>
      </w:tr>
      <w:tr w:rsidR="00B8782D">
        <w:tc>
          <w:tcPr>
            <w:tcW w:w="1509" w:type="pct"/>
            <w:shd w:val="clear" w:color="auto" w:fill="auto"/>
          </w:tcPr>
          <w:p w:rsidR="00B8782D" w:rsidRDefault="00B8782D">
            <w:pPr>
              <w:pStyle w:val="TableText"/>
            </w:pPr>
            <w:r>
              <w:t>Systems approach(es)</w:t>
            </w:r>
          </w:p>
        </w:tc>
        <w:tc>
          <w:tcPr>
            <w:tcW w:w="3491" w:type="pct"/>
            <w:shd w:val="clear" w:color="auto" w:fill="auto"/>
          </w:tcPr>
          <w:p w:rsidR="00B8782D" w:rsidRDefault="00B8782D">
            <w:pPr>
              <w:pStyle w:val="TableText"/>
            </w:pPr>
            <w:r>
              <w:t>The integration of different risk management measures, at least two of which act independently, and which cumulatively achieve the appropriate level of protection against regulated pests.</w:t>
            </w:r>
          </w:p>
        </w:tc>
      </w:tr>
      <w:tr w:rsidR="00B8782D">
        <w:tc>
          <w:tcPr>
            <w:tcW w:w="1509" w:type="pct"/>
            <w:shd w:val="clear" w:color="auto" w:fill="auto"/>
          </w:tcPr>
          <w:p w:rsidR="00B8782D" w:rsidRDefault="00B8782D">
            <w:pPr>
              <w:pStyle w:val="TableText"/>
            </w:pPr>
            <w:r>
              <w:t>Teleomorph</w:t>
            </w:r>
          </w:p>
        </w:tc>
        <w:tc>
          <w:tcPr>
            <w:tcW w:w="3491" w:type="pct"/>
            <w:shd w:val="clear" w:color="auto" w:fill="auto"/>
          </w:tcPr>
          <w:p w:rsidR="00B8782D" w:rsidRDefault="00B8782D">
            <w:pPr>
              <w:pStyle w:val="TableText"/>
            </w:pPr>
            <w:r>
              <w:t xml:space="preserve">The sexual stage of the life cycle of a fungus. Also called the perfect stage. </w:t>
            </w:r>
          </w:p>
        </w:tc>
      </w:tr>
      <w:tr w:rsidR="00B8782D">
        <w:tc>
          <w:tcPr>
            <w:tcW w:w="1509" w:type="pct"/>
            <w:shd w:val="clear" w:color="auto" w:fill="auto"/>
          </w:tcPr>
          <w:p w:rsidR="00B8782D" w:rsidRDefault="00B8782D">
            <w:pPr>
              <w:pStyle w:val="TableText"/>
            </w:pPr>
            <w:r>
              <w:t>Trash</w:t>
            </w:r>
          </w:p>
        </w:tc>
        <w:tc>
          <w:tcPr>
            <w:tcW w:w="3491" w:type="pct"/>
            <w:shd w:val="clear" w:color="auto" w:fill="auto"/>
          </w:tcPr>
          <w:p w:rsidR="00B8782D" w:rsidRDefault="00B8782D">
            <w:pPr>
              <w:pStyle w:val="TableText"/>
            </w:pPr>
            <w:r>
              <w:t>Soil, splinters, twigs, leaves, and other plant material, other than fruit stalks.</w:t>
            </w:r>
          </w:p>
        </w:tc>
      </w:tr>
      <w:tr w:rsidR="00B8782D">
        <w:tc>
          <w:tcPr>
            <w:tcW w:w="1509" w:type="pct"/>
            <w:shd w:val="clear" w:color="auto" w:fill="auto"/>
          </w:tcPr>
          <w:p w:rsidR="00B8782D" w:rsidRDefault="00B8782D">
            <w:pPr>
              <w:pStyle w:val="TableText"/>
            </w:pPr>
            <w:r>
              <w:t>Treatment</w:t>
            </w:r>
          </w:p>
        </w:tc>
        <w:tc>
          <w:tcPr>
            <w:tcW w:w="3491" w:type="pct"/>
            <w:shd w:val="clear" w:color="auto" w:fill="auto"/>
          </w:tcPr>
          <w:p w:rsidR="00B8782D" w:rsidRDefault="00B8782D" w:rsidP="00750C8B">
            <w:pPr>
              <w:pStyle w:val="TableText"/>
            </w:pPr>
            <w:r>
              <w:t xml:space="preserve">Official procedure for the killing, inactivation or removal of pests, or for rendering pests infertile or for devitalisation </w:t>
            </w:r>
            <w:r>
              <w:rPr>
                <w:noProof/>
              </w:rPr>
              <w:t>(FAO 2015a)</w:t>
            </w:r>
            <w:r>
              <w:t>.</w:t>
            </w:r>
          </w:p>
        </w:tc>
      </w:tr>
      <w:tr w:rsidR="00B8782D">
        <w:tc>
          <w:tcPr>
            <w:tcW w:w="1509" w:type="pct"/>
            <w:shd w:val="clear" w:color="auto" w:fill="auto"/>
          </w:tcPr>
          <w:p w:rsidR="00B8782D" w:rsidRDefault="00B8782D">
            <w:pPr>
              <w:pStyle w:val="TableText"/>
            </w:pPr>
            <w:r>
              <w:t>Unrestricted risk</w:t>
            </w:r>
          </w:p>
        </w:tc>
        <w:tc>
          <w:tcPr>
            <w:tcW w:w="3491" w:type="pct"/>
            <w:shd w:val="clear" w:color="auto" w:fill="auto"/>
          </w:tcPr>
          <w:p w:rsidR="00B8782D" w:rsidRDefault="00B8782D">
            <w:pPr>
              <w:pStyle w:val="TableText"/>
            </w:pPr>
            <w:r>
              <w:t>Unrestricted risk estimates apply in the absence of risk mitigation measures.</w:t>
            </w:r>
          </w:p>
        </w:tc>
      </w:tr>
      <w:tr w:rsidR="00B8782D">
        <w:tc>
          <w:tcPr>
            <w:tcW w:w="1509" w:type="pct"/>
            <w:shd w:val="clear" w:color="auto" w:fill="auto"/>
          </w:tcPr>
          <w:p w:rsidR="00B8782D" w:rsidRDefault="00B8782D">
            <w:pPr>
              <w:pStyle w:val="TableText"/>
            </w:pPr>
            <w:r>
              <w:t>Vector</w:t>
            </w:r>
          </w:p>
        </w:tc>
        <w:tc>
          <w:tcPr>
            <w:tcW w:w="3491" w:type="pct"/>
            <w:shd w:val="clear" w:color="auto" w:fill="auto"/>
          </w:tcPr>
          <w:p w:rsidR="00B8782D" w:rsidRDefault="00B8782D">
            <w:pPr>
              <w:pStyle w:val="TableText"/>
            </w:pPr>
            <w:r>
              <w:t>An organism that does not cause disease itself, but which causes infection by conveying pathogens from one host to another.</w:t>
            </w:r>
          </w:p>
        </w:tc>
      </w:tr>
      <w:tr w:rsidR="00B8782D">
        <w:tc>
          <w:tcPr>
            <w:tcW w:w="1509" w:type="pct"/>
            <w:shd w:val="clear" w:color="auto" w:fill="auto"/>
          </w:tcPr>
          <w:p w:rsidR="00B8782D" w:rsidRDefault="00B8782D">
            <w:pPr>
              <w:pStyle w:val="TableText"/>
            </w:pPr>
            <w:r>
              <w:t>Viable</w:t>
            </w:r>
          </w:p>
        </w:tc>
        <w:tc>
          <w:tcPr>
            <w:tcW w:w="3491" w:type="pct"/>
            <w:shd w:val="clear" w:color="auto" w:fill="auto"/>
          </w:tcPr>
          <w:p w:rsidR="00B8782D" w:rsidRDefault="00B8782D">
            <w:pPr>
              <w:pStyle w:val="TableText"/>
            </w:pPr>
            <w:r>
              <w:t>Alive, able to germinate or capable of growth.</w:t>
            </w:r>
          </w:p>
        </w:tc>
      </w:tr>
    </w:tbl>
    <w:p w:rsidR="00B8782D" w:rsidRDefault="00B8782D" w:rsidP="003E2B58">
      <w:pPr>
        <w:tabs>
          <w:tab w:val="left" w:pos="0"/>
        </w:tabs>
        <w:spacing w:after="0" w:line="240" w:lineRule="auto"/>
        <w:rPr>
          <w:rFonts w:asciiTheme="majorHAnsi" w:hAnsiTheme="majorHAnsi"/>
        </w:rPr>
      </w:pPr>
    </w:p>
    <w:p w:rsidR="00B8782D" w:rsidRDefault="00B8782D" w:rsidP="003E2B58">
      <w:pPr>
        <w:tabs>
          <w:tab w:val="left" w:pos="0"/>
        </w:tabs>
        <w:spacing w:after="0" w:line="240" w:lineRule="auto"/>
        <w:rPr>
          <w:rFonts w:asciiTheme="majorHAnsi" w:hAnsiTheme="majorHAnsi"/>
        </w:rPr>
        <w:sectPr w:rsidR="00B8782D" w:rsidSect="007D0B7F">
          <w:headerReference w:type="default" r:id="rId69"/>
          <w:pgSz w:w="11906" w:h="16838"/>
          <w:pgMar w:top="1418" w:right="1418" w:bottom="1418" w:left="1418" w:header="567" w:footer="283" w:gutter="0"/>
          <w:cols w:space="708"/>
          <w:docGrid w:linePitch="360"/>
        </w:sectPr>
      </w:pPr>
    </w:p>
    <w:p w:rsidR="00B8782D" w:rsidRDefault="00B8782D" w:rsidP="006F0451">
      <w:pPr>
        <w:pStyle w:val="Heading1nonumbers"/>
      </w:pPr>
      <w:bookmarkStart w:id="143" w:name="_Toc448312523"/>
      <w:r>
        <w:lastRenderedPageBreak/>
        <w:t>References</w:t>
      </w:r>
      <w:bookmarkEnd w:id="143"/>
    </w:p>
    <w:p w:rsidR="00B8782D" w:rsidRPr="00750C8B" w:rsidRDefault="00B8782D" w:rsidP="00750C8B">
      <w:pPr>
        <w:pStyle w:val="EndNoteBibliography"/>
        <w:spacing w:after="0"/>
      </w:pPr>
      <w:bookmarkStart w:id="144" w:name="_ENREF_1"/>
      <w:r w:rsidRPr="00750C8B">
        <w:t>Adams, AN 1995, ‘</w:t>
      </w:r>
      <w:r w:rsidRPr="00750C8B">
        <w:rPr>
          <w:i/>
        </w:rPr>
        <w:t>Plum pox virus</w:t>
      </w:r>
      <w:r w:rsidRPr="00750C8B">
        <w:t xml:space="preserve">’, in </w:t>
      </w:r>
      <w:r w:rsidRPr="00750C8B">
        <w:rPr>
          <w:i/>
        </w:rPr>
        <w:t>Compendium of stone fruit diseases</w:t>
      </w:r>
      <w:r w:rsidRPr="00750C8B">
        <w:t>, Ogawa, JM, Zehr, EI, Bird, GW, Ritchie, DF, Uiru, K &amp; Uyemoto, JK (eds), The American Phytopathological Society Press, St. Paul, Minnesota.</w:t>
      </w:r>
      <w:bookmarkEnd w:id="144"/>
    </w:p>
    <w:p w:rsidR="00B8782D" w:rsidRPr="00750C8B" w:rsidRDefault="00B8782D" w:rsidP="00750C8B">
      <w:pPr>
        <w:pStyle w:val="EndNoteBibliography"/>
        <w:spacing w:after="0"/>
      </w:pPr>
      <w:bookmarkStart w:id="145" w:name="_ENREF_2"/>
      <w:r w:rsidRPr="00750C8B">
        <w:t xml:space="preserve">Adaskaveg, JE &amp; Caprile, JL 2014, </w:t>
      </w:r>
      <w:r w:rsidRPr="00750C8B">
        <w:rPr>
          <w:i/>
        </w:rPr>
        <w:t>Diseases. In UC IPM Pest management guidelines: cherry</w:t>
      </w:r>
      <w:r w:rsidRPr="00750C8B">
        <w:t xml:space="preserve">, UC IPM Online: Statewide Integrated Pest Management Program, available at </w:t>
      </w:r>
      <w:r w:rsidRPr="00B8782D">
        <w:t>http://www.ipm.ucdavis.edu/PDF/PMG/pmgcherry.pdf</w:t>
      </w:r>
      <w:r w:rsidRPr="00750C8B">
        <w:t>.</w:t>
      </w:r>
      <w:bookmarkEnd w:id="145"/>
    </w:p>
    <w:p w:rsidR="00B8782D" w:rsidRPr="00750C8B" w:rsidRDefault="00B8782D" w:rsidP="00750C8B">
      <w:pPr>
        <w:pStyle w:val="EndNoteBibliography"/>
        <w:spacing w:after="0"/>
      </w:pPr>
      <w:bookmarkStart w:id="146" w:name="_ENREF_3"/>
      <w:r w:rsidRPr="00750C8B">
        <w:t xml:space="preserve">Afonin, AN, Greene, SL, Dzyubenko, NI &amp; Frolov, AN 2008, ‘Interactive agricultural ecological atlas of Russia and neighboring countries. Economic plants and their diseases, pests and weeds [online]’, available at </w:t>
      </w:r>
      <w:r w:rsidRPr="00B8782D">
        <w:t>http://www.agroatlas.ru</w:t>
      </w:r>
      <w:r w:rsidRPr="00750C8B">
        <w:t>, accessed 2014.</w:t>
      </w:r>
      <w:bookmarkEnd w:id="146"/>
    </w:p>
    <w:p w:rsidR="00B8782D" w:rsidRPr="00750C8B" w:rsidRDefault="00B8782D" w:rsidP="00750C8B">
      <w:pPr>
        <w:pStyle w:val="EndNoteBibliography"/>
        <w:spacing w:after="0"/>
      </w:pPr>
      <w:bookmarkStart w:id="147" w:name="_ENREF_4"/>
      <w:r w:rsidRPr="00750C8B">
        <w:t xml:space="preserve">Al-Hindi, RR, Al-Najada, AR &amp; Mohamed, AA 2011, ‘Isolation and identification of some fruit spoilage fungi: screening of plant cell wall degrading enzymes’, </w:t>
      </w:r>
      <w:r w:rsidRPr="00750C8B">
        <w:rPr>
          <w:i/>
        </w:rPr>
        <w:t>African Journal of Microbiology Research</w:t>
      </w:r>
      <w:r w:rsidRPr="00750C8B">
        <w:t>, vol. 5, no. 4, pp. 443-8.</w:t>
      </w:r>
      <w:bookmarkEnd w:id="147"/>
    </w:p>
    <w:p w:rsidR="00B8782D" w:rsidRPr="00750C8B" w:rsidRDefault="00B8782D" w:rsidP="00750C8B">
      <w:pPr>
        <w:pStyle w:val="EndNoteBibliography"/>
        <w:spacing w:after="0"/>
      </w:pPr>
      <w:bookmarkStart w:id="148" w:name="_ENREF_5"/>
      <w:r w:rsidRPr="00750C8B">
        <w:t xml:space="preserve">ALA 2014, ‘Atlas of Living Australia’, available at </w:t>
      </w:r>
      <w:r w:rsidRPr="00B8782D">
        <w:t>www.ala.org.au</w:t>
      </w:r>
      <w:r w:rsidRPr="00750C8B">
        <w:t>, accessed 2014.</w:t>
      </w:r>
      <w:bookmarkEnd w:id="148"/>
    </w:p>
    <w:p w:rsidR="00B8782D" w:rsidRPr="00750C8B" w:rsidRDefault="00B8782D" w:rsidP="00750C8B">
      <w:pPr>
        <w:pStyle w:val="EndNoteBibliography"/>
        <w:spacing w:after="0"/>
      </w:pPr>
      <w:bookmarkStart w:id="149" w:name="_ENREF_6"/>
      <w:r w:rsidRPr="00750C8B">
        <w:t xml:space="preserve">Alford, DV 2007, </w:t>
      </w:r>
      <w:r w:rsidRPr="00750C8B">
        <w:rPr>
          <w:i/>
        </w:rPr>
        <w:t>Pest of fruit crops: a colour handbook</w:t>
      </w:r>
      <w:r w:rsidRPr="00750C8B">
        <w:t>, Manson Publishing, London, UK.</w:t>
      </w:r>
      <w:bookmarkEnd w:id="149"/>
    </w:p>
    <w:p w:rsidR="00B8782D" w:rsidRPr="00750C8B" w:rsidRDefault="00B8782D" w:rsidP="00750C8B">
      <w:pPr>
        <w:pStyle w:val="EndNoteBibliography"/>
        <w:spacing w:after="0"/>
      </w:pPr>
      <w:bookmarkStart w:id="150" w:name="_ENREF_7"/>
      <w:r w:rsidRPr="00750C8B">
        <w:t xml:space="preserve">Alston, D &amp; Murray, M 2007, </w:t>
      </w:r>
      <w:r w:rsidRPr="00750C8B">
        <w:rPr>
          <w:i/>
        </w:rPr>
        <w:t>Utah pests fact sheet ENT-36-07: Peach twig borer (Anarsia lineatella)</w:t>
      </w:r>
      <w:r w:rsidRPr="00750C8B">
        <w:t xml:space="preserve">, Utah State University Extension, available at </w:t>
      </w:r>
      <w:r w:rsidRPr="00B8782D">
        <w:t>http://utahpests.usu.edu/ipm/htm/fruits/fruit-insect-disease/peach-twig-borer07</w:t>
      </w:r>
      <w:r w:rsidRPr="00750C8B">
        <w:t>.</w:t>
      </w:r>
      <w:bookmarkEnd w:id="150"/>
    </w:p>
    <w:p w:rsidR="00B8782D" w:rsidRPr="00750C8B" w:rsidRDefault="00B8782D" w:rsidP="00750C8B">
      <w:pPr>
        <w:pStyle w:val="EndNoteBibliography"/>
        <w:spacing w:after="0"/>
      </w:pPr>
      <w:bookmarkStart w:id="151" w:name="_ENREF_8"/>
      <w:r w:rsidRPr="00750C8B">
        <w:t xml:space="preserve">An, ZG 1990, ‘Diagnostics of </w:t>
      </w:r>
      <w:r w:rsidRPr="00750C8B">
        <w:rPr>
          <w:i/>
        </w:rPr>
        <w:t>Popillia japonica</w:t>
      </w:r>
      <w:r w:rsidRPr="00750C8B">
        <w:t xml:space="preserve">’ (in Chinese), </w:t>
      </w:r>
      <w:r w:rsidRPr="00750C8B">
        <w:rPr>
          <w:i/>
        </w:rPr>
        <w:t>Zhiwu Jianyi (Plant Quarantine)</w:t>
      </w:r>
      <w:r w:rsidRPr="00750C8B">
        <w:t>, vol. 4, no. 1, pp. 29-31.</w:t>
      </w:r>
      <w:bookmarkEnd w:id="151"/>
    </w:p>
    <w:p w:rsidR="00B8782D" w:rsidRPr="00750C8B" w:rsidRDefault="00B8782D" w:rsidP="00750C8B">
      <w:pPr>
        <w:pStyle w:val="EndNoteBibliography"/>
        <w:spacing w:after="0"/>
      </w:pPr>
      <w:bookmarkStart w:id="152" w:name="_ENREF_9"/>
      <w:r w:rsidRPr="00750C8B">
        <w:t xml:space="preserve">Andreev, R &amp; Kutinkova, H 2010, ‘Possibility of reducing chemical treatments aimed at control of plum insect pests’, </w:t>
      </w:r>
      <w:r w:rsidRPr="00750C8B">
        <w:rPr>
          <w:i/>
        </w:rPr>
        <w:t>Acta Horticulturae (ISHS)</w:t>
      </w:r>
      <w:r w:rsidRPr="00750C8B">
        <w:t>, vol. 874, pp. 215-20.</w:t>
      </w:r>
      <w:bookmarkEnd w:id="152"/>
    </w:p>
    <w:p w:rsidR="00B8782D" w:rsidRPr="00750C8B" w:rsidRDefault="00B8782D" w:rsidP="00750C8B">
      <w:pPr>
        <w:pStyle w:val="EndNoteBibliography"/>
        <w:spacing w:after="0"/>
      </w:pPr>
      <w:bookmarkStart w:id="153" w:name="_ENREF_10"/>
      <w:r w:rsidRPr="00750C8B">
        <w:t xml:space="preserve">AQSIQ 2005, </w:t>
      </w:r>
      <w:r w:rsidRPr="00750C8B">
        <w:rPr>
          <w:i/>
        </w:rPr>
        <w:t>Export technical reference information for Chinese apple, received on 14 March 2005</w:t>
      </w:r>
      <w:r w:rsidRPr="00750C8B">
        <w:t>, The General Administration of Quality Supervision, Inspection and Quarantine of the People's Republic of China, Beijing.</w:t>
      </w:r>
      <w:bookmarkEnd w:id="153"/>
    </w:p>
    <w:p w:rsidR="00B8782D" w:rsidRPr="00750C8B" w:rsidRDefault="00B8782D" w:rsidP="00750C8B">
      <w:pPr>
        <w:pStyle w:val="EndNoteBibliography"/>
        <w:spacing w:after="0"/>
      </w:pPr>
      <w:bookmarkStart w:id="154" w:name="_ENREF_11"/>
      <w:r w:rsidRPr="00750C8B">
        <w:t xml:space="preserve">-- -- 2006a, </w:t>
      </w:r>
      <w:r w:rsidRPr="00750C8B">
        <w:rPr>
          <w:i/>
        </w:rPr>
        <w:t>Export technical reference information for Chinese grape received on 20 July 2006</w:t>
      </w:r>
      <w:r w:rsidRPr="00750C8B">
        <w:t>, The General Administration of Quality Supervision, Inspection and Quarantine of the People's Republic of China, Beijing.</w:t>
      </w:r>
      <w:bookmarkEnd w:id="154"/>
    </w:p>
    <w:p w:rsidR="00B8782D" w:rsidRPr="00750C8B" w:rsidRDefault="00B8782D" w:rsidP="00750C8B">
      <w:pPr>
        <w:pStyle w:val="EndNoteBibliography"/>
        <w:spacing w:after="0"/>
      </w:pPr>
      <w:bookmarkStart w:id="155" w:name="_ENREF_12"/>
      <w:r w:rsidRPr="00750C8B">
        <w:t xml:space="preserve">-- -- 2006b, </w:t>
      </w:r>
      <w:r w:rsidRPr="00750C8B">
        <w:rPr>
          <w:i/>
        </w:rPr>
        <w:t>Export technical reference information for Chinese stone fruit: pests and diseases associated with summerfruit (apricot, plum) in China</w:t>
      </w:r>
      <w:r w:rsidRPr="00750C8B">
        <w:t>, The General Administration of Quality Supervision, Inspection and Quarantine of the People's Republic of China, Beijing.</w:t>
      </w:r>
      <w:bookmarkEnd w:id="155"/>
    </w:p>
    <w:p w:rsidR="00B8782D" w:rsidRPr="00750C8B" w:rsidRDefault="00B8782D" w:rsidP="00750C8B">
      <w:pPr>
        <w:pStyle w:val="EndNoteBibliography"/>
        <w:spacing w:after="0"/>
      </w:pPr>
      <w:bookmarkStart w:id="156" w:name="_ENREF_13"/>
      <w:r w:rsidRPr="00750C8B">
        <w:t xml:space="preserve">-- -- 2006c, </w:t>
      </w:r>
      <w:r w:rsidRPr="00750C8B">
        <w:rPr>
          <w:i/>
        </w:rPr>
        <w:t>Pest list of Chinese cherries (electronic pest list received 13 September 2006)</w:t>
      </w:r>
      <w:r w:rsidRPr="00750C8B">
        <w:t>, The General Administration of Quality Supervision, Inspection and Quarantine of the People's Republic of China, Beijing.</w:t>
      </w:r>
      <w:bookmarkEnd w:id="156"/>
    </w:p>
    <w:p w:rsidR="00B8782D" w:rsidRPr="00750C8B" w:rsidRDefault="00B8782D" w:rsidP="00750C8B">
      <w:pPr>
        <w:pStyle w:val="EndNoteBibliography"/>
        <w:spacing w:after="0"/>
      </w:pPr>
      <w:bookmarkStart w:id="157" w:name="_ENREF_14"/>
      <w:r w:rsidRPr="00750C8B">
        <w:t xml:space="preserve">-- -- 2006d, </w:t>
      </w:r>
      <w:r w:rsidRPr="00750C8B">
        <w:rPr>
          <w:i/>
        </w:rPr>
        <w:t>Technical information of export of Chinese cherry (hard copy received at bilateral discussions 20 July 2006, Beijing)</w:t>
      </w:r>
      <w:r w:rsidRPr="00750C8B">
        <w:t>, The General Administration of Quality Supervision, Inspection and Quarantine of the People's Republic of China, Beijing.</w:t>
      </w:r>
      <w:bookmarkEnd w:id="157"/>
    </w:p>
    <w:p w:rsidR="00B8782D" w:rsidRPr="00750C8B" w:rsidRDefault="00B8782D" w:rsidP="00750C8B">
      <w:pPr>
        <w:pStyle w:val="EndNoteBibliography"/>
        <w:spacing w:after="0"/>
      </w:pPr>
      <w:bookmarkStart w:id="158" w:name="_ENREF_15"/>
      <w:r w:rsidRPr="00750C8B">
        <w:t xml:space="preserve">-- -- 2007a, </w:t>
      </w:r>
      <w:r w:rsidRPr="00750C8B">
        <w:rPr>
          <w:i/>
        </w:rPr>
        <w:t>Quarantine pest list of the People’s Republic of China. Ministry  of Agriculture Announcement 862, 29 May 2007</w:t>
      </w:r>
      <w:r w:rsidRPr="00750C8B">
        <w:t>, The General Administration of Quality Supervision, Inspection and Quarantine, People's Republic of China, China (pdf 285.53kb).</w:t>
      </w:r>
      <w:bookmarkEnd w:id="158"/>
    </w:p>
    <w:p w:rsidR="00B8782D" w:rsidRPr="00750C8B" w:rsidRDefault="00B8782D" w:rsidP="00750C8B">
      <w:pPr>
        <w:pStyle w:val="EndNoteBibliography"/>
        <w:spacing w:after="0"/>
      </w:pPr>
      <w:bookmarkStart w:id="159" w:name="_ENREF_16"/>
      <w:r w:rsidRPr="00750C8B">
        <w:t xml:space="preserve">-- -- 2007b, </w:t>
      </w:r>
      <w:r w:rsidRPr="00750C8B">
        <w:rPr>
          <w:i/>
        </w:rPr>
        <w:t>Reply on supplementary information on pests in table grapes exported from China to Australia received on 19 March 2007</w:t>
      </w:r>
      <w:r w:rsidRPr="00750C8B">
        <w:t>, The General Administration of Quality Supervision, Inspection and Quarantine of the People's Republic of China, Beijing.</w:t>
      </w:r>
      <w:bookmarkEnd w:id="159"/>
    </w:p>
    <w:p w:rsidR="00B8782D" w:rsidRPr="00750C8B" w:rsidRDefault="00B8782D" w:rsidP="00750C8B">
      <w:pPr>
        <w:pStyle w:val="EndNoteBibliography"/>
        <w:spacing w:after="0"/>
      </w:pPr>
      <w:bookmarkStart w:id="160" w:name="_ENREF_17"/>
      <w:r w:rsidRPr="00750C8B">
        <w:t xml:space="preserve">Arakawa, HY 1931, ‘The pear flower bud weevil in S. Manchuria’, </w:t>
      </w:r>
      <w:r w:rsidRPr="00750C8B">
        <w:rPr>
          <w:i/>
        </w:rPr>
        <w:t>Research Bulletin Agricultural Experiment Station, South Manchuria Railway Co.</w:t>
      </w:r>
      <w:r w:rsidRPr="00750C8B">
        <w:t>, vol. 5, pp. 13-39.</w:t>
      </w:r>
      <w:bookmarkEnd w:id="160"/>
    </w:p>
    <w:p w:rsidR="00B8782D" w:rsidRPr="00750C8B" w:rsidRDefault="00B8782D" w:rsidP="00750C8B">
      <w:pPr>
        <w:pStyle w:val="EndNoteBibliography"/>
        <w:spacing w:after="0"/>
      </w:pPr>
      <w:bookmarkStart w:id="161" w:name="_ENREF_18"/>
      <w:r w:rsidRPr="00750C8B">
        <w:t xml:space="preserve">Asjes, CJ &amp; Blom-Barnhoorn, GJ 2002, ‘Control of spread of Augusta disease caused by </w:t>
      </w:r>
      <w:r w:rsidRPr="00750C8B">
        <w:rPr>
          <w:i/>
        </w:rPr>
        <w:t>Tobacco necrosis virus</w:t>
      </w:r>
      <w:r w:rsidRPr="00750C8B">
        <w:t xml:space="preserve"> in tulip by composting residual waste of small bulbs, tunics, roots and soil debris’, </w:t>
      </w:r>
      <w:r w:rsidRPr="00750C8B">
        <w:rPr>
          <w:i/>
        </w:rPr>
        <w:t>Acta Horticulturae (ISHS)</w:t>
      </w:r>
      <w:r w:rsidRPr="00750C8B">
        <w:t>, vol. 570, pp. 283-6.</w:t>
      </w:r>
      <w:bookmarkEnd w:id="161"/>
    </w:p>
    <w:p w:rsidR="00B8782D" w:rsidRPr="00750C8B" w:rsidRDefault="00B8782D" w:rsidP="00750C8B">
      <w:pPr>
        <w:pStyle w:val="EndNoteBibliography"/>
        <w:spacing w:after="0"/>
      </w:pPr>
      <w:bookmarkStart w:id="162" w:name="_ENREF_19"/>
      <w:r w:rsidRPr="00750C8B">
        <w:t xml:space="preserve">Australian Government Department of Agriculture 2014, </w:t>
      </w:r>
      <w:r w:rsidRPr="00750C8B">
        <w:rPr>
          <w:i/>
        </w:rPr>
        <w:t>National diagnostic protocol for plum pox virus (PPV)</w:t>
      </w:r>
      <w:r w:rsidRPr="00750C8B">
        <w:t xml:space="preserve">, available at </w:t>
      </w:r>
      <w:r w:rsidRPr="00B8782D">
        <w:t>http://plantbiosecuritydiagnostics.net.au/wordpress/wp-content/uploads/2015/03/NDP-2-Plum-Pox-Virus-V3.1.pdf</w:t>
      </w:r>
      <w:r w:rsidRPr="00750C8B">
        <w:t>.</w:t>
      </w:r>
      <w:bookmarkEnd w:id="162"/>
    </w:p>
    <w:p w:rsidR="00B8782D" w:rsidRPr="00750C8B" w:rsidRDefault="00B8782D" w:rsidP="00750C8B">
      <w:pPr>
        <w:pStyle w:val="EndNoteBibliography"/>
        <w:spacing w:after="0"/>
      </w:pPr>
      <w:bookmarkStart w:id="163" w:name="_ENREF_20"/>
      <w:r w:rsidRPr="00750C8B">
        <w:lastRenderedPageBreak/>
        <w:t xml:space="preserve">AVH 2014, </w:t>
      </w:r>
      <w:r w:rsidRPr="00750C8B">
        <w:rPr>
          <w:i/>
        </w:rPr>
        <w:t>Australia's Virtual Herbarium, Council of Heads of Australasian Herbaria</w:t>
      </w:r>
      <w:r w:rsidRPr="00750C8B">
        <w:t xml:space="preserve">, available at </w:t>
      </w:r>
      <w:r w:rsidRPr="00B8782D">
        <w:t>http://avh.chah.org.au</w:t>
      </w:r>
      <w:r w:rsidRPr="00750C8B">
        <w:t>.</w:t>
      </w:r>
      <w:bookmarkEnd w:id="163"/>
    </w:p>
    <w:p w:rsidR="00B8782D" w:rsidRPr="00750C8B" w:rsidRDefault="00B8782D" w:rsidP="00750C8B">
      <w:pPr>
        <w:pStyle w:val="EndNoteBibliography"/>
        <w:spacing w:after="0"/>
      </w:pPr>
      <w:bookmarkStart w:id="164" w:name="_ENREF_21"/>
      <w:r w:rsidRPr="00750C8B">
        <w:t xml:space="preserve">Baggiolini, M 1961, ‘A new Tortricid injurious to fruit trees and vines: </w:t>
      </w:r>
      <w:r w:rsidRPr="00750C8B">
        <w:rPr>
          <w:i/>
        </w:rPr>
        <w:t>Eulia (Argyrotaenia pulchllana</w:t>
      </w:r>
      <w:r w:rsidRPr="00750C8B">
        <w:t xml:space="preserve"> Hw.)’ (in French), </w:t>
      </w:r>
      <w:r w:rsidRPr="00750C8B">
        <w:rPr>
          <w:i/>
        </w:rPr>
        <w:t>Revue romande d'Agriculture, de Viticulture et d'Arboriculture</w:t>
      </w:r>
      <w:r w:rsidRPr="00750C8B">
        <w:t>, vol. 17, no. 8, pp. 68-71. (Abstract only)</w:t>
      </w:r>
      <w:bookmarkEnd w:id="164"/>
    </w:p>
    <w:p w:rsidR="00B8782D" w:rsidRPr="00750C8B" w:rsidRDefault="00B8782D" w:rsidP="00750C8B">
      <w:pPr>
        <w:pStyle w:val="EndNoteBibliography"/>
        <w:spacing w:after="0"/>
      </w:pPr>
      <w:bookmarkStart w:id="165" w:name="_ENREF_22"/>
      <w:r w:rsidRPr="00750C8B">
        <w:t xml:space="preserve">Bai, JK, (ed) 2003, </w:t>
      </w:r>
      <w:r w:rsidRPr="00750C8B">
        <w:rPr>
          <w:i/>
        </w:rPr>
        <w:t>Flora Fungorum Sinicorum, Volume 17 [Chinese]: Sphaeropsidales, Ascochyta, Septoria</w:t>
      </w:r>
      <w:r w:rsidRPr="00750C8B">
        <w:t>, Science Press, Beijing.</w:t>
      </w:r>
      <w:bookmarkEnd w:id="165"/>
    </w:p>
    <w:p w:rsidR="00B8782D" w:rsidRPr="00750C8B" w:rsidRDefault="00B8782D" w:rsidP="00750C8B">
      <w:pPr>
        <w:pStyle w:val="EndNoteBibliography"/>
        <w:spacing w:after="0"/>
      </w:pPr>
      <w:bookmarkStart w:id="166" w:name="_ENREF_23"/>
      <w:r w:rsidRPr="00750C8B">
        <w:t xml:space="preserve">Bailey, P &amp; Caon, G 1986, ‘Predation on two-spotted mite, </w:t>
      </w:r>
      <w:r w:rsidRPr="00750C8B">
        <w:rPr>
          <w:i/>
        </w:rPr>
        <w:t>Tetranychus urticae</w:t>
      </w:r>
      <w:r w:rsidRPr="00750C8B">
        <w:t xml:space="preserve"> Koch (Acarina: Teteranychidae) by </w:t>
      </w:r>
      <w:r w:rsidRPr="00750C8B">
        <w:rPr>
          <w:i/>
        </w:rPr>
        <w:t xml:space="preserve">Haplothrips victoriensis </w:t>
      </w:r>
      <w:r w:rsidRPr="00750C8B">
        <w:t xml:space="preserve">Bagnall (Thysanoptera: Phlaeothripidae) and </w:t>
      </w:r>
      <w:r w:rsidRPr="00750C8B">
        <w:rPr>
          <w:i/>
        </w:rPr>
        <w:t>Stethorus nigripes</w:t>
      </w:r>
      <w:r w:rsidRPr="00750C8B">
        <w:t xml:space="preserve"> Kapur (Coleoptera: Coccinellidae) on seed lucerne crops in South Australia’, </w:t>
      </w:r>
      <w:r w:rsidRPr="00750C8B">
        <w:rPr>
          <w:i/>
        </w:rPr>
        <w:t>Australian Journal of Zoology</w:t>
      </w:r>
      <w:r w:rsidRPr="00750C8B">
        <w:t>, vol. 34, pp. 515-25.</w:t>
      </w:r>
      <w:bookmarkEnd w:id="166"/>
    </w:p>
    <w:p w:rsidR="00B8782D" w:rsidRPr="00750C8B" w:rsidRDefault="00B8782D" w:rsidP="00750C8B">
      <w:pPr>
        <w:pStyle w:val="EndNoteBibliography"/>
        <w:spacing w:after="0"/>
      </w:pPr>
      <w:bookmarkStart w:id="167" w:name="_ENREF_24"/>
      <w:r w:rsidRPr="00750C8B">
        <w:t xml:space="preserve">Baker, CJ, Harrington, TC, Krauss, U &amp; Alfenas, AC 2003, ‘Genetic variability and host specialization in the Latin Amerian Clade of </w:t>
      </w:r>
      <w:r w:rsidRPr="00750C8B">
        <w:rPr>
          <w:i/>
        </w:rPr>
        <w:t>Ceratocystic fimbriata</w:t>
      </w:r>
      <w:r w:rsidRPr="00750C8B">
        <w:t xml:space="preserve">’, </w:t>
      </w:r>
      <w:r w:rsidRPr="00750C8B">
        <w:rPr>
          <w:i/>
        </w:rPr>
        <w:t>Phytopathology</w:t>
      </w:r>
      <w:r w:rsidRPr="00750C8B">
        <w:t>, vol. 93, no. 10, pp. 1274-84.</w:t>
      </w:r>
      <w:bookmarkEnd w:id="167"/>
    </w:p>
    <w:p w:rsidR="00B8782D" w:rsidRPr="00750C8B" w:rsidRDefault="00B8782D" w:rsidP="00750C8B">
      <w:pPr>
        <w:pStyle w:val="EndNoteBibliography"/>
        <w:spacing w:after="0"/>
      </w:pPr>
      <w:bookmarkStart w:id="168" w:name="_ENREF_25"/>
      <w:r w:rsidRPr="00750C8B">
        <w:t>Baker, H, Stahler, N, Johnson, AC, Adams, L &amp; Froesciner, RO 1943, ‘</w:t>
      </w:r>
      <w:r w:rsidRPr="00750C8B">
        <w:rPr>
          <w:i/>
        </w:rPr>
        <w:t xml:space="preserve">Parlatoria chinensis </w:t>
      </w:r>
      <w:r w:rsidRPr="00750C8B">
        <w:t xml:space="preserve">Marlatt’, </w:t>
      </w:r>
      <w:r w:rsidRPr="00750C8B">
        <w:rPr>
          <w:i/>
        </w:rPr>
        <w:t>United States Department of Agriculture Circular</w:t>
      </w:r>
      <w:r w:rsidRPr="00750C8B">
        <w:t>, vol. E-595, pp. 1-17.</w:t>
      </w:r>
      <w:bookmarkEnd w:id="168"/>
    </w:p>
    <w:p w:rsidR="00B8782D" w:rsidRPr="00750C8B" w:rsidRDefault="00B8782D" w:rsidP="00750C8B">
      <w:pPr>
        <w:pStyle w:val="EndNoteBibliography"/>
        <w:spacing w:after="0"/>
      </w:pPr>
      <w:bookmarkStart w:id="169" w:name="_ENREF_26"/>
      <w:r w:rsidRPr="00750C8B">
        <w:t xml:space="preserve">Bänziger, H 1982, ‘Fruit-piercing moths (Lep.: Noctuidae) in Thailand: a general survey and some new perspectives’, </w:t>
      </w:r>
      <w:r w:rsidRPr="00750C8B">
        <w:rPr>
          <w:i/>
        </w:rPr>
        <w:t>Bulletin de la Société Entomologique Suisse</w:t>
      </w:r>
      <w:r w:rsidRPr="00750C8B">
        <w:t>, vol. 55, pp. 213-40.</w:t>
      </w:r>
      <w:bookmarkEnd w:id="169"/>
    </w:p>
    <w:p w:rsidR="00B8782D" w:rsidRPr="00750C8B" w:rsidRDefault="00B8782D" w:rsidP="00750C8B">
      <w:pPr>
        <w:pStyle w:val="EndNoteBibliography"/>
        <w:spacing w:after="0"/>
      </w:pPr>
      <w:bookmarkStart w:id="170" w:name="_ENREF_27"/>
      <w:r w:rsidRPr="00750C8B">
        <w:t xml:space="preserve">Baozhen, H, Aijuan, Z, Xiangzhou, L &amp; Lei, H 1998, ‘Seasonal history of </w:t>
      </w:r>
      <w:r w:rsidRPr="00750C8B">
        <w:rPr>
          <w:i/>
        </w:rPr>
        <w:t>Carposina sasakii</w:t>
      </w:r>
      <w:r w:rsidRPr="00750C8B">
        <w:t xml:space="preserve"> Matsumura on apricot orchard in Qinling Mountain region, Shaanxi’ (in Chinese), </w:t>
      </w:r>
      <w:r w:rsidRPr="00750C8B">
        <w:rPr>
          <w:i/>
        </w:rPr>
        <w:t>Acta Agriculturae Borealroccidentalis Sinica</w:t>
      </w:r>
      <w:r w:rsidRPr="00750C8B">
        <w:t>, vol. 7, no. 4, pp. 32-5.</w:t>
      </w:r>
      <w:bookmarkEnd w:id="170"/>
    </w:p>
    <w:p w:rsidR="00B8782D" w:rsidRPr="00750C8B" w:rsidRDefault="00B8782D" w:rsidP="00750C8B">
      <w:pPr>
        <w:pStyle w:val="EndNoteBibliography"/>
        <w:spacing w:after="0"/>
      </w:pPr>
      <w:bookmarkStart w:id="171" w:name="_ENREF_28"/>
      <w:r w:rsidRPr="00750C8B">
        <w:t xml:space="preserve">Barnes, MM 1991, ‘Codling moth occurrence, host race formulation, and damage’, in </w:t>
      </w:r>
      <w:r w:rsidRPr="00750C8B">
        <w:rPr>
          <w:i/>
        </w:rPr>
        <w:t>Tortricid pests: their biology, natural enemies and control</w:t>
      </w:r>
      <w:r w:rsidRPr="00750C8B">
        <w:t>, Van der Geest, LPS &amp; Evenhuis, HH (eds), Elsevier Science Publishers B.V., Amsterdam.</w:t>
      </w:r>
      <w:bookmarkEnd w:id="171"/>
    </w:p>
    <w:p w:rsidR="00B8782D" w:rsidRPr="00750C8B" w:rsidRDefault="00B8782D" w:rsidP="00750C8B">
      <w:pPr>
        <w:pStyle w:val="EndNoteBibliography"/>
        <w:spacing w:after="0"/>
      </w:pPr>
      <w:bookmarkStart w:id="172" w:name="_ENREF_29"/>
      <w:r w:rsidRPr="00750C8B">
        <w:t xml:space="preserve">Barone, M &amp; Alioto, D 2006, ‘Disease Notes: First report and high prevalence in noncherry host of </w:t>
      </w:r>
      <w:r w:rsidRPr="00750C8B">
        <w:rPr>
          <w:i/>
        </w:rPr>
        <w:t xml:space="preserve">Cherry virus A </w:t>
      </w:r>
      <w:r w:rsidRPr="00750C8B">
        <w:t xml:space="preserve">in Italy’, </w:t>
      </w:r>
      <w:r w:rsidRPr="00750C8B">
        <w:rPr>
          <w:i/>
        </w:rPr>
        <w:t>Plant Disease</w:t>
      </w:r>
      <w:r w:rsidRPr="00750C8B">
        <w:t>, vol. 90, p. 1459.</w:t>
      </w:r>
      <w:bookmarkEnd w:id="172"/>
    </w:p>
    <w:p w:rsidR="00B8782D" w:rsidRPr="00750C8B" w:rsidRDefault="00B8782D" w:rsidP="00750C8B">
      <w:pPr>
        <w:pStyle w:val="EndNoteBibliography"/>
        <w:spacing w:after="0"/>
      </w:pPr>
      <w:bookmarkStart w:id="173" w:name="_ENREF_30"/>
      <w:r w:rsidRPr="00750C8B">
        <w:t xml:space="preserve">Bartlett, BR, Clausen, CP, DeBach, P, Goeden, RD, Legner, EF, McMurtry, JA, Oatman, ER, Bay, EC &amp; Rosen, D 1978, </w:t>
      </w:r>
      <w:r w:rsidRPr="00750C8B">
        <w:rPr>
          <w:i/>
        </w:rPr>
        <w:t xml:space="preserve">Agriculture Handbook No. 480. Introduced parasites and predators of arthropod pests and weeds: a world review. </w:t>
      </w:r>
      <w:r w:rsidRPr="00750C8B">
        <w:t>, Clausen, CP (ed), United States Department of Agriculture, Washington, D.C.</w:t>
      </w:r>
      <w:bookmarkEnd w:id="173"/>
    </w:p>
    <w:p w:rsidR="00B8782D" w:rsidRPr="00750C8B" w:rsidRDefault="00B8782D" w:rsidP="00750C8B">
      <w:pPr>
        <w:pStyle w:val="EndNoteBibliography"/>
        <w:spacing w:after="0"/>
      </w:pPr>
      <w:bookmarkStart w:id="174" w:name="_ENREF_31"/>
      <w:r w:rsidRPr="00750C8B">
        <w:t xml:space="preserve">Batra, LR 1991, </w:t>
      </w:r>
      <w:r w:rsidRPr="00750C8B">
        <w:rPr>
          <w:i/>
        </w:rPr>
        <w:t>World species of Monilinia (fungi): their ecology, biosystematics and control</w:t>
      </w:r>
      <w:r w:rsidRPr="00750C8B">
        <w:t>, J. Cramer, Berlin.</w:t>
      </w:r>
      <w:bookmarkEnd w:id="174"/>
    </w:p>
    <w:p w:rsidR="00B8782D" w:rsidRPr="00750C8B" w:rsidRDefault="00B8782D" w:rsidP="00750C8B">
      <w:pPr>
        <w:pStyle w:val="EndNoteBibliography"/>
        <w:spacing w:after="0"/>
      </w:pPr>
      <w:bookmarkStart w:id="175" w:name="_ENREF_32"/>
      <w:r w:rsidRPr="00750C8B">
        <w:t xml:space="preserve">Beardsley, JW, Jnr &amp; Gonzalez, RH 1975, ‘The biology and ecology of armored scales’, </w:t>
      </w:r>
      <w:r w:rsidRPr="00750C8B">
        <w:rPr>
          <w:i/>
        </w:rPr>
        <w:t>Annual Review of Entomology</w:t>
      </w:r>
      <w:r w:rsidRPr="00750C8B">
        <w:t>, vol. 20, pp. 47-73.</w:t>
      </w:r>
      <w:bookmarkEnd w:id="175"/>
    </w:p>
    <w:p w:rsidR="00B8782D" w:rsidRPr="00750C8B" w:rsidRDefault="00B8782D" w:rsidP="00750C8B">
      <w:pPr>
        <w:pStyle w:val="EndNoteBibliography"/>
        <w:spacing w:after="0"/>
      </w:pPr>
      <w:bookmarkStart w:id="176" w:name="_ENREF_33"/>
      <w:r w:rsidRPr="00750C8B">
        <w:t xml:space="preserve">Beers, EH, Hoyt, SC &amp; Willett, MJ 1993, </w:t>
      </w:r>
      <w:r w:rsidRPr="00750C8B">
        <w:rPr>
          <w:i/>
        </w:rPr>
        <w:t>Apple aphid and spirea aphid</w:t>
      </w:r>
      <w:r w:rsidRPr="00750C8B">
        <w:t xml:space="preserve">, Orchard Pest Management Online, Washington State University, available at </w:t>
      </w:r>
      <w:r w:rsidRPr="00B8782D">
        <w:t>http://jenny.trec.wsu.edu/opm/displaySpecies.php?pn=380</w:t>
      </w:r>
      <w:r w:rsidRPr="00750C8B">
        <w:t>.</w:t>
      </w:r>
      <w:bookmarkEnd w:id="176"/>
    </w:p>
    <w:p w:rsidR="00B8782D" w:rsidRPr="00750C8B" w:rsidRDefault="00B8782D" w:rsidP="00750C8B">
      <w:pPr>
        <w:pStyle w:val="EndNoteBibliography"/>
        <w:spacing w:after="0"/>
      </w:pPr>
      <w:bookmarkStart w:id="177" w:name="_ENREF_34"/>
      <w:r w:rsidRPr="00750C8B">
        <w:t xml:space="preserve">Beljaev, EA &amp; Ponomarenko, MG 2005, ‘New lepidopterological finds (Lepidoptera: Gelechidae, Tortricidae, Geometridae) in south of Russian Far East’, </w:t>
      </w:r>
      <w:r w:rsidRPr="00750C8B">
        <w:rPr>
          <w:i/>
        </w:rPr>
        <w:t>Far Eastern Entomologist</w:t>
      </w:r>
      <w:r w:rsidRPr="00750C8B">
        <w:t>, vol. 155, pp. 1-11.</w:t>
      </w:r>
      <w:bookmarkEnd w:id="177"/>
    </w:p>
    <w:p w:rsidR="00B8782D" w:rsidRPr="00750C8B" w:rsidRDefault="00B8782D" w:rsidP="00750C8B">
      <w:pPr>
        <w:pStyle w:val="EndNoteBibliography"/>
        <w:spacing w:after="0"/>
      </w:pPr>
      <w:bookmarkStart w:id="178" w:name="_ENREF_35"/>
      <w:r w:rsidRPr="00750C8B">
        <w:t xml:space="preserve">Ben-Dov, Y 2014a, </w:t>
      </w:r>
      <w:r w:rsidRPr="00750C8B">
        <w:rPr>
          <w:i/>
        </w:rPr>
        <w:t>Coccidae</w:t>
      </w:r>
      <w:r w:rsidRPr="00750C8B">
        <w:t xml:space="preserve">, ScaleNet, Catalogue Query Results, available at </w:t>
      </w:r>
      <w:r w:rsidRPr="00B8782D">
        <w:t>http://www.sel.barc.usda.gov/scalenet/scalenet.htm</w:t>
      </w:r>
      <w:r w:rsidRPr="00750C8B">
        <w:t>.</w:t>
      </w:r>
      <w:bookmarkEnd w:id="178"/>
    </w:p>
    <w:p w:rsidR="00B8782D" w:rsidRPr="00750C8B" w:rsidRDefault="00B8782D" w:rsidP="00750C8B">
      <w:pPr>
        <w:pStyle w:val="EndNoteBibliography"/>
        <w:spacing w:after="0"/>
      </w:pPr>
      <w:bookmarkStart w:id="179" w:name="_ENREF_36"/>
      <w:r w:rsidRPr="00750C8B">
        <w:t xml:space="preserve">-- -- 2014b, </w:t>
      </w:r>
      <w:r w:rsidRPr="00750C8B">
        <w:rPr>
          <w:i/>
        </w:rPr>
        <w:t>Diaspididae: Aspidiotinae, Comstockiellina &amp; Odonaspidinae</w:t>
      </w:r>
      <w:r w:rsidRPr="00750C8B">
        <w:t xml:space="preserve">, ScaleNet, Catalogue Query Results, available at </w:t>
      </w:r>
      <w:r w:rsidRPr="00B8782D">
        <w:t>http://www.sel.barc.usda.gov/scalenet/scalenet.htm</w:t>
      </w:r>
      <w:r w:rsidRPr="00750C8B">
        <w:t>.</w:t>
      </w:r>
      <w:bookmarkEnd w:id="179"/>
    </w:p>
    <w:p w:rsidR="00B8782D" w:rsidRPr="00750C8B" w:rsidRDefault="00B8782D" w:rsidP="00750C8B">
      <w:pPr>
        <w:pStyle w:val="EndNoteBibliography"/>
        <w:spacing w:after="0"/>
      </w:pPr>
      <w:bookmarkStart w:id="180" w:name="_ENREF_37"/>
      <w:r w:rsidRPr="00750C8B">
        <w:t xml:space="preserve">-- -- 2014c, </w:t>
      </w:r>
      <w:r w:rsidRPr="00750C8B">
        <w:rPr>
          <w:i/>
        </w:rPr>
        <w:t>Pseudococcidae</w:t>
      </w:r>
      <w:r w:rsidRPr="00750C8B">
        <w:t xml:space="preserve">, ScaleNet, Catalogue Query Results, available at </w:t>
      </w:r>
      <w:r w:rsidRPr="00B8782D">
        <w:t>http://www.sel.barc.usda.gov/scalenet/scalenet.htm</w:t>
      </w:r>
      <w:r w:rsidRPr="00750C8B">
        <w:t>.</w:t>
      </w:r>
      <w:bookmarkEnd w:id="180"/>
    </w:p>
    <w:p w:rsidR="00B8782D" w:rsidRPr="00750C8B" w:rsidRDefault="00B8782D" w:rsidP="00750C8B">
      <w:pPr>
        <w:pStyle w:val="EndNoteBibliography"/>
        <w:spacing w:after="0"/>
      </w:pPr>
      <w:bookmarkStart w:id="181" w:name="_ENREF_38"/>
      <w:r w:rsidRPr="00750C8B">
        <w:t xml:space="preserve">Ben-Dov, Y, Miller, DR, Denno, BD &amp; Gimpel, ME 2014, </w:t>
      </w:r>
      <w:r w:rsidRPr="00750C8B">
        <w:rPr>
          <w:i/>
        </w:rPr>
        <w:t>Diaspididae</w:t>
      </w:r>
      <w:r w:rsidRPr="00750C8B">
        <w:t xml:space="preserve">, ScaleNet, Catalogue Query Results, available at </w:t>
      </w:r>
      <w:r w:rsidRPr="00B8782D">
        <w:t>http://www.sel.barc.usda.gov/scalenet/scalenet.htm</w:t>
      </w:r>
      <w:r w:rsidRPr="00750C8B">
        <w:t>.</w:t>
      </w:r>
      <w:bookmarkEnd w:id="181"/>
    </w:p>
    <w:p w:rsidR="00B8782D" w:rsidRPr="00750C8B" w:rsidRDefault="00B8782D" w:rsidP="00750C8B">
      <w:pPr>
        <w:pStyle w:val="EndNoteBibliography"/>
        <w:spacing w:after="0"/>
      </w:pPr>
      <w:bookmarkStart w:id="182" w:name="_ENREF_39"/>
      <w:r w:rsidRPr="00750C8B">
        <w:t xml:space="preserve">-- -- 2015, </w:t>
      </w:r>
      <w:r w:rsidRPr="00750C8B">
        <w:rPr>
          <w:i/>
        </w:rPr>
        <w:t>Diaspididae</w:t>
      </w:r>
      <w:r w:rsidRPr="00750C8B">
        <w:t xml:space="preserve">, ScaleNet, Catalogue Query Results, available at </w:t>
      </w:r>
      <w:r w:rsidRPr="00B8782D">
        <w:t>http://www.sel.barc.usda.gov/scalenet/scalenet.htm</w:t>
      </w:r>
      <w:r w:rsidRPr="00750C8B">
        <w:t>.</w:t>
      </w:r>
      <w:bookmarkEnd w:id="182"/>
    </w:p>
    <w:p w:rsidR="00B8782D" w:rsidRPr="00750C8B" w:rsidRDefault="00B8782D" w:rsidP="00750C8B">
      <w:pPr>
        <w:pStyle w:val="EndNoteBibliography"/>
        <w:spacing w:after="0"/>
      </w:pPr>
      <w:bookmarkStart w:id="183" w:name="_ENREF_40"/>
      <w:r w:rsidRPr="00750C8B">
        <w:t xml:space="preserve">Bennett, JW 2010, ‘An overview of the genus </w:t>
      </w:r>
      <w:r w:rsidRPr="00750C8B">
        <w:rPr>
          <w:i/>
        </w:rPr>
        <w:t>Aspergillus</w:t>
      </w:r>
      <w:r w:rsidRPr="00750C8B">
        <w:t xml:space="preserve">’, in </w:t>
      </w:r>
      <w:r w:rsidRPr="00750C8B">
        <w:rPr>
          <w:i/>
        </w:rPr>
        <w:t>Aspergillus: molecular biology and genomics</w:t>
      </w:r>
      <w:r w:rsidRPr="00750C8B">
        <w:t>, Machida, M &amp; Gomi, K (eds), Caister Academic Press, Norfolk.</w:t>
      </w:r>
      <w:bookmarkEnd w:id="183"/>
    </w:p>
    <w:p w:rsidR="00B8782D" w:rsidRPr="00750C8B" w:rsidRDefault="00B8782D" w:rsidP="00750C8B">
      <w:pPr>
        <w:pStyle w:val="EndNoteBibliography"/>
        <w:spacing w:after="0"/>
      </w:pPr>
      <w:bookmarkStart w:id="184" w:name="_ENREF_41"/>
      <w:r w:rsidRPr="00750C8B">
        <w:t xml:space="preserve">Bentley, WJ &amp; Day, KR 2012, </w:t>
      </w:r>
      <w:r w:rsidRPr="00750C8B">
        <w:rPr>
          <w:i/>
        </w:rPr>
        <w:t>Insects and mites. In: UC IPM pest management guidelines: nectarine</w:t>
      </w:r>
      <w:r w:rsidRPr="00750C8B">
        <w:t xml:space="preserve">, UC IPM Online: Statewide Integrated Pest Management Program, available at </w:t>
      </w:r>
      <w:r w:rsidRPr="00B8782D">
        <w:t>http://www.ipm.ucdavis.edu/PMG/selectnewpest.nectarine.html</w:t>
      </w:r>
      <w:r w:rsidRPr="00750C8B">
        <w:t>.</w:t>
      </w:r>
      <w:bookmarkEnd w:id="184"/>
    </w:p>
    <w:p w:rsidR="00B8782D" w:rsidRPr="00750C8B" w:rsidRDefault="00B8782D" w:rsidP="00750C8B">
      <w:pPr>
        <w:pStyle w:val="EndNoteBibliography"/>
        <w:spacing w:after="0"/>
      </w:pPr>
      <w:bookmarkStart w:id="185" w:name="_ENREF_42"/>
      <w:r w:rsidRPr="00750C8B">
        <w:lastRenderedPageBreak/>
        <w:t xml:space="preserve">Bentley, WJ, Hasey, JK &amp; Day, KR 2012, </w:t>
      </w:r>
      <w:r w:rsidRPr="00750C8B">
        <w:rPr>
          <w:i/>
        </w:rPr>
        <w:t>Insects and mites. In: UC IPM Pest management guidelines: peach</w:t>
      </w:r>
      <w:r w:rsidRPr="00750C8B">
        <w:t xml:space="preserve">, UC IPM Online: Statewide Integrated Pest Management Program, available at </w:t>
      </w:r>
      <w:r w:rsidRPr="00B8782D">
        <w:t>http://www.ipm.ucdavis.edu/PDF/PMG/pmgpeach.pdf</w:t>
      </w:r>
      <w:r w:rsidRPr="00750C8B">
        <w:t>.</w:t>
      </w:r>
      <w:bookmarkEnd w:id="185"/>
    </w:p>
    <w:p w:rsidR="00B8782D" w:rsidRPr="00750C8B" w:rsidRDefault="00B8782D" w:rsidP="00750C8B">
      <w:pPr>
        <w:pStyle w:val="EndNoteBibliography"/>
        <w:spacing w:after="0"/>
      </w:pPr>
      <w:bookmarkStart w:id="186" w:name="_ENREF_43"/>
      <w:r w:rsidRPr="00750C8B">
        <w:t xml:space="preserve">Berry, RE 1998, ‘Spider mites Acari: Tetranychidae Twospotted </w:t>
      </w:r>
      <w:r w:rsidRPr="00750C8B">
        <w:rPr>
          <w:i/>
        </w:rPr>
        <w:t>Tetranychis urticae,</w:t>
      </w:r>
      <w:r w:rsidRPr="00750C8B">
        <w:t xml:space="preserve"> McDaniel </w:t>
      </w:r>
      <w:r w:rsidRPr="00750C8B">
        <w:rPr>
          <w:i/>
        </w:rPr>
        <w:t>T.</w:t>
      </w:r>
      <w:r w:rsidRPr="00750C8B">
        <w:t xml:space="preserve"> </w:t>
      </w:r>
      <w:r w:rsidRPr="00750C8B">
        <w:rPr>
          <w:i/>
        </w:rPr>
        <w:t>mcdanieli</w:t>
      </w:r>
      <w:r w:rsidRPr="00750C8B">
        <w:t xml:space="preserve">, European red </w:t>
      </w:r>
      <w:r w:rsidRPr="00750C8B">
        <w:rPr>
          <w:i/>
        </w:rPr>
        <w:t>Panonychus ulmi</w:t>
      </w:r>
      <w:r w:rsidRPr="00750C8B">
        <w:t xml:space="preserve">, Yellow </w:t>
      </w:r>
      <w:r w:rsidRPr="00750C8B">
        <w:rPr>
          <w:i/>
        </w:rPr>
        <w:t>Eotetranychus carpini borealis</w:t>
      </w:r>
      <w:r w:rsidRPr="00750C8B">
        <w:t xml:space="preserve">’, in </w:t>
      </w:r>
      <w:r w:rsidRPr="00750C8B">
        <w:rPr>
          <w:i/>
        </w:rPr>
        <w:t>Insects and mites of economic importance in the Pacific Northwest</w:t>
      </w:r>
      <w:r w:rsidRPr="00750C8B">
        <w:t>, 2nd edn, Agricultural Experiment Station, Oregon State University, Corvallis.</w:t>
      </w:r>
      <w:bookmarkEnd w:id="186"/>
    </w:p>
    <w:p w:rsidR="00B8782D" w:rsidRPr="00750C8B" w:rsidRDefault="00B8782D" w:rsidP="00750C8B">
      <w:pPr>
        <w:pStyle w:val="EndNoteBibliography"/>
        <w:spacing w:after="0"/>
      </w:pPr>
      <w:bookmarkStart w:id="187" w:name="_ENREF_44"/>
      <w:r w:rsidRPr="00750C8B">
        <w:t xml:space="preserve">Biosecurity Australia 2005a, </w:t>
      </w:r>
      <w:r w:rsidRPr="00750C8B">
        <w:rPr>
          <w:i/>
        </w:rPr>
        <w:t>Draft extension of existing policy for pears from The People's Republic of China</w:t>
      </w:r>
      <w:r w:rsidRPr="00750C8B">
        <w:t>, Biosecurity Australia, Department of Agriculture, Fisheries and Forestry, Canberra.</w:t>
      </w:r>
      <w:bookmarkEnd w:id="187"/>
    </w:p>
    <w:p w:rsidR="00B8782D" w:rsidRPr="00750C8B" w:rsidRDefault="00B8782D" w:rsidP="00750C8B">
      <w:pPr>
        <w:pStyle w:val="EndNoteBibliography"/>
        <w:spacing w:after="0"/>
      </w:pPr>
      <w:bookmarkStart w:id="188" w:name="_ENREF_45"/>
      <w:r w:rsidRPr="00750C8B">
        <w:t xml:space="preserve">-- -- 2005b, </w:t>
      </w:r>
      <w:r w:rsidRPr="00750C8B">
        <w:rPr>
          <w:i/>
        </w:rPr>
        <w:t>Final extension of policy for the importation of pears from the People's Republic of China</w:t>
      </w:r>
      <w:r w:rsidRPr="00750C8B">
        <w:t>, Department of Agriculture, Fisheries and Forestry, Canberra.</w:t>
      </w:r>
      <w:bookmarkEnd w:id="188"/>
    </w:p>
    <w:p w:rsidR="00B8782D" w:rsidRPr="00750C8B" w:rsidRDefault="00B8782D" w:rsidP="00750C8B">
      <w:pPr>
        <w:pStyle w:val="EndNoteBibliography"/>
        <w:spacing w:after="0"/>
      </w:pPr>
      <w:bookmarkStart w:id="189" w:name="_ENREF_46"/>
      <w:r w:rsidRPr="00750C8B">
        <w:t xml:space="preserve">-- -- 2006a, </w:t>
      </w:r>
      <w:r w:rsidRPr="00750C8B">
        <w:rPr>
          <w:i/>
        </w:rPr>
        <w:t>Final import risk analysis report for apples from New Zealand: part a, b and c</w:t>
      </w:r>
      <w:r w:rsidRPr="00750C8B">
        <w:t>, Biosecurity Australia, Department of Agriculture, Fisheries and Forestry, Canberra.</w:t>
      </w:r>
      <w:bookmarkEnd w:id="189"/>
    </w:p>
    <w:p w:rsidR="00B8782D" w:rsidRPr="00750C8B" w:rsidRDefault="00B8782D" w:rsidP="00750C8B">
      <w:pPr>
        <w:pStyle w:val="EndNoteBibliography"/>
        <w:spacing w:after="0"/>
      </w:pPr>
      <w:bookmarkStart w:id="190" w:name="_ENREF_47"/>
      <w:r w:rsidRPr="00750C8B">
        <w:t xml:space="preserve">-- -- 2006b, </w:t>
      </w:r>
      <w:r w:rsidRPr="00750C8B">
        <w:rPr>
          <w:i/>
        </w:rPr>
        <w:t>Final pest risk analysis for stone fruit from New Zealand into Western Australia</w:t>
      </w:r>
      <w:r w:rsidRPr="00750C8B">
        <w:t>, Biosecurity Australia, Department of Agriculture, Fisheries and Forestry, Canberra.</w:t>
      </w:r>
      <w:bookmarkEnd w:id="190"/>
    </w:p>
    <w:p w:rsidR="00B8782D" w:rsidRPr="00750C8B" w:rsidRDefault="00B8782D" w:rsidP="00750C8B">
      <w:pPr>
        <w:pStyle w:val="EndNoteBibliography"/>
        <w:spacing w:after="0"/>
      </w:pPr>
      <w:bookmarkStart w:id="191" w:name="_ENREF_48"/>
      <w:r w:rsidRPr="00750C8B">
        <w:t xml:space="preserve">-- -- 2006c, </w:t>
      </w:r>
      <w:r w:rsidRPr="00750C8B">
        <w:rPr>
          <w:i/>
        </w:rPr>
        <w:t>Policy for the importation of fresh mangoes (Mangifera indica L.) from Taiwan</w:t>
      </w:r>
      <w:r w:rsidRPr="00750C8B">
        <w:t xml:space="preserve">, Biosecurity Australia, Department of Agriculture, Fisheries and Forestry, Canberra, available at </w:t>
      </w:r>
      <w:r w:rsidRPr="00B8782D">
        <w:t>http://www.daff.gov.au/__data/assets/word_doc/0017/27062/2006_24a.doc</w:t>
      </w:r>
      <w:r w:rsidRPr="00750C8B">
        <w:t>.</w:t>
      </w:r>
      <w:bookmarkEnd w:id="191"/>
    </w:p>
    <w:p w:rsidR="00B8782D" w:rsidRPr="00750C8B" w:rsidRDefault="00B8782D" w:rsidP="00750C8B">
      <w:pPr>
        <w:pStyle w:val="EndNoteBibliography"/>
        <w:spacing w:after="0"/>
      </w:pPr>
      <w:bookmarkStart w:id="192" w:name="_ENREF_49"/>
      <w:r w:rsidRPr="00750C8B">
        <w:t xml:space="preserve">-- -- 2008, </w:t>
      </w:r>
      <w:r w:rsidRPr="00750C8B">
        <w:rPr>
          <w:i/>
        </w:rPr>
        <w:t>Final import risk analysis report for fresh mango fruit from India</w:t>
      </w:r>
      <w:r w:rsidRPr="00750C8B">
        <w:t xml:space="preserve">, Biosecurity Australia, Department of Agriculture, Fisheries and Forestry, Canberra, available at </w:t>
      </w:r>
      <w:r w:rsidRPr="00B8782D">
        <w:t>http://www.daff.gov.au/__data/assets/pdf_file/0003/771906/Mangoes_from_India_Final_Report.pdf</w:t>
      </w:r>
      <w:r w:rsidRPr="00750C8B">
        <w:t>.</w:t>
      </w:r>
      <w:bookmarkEnd w:id="192"/>
    </w:p>
    <w:p w:rsidR="00B8782D" w:rsidRPr="00750C8B" w:rsidRDefault="00B8782D" w:rsidP="00750C8B">
      <w:pPr>
        <w:pStyle w:val="EndNoteBibliography"/>
        <w:spacing w:after="0"/>
      </w:pPr>
      <w:bookmarkStart w:id="193" w:name="_ENREF_50"/>
      <w:r w:rsidRPr="00750C8B">
        <w:t xml:space="preserve">-- -- 2009, </w:t>
      </w:r>
      <w:r w:rsidRPr="00750C8B">
        <w:rPr>
          <w:i/>
        </w:rPr>
        <w:t>Final import risk analysis report for fresh unshu mandarin fruit from Shizuoka prefecture in Japan</w:t>
      </w:r>
      <w:r w:rsidRPr="00750C8B">
        <w:t>, Department of Agriculture, Fisheries and Forestry, Canberra.</w:t>
      </w:r>
      <w:bookmarkEnd w:id="193"/>
    </w:p>
    <w:p w:rsidR="00B8782D" w:rsidRPr="00750C8B" w:rsidRDefault="00B8782D" w:rsidP="00750C8B">
      <w:pPr>
        <w:pStyle w:val="EndNoteBibliography"/>
        <w:spacing w:after="0"/>
      </w:pPr>
      <w:bookmarkStart w:id="194" w:name="_ENREF_51"/>
      <w:r w:rsidRPr="00750C8B">
        <w:t xml:space="preserve">-- -- 2010a, </w:t>
      </w:r>
      <w:r w:rsidRPr="00750C8B">
        <w:rPr>
          <w:i/>
        </w:rPr>
        <w:t>Final import risk analysis report for fresh apple fruit from the People's Republic of China</w:t>
      </w:r>
      <w:r w:rsidRPr="00750C8B">
        <w:t xml:space="preserve">, Biosecurity Australia, Department of Agriculture, Fisheries and Forestry, Canberra, available at </w:t>
      </w:r>
      <w:r w:rsidRPr="00B8782D">
        <w:t>http://www.daff.gov.au/__data/assets/pdf_file/0006/1686471/Final_IRA_report__for_apples_from_the_Peoples_Republic_of_China.pdf</w:t>
      </w:r>
      <w:r w:rsidRPr="00750C8B">
        <w:t>.</w:t>
      </w:r>
      <w:bookmarkEnd w:id="194"/>
    </w:p>
    <w:p w:rsidR="00B8782D" w:rsidRPr="00750C8B" w:rsidRDefault="00B8782D" w:rsidP="00750C8B">
      <w:pPr>
        <w:pStyle w:val="EndNoteBibliography"/>
        <w:spacing w:after="0"/>
      </w:pPr>
      <w:bookmarkStart w:id="195" w:name="_ENREF_52"/>
      <w:r w:rsidRPr="00750C8B">
        <w:t xml:space="preserve">-- -- 2010b, </w:t>
      </w:r>
      <w:r w:rsidRPr="00750C8B">
        <w:rPr>
          <w:i/>
        </w:rPr>
        <w:t>Final import risk analysis report for fresh stone fruit from California, Idaho, Oregon and Washington</w:t>
      </w:r>
      <w:r w:rsidRPr="00750C8B">
        <w:t xml:space="preserve">, Biosecurity Australia, Department of Agriculture, Fisheries and Forestry, Canberra, available at </w:t>
      </w:r>
      <w:r w:rsidRPr="00B8782D">
        <w:t>http://www.daff.gov.au/__data/assets/pdf_file/0004/1703812/Final_IRA_Report_-_US_Stone_fruit.pdf</w:t>
      </w:r>
      <w:r w:rsidRPr="00750C8B">
        <w:t>.</w:t>
      </w:r>
      <w:bookmarkEnd w:id="195"/>
    </w:p>
    <w:p w:rsidR="00B8782D" w:rsidRPr="00750C8B" w:rsidRDefault="00B8782D" w:rsidP="00750C8B">
      <w:pPr>
        <w:pStyle w:val="EndNoteBibliography"/>
        <w:spacing w:after="0"/>
      </w:pPr>
      <w:bookmarkStart w:id="196" w:name="_ENREF_53"/>
      <w:r w:rsidRPr="00750C8B">
        <w:t xml:space="preserve">-- -- 2011, </w:t>
      </w:r>
      <w:r w:rsidRPr="00750C8B">
        <w:rPr>
          <w:i/>
        </w:rPr>
        <w:t>Final import risk analysis report for table grapes from the People's Republic of China</w:t>
      </w:r>
      <w:r w:rsidRPr="00750C8B">
        <w:t xml:space="preserve">, Department of Agriculture, Fisheries and Forestry, Canberra, available at </w:t>
      </w:r>
      <w:r w:rsidRPr="00B8782D">
        <w:t>http://www.daff.gov.au/__data/assets/pdf_file/0010/1943938/FinalIRA_Tablegrapes_China.pdf</w:t>
      </w:r>
      <w:r w:rsidRPr="00750C8B">
        <w:t>.</w:t>
      </w:r>
      <w:bookmarkEnd w:id="196"/>
    </w:p>
    <w:p w:rsidR="00B8782D" w:rsidRPr="00750C8B" w:rsidRDefault="00B8782D" w:rsidP="00750C8B">
      <w:pPr>
        <w:pStyle w:val="EndNoteBibliography"/>
        <w:spacing w:after="0"/>
      </w:pPr>
      <w:bookmarkStart w:id="197" w:name="_ENREF_54"/>
      <w:r w:rsidRPr="00750C8B">
        <w:t xml:space="preserve">Blomefield, TL &amp; Giliomee, JH 2012, ‘Fecundity and mortality of codling moth, </w:t>
      </w:r>
      <w:r w:rsidRPr="00750C8B">
        <w:rPr>
          <w:i/>
        </w:rPr>
        <w:t xml:space="preserve">Cydia pomonella </w:t>
      </w:r>
      <w:r w:rsidRPr="00750C8B">
        <w:t xml:space="preserve">(L.) (Lepidoptera: Tortricidae), under field conditions in South Africa’, </w:t>
      </w:r>
      <w:r w:rsidRPr="00750C8B">
        <w:rPr>
          <w:i/>
        </w:rPr>
        <w:t>African Entomology</w:t>
      </w:r>
      <w:r w:rsidRPr="00750C8B">
        <w:t>, vol. 20, no. 2, pp. 316-24.</w:t>
      </w:r>
      <w:bookmarkEnd w:id="197"/>
    </w:p>
    <w:p w:rsidR="00B8782D" w:rsidRPr="00750C8B" w:rsidRDefault="00B8782D" w:rsidP="00750C8B">
      <w:pPr>
        <w:pStyle w:val="EndNoteBibliography"/>
        <w:spacing w:after="0"/>
      </w:pPr>
      <w:bookmarkStart w:id="198" w:name="_ENREF_55"/>
      <w:r w:rsidRPr="00750C8B">
        <w:t xml:space="preserve">Bolda, MP, Goodhue, RE &amp; Zalom, FG 2010, ‘Spotted wing drosophila: potential economic impact of a newly established pest’, </w:t>
      </w:r>
      <w:r w:rsidRPr="00750C8B">
        <w:rPr>
          <w:i/>
        </w:rPr>
        <w:t>Agricultural and Resource Economics Update</w:t>
      </w:r>
      <w:r w:rsidRPr="00750C8B">
        <w:t>, vol. 13, no. 3, pp. 5-8.</w:t>
      </w:r>
      <w:bookmarkEnd w:id="198"/>
    </w:p>
    <w:p w:rsidR="00B8782D" w:rsidRPr="00750C8B" w:rsidRDefault="00B8782D" w:rsidP="00750C8B">
      <w:pPr>
        <w:pStyle w:val="EndNoteBibliography"/>
        <w:spacing w:after="0"/>
      </w:pPr>
      <w:bookmarkStart w:id="199" w:name="_ENREF_56"/>
      <w:r w:rsidRPr="00750C8B">
        <w:t xml:space="preserve">Booth, RG, Cox, ML &amp; Madge, RB 1990, </w:t>
      </w:r>
      <w:r w:rsidRPr="00750C8B">
        <w:rPr>
          <w:i/>
        </w:rPr>
        <w:t>IIE guides to insects of importance to man: 3. Coleoptera</w:t>
      </w:r>
      <w:r w:rsidRPr="00750C8B">
        <w:t>, CAB International, Wallingford.</w:t>
      </w:r>
      <w:bookmarkEnd w:id="199"/>
    </w:p>
    <w:p w:rsidR="00B8782D" w:rsidRPr="00750C8B" w:rsidRDefault="00B8782D" w:rsidP="00750C8B">
      <w:pPr>
        <w:pStyle w:val="EndNoteBibliography"/>
        <w:spacing w:after="0"/>
      </w:pPr>
      <w:bookmarkStart w:id="200" w:name="_ENREF_57"/>
      <w:r w:rsidRPr="00750C8B">
        <w:t xml:space="preserve">Bos, L 1999, ‘Symptoms of virus diseases’, in </w:t>
      </w:r>
      <w:r w:rsidRPr="00750C8B">
        <w:rPr>
          <w:i/>
        </w:rPr>
        <w:t>Plant viruses, unique and intriguing pathogens: a textbook of plant virology</w:t>
      </w:r>
      <w:r w:rsidRPr="00750C8B">
        <w:t>, Backhuys Publishers, Leiden.</w:t>
      </w:r>
      <w:bookmarkEnd w:id="200"/>
    </w:p>
    <w:p w:rsidR="00B8782D" w:rsidRPr="00750C8B" w:rsidRDefault="00B8782D" w:rsidP="00750C8B">
      <w:pPr>
        <w:pStyle w:val="EndNoteBibliography"/>
        <w:spacing w:after="0"/>
      </w:pPr>
      <w:bookmarkStart w:id="201" w:name="_ENREF_58"/>
      <w:r w:rsidRPr="00750C8B">
        <w:t xml:space="preserve">Boscia, D, Myrta, A &amp; Uyemoto, JK 2011, ‘Plum bark necrosis stem pitting-associated virus’, in </w:t>
      </w:r>
      <w:r w:rsidRPr="00750C8B">
        <w:rPr>
          <w:i/>
        </w:rPr>
        <w:t>Virus and virus-like diseases of pome and stone fruits</w:t>
      </w:r>
      <w:r w:rsidRPr="00750C8B">
        <w:t>, Hadidi, A, Barba, M, Candresse, T &amp; Jelkman, W (eds), The American Phytopathological Society, St. Paul, Minnesota.</w:t>
      </w:r>
      <w:bookmarkEnd w:id="201"/>
    </w:p>
    <w:p w:rsidR="00B8782D" w:rsidRPr="00750C8B" w:rsidRDefault="00B8782D" w:rsidP="00750C8B">
      <w:pPr>
        <w:pStyle w:val="EndNoteBibliography"/>
        <w:spacing w:after="0"/>
      </w:pPr>
      <w:bookmarkStart w:id="202" w:name="_ENREF_59"/>
      <w:r w:rsidRPr="00750C8B">
        <w:t xml:space="preserve">Botha, J &amp; Learmonth, S 2005, </w:t>
      </w:r>
      <w:r w:rsidRPr="00750C8B">
        <w:rPr>
          <w:i/>
        </w:rPr>
        <w:t>Management of European red mite in Western Australia</w:t>
      </w:r>
      <w:r w:rsidRPr="00750C8B">
        <w:t>, Farmnote no. 40/2005, Department of Agriculture, Western Australia.</w:t>
      </w:r>
      <w:bookmarkEnd w:id="202"/>
    </w:p>
    <w:p w:rsidR="00B8782D" w:rsidRPr="00750C8B" w:rsidRDefault="00B8782D" w:rsidP="00750C8B">
      <w:pPr>
        <w:pStyle w:val="EndNoteBibliography"/>
        <w:spacing w:after="0"/>
      </w:pPr>
      <w:bookmarkStart w:id="203" w:name="_ENREF_60"/>
      <w:r w:rsidRPr="00750C8B">
        <w:t xml:space="preserve">Bounous, G &amp; Liu, L 1996, ‘Castanicoltura in Cina’ (Chestnut cultivation in China), </w:t>
      </w:r>
      <w:r w:rsidRPr="00750C8B">
        <w:rPr>
          <w:i/>
        </w:rPr>
        <w:t>Rivista di Frutticoltura e di Ortofloricoltura</w:t>
      </w:r>
      <w:r w:rsidRPr="00750C8B">
        <w:t xml:space="preserve">, vol. 1, pp. 41-8. </w:t>
      </w:r>
      <w:bookmarkEnd w:id="203"/>
    </w:p>
    <w:p w:rsidR="00B8782D" w:rsidRPr="00750C8B" w:rsidRDefault="00B8782D" w:rsidP="00750C8B">
      <w:pPr>
        <w:pStyle w:val="EndNoteBibliography"/>
        <w:spacing w:after="0"/>
      </w:pPr>
      <w:bookmarkStart w:id="204" w:name="_ENREF_61"/>
      <w:r w:rsidRPr="00750C8B">
        <w:t xml:space="preserve">Bradbury, JF 1986, </w:t>
      </w:r>
      <w:r w:rsidRPr="00750C8B">
        <w:rPr>
          <w:i/>
        </w:rPr>
        <w:t>Guide to plant pathogenic bacteria</w:t>
      </w:r>
      <w:r w:rsidRPr="00750C8B">
        <w:t>, CAB International, Slough, UK.</w:t>
      </w:r>
      <w:bookmarkEnd w:id="204"/>
    </w:p>
    <w:p w:rsidR="00B8782D" w:rsidRPr="00750C8B" w:rsidRDefault="00B8782D" w:rsidP="00750C8B">
      <w:pPr>
        <w:pStyle w:val="EndNoteBibliography"/>
        <w:spacing w:after="0"/>
      </w:pPr>
      <w:bookmarkStart w:id="205" w:name="_ENREF_62"/>
      <w:r w:rsidRPr="00750C8B">
        <w:lastRenderedPageBreak/>
        <w:t xml:space="preserve">Brewer, LJ, Walton, V, Dreves, A, Shearer, P, Zalom, F &amp; Walsh, D 2012, ‘Biology and management of spotted wing drosophilla on small and stone fruits: Year 2 reporting cycle’, Department of Horticulture, Oregon State University, Oregon, available at </w:t>
      </w:r>
      <w:r w:rsidRPr="00B8782D">
        <w:t>http://spottedwing.org/system/files/SWD_ResearchReviewYear%202_7.16.12.pdf</w:t>
      </w:r>
      <w:r w:rsidRPr="00750C8B">
        <w:t>.</w:t>
      </w:r>
      <w:bookmarkEnd w:id="205"/>
    </w:p>
    <w:p w:rsidR="00B8782D" w:rsidRPr="00750C8B" w:rsidRDefault="00B8782D" w:rsidP="00750C8B">
      <w:pPr>
        <w:pStyle w:val="EndNoteBibliography"/>
        <w:spacing w:after="0"/>
      </w:pPr>
      <w:bookmarkStart w:id="206" w:name="_ENREF_63"/>
      <w:r w:rsidRPr="00750C8B">
        <w:t xml:space="preserve">Briolini, G &amp; Giunchi, P 1966, ‘Brevi note ecoetologiche su alcuni insetti nocivi’ (Brief notes on the ecology and ethology of some injurious insects), </w:t>
      </w:r>
      <w:r w:rsidRPr="00750C8B">
        <w:rPr>
          <w:i/>
        </w:rPr>
        <w:t>Bollettino dell'Osservatorio per le malattie delle piante di Bologna</w:t>
      </w:r>
      <w:r w:rsidRPr="00750C8B">
        <w:t xml:space="preserve">, vol. 1, pp. 83-9. </w:t>
      </w:r>
      <w:bookmarkEnd w:id="206"/>
    </w:p>
    <w:p w:rsidR="00B8782D" w:rsidRPr="00750C8B" w:rsidRDefault="00B8782D" w:rsidP="00750C8B">
      <w:pPr>
        <w:pStyle w:val="EndNoteBibliography"/>
        <w:spacing w:after="0"/>
      </w:pPr>
      <w:bookmarkStart w:id="207" w:name="_ENREF_64"/>
      <w:r w:rsidRPr="00750C8B">
        <w:t xml:space="preserve">Brunner, JF &amp; Rice, RE 1998, </w:t>
      </w:r>
      <w:r w:rsidRPr="00750C8B">
        <w:rPr>
          <w:i/>
        </w:rPr>
        <w:t>Oriental fruit moth: Grapholita molesta (Busck) (Lepidoptera: Tortricidae)</w:t>
      </w:r>
      <w:r w:rsidRPr="00750C8B">
        <w:t xml:space="preserve">, Washington State University, available at </w:t>
      </w:r>
      <w:r w:rsidRPr="00B8782D">
        <w:t>http://jenny.tfrec.wsu.edu/</w:t>
      </w:r>
      <w:r w:rsidRPr="00750C8B">
        <w:t>.</w:t>
      </w:r>
      <w:bookmarkEnd w:id="207"/>
    </w:p>
    <w:p w:rsidR="00B8782D" w:rsidRPr="00750C8B" w:rsidRDefault="00B8782D" w:rsidP="00750C8B">
      <w:pPr>
        <w:pStyle w:val="EndNoteBibliography"/>
        <w:spacing w:after="0"/>
      </w:pPr>
      <w:bookmarkStart w:id="208" w:name="_ENREF_65"/>
      <w:r w:rsidRPr="00750C8B">
        <w:t xml:space="preserve">Brunt, AA, Crabtree, K, Dallwitz, MJ, Gibbs, AJ, Watson, L &amp; Zurcher, EJ 1996, ‘Plant viruses online: descriptions and lists from the VIDE database’, available at </w:t>
      </w:r>
      <w:r w:rsidRPr="00B8782D">
        <w:t>http://pvo.bio-mirror.cn/refs.htm</w:t>
      </w:r>
      <w:r w:rsidRPr="00750C8B">
        <w:t>, accessed 2015.</w:t>
      </w:r>
      <w:bookmarkEnd w:id="208"/>
    </w:p>
    <w:p w:rsidR="00B8782D" w:rsidRPr="00750C8B" w:rsidRDefault="00B8782D" w:rsidP="00750C8B">
      <w:pPr>
        <w:pStyle w:val="EndNoteBibliography"/>
        <w:spacing w:after="0"/>
      </w:pPr>
      <w:bookmarkStart w:id="209" w:name="_ENREF_66"/>
      <w:r w:rsidRPr="00750C8B">
        <w:t>Brunt, AA &amp; Teakle, DS 1996, ‘</w:t>
      </w:r>
      <w:r w:rsidRPr="00750C8B">
        <w:rPr>
          <w:i/>
        </w:rPr>
        <w:t>Tobacco necrosis necrovirus</w:t>
      </w:r>
      <w:r w:rsidRPr="00750C8B">
        <w:t xml:space="preserve">’, in </w:t>
      </w:r>
      <w:r w:rsidRPr="00750C8B">
        <w:rPr>
          <w:i/>
        </w:rPr>
        <w:t>Viruses of plants: descriptions and lists from the VIDE database</w:t>
      </w:r>
      <w:r w:rsidRPr="00750C8B">
        <w:t>, Brunt, AA, Crabtree, K, Dallwitz, MJ, Gibbs, A &amp; Watson, L (eds), CAB International, Wallingford, UK.</w:t>
      </w:r>
      <w:bookmarkEnd w:id="209"/>
    </w:p>
    <w:p w:rsidR="00B8782D" w:rsidRPr="00750C8B" w:rsidRDefault="00B8782D" w:rsidP="00750C8B">
      <w:pPr>
        <w:pStyle w:val="EndNoteBibliography"/>
        <w:spacing w:after="0"/>
      </w:pPr>
      <w:bookmarkStart w:id="210" w:name="_ENREF_67"/>
      <w:r w:rsidRPr="00750C8B">
        <w:t xml:space="preserve">Büchen-Osmond, C, Crabtree, K, Gibbs, A &amp; McLean, G, (eds) 1988, </w:t>
      </w:r>
      <w:r w:rsidRPr="00750C8B">
        <w:rPr>
          <w:i/>
        </w:rPr>
        <w:t>Viruses of plants in Australia: descriptions and lists from the VIDE database</w:t>
      </w:r>
      <w:r w:rsidRPr="00750C8B">
        <w:t>, The Australian National University Research School of Biological Sciences, Canberra.</w:t>
      </w:r>
      <w:bookmarkEnd w:id="210"/>
    </w:p>
    <w:p w:rsidR="00B8782D" w:rsidRPr="00750C8B" w:rsidRDefault="00B8782D" w:rsidP="00750C8B">
      <w:pPr>
        <w:pStyle w:val="EndNoteBibliography"/>
        <w:spacing w:after="0"/>
      </w:pPr>
      <w:bookmarkStart w:id="211" w:name="_ENREF_68"/>
      <w:r w:rsidRPr="00750C8B">
        <w:t xml:space="preserve">Burdsall, HH, Jnr &amp; Banik, MT 2001, ‘The genus </w:t>
      </w:r>
      <w:r w:rsidRPr="00750C8B">
        <w:rPr>
          <w:i/>
        </w:rPr>
        <w:t>Laetiporus</w:t>
      </w:r>
      <w:r w:rsidRPr="00750C8B">
        <w:t xml:space="preserve"> in North America’, </w:t>
      </w:r>
      <w:r w:rsidRPr="00750C8B">
        <w:rPr>
          <w:i/>
        </w:rPr>
        <w:t>Harvard Papers in Botany</w:t>
      </w:r>
      <w:r w:rsidRPr="00750C8B">
        <w:t>, vol. 6, no. 1, pp. 43-55.</w:t>
      </w:r>
      <w:bookmarkEnd w:id="211"/>
    </w:p>
    <w:p w:rsidR="00B8782D" w:rsidRPr="00750C8B" w:rsidRDefault="00B8782D" w:rsidP="00750C8B">
      <w:pPr>
        <w:pStyle w:val="EndNoteBibliography"/>
        <w:spacing w:after="0"/>
      </w:pPr>
      <w:bookmarkStart w:id="212" w:name="_ENREF_69"/>
      <w:r w:rsidRPr="00750C8B">
        <w:t>Burrows, WE 1976, ‘Aspects of nutrient cycling in semi arid Mallee and Mulga communities’, PhD, Australian National University.</w:t>
      </w:r>
      <w:bookmarkEnd w:id="212"/>
    </w:p>
    <w:p w:rsidR="00B8782D" w:rsidRPr="00750C8B" w:rsidRDefault="00B8782D" w:rsidP="00750C8B">
      <w:pPr>
        <w:pStyle w:val="EndNoteBibliography"/>
        <w:spacing w:after="0"/>
      </w:pPr>
      <w:bookmarkStart w:id="213" w:name="_ENREF_70"/>
      <w:r w:rsidRPr="00750C8B">
        <w:t xml:space="preserve">Byrde, RJW &amp; Willets, HJ 1977, </w:t>
      </w:r>
      <w:r w:rsidRPr="00750C8B">
        <w:rPr>
          <w:i/>
        </w:rPr>
        <w:t>The brown rot fungi of fruit: their biology and control</w:t>
      </w:r>
      <w:r w:rsidRPr="00750C8B">
        <w:t>, Pergamon Press Ltd., UK.</w:t>
      </w:r>
      <w:bookmarkEnd w:id="213"/>
    </w:p>
    <w:p w:rsidR="00B8782D" w:rsidRPr="00750C8B" w:rsidRDefault="00B8782D" w:rsidP="00750C8B">
      <w:pPr>
        <w:pStyle w:val="EndNoteBibliography"/>
        <w:spacing w:after="0"/>
      </w:pPr>
      <w:bookmarkStart w:id="214" w:name="_ENREF_71"/>
      <w:r w:rsidRPr="00750C8B">
        <w:t xml:space="preserve">Byun, BK, Yan, SC &amp; Li, CD 2003, ‘Revision of tribe archipini (Tortricidae: Tortricinae) in northeast China’, </w:t>
      </w:r>
      <w:r w:rsidRPr="00750C8B">
        <w:rPr>
          <w:i/>
        </w:rPr>
        <w:t>Journal of Forestry Research</w:t>
      </w:r>
      <w:r w:rsidRPr="00750C8B">
        <w:t>, vol. 14, no. 2, pp. 93-102.</w:t>
      </w:r>
      <w:bookmarkEnd w:id="214"/>
    </w:p>
    <w:p w:rsidR="00B8782D" w:rsidRPr="00750C8B" w:rsidRDefault="00B8782D" w:rsidP="00750C8B">
      <w:pPr>
        <w:pStyle w:val="EndNoteBibliography"/>
        <w:spacing w:after="0"/>
      </w:pPr>
      <w:bookmarkStart w:id="215" w:name="_ENREF_72"/>
      <w:r w:rsidRPr="00750C8B">
        <w:t xml:space="preserve">CAAS 1992, </w:t>
      </w:r>
      <w:r w:rsidRPr="00750C8B">
        <w:rPr>
          <w:i/>
        </w:rPr>
        <w:t>Disease and pest fauna of fruit trees in China</w:t>
      </w:r>
      <w:r w:rsidRPr="00750C8B">
        <w:t>, 2nd edn, Institute, FTRIaCR (ed), Chinese Academy of Agricultural Sciences, China Agriculture Publishing House, Beijing, China.</w:t>
      </w:r>
      <w:bookmarkEnd w:id="215"/>
    </w:p>
    <w:p w:rsidR="00B8782D" w:rsidRPr="00750C8B" w:rsidRDefault="00B8782D" w:rsidP="00750C8B">
      <w:pPr>
        <w:pStyle w:val="EndNoteBibliography"/>
        <w:spacing w:after="0"/>
      </w:pPr>
      <w:bookmarkStart w:id="216" w:name="_ENREF_73"/>
      <w:r w:rsidRPr="00750C8B">
        <w:t xml:space="preserve">CABI 2015, ‘Crop Protection Compendium’, available at </w:t>
      </w:r>
      <w:r w:rsidRPr="00B8782D">
        <w:t>http://www.cabi.org/cpc</w:t>
      </w:r>
      <w:r w:rsidRPr="00750C8B">
        <w:t>, accessed 2015.</w:t>
      </w:r>
      <w:bookmarkEnd w:id="216"/>
    </w:p>
    <w:p w:rsidR="00B8782D" w:rsidRPr="00750C8B" w:rsidRDefault="00B8782D" w:rsidP="00750C8B">
      <w:pPr>
        <w:pStyle w:val="EndNoteBibliography"/>
        <w:spacing w:after="0"/>
      </w:pPr>
      <w:bookmarkStart w:id="217" w:name="_ENREF_74"/>
      <w:r w:rsidRPr="00750C8B">
        <w:t xml:space="preserve">CABI &amp; EPPO 1984, </w:t>
      </w:r>
      <w:r w:rsidRPr="00750C8B">
        <w:rPr>
          <w:i/>
        </w:rPr>
        <w:t>Commonwealth Institute of Entomology, distribution maps of plant pests, map no. 467: Mamestra brassicae (Linnaeus)</w:t>
      </w:r>
      <w:r w:rsidRPr="00750C8B">
        <w:t xml:space="preserve">, CAB Abstracts plus, available at </w:t>
      </w:r>
      <w:r w:rsidRPr="00B8782D">
        <w:t>http://www.cababstractsplus.org/DMPP/Index.asp</w:t>
      </w:r>
      <w:r w:rsidRPr="00750C8B">
        <w:t>.</w:t>
      </w:r>
      <w:bookmarkEnd w:id="217"/>
    </w:p>
    <w:p w:rsidR="00B8782D" w:rsidRPr="00750C8B" w:rsidRDefault="00B8782D" w:rsidP="00750C8B">
      <w:pPr>
        <w:pStyle w:val="EndNoteBibliography"/>
        <w:spacing w:after="0"/>
      </w:pPr>
      <w:bookmarkStart w:id="218" w:name="_ENREF_75"/>
      <w:r w:rsidRPr="00750C8B">
        <w:t xml:space="preserve">-- -- 1997a, </w:t>
      </w:r>
      <w:r w:rsidRPr="00750C8B">
        <w:rPr>
          <w:i/>
        </w:rPr>
        <w:t>Data sheets on quarantine pests: Cydia packardi</w:t>
      </w:r>
      <w:r w:rsidRPr="00750C8B">
        <w:t xml:space="preserve">, European and Mediterranean Plant Protection Organization, available at </w:t>
      </w:r>
      <w:r w:rsidRPr="00B8782D">
        <w:t>http://www.eppo.org/</w:t>
      </w:r>
      <w:r w:rsidRPr="00750C8B">
        <w:t>.</w:t>
      </w:r>
      <w:bookmarkEnd w:id="218"/>
    </w:p>
    <w:p w:rsidR="00B8782D" w:rsidRPr="00750C8B" w:rsidRDefault="00B8782D" w:rsidP="00750C8B">
      <w:pPr>
        <w:pStyle w:val="EndNoteBibliography"/>
        <w:spacing w:after="0"/>
      </w:pPr>
      <w:bookmarkStart w:id="219" w:name="_ENREF_76"/>
      <w:r w:rsidRPr="00750C8B">
        <w:t xml:space="preserve">-- -- 1997b, </w:t>
      </w:r>
      <w:r w:rsidRPr="00750C8B">
        <w:rPr>
          <w:i/>
        </w:rPr>
        <w:t>Datasheets on quarantine pests: Anarsia lineatella</w:t>
      </w:r>
      <w:r w:rsidRPr="00750C8B">
        <w:t xml:space="preserve">, European and Mediterranean Plant Protection Organization, available at </w:t>
      </w:r>
      <w:r w:rsidRPr="00B8782D">
        <w:t>http://eppo.org/</w:t>
      </w:r>
      <w:r w:rsidRPr="00750C8B">
        <w:t>.</w:t>
      </w:r>
      <w:bookmarkEnd w:id="219"/>
    </w:p>
    <w:p w:rsidR="00B8782D" w:rsidRPr="00750C8B" w:rsidRDefault="00B8782D" w:rsidP="00750C8B">
      <w:pPr>
        <w:pStyle w:val="EndNoteBibliography"/>
        <w:spacing w:after="0"/>
      </w:pPr>
      <w:bookmarkStart w:id="220" w:name="_ENREF_77"/>
      <w:r w:rsidRPr="00750C8B">
        <w:t xml:space="preserve">-- -- 1997c, ‘Datasheets on quarantine pests: </w:t>
      </w:r>
      <w:r w:rsidRPr="00750C8B">
        <w:rPr>
          <w:i/>
        </w:rPr>
        <w:t>Cherry rasp leaf 'nepovirus'</w:t>
      </w:r>
      <w:r w:rsidRPr="00750C8B">
        <w:t xml:space="preserve">’, in </w:t>
      </w:r>
      <w:r w:rsidRPr="00750C8B">
        <w:rPr>
          <w:i/>
        </w:rPr>
        <w:t>Quarantine pests for Europe</w:t>
      </w:r>
      <w:r w:rsidRPr="00750C8B">
        <w:t>, 2nd edn, Smith, IM, McNamara, DG, Scott, PR &amp; Holderness, M (eds), CAB International, Wallingford.</w:t>
      </w:r>
      <w:bookmarkEnd w:id="220"/>
    </w:p>
    <w:p w:rsidR="00B8782D" w:rsidRPr="00750C8B" w:rsidRDefault="00B8782D" w:rsidP="00750C8B">
      <w:pPr>
        <w:pStyle w:val="EndNoteBibliography"/>
        <w:spacing w:after="0"/>
      </w:pPr>
      <w:bookmarkStart w:id="221" w:name="_ENREF_78"/>
      <w:r w:rsidRPr="00750C8B">
        <w:t xml:space="preserve">-- -- 1997d, </w:t>
      </w:r>
      <w:r w:rsidRPr="00750C8B">
        <w:rPr>
          <w:i/>
        </w:rPr>
        <w:t>Datasheets on quarantine pests: Eutetranychus orientalis</w:t>
      </w:r>
      <w:r w:rsidRPr="00750C8B">
        <w:t xml:space="preserve">, European and Mediterranean Plant Protection Organization, available at </w:t>
      </w:r>
      <w:r w:rsidRPr="00B8782D">
        <w:t>http://www.eppo.org/QUARANTINE/insects/Eutetranychus_orientalis/EUTEOR_ds.pdf</w:t>
      </w:r>
      <w:r w:rsidRPr="00750C8B">
        <w:t>.</w:t>
      </w:r>
      <w:bookmarkEnd w:id="221"/>
    </w:p>
    <w:p w:rsidR="00B8782D" w:rsidRPr="00750C8B" w:rsidRDefault="00B8782D" w:rsidP="00750C8B">
      <w:pPr>
        <w:pStyle w:val="EndNoteBibliography"/>
        <w:spacing w:after="0"/>
      </w:pPr>
      <w:bookmarkStart w:id="222" w:name="_ENREF_79"/>
      <w:r w:rsidRPr="00750C8B">
        <w:t xml:space="preserve">-- -- 1997e, </w:t>
      </w:r>
      <w:r w:rsidRPr="00750C8B">
        <w:rPr>
          <w:i/>
        </w:rPr>
        <w:t>Datasheets on quarantine pests: Frankliniella occidentalis</w:t>
      </w:r>
      <w:r w:rsidRPr="00750C8B">
        <w:t xml:space="preserve">, European and Mediterranean Plant Protection Organization, available at </w:t>
      </w:r>
      <w:r w:rsidRPr="00B8782D">
        <w:t>http://eppo.org/</w:t>
      </w:r>
      <w:r w:rsidRPr="00750C8B">
        <w:t>.</w:t>
      </w:r>
      <w:bookmarkEnd w:id="222"/>
    </w:p>
    <w:p w:rsidR="00B8782D" w:rsidRPr="00750C8B" w:rsidRDefault="00B8782D" w:rsidP="00750C8B">
      <w:pPr>
        <w:pStyle w:val="EndNoteBibliography"/>
        <w:spacing w:after="0"/>
      </w:pPr>
      <w:bookmarkStart w:id="223" w:name="_ENREF_80"/>
      <w:r w:rsidRPr="00750C8B">
        <w:t xml:space="preserve">-- -- 2002, </w:t>
      </w:r>
      <w:r w:rsidRPr="00750C8B">
        <w:rPr>
          <w:i/>
        </w:rPr>
        <w:t>Distribution maps of Plant Diseases No.866: Cucumber mosaic virus</w:t>
      </w:r>
      <w:r w:rsidRPr="00750C8B">
        <w:t xml:space="preserve">, European and Mediterranean Plant Protection Organization, available at </w:t>
      </w:r>
      <w:r w:rsidRPr="00B8782D">
        <w:t>http://www.cabi.org/dmpd/?loadmodule=review&amp;page=4050&amp;reviewid=16250&amp;site=165</w:t>
      </w:r>
      <w:r w:rsidRPr="00750C8B">
        <w:t>.</w:t>
      </w:r>
      <w:bookmarkEnd w:id="223"/>
    </w:p>
    <w:p w:rsidR="00B8782D" w:rsidRPr="00750C8B" w:rsidRDefault="00B8782D" w:rsidP="00750C8B">
      <w:pPr>
        <w:pStyle w:val="EndNoteBibliography"/>
        <w:spacing w:after="0"/>
      </w:pPr>
      <w:bookmarkStart w:id="224" w:name="_ENREF_81"/>
      <w:r w:rsidRPr="00750C8B">
        <w:t xml:space="preserve">-- -- 2004, </w:t>
      </w:r>
      <w:r w:rsidRPr="00750C8B">
        <w:rPr>
          <w:i/>
        </w:rPr>
        <w:t>Datasheets on quarantine pests: Plum pox potyvirus</w:t>
      </w:r>
      <w:r w:rsidRPr="00750C8B">
        <w:t xml:space="preserve">, European and Mediterranean Plant Protection Organization, available at </w:t>
      </w:r>
      <w:r w:rsidRPr="00B8782D">
        <w:t>http://www.eppo.org/</w:t>
      </w:r>
      <w:r w:rsidRPr="00750C8B">
        <w:t>.</w:t>
      </w:r>
      <w:bookmarkEnd w:id="224"/>
    </w:p>
    <w:p w:rsidR="00B8782D" w:rsidRPr="00750C8B" w:rsidRDefault="00B8782D" w:rsidP="00750C8B">
      <w:pPr>
        <w:pStyle w:val="EndNoteBibliography"/>
        <w:spacing w:after="0"/>
      </w:pPr>
      <w:bookmarkStart w:id="225" w:name="_ENREF_82"/>
      <w:r w:rsidRPr="00750C8B">
        <w:t xml:space="preserve">-- -- 2007, ‘Datasheets on quarantine pests: </w:t>
      </w:r>
      <w:r w:rsidRPr="00750C8B">
        <w:rPr>
          <w:i/>
        </w:rPr>
        <w:t>Plum pox potyvirus</w:t>
      </w:r>
      <w:r w:rsidRPr="00750C8B">
        <w:t xml:space="preserve">’, in </w:t>
      </w:r>
      <w:r w:rsidRPr="00750C8B">
        <w:rPr>
          <w:i/>
        </w:rPr>
        <w:t>Quarantine pests for Europe</w:t>
      </w:r>
      <w:r w:rsidRPr="00750C8B">
        <w:t>, Smith, IM, McNamara, DG, Scott, PR &amp; Holderness, M (eds), CAB International, Wallingford.</w:t>
      </w:r>
      <w:bookmarkEnd w:id="225"/>
    </w:p>
    <w:p w:rsidR="00B8782D" w:rsidRPr="00750C8B" w:rsidRDefault="00B8782D" w:rsidP="00750C8B">
      <w:pPr>
        <w:pStyle w:val="EndNoteBibliography"/>
        <w:spacing w:after="0"/>
      </w:pPr>
      <w:bookmarkStart w:id="226" w:name="_ENREF_83"/>
      <w:r w:rsidRPr="00750C8B">
        <w:t xml:space="preserve">-- -- 2010, </w:t>
      </w:r>
      <w:r w:rsidRPr="00750C8B">
        <w:rPr>
          <w:i/>
        </w:rPr>
        <w:t>Datasheets on quarantine pests: Scirtothrips dorsalis</w:t>
      </w:r>
      <w:r w:rsidRPr="00750C8B">
        <w:t xml:space="preserve">, European and Mediterranean Plant Protection Organization, available at </w:t>
      </w:r>
      <w:r w:rsidRPr="00B8782D">
        <w:t>http://www.eppo.org/</w:t>
      </w:r>
      <w:r w:rsidRPr="00750C8B">
        <w:t>.</w:t>
      </w:r>
      <w:bookmarkEnd w:id="226"/>
    </w:p>
    <w:p w:rsidR="00B8782D" w:rsidRPr="00750C8B" w:rsidRDefault="00B8782D" w:rsidP="00750C8B">
      <w:pPr>
        <w:pStyle w:val="EndNoteBibliography"/>
        <w:spacing w:after="0"/>
      </w:pPr>
      <w:bookmarkStart w:id="227" w:name="_ENREF_84"/>
      <w:r w:rsidRPr="00750C8B">
        <w:lastRenderedPageBreak/>
        <w:t xml:space="preserve">Cannon, PF 1996, ‘Systematics and diversity of the Phyllachoraceae associated with Rosaceae, with a monograph of </w:t>
      </w:r>
      <w:r w:rsidRPr="00750C8B">
        <w:rPr>
          <w:i/>
        </w:rPr>
        <w:t>Polystigma</w:t>
      </w:r>
      <w:r w:rsidRPr="00750C8B">
        <w:t xml:space="preserve">’, </w:t>
      </w:r>
      <w:r w:rsidRPr="00750C8B">
        <w:rPr>
          <w:i/>
        </w:rPr>
        <w:t>Mycological Research</w:t>
      </w:r>
      <w:r w:rsidRPr="00750C8B">
        <w:t>, vol. 100, no. 12, pp. 1409-27.</w:t>
      </w:r>
      <w:bookmarkEnd w:id="227"/>
    </w:p>
    <w:p w:rsidR="00B8782D" w:rsidRPr="00750C8B" w:rsidRDefault="00B8782D" w:rsidP="00750C8B">
      <w:pPr>
        <w:pStyle w:val="EndNoteBibliography"/>
        <w:spacing w:after="0"/>
      </w:pPr>
      <w:bookmarkStart w:id="228" w:name="_ENREF_85"/>
      <w:r w:rsidRPr="00750C8B">
        <w:t xml:space="preserve">Cao, KC &amp; Guo, SF 1987, ‘Preliminary observations on the bionomics of </w:t>
      </w:r>
      <w:r w:rsidRPr="00750C8B">
        <w:rPr>
          <w:i/>
        </w:rPr>
        <w:t>Recurvaria syrictis</w:t>
      </w:r>
      <w:r w:rsidRPr="00750C8B">
        <w:t xml:space="preserve"> Meyrick’, </w:t>
      </w:r>
      <w:r w:rsidRPr="00750C8B">
        <w:rPr>
          <w:i/>
        </w:rPr>
        <w:t>Insect Knowledge [Kunchong Zhishi]</w:t>
      </w:r>
      <w:r w:rsidRPr="00750C8B">
        <w:t>, vol. 24, no. 5, pp. 279-81.</w:t>
      </w:r>
      <w:bookmarkEnd w:id="228"/>
    </w:p>
    <w:p w:rsidR="00B8782D" w:rsidRPr="00750C8B" w:rsidRDefault="00B8782D" w:rsidP="00750C8B">
      <w:pPr>
        <w:pStyle w:val="EndNoteBibliography"/>
        <w:spacing w:after="0"/>
      </w:pPr>
      <w:bookmarkStart w:id="229" w:name="_ENREF_86"/>
      <w:r w:rsidRPr="00750C8B">
        <w:t xml:space="preserve">Cao, KC &amp; Wang, CX 1986, ‘A preliminary report on bionomics of </w:t>
      </w:r>
      <w:r w:rsidRPr="00750C8B">
        <w:rPr>
          <w:i/>
        </w:rPr>
        <w:t>Acronycta strigosa</w:t>
      </w:r>
      <w:r w:rsidRPr="00750C8B">
        <w:t xml:space="preserve">’ (in Chinese), </w:t>
      </w:r>
      <w:r w:rsidRPr="00750C8B">
        <w:rPr>
          <w:i/>
        </w:rPr>
        <w:t>Plant Protection</w:t>
      </w:r>
      <w:r w:rsidRPr="00750C8B">
        <w:t>, vol. 12, no. 6, pp. 29-31.</w:t>
      </w:r>
      <w:bookmarkEnd w:id="229"/>
    </w:p>
    <w:p w:rsidR="00B8782D" w:rsidRPr="00750C8B" w:rsidRDefault="00B8782D" w:rsidP="00750C8B">
      <w:pPr>
        <w:pStyle w:val="EndNoteBibliography"/>
        <w:spacing w:after="0"/>
      </w:pPr>
      <w:bookmarkStart w:id="230" w:name="_ENREF_87"/>
      <w:r w:rsidRPr="00750C8B">
        <w:t xml:space="preserve">Cao, Y, Zeng, L, Cui, ZX, Wang, YB &amp; Chen, WS 2004, ‘Study of the effect of host plants on peach aphid on lily’ (in Chinese), </w:t>
      </w:r>
      <w:r w:rsidRPr="00750C8B">
        <w:rPr>
          <w:i/>
        </w:rPr>
        <w:t>Journal of Southwest Agricultural University (Natural Science)</w:t>
      </w:r>
      <w:r w:rsidRPr="00750C8B">
        <w:t>, vol. 26, no. 2, pp. 165-8.</w:t>
      </w:r>
      <w:bookmarkEnd w:id="230"/>
    </w:p>
    <w:p w:rsidR="00B8782D" w:rsidRPr="00750C8B" w:rsidRDefault="00B8782D" w:rsidP="00750C8B">
      <w:pPr>
        <w:pStyle w:val="EndNoteBibliography"/>
        <w:spacing w:after="0"/>
      </w:pPr>
      <w:bookmarkStart w:id="231" w:name="_ENREF_88"/>
      <w:r w:rsidRPr="00750C8B">
        <w:t xml:space="preserve">Cao, ZM &amp; Wang, X 1989, ‘A survey of stem diseases of Zanchoxylum’, </w:t>
      </w:r>
      <w:r w:rsidRPr="00750C8B">
        <w:rPr>
          <w:i/>
        </w:rPr>
        <w:t>Forest Pest and Disease</w:t>
      </w:r>
      <w:r w:rsidRPr="00750C8B">
        <w:t>, vol. 1, p. 47.</w:t>
      </w:r>
      <w:bookmarkEnd w:id="231"/>
    </w:p>
    <w:p w:rsidR="00B8782D" w:rsidRPr="00750C8B" w:rsidRDefault="00B8782D" w:rsidP="00750C8B">
      <w:pPr>
        <w:pStyle w:val="EndNoteBibliography"/>
        <w:spacing w:after="0"/>
      </w:pPr>
      <w:bookmarkStart w:id="232" w:name="_ENREF_89"/>
      <w:r w:rsidRPr="00750C8B">
        <w:t xml:space="preserve">Cardoso, JM, Felix, MR, Clara, MI &amp; Oliveira, S 2005, ‘The complete genome sequence of a new necrovirus isolated from </w:t>
      </w:r>
      <w:r w:rsidRPr="00750C8B">
        <w:rPr>
          <w:i/>
        </w:rPr>
        <w:t>Olea europaea</w:t>
      </w:r>
      <w:r w:rsidRPr="00750C8B">
        <w:t xml:space="preserve"> L’, </w:t>
      </w:r>
      <w:r w:rsidRPr="00750C8B">
        <w:rPr>
          <w:i/>
        </w:rPr>
        <w:t>Archives of Virology</w:t>
      </w:r>
      <w:r w:rsidRPr="00750C8B">
        <w:t>, vol. 150, pp. 815-23.</w:t>
      </w:r>
      <w:bookmarkEnd w:id="232"/>
    </w:p>
    <w:p w:rsidR="00B8782D" w:rsidRPr="00750C8B" w:rsidRDefault="00B8782D" w:rsidP="00750C8B">
      <w:pPr>
        <w:pStyle w:val="EndNoteBibliography"/>
        <w:spacing w:after="0"/>
      </w:pPr>
      <w:bookmarkStart w:id="233" w:name="_ENREF_90"/>
      <w:r w:rsidRPr="00750C8B">
        <w:t xml:space="preserve">Carter, DJ 1984, </w:t>
      </w:r>
      <w:r w:rsidRPr="00750C8B">
        <w:rPr>
          <w:i/>
        </w:rPr>
        <w:t>Pest Lepidoptera of Europe: with special reference to the British Isles</w:t>
      </w:r>
      <w:r w:rsidRPr="00750C8B">
        <w:t>, Dr W. Junk Publishers, Dordrecht.</w:t>
      </w:r>
      <w:bookmarkEnd w:id="233"/>
    </w:p>
    <w:p w:rsidR="00B8782D" w:rsidRPr="00750C8B" w:rsidRDefault="00B8782D" w:rsidP="00750C8B">
      <w:pPr>
        <w:pStyle w:val="EndNoteBibliography"/>
        <w:spacing w:after="0"/>
      </w:pPr>
      <w:bookmarkStart w:id="234" w:name="_ENREF_91"/>
      <w:r w:rsidRPr="00750C8B">
        <w:t xml:space="preserve">Carver, M, Gross, GF &amp; Woodward, TE 1991, ‘Hemiptera (bugs, leafhoppers, cicadas, aphids, scale insects etc.)’, in </w:t>
      </w:r>
      <w:r w:rsidRPr="00750C8B">
        <w:rPr>
          <w:i/>
        </w:rPr>
        <w:t>The insects of Australia: a textbook for students and research workers</w:t>
      </w:r>
      <w:r w:rsidRPr="00750C8B">
        <w:t>, Naumann, ID, Carne, PB, Lawrence, JF, Nielsen, ES, Spradbery, JP, Taylor, RW, Whitten, MJ &amp; Littlejohn, MJ (eds), Melbourne University Press, Carlton.</w:t>
      </w:r>
      <w:bookmarkEnd w:id="234"/>
    </w:p>
    <w:p w:rsidR="00B8782D" w:rsidRPr="00750C8B" w:rsidRDefault="00B8782D" w:rsidP="00750C8B">
      <w:pPr>
        <w:pStyle w:val="EndNoteBibliography"/>
        <w:spacing w:after="0"/>
      </w:pPr>
      <w:bookmarkStart w:id="235" w:name="_ENREF_92"/>
      <w:r w:rsidRPr="00750C8B">
        <w:t xml:space="preserve">Castellari, PL 1988, ‘Ricerche su </w:t>
      </w:r>
      <w:r w:rsidRPr="00750C8B">
        <w:rPr>
          <w:i/>
        </w:rPr>
        <w:t>Pandemis cerasana</w:t>
      </w:r>
      <w:r w:rsidRPr="00750C8B">
        <w:t xml:space="preserve"> Hb. (=ribeana Hb.), </w:t>
      </w:r>
      <w:r w:rsidRPr="00750C8B">
        <w:rPr>
          <w:i/>
        </w:rPr>
        <w:t xml:space="preserve">Archips podanus </w:t>
      </w:r>
      <w:r w:rsidRPr="00750C8B">
        <w:t xml:space="preserve">Scop., </w:t>
      </w:r>
      <w:r w:rsidRPr="00750C8B">
        <w:rPr>
          <w:i/>
        </w:rPr>
        <w:t>A. rosanus</w:t>
      </w:r>
      <w:r w:rsidRPr="00750C8B">
        <w:t xml:space="preserve"> L., </w:t>
      </w:r>
      <w:r w:rsidRPr="00750C8B">
        <w:rPr>
          <w:i/>
        </w:rPr>
        <w:t>Argyrotaenia pufchellana</w:t>
      </w:r>
      <w:r w:rsidRPr="00750C8B">
        <w:t xml:space="preserve"> Haw. (Lep. Tortricidae) e su di un metoda per combatterli’ (Studies on </w:t>
      </w:r>
      <w:r w:rsidRPr="00750C8B">
        <w:rPr>
          <w:i/>
        </w:rPr>
        <w:t>Pandemis cerasana</w:t>
      </w:r>
      <w:r w:rsidRPr="00750C8B">
        <w:t xml:space="preserve"> Hb. (=ribeana Hb.), </w:t>
      </w:r>
      <w:r w:rsidRPr="00750C8B">
        <w:rPr>
          <w:i/>
        </w:rPr>
        <w:t>Archips podanus</w:t>
      </w:r>
      <w:r w:rsidRPr="00750C8B">
        <w:t xml:space="preserve"> Scob., </w:t>
      </w:r>
      <w:r w:rsidRPr="00750C8B">
        <w:rPr>
          <w:i/>
        </w:rPr>
        <w:t>A. rosanus</w:t>
      </w:r>
      <w:r w:rsidRPr="00750C8B">
        <w:t xml:space="preserve"> L., </w:t>
      </w:r>
      <w:r w:rsidRPr="00750C8B">
        <w:rPr>
          <w:i/>
        </w:rPr>
        <w:t>Argyrotaenia pulchellana</w:t>
      </w:r>
      <w:r w:rsidRPr="00750C8B">
        <w:t xml:space="preserve"> Haw. (Lep. Tortricidae) and a method for their control), </w:t>
      </w:r>
      <w:r w:rsidRPr="00750C8B">
        <w:rPr>
          <w:i/>
        </w:rPr>
        <w:t>Bollettino dell'Istituto di Entomologia della Universita degli Studi di Bologna</w:t>
      </w:r>
      <w:r w:rsidRPr="00750C8B">
        <w:t xml:space="preserve">, vol. 42, pp. 139-74. </w:t>
      </w:r>
      <w:bookmarkEnd w:id="235"/>
    </w:p>
    <w:p w:rsidR="00B8782D" w:rsidRPr="00750C8B" w:rsidRDefault="00B8782D" w:rsidP="00750C8B">
      <w:pPr>
        <w:pStyle w:val="EndNoteBibliography"/>
        <w:spacing w:after="0"/>
      </w:pPr>
      <w:bookmarkStart w:id="236" w:name="_ENREF_93"/>
      <w:r w:rsidRPr="00750C8B">
        <w:t xml:space="preserve">Chapman, PJ &amp; Lienk, SE 1974, ‘Green fruitworms’, </w:t>
      </w:r>
      <w:r w:rsidRPr="00750C8B">
        <w:rPr>
          <w:i/>
        </w:rPr>
        <w:t>New York's Food and Life Sciences Bulletin</w:t>
      </w:r>
      <w:r w:rsidRPr="00750C8B">
        <w:t>, vol. 50, pp. 1-15.</w:t>
      </w:r>
      <w:bookmarkEnd w:id="236"/>
    </w:p>
    <w:p w:rsidR="00B8782D" w:rsidRPr="00750C8B" w:rsidRDefault="00B8782D" w:rsidP="00750C8B">
      <w:pPr>
        <w:pStyle w:val="EndNoteBibliography"/>
        <w:spacing w:after="0"/>
      </w:pPr>
      <w:bookmarkStart w:id="237" w:name="_ENREF_94"/>
      <w:r w:rsidRPr="00750C8B">
        <w:t xml:space="preserve">Chapman, PJ &amp; Lienk, SJ 1971, </w:t>
      </w:r>
      <w:r w:rsidRPr="00750C8B">
        <w:rPr>
          <w:i/>
        </w:rPr>
        <w:t>Tortricid fauna of apple in New York (Lepidoptera: Tortricidae): including an account of apples' occurrence in the State, especially as a naturalized plant</w:t>
      </w:r>
      <w:r w:rsidRPr="00750C8B">
        <w:t>, New York State Agricultural Experiment Station, Cornell University, New York.</w:t>
      </w:r>
      <w:bookmarkEnd w:id="237"/>
    </w:p>
    <w:p w:rsidR="00B8782D" w:rsidRPr="00750C8B" w:rsidRDefault="00B8782D" w:rsidP="00750C8B">
      <w:pPr>
        <w:pStyle w:val="EndNoteBibliography"/>
        <w:spacing w:after="0"/>
      </w:pPr>
      <w:bookmarkStart w:id="238" w:name="_ENREF_95"/>
      <w:r w:rsidRPr="00750C8B">
        <w:t>Chen, P &amp; Ye, H 2007, ‘Population dynamics of</w:t>
      </w:r>
      <w:r w:rsidRPr="00750C8B">
        <w:rPr>
          <w:i/>
        </w:rPr>
        <w:t xml:space="preserve"> Bactrocera dorsalis</w:t>
      </w:r>
      <w:r w:rsidRPr="00750C8B">
        <w:t xml:space="preserve"> (Diptera: Tephritidae) in Lujiangba, Yunnan’ (in Chinese), </w:t>
      </w:r>
      <w:r w:rsidRPr="00750C8B">
        <w:rPr>
          <w:i/>
        </w:rPr>
        <w:t>Journal of Zhejiang University (Agriculture and Life Sciences)</w:t>
      </w:r>
      <w:r w:rsidRPr="00750C8B">
        <w:t>, vol. 33, no. 6, pp. 633-40.</w:t>
      </w:r>
      <w:bookmarkEnd w:id="238"/>
    </w:p>
    <w:p w:rsidR="00B8782D" w:rsidRPr="00750C8B" w:rsidRDefault="00B8782D" w:rsidP="00750C8B">
      <w:pPr>
        <w:pStyle w:val="EndNoteBibliography"/>
        <w:spacing w:after="0"/>
      </w:pPr>
      <w:bookmarkStart w:id="239" w:name="_ENREF_96"/>
      <w:r w:rsidRPr="00750C8B">
        <w:t xml:space="preserve">Chen, P, Ye, H &amp; Liu, J 2006, ‘Population dynamics of </w:t>
      </w:r>
      <w:r w:rsidRPr="00750C8B">
        <w:rPr>
          <w:i/>
        </w:rPr>
        <w:t>Bactrocera dorsalis</w:t>
      </w:r>
      <w:r w:rsidRPr="00750C8B">
        <w:t xml:space="preserve"> (Diptera: Tephritidae) and analysis of the factors influencing the population in Ruili, Yunnan Province, China’, </w:t>
      </w:r>
      <w:r w:rsidRPr="00750C8B">
        <w:rPr>
          <w:i/>
        </w:rPr>
        <w:t>Acta Ecologica Sinica</w:t>
      </w:r>
      <w:r w:rsidRPr="00750C8B">
        <w:t>, vol. 26, no. 9, pp. 2801-9.</w:t>
      </w:r>
      <w:bookmarkEnd w:id="239"/>
    </w:p>
    <w:p w:rsidR="00B8782D" w:rsidRPr="00750C8B" w:rsidRDefault="00B8782D" w:rsidP="00750C8B">
      <w:pPr>
        <w:pStyle w:val="EndNoteBibliography"/>
        <w:spacing w:after="0"/>
      </w:pPr>
      <w:bookmarkStart w:id="240" w:name="_ENREF_97"/>
      <w:r w:rsidRPr="00750C8B">
        <w:t xml:space="preserve">Chen, PC, Zhang, JH, Li, MM &amp; Lei, YH 2007, ‘Physiological change and hyperspectral character analysis of cotton leaves infested by </w:t>
      </w:r>
      <w:r w:rsidRPr="00750C8B">
        <w:rPr>
          <w:i/>
        </w:rPr>
        <w:t>Tetranychus turkestani</w:t>
      </w:r>
      <w:r w:rsidRPr="00750C8B">
        <w:t xml:space="preserve">’ (in Chinese), </w:t>
      </w:r>
      <w:r w:rsidRPr="00750C8B">
        <w:rPr>
          <w:i/>
        </w:rPr>
        <w:t>Chinese Bulletin of Entomology</w:t>
      </w:r>
      <w:r w:rsidRPr="00750C8B">
        <w:t>, vol. 44, no. 1, pp. 61-5.</w:t>
      </w:r>
      <w:bookmarkEnd w:id="240"/>
    </w:p>
    <w:p w:rsidR="00B8782D" w:rsidRPr="00750C8B" w:rsidRDefault="00B8782D" w:rsidP="00750C8B">
      <w:pPr>
        <w:pStyle w:val="EndNoteBibliography"/>
        <w:spacing w:after="0"/>
      </w:pPr>
      <w:bookmarkStart w:id="241" w:name="_ENREF_98"/>
      <w:r w:rsidRPr="00750C8B">
        <w:t xml:space="preserve">Chen, S 2003, </w:t>
      </w:r>
      <w:r w:rsidRPr="00750C8B">
        <w:rPr>
          <w:i/>
        </w:rPr>
        <w:t>Bionomics of Parlatoria oleae and its control</w:t>
      </w:r>
      <w:r w:rsidRPr="00750C8B">
        <w:t xml:space="preserve">, available at </w:t>
      </w:r>
      <w:r w:rsidRPr="00B8782D">
        <w:t>http://www.ilib2.com/A-QCode~kczs200303020.html</w:t>
      </w:r>
      <w:r w:rsidRPr="00750C8B">
        <w:t>.</w:t>
      </w:r>
      <w:bookmarkEnd w:id="241"/>
    </w:p>
    <w:p w:rsidR="00B8782D" w:rsidRPr="00750C8B" w:rsidRDefault="00B8782D" w:rsidP="00750C8B">
      <w:pPr>
        <w:pStyle w:val="EndNoteBibliography"/>
        <w:spacing w:after="0"/>
      </w:pPr>
      <w:bookmarkStart w:id="242" w:name="_ENREF_99"/>
      <w:r w:rsidRPr="00750C8B">
        <w:t xml:space="preserve">Chen, ZH, Zhang, QY, Fang, YW, Lin, ZJ, Yu, JM, Ruan, LY, Wang, LS &amp; Xia, HM 2002, ‘Cold treatment to kill oriental fruit flies inoculated into ponkan’, </w:t>
      </w:r>
      <w:r w:rsidRPr="00750C8B">
        <w:rPr>
          <w:i/>
        </w:rPr>
        <w:t>Plant Quarantine</w:t>
      </w:r>
      <w:r w:rsidRPr="00750C8B">
        <w:t>, vol. 16, no. 1, pp. 1-4.</w:t>
      </w:r>
      <w:bookmarkEnd w:id="242"/>
    </w:p>
    <w:p w:rsidR="00B8782D" w:rsidRPr="00750C8B" w:rsidRDefault="00B8782D" w:rsidP="00750C8B">
      <w:pPr>
        <w:pStyle w:val="EndNoteBibliography"/>
        <w:spacing w:after="0"/>
      </w:pPr>
      <w:bookmarkStart w:id="243" w:name="_ENREF_100"/>
      <w:r w:rsidRPr="00750C8B">
        <w:t xml:space="preserve">Cheng, LS 1994, ‘A new record of Chinese Tetranychidae’ (in Chinese), </w:t>
      </w:r>
      <w:r w:rsidRPr="00750C8B">
        <w:rPr>
          <w:i/>
        </w:rPr>
        <w:t>Zoological Research</w:t>
      </w:r>
      <w:r w:rsidRPr="00750C8B">
        <w:t>, vol. 15, no. 4, p. 20. (Abstract only)</w:t>
      </w:r>
      <w:bookmarkEnd w:id="243"/>
    </w:p>
    <w:p w:rsidR="00B8782D" w:rsidRPr="00750C8B" w:rsidRDefault="00B8782D" w:rsidP="00750C8B">
      <w:pPr>
        <w:pStyle w:val="EndNoteBibliography"/>
        <w:spacing w:after="0"/>
      </w:pPr>
      <w:bookmarkStart w:id="244" w:name="_ENREF_101"/>
      <w:r w:rsidRPr="00750C8B">
        <w:t xml:space="preserve">China Plant Pests 2007, </w:t>
      </w:r>
      <w:r w:rsidRPr="00750C8B">
        <w:rPr>
          <w:i/>
        </w:rPr>
        <w:t>Peach weevil (Rhynchites faldermanni Schoenherr)</w:t>
      </w:r>
      <w:r w:rsidRPr="00750C8B">
        <w:t xml:space="preserve">, available at </w:t>
      </w:r>
      <w:r w:rsidRPr="00B8782D">
        <w:t>www.zwbc.net</w:t>
      </w:r>
      <w:r w:rsidRPr="00750C8B">
        <w:t>.</w:t>
      </w:r>
      <w:bookmarkEnd w:id="244"/>
    </w:p>
    <w:p w:rsidR="00B8782D" w:rsidRPr="00750C8B" w:rsidRDefault="00B8782D" w:rsidP="00750C8B">
      <w:pPr>
        <w:pStyle w:val="EndNoteBibliography"/>
        <w:spacing w:after="0"/>
      </w:pPr>
      <w:bookmarkStart w:id="245" w:name="_ENREF_102"/>
      <w:r w:rsidRPr="00750C8B">
        <w:t xml:space="preserve">China Shipping Australia 2014, </w:t>
      </w:r>
      <w:r w:rsidRPr="00750C8B">
        <w:rPr>
          <w:i/>
        </w:rPr>
        <w:t>2013 CSAA North bound transit times - AUS1 Mandarin service AUS2 East Orient service</w:t>
      </w:r>
      <w:r w:rsidRPr="00750C8B">
        <w:t xml:space="preserve">, available at </w:t>
      </w:r>
      <w:r w:rsidRPr="00B8782D">
        <w:t>http://www.chinashippingaustralia.com/pdf/transit.pdf</w:t>
      </w:r>
      <w:r w:rsidRPr="00750C8B">
        <w:t>.</w:t>
      </w:r>
      <w:bookmarkEnd w:id="245"/>
    </w:p>
    <w:p w:rsidR="00B8782D" w:rsidRPr="00750C8B" w:rsidRDefault="00B8782D" w:rsidP="00750C8B">
      <w:pPr>
        <w:pStyle w:val="EndNoteBibliography"/>
        <w:spacing w:after="0"/>
      </w:pPr>
      <w:bookmarkStart w:id="246" w:name="_ENREF_103"/>
      <w:r w:rsidRPr="00750C8B">
        <w:t xml:space="preserve">CHNZX-Farming 2008a, </w:t>
      </w:r>
      <w:r w:rsidRPr="00750C8B">
        <w:rPr>
          <w:i/>
        </w:rPr>
        <w:t>Amphipyra pyramidea Linneaus</w:t>
      </w:r>
      <w:r w:rsidRPr="00750C8B">
        <w:t xml:space="preserve">, available at </w:t>
      </w:r>
      <w:r w:rsidRPr="00B8782D">
        <w:t>http://www.chnzx.com/book/Farming/index3/guoshu/pinguo/chonghai/10.htm</w:t>
      </w:r>
      <w:r w:rsidRPr="00750C8B">
        <w:t>.</w:t>
      </w:r>
      <w:bookmarkEnd w:id="246"/>
    </w:p>
    <w:p w:rsidR="00B8782D" w:rsidRPr="00750C8B" w:rsidRDefault="00B8782D" w:rsidP="00750C8B">
      <w:pPr>
        <w:pStyle w:val="EndNoteBibliography"/>
        <w:spacing w:after="0"/>
      </w:pPr>
      <w:bookmarkStart w:id="247" w:name="_ENREF_104"/>
      <w:r w:rsidRPr="00750C8B">
        <w:t xml:space="preserve">-- -- 2008b, </w:t>
      </w:r>
      <w:r w:rsidRPr="00750C8B">
        <w:rPr>
          <w:i/>
        </w:rPr>
        <w:t>Oncotympana maculiocllis Motschulsky</w:t>
      </w:r>
      <w:r w:rsidRPr="00750C8B">
        <w:t xml:space="preserve">, available at </w:t>
      </w:r>
      <w:r w:rsidRPr="00B8782D">
        <w:t>www.chnzx.com/book/Farming/index3/guoshu/pinguo/chonghai/22.htm</w:t>
      </w:r>
      <w:r w:rsidRPr="00750C8B">
        <w:t>.</w:t>
      </w:r>
      <w:bookmarkEnd w:id="247"/>
    </w:p>
    <w:p w:rsidR="00B8782D" w:rsidRPr="00750C8B" w:rsidRDefault="00B8782D" w:rsidP="00750C8B">
      <w:pPr>
        <w:pStyle w:val="EndNoteBibliography"/>
        <w:spacing w:after="0"/>
      </w:pPr>
      <w:bookmarkStart w:id="248" w:name="_ENREF_105"/>
      <w:r w:rsidRPr="00750C8B">
        <w:t xml:space="preserve">Chuno, CC, Chyi, EL &amp; Wai, HC 1960, ‘Biology and ecology of the Korean black Scarabaeid </w:t>
      </w:r>
      <w:r w:rsidRPr="00750C8B">
        <w:rPr>
          <w:i/>
        </w:rPr>
        <w:t>(Holotrichia diomphalia</w:t>
      </w:r>
      <w:r w:rsidRPr="00750C8B">
        <w:t xml:space="preserve"> Bates) and some other Scarabaeids in North China’ (in Chinese), </w:t>
      </w:r>
      <w:r w:rsidRPr="00750C8B">
        <w:rPr>
          <w:i/>
        </w:rPr>
        <w:t>Acta Entomologica Sinica (China)</w:t>
      </w:r>
      <w:r w:rsidRPr="00750C8B">
        <w:t>, vol. 10, no. 2, pp. 201-13.</w:t>
      </w:r>
      <w:bookmarkEnd w:id="248"/>
    </w:p>
    <w:p w:rsidR="00B8782D" w:rsidRPr="00750C8B" w:rsidRDefault="00B8782D" w:rsidP="00750C8B">
      <w:pPr>
        <w:pStyle w:val="EndNoteBibliography"/>
        <w:spacing w:after="0"/>
      </w:pPr>
      <w:bookmarkStart w:id="249" w:name="_ENREF_106"/>
      <w:r w:rsidRPr="00750C8B">
        <w:lastRenderedPageBreak/>
        <w:t xml:space="preserve">CIQSA 2001a, </w:t>
      </w:r>
      <w:r w:rsidRPr="00750C8B">
        <w:rPr>
          <w:i/>
        </w:rPr>
        <w:t>The document concerning exports of apples of Shaanxi China to Australia received between 5-9 March 2009</w:t>
      </w:r>
      <w:r w:rsidRPr="00750C8B">
        <w:t>, State Administration for Entry-Exit Inspection and Quarantine of People's Republic of China, Beijing.</w:t>
      </w:r>
      <w:bookmarkEnd w:id="249"/>
    </w:p>
    <w:p w:rsidR="00B8782D" w:rsidRPr="00750C8B" w:rsidRDefault="00B8782D" w:rsidP="00750C8B">
      <w:pPr>
        <w:pStyle w:val="EndNoteBibliography"/>
        <w:spacing w:after="0"/>
      </w:pPr>
      <w:bookmarkStart w:id="250" w:name="_ENREF_107"/>
      <w:r w:rsidRPr="00750C8B">
        <w:t xml:space="preserve">-- -- 2001b, </w:t>
      </w:r>
      <w:r w:rsidRPr="00750C8B">
        <w:rPr>
          <w:i/>
        </w:rPr>
        <w:t>Report on exportation of apple from P.R. China to Australia (Shandong province) received between 5-9 March 2001</w:t>
      </w:r>
      <w:r w:rsidRPr="00750C8B">
        <w:t>, State Administration for Entry-Exit Inspection and Quarantine of People's Republic of China, Beijing.</w:t>
      </w:r>
      <w:bookmarkEnd w:id="250"/>
    </w:p>
    <w:p w:rsidR="00B8782D" w:rsidRPr="00750C8B" w:rsidRDefault="00B8782D" w:rsidP="00750C8B">
      <w:pPr>
        <w:pStyle w:val="EndNoteBibliography"/>
        <w:spacing w:after="0"/>
      </w:pPr>
      <w:bookmarkStart w:id="251" w:name="_ENREF_108"/>
      <w:r w:rsidRPr="00750C8B">
        <w:t xml:space="preserve">-- -- 2001c, </w:t>
      </w:r>
      <w:r w:rsidRPr="00750C8B">
        <w:rPr>
          <w:i/>
        </w:rPr>
        <w:t>Report on exportation of China peach to Australia (Shandong province)</w:t>
      </w:r>
      <w:r w:rsidRPr="00750C8B">
        <w:t>, State Administration for Entry-Exit Inspection and Quarantine of People's Republic of China, Beijing.</w:t>
      </w:r>
      <w:bookmarkEnd w:id="251"/>
    </w:p>
    <w:p w:rsidR="00B8782D" w:rsidRPr="00750C8B" w:rsidRDefault="00B8782D" w:rsidP="00750C8B">
      <w:pPr>
        <w:pStyle w:val="EndNoteBibliography"/>
        <w:spacing w:after="0"/>
      </w:pPr>
      <w:bookmarkStart w:id="252" w:name="_ENREF_109"/>
      <w:r w:rsidRPr="00750C8B">
        <w:t xml:space="preserve">Clausen, CP 1927, ‘The citrus insects of Japan’, </w:t>
      </w:r>
      <w:r w:rsidRPr="00750C8B">
        <w:rPr>
          <w:i/>
        </w:rPr>
        <w:t>Technical Bulletin United States Department of Agriculture</w:t>
      </w:r>
      <w:r w:rsidRPr="00750C8B">
        <w:t>, vol. 15, p. 15.</w:t>
      </w:r>
      <w:bookmarkEnd w:id="252"/>
    </w:p>
    <w:p w:rsidR="00B8782D" w:rsidRPr="00750C8B" w:rsidRDefault="00B8782D" w:rsidP="00750C8B">
      <w:pPr>
        <w:pStyle w:val="EndNoteBibliography"/>
        <w:spacing w:after="0"/>
      </w:pPr>
      <w:bookmarkStart w:id="253" w:name="_ENREF_110"/>
      <w:r w:rsidRPr="00750C8B">
        <w:t xml:space="preserve">Common, IFB 1990, </w:t>
      </w:r>
      <w:r w:rsidRPr="00750C8B">
        <w:rPr>
          <w:i/>
        </w:rPr>
        <w:t>Moths of Australia</w:t>
      </w:r>
      <w:r w:rsidRPr="00750C8B">
        <w:t>, Melbourne University Press, Carlton.</w:t>
      </w:r>
      <w:bookmarkEnd w:id="253"/>
    </w:p>
    <w:p w:rsidR="00B8782D" w:rsidRPr="00750C8B" w:rsidRDefault="00B8782D" w:rsidP="00750C8B">
      <w:pPr>
        <w:pStyle w:val="EndNoteBibliography"/>
        <w:spacing w:after="0"/>
      </w:pPr>
      <w:bookmarkStart w:id="254" w:name="_ENREF_111"/>
      <w:r w:rsidRPr="00750C8B">
        <w:t xml:space="preserve">Constable, FE, Joyce, PA &amp; Rodoni, BC 2007, ‘A survey of key Australian pome fruit growing districts for exotic and endemic pathogens’, </w:t>
      </w:r>
      <w:r w:rsidRPr="00750C8B">
        <w:rPr>
          <w:i/>
        </w:rPr>
        <w:t>Australasian Plant Pathology</w:t>
      </w:r>
      <w:r w:rsidRPr="00750C8B">
        <w:t>, vol. 36, pp. 165-72.</w:t>
      </w:r>
      <w:bookmarkEnd w:id="254"/>
    </w:p>
    <w:p w:rsidR="00B8782D" w:rsidRPr="00750C8B" w:rsidRDefault="00B8782D" w:rsidP="00750C8B">
      <w:pPr>
        <w:pStyle w:val="EndNoteBibliography"/>
        <w:spacing w:after="0"/>
      </w:pPr>
      <w:bookmarkStart w:id="255" w:name="_ENREF_112"/>
      <w:r w:rsidRPr="00750C8B">
        <w:t xml:space="preserve">Cook, RP &amp; Dubé, AJ 1989, </w:t>
      </w:r>
      <w:r w:rsidRPr="00750C8B">
        <w:rPr>
          <w:i/>
        </w:rPr>
        <w:t>Host-pathogen index of plant diseases in South Australia</w:t>
      </w:r>
      <w:r w:rsidRPr="00750C8B">
        <w:t>, Field Crops Pathology Group, South Australian Department of Agriculture, Adelaide.</w:t>
      </w:r>
      <w:bookmarkEnd w:id="255"/>
    </w:p>
    <w:p w:rsidR="00B8782D" w:rsidRPr="00750C8B" w:rsidRDefault="00B8782D" w:rsidP="00750C8B">
      <w:pPr>
        <w:pStyle w:val="EndNoteBibliography"/>
        <w:spacing w:after="0"/>
      </w:pPr>
      <w:bookmarkStart w:id="256" w:name="_ENREF_113"/>
      <w:r w:rsidRPr="00750C8B">
        <w:t xml:space="preserve">Cornell University 2010, </w:t>
      </w:r>
      <w:r w:rsidRPr="00750C8B">
        <w:rPr>
          <w:i/>
        </w:rPr>
        <w:t>2008 Plum pox virus incidence map</w:t>
      </w:r>
      <w:r w:rsidRPr="00750C8B">
        <w:t xml:space="preserve">, available at </w:t>
      </w:r>
      <w:r w:rsidRPr="00B8782D">
        <w:t>http://www.nysaes.cornell.edu/pp/faculty/fuchs/ppv/ppv_map.php</w:t>
      </w:r>
      <w:r w:rsidRPr="00750C8B">
        <w:t>.</w:t>
      </w:r>
      <w:bookmarkEnd w:id="256"/>
    </w:p>
    <w:p w:rsidR="00B8782D" w:rsidRPr="00750C8B" w:rsidRDefault="00B8782D" w:rsidP="00750C8B">
      <w:pPr>
        <w:pStyle w:val="EndNoteBibliography"/>
        <w:spacing w:after="0"/>
      </w:pPr>
      <w:bookmarkStart w:id="257" w:name="_ENREF_114"/>
      <w:r w:rsidRPr="00750C8B">
        <w:t xml:space="preserve">Coutts, RHA, Rigden, JE, Slabas, AR, Lomonossoff, GP &amp; Wise, PJ 1991, ‘The complete nucleotide sequence of </w:t>
      </w:r>
      <w:r w:rsidRPr="00750C8B">
        <w:rPr>
          <w:i/>
        </w:rPr>
        <w:t>Tobacco necrosis virus</w:t>
      </w:r>
      <w:r w:rsidRPr="00750C8B">
        <w:t xml:space="preserve"> strain D’, </w:t>
      </w:r>
      <w:r w:rsidRPr="00750C8B">
        <w:rPr>
          <w:i/>
        </w:rPr>
        <w:t>Journal of General Virology</w:t>
      </w:r>
      <w:r w:rsidRPr="00750C8B">
        <w:t>, vol. 72, pp. 1521-9.</w:t>
      </w:r>
      <w:bookmarkEnd w:id="257"/>
    </w:p>
    <w:p w:rsidR="00B8782D" w:rsidRPr="00750C8B" w:rsidRDefault="00B8782D" w:rsidP="00750C8B">
      <w:pPr>
        <w:pStyle w:val="EndNoteBibliography"/>
        <w:spacing w:after="0"/>
      </w:pPr>
      <w:bookmarkStart w:id="258" w:name="_ENREF_115"/>
      <w:r w:rsidRPr="00750C8B">
        <w:t xml:space="preserve">CSIRO 2005, ‘Australian insect common names version 1.53’, available at </w:t>
      </w:r>
      <w:r w:rsidRPr="00B8782D">
        <w:t>http://www.ces.csiro.au/aicn/name_s/b_1.htm</w:t>
      </w:r>
      <w:r w:rsidRPr="00750C8B">
        <w:t>, accessed 2014.</w:t>
      </w:r>
      <w:bookmarkEnd w:id="258"/>
    </w:p>
    <w:p w:rsidR="00B8782D" w:rsidRPr="00750C8B" w:rsidRDefault="00B8782D" w:rsidP="00750C8B">
      <w:pPr>
        <w:pStyle w:val="EndNoteBibliography"/>
        <w:spacing w:after="0"/>
      </w:pPr>
      <w:bookmarkStart w:id="259" w:name="_ENREF_116"/>
      <w:r w:rsidRPr="00750C8B">
        <w:t xml:space="preserve">Cui, HG, Hong, N, Xu, WX, Zhou, JF &amp; Wang, GP 2011, ‘First report of </w:t>
      </w:r>
      <w:r w:rsidRPr="00750C8B">
        <w:rPr>
          <w:i/>
        </w:rPr>
        <w:t xml:space="preserve">Plum bark necrosis stem pitting-associated virus </w:t>
      </w:r>
      <w:r w:rsidRPr="00750C8B">
        <w:t xml:space="preserve">in stone fruit trees in China’, </w:t>
      </w:r>
      <w:r w:rsidRPr="00750C8B">
        <w:rPr>
          <w:i/>
        </w:rPr>
        <w:t>Plant Disease</w:t>
      </w:r>
      <w:r w:rsidRPr="00750C8B">
        <w:t>, vol. 95, no. 11, p. 1483.</w:t>
      </w:r>
      <w:bookmarkEnd w:id="259"/>
    </w:p>
    <w:p w:rsidR="00B8782D" w:rsidRPr="00750C8B" w:rsidRDefault="00B8782D" w:rsidP="00750C8B">
      <w:pPr>
        <w:pStyle w:val="EndNoteBibliography"/>
        <w:spacing w:after="0"/>
      </w:pPr>
      <w:bookmarkStart w:id="260" w:name="_ENREF_117"/>
      <w:r w:rsidRPr="00750C8B">
        <w:t xml:space="preserve">Cunnington, JH, Priest, MJ, Powney, RA &amp; Cother, NJ 2007, ‘Diversity of </w:t>
      </w:r>
      <w:r w:rsidRPr="00750C8B">
        <w:rPr>
          <w:i/>
        </w:rPr>
        <w:t xml:space="preserve">Botryosphaeria </w:t>
      </w:r>
      <w:r w:rsidRPr="00750C8B">
        <w:t xml:space="preserve">species on horticultural plants in Victoria and New South Wales’, </w:t>
      </w:r>
      <w:r w:rsidRPr="00750C8B">
        <w:rPr>
          <w:i/>
        </w:rPr>
        <w:t>Australasian Plant Pathology</w:t>
      </w:r>
      <w:r w:rsidRPr="00750C8B">
        <w:t>, vol. 36, no. 2, pp. 157-9.</w:t>
      </w:r>
      <w:bookmarkEnd w:id="260"/>
    </w:p>
    <w:p w:rsidR="00B8782D" w:rsidRPr="00750C8B" w:rsidRDefault="00B8782D" w:rsidP="00750C8B">
      <w:pPr>
        <w:pStyle w:val="EndNoteBibliography"/>
        <w:spacing w:after="0"/>
      </w:pPr>
      <w:bookmarkStart w:id="261" w:name="_ENREF_118"/>
      <w:r w:rsidRPr="00750C8B">
        <w:t xml:space="preserve">Curtis, CE, Clark, JD, Tebbets, JS &amp; Mackey, BE 1992, ‘Incidence of arthropods found in packed nectarine fruit in central California’, </w:t>
      </w:r>
      <w:r w:rsidRPr="00750C8B">
        <w:rPr>
          <w:i/>
        </w:rPr>
        <w:t>Southwestern Entomologist</w:t>
      </w:r>
      <w:r w:rsidRPr="00750C8B">
        <w:t>, vol. 17, no. 1, pp. 29-39.</w:t>
      </w:r>
      <w:bookmarkEnd w:id="261"/>
    </w:p>
    <w:p w:rsidR="00B8782D" w:rsidRPr="00750C8B" w:rsidRDefault="00B8782D" w:rsidP="00750C8B">
      <w:pPr>
        <w:pStyle w:val="EndNoteBibliography"/>
        <w:spacing w:after="0"/>
      </w:pPr>
      <w:bookmarkStart w:id="262" w:name="_ENREF_119"/>
      <w:r w:rsidRPr="00750C8B">
        <w:t xml:space="preserve">DAFF 2004, </w:t>
      </w:r>
      <w:r w:rsidRPr="00750C8B">
        <w:rPr>
          <w:i/>
        </w:rPr>
        <w:t>Longan and lychee fruit from the People's Republic of China and Thailand: Final import risk analysis report - Part A and Part B</w:t>
      </w:r>
      <w:r w:rsidRPr="00750C8B">
        <w:t xml:space="preserve">, Department of Agriculture, Fisheries and Forestry, Canberra, available at </w:t>
      </w:r>
      <w:r w:rsidRPr="00B8782D">
        <w:t>http://www.daff.gov.au/__data/assets/word_doc/0013/164002/ll_finala.doc</w:t>
      </w:r>
      <w:r w:rsidRPr="00750C8B">
        <w:t>.</w:t>
      </w:r>
      <w:bookmarkEnd w:id="262"/>
    </w:p>
    <w:p w:rsidR="00B8782D" w:rsidRPr="00750C8B" w:rsidRDefault="00B8782D" w:rsidP="00750C8B">
      <w:pPr>
        <w:pStyle w:val="EndNoteBibliography"/>
        <w:spacing w:after="0"/>
      </w:pPr>
      <w:bookmarkStart w:id="263" w:name="_ENREF_120"/>
      <w:r w:rsidRPr="00750C8B">
        <w:t xml:space="preserve">DAFF RSA 2014, </w:t>
      </w:r>
      <w:r w:rsidRPr="00750C8B">
        <w:rPr>
          <w:i/>
        </w:rPr>
        <w:t>Diagnostic Import Interception Database: 2014 import interceptions</w:t>
      </w:r>
      <w:r w:rsidRPr="00750C8B">
        <w:t xml:space="preserve">, Department of Agriculture, Forestry &amp; Fisheries Republic of South Africa, available at </w:t>
      </w:r>
      <w:r w:rsidRPr="00B8782D">
        <w:t>http://www.daff.gov.za/daffweb3/Branches/Agricultural-Production-Health-Food-Safety/Plant-Health</w:t>
      </w:r>
      <w:r w:rsidRPr="00750C8B">
        <w:t>.</w:t>
      </w:r>
      <w:bookmarkEnd w:id="263"/>
    </w:p>
    <w:p w:rsidR="00B8782D" w:rsidRPr="00750C8B" w:rsidRDefault="00B8782D" w:rsidP="00750C8B">
      <w:pPr>
        <w:pStyle w:val="EndNoteBibliography"/>
        <w:spacing w:after="0"/>
      </w:pPr>
      <w:bookmarkStart w:id="264" w:name="_ENREF_121"/>
      <w:r w:rsidRPr="00750C8B">
        <w:t xml:space="preserve">Dai, KR &amp; Shi, SY 2013, ‘Occurrence regularity and integrated control technology of </w:t>
      </w:r>
      <w:r w:rsidRPr="00750C8B">
        <w:rPr>
          <w:i/>
        </w:rPr>
        <w:t xml:space="preserve">Drosophila suzukii </w:t>
      </w:r>
      <w:r w:rsidRPr="00750C8B">
        <w:t xml:space="preserve">in Chang'an district’ (in Chinese), </w:t>
      </w:r>
      <w:r w:rsidRPr="00750C8B">
        <w:rPr>
          <w:i/>
        </w:rPr>
        <w:t>Shaanxi Forest Science and Technology</w:t>
      </w:r>
      <w:r w:rsidRPr="00750C8B">
        <w:t>, vol. 5, pp. 88-90.</w:t>
      </w:r>
      <w:bookmarkEnd w:id="264"/>
    </w:p>
    <w:p w:rsidR="00B8782D" w:rsidRPr="00750C8B" w:rsidRDefault="00B8782D" w:rsidP="00750C8B">
      <w:pPr>
        <w:pStyle w:val="EndNoteBibliography"/>
        <w:spacing w:after="0"/>
      </w:pPr>
      <w:bookmarkStart w:id="265" w:name="_ENREF_122"/>
      <w:r w:rsidRPr="00750C8B">
        <w:t xml:space="preserve">Dai, YC 2005, ‘First report of sapwood rot of peach caused by </w:t>
      </w:r>
      <w:r w:rsidRPr="00750C8B">
        <w:rPr>
          <w:i/>
        </w:rPr>
        <w:t>Schizophyllum commune</w:t>
      </w:r>
      <w:r w:rsidRPr="00750C8B">
        <w:t xml:space="preserve"> in China’, </w:t>
      </w:r>
      <w:r w:rsidRPr="00750C8B">
        <w:rPr>
          <w:i/>
        </w:rPr>
        <w:t>Plant Disease</w:t>
      </w:r>
      <w:r w:rsidRPr="00750C8B">
        <w:t>, vol. 89, no. 7, p. 778.</w:t>
      </w:r>
      <w:bookmarkEnd w:id="265"/>
    </w:p>
    <w:p w:rsidR="00B8782D" w:rsidRPr="00750C8B" w:rsidRDefault="00B8782D" w:rsidP="00750C8B">
      <w:pPr>
        <w:pStyle w:val="EndNoteBibliography"/>
        <w:spacing w:after="0"/>
      </w:pPr>
      <w:bookmarkStart w:id="266" w:name="_ENREF_123"/>
      <w:r w:rsidRPr="00750C8B">
        <w:t xml:space="preserve">Dai, YC &amp; Xu, M 1998, ‘Studies on the medicinal polypore, </w:t>
      </w:r>
      <w:r w:rsidRPr="00750C8B">
        <w:rPr>
          <w:i/>
        </w:rPr>
        <w:t>Phellinus baumii,</w:t>
      </w:r>
      <w:r w:rsidRPr="00750C8B">
        <w:t xml:space="preserve"> and its kin, </w:t>
      </w:r>
      <w:r w:rsidRPr="00750C8B">
        <w:rPr>
          <w:i/>
        </w:rPr>
        <w:t>P. linteus</w:t>
      </w:r>
      <w:r w:rsidRPr="00750C8B">
        <w:t xml:space="preserve">’, </w:t>
      </w:r>
      <w:r w:rsidRPr="00750C8B">
        <w:rPr>
          <w:i/>
        </w:rPr>
        <w:t>Mycotaxon</w:t>
      </w:r>
      <w:r w:rsidRPr="00750C8B">
        <w:t>, vol. 67, pp. 191-200.</w:t>
      </w:r>
      <w:bookmarkEnd w:id="266"/>
    </w:p>
    <w:p w:rsidR="00B8782D" w:rsidRPr="00750C8B" w:rsidRDefault="00B8782D" w:rsidP="00750C8B">
      <w:pPr>
        <w:pStyle w:val="EndNoteBibliography"/>
        <w:spacing w:after="0"/>
      </w:pPr>
      <w:bookmarkStart w:id="267" w:name="_ENREF_124"/>
      <w:r w:rsidRPr="00750C8B">
        <w:t xml:space="preserve">Damm, U, Verkley, GJM, Crous, PW, Fourie, PH, Haegi, A &amp; Riccioni, L 2008, ‘Novel </w:t>
      </w:r>
      <w:r w:rsidRPr="00750C8B">
        <w:rPr>
          <w:i/>
        </w:rPr>
        <w:t xml:space="preserve">Paraconiothyrium </w:t>
      </w:r>
      <w:r w:rsidRPr="00750C8B">
        <w:t xml:space="preserve">species on stone fruit trees and other woody hosts’, </w:t>
      </w:r>
      <w:r w:rsidRPr="00750C8B">
        <w:rPr>
          <w:i/>
        </w:rPr>
        <w:t>Persoonia</w:t>
      </w:r>
      <w:r w:rsidRPr="00750C8B">
        <w:t>, vol. 20, pp. 9-17.</w:t>
      </w:r>
      <w:bookmarkEnd w:id="267"/>
    </w:p>
    <w:p w:rsidR="00B8782D" w:rsidRPr="00750C8B" w:rsidRDefault="00B8782D" w:rsidP="00750C8B">
      <w:pPr>
        <w:pStyle w:val="EndNoteBibliography"/>
        <w:spacing w:after="0"/>
      </w:pPr>
      <w:bookmarkStart w:id="268" w:name="_ENREF_125"/>
      <w:r w:rsidRPr="00750C8B">
        <w:t xml:space="preserve">Damos, P &amp; Savopoulou-Soultani, M 2010, ‘Population dynamics of </w:t>
      </w:r>
      <w:r w:rsidRPr="00750C8B">
        <w:rPr>
          <w:i/>
        </w:rPr>
        <w:t>Anarsia lineatella</w:t>
      </w:r>
      <w:r w:rsidRPr="00750C8B">
        <w:t xml:space="preserve"> in relation to crop damage and the development of economic injury levels’, </w:t>
      </w:r>
      <w:r w:rsidRPr="00750C8B">
        <w:rPr>
          <w:i/>
        </w:rPr>
        <w:t>Journal of Applied Entomology</w:t>
      </w:r>
      <w:r w:rsidRPr="00750C8B">
        <w:t>, vol. 134, no. 2, pp. 105-15.</w:t>
      </w:r>
      <w:bookmarkEnd w:id="268"/>
    </w:p>
    <w:p w:rsidR="00B8782D" w:rsidRPr="00750C8B" w:rsidRDefault="00B8782D" w:rsidP="00750C8B">
      <w:pPr>
        <w:pStyle w:val="EndNoteBibliography"/>
        <w:spacing w:after="0"/>
      </w:pPr>
      <w:bookmarkStart w:id="269" w:name="_ENREF_126"/>
      <w:r w:rsidRPr="00750C8B">
        <w:t>Damus, M 2009, ‘Some preliminary results from Climex and Maxent distribution modelling of</w:t>
      </w:r>
      <w:r w:rsidRPr="00750C8B">
        <w:rPr>
          <w:i/>
        </w:rPr>
        <w:t xml:space="preserve"> Drosophila suzukii </w:t>
      </w:r>
      <w:r w:rsidRPr="00750C8B">
        <w:t xml:space="preserve">Version 2’, available at </w:t>
      </w:r>
      <w:r w:rsidRPr="00B8782D">
        <w:t>http://entomology.oregonstate.edu/sites/default/files/DrosophilaSuzukiiInfestationModel.pdf</w:t>
      </w:r>
      <w:r w:rsidRPr="00750C8B">
        <w:t>.</w:t>
      </w:r>
      <w:bookmarkEnd w:id="269"/>
    </w:p>
    <w:p w:rsidR="00B8782D" w:rsidRPr="00750C8B" w:rsidRDefault="00B8782D" w:rsidP="00750C8B">
      <w:pPr>
        <w:pStyle w:val="EndNoteBibliography"/>
        <w:spacing w:after="0"/>
      </w:pPr>
      <w:bookmarkStart w:id="270" w:name="_ENREF_127"/>
      <w:r w:rsidRPr="00750C8B">
        <w:t xml:space="preserve">David'yan, GE 2009, </w:t>
      </w:r>
      <w:r w:rsidRPr="00750C8B">
        <w:rPr>
          <w:i/>
        </w:rPr>
        <w:t>Eotetranychus pruni (Oudemans): garden spider mite</w:t>
      </w:r>
      <w:r w:rsidRPr="00750C8B">
        <w:t xml:space="preserve">, Interactive agricultural ecological atlas of Russia and neighboring countries. Economic plants and their diseases, pests and weeds (online), available at </w:t>
      </w:r>
      <w:r w:rsidRPr="00B8782D">
        <w:t>http://www.agroatlas.ru/</w:t>
      </w:r>
      <w:r w:rsidRPr="00750C8B">
        <w:t>.</w:t>
      </w:r>
      <w:bookmarkEnd w:id="270"/>
    </w:p>
    <w:p w:rsidR="00B8782D" w:rsidRPr="00750C8B" w:rsidRDefault="00B8782D" w:rsidP="00750C8B">
      <w:pPr>
        <w:pStyle w:val="EndNoteBibliography"/>
        <w:spacing w:after="0"/>
      </w:pPr>
      <w:bookmarkStart w:id="271" w:name="_ENREF_128"/>
      <w:r w:rsidRPr="00750C8B">
        <w:lastRenderedPageBreak/>
        <w:t xml:space="preserve">Davidson, JA &amp; Miller, DR 1990, ‘Ornamental plants’, in </w:t>
      </w:r>
      <w:r w:rsidRPr="00750C8B">
        <w:rPr>
          <w:i/>
        </w:rPr>
        <w:t>Armoured scale insects: their biology, natural enemies and control. Vol. 4B</w:t>
      </w:r>
      <w:r w:rsidRPr="00750C8B">
        <w:t>, Rosen, D (ed), Elsevier Science Publishers B.V., Amsterdam.</w:t>
      </w:r>
      <w:bookmarkEnd w:id="271"/>
    </w:p>
    <w:p w:rsidR="00B8782D" w:rsidRPr="00750C8B" w:rsidRDefault="00B8782D" w:rsidP="00750C8B">
      <w:pPr>
        <w:pStyle w:val="EndNoteBibliography"/>
        <w:spacing w:after="0"/>
      </w:pPr>
      <w:bookmarkStart w:id="272" w:name="_ENREF_129"/>
      <w:r w:rsidRPr="00750C8B">
        <w:t xml:space="preserve">Davidson, MM, Butler, RC &amp; Teulon, DAJ 2006, ‘Starvation period and age affect the response of female </w:t>
      </w:r>
      <w:r w:rsidRPr="00750C8B">
        <w:rPr>
          <w:i/>
        </w:rPr>
        <w:t>Frankliniella occidentalis</w:t>
      </w:r>
      <w:r w:rsidRPr="00750C8B">
        <w:t xml:space="preserve"> (Pergande) (Thysanoptera: Thripidae) to odor and visual cues’, </w:t>
      </w:r>
      <w:r w:rsidRPr="00750C8B">
        <w:rPr>
          <w:i/>
        </w:rPr>
        <w:t>Journal of Insect Physiology</w:t>
      </w:r>
      <w:r w:rsidRPr="00750C8B">
        <w:t>, vol. 52, pp. 729-36.</w:t>
      </w:r>
      <w:bookmarkEnd w:id="272"/>
    </w:p>
    <w:p w:rsidR="00B8782D" w:rsidRPr="00750C8B" w:rsidRDefault="00B8782D" w:rsidP="00750C8B">
      <w:pPr>
        <w:pStyle w:val="EndNoteBibliography"/>
        <w:spacing w:after="0"/>
      </w:pPr>
      <w:bookmarkStart w:id="273" w:name="_ENREF_130"/>
      <w:r w:rsidRPr="00750C8B">
        <w:t xml:space="preserve">Davis, EE, French, S &amp; Venette, RC 2005, </w:t>
      </w:r>
      <w:r w:rsidRPr="00750C8B">
        <w:rPr>
          <w:i/>
        </w:rPr>
        <w:t>Mini risk assessment: summer fruit tortrix moth, Adoxophyes orana (Fischer von Roslerstamm, 1834) [Lepidoptera: Tortricidae]</w:t>
      </w:r>
      <w:r w:rsidRPr="00750C8B">
        <w:t xml:space="preserve">, University of Minnesota, St. Paul, Minnesota, available at </w:t>
      </w:r>
      <w:r w:rsidRPr="00B8782D">
        <w:t>http://www.aphis.usda.gov/plant_health/plant_pest_info/pest_detection/downloads/pra/aoranapra.pdf</w:t>
      </w:r>
      <w:r w:rsidRPr="00750C8B">
        <w:t>.</w:t>
      </w:r>
      <w:bookmarkEnd w:id="273"/>
    </w:p>
    <w:p w:rsidR="00B8782D" w:rsidRPr="00750C8B" w:rsidRDefault="00B8782D" w:rsidP="00750C8B">
      <w:pPr>
        <w:pStyle w:val="EndNoteBibliography"/>
        <w:spacing w:after="0"/>
      </w:pPr>
      <w:bookmarkStart w:id="274" w:name="_ENREF_131"/>
      <w:r w:rsidRPr="00750C8B">
        <w:t xml:space="preserve">DAWA 2006, </w:t>
      </w:r>
      <w:r w:rsidRPr="00750C8B">
        <w:rPr>
          <w:i/>
        </w:rPr>
        <w:t>Draft plant pathology lists of pathogen species: table one: pathogens (fungi, bacteria, viruses, viroids and nematodes) recorded from Western Australia</w:t>
      </w:r>
      <w:r w:rsidRPr="00750C8B">
        <w:t>, Department of Agriculture, Perth.</w:t>
      </w:r>
      <w:bookmarkEnd w:id="274"/>
    </w:p>
    <w:p w:rsidR="00B8782D" w:rsidRPr="00750C8B" w:rsidRDefault="00B8782D" w:rsidP="00750C8B">
      <w:pPr>
        <w:pStyle w:val="EndNoteBibliography"/>
        <w:spacing w:after="0"/>
      </w:pPr>
      <w:bookmarkStart w:id="275" w:name="_ENREF_132"/>
      <w:r w:rsidRPr="00750C8B">
        <w:t xml:space="preserve">Delbos, R, Kerlan, C, Dunez, J, Lansac, M, Dosba, F &amp; Germain, E 1982, ‘Virus infection of walnuts in France’, </w:t>
      </w:r>
      <w:r w:rsidRPr="00750C8B">
        <w:rPr>
          <w:i/>
        </w:rPr>
        <w:t>Acta Horticulturae (ISHS)</w:t>
      </w:r>
      <w:r w:rsidRPr="00750C8B">
        <w:t>, vol. 130, pp. 123-31.</w:t>
      </w:r>
      <w:bookmarkEnd w:id="275"/>
    </w:p>
    <w:p w:rsidR="00B8782D" w:rsidRPr="00750C8B" w:rsidRDefault="00B8782D" w:rsidP="00750C8B">
      <w:pPr>
        <w:pStyle w:val="EndNoteBibliography"/>
        <w:spacing w:after="0"/>
      </w:pPr>
      <w:bookmarkStart w:id="276" w:name="_ENREF_133"/>
      <w:r w:rsidRPr="00750C8B">
        <w:t xml:space="preserve">Denning, JA 1942, ‘The present status of </w:t>
      </w:r>
      <w:r w:rsidRPr="00750C8B">
        <w:rPr>
          <w:i/>
        </w:rPr>
        <w:t xml:space="preserve">Parlatoria chinensis </w:t>
      </w:r>
      <w:r w:rsidRPr="00750C8B">
        <w:t xml:space="preserve">Marlatt in St. Louis’, </w:t>
      </w:r>
      <w:r w:rsidRPr="00750C8B">
        <w:rPr>
          <w:i/>
        </w:rPr>
        <w:t>Journal of Economic Entomology</w:t>
      </w:r>
      <w:r w:rsidRPr="00750C8B">
        <w:t>, vol. 35, no. 5, pp. 784-5.</w:t>
      </w:r>
      <w:bookmarkEnd w:id="276"/>
    </w:p>
    <w:p w:rsidR="00B8782D" w:rsidRPr="00750C8B" w:rsidRDefault="00B8782D" w:rsidP="00750C8B">
      <w:pPr>
        <w:pStyle w:val="EndNoteBibliography"/>
        <w:spacing w:after="0"/>
      </w:pPr>
      <w:bookmarkStart w:id="277" w:name="_ENREF_134"/>
      <w:r w:rsidRPr="00750C8B">
        <w:t xml:space="preserve">Department of Agriculture, Fisheries and Forestry Biosecurity 2013, </w:t>
      </w:r>
      <w:r w:rsidRPr="00750C8B">
        <w:rPr>
          <w:i/>
        </w:rPr>
        <w:t>Final pest risk analysis report for Drosophila suzukii</w:t>
      </w:r>
      <w:r w:rsidRPr="00750C8B">
        <w:t xml:space="preserve">, Department of Agriculture, Fisheries and Forestry, Canberra, available at </w:t>
      </w:r>
      <w:r w:rsidRPr="00B8782D">
        <w:t>http://daff.gov.au/__data/assets/pdf_file/0004/2281738/Final-PRA-report-Drosophila-suzukii.pdf</w:t>
      </w:r>
      <w:r w:rsidRPr="00750C8B">
        <w:t>.</w:t>
      </w:r>
      <w:bookmarkEnd w:id="277"/>
    </w:p>
    <w:p w:rsidR="00B8782D" w:rsidRPr="00750C8B" w:rsidRDefault="00B8782D" w:rsidP="00750C8B">
      <w:pPr>
        <w:pStyle w:val="EndNoteBibliography"/>
        <w:spacing w:after="0"/>
      </w:pPr>
      <w:bookmarkStart w:id="278" w:name="_ENREF_135"/>
      <w:r w:rsidRPr="00750C8B">
        <w:t xml:space="preserve">Desvignes, JC, Grasseau, BR &amp; Cornaggia, D 1999, ‘Biological properties of apple scar skin viroid: isolates, host range, different sensitivity of apple cultivars, elimination and natural transmission’, </w:t>
      </w:r>
      <w:r w:rsidRPr="00750C8B">
        <w:rPr>
          <w:i/>
        </w:rPr>
        <w:t>Plant Disease</w:t>
      </w:r>
      <w:r w:rsidRPr="00750C8B">
        <w:t>, vol. 83, no. 8, pp. 768-72.</w:t>
      </w:r>
      <w:bookmarkEnd w:id="278"/>
    </w:p>
    <w:p w:rsidR="00B8782D" w:rsidRPr="00750C8B" w:rsidRDefault="00B8782D" w:rsidP="00750C8B">
      <w:pPr>
        <w:pStyle w:val="EndNoteBibliography"/>
        <w:spacing w:after="0"/>
      </w:pPr>
      <w:bookmarkStart w:id="279" w:name="_ENREF_136"/>
      <w:r w:rsidRPr="00750C8B">
        <w:t xml:space="preserve">Dezianian, A 2005, ‘Investigation on biology of cherry weevil </w:t>
      </w:r>
      <w:r w:rsidRPr="00750C8B">
        <w:rPr>
          <w:i/>
        </w:rPr>
        <w:t xml:space="preserve">Rhynchites auratus </w:t>
      </w:r>
      <w:r w:rsidRPr="00750C8B">
        <w:t xml:space="preserve">(Scop.) in Shahrood region’ (in Persian), </w:t>
      </w:r>
      <w:r w:rsidRPr="00750C8B">
        <w:rPr>
          <w:i/>
        </w:rPr>
        <w:t>Applied Entomology and Phytopathology</w:t>
      </w:r>
      <w:r w:rsidRPr="00750C8B">
        <w:t>, vol. 73, no. 1, pp. 105-17.</w:t>
      </w:r>
      <w:bookmarkEnd w:id="279"/>
    </w:p>
    <w:p w:rsidR="00B8782D" w:rsidRPr="00750C8B" w:rsidRDefault="00B8782D" w:rsidP="00750C8B">
      <w:pPr>
        <w:pStyle w:val="EndNoteBibliography"/>
        <w:spacing w:after="0"/>
      </w:pPr>
      <w:bookmarkStart w:id="280" w:name="_ENREF_137"/>
      <w:r w:rsidRPr="00750C8B">
        <w:t xml:space="preserve">Dhillon, MK, Singh, R, Naresh, JS &amp; Sharma, HC 2005, ‘The melon fruit fly, </w:t>
      </w:r>
      <w:r w:rsidRPr="00750C8B">
        <w:rPr>
          <w:i/>
        </w:rPr>
        <w:t>Bactrocera cucurbitae</w:t>
      </w:r>
      <w:r w:rsidRPr="00750C8B">
        <w:t xml:space="preserve">: a review of its biology and management’, </w:t>
      </w:r>
      <w:r w:rsidRPr="00750C8B">
        <w:rPr>
          <w:i/>
        </w:rPr>
        <w:t>Journal of Insect Science</w:t>
      </w:r>
      <w:r w:rsidRPr="00750C8B">
        <w:t>, vol. 5, no. 40, pp. 1-16.</w:t>
      </w:r>
      <w:bookmarkEnd w:id="280"/>
    </w:p>
    <w:p w:rsidR="00B8782D" w:rsidRPr="00750C8B" w:rsidRDefault="00B8782D" w:rsidP="00750C8B">
      <w:pPr>
        <w:pStyle w:val="EndNoteBibliography"/>
        <w:spacing w:after="0"/>
      </w:pPr>
      <w:bookmarkStart w:id="281" w:name="_ENREF_138"/>
      <w:r w:rsidRPr="00750C8B">
        <w:t xml:space="preserve">di Serio, F, Malfitano, M, Flores, R &amp; Randles, JW 1999, ‘Detection of </w:t>
      </w:r>
      <w:r w:rsidRPr="00750C8B">
        <w:rPr>
          <w:i/>
        </w:rPr>
        <w:t>Peach latent mosaic viroid</w:t>
      </w:r>
      <w:r w:rsidRPr="00750C8B">
        <w:t xml:space="preserve"> in Australia’, </w:t>
      </w:r>
      <w:r w:rsidRPr="00750C8B">
        <w:rPr>
          <w:i/>
        </w:rPr>
        <w:t>Australasian Plant Pathology</w:t>
      </w:r>
      <w:r w:rsidRPr="00750C8B">
        <w:t>, vol. 28, no. 1, pp. 80-1.</w:t>
      </w:r>
      <w:bookmarkEnd w:id="281"/>
    </w:p>
    <w:p w:rsidR="00B8782D" w:rsidRPr="00750C8B" w:rsidRDefault="00B8782D" w:rsidP="00750C8B">
      <w:pPr>
        <w:pStyle w:val="EndNoteBibliography"/>
        <w:spacing w:after="0"/>
      </w:pPr>
      <w:bookmarkStart w:id="282" w:name="_ENREF_139"/>
      <w:r w:rsidRPr="00750C8B">
        <w:t xml:space="preserve">Diekmann, M &amp; Putter, CAJ, (eds) 1996, </w:t>
      </w:r>
      <w:r w:rsidRPr="00750C8B">
        <w:rPr>
          <w:i/>
        </w:rPr>
        <w:t>Stone fruits</w:t>
      </w:r>
      <w:r w:rsidRPr="00750C8B">
        <w:t>, Food and Agriculture Organization of the United Nations, Rome.</w:t>
      </w:r>
      <w:bookmarkEnd w:id="282"/>
    </w:p>
    <w:p w:rsidR="00B8782D" w:rsidRPr="00750C8B" w:rsidRDefault="00B8782D" w:rsidP="00750C8B">
      <w:pPr>
        <w:pStyle w:val="EndNoteBibliography"/>
        <w:spacing w:after="0"/>
      </w:pPr>
      <w:bookmarkStart w:id="283" w:name="_ENREF_140"/>
      <w:r w:rsidRPr="00750C8B">
        <w:t xml:space="preserve">Ding, DR &amp; Gai, JY 2000, ‘Pollinating insects and degree of natural outcrossing of male sterile soyabean materials in Southern China’, </w:t>
      </w:r>
      <w:r w:rsidRPr="00750C8B">
        <w:rPr>
          <w:i/>
        </w:rPr>
        <w:t>Soyabean Science</w:t>
      </w:r>
      <w:r w:rsidRPr="00750C8B">
        <w:t>, vol. 19, no. 1, pp. 74-9.</w:t>
      </w:r>
      <w:bookmarkEnd w:id="283"/>
    </w:p>
    <w:p w:rsidR="00B8782D" w:rsidRPr="00750C8B" w:rsidRDefault="00B8782D" w:rsidP="00750C8B">
      <w:pPr>
        <w:pStyle w:val="EndNoteBibliography"/>
        <w:spacing w:after="0"/>
      </w:pPr>
      <w:bookmarkStart w:id="284" w:name="_ENREF_141"/>
      <w:r w:rsidRPr="00750C8B">
        <w:t xml:space="preserve">Ding, J, Wu, Y, Zheng, H, Fu, W, Reardon, R &amp; Liu, M 2006, ‘Assessing potential biological control of the invasive plant, tree-of-heaven, </w:t>
      </w:r>
      <w:r w:rsidRPr="00750C8B">
        <w:rPr>
          <w:i/>
        </w:rPr>
        <w:t>Ailanthus altissima</w:t>
      </w:r>
      <w:r w:rsidRPr="00750C8B">
        <w:t xml:space="preserve">’, </w:t>
      </w:r>
      <w:r w:rsidRPr="00750C8B">
        <w:rPr>
          <w:i/>
        </w:rPr>
        <w:t>Biocontrol Science and Technology</w:t>
      </w:r>
      <w:r w:rsidRPr="00750C8B">
        <w:t>, vol. 16, no. 5-6, pp. 547-66.</w:t>
      </w:r>
      <w:bookmarkEnd w:id="284"/>
    </w:p>
    <w:p w:rsidR="00B8782D" w:rsidRPr="00750C8B" w:rsidRDefault="00B8782D" w:rsidP="00750C8B">
      <w:pPr>
        <w:pStyle w:val="EndNoteBibliography"/>
        <w:spacing w:after="0"/>
      </w:pPr>
      <w:bookmarkStart w:id="285" w:name="_ENREF_142"/>
      <w:r w:rsidRPr="00750C8B">
        <w:t xml:space="preserve">DPIPWE 2013, </w:t>
      </w:r>
      <w:r w:rsidRPr="00750C8B">
        <w:rPr>
          <w:i/>
        </w:rPr>
        <w:t>Plant Quarantine Manual Tasmania - 2014 Edition</w:t>
      </w:r>
      <w:r w:rsidRPr="00750C8B">
        <w:t xml:space="preserve">, Department of Primary Industries, Parks, Water and Environment, Hobart, Tasmania, available at </w:t>
      </w:r>
      <w:r w:rsidRPr="00B8782D">
        <w:t>http://www.dpipwe.tas.gov.au/inter.nsf/Attachments/MCAS-9EG7P5/$FILE/Plant%20Quarantine%20Manual%202014%20edition.pdf</w:t>
      </w:r>
      <w:r w:rsidRPr="00750C8B">
        <w:t>.</w:t>
      </w:r>
      <w:bookmarkEnd w:id="285"/>
    </w:p>
    <w:p w:rsidR="00B8782D" w:rsidRPr="00750C8B" w:rsidRDefault="00B8782D" w:rsidP="00750C8B">
      <w:pPr>
        <w:pStyle w:val="EndNoteBibliography"/>
        <w:spacing w:after="0"/>
      </w:pPr>
      <w:bookmarkStart w:id="286" w:name="_ENREF_143"/>
      <w:r w:rsidRPr="00750C8B">
        <w:t>Drake, CR 1990, ‘</w:t>
      </w:r>
      <w:r w:rsidRPr="00750C8B">
        <w:rPr>
          <w:i/>
        </w:rPr>
        <w:t xml:space="preserve">Armillaria </w:t>
      </w:r>
      <w:r w:rsidRPr="00750C8B">
        <w:t xml:space="preserve">and </w:t>
      </w:r>
      <w:r w:rsidRPr="00750C8B">
        <w:rPr>
          <w:i/>
        </w:rPr>
        <w:t xml:space="preserve">Clitocybe </w:t>
      </w:r>
      <w:r w:rsidRPr="00750C8B">
        <w:t xml:space="preserve">root rot’, in </w:t>
      </w:r>
      <w:r w:rsidRPr="00750C8B">
        <w:rPr>
          <w:i/>
        </w:rPr>
        <w:t>Compendium of apple and pear diseases</w:t>
      </w:r>
      <w:r w:rsidRPr="00750C8B">
        <w:t>, Jones, AL &amp; Aldwinckle, HS (eds), The American Phytopathological Society Press, St. Paul, Minnesota.</w:t>
      </w:r>
      <w:bookmarkEnd w:id="286"/>
    </w:p>
    <w:p w:rsidR="00B8782D" w:rsidRPr="00750C8B" w:rsidRDefault="00B8782D" w:rsidP="00750C8B">
      <w:pPr>
        <w:pStyle w:val="EndNoteBibliography"/>
        <w:spacing w:after="0"/>
      </w:pPr>
      <w:bookmarkStart w:id="287" w:name="_ENREF_144"/>
      <w:r w:rsidRPr="00750C8B">
        <w:t xml:space="preserve">Dreistadt, SH &amp; Phillips, PA 2007a, </w:t>
      </w:r>
      <w:r w:rsidRPr="00750C8B">
        <w:rPr>
          <w:i/>
        </w:rPr>
        <w:t>Thrips</w:t>
      </w:r>
      <w:r w:rsidRPr="00750C8B">
        <w:t xml:space="preserve">, UC IPM Online: Statewide integrated pest management program, University of California, Agriculture and Natural Resources, available at </w:t>
      </w:r>
      <w:r w:rsidRPr="00B8782D">
        <w:t>http://www.ipm.ucdavis.edu/PMG/PESTNOTES/pn7429.html</w:t>
      </w:r>
      <w:r w:rsidRPr="00750C8B">
        <w:t>.</w:t>
      </w:r>
      <w:bookmarkEnd w:id="287"/>
    </w:p>
    <w:p w:rsidR="00B8782D" w:rsidRPr="00750C8B" w:rsidRDefault="00B8782D" w:rsidP="00750C8B">
      <w:pPr>
        <w:pStyle w:val="EndNoteBibliography"/>
        <w:spacing w:after="0"/>
      </w:pPr>
      <w:bookmarkStart w:id="288" w:name="_ENREF_145"/>
      <w:r w:rsidRPr="00750C8B">
        <w:t xml:space="preserve">-- -- 2007b, ‘Thrips: integrated pest management for landscape professional and home gardeners’, </w:t>
      </w:r>
      <w:r w:rsidRPr="00750C8B">
        <w:rPr>
          <w:i/>
        </w:rPr>
        <w:t>Pest Notes</w:t>
      </w:r>
      <w:r w:rsidRPr="00750C8B">
        <w:t>, vol. 7429, pp. 1-8.</w:t>
      </w:r>
      <w:bookmarkEnd w:id="288"/>
    </w:p>
    <w:p w:rsidR="00B8782D" w:rsidRPr="00750C8B" w:rsidRDefault="00B8782D" w:rsidP="00750C8B">
      <w:pPr>
        <w:pStyle w:val="EndNoteBibliography"/>
        <w:spacing w:after="0"/>
      </w:pPr>
      <w:bookmarkStart w:id="289" w:name="_ENREF_146"/>
      <w:r w:rsidRPr="00750C8B">
        <w:t xml:space="preserve">Dreves, AJ, Walton, V &amp; Fisher, G 2009, </w:t>
      </w:r>
      <w:r w:rsidRPr="00750C8B">
        <w:rPr>
          <w:i/>
        </w:rPr>
        <w:t>A new pest attacking healthy ripening fruit in Oregon: spotted wing drosophila, Drosophila suzukii (Matsumura)</w:t>
      </w:r>
      <w:r w:rsidRPr="00750C8B">
        <w:t xml:space="preserve">, Oregon State University Extension, available at </w:t>
      </w:r>
      <w:r w:rsidRPr="00B8782D">
        <w:t>http://plant-disease.ippc.orst.edu</w:t>
      </w:r>
      <w:r w:rsidRPr="00750C8B">
        <w:t>.</w:t>
      </w:r>
      <w:bookmarkEnd w:id="289"/>
    </w:p>
    <w:p w:rsidR="00B8782D" w:rsidRPr="00750C8B" w:rsidRDefault="00B8782D" w:rsidP="00750C8B">
      <w:pPr>
        <w:pStyle w:val="EndNoteBibliography"/>
        <w:spacing w:after="0"/>
      </w:pPr>
      <w:bookmarkStart w:id="290" w:name="_ENREF_147"/>
      <w:r w:rsidRPr="00750C8B">
        <w:t xml:space="preserve">Ehara, S 1969, ‘Three spider mites of the genus </w:t>
      </w:r>
      <w:r w:rsidRPr="00750C8B">
        <w:rPr>
          <w:i/>
        </w:rPr>
        <w:t>Eotetranychus</w:t>
      </w:r>
      <w:r w:rsidRPr="00750C8B">
        <w:t xml:space="preserve"> infesting fruit trees in Japan (Acarina: Tetranychidae)’, </w:t>
      </w:r>
      <w:r w:rsidRPr="00750C8B">
        <w:rPr>
          <w:i/>
        </w:rPr>
        <w:t>Applied Entomology and Zoology</w:t>
      </w:r>
      <w:r w:rsidRPr="00750C8B">
        <w:t>, vol. 4, no. 1, pp. 16-22.</w:t>
      </w:r>
      <w:bookmarkEnd w:id="290"/>
    </w:p>
    <w:p w:rsidR="00B8782D" w:rsidRPr="00750C8B" w:rsidRDefault="00B8782D" w:rsidP="00750C8B">
      <w:pPr>
        <w:pStyle w:val="EndNoteBibliography"/>
        <w:spacing w:after="0"/>
      </w:pPr>
      <w:bookmarkStart w:id="291" w:name="_ENREF_148"/>
      <w:r w:rsidRPr="00750C8B">
        <w:t xml:space="preserve">EPPO 2004, </w:t>
      </w:r>
      <w:r w:rsidRPr="00750C8B">
        <w:rPr>
          <w:i/>
        </w:rPr>
        <w:t>Valsa ceratosperma: a new canker disease of pear</w:t>
      </w:r>
      <w:r w:rsidRPr="00750C8B">
        <w:t xml:space="preserve">, European and Mediterranean Plant Protection Organization, available at </w:t>
      </w:r>
      <w:r w:rsidRPr="00B8782D">
        <w:t>http://eppo.org/QUARANTINE/Alert_List/fungi/VALSCE.htm</w:t>
      </w:r>
      <w:r w:rsidRPr="00750C8B">
        <w:t>.</w:t>
      </w:r>
      <w:bookmarkEnd w:id="291"/>
    </w:p>
    <w:p w:rsidR="00B8782D" w:rsidRPr="00750C8B" w:rsidRDefault="00B8782D" w:rsidP="00750C8B">
      <w:pPr>
        <w:pStyle w:val="EndNoteBibliography"/>
        <w:spacing w:after="0"/>
      </w:pPr>
      <w:bookmarkStart w:id="292" w:name="_ENREF_149"/>
      <w:r w:rsidRPr="00750C8B">
        <w:lastRenderedPageBreak/>
        <w:t xml:space="preserve">-- -- 2006, ‘PQR database (version 4.5)’, available at </w:t>
      </w:r>
      <w:r w:rsidRPr="00B8782D">
        <w:t>www.eppo.org</w:t>
      </w:r>
      <w:r w:rsidRPr="00750C8B">
        <w:t>, accessed 2006.</w:t>
      </w:r>
      <w:bookmarkEnd w:id="292"/>
    </w:p>
    <w:p w:rsidR="00B8782D" w:rsidRPr="00750C8B" w:rsidRDefault="00B8782D" w:rsidP="00750C8B">
      <w:pPr>
        <w:pStyle w:val="EndNoteBibliography"/>
        <w:spacing w:after="0"/>
      </w:pPr>
      <w:bookmarkStart w:id="293" w:name="_ENREF_150"/>
      <w:r w:rsidRPr="00750C8B">
        <w:t xml:space="preserve">Escudero Colomar, LAGL, A., Peñarrubia María, E, Alcalá Castellblanque, F, Vilajiliu Serra, M &amp; Batllori Obiols, L 2011, </w:t>
      </w:r>
      <w:r w:rsidRPr="00750C8B">
        <w:rPr>
          <w:i/>
        </w:rPr>
        <w:t>Drosophila suzukii: new threat for European fruit production</w:t>
      </w:r>
      <w:r w:rsidRPr="00750C8B">
        <w:t xml:space="preserve">, Fondazione Edmund Mach, Research and Innovation Centre (Istituto Agrario di San Michele all'Adige), available at </w:t>
      </w:r>
      <w:r w:rsidRPr="00B8782D">
        <w:t>http://cri.fmach.eu/publications/report/Drosophila-talks</w:t>
      </w:r>
      <w:r w:rsidRPr="00750C8B">
        <w:t>.</w:t>
      </w:r>
      <w:bookmarkEnd w:id="293"/>
    </w:p>
    <w:p w:rsidR="00B8782D" w:rsidRPr="00750C8B" w:rsidRDefault="00B8782D" w:rsidP="00750C8B">
      <w:pPr>
        <w:pStyle w:val="EndNoteBibliography"/>
        <w:spacing w:after="0"/>
      </w:pPr>
      <w:bookmarkStart w:id="294" w:name="_ENREF_151"/>
      <w:r w:rsidRPr="00750C8B">
        <w:t xml:space="preserve">Fang, ZG, Wang, YP, Zhou, K &amp; Zhou, ZL 2001, ‘Biological characteristics of </w:t>
      </w:r>
      <w:r w:rsidRPr="00750C8B">
        <w:rPr>
          <w:i/>
        </w:rPr>
        <w:t>Setora postornata</w:t>
      </w:r>
      <w:r w:rsidRPr="00750C8B">
        <w:t xml:space="preserve"> and its chemical control’ (in Chinese), </w:t>
      </w:r>
      <w:r w:rsidRPr="00750C8B">
        <w:rPr>
          <w:i/>
        </w:rPr>
        <w:t>Journal of Zhejiang Forestry College</w:t>
      </w:r>
      <w:r w:rsidRPr="00750C8B">
        <w:t>, vol. 18, no. 2, pp. 173-6.</w:t>
      </w:r>
      <w:bookmarkEnd w:id="294"/>
    </w:p>
    <w:p w:rsidR="00B8782D" w:rsidRPr="00750C8B" w:rsidRDefault="00B8782D" w:rsidP="00750C8B">
      <w:pPr>
        <w:pStyle w:val="EndNoteBibliography"/>
        <w:spacing w:after="0"/>
      </w:pPr>
      <w:bookmarkStart w:id="295" w:name="_ENREF_152"/>
      <w:r w:rsidRPr="00750C8B">
        <w:t xml:space="preserve">FAO 1995, </w:t>
      </w:r>
      <w:r w:rsidRPr="00750C8B">
        <w:rPr>
          <w:i/>
        </w:rPr>
        <w:t>International Standards for Phytosanitary Measures (ISPM) no. 4: Requirements for the establishment of pest free areas</w:t>
      </w:r>
      <w:r w:rsidRPr="00750C8B">
        <w:t>, Food and Agriculture Organization of the United Nations, Rome, available at https://</w:t>
      </w:r>
      <w:r w:rsidRPr="00B8782D">
        <w:t>www.ippc.int/en/core-activities/standards-setting/ispms/</w:t>
      </w:r>
      <w:r w:rsidRPr="00750C8B">
        <w:t>.</w:t>
      </w:r>
      <w:bookmarkEnd w:id="295"/>
    </w:p>
    <w:p w:rsidR="00B8782D" w:rsidRPr="00750C8B" w:rsidRDefault="00B8782D" w:rsidP="00750C8B">
      <w:pPr>
        <w:pStyle w:val="EndNoteBibliography"/>
        <w:spacing w:after="0"/>
      </w:pPr>
      <w:bookmarkStart w:id="296" w:name="_ENREF_153"/>
      <w:r w:rsidRPr="00750C8B">
        <w:t xml:space="preserve">-- -- 1999, </w:t>
      </w:r>
      <w:r w:rsidRPr="00750C8B">
        <w:rPr>
          <w:i/>
        </w:rPr>
        <w:t>International Standards for Phytosanitary Measures (ISPM) no. 10: Requirements for the establishment of pest free places of production and pest free production sites</w:t>
      </w:r>
      <w:r w:rsidRPr="00750C8B">
        <w:t>, Food and Agriculture Organization of the United Nations, Rome, available at https://</w:t>
      </w:r>
      <w:r w:rsidRPr="00B8782D">
        <w:t>www.ippc.int/en/core-activities/standards-setting/ispms/</w:t>
      </w:r>
      <w:r w:rsidRPr="00750C8B">
        <w:t>.</w:t>
      </w:r>
      <w:bookmarkEnd w:id="296"/>
    </w:p>
    <w:p w:rsidR="00B8782D" w:rsidRPr="00750C8B" w:rsidRDefault="00B8782D" w:rsidP="00750C8B">
      <w:pPr>
        <w:pStyle w:val="EndNoteBibliography"/>
        <w:spacing w:after="0"/>
      </w:pPr>
      <w:bookmarkStart w:id="297" w:name="_ENREF_154"/>
      <w:r w:rsidRPr="00750C8B">
        <w:t xml:space="preserve">-- -- 2005, </w:t>
      </w:r>
      <w:r w:rsidRPr="00750C8B">
        <w:rPr>
          <w:i/>
        </w:rPr>
        <w:t>International Standards for Phytosanitary Measures (ISPM) no. 22: Requirements for the establishment of areas of low pest prevalence</w:t>
      </w:r>
      <w:r w:rsidRPr="00750C8B">
        <w:t>, Food and Agriculture Organization of the United Nations, Rome, available at https://</w:t>
      </w:r>
      <w:r w:rsidRPr="00B8782D">
        <w:t>www.ippc.int/en/core-activities/standards-setting/ispms/</w:t>
      </w:r>
      <w:r w:rsidRPr="00750C8B">
        <w:t>.</w:t>
      </w:r>
      <w:bookmarkEnd w:id="297"/>
    </w:p>
    <w:p w:rsidR="00B8782D" w:rsidRPr="00750C8B" w:rsidRDefault="00B8782D" w:rsidP="00750C8B">
      <w:pPr>
        <w:pStyle w:val="EndNoteBibliography"/>
        <w:spacing w:after="0"/>
      </w:pPr>
      <w:bookmarkStart w:id="298" w:name="_ENREF_155"/>
      <w:r w:rsidRPr="00750C8B">
        <w:t xml:space="preserve">-- -- 2007a, </w:t>
      </w:r>
      <w:r w:rsidRPr="00750C8B">
        <w:rPr>
          <w:i/>
        </w:rPr>
        <w:t>International Standards for Phytosanitary Measures (ISPM) no 29: Recognition of pest free areas and areas of low pest prevalence</w:t>
      </w:r>
      <w:r w:rsidRPr="00750C8B">
        <w:t>, Food and Agriculture Organization of the United Nations, Rome, available at https://</w:t>
      </w:r>
      <w:r w:rsidRPr="00B8782D">
        <w:t>www.ippc.int/en/core-activities/standards-setting/ispms/</w:t>
      </w:r>
      <w:r w:rsidRPr="00750C8B">
        <w:t>.</w:t>
      </w:r>
      <w:bookmarkEnd w:id="298"/>
    </w:p>
    <w:p w:rsidR="00B8782D" w:rsidRPr="00750C8B" w:rsidRDefault="00B8782D" w:rsidP="00750C8B">
      <w:pPr>
        <w:pStyle w:val="EndNoteBibliography"/>
        <w:spacing w:after="0"/>
      </w:pPr>
      <w:bookmarkStart w:id="299" w:name="_ENREF_156"/>
      <w:r w:rsidRPr="00750C8B">
        <w:t xml:space="preserve">-- -- 2007b, </w:t>
      </w:r>
      <w:r w:rsidRPr="00750C8B">
        <w:rPr>
          <w:i/>
        </w:rPr>
        <w:t>International Standards for Phytosanitary Measures (ISPM) no. 2: Framework for pest risk analysis</w:t>
      </w:r>
      <w:r w:rsidRPr="00750C8B">
        <w:t>, Food and Agriculture Organization of the United Nations, Rome, available at https://</w:t>
      </w:r>
      <w:r w:rsidRPr="00B8782D">
        <w:t>www.ippc.int/en/core-activities/standards-setting/ispms/</w:t>
      </w:r>
      <w:r w:rsidRPr="00750C8B">
        <w:t>.</w:t>
      </w:r>
      <w:bookmarkEnd w:id="299"/>
    </w:p>
    <w:p w:rsidR="00B8782D" w:rsidRPr="00750C8B" w:rsidRDefault="00B8782D" w:rsidP="00750C8B">
      <w:pPr>
        <w:pStyle w:val="EndNoteBibliography"/>
        <w:spacing w:after="0"/>
      </w:pPr>
      <w:bookmarkStart w:id="300" w:name="_ENREF_157"/>
      <w:r w:rsidRPr="00750C8B">
        <w:t xml:space="preserve">-- -- 2009, </w:t>
      </w:r>
      <w:r w:rsidRPr="00750C8B">
        <w:rPr>
          <w:i/>
        </w:rPr>
        <w:t>International Standards for Phytosanitary Measures (ISPM) no. 28: phytosanitary treatments pt 7: irradiation treatment for fruit flies of the family Tephritidae (generic)</w:t>
      </w:r>
      <w:r w:rsidRPr="00750C8B">
        <w:t>, Food and Agriculture Organization of the United Nations, Rome, available at https://</w:t>
      </w:r>
      <w:r w:rsidRPr="00B8782D">
        <w:t>www.ippc.int/en/core-activities/standards-setting/ispms/</w:t>
      </w:r>
      <w:r w:rsidRPr="00750C8B">
        <w:t>.</w:t>
      </w:r>
      <w:bookmarkEnd w:id="300"/>
    </w:p>
    <w:p w:rsidR="00B8782D" w:rsidRPr="00750C8B" w:rsidRDefault="00B8782D" w:rsidP="00750C8B">
      <w:pPr>
        <w:pStyle w:val="EndNoteBibliography"/>
        <w:spacing w:after="0"/>
      </w:pPr>
      <w:bookmarkStart w:id="301" w:name="_ENREF_158"/>
      <w:r w:rsidRPr="00750C8B">
        <w:t xml:space="preserve">-- -- 2013, </w:t>
      </w:r>
      <w:r w:rsidRPr="00750C8B">
        <w:rPr>
          <w:i/>
        </w:rPr>
        <w:t>International Standards for Phytosanitary Measures (ISPM) no. 11: Pest risk analysis for quarantine pests</w:t>
      </w:r>
      <w:r w:rsidRPr="00750C8B">
        <w:t>, Food and Agriculture Organization of the United Nations, Rome, available at https://</w:t>
      </w:r>
      <w:r w:rsidRPr="00B8782D">
        <w:t>www.ippc.int/en/core-activities/standards-setting/ispms/</w:t>
      </w:r>
      <w:r w:rsidRPr="00750C8B">
        <w:t>.</w:t>
      </w:r>
      <w:bookmarkEnd w:id="301"/>
    </w:p>
    <w:p w:rsidR="00B8782D" w:rsidRPr="00750C8B" w:rsidRDefault="00B8782D" w:rsidP="00750C8B">
      <w:pPr>
        <w:pStyle w:val="EndNoteBibliography"/>
        <w:spacing w:after="0"/>
      </w:pPr>
      <w:bookmarkStart w:id="302" w:name="_ENREF_159"/>
      <w:r w:rsidRPr="00750C8B">
        <w:t xml:space="preserve">-- -- 2015a, </w:t>
      </w:r>
      <w:r w:rsidRPr="00750C8B">
        <w:rPr>
          <w:i/>
        </w:rPr>
        <w:t>International Standards for Phytosanitary Measures (ISPM) no. 5: Glossary of phytosanitary terms</w:t>
      </w:r>
      <w:r w:rsidRPr="00750C8B">
        <w:t>, Food and Agriculture Organization of the United Nations, Rome, available at https://</w:t>
      </w:r>
      <w:r w:rsidRPr="00B8782D">
        <w:t>www.ippc.int/en/core-activities/standards-setting/ispms/</w:t>
      </w:r>
      <w:r w:rsidRPr="00750C8B">
        <w:t>.</w:t>
      </w:r>
      <w:bookmarkEnd w:id="302"/>
    </w:p>
    <w:p w:rsidR="00B8782D" w:rsidRPr="00750C8B" w:rsidRDefault="00B8782D" w:rsidP="00750C8B">
      <w:pPr>
        <w:pStyle w:val="EndNoteBibliography"/>
        <w:spacing w:after="0"/>
      </w:pPr>
      <w:bookmarkStart w:id="303" w:name="_ENREF_160"/>
      <w:r w:rsidRPr="00750C8B">
        <w:t xml:space="preserve">-- -- 2015b, </w:t>
      </w:r>
      <w:r w:rsidRPr="00750C8B">
        <w:rPr>
          <w:i/>
        </w:rPr>
        <w:t>International Standards for Phytosanitary Measures (ISPM) no. 26: Establishment of pest free areas for fruit flies (Tephritidae)</w:t>
      </w:r>
      <w:r w:rsidRPr="00750C8B">
        <w:t>, Food and Agriculture Organization of the United Nations, Rome, available at https://</w:t>
      </w:r>
      <w:r w:rsidRPr="00B8782D">
        <w:t>www.ippc.int/en/core-activities/standards-setting/ispms/</w:t>
      </w:r>
      <w:r w:rsidRPr="00750C8B">
        <w:t>.</w:t>
      </w:r>
      <w:bookmarkEnd w:id="303"/>
    </w:p>
    <w:p w:rsidR="00B8782D" w:rsidRPr="00750C8B" w:rsidRDefault="00B8782D" w:rsidP="00750C8B">
      <w:pPr>
        <w:pStyle w:val="EndNoteBibliography"/>
        <w:spacing w:after="0"/>
      </w:pPr>
      <w:bookmarkStart w:id="304" w:name="_ENREF_161"/>
      <w:r w:rsidRPr="00750C8B">
        <w:t xml:space="preserve">Farr, DF, Bills, GF, Chamuris, GP &amp; Rossman, AY 1989, </w:t>
      </w:r>
      <w:r w:rsidRPr="00750C8B">
        <w:rPr>
          <w:i/>
        </w:rPr>
        <w:t>Fungi on plants and plant products in the United States</w:t>
      </w:r>
      <w:r w:rsidRPr="00750C8B">
        <w:t>, The American Phytopathological Society Press, St. Paul, Minnesota.</w:t>
      </w:r>
      <w:bookmarkEnd w:id="304"/>
    </w:p>
    <w:p w:rsidR="00B8782D" w:rsidRPr="00750C8B" w:rsidRDefault="00B8782D" w:rsidP="00750C8B">
      <w:pPr>
        <w:pStyle w:val="EndNoteBibliography"/>
        <w:spacing w:after="0"/>
      </w:pPr>
      <w:bookmarkStart w:id="305" w:name="_ENREF_162"/>
      <w:r w:rsidRPr="00750C8B">
        <w:t>-- -- 1995, ‘</w:t>
      </w:r>
      <w:r w:rsidRPr="00750C8B">
        <w:rPr>
          <w:i/>
        </w:rPr>
        <w:t>Nectria</w:t>
      </w:r>
      <w:r w:rsidRPr="00750C8B">
        <w:t xml:space="preserve">’, in </w:t>
      </w:r>
      <w:r w:rsidRPr="00750C8B">
        <w:rPr>
          <w:i/>
        </w:rPr>
        <w:t>Fungi on plants and plant products in the United States</w:t>
      </w:r>
      <w:r w:rsidRPr="00750C8B">
        <w:t>, The American Phytopathological Society Press, St. Paul, Minnesota.</w:t>
      </w:r>
      <w:bookmarkEnd w:id="305"/>
    </w:p>
    <w:p w:rsidR="00B8782D" w:rsidRPr="00750C8B" w:rsidRDefault="00B8782D" w:rsidP="00750C8B">
      <w:pPr>
        <w:pStyle w:val="EndNoteBibliography"/>
        <w:spacing w:after="0"/>
      </w:pPr>
      <w:bookmarkStart w:id="306" w:name="_ENREF_163"/>
      <w:r w:rsidRPr="00750C8B">
        <w:t xml:space="preserve">Farr, DF &amp; Rossman, AY 2014, ‘Fungal Databases, Systematic Mycology and Microbiology Laboratory, ARS, USDA’, available at </w:t>
      </w:r>
      <w:r w:rsidRPr="00B8782D">
        <w:t>http://nt.ars-grin.gov/fungaldatabases/index.cfm</w:t>
      </w:r>
      <w:r w:rsidRPr="00750C8B">
        <w:t>, accessed 2014.</w:t>
      </w:r>
      <w:bookmarkEnd w:id="306"/>
    </w:p>
    <w:p w:rsidR="00B8782D" w:rsidRPr="00750C8B" w:rsidRDefault="00B8782D" w:rsidP="00750C8B">
      <w:pPr>
        <w:pStyle w:val="EndNoteBibliography"/>
        <w:spacing w:after="0"/>
      </w:pPr>
      <w:bookmarkStart w:id="307" w:name="_ENREF_164"/>
      <w:r w:rsidRPr="00750C8B">
        <w:t xml:space="preserve">Feng, MX &amp; Wang, GP 2004, </w:t>
      </w:r>
      <w:r w:rsidRPr="00750C8B">
        <w:rPr>
          <w:i/>
        </w:rPr>
        <w:t>Diagnostics and control of pests and diseases of peach, apricot, plum and cherry</w:t>
      </w:r>
      <w:r w:rsidRPr="00750C8B">
        <w:t>, Jindun, Beijing.</w:t>
      </w:r>
      <w:bookmarkEnd w:id="307"/>
    </w:p>
    <w:p w:rsidR="00B8782D" w:rsidRPr="00750C8B" w:rsidRDefault="00B8782D" w:rsidP="00750C8B">
      <w:pPr>
        <w:pStyle w:val="EndNoteBibliography"/>
        <w:spacing w:after="0"/>
      </w:pPr>
      <w:bookmarkStart w:id="308" w:name="_ENREF_165"/>
      <w:r w:rsidRPr="00750C8B">
        <w:t xml:space="preserve">Finlay, JR &amp; Teakle, DS 1969, ‘The effect of pH on the particle stability of a phosphotungstate-stained </w:t>
      </w:r>
      <w:r w:rsidRPr="00750C8B">
        <w:rPr>
          <w:i/>
        </w:rPr>
        <w:t>Tobacco necrosis virus</w:t>
      </w:r>
      <w:r w:rsidRPr="00750C8B">
        <w:t xml:space="preserve">’, </w:t>
      </w:r>
      <w:r w:rsidRPr="00750C8B">
        <w:rPr>
          <w:i/>
        </w:rPr>
        <w:t>Journal of General Virology</w:t>
      </w:r>
      <w:r w:rsidRPr="00750C8B">
        <w:t>, vol. 5, pp. 93-6.</w:t>
      </w:r>
      <w:bookmarkEnd w:id="308"/>
    </w:p>
    <w:p w:rsidR="00B8782D" w:rsidRPr="00750C8B" w:rsidRDefault="00B8782D" w:rsidP="00750C8B">
      <w:pPr>
        <w:pStyle w:val="EndNoteBibliography"/>
        <w:spacing w:after="0"/>
      </w:pPr>
      <w:bookmarkStart w:id="309" w:name="_ENREF_166"/>
      <w:r w:rsidRPr="00750C8B">
        <w:t xml:space="preserve">Fisher, DS &amp; Learmonth, S 2006, </w:t>
      </w:r>
      <w:r w:rsidRPr="00750C8B">
        <w:rPr>
          <w:i/>
        </w:rPr>
        <w:t>Six-spotted mite</w:t>
      </w:r>
      <w:r w:rsidRPr="00750C8B">
        <w:t xml:space="preserve">, Farmnote no. 146, Department of Agriculture, Western Australia, available at </w:t>
      </w:r>
      <w:r w:rsidRPr="00B8782D">
        <w:t>http://www.agric.wa.gov.au/content/HORT/VIT/PW/SIX-SPOTTEDMITEFARMNOTE.PDF</w:t>
      </w:r>
      <w:r w:rsidRPr="00750C8B">
        <w:t>.</w:t>
      </w:r>
      <w:bookmarkEnd w:id="309"/>
    </w:p>
    <w:p w:rsidR="00B8782D" w:rsidRPr="00750C8B" w:rsidRDefault="00B8782D" w:rsidP="00750C8B">
      <w:pPr>
        <w:pStyle w:val="EndNoteBibliography"/>
        <w:spacing w:after="0"/>
      </w:pPr>
      <w:bookmarkStart w:id="310" w:name="_ENREF_167"/>
      <w:r w:rsidRPr="00750C8B">
        <w:t xml:space="preserve">Fleming, WE 1972, </w:t>
      </w:r>
      <w:r w:rsidRPr="00750C8B">
        <w:rPr>
          <w:i/>
        </w:rPr>
        <w:t>Biology of the Japanese beetle</w:t>
      </w:r>
      <w:r w:rsidRPr="00750C8B">
        <w:t>, Technical Bulletin No. 1449, United States Department of Agriculture, Washington, D.C.</w:t>
      </w:r>
      <w:bookmarkEnd w:id="310"/>
    </w:p>
    <w:p w:rsidR="00B8782D" w:rsidRPr="00750C8B" w:rsidRDefault="00B8782D" w:rsidP="00750C8B">
      <w:pPr>
        <w:pStyle w:val="EndNoteBibliography"/>
        <w:spacing w:after="0"/>
      </w:pPr>
      <w:bookmarkStart w:id="311" w:name="_ENREF_168"/>
      <w:r w:rsidRPr="00750C8B">
        <w:lastRenderedPageBreak/>
        <w:t>Follett, PA, Swedman, A &amp; Price, DK 2014, ‘Postharvest irradiation treatment for quarantine control of</w:t>
      </w:r>
      <w:r w:rsidRPr="00750C8B">
        <w:rPr>
          <w:i/>
        </w:rPr>
        <w:t xml:space="preserve"> Drosophila suzukii</w:t>
      </w:r>
      <w:r w:rsidRPr="00750C8B">
        <w:t xml:space="preserve"> (Diptera: Drosophilidae) in fresh commodities’, </w:t>
      </w:r>
      <w:r w:rsidRPr="00750C8B">
        <w:rPr>
          <w:i/>
        </w:rPr>
        <w:t>Journal of Economic Entomology</w:t>
      </w:r>
      <w:r w:rsidRPr="00750C8B">
        <w:t>, vol. 107, no. 3, pp. 964-9.</w:t>
      </w:r>
      <w:bookmarkEnd w:id="311"/>
    </w:p>
    <w:p w:rsidR="00B8782D" w:rsidRPr="00750C8B" w:rsidRDefault="00B8782D" w:rsidP="00750C8B">
      <w:pPr>
        <w:pStyle w:val="EndNoteBibliography"/>
        <w:spacing w:after="0"/>
      </w:pPr>
      <w:bookmarkStart w:id="312" w:name="_ENREF_169"/>
      <w:r w:rsidRPr="00750C8B">
        <w:t xml:space="preserve">FSLY 2010, </w:t>
      </w:r>
      <w:r w:rsidRPr="00750C8B">
        <w:rPr>
          <w:i/>
        </w:rPr>
        <w:t>Culcula panterinaria</w:t>
      </w:r>
      <w:r w:rsidRPr="00750C8B">
        <w:t xml:space="preserve">, available at </w:t>
      </w:r>
      <w:r w:rsidRPr="00B8782D">
        <w:t>http://www.fsly.gov.cn/newsgl/show.asp?id=1282</w:t>
      </w:r>
      <w:r w:rsidRPr="00750C8B">
        <w:t>.</w:t>
      </w:r>
      <w:bookmarkEnd w:id="312"/>
    </w:p>
    <w:p w:rsidR="00B8782D" w:rsidRPr="00750C8B" w:rsidRDefault="00B8782D" w:rsidP="00750C8B">
      <w:pPr>
        <w:pStyle w:val="EndNoteBibliography"/>
        <w:spacing w:after="0"/>
      </w:pPr>
      <w:bookmarkStart w:id="313" w:name="_ENREF_170"/>
      <w:r w:rsidRPr="00750C8B">
        <w:t xml:space="preserve">Fu, JF, Fu, C &amp; Yan, XR 2009, ‘Preliminary report of pests and diseases on raspberry in Liaoning province’ (in Chinese), </w:t>
      </w:r>
      <w:r w:rsidRPr="00750C8B">
        <w:rPr>
          <w:i/>
        </w:rPr>
        <w:t>Journal of Jilin Agricultural University</w:t>
      </w:r>
      <w:r w:rsidRPr="00750C8B">
        <w:t>, vol. 31, no. 5, pp. 661-5.</w:t>
      </w:r>
      <w:bookmarkEnd w:id="313"/>
    </w:p>
    <w:p w:rsidR="00B8782D" w:rsidRPr="00750C8B" w:rsidRDefault="00B8782D" w:rsidP="00750C8B">
      <w:pPr>
        <w:pStyle w:val="EndNoteBibliography"/>
        <w:spacing w:after="0"/>
      </w:pPr>
      <w:bookmarkStart w:id="314" w:name="_ENREF_171"/>
      <w:r w:rsidRPr="00750C8B">
        <w:t xml:space="preserve">Funayama, K 2002, ‘Oviposition and development of </w:t>
      </w:r>
      <w:r w:rsidRPr="00750C8B">
        <w:rPr>
          <w:i/>
        </w:rPr>
        <w:t xml:space="preserve">Halyomorpha halys </w:t>
      </w:r>
      <w:r w:rsidRPr="00750C8B">
        <w:t xml:space="preserve">(Stål) and </w:t>
      </w:r>
      <w:r w:rsidRPr="00750C8B">
        <w:rPr>
          <w:i/>
        </w:rPr>
        <w:t>Homalogonia obtusa</w:t>
      </w:r>
      <w:r w:rsidRPr="00750C8B">
        <w:t xml:space="preserve"> (Walker) (Heteroptera: Pentatomidae) on apple trees’ (in Japanese), </w:t>
      </w:r>
      <w:r w:rsidRPr="00750C8B">
        <w:rPr>
          <w:i/>
        </w:rPr>
        <w:t>Japanese Journal of Applied Entomology and Zoology</w:t>
      </w:r>
      <w:r w:rsidRPr="00750C8B">
        <w:t>, vol. 46, no. 1, pp. 1-6.</w:t>
      </w:r>
      <w:bookmarkEnd w:id="314"/>
    </w:p>
    <w:p w:rsidR="00B8782D" w:rsidRPr="00750C8B" w:rsidRDefault="00B8782D" w:rsidP="00750C8B">
      <w:pPr>
        <w:pStyle w:val="EndNoteBibliography"/>
        <w:spacing w:after="0"/>
      </w:pPr>
      <w:bookmarkStart w:id="315" w:name="_ENREF_172"/>
      <w:r w:rsidRPr="00750C8B">
        <w:t xml:space="preserve">GAAS 2008a, </w:t>
      </w:r>
      <w:r w:rsidRPr="00750C8B">
        <w:rPr>
          <w:i/>
        </w:rPr>
        <w:t>Calyptra lata (Butler)</w:t>
      </w:r>
      <w:r w:rsidRPr="00750C8B">
        <w:t xml:space="preserve">, Gansu Academy of Agricultural Science, available at </w:t>
      </w:r>
      <w:r w:rsidRPr="00B8782D">
        <w:t>http://gsagr.ac.cn/zypt/kongchong/showsoft.asp?id=1671</w:t>
      </w:r>
      <w:r w:rsidRPr="00750C8B">
        <w:t>.</w:t>
      </w:r>
      <w:bookmarkEnd w:id="315"/>
    </w:p>
    <w:p w:rsidR="00B8782D" w:rsidRPr="00750C8B" w:rsidRDefault="00B8782D" w:rsidP="00750C8B">
      <w:pPr>
        <w:pStyle w:val="EndNoteBibliography"/>
        <w:spacing w:after="0"/>
      </w:pPr>
      <w:bookmarkStart w:id="316" w:name="_ENREF_173"/>
      <w:r w:rsidRPr="00750C8B">
        <w:t xml:space="preserve">-- -- 2008b, </w:t>
      </w:r>
      <w:r w:rsidRPr="00750C8B">
        <w:rPr>
          <w:i/>
        </w:rPr>
        <w:t>Homalogonia obtusa (Walker)</w:t>
      </w:r>
      <w:r w:rsidRPr="00750C8B">
        <w:t xml:space="preserve">, Gansu Academy of Agricultural Science, available at </w:t>
      </w:r>
      <w:r w:rsidRPr="00B8782D">
        <w:t>http://www.gsagr.ac.cn/zypt/kongchong/showsoft.asp?id=83</w:t>
      </w:r>
      <w:r w:rsidRPr="00750C8B">
        <w:t>.</w:t>
      </w:r>
      <w:bookmarkEnd w:id="316"/>
    </w:p>
    <w:p w:rsidR="00B8782D" w:rsidRPr="00750C8B" w:rsidRDefault="00B8782D" w:rsidP="00750C8B">
      <w:pPr>
        <w:pStyle w:val="EndNoteBibliography"/>
        <w:spacing w:after="0"/>
      </w:pPr>
      <w:bookmarkStart w:id="317" w:name="_ENREF_174"/>
      <w:r w:rsidRPr="00750C8B">
        <w:t xml:space="preserve">-- -- 2010, </w:t>
      </w:r>
      <w:r w:rsidRPr="00750C8B">
        <w:rPr>
          <w:i/>
        </w:rPr>
        <w:t>Popillia japonica (Newman)</w:t>
      </w:r>
      <w:r w:rsidRPr="00750C8B">
        <w:t xml:space="preserve">, Gansu Academy of Agricultural Sciences, available at </w:t>
      </w:r>
      <w:r w:rsidRPr="00B8782D">
        <w:t>http://www.gsagr.ac.cn/zypt/kongchong/showsoft.asp?id=2693</w:t>
      </w:r>
      <w:r w:rsidRPr="00750C8B">
        <w:t>.</w:t>
      </w:r>
      <w:bookmarkEnd w:id="317"/>
    </w:p>
    <w:p w:rsidR="00B8782D" w:rsidRPr="00750C8B" w:rsidRDefault="00B8782D" w:rsidP="00750C8B">
      <w:pPr>
        <w:pStyle w:val="EndNoteBibliography"/>
        <w:spacing w:after="0"/>
      </w:pPr>
      <w:bookmarkStart w:id="318" w:name="_ENREF_175"/>
      <w:r w:rsidRPr="00750C8B">
        <w:t xml:space="preserve">-- -- 2012, </w:t>
      </w:r>
      <w:r w:rsidRPr="00750C8B">
        <w:rPr>
          <w:i/>
        </w:rPr>
        <w:t>Myzus mumecola Matsumura</w:t>
      </w:r>
      <w:r w:rsidRPr="00750C8B">
        <w:t xml:space="preserve">, Gansu Academy of Agricultural Science, available at </w:t>
      </w:r>
      <w:r w:rsidRPr="00B8782D">
        <w:t>http://www.gsagr.ac.cn/zypt/kunchong/showsoft.asp?id=4219</w:t>
      </w:r>
      <w:r w:rsidRPr="00750C8B">
        <w:t>.</w:t>
      </w:r>
      <w:bookmarkEnd w:id="318"/>
    </w:p>
    <w:p w:rsidR="00B8782D" w:rsidRPr="00750C8B" w:rsidRDefault="00B8782D" w:rsidP="00750C8B">
      <w:pPr>
        <w:pStyle w:val="EndNoteBibliography"/>
        <w:spacing w:after="0"/>
      </w:pPr>
      <w:bookmarkStart w:id="319" w:name="_ENREF_176"/>
      <w:r w:rsidRPr="00750C8B">
        <w:t xml:space="preserve">Gao, HQ, Zhou, BQ &amp; Xie, X 2004, ‘Control of pear fruit moth by 25% Lidajing emulsion’ (in Chinese), </w:t>
      </w:r>
      <w:r w:rsidRPr="00750C8B">
        <w:rPr>
          <w:i/>
        </w:rPr>
        <w:t>China Fruits</w:t>
      </w:r>
      <w:r w:rsidRPr="00750C8B">
        <w:t>, vol. 1, p. 53. (Abstract only)</w:t>
      </w:r>
      <w:bookmarkEnd w:id="319"/>
    </w:p>
    <w:p w:rsidR="00B8782D" w:rsidRPr="00750C8B" w:rsidRDefault="00B8782D" w:rsidP="00750C8B">
      <w:pPr>
        <w:pStyle w:val="EndNoteBibliography"/>
        <w:spacing w:after="0"/>
      </w:pPr>
      <w:bookmarkStart w:id="320" w:name="_ENREF_177"/>
      <w:r w:rsidRPr="00750C8B">
        <w:t xml:space="preserve">Gell, I, de Cal, A, Torres, R, Usall, J &amp; Melgarejo, P 2009, ‘Conidial density of </w:t>
      </w:r>
      <w:r w:rsidRPr="00750C8B">
        <w:rPr>
          <w:i/>
        </w:rPr>
        <w:t xml:space="preserve">Monilinia </w:t>
      </w:r>
      <w:r w:rsidRPr="00750C8B">
        <w:t xml:space="preserve">spp. on peach fruit surfaces in relation to the incidences of latent infections and brown rot’, </w:t>
      </w:r>
      <w:r w:rsidRPr="00750C8B">
        <w:rPr>
          <w:i/>
        </w:rPr>
        <w:t>European Journal of Plant Pathology</w:t>
      </w:r>
      <w:r w:rsidRPr="00750C8B">
        <w:t>, vol. 123, no. 4, pp. 415-24.</w:t>
      </w:r>
      <w:bookmarkEnd w:id="320"/>
    </w:p>
    <w:p w:rsidR="00B8782D" w:rsidRPr="00750C8B" w:rsidRDefault="00B8782D" w:rsidP="00750C8B">
      <w:pPr>
        <w:pStyle w:val="EndNoteBibliography"/>
        <w:spacing w:after="0"/>
      </w:pPr>
      <w:bookmarkStart w:id="321" w:name="_ENREF_178"/>
      <w:r w:rsidRPr="00750C8B">
        <w:t xml:space="preserve">Gencsoylu, I, Aksit, T, Ozer, G, Cacamer, A &amp; Baspinar, N 2006, ‘Population dynamics and damages on shoots and fruits caused by </w:t>
      </w:r>
      <w:r w:rsidRPr="00750C8B">
        <w:rPr>
          <w:i/>
        </w:rPr>
        <w:t>Grapholita molesta</w:t>
      </w:r>
      <w:r w:rsidRPr="00750C8B">
        <w:t xml:space="preserve"> Busck (Lep.: Tortricidae), </w:t>
      </w:r>
      <w:r w:rsidRPr="00750C8B">
        <w:rPr>
          <w:i/>
        </w:rPr>
        <w:t xml:space="preserve">Anarsia lineatella </w:t>
      </w:r>
      <w:r w:rsidRPr="00750C8B">
        <w:t xml:space="preserve">Zell (Lep. : Gelechiidae) and </w:t>
      </w:r>
      <w:r w:rsidRPr="00750C8B">
        <w:rPr>
          <w:i/>
        </w:rPr>
        <w:t>Ceratitis capitata</w:t>
      </w:r>
      <w:r w:rsidRPr="00750C8B">
        <w:t xml:space="preserve"> (Weid.) (Dip. : Tephritidae) in some peach varieties’, </w:t>
      </w:r>
      <w:r w:rsidRPr="00750C8B">
        <w:rPr>
          <w:i/>
        </w:rPr>
        <w:t>Asian Journal of Plant Sciences</w:t>
      </w:r>
      <w:r w:rsidRPr="00750C8B">
        <w:t>, vol. 5, pp. 487-91.</w:t>
      </w:r>
      <w:bookmarkEnd w:id="321"/>
    </w:p>
    <w:p w:rsidR="00B8782D" w:rsidRPr="00750C8B" w:rsidRDefault="00B8782D" w:rsidP="00750C8B">
      <w:pPr>
        <w:pStyle w:val="EndNoteBibliography"/>
        <w:spacing w:after="0"/>
      </w:pPr>
      <w:bookmarkStart w:id="322" w:name="_ENREF_179"/>
      <w:r w:rsidRPr="00750C8B">
        <w:t xml:space="preserve">Gibanov, PK &amp; Sanin, YV 1971, ‘Lepidopteran pests of fruits in Primor'ye Province’ (in Russian), </w:t>
      </w:r>
      <w:r w:rsidRPr="00750C8B">
        <w:rPr>
          <w:i/>
        </w:rPr>
        <w:t>Zashchita Rastenii</w:t>
      </w:r>
      <w:r w:rsidRPr="00750C8B">
        <w:t>, vol. 16, no. 8, pp. 41-3.</w:t>
      </w:r>
      <w:bookmarkEnd w:id="322"/>
    </w:p>
    <w:p w:rsidR="00B8782D" w:rsidRPr="00750C8B" w:rsidRDefault="00B8782D" w:rsidP="00750C8B">
      <w:pPr>
        <w:pStyle w:val="EndNoteBibliography"/>
        <w:spacing w:after="0"/>
      </w:pPr>
      <w:bookmarkStart w:id="323" w:name="_ENREF_180"/>
      <w:r w:rsidRPr="00750C8B">
        <w:t xml:space="preserve">Gibbs, A &amp; Harrison, B 1976, ‘Effects of viruses in plants’, in </w:t>
      </w:r>
      <w:r w:rsidRPr="00750C8B">
        <w:rPr>
          <w:i/>
        </w:rPr>
        <w:t>Plant virology: the principles</w:t>
      </w:r>
      <w:r w:rsidRPr="00750C8B">
        <w:t>, Edward Arnold, London.</w:t>
      </w:r>
      <w:bookmarkEnd w:id="323"/>
    </w:p>
    <w:p w:rsidR="00B8782D" w:rsidRPr="00750C8B" w:rsidRDefault="00B8782D" w:rsidP="00750C8B">
      <w:pPr>
        <w:pStyle w:val="EndNoteBibliography"/>
        <w:spacing w:after="0"/>
      </w:pPr>
      <w:bookmarkStart w:id="324" w:name="_ENREF_181"/>
      <w:r w:rsidRPr="00750C8B">
        <w:t>Gildow, F, Damsteegt, VD, Stone, AL, Schneider, W, Luster, D &amp; Levy, L 2004, ‘</w:t>
      </w:r>
      <w:r w:rsidRPr="00750C8B">
        <w:rPr>
          <w:i/>
        </w:rPr>
        <w:t>Plum pox</w:t>
      </w:r>
      <w:r w:rsidRPr="00750C8B">
        <w:t xml:space="preserve"> in North America: identification of aphid vectors and a potential role for fruit in virus spread’, </w:t>
      </w:r>
      <w:r w:rsidRPr="00750C8B">
        <w:rPr>
          <w:i/>
        </w:rPr>
        <w:t>Phytopathology</w:t>
      </w:r>
      <w:r w:rsidRPr="00750C8B">
        <w:t>, vol. 94, no. 8, pp. 868-74.</w:t>
      </w:r>
      <w:bookmarkEnd w:id="324"/>
    </w:p>
    <w:p w:rsidR="00B8782D" w:rsidRPr="00750C8B" w:rsidRDefault="00B8782D" w:rsidP="00750C8B">
      <w:pPr>
        <w:pStyle w:val="EndNoteBibliography"/>
        <w:spacing w:after="0"/>
      </w:pPr>
      <w:bookmarkStart w:id="325" w:name="_ENREF_182"/>
      <w:r w:rsidRPr="00750C8B">
        <w:t xml:space="preserve">Gildow, FE 2004, ‘Transmission of three North American isolates of </w:t>
      </w:r>
      <w:r w:rsidRPr="00750C8B">
        <w:rPr>
          <w:i/>
        </w:rPr>
        <w:t>Plum pox virus:</w:t>
      </w:r>
      <w:r w:rsidRPr="00750C8B">
        <w:t xml:space="preserve"> identification of aphid vectors and species-specific transmission from infected stone fruits’, </w:t>
      </w:r>
      <w:r w:rsidRPr="00750C8B">
        <w:rPr>
          <w:i/>
        </w:rPr>
        <w:t>Acta Horticulturae (ISHS)</w:t>
      </w:r>
      <w:r w:rsidRPr="00750C8B">
        <w:t>, vol. 657, pp. 207-11.</w:t>
      </w:r>
      <w:bookmarkEnd w:id="325"/>
    </w:p>
    <w:p w:rsidR="00B8782D" w:rsidRPr="00750C8B" w:rsidRDefault="00B8782D" w:rsidP="00750C8B">
      <w:pPr>
        <w:pStyle w:val="EndNoteBibliography"/>
        <w:spacing w:after="0"/>
      </w:pPr>
      <w:bookmarkStart w:id="326" w:name="_ENREF_183"/>
      <w:r w:rsidRPr="00750C8B">
        <w:t xml:space="preserve">Gilligan, TM &amp; Epstein, ME 2012, ‘TortAI: Tortricids of agricultural importance’, available at </w:t>
      </w:r>
      <w:r w:rsidRPr="00B8782D">
        <w:t>http://idtools.org/id/leps/tortai/index.html</w:t>
      </w:r>
      <w:r w:rsidRPr="00750C8B">
        <w:t>, accessed 2013.</w:t>
      </w:r>
      <w:bookmarkEnd w:id="326"/>
    </w:p>
    <w:p w:rsidR="00B8782D" w:rsidRPr="00750C8B" w:rsidRDefault="00B8782D" w:rsidP="00750C8B">
      <w:pPr>
        <w:pStyle w:val="EndNoteBibliography"/>
        <w:spacing w:after="0"/>
      </w:pPr>
      <w:bookmarkStart w:id="327" w:name="_ENREF_184"/>
      <w:r w:rsidRPr="00750C8B">
        <w:t xml:space="preserve">-- -- 2014, ‘TortAI: Tortricids of agricultural importance’, available at </w:t>
      </w:r>
      <w:r w:rsidRPr="00B8782D">
        <w:t>http://idtools.org/id/leps/tortai/index.html</w:t>
      </w:r>
      <w:r w:rsidRPr="00750C8B">
        <w:t>, accessed 2015.</w:t>
      </w:r>
      <w:bookmarkEnd w:id="327"/>
    </w:p>
    <w:p w:rsidR="00B8782D" w:rsidRPr="00750C8B" w:rsidRDefault="00B8782D" w:rsidP="00750C8B">
      <w:pPr>
        <w:pStyle w:val="EndNoteBibliography"/>
        <w:spacing w:after="0"/>
      </w:pPr>
      <w:bookmarkStart w:id="328" w:name="_ENREF_185"/>
      <w:r w:rsidRPr="00750C8B">
        <w:t>Global Biodiversity Information Facility 2013, ‘GBIF Backbone Taxonomy’, available at</w:t>
      </w:r>
      <w:r w:rsidRPr="00750C8B">
        <w:rPr>
          <w:u w:val="single"/>
        </w:rPr>
        <w:t xml:space="preserve"> </w:t>
      </w:r>
      <w:r w:rsidRPr="00B8782D">
        <w:t>http://www.gbif.org/species#</w:t>
      </w:r>
      <w:r w:rsidRPr="00750C8B">
        <w:t>, accessed 2013.</w:t>
      </w:r>
      <w:bookmarkEnd w:id="328"/>
    </w:p>
    <w:p w:rsidR="00B8782D" w:rsidRPr="00750C8B" w:rsidRDefault="00B8782D" w:rsidP="00750C8B">
      <w:pPr>
        <w:pStyle w:val="EndNoteBibliography"/>
        <w:spacing w:after="0"/>
      </w:pPr>
      <w:bookmarkStart w:id="329" w:name="_ENREF_186"/>
      <w:r w:rsidRPr="00750C8B">
        <w:t>Gonsalves, D 1995, ‘</w:t>
      </w:r>
      <w:r w:rsidRPr="00750C8B">
        <w:rPr>
          <w:i/>
        </w:rPr>
        <w:t>Tomato ringspot virus</w:t>
      </w:r>
      <w:r w:rsidRPr="00750C8B">
        <w:t xml:space="preserve">’, in </w:t>
      </w:r>
      <w:r w:rsidRPr="00750C8B">
        <w:rPr>
          <w:i/>
        </w:rPr>
        <w:t>Compendium of stone fruit disease</w:t>
      </w:r>
      <w:r w:rsidRPr="00750C8B">
        <w:t>, 1st edn, Ogawa, JM, Zehr, EI, Bird, GW, Ritchie, DF, Uriu, K &amp; Uyemoto, JK (eds), The American Phytopathological Society Press, St Paul, Minnesota.</w:t>
      </w:r>
      <w:bookmarkEnd w:id="329"/>
    </w:p>
    <w:p w:rsidR="00B8782D" w:rsidRPr="00750C8B" w:rsidRDefault="00B8782D" w:rsidP="00750C8B">
      <w:pPr>
        <w:pStyle w:val="EndNoteBibliography"/>
        <w:spacing w:after="0"/>
      </w:pPr>
      <w:bookmarkStart w:id="330" w:name="_ENREF_187"/>
      <w:r w:rsidRPr="00750C8B">
        <w:t xml:space="preserve">Government of Western Australia 2014, </w:t>
      </w:r>
      <w:r w:rsidRPr="00750C8B">
        <w:rPr>
          <w:i/>
        </w:rPr>
        <w:t>Western Australia Organism List (WAOL)</w:t>
      </w:r>
      <w:r w:rsidRPr="00750C8B">
        <w:t xml:space="preserve">, Biosecurity and Agriculture Management Act 2007, available at </w:t>
      </w:r>
      <w:r w:rsidRPr="00B8782D">
        <w:t>http://www.biosecurity.wa.gov.au/western-australian-organism-list-waol</w:t>
      </w:r>
      <w:r w:rsidRPr="00750C8B">
        <w:t>.</w:t>
      </w:r>
      <w:bookmarkEnd w:id="330"/>
    </w:p>
    <w:p w:rsidR="00B8782D" w:rsidRPr="00750C8B" w:rsidRDefault="00B8782D" w:rsidP="00750C8B">
      <w:pPr>
        <w:pStyle w:val="EndNoteBibliography"/>
        <w:spacing w:after="0"/>
      </w:pPr>
      <w:bookmarkStart w:id="331" w:name="_ENREF_188"/>
      <w:r w:rsidRPr="00750C8B">
        <w:t xml:space="preserve">Grand, LF &amp; Vernia, CS 2005, ‘Biogeography and hosts of poroid wood decay fungi in North Carolina: species of </w:t>
      </w:r>
      <w:r w:rsidRPr="00750C8B">
        <w:rPr>
          <w:i/>
        </w:rPr>
        <w:t>Coltricia</w:t>
      </w:r>
      <w:r w:rsidRPr="00750C8B">
        <w:t xml:space="preserve">, </w:t>
      </w:r>
      <w:r w:rsidRPr="00750C8B">
        <w:rPr>
          <w:i/>
        </w:rPr>
        <w:t xml:space="preserve">Coltriciella </w:t>
      </w:r>
      <w:r w:rsidRPr="00750C8B">
        <w:t xml:space="preserve">and </w:t>
      </w:r>
      <w:r w:rsidRPr="00750C8B">
        <w:rPr>
          <w:i/>
        </w:rPr>
        <w:t>Inonotus</w:t>
      </w:r>
      <w:r w:rsidRPr="00750C8B">
        <w:t xml:space="preserve">’, </w:t>
      </w:r>
      <w:r w:rsidRPr="00750C8B">
        <w:rPr>
          <w:i/>
        </w:rPr>
        <w:t>Mycotaxon</w:t>
      </w:r>
      <w:r w:rsidRPr="00750C8B">
        <w:t>, vol. 91, pp. 35-8. (Abstract only)</w:t>
      </w:r>
      <w:bookmarkEnd w:id="331"/>
    </w:p>
    <w:p w:rsidR="00B8782D" w:rsidRPr="00750C8B" w:rsidRDefault="00B8782D" w:rsidP="00750C8B">
      <w:pPr>
        <w:pStyle w:val="EndNoteBibliography"/>
        <w:spacing w:after="0"/>
      </w:pPr>
      <w:bookmarkStart w:id="332" w:name="_ENREF_189"/>
      <w:r w:rsidRPr="00750C8B">
        <w:t xml:space="preserve">Grehan, JR 1989, ‘Larval feeding habits of the Hepialidae’, </w:t>
      </w:r>
      <w:r w:rsidRPr="00750C8B">
        <w:rPr>
          <w:i/>
        </w:rPr>
        <w:t>Journal of Natural History</w:t>
      </w:r>
      <w:r w:rsidRPr="00750C8B">
        <w:t>, vol. 23, pp. 803-24.</w:t>
      </w:r>
      <w:bookmarkEnd w:id="332"/>
    </w:p>
    <w:p w:rsidR="00B8782D" w:rsidRPr="00750C8B" w:rsidRDefault="00B8782D" w:rsidP="00750C8B">
      <w:pPr>
        <w:pStyle w:val="EndNoteBibliography"/>
        <w:spacing w:after="0"/>
      </w:pPr>
      <w:bookmarkStart w:id="333" w:name="_ENREF_190"/>
      <w:r w:rsidRPr="00750C8B">
        <w:lastRenderedPageBreak/>
        <w:t xml:space="preserve">Grichanov, IY &amp; Ovsyannikova, EI 2009, </w:t>
      </w:r>
      <w:r w:rsidRPr="00750C8B">
        <w:rPr>
          <w:i/>
        </w:rPr>
        <w:t>Aporia crataegi Linnaeus: black-veined White</w:t>
      </w:r>
      <w:r w:rsidRPr="00750C8B">
        <w:t xml:space="preserve">, Interactive agricultural ecological atlas of Russia and neighboring countries. Economic plants and their diseases, pests and weeds (online), available at </w:t>
      </w:r>
      <w:r w:rsidRPr="00B8782D">
        <w:t>http://www.agroatlas.ru/en/content/pests/Aporia_crataegi/</w:t>
      </w:r>
      <w:r w:rsidRPr="00750C8B">
        <w:t>.</w:t>
      </w:r>
      <w:bookmarkEnd w:id="333"/>
    </w:p>
    <w:p w:rsidR="00B8782D" w:rsidRPr="00750C8B" w:rsidRDefault="00B8782D" w:rsidP="00750C8B">
      <w:pPr>
        <w:pStyle w:val="EndNoteBibliography"/>
        <w:spacing w:after="0"/>
      </w:pPr>
      <w:bookmarkStart w:id="334" w:name="_ENREF_191"/>
      <w:r w:rsidRPr="00750C8B">
        <w:t>Grove, GG 1995, ‘</w:t>
      </w:r>
      <w:r w:rsidRPr="00750C8B">
        <w:rPr>
          <w:i/>
        </w:rPr>
        <w:t>Podosphaera tridactyla</w:t>
      </w:r>
      <w:r w:rsidRPr="00750C8B">
        <w:t xml:space="preserve">’, in </w:t>
      </w:r>
      <w:r w:rsidRPr="00750C8B">
        <w:rPr>
          <w:i/>
        </w:rPr>
        <w:t>Compendium of stonefruit diseases</w:t>
      </w:r>
      <w:r w:rsidRPr="00750C8B">
        <w:t>, Ogawa, JM, Zehr, EI, Bird, GW, Ritchie, DF, Uriu, K &amp; Uyemoto, JK (eds), The American Phytopathological Society Press, St. Paul, Minnesota.</w:t>
      </w:r>
      <w:bookmarkEnd w:id="334"/>
    </w:p>
    <w:p w:rsidR="00B8782D" w:rsidRPr="00750C8B" w:rsidRDefault="00B8782D" w:rsidP="00750C8B">
      <w:pPr>
        <w:pStyle w:val="EndNoteBibliography"/>
        <w:spacing w:after="0"/>
      </w:pPr>
      <w:bookmarkStart w:id="335" w:name="_ENREF_192"/>
      <w:r w:rsidRPr="00750C8B">
        <w:t xml:space="preserve">Grove, GG, Eastwell, KC, Jones, AL &amp; Sutton, TB 2003, ‘Diseases of apple’, in </w:t>
      </w:r>
      <w:r w:rsidRPr="00750C8B">
        <w:rPr>
          <w:i/>
        </w:rPr>
        <w:t>Apples: botany, production and uses</w:t>
      </w:r>
      <w:r w:rsidRPr="00750C8B">
        <w:t>, Ferree, DC &amp; Warringtong, IJ (eds), CAB International, Wallingford.</w:t>
      </w:r>
      <w:bookmarkEnd w:id="335"/>
    </w:p>
    <w:p w:rsidR="00B8782D" w:rsidRPr="00750C8B" w:rsidRDefault="00B8782D" w:rsidP="00750C8B">
      <w:pPr>
        <w:pStyle w:val="EndNoteBibliography"/>
        <w:spacing w:after="0"/>
      </w:pPr>
      <w:bookmarkStart w:id="336" w:name="_ENREF_193"/>
      <w:r w:rsidRPr="00750C8B">
        <w:t xml:space="preserve">Gu, QY, Chen, WB, Wang, LJ, Shen, J &amp; Zhang, JP 2010, ‘Effects of sublethal dosage of abamectin and pyridaben on life table of laboratory populations of </w:t>
      </w:r>
      <w:r w:rsidRPr="00750C8B">
        <w:rPr>
          <w:i/>
        </w:rPr>
        <w:t xml:space="preserve">Tetranychus turkestani </w:t>
      </w:r>
      <w:r w:rsidRPr="00750C8B">
        <w:t xml:space="preserve">(Acari: Tetranychidae)’ (in Chinese), </w:t>
      </w:r>
      <w:r w:rsidRPr="00750C8B">
        <w:rPr>
          <w:i/>
        </w:rPr>
        <w:t>Acta Entomologica Sinica (China)</w:t>
      </w:r>
      <w:r w:rsidRPr="00750C8B">
        <w:t>, vol. 53, no. 8, pp. 876-83.</w:t>
      </w:r>
      <w:bookmarkEnd w:id="336"/>
    </w:p>
    <w:p w:rsidR="00B8782D" w:rsidRPr="00750C8B" w:rsidRDefault="00B8782D" w:rsidP="00750C8B">
      <w:pPr>
        <w:pStyle w:val="EndNoteBibliography"/>
        <w:spacing w:after="0"/>
      </w:pPr>
      <w:bookmarkStart w:id="337" w:name="_ENREF_194"/>
      <w:r w:rsidRPr="00750C8B">
        <w:t>Guo, L, Liu, S, Wu, Z, Mu, L, Xiang, B &amp; Li, S 2008, ‘</w:t>
      </w:r>
      <w:r w:rsidRPr="00750C8B">
        <w:rPr>
          <w:i/>
        </w:rPr>
        <w:t xml:space="preserve">Hop stunt viroid </w:t>
      </w:r>
      <w:r w:rsidRPr="00750C8B">
        <w:t xml:space="preserve">(HSVd) newly reported from hop in Xinjiang, China’, </w:t>
      </w:r>
      <w:r w:rsidRPr="00750C8B">
        <w:rPr>
          <w:i/>
        </w:rPr>
        <w:t>Plant Pathology</w:t>
      </w:r>
      <w:r w:rsidRPr="00750C8B">
        <w:t>, vol. 57, p. 764.</w:t>
      </w:r>
      <w:bookmarkEnd w:id="337"/>
    </w:p>
    <w:p w:rsidR="00B8782D" w:rsidRPr="00750C8B" w:rsidRDefault="00B8782D" w:rsidP="00750C8B">
      <w:pPr>
        <w:pStyle w:val="EndNoteBibliography"/>
        <w:spacing w:after="0"/>
      </w:pPr>
      <w:bookmarkStart w:id="338" w:name="_ENREF_195"/>
      <w:r w:rsidRPr="00750C8B">
        <w:t xml:space="preserve">Hadidi, A, Giunchedi, L, Shamloul, AM, Poggi-Pollini, C &amp; Amer, MA 1997, ‘Occurrence of peach latent mosaic viroid in stone fruits and its transmission with contaminated blades’, </w:t>
      </w:r>
      <w:r w:rsidRPr="00750C8B">
        <w:rPr>
          <w:i/>
        </w:rPr>
        <w:t>Plant Disease</w:t>
      </w:r>
      <w:r w:rsidRPr="00750C8B">
        <w:t>, vol. 81, no. 2, pp. 154-8.</w:t>
      </w:r>
      <w:bookmarkEnd w:id="338"/>
    </w:p>
    <w:p w:rsidR="00B8782D" w:rsidRPr="00750C8B" w:rsidRDefault="00B8782D" w:rsidP="00750C8B">
      <w:pPr>
        <w:pStyle w:val="EndNoteBibliography"/>
        <w:spacing w:after="0"/>
      </w:pPr>
      <w:bookmarkStart w:id="339" w:name="_ENREF_196"/>
      <w:r w:rsidRPr="00750C8B">
        <w:t xml:space="preserve">Hadidi, A, Hansen, AJ, Parish, CL &amp; Yang, X 1991, ‘Scar skin and dapple apple viroids are seed-borne and persistent in infected apple trees’, </w:t>
      </w:r>
      <w:r w:rsidRPr="00750C8B">
        <w:rPr>
          <w:i/>
        </w:rPr>
        <w:t>Research Virology</w:t>
      </w:r>
      <w:r w:rsidRPr="00750C8B">
        <w:t>, vol. 142, pp. 289-96.</w:t>
      </w:r>
      <w:bookmarkEnd w:id="339"/>
    </w:p>
    <w:p w:rsidR="00B8782D" w:rsidRPr="00750C8B" w:rsidRDefault="00B8782D" w:rsidP="00750C8B">
      <w:pPr>
        <w:pStyle w:val="EndNoteBibliography"/>
        <w:spacing w:after="0"/>
      </w:pPr>
      <w:bookmarkStart w:id="340" w:name="_ENREF_197"/>
      <w:r w:rsidRPr="00750C8B">
        <w:t xml:space="preserve">HAL 2012, </w:t>
      </w:r>
      <w:r w:rsidRPr="00750C8B">
        <w:rPr>
          <w:i/>
        </w:rPr>
        <w:t>The Australian horticulture statistics handbook 2012</w:t>
      </w:r>
      <w:r w:rsidRPr="00750C8B">
        <w:t xml:space="preserve">, available at </w:t>
      </w:r>
      <w:r w:rsidRPr="00B8782D">
        <w:t>http://horticulture.com.au/</w:t>
      </w:r>
      <w:r w:rsidRPr="00750C8B">
        <w:t xml:space="preserve"> (pdf 9035 kb).</w:t>
      </w:r>
      <w:bookmarkEnd w:id="340"/>
    </w:p>
    <w:p w:rsidR="00B8782D" w:rsidRPr="00750C8B" w:rsidRDefault="00B8782D" w:rsidP="00750C8B">
      <w:pPr>
        <w:pStyle w:val="EndNoteBibliography"/>
        <w:spacing w:after="0"/>
      </w:pPr>
      <w:bookmarkStart w:id="341" w:name="_ENREF_198"/>
      <w:r w:rsidRPr="00750C8B">
        <w:t xml:space="preserve">Halliday, RB 2000, ‘Additions and corrections to </w:t>
      </w:r>
      <w:r w:rsidRPr="00750C8B">
        <w:rPr>
          <w:i/>
        </w:rPr>
        <w:t xml:space="preserve">Mites of Australia: </w:t>
      </w:r>
      <w:r w:rsidRPr="00750C8B">
        <w:t xml:space="preserve">a checklist and bibliography’, </w:t>
      </w:r>
      <w:r w:rsidRPr="00750C8B">
        <w:rPr>
          <w:i/>
        </w:rPr>
        <w:t>Australian Journal of Entomology</w:t>
      </w:r>
      <w:r w:rsidRPr="00750C8B">
        <w:t>, vol. 39, pp. 233-5.</w:t>
      </w:r>
      <w:bookmarkEnd w:id="341"/>
    </w:p>
    <w:p w:rsidR="00B8782D" w:rsidRPr="00750C8B" w:rsidRDefault="00B8782D" w:rsidP="00750C8B">
      <w:pPr>
        <w:pStyle w:val="EndNoteBibliography"/>
        <w:spacing w:after="0"/>
      </w:pPr>
      <w:bookmarkStart w:id="342" w:name="_ENREF_199"/>
      <w:r w:rsidRPr="00750C8B">
        <w:t xml:space="preserve">-- -- 2013, ‘Acari’, Australian Faunal Directory, Australian Biological Resources Study, Canberra, available at </w:t>
      </w:r>
      <w:r w:rsidRPr="00B8782D">
        <w:t>http://www.environment.gov.au/biodiversity/abrs/online-resources/fauna/afd/taxa/Acari</w:t>
      </w:r>
      <w:r w:rsidRPr="00750C8B">
        <w:t>, accessed 2014.</w:t>
      </w:r>
      <w:bookmarkEnd w:id="342"/>
    </w:p>
    <w:p w:rsidR="00B8782D" w:rsidRPr="00750C8B" w:rsidRDefault="00B8782D" w:rsidP="00750C8B">
      <w:pPr>
        <w:pStyle w:val="EndNoteBibliography"/>
        <w:spacing w:after="0"/>
      </w:pPr>
      <w:bookmarkStart w:id="343" w:name="_ENREF_200"/>
      <w:r w:rsidRPr="00750C8B">
        <w:t xml:space="preserve">Han, G &amp; Ma, R 1996, ‘Scanning electron microscopy of antennal sensilla of </w:t>
      </w:r>
      <w:r w:rsidRPr="00750C8B">
        <w:rPr>
          <w:i/>
        </w:rPr>
        <w:t>Acleris fimbriana</w:t>
      </w:r>
      <w:r w:rsidRPr="00750C8B">
        <w:t xml:space="preserve">’ (in Chinese), </w:t>
      </w:r>
      <w:r w:rsidRPr="00750C8B">
        <w:rPr>
          <w:i/>
        </w:rPr>
        <w:t>Forest Research Bulletin</w:t>
      </w:r>
      <w:r w:rsidRPr="00750C8B">
        <w:t>, vol. 9, no. 3, pp. 300-4.</w:t>
      </w:r>
      <w:bookmarkEnd w:id="343"/>
    </w:p>
    <w:p w:rsidR="00B8782D" w:rsidRPr="00750C8B" w:rsidRDefault="00B8782D" w:rsidP="00750C8B">
      <w:pPr>
        <w:pStyle w:val="EndNoteBibliography"/>
        <w:spacing w:after="0"/>
      </w:pPr>
      <w:bookmarkStart w:id="344" w:name="_ENREF_201"/>
      <w:r w:rsidRPr="00750C8B">
        <w:t xml:space="preserve">Han, L, Wang, G, Yang, X, Zhu, SF &amp; Hadidi, A 2003, ‘Viroids in China’, in </w:t>
      </w:r>
      <w:r w:rsidRPr="00750C8B">
        <w:rPr>
          <w:i/>
        </w:rPr>
        <w:t>Viroids</w:t>
      </w:r>
      <w:r w:rsidRPr="00750C8B">
        <w:t>, Hadidi, A, Flores, R, Randles, JW &amp; Semancik, JS (eds), Commonwealth Scientific and Industrial Research Organisation, Collingwood.</w:t>
      </w:r>
      <w:bookmarkEnd w:id="344"/>
    </w:p>
    <w:p w:rsidR="00B8782D" w:rsidRPr="00750C8B" w:rsidRDefault="00B8782D" w:rsidP="00750C8B">
      <w:pPr>
        <w:pStyle w:val="EndNoteBibliography"/>
        <w:spacing w:after="0"/>
      </w:pPr>
      <w:bookmarkStart w:id="345" w:name="_ENREF_202"/>
      <w:r w:rsidRPr="00750C8B">
        <w:t xml:space="preserve">Hanson, HC 1963, </w:t>
      </w:r>
      <w:r w:rsidRPr="00750C8B">
        <w:rPr>
          <w:i/>
        </w:rPr>
        <w:t>Diseases and pests of economic plants of Central and South China, Hong Kong and Taiwan (Formosa): a study based on field survey data and on pertinent records, material, and reports</w:t>
      </w:r>
      <w:r w:rsidRPr="00750C8B">
        <w:t>, American Institute of Crop Ecology, Washington, D.C.</w:t>
      </w:r>
      <w:bookmarkEnd w:id="345"/>
    </w:p>
    <w:p w:rsidR="00B8782D" w:rsidRPr="00750C8B" w:rsidRDefault="00B8782D" w:rsidP="00750C8B">
      <w:pPr>
        <w:pStyle w:val="EndNoteBibliography"/>
        <w:spacing w:after="0"/>
      </w:pPr>
      <w:bookmarkStart w:id="346" w:name="_ENREF_203"/>
      <w:r w:rsidRPr="00750C8B">
        <w:t xml:space="preserve">Harrington, C 2000, ‘Host specialization and speciation in the American wilt pathogen </w:t>
      </w:r>
      <w:r w:rsidRPr="00750C8B">
        <w:rPr>
          <w:i/>
        </w:rPr>
        <w:t>Ceratocystis fimbriata</w:t>
      </w:r>
      <w:r w:rsidRPr="00750C8B">
        <w:t xml:space="preserve">’, </w:t>
      </w:r>
      <w:r w:rsidRPr="00750C8B">
        <w:rPr>
          <w:i/>
        </w:rPr>
        <w:t>Fitopatologia Brasileira</w:t>
      </w:r>
      <w:r w:rsidRPr="00750C8B">
        <w:t>, vol. 25 (suppl.), pp. 262-3.</w:t>
      </w:r>
      <w:bookmarkEnd w:id="346"/>
    </w:p>
    <w:p w:rsidR="00B8782D" w:rsidRPr="00750C8B" w:rsidRDefault="00B8782D" w:rsidP="00750C8B">
      <w:pPr>
        <w:pStyle w:val="EndNoteBibliography"/>
        <w:spacing w:after="0"/>
      </w:pPr>
      <w:bookmarkStart w:id="347" w:name="_ENREF_204"/>
      <w:r w:rsidRPr="00750C8B">
        <w:t xml:space="preserve">Harvard Entomology 2006, </w:t>
      </w:r>
      <w:r w:rsidRPr="00750C8B">
        <w:rPr>
          <w:i/>
        </w:rPr>
        <w:t>Field guides: Hemiptera</w:t>
      </w:r>
      <w:r w:rsidRPr="00750C8B">
        <w:t xml:space="preserve">, available at </w:t>
      </w:r>
      <w:r w:rsidRPr="00B8782D">
        <w:t>http://insects.oeb.harvard.edu/caribbean/</w:t>
      </w:r>
      <w:r w:rsidRPr="00750C8B">
        <w:t>.</w:t>
      </w:r>
      <w:bookmarkEnd w:id="347"/>
    </w:p>
    <w:p w:rsidR="00B8782D" w:rsidRPr="00750C8B" w:rsidRDefault="00B8782D" w:rsidP="00750C8B">
      <w:pPr>
        <w:pStyle w:val="EndNoteBibliography"/>
        <w:spacing w:after="0"/>
      </w:pPr>
      <w:bookmarkStart w:id="348" w:name="_ENREF_205"/>
      <w:r w:rsidRPr="00750C8B">
        <w:t xml:space="preserve">Hattori, I 1969, ‘Fruit-piercing moths in Japan’, </w:t>
      </w:r>
      <w:r w:rsidRPr="00750C8B">
        <w:rPr>
          <w:i/>
        </w:rPr>
        <w:t>Japan Agricultural Research Quarterly</w:t>
      </w:r>
      <w:r w:rsidRPr="00750C8B">
        <w:t>, vol. 4, no. 4, pp. 32-6.</w:t>
      </w:r>
      <w:bookmarkEnd w:id="348"/>
    </w:p>
    <w:p w:rsidR="00B8782D" w:rsidRPr="00750C8B" w:rsidRDefault="00B8782D" w:rsidP="00750C8B">
      <w:pPr>
        <w:pStyle w:val="EndNoteBibliography"/>
        <w:spacing w:after="0"/>
      </w:pPr>
      <w:bookmarkStart w:id="349" w:name="_ENREF_206"/>
      <w:r w:rsidRPr="00750C8B">
        <w:t>Hauser, M, Gaimari, S &amp; Damus, M 2009, ‘</w:t>
      </w:r>
      <w:r w:rsidRPr="00750C8B">
        <w:rPr>
          <w:i/>
        </w:rPr>
        <w:t>Drosophila suzukii</w:t>
      </w:r>
      <w:r w:rsidRPr="00750C8B">
        <w:t xml:space="preserve"> new to North America’, </w:t>
      </w:r>
      <w:r w:rsidRPr="00750C8B">
        <w:rPr>
          <w:i/>
        </w:rPr>
        <w:t>Fly Times</w:t>
      </w:r>
      <w:r w:rsidRPr="00750C8B">
        <w:t>, vol. 43, pp. 12-5.</w:t>
      </w:r>
      <w:bookmarkEnd w:id="349"/>
    </w:p>
    <w:p w:rsidR="00B8782D" w:rsidRPr="00750C8B" w:rsidRDefault="00B8782D" w:rsidP="00750C8B">
      <w:pPr>
        <w:pStyle w:val="EndNoteBibliography"/>
        <w:spacing w:after="0"/>
      </w:pPr>
      <w:bookmarkStart w:id="350" w:name="_ENREF_207"/>
      <w:r w:rsidRPr="00750C8B">
        <w:t xml:space="preserve">He, B 1991, ‘Bionomics of </w:t>
      </w:r>
      <w:r w:rsidRPr="00750C8B">
        <w:rPr>
          <w:i/>
        </w:rPr>
        <w:t>Actias selene ningpoana</w:t>
      </w:r>
      <w:r w:rsidRPr="00750C8B">
        <w:t xml:space="preserve"> Felder and its control’ (in Chinese), </w:t>
      </w:r>
      <w:r w:rsidRPr="00750C8B">
        <w:rPr>
          <w:i/>
        </w:rPr>
        <w:t>Entomological Knowledge</w:t>
      </w:r>
      <w:r w:rsidRPr="00750C8B">
        <w:t>, vol. 28, no. 6, pp. 353-4.</w:t>
      </w:r>
      <w:bookmarkEnd w:id="350"/>
    </w:p>
    <w:p w:rsidR="00B8782D" w:rsidRPr="00750C8B" w:rsidRDefault="00B8782D" w:rsidP="00750C8B">
      <w:pPr>
        <w:pStyle w:val="EndNoteBibliography"/>
        <w:spacing w:after="0"/>
      </w:pPr>
      <w:bookmarkStart w:id="351" w:name="_ENREF_208"/>
      <w:r w:rsidRPr="00750C8B">
        <w:t xml:space="preserve">Hely, PC, Pasfield, G &amp; Gellatley, JG 1982, </w:t>
      </w:r>
      <w:r w:rsidRPr="00750C8B">
        <w:rPr>
          <w:i/>
        </w:rPr>
        <w:t>Insect pests of fruit and vegetables in NSW</w:t>
      </w:r>
      <w:r w:rsidRPr="00750C8B">
        <w:t>, Inkata Press Proprietary Limited, Melbourne, Sydney and London.</w:t>
      </w:r>
      <w:bookmarkEnd w:id="351"/>
    </w:p>
    <w:p w:rsidR="00B8782D" w:rsidRPr="00750C8B" w:rsidRDefault="00B8782D" w:rsidP="00750C8B">
      <w:pPr>
        <w:pStyle w:val="EndNoteBibliography"/>
        <w:spacing w:after="0"/>
      </w:pPr>
      <w:bookmarkStart w:id="352" w:name="_ENREF_209"/>
      <w:r w:rsidRPr="00750C8B">
        <w:t xml:space="preserve">Hibben, CR, Bozarth, RF &amp; Reese, J 1979, ‘Identification of </w:t>
      </w:r>
      <w:r w:rsidRPr="00750C8B">
        <w:rPr>
          <w:i/>
        </w:rPr>
        <w:t>Tobacco necrosis virus</w:t>
      </w:r>
      <w:r w:rsidRPr="00750C8B">
        <w:t xml:space="preserve"> in deteriorating clones of aspen’, </w:t>
      </w:r>
      <w:r w:rsidRPr="00750C8B">
        <w:rPr>
          <w:i/>
        </w:rPr>
        <w:t>Forest Science</w:t>
      </w:r>
      <w:r w:rsidRPr="00750C8B">
        <w:t>, vol. 25, pp. 557-67.</w:t>
      </w:r>
      <w:bookmarkEnd w:id="352"/>
    </w:p>
    <w:p w:rsidR="00B8782D" w:rsidRPr="00750C8B" w:rsidRDefault="00B8782D" w:rsidP="00750C8B">
      <w:pPr>
        <w:pStyle w:val="EndNoteBibliography"/>
        <w:spacing w:after="0"/>
      </w:pPr>
      <w:bookmarkStart w:id="353" w:name="_ENREF_210"/>
      <w:r w:rsidRPr="00750C8B">
        <w:t xml:space="preserve">Hill, DS 2008, </w:t>
      </w:r>
      <w:r w:rsidRPr="00750C8B">
        <w:rPr>
          <w:i/>
        </w:rPr>
        <w:t>Pests of crops in warmer climates and their control</w:t>
      </w:r>
      <w:r w:rsidRPr="00750C8B">
        <w:t>, Springer-Verlag, Skegness.</w:t>
      </w:r>
      <w:bookmarkEnd w:id="353"/>
    </w:p>
    <w:p w:rsidR="00B8782D" w:rsidRPr="00750C8B" w:rsidRDefault="00B8782D" w:rsidP="00750C8B">
      <w:pPr>
        <w:pStyle w:val="EndNoteBibliography"/>
        <w:spacing w:after="0"/>
      </w:pPr>
      <w:bookmarkStart w:id="354" w:name="_ENREF_211"/>
      <w:r w:rsidRPr="00750C8B">
        <w:t>Hiromori, H &amp; Nishigaki, J 1998, ‘Joint action of an entomopathogenic fungus (</w:t>
      </w:r>
      <w:r w:rsidRPr="00750C8B">
        <w:rPr>
          <w:i/>
        </w:rPr>
        <w:t>Metarhizium anisopliae</w:t>
      </w:r>
      <w:r w:rsidRPr="00750C8B">
        <w:t>) with synthetic insecticides against the scarab beetle,</w:t>
      </w:r>
      <w:r w:rsidRPr="00750C8B">
        <w:rPr>
          <w:i/>
        </w:rPr>
        <w:t xml:space="preserve"> Anomala cuprea</w:t>
      </w:r>
      <w:r w:rsidRPr="00750C8B">
        <w:t xml:space="preserve"> (Coleoptera: Scarabaeidae) larvae’, </w:t>
      </w:r>
      <w:r w:rsidRPr="00750C8B">
        <w:rPr>
          <w:i/>
        </w:rPr>
        <w:t>Applied Entomology and Zoology</w:t>
      </w:r>
      <w:r w:rsidRPr="00750C8B">
        <w:t>, vol. 33, no. 1, pp. 77-84.</w:t>
      </w:r>
      <w:bookmarkEnd w:id="354"/>
    </w:p>
    <w:p w:rsidR="00B8782D" w:rsidRPr="00750C8B" w:rsidRDefault="00B8782D" w:rsidP="00750C8B">
      <w:pPr>
        <w:pStyle w:val="EndNoteBibliography"/>
        <w:spacing w:after="0"/>
      </w:pPr>
      <w:bookmarkStart w:id="355" w:name="_ENREF_212"/>
      <w:r w:rsidRPr="00750C8B">
        <w:lastRenderedPageBreak/>
        <w:t>Hirooka, Y, Kobayashi, T &amp; Natsuaki, KT 2005, ‘</w:t>
      </w:r>
      <w:r w:rsidRPr="00750C8B">
        <w:rPr>
          <w:i/>
        </w:rPr>
        <w:t>Neonectria castaneicola</w:t>
      </w:r>
      <w:r w:rsidRPr="00750C8B">
        <w:t xml:space="preserve"> and </w:t>
      </w:r>
      <w:r w:rsidRPr="00750C8B">
        <w:rPr>
          <w:i/>
        </w:rPr>
        <w:t>Neo. rugulosa</w:t>
      </w:r>
      <w:r w:rsidRPr="00750C8B">
        <w:t xml:space="preserve"> in Japan’, </w:t>
      </w:r>
      <w:r w:rsidRPr="00750C8B">
        <w:rPr>
          <w:i/>
        </w:rPr>
        <w:t>Mycologia</w:t>
      </w:r>
      <w:r w:rsidRPr="00750C8B">
        <w:t>, vol. 97, pp. 1058-66.</w:t>
      </w:r>
      <w:bookmarkEnd w:id="355"/>
    </w:p>
    <w:p w:rsidR="00B8782D" w:rsidRPr="00750C8B" w:rsidRDefault="00B8782D" w:rsidP="00750C8B">
      <w:pPr>
        <w:pStyle w:val="EndNoteBibliography"/>
        <w:spacing w:after="0"/>
      </w:pPr>
      <w:bookmarkStart w:id="356" w:name="_ENREF_213"/>
      <w:r w:rsidRPr="00750C8B">
        <w:t xml:space="preserve">Hodges, G 2005, </w:t>
      </w:r>
      <w:r w:rsidRPr="00750C8B">
        <w:rPr>
          <w:i/>
        </w:rPr>
        <w:t>Scale insects</w:t>
      </w:r>
      <w:r w:rsidRPr="00750C8B">
        <w:t>, Florida Department of Agriculture and Consumer Services, Division of Plant Industry, Florida, USA.</w:t>
      </w:r>
      <w:bookmarkEnd w:id="356"/>
    </w:p>
    <w:p w:rsidR="00B8782D" w:rsidRPr="00750C8B" w:rsidRDefault="00B8782D" w:rsidP="00750C8B">
      <w:pPr>
        <w:pStyle w:val="EndNoteBibliography"/>
        <w:spacing w:after="0"/>
      </w:pPr>
      <w:bookmarkStart w:id="357" w:name="_ENREF_214"/>
      <w:r w:rsidRPr="00750C8B">
        <w:t xml:space="preserve">Hoebeke, ER 2002, ‘Brown marmorated stink bug, </w:t>
      </w:r>
      <w:r w:rsidRPr="00750C8B">
        <w:rPr>
          <w:i/>
        </w:rPr>
        <w:t xml:space="preserve">Halyomorpha halys </w:t>
      </w:r>
      <w:r w:rsidRPr="00750C8B">
        <w:t xml:space="preserve">(Stal) Heteroptera: Pentatomidae’, </w:t>
      </w:r>
      <w:r w:rsidRPr="00750C8B">
        <w:rPr>
          <w:i/>
        </w:rPr>
        <w:t>Regulatory Horticulture</w:t>
      </w:r>
      <w:r w:rsidRPr="00750C8B">
        <w:t>, vol. 28, pp. 35-7.</w:t>
      </w:r>
      <w:bookmarkEnd w:id="357"/>
    </w:p>
    <w:p w:rsidR="00B8782D" w:rsidRPr="00750C8B" w:rsidRDefault="00B8782D" w:rsidP="00750C8B">
      <w:pPr>
        <w:pStyle w:val="EndNoteBibliography"/>
        <w:spacing w:after="0"/>
      </w:pPr>
      <w:bookmarkStart w:id="358" w:name="_ENREF_215"/>
      <w:r w:rsidRPr="00750C8B">
        <w:t>Hoebeke, ER, Wheeler, AG, Jnr &amp; Brown, JW 2008, ‘</w:t>
      </w:r>
      <w:r w:rsidRPr="00750C8B">
        <w:rPr>
          <w:i/>
        </w:rPr>
        <w:t>Archips xylosteana</w:t>
      </w:r>
      <w:r w:rsidRPr="00750C8B">
        <w:t xml:space="preserve"> (L.) (Lepidoptera: Tortricidae): a Palearctic leafroller new to North America’, </w:t>
      </w:r>
      <w:r w:rsidRPr="00750C8B">
        <w:rPr>
          <w:i/>
        </w:rPr>
        <w:t>Proceedings of the Entomological Society of Washington</w:t>
      </w:r>
      <w:r w:rsidRPr="00750C8B">
        <w:t>, vol. 110, no. 3, pp. 789-95.</w:t>
      </w:r>
      <w:bookmarkEnd w:id="358"/>
    </w:p>
    <w:p w:rsidR="00B8782D" w:rsidRPr="00750C8B" w:rsidRDefault="00B8782D" w:rsidP="00750C8B">
      <w:pPr>
        <w:pStyle w:val="EndNoteBibliography"/>
        <w:spacing w:after="0"/>
      </w:pPr>
      <w:bookmarkStart w:id="359" w:name="_ENREF_216"/>
      <w:r w:rsidRPr="00750C8B">
        <w:t xml:space="preserve">Hoffmann, WE 1930, ‘The food habits of </w:t>
      </w:r>
      <w:r w:rsidRPr="00750C8B">
        <w:rPr>
          <w:i/>
        </w:rPr>
        <w:t xml:space="preserve">Erthesina fullo </w:t>
      </w:r>
      <w:r w:rsidRPr="00750C8B">
        <w:t xml:space="preserve">(Thunb.)’, </w:t>
      </w:r>
      <w:r w:rsidRPr="00750C8B">
        <w:rPr>
          <w:i/>
        </w:rPr>
        <w:t>Lingnan Science Journal</w:t>
      </w:r>
      <w:r w:rsidRPr="00750C8B">
        <w:t>, vol. 9, no. 1-2, pp. 139-42.</w:t>
      </w:r>
      <w:bookmarkEnd w:id="359"/>
    </w:p>
    <w:p w:rsidR="00B8782D" w:rsidRPr="00750C8B" w:rsidRDefault="00B8782D" w:rsidP="00750C8B">
      <w:pPr>
        <w:pStyle w:val="EndNoteBibliography"/>
        <w:spacing w:after="0"/>
      </w:pPr>
      <w:bookmarkStart w:id="360" w:name="_ENREF_217"/>
      <w:r w:rsidRPr="00750C8B">
        <w:t xml:space="preserve">Homma, Y 1927, ‘A canker disease of </w:t>
      </w:r>
      <w:r w:rsidRPr="00750C8B">
        <w:rPr>
          <w:i/>
        </w:rPr>
        <w:t xml:space="preserve">Prunus mume </w:t>
      </w:r>
      <w:r w:rsidRPr="00750C8B">
        <w:t xml:space="preserve">and </w:t>
      </w:r>
      <w:r w:rsidRPr="00750C8B">
        <w:rPr>
          <w:i/>
        </w:rPr>
        <w:t xml:space="preserve">P. persica </w:t>
      </w:r>
      <w:r w:rsidRPr="00750C8B">
        <w:t xml:space="preserve">caused by a species of </w:t>
      </w:r>
      <w:r w:rsidRPr="00750C8B">
        <w:rPr>
          <w:i/>
        </w:rPr>
        <w:t>Camarosporium</w:t>
      </w:r>
      <w:r w:rsidRPr="00750C8B">
        <w:t xml:space="preserve">’, </w:t>
      </w:r>
      <w:r w:rsidRPr="00750C8B">
        <w:rPr>
          <w:i/>
        </w:rPr>
        <w:t>The Botanical Magazine</w:t>
      </w:r>
      <w:r w:rsidRPr="00750C8B">
        <w:t>, vol. 41, no. 480, pp. 541-7.</w:t>
      </w:r>
      <w:bookmarkEnd w:id="360"/>
    </w:p>
    <w:p w:rsidR="00B8782D" w:rsidRPr="00750C8B" w:rsidRDefault="00B8782D" w:rsidP="00750C8B">
      <w:pPr>
        <w:pStyle w:val="EndNoteBibliography"/>
        <w:spacing w:after="0"/>
      </w:pPr>
      <w:bookmarkStart w:id="361" w:name="_ENREF_218"/>
      <w:r w:rsidRPr="00750C8B">
        <w:t xml:space="preserve">Hou, BH &amp; Zhang, RJ 2005, ‘Potential distribution of the fruit fly </w:t>
      </w:r>
      <w:r w:rsidRPr="00750C8B">
        <w:rPr>
          <w:i/>
        </w:rPr>
        <w:t>Bactrocera dorsalis</w:t>
      </w:r>
      <w:r w:rsidRPr="00750C8B">
        <w:t xml:space="preserve"> (Diptera: Tephritidae) in China as predicted by CLIMEX’ (in Chinese), </w:t>
      </w:r>
      <w:r w:rsidRPr="00750C8B">
        <w:rPr>
          <w:i/>
        </w:rPr>
        <w:t>Acta Ecologica Sinica</w:t>
      </w:r>
      <w:r w:rsidRPr="00750C8B">
        <w:t>, vol. 25, no. 7, pp. 1570-4.</w:t>
      </w:r>
      <w:bookmarkEnd w:id="361"/>
    </w:p>
    <w:p w:rsidR="00B8782D" w:rsidRPr="00750C8B" w:rsidRDefault="00B8782D" w:rsidP="00750C8B">
      <w:pPr>
        <w:pStyle w:val="EndNoteBibliography"/>
        <w:spacing w:after="0"/>
      </w:pPr>
      <w:bookmarkStart w:id="362" w:name="_ENREF_219"/>
      <w:r w:rsidRPr="00750C8B">
        <w:t xml:space="preserve">Howitt, AH 1993, </w:t>
      </w:r>
      <w:r w:rsidRPr="00750C8B">
        <w:rPr>
          <w:i/>
        </w:rPr>
        <w:t>Oriental fruit moth: Grapholita molesta (Busck)</w:t>
      </w:r>
      <w:r w:rsidRPr="00750C8B">
        <w:t xml:space="preserve">, Fruit IPM Fact Sheet, Michigan State University, available at </w:t>
      </w:r>
      <w:r w:rsidRPr="00B8782D">
        <w:t>http://www.msu.edu/</w:t>
      </w:r>
      <w:r w:rsidRPr="00750C8B">
        <w:t>.</w:t>
      </w:r>
      <w:bookmarkEnd w:id="362"/>
    </w:p>
    <w:p w:rsidR="00B8782D" w:rsidRPr="00750C8B" w:rsidRDefault="00B8782D" w:rsidP="00750C8B">
      <w:pPr>
        <w:pStyle w:val="EndNoteBibliography"/>
        <w:spacing w:after="0"/>
      </w:pPr>
      <w:bookmarkStart w:id="363" w:name="_ENREF_220"/>
      <w:r w:rsidRPr="00750C8B">
        <w:t xml:space="preserve">Hoy, LE &amp; Whiting, DC 1997, ‘Low-temperature storage as a postharvest treatment to control </w:t>
      </w:r>
      <w:r w:rsidRPr="00750C8B">
        <w:rPr>
          <w:i/>
        </w:rPr>
        <w:t>Pseudococcus affinis</w:t>
      </w:r>
      <w:r w:rsidRPr="00750C8B">
        <w:t xml:space="preserve"> (Homoptera: Pseudococcidae) on royal gala apples’, </w:t>
      </w:r>
      <w:r w:rsidRPr="00750C8B">
        <w:rPr>
          <w:i/>
        </w:rPr>
        <w:t>Entomological Society of America: Annual Meeting</w:t>
      </w:r>
      <w:r w:rsidRPr="00750C8B">
        <w:t>, vol. 90, no. 5, pp. 1377-81.</w:t>
      </w:r>
      <w:bookmarkEnd w:id="363"/>
    </w:p>
    <w:p w:rsidR="00B8782D" w:rsidRPr="00750C8B" w:rsidRDefault="00B8782D" w:rsidP="00750C8B">
      <w:pPr>
        <w:pStyle w:val="EndNoteBibliography"/>
        <w:spacing w:after="0"/>
      </w:pPr>
      <w:bookmarkStart w:id="364" w:name="_ENREF_221"/>
      <w:r w:rsidRPr="00750C8B">
        <w:t>Hu, MJ, Cox, KD, Schnabel, G &amp; Luo, CX 2011, ‘</w:t>
      </w:r>
      <w:r w:rsidRPr="00750C8B">
        <w:rPr>
          <w:i/>
        </w:rPr>
        <w:t>Monilinia</w:t>
      </w:r>
      <w:r w:rsidRPr="00750C8B">
        <w:t xml:space="preserve"> species causing brown rot of peach in China’ </w:t>
      </w:r>
      <w:r w:rsidRPr="00750C8B">
        <w:rPr>
          <w:i/>
        </w:rPr>
        <w:t>PloS ONE</w:t>
      </w:r>
      <w:r w:rsidRPr="00750C8B">
        <w:t>, vol. 6, no. 9, pp. e24990, available at DOI 10.1371/journal.pone.0024990.</w:t>
      </w:r>
      <w:bookmarkEnd w:id="364"/>
    </w:p>
    <w:p w:rsidR="00B8782D" w:rsidRPr="00750C8B" w:rsidRDefault="00B8782D" w:rsidP="00750C8B">
      <w:pPr>
        <w:pStyle w:val="EndNoteBibliography"/>
        <w:spacing w:after="0"/>
      </w:pPr>
      <w:bookmarkStart w:id="365" w:name="_ENREF_222"/>
      <w:r w:rsidRPr="00750C8B">
        <w:t xml:space="preserve">Hua, L &amp; Wang, S 2006, </w:t>
      </w:r>
      <w:r w:rsidRPr="00750C8B">
        <w:rPr>
          <w:i/>
        </w:rPr>
        <w:t>Apple pest and disease control system</w:t>
      </w:r>
      <w:r w:rsidRPr="00750C8B">
        <w:t xml:space="preserve">, College of Plant Protection, Northwest Agriculture and Forestry University, available at </w:t>
      </w:r>
      <w:r w:rsidRPr="00B8782D">
        <w:t>http://www.appleonline.com.cn/apple2000</w:t>
      </w:r>
      <w:r w:rsidRPr="00750C8B">
        <w:t>.</w:t>
      </w:r>
      <w:bookmarkEnd w:id="365"/>
    </w:p>
    <w:p w:rsidR="00B8782D" w:rsidRPr="00750C8B" w:rsidRDefault="00B8782D" w:rsidP="00750C8B">
      <w:pPr>
        <w:pStyle w:val="EndNoteBibliography"/>
        <w:spacing w:after="0"/>
      </w:pPr>
      <w:bookmarkStart w:id="366" w:name="_ENREF_223"/>
      <w:r w:rsidRPr="00750C8B">
        <w:t xml:space="preserve">Huang, C, Qin, B, Xi, Z &amp; Mang, K 1984, ‘On the </w:t>
      </w:r>
      <w:r w:rsidRPr="00750C8B">
        <w:rPr>
          <w:i/>
        </w:rPr>
        <w:t>Tobacco necrosis virus</w:t>
      </w:r>
      <w:r w:rsidRPr="00750C8B">
        <w:t xml:space="preserve"> isolated from hamimelon in Xinjiang and its chemicophysical properties’ (in Chinese), </w:t>
      </w:r>
      <w:r w:rsidRPr="00750C8B">
        <w:rPr>
          <w:i/>
        </w:rPr>
        <w:t>Acta Phytopathologica Sinica</w:t>
      </w:r>
      <w:r w:rsidRPr="00750C8B">
        <w:t>, vol. 14, pp. 153-8.</w:t>
      </w:r>
      <w:bookmarkEnd w:id="366"/>
    </w:p>
    <w:p w:rsidR="00B8782D" w:rsidRPr="00750C8B" w:rsidRDefault="00B8782D" w:rsidP="00750C8B">
      <w:pPr>
        <w:pStyle w:val="EndNoteBibliography"/>
        <w:spacing w:after="0"/>
      </w:pPr>
      <w:bookmarkStart w:id="367" w:name="_ENREF_224"/>
      <w:r w:rsidRPr="00750C8B">
        <w:t xml:space="preserve">Huang, Q, Wang, YY, Zhao, YY, Jiao, YX, Li, XF, Chen, HR &amp; Zhu, YY 2007, ‘First report of taro black rot caused by </w:t>
      </w:r>
      <w:r w:rsidRPr="00750C8B">
        <w:rPr>
          <w:i/>
        </w:rPr>
        <w:t xml:space="preserve">Ceratocystis fimbriata </w:t>
      </w:r>
      <w:r w:rsidRPr="00750C8B">
        <w:t xml:space="preserve">in China’, </w:t>
      </w:r>
      <w:r w:rsidRPr="00750C8B">
        <w:rPr>
          <w:i/>
        </w:rPr>
        <w:t>New Disease Reports</w:t>
      </w:r>
      <w:r w:rsidRPr="00750C8B">
        <w:t>, vol. 14, p. 57.</w:t>
      </w:r>
      <w:bookmarkEnd w:id="367"/>
    </w:p>
    <w:p w:rsidR="00B8782D" w:rsidRPr="00750C8B" w:rsidRDefault="00B8782D" w:rsidP="00750C8B">
      <w:pPr>
        <w:pStyle w:val="EndNoteBibliography"/>
        <w:spacing w:after="0"/>
      </w:pPr>
      <w:bookmarkStart w:id="368" w:name="_ENREF_225"/>
      <w:r w:rsidRPr="00750C8B">
        <w:t xml:space="preserve">Huang, YY 2006, ‘Monitoring of fruit flies species and preliminary investigation of host plant in Fujian province’ (in Chinese), </w:t>
      </w:r>
      <w:r w:rsidRPr="00750C8B">
        <w:rPr>
          <w:i/>
        </w:rPr>
        <w:t>Subtropical Agricultural Research</w:t>
      </w:r>
      <w:r w:rsidRPr="00750C8B">
        <w:t>, vol. 49, pp. 49-52.</w:t>
      </w:r>
      <w:bookmarkEnd w:id="368"/>
    </w:p>
    <w:p w:rsidR="00B8782D" w:rsidRPr="00750C8B" w:rsidRDefault="00B8782D" w:rsidP="00750C8B">
      <w:pPr>
        <w:pStyle w:val="EndNoteBibliography"/>
        <w:spacing w:after="0"/>
      </w:pPr>
      <w:bookmarkStart w:id="369" w:name="_ENREF_226"/>
      <w:r w:rsidRPr="00750C8B">
        <w:t xml:space="preserve">Huang, ZY, Liu, X, Li, LH, Qi, JX &amp; Liang, AG 1994, ‘Study on the biology of </w:t>
      </w:r>
      <w:r w:rsidRPr="00750C8B">
        <w:rPr>
          <w:i/>
        </w:rPr>
        <w:t>Aculus fockeui</w:t>
      </w:r>
      <w:r w:rsidRPr="00750C8B">
        <w:t xml:space="preserve">’, </w:t>
      </w:r>
      <w:r w:rsidRPr="00750C8B">
        <w:rPr>
          <w:i/>
        </w:rPr>
        <w:t>Entomological Knowledge</w:t>
      </w:r>
      <w:r w:rsidRPr="00750C8B">
        <w:t>, vol. 31, no. 1, pp. 15-7. (Abstract only)</w:t>
      </w:r>
      <w:bookmarkEnd w:id="369"/>
    </w:p>
    <w:p w:rsidR="00B8782D" w:rsidRPr="00750C8B" w:rsidRDefault="00B8782D" w:rsidP="00750C8B">
      <w:pPr>
        <w:pStyle w:val="EndNoteBibliography"/>
        <w:spacing w:after="0"/>
      </w:pPr>
      <w:bookmarkStart w:id="370" w:name="_ENREF_227"/>
      <w:r w:rsidRPr="00750C8B">
        <w:t xml:space="preserve">Huber, GA 1930, ‘The </w:t>
      </w:r>
      <w:r w:rsidRPr="00750C8B">
        <w:rPr>
          <w:i/>
        </w:rPr>
        <w:t xml:space="preserve">Aspergilli </w:t>
      </w:r>
      <w:r w:rsidRPr="00750C8B">
        <w:t xml:space="preserve">and their relation to decay in apples’, </w:t>
      </w:r>
      <w:r w:rsidRPr="00750C8B">
        <w:rPr>
          <w:i/>
        </w:rPr>
        <w:t>Journal of Agriculture Research</w:t>
      </w:r>
      <w:r w:rsidRPr="00750C8B">
        <w:t>, vol. 41, pp. 801-7.</w:t>
      </w:r>
      <w:bookmarkEnd w:id="370"/>
    </w:p>
    <w:p w:rsidR="00B8782D" w:rsidRPr="00750C8B" w:rsidRDefault="00B8782D" w:rsidP="00750C8B">
      <w:pPr>
        <w:pStyle w:val="EndNoteBibliography"/>
        <w:spacing w:after="0"/>
      </w:pPr>
      <w:bookmarkStart w:id="371" w:name="_ENREF_228"/>
      <w:r w:rsidRPr="00750C8B">
        <w:t xml:space="preserve">Hudson, NM 1967, ‘A list of the armoured scale insects (Diaspididae) and their hosts in Tasmania’, </w:t>
      </w:r>
      <w:r w:rsidRPr="00750C8B">
        <w:rPr>
          <w:i/>
        </w:rPr>
        <w:t>Papers and Proceedings of the Royal Society of Tasmania</w:t>
      </w:r>
      <w:r w:rsidRPr="00750C8B">
        <w:t>, vol. 101, pp. 91-5.</w:t>
      </w:r>
      <w:bookmarkEnd w:id="371"/>
    </w:p>
    <w:p w:rsidR="00B8782D" w:rsidRPr="00750C8B" w:rsidRDefault="00B8782D" w:rsidP="00750C8B">
      <w:pPr>
        <w:pStyle w:val="EndNoteBibliography"/>
        <w:spacing w:after="0"/>
      </w:pPr>
      <w:bookmarkStart w:id="372" w:name="_ENREF_229"/>
      <w:r w:rsidRPr="00750C8B">
        <w:t>Hurtt, SS &amp; Podleckis, EV 1995, ‘</w:t>
      </w:r>
      <w:r w:rsidRPr="00750C8B">
        <w:rPr>
          <w:i/>
        </w:rPr>
        <w:t>Apple scar skin viroid</w:t>
      </w:r>
      <w:r w:rsidRPr="00750C8B">
        <w:t xml:space="preserve"> is not seed transmitted or transmitted at a low rate in Oriental pear’, </w:t>
      </w:r>
      <w:r w:rsidRPr="00750C8B">
        <w:rPr>
          <w:i/>
        </w:rPr>
        <w:t>Acta Horticulturae (ISHS)</w:t>
      </w:r>
      <w:r w:rsidRPr="00750C8B">
        <w:t>, vol. 386, pp. 544-50.</w:t>
      </w:r>
      <w:bookmarkEnd w:id="372"/>
    </w:p>
    <w:p w:rsidR="00B8782D" w:rsidRPr="00750C8B" w:rsidRDefault="00B8782D" w:rsidP="00750C8B">
      <w:pPr>
        <w:pStyle w:val="EndNoteBibliography"/>
        <w:spacing w:after="0"/>
      </w:pPr>
      <w:bookmarkStart w:id="373" w:name="_ENREF_230"/>
      <w:r w:rsidRPr="00750C8B">
        <w:t xml:space="preserve">Hwang, KH 1974, ‘Identification of ten species of leaf-rollers (Lepidoptera: Tortricidae) on apple trees in north China’ (in Chinese), </w:t>
      </w:r>
      <w:r w:rsidRPr="00750C8B">
        <w:rPr>
          <w:i/>
        </w:rPr>
        <w:t>Acta Entomologica Sinica (China)</w:t>
      </w:r>
      <w:r w:rsidRPr="00750C8B">
        <w:t>, vol. 17, no. 1, pp. 29-42.</w:t>
      </w:r>
      <w:bookmarkEnd w:id="373"/>
    </w:p>
    <w:p w:rsidR="00B8782D" w:rsidRPr="00750C8B" w:rsidRDefault="00B8782D" w:rsidP="00750C8B">
      <w:pPr>
        <w:pStyle w:val="EndNoteBibliography"/>
        <w:spacing w:after="0"/>
      </w:pPr>
      <w:bookmarkStart w:id="374" w:name="_ENREF_231"/>
      <w:r w:rsidRPr="00750C8B">
        <w:t xml:space="preserve">ICTVdB Management 2002, ‘Virus of plants in Australia: descriptions of Australian features of viruses’, available at </w:t>
      </w:r>
      <w:r w:rsidRPr="00B8782D">
        <w:t>http://ictvdb.bio-mirror.cn/Aussi/aussi.htm</w:t>
      </w:r>
      <w:r w:rsidRPr="00750C8B">
        <w:t>, accessed 2013.</w:t>
      </w:r>
      <w:bookmarkEnd w:id="374"/>
    </w:p>
    <w:p w:rsidR="00B8782D" w:rsidRPr="00750C8B" w:rsidRDefault="00B8782D" w:rsidP="00750C8B">
      <w:pPr>
        <w:pStyle w:val="EndNoteBibliography"/>
        <w:spacing w:after="0"/>
      </w:pPr>
      <w:bookmarkStart w:id="375" w:name="_ENREF_232"/>
      <w:r w:rsidRPr="00750C8B">
        <w:t xml:space="preserve">-- -- 2014, ‘Virus of plants in Australia: descriptions of Australian features of viruses’, available at </w:t>
      </w:r>
      <w:r w:rsidRPr="00B8782D">
        <w:t>http://www.ncbi.nlm.nih.gov/ICTVdb/Aussi/ausidesc.htm</w:t>
      </w:r>
      <w:r w:rsidRPr="00750C8B">
        <w:t>, accessed 2014.</w:t>
      </w:r>
      <w:bookmarkEnd w:id="375"/>
    </w:p>
    <w:p w:rsidR="00B8782D" w:rsidRPr="00750C8B" w:rsidRDefault="00B8782D" w:rsidP="00750C8B">
      <w:pPr>
        <w:pStyle w:val="EndNoteBibliography"/>
        <w:spacing w:after="0"/>
      </w:pPr>
      <w:bookmarkStart w:id="376" w:name="_ENREF_233"/>
      <w:r w:rsidRPr="00750C8B">
        <w:t xml:space="preserve">INRA 1997, ‘HYPPZ (Hypermédia pour la protection des plantes)’, available at </w:t>
      </w:r>
      <w:r w:rsidRPr="00B8782D">
        <w:t>http://www.inra.fr/hyppz/pa.htm</w:t>
      </w:r>
      <w:r w:rsidRPr="00750C8B">
        <w:t>, accessed 2014.</w:t>
      </w:r>
      <w:bookmarkEnd w:id="376"/>
    </w:p>
    <w:p w:rsidR="00B8782D" w:rsidRPr="00750C8B" w:rsidRDefault="00B8782D" w:rsidP="00750C8B">
      <w:pPr>
        <w:pStyle w:val="EndNoteBibliography"/>
        <w:spacing w:after="0"/>
      </w:pPr>
      <w:bookmarkStart w:id="377" w:name="_ENREF_234"/>
      <w:r w:rsidRPr="00750C8B">
        <w:lastRenderedPageBreak/>
        <w:t xml:space="preserve">IPPC 2013, </w:t>
      </w:r>
      <w:r w:rsidRPr="00750C8B">
        <w:rPr>
          <w:i/>
        </w:rPr>
        <w:t>Absence of Tomato ringspot virus from Australia</w:t>
      </w:r>
      <w:r w:rsidRPr="00750C8B">
        <w:t xml:space="preserve">, International Plant Protection Convention, available at </w:t>
      </w:r>
      <w:r w:rsidRPr="00750C8B">
        <w:rPr>
          <w:u w:val="single"/>
        </w:rPr>
        <w:t>https://</w:t>
      </w:r>
      <w:r w:rsidRPr="00B8782D">
        <w:t>www.ippc.int/countries/australia/basic-reporting/absence-tomato-ringspot-virus-australia</w:t>
      </w:r>
      <w:r w:rsidRPr="00750C8B">
        <w:t>.</w:t>
      </w:r>
      <w:bookmarkEnd w:id="377"/>
    </w:p>
    <w:p w:rsidR="00B8782D" w:rsidRPr="00750C8B" w:rsidRDefault="00B8782D" w:rsidP="00750C8B">
      <w:pPr>
        <w:pStyle w:val="EndNoteBibliography"/>
        <w:spacing w:after="0"/>
      </w:pPr>
      <w:bookmarkStart w:id="378" w:name="_ENREF_235"/>
      <w:r w:rsidRPr="00750C8B">
        <w:t xml:space="preserve">-- -- 2015, </w:t>
      </w:r>
      <w:r w:rsidRPr="00750C8B">
        <w:rPr>
          <w:i/>
        </w:rPr>
        <w:t>Little cherry virus 2 in Australia</w:t>
      </w:r>
      <w:r w:rsidRPr="00750C8B">
        <w:t xml:space="preserve">, International Plant Protection Convention, available at </w:t>
      </w:r>
      <w:r w:rsidRPr="00750C8B">
        <w:rPr>
          <w:u w:val="single"/>
        </w:rPr>
        <w:t>https://</w:t>
      </w:r>
      <w:r w:rsidRPr="00B8782D">
        <w:t>www.ippc.int/en/countries/Australia/pestreports/2014/05/little-cherry-virus-2-in-australia/</w:t>
      </w:r>
      <w:r w:rsidRPr="00750C8B">
        <w:t>.</w:t>
      </w:r>
      <w:bookmarkEnd w:id="378"/>
    </w:p>
    <w:p w:rsidR="00B8782D" w:rsidRPr="00750C8B" w:rsidRDefault="00B8782D" w:rsidP="00750C8B">
      <w:pPr>
        <w:pStyle w:val="EndNoteBibliography"/>
        <w:spacing w:after="0"/>
      </w:pPr>
      <w:bookmarkStart w:id="379" w:name="_ENREF_236"/>
      <w:r w:rsidRPr="00750C8B">
        <w:t xml:space="preserve">Ishiguri, Y &amp; Toyoshima, S 2006, ‘Larval survival and development of the peach fruit moth, </w:t>
      </w:r>
      <w:r w:rsidRPr="00750C8B">
        <w:rPr>
          <w:i/>
        </w:rPr>
        <w:t xml:space="preserve">Carposina sasakii </w:t>
      </w:r>
      <w:r w:rsidRPr="00750C8B">
        <w:t xml:space="preserve">(Lepidoptera: Carposinidae), in picked and unpicked apple fruits’, </w:t>
      </w:r>
      <w:r w:rsidRPr="00750C8B">
        <w:rPr>
          <w:i/>
        </w:rPr>
        <w:t>Applied Entomology and Zoology</w:t>
      </w:r>
      <w:r w:rsidRPr="00750C8B">
        <w:t>, vol. 41, no. 4, pp. 685-90.</w:t>
      </w:r>
      <w:bookmarkEnd w:id="379"/>
    </w:p>
    <w:p w:rsidR="00B8782D" w:rsidRPr="00750C8B" w:rsidRDefault="00B8782D" w:rsidP="00750C8B">
      <w:pPr>
        <w:pStyle w:val="EndNoteBibliography"/>
        <w:spacing w:after="0"/>
      </w:pPr>
      <w:bookmarkStart w:id="380" w:name="_ENREF_237"/>
      <w:r w:rsidRPr="00750C8B">
        <w:t xml:space="preserve">Jacobs, S 2014, </w:t>
      </w:r>
      <w:r w:rsidRPr="00750C8B">
        <w:rPr>
          <w:i/>
        </w:rPr>
        <w:t>Entomological notes: brown marmorated stink bug Halyomorpha halys</w:t>
      </w:r>
      <w:r w:rsidRPr="00750C8B">
        <w:t xml:space="preserve">, Pennsylvania State University, available at </w:t>
      </w:r>
      <w:r w:rsidRPr="00B8782D">
        <w:t>http://ento.psu.edu/extension/factsheets/brown-marmorated-stink-bug</w:t>
      </w:r>
      <w:r w:rsidRPr="00750C8B">
        <w:t>.</w:t>
      </w:r>
      <w:bookmarkEnd w:id="380"/>
    </w:p>
    <w:p w:rsidR="00B8782D" w:rsidRPr="00750C8B" w:rsidRDefault="00B8782D" w:rsidP="00750C8B">
      <w:pPr>
        <w:pStyle w:val="EndNoteBibliography"/>
        <w:spacing w:after="0"/>
      </w:pPr>
      <w:bookmarkStart w:id="381" w:name="_ENREF_238"/>
      <w:r w:rsidRPr="00750C8B">
        <w:t xml:space="preserve">James, DG, Faulder, RJ &amp; Bartelt, RJ 1995, ‘Fauna and seasonal abundance of </w:t>
      </w:r>
      <w:r w:rsidRPr="00750C8B">
        <w:rPr>
          <w:i/>
        </w:rPr>
        <w:t xml:space="preserve">Carpophilus </w:t>
      </w:r>
      <w:r w:rsidRPr="00750C8B">
        <w:t xml:space="preserve">spp. (Coleoptera: Nitidulidae) in four stone fruit growing regions of southeastern Australia as determined by pheromone trapping’, </w:t>
      </w:r>
      <w:r w:rsidRPr="00750C8B">
        <w:rPr>
          <w:i/>
        </w:rPr>
        <w:t>Journal of the Australian Entomological Society</w:t>
      </w:r>
      <w:r w:rsidRPr="00750C8B">
        <w:t>, vol. 34, pp. 327-33.</w:t>
      </w:r>
      <w:bookmarkEnd w:id="381"/>
    </w:p>
    <w:p w:rsidR="00B8782D" w:rsidRPr="00750C8B" w:rsidRDefault="00B8782D" w:rsidP="00750C8B">
      <w:pPr>
        <w:pStyle w:val="EndNoteBibliography"/>
        <w:spacing w:after="0"/>
      </w:pPr>
      <w:bookmarkStart w:id="382" w:name="_ENREF_239"/>
      <w:r w:rsidRPr="00750C8B">
        <w:t xml:space="preserve">James, DG, Faulder, RJ, Vogele, B &amp; Moore, CJ 2000, ‘Pheromone-trapping of </w:t>
      </w:r>
      <w:r w:rsidRPr="00750C8B">
        <w:rPr>
          <w:i/>
        </w:rPr>
        <w:t xml:space="preserve">Carpophilus </w:t>
      </w:r>
      <w:r w:rsidRPr="00750C8B">
        <w:t xml:space="preserve">spp. (Coleoptera: Nitidulidae) in stone fruit orchards near Gosford, New South Wales: fauna, seasonality and effect of insecticides’, </w:t>
      </w:r>
      <w:r w:rsidRPr="00750C8B">
        <w:rPr>
          <w:i/>
        </w:rPr>
        <w:t>Australian Journal of Entomology</w:t>
      </w:r>
      <w:r w:rsidRPr="00750C8B">
        <w:t>, vol. 39, pp. 310-5.</w:t>
      </w:r>
      <w:bookmarkEnd w:id="382"/>
    </w:p>
    <w:p w:rsidR="00B8782D" w:rsidRPr="00750C8B" w:rsidRDefault="00B8782D" w:rsidP="00750C8B">
      <w:pPr>
        <w:pStyle w:val="EndNoteBibliography"/>
        <w:spacing w:after="0"/>
      </w:pPr>
      <w:bookmarkStart w:id="383" w:name="_ENREF_240"/>
      <w:r w:rsidRPr="00750C8B">
        <w:t xml:space="preserve">Jeffers, WF 1940, ‘Studies on </w:t>
      </w:r>
      <w:r w:rsidRPr="00750C8B">
        <w:rPr>
          <w:i/>
        </w:rPr>
        <w:t>Caryospora putaminum</w:t>
      </w:r>
      <w:r w:rsidRPr="00750C8B">
        <w:t xml:space="preserve">’, </w:t>
      </w:r>
      <w:r w:rsidRPr="00750C8B">
        <w:rPr>
          <w:i/>
        </w:rPr>
        <w:t>Mycologia</w:t>
      </w:r>
      <w:r w:rsidRPr="00750C8B">
        <w:t>, vol. 32, no. 4, pp. 550-66.</w:t>
      </w:r>
      <w:bookmarkEnd w:id="383"/>
    </w:p>
    <w:p w:rsidR="00B8782D" w:rsidRPr="00750C8B" w:rsidRDefault="00B8782D" w:rsidP="00750C8B">
      <w:pPr>
        <w:pStyle w:val="EndNoteBibliography"/>
        <w:spacing w:after="0"/>
      </w:pPr>
      <w:bookmarkStart w:id="384" w:name="_ENREF_241"/>
      <w:r w:rsidRPr="00750C8B">
        <w:t xml:space="preserve">Jensen, FL, Flaherty, DL &amp; Luvisi, DA 1992, ‘Major insect and mite pests: Thrips’, in </w:t>
      </w:r>
      <w:r w:rsidRPr="00750C8B">
        <w:rPr>
          <w:i/>
        </w:rPr>
        <w:t>Grape pest management</w:t>
      </w:r>
      <w:r w:rsidRPr="00750C8B">
        <w:t>, Flaherty, DL, Christensen, LP, Lanini, WT, Marois, JJ, Phillips, PA &amp; Wilson, LT (eds), University of California, Oakland.</w:t>
      </w:r>
      <w:bookmarkEnd w:id="384"/>
    </w:p>
    <w:p w:rsidR="00B8782D" w:rsidRPr="00750C8B" w:rsidRDefault="00B8782D" w:rsidP="00750C8B">
      <w:pPr>
        <w:pStyle w:val="EndNoteBibliography"/>
        <w:spacing w:after="0"/>
      </w:pPr>
      <w:bookmarkStart w:id="385" w:name="_ENREF_242"/>
      <w:r w:rsidRPr="00750C8B">
        <w:t xml:space="preserve">Jeppson, LR, Keifer, HH &amp; Baker, EW 1975, </w:t>
      </w:r>
      <w:r w:rsidRPr="00750C8B">
        <w:rPr>
          <w:i/>
        </w:rPr>
        <w:t>Mites injurious to economic plants</w:t>
      </w:r>
      <w:r w:rsidRPr="00750C8B">
        <w:t>, University of California, Berkeley.</w:t>
      </w:r>
      <w:bookmarkEnd w:id="385"/>
    </w:p>
    <w:p w:rsidR="00B8782D" w:rsidRPr="00750C8B" w:rsidRDefault="00B8782D" w:rsidP="00750C8B">
      <w:pPr>
        <w:pStyle w:val="EndNoteBibliography"/>
        <w:spacing w:after="0"/>
      </w:pPr>
      <w:bookmarkStart w:id="386" w:name="_ENREF_243"/>
      <w:r w:rsidRPr="00750C8B">
        <w:t xml:space="preserve">JNGPC 2008, </w:t>
      </w:r>
      <w:r w:rsidRPr="00750C8B">
        <w:rPr>
          <w:i/>
        </w:rPr>
        <w:t>Nezarra antennata Scott</w:t>
      </w:r>
      <w:r w:rsidRPr="00750C8B">
        <w:t xml:space="preserve">, JiangNan horticultural plant protection web (Chinese), available at </w:t>
      </w:r>
      <w:r w:rsidRPr="00B8782D">
        <w:t>http://www.jngpc.cn/Page.aspx?guid=1610&amp;iid=4355</w:t>
      </w:r>
      <w:r w:rsidRPr="00750C8B">
        <w:t>.</w:t>
      </w:r>
      <w:bookmarkEnd w:id="386"/>
    </w:p>
    <w:p w:rsidR="00B8782D" w:rsidRPr="00750C8B" w:rsidRDefault="00B8782D" w:rsidP="00750C8B">
      <w:pPr>
        <w:pStyle w:val="EndNoteBibliography"/>
        <w:spacing w:after="0"/>
      </w:pPr>
      <w:bookmarkStart w:id="387" w:name="_ENREF_244"/>
      <w:r w:rsidRPr="00750C8B">
        <w:t xml:space="preserve">Johnstone, GR, Munro, D, Brown, GS &amp; Skotland, CB 1995, ‘Serological detection, occurrence and spread of ilarviruses in temperate fruit crops, hops and roses in Tasmania’, </w:t>
      </w:r>
      <w:r w:rsidRPr="00750C8B">
        <w:rPr>
          <w:i/>
        </w:rPr>
        <w:t>Acta Horticulturae (ISHS)</w:t>
      </w:r>
      <w:r w:rsidRPr="00750C8B">
        <w:t>, vol. 386, pp. 132-5.</w:t>
      </w:r>
      <w:bookmarkEnd w:id="387"/>
    </w:p>
    <w:p w:rsidR="00B8782D" w:rsidRPr="00750C8B" w:rsidRDefault="00B8782D" w:rsidP="00750C8B">
      <w:pPr>
        <w:pStyle w:val="EndNoteBibliography"/>
        <w:spacing w:after="0"/>
      </w:pPr>
      <w:bookmarkStart w:id="388" w:name="_ENREF_245"/>
      <w:r w:rsidRPr="00750C8B">
        <w:t xml:space="preserve">Jones, AL 1990, ‘Brown rot diseases’, in </w:t>
      </w:r>
      <w:r w:rsidRPr="00750C8B">
        <w:rPr>
          <w:i/>
        </w:rPr>
        <w:t>Compendium of apple and pear diseases</w:t>
      </w:r>
      <w:r w:rsidRPr="00750C8B">
        <w:t>, Jones, AL &amp; Aldwinckle, HS (eds), The American Phytopathological Society Press, St. Paul, Minnesota.</w:t>
      </w:r>
      <w:bookmarkEnd w:id="388"/>
    </w:p>
    <w:p w:rsidR="00B8782D" w:rsidRPr="00750C8B" w:rsidRDefault="00B8782D" w:rsidP="00750C8B">
      <w:pPr>
        <w:pStyle w:val="EndNoteBibliography"/>
        <w:spacing w:after="0"/>
      </w:pPr>
      <w:bookmarkStart w:id="389" w:name="_ENREF_246"/>
      <w:r w:rsidRPr="00750C8B">
        <w:t xml:space="preserve">Jones, DR 2005, ‘Plant viruses transmitted by thrips’, </w:t>
      </w:r>
      <w:r w:rsidRPr="00750C8B">
        <w:rPr>
          <w:i/>
        </w:rPr>
        <w:t>European Journal of Plant Pathology</w:t>
      </w:r>
      <w:r w:rsidRPr="00750C8B">
        <w:t>, vol. 113, no. 2, pp. 119-57.</w:t>
      </w:r>
      <w:bookmarkEnd w:id="389"/>
    </w:p>
    <w:p w:rsidR="00B8782D" w:rsidRPr="00750C8B" w:rsidRDefault="00B8782D" w:rsidP="00750C8B">
      <w:pPr>
        <w:pStyle w:val="EndNoteBibliography"/>
        <w:spacing w:after="0"/>
      </w:pPr>
      <w:bookmarkStart w:id="390" w:name="_ENREF_247"/>
      <w:r w:rsidRPr="00750C8B">
        <w:t>Jung, CR, Han, KS, Jung, JK, Choi, K, Lee, SW &amp; Boo, KS 2001, ‘Composition and activity of the Asiatic leafroller,</w:t>
      </w:r>
      <w:r w:rsidRPr="00750C8B">
        <w:rPr>
          <w:i/>
        </w:rPr>
        <w:t xml:space="preserve"> Archippus breviplicanus</w:t>
      </w:r>
      <w:r w:rsidRPr="00750C8B">
        <w:t xml:space="preserve"> (Lepidoptera: Tortricidae) sex phermone at apple orchards in Korea’ (in Korean), </w:t>
      </w:r>
      <w:r w:rsidRPr="00750C8B">
        <w:rPr>
          <w:i/>
        </w:rPr>
        <w:t>Korean Journal of Applied Entomology</w:t>
      </w:r>
      <w:r w:rsidRPr="00750C8B">
        <w:t>, vol. 40, no. 3, pp. 219-26.</w:t>
      </w:r>
      <w:bookmarkEnd w:id="390"/>
    </w:p>
    <w:p w:rsidR="00B8782D" w:rsidRPr="00750C8B" w:rsidRDefault="00B8782D" w:rsidP="00750C8B">
      <w:pPr>
        <w:pStyle w:val="EndNoteBibliography"/>
        <w:spacing w:after="0"/>
      </w:pPr>
      <w:bookmarkStart w:id="391" w:name="_ENREF_248"/>
      <w:r w:rsidRPr="00750C8B">
        <w:t xml:space="preserve">Kai, H, Zhang, WX &amp; Carson, HL 1993, ‘The Drosophilidae (Diptera) of Hainan Island (China)’, </w:t>
      </w:r>
      <w:r w:rsidRPr="00750C8B">
        <w:rPr>
          <w:i/>
        </w:rPr>
        <w:t>Pacific Science</w:t>
      </w:r>
      <w:r w:rsidRPr="00750C8B">
        <w:t>, vol. 47, no. 4, pp. 319-27.</w:t>
      </w:r>
      <w:bookmarkEnd w:id="391"/>
    </w:p>
    <w:p w:rsidR="00B8782D" w:rsidRPr="00750C8B" w:rsidRDefault="00B8782D" w:rsidP="00750C8B">
      <w:pPr>
        <w:pStyle w:val="EndNoteBibliography"/>
        <w:spacing w:after="0"/>
      </w:pPr>
      <w:bookmarkStart w:id="392" w:name="_ENREF_249"/>
      <w:r w:rsidRPr="00750C8B">
        <w:t>Kaneshiro, KY 1983, ‘</w:t>
      </w:r>
      <w:r w:rsidRPr="00750C8B">
        <w:rPr>
          <w:i/>
        </w:rPr>
        <w:t>Drosophila</w:t>
      </w:r>
      <w:r w:rsidRPr="00750C8B">
        <w:t xml:space="preserve"> (</w:t>
      </w:r>
      <w:r w:rsidRPr="00750C8B">
        <w:rPr>
          <w:i/>
        </w:rPr>
        <w:t>Sophophora</w:t>
      </w:r>
      <w:r w:rsidRPr="00750C8B">
        <w:t xml:space="preserve">) </w:t>
      </w:r>
      <w:r w:rsidRPr="00750C8B">
        <w:rPr>
          <w:i/>
        </w:rPr>
        <w:t xml:space="preserve">suzukii </w:t>
      </w:r>
      <w:r w:rsidRPr="00750C8B">
        <w:t xml:space="preserve">(Matsumura)’, </w:t>
      </w:r>
      <w:r w:rsidRPr="00750C8B">
        <w:rPr>
          <w:i/>
        </w:rPr>
        <w:t>Proceedings of the Hawaiian Entomological Society</w:t>
      </w:r>
      <w:r w:rsidRPr="00750C8B">
        <w:t>, vol. 24, p. 179.</w:t>
      </w:r>
      <w:bookmarkEnd w:id="392"/>
    </w:p>
    <w:p w:rsidR="00B8782D" w:rsidRPr="00750C8B" w:rsidRDefault="00B8782D" w:rsidP="00750C8B">
      <w:pPr>
        <w:pStyle w:val="EndNoteBibliography"/>
        <w:spacing w:after="0"/>
      </w:pPr>
      <w:bookmarkStart w:id="393" w:name="_ENREF_250"/>
      <w:r w:rsidRPr="00750C8B">
        <w:t xml:space="preserve">Kang, ZX, Zhang, FY, Sun, Q, Lu, X &amp; Guo, MZ 1989, ‘Application of sex attractant of </w:t>
      </w:r>
      <w:r w:rsidRPr="00750C8B">
        <w:rPr>
          <w:i/>
        </w:rPr>
        <w:t>Grapholitha molesta</w:t>
      </w:r>
      <w:r w:rsidRPr="00750C8B">
        <w:t xml:space="preserve"> for forecasting and control of </w:t>
      </w:r>
      <w:r w:rsidRPr="00750C8B">
        <w:rPr>
          <w:i/>
        </w:rPr>
        <w:t>Grapholitha funebrana</w:t>
      </w:r>
      <w:r w:rsidRPr="00750C8B">
        <w:t xml:space="preserve">’ (in Chinese), </w:t>
      </w:r>
      <w:r w:rsidRPr="00750C8B">
        <w:rPr>
          <w:i/>
        </w:rPr>
        <w:t>Insect Knowledge (Kunchong Zhishi)</w:t>
      </w:r>
      <w:r w:rsidRPr="00750C8B">
        <w:t>, vol. 26, no. 3, pp. 142-5.</w:t>
      </w:r>
      <w:bookmarkEnd w:id="393"/>
    </w:p>
    <w:p w:rsidR="00B8782D" w:rsidRPr="00750C8B" w:rsidRDefault="00B8782D" w:rsidP="00750C8B">
      <w:pPr>
        <w:pStyle w:val="EndNoteBibliography"/>
        <w:spacing w:after="0"/>
      </w:pPr>
      <w:bookmarkStart w:id="394" w:name="_ENREF_251"/>
      <w:r w:rsidRPr="00750C8B">
        <w:t xml:space="preserve">Kanzawa, T 1939, </w:t>
      </w:r>
      <w:r w:rsidRPr="00750C8B">
        <w:rPr>
          <w:i/>
        </w:rPr>
        <w:t>Studies on Drosophila suzukii Mats</w:t>
      </w:r>
      <w:r w:rsidRPr="00750C8B">
        <w:t>, Yamanashi Agricultural Experimental Station, Japan.</w:t>
      </w:r>
      <w:bookmarkEnd w:id="394"/>
    </w:p>
    <w:p w:rsidR="00B8782D" w:rsidRPr="00750C8B" w:rsidRDefault="00B8782D" w:rsidP="00750C8B">
      <w:pPr>
        <w:pStyle w:val="EndNoteBibliography"/>
        <w:spacing w:after="0"/>
      </w:pPr>
      <w:bookmarkStart w:id="395" w:name="_ENREF_252"/>
      <w:r w:rsidRPr="00750C8B">
        <w:t xml:space="preserve">Kaponi, MS, Luigi, M, Barba, M, Sano, T &amp; Kyriakopoulou, PE 2010, ‘First report and molecular analysis of </w:t>
      </w:r>
      <w:r w:rsidRPr="00750C8B">
        <w:rPr>
          <w:i/>
        </w:rPr>
        <w:t xml:space="preserve">Apple scar skin viroid </w:t>
      </w:r>
      <w:r w:rsidRPr="00750C8B">
        <w:t xml:space="preserve">in sweet cherry’, </w:t>
      </w:r>
      <w:r w:rsidRPr="00750C8B">
        <w:rPr>
          <w:i/>
        </w:rPr>
        <w:t>Julius Kühn Archiv</w:t>
      </w:r>
      <w:r w:rsidRPr="00750C8B">
        <w:t>, vol. 427, pp. 361-5.</w:t>
      </w:r>
      <w:bookmarkEnd w:id="395"/>
    </w:p>
    <w:p w:rsidR="00B8782D" w:rsidRPr="00750C8B" w:rsidRDefault="00B8782D" w:rsidP="00750C8B">
      <w:pPr>
        <w:pStyle w:val="EndNoteBibliography"/>
        <w:spacing w:after="0"/>
      </w:pPr>
      <w:bookmarkStart w:id="396" w:name="_ENREF_253"/>
      <w:r w:rsidRPr="00750C8B">
        <w:t xml:space="preserve">Kapoor, VC 2002, ‘Fruit-fly pests and their present status in India’, </w:t>
      </w:r>
      <w:r w:rsidRPr="00750C8B">
        <w:rPr>
          <w:i/>
        </w:rPr>
        <w:t>Proceedings of 6th International Fruit Fly Symposium, Stellenbosch, South Africa</w:t>
      </w:r>
      <w:r w:rsidRPr="00750C8B">
        <w:t>, CRP, South Africa, pp. 23-33.</w:t>
      </w:r>
      <w:bookmarkEnd w:id="396"/>
    </w:p>
    <w:p w:rsidR="00B8782D" w:rsidRPr="00750C8B" w:rsidRDefault="00B8782D" w:rsidP="00750C8B">
      <w:pPr>
        <w:pStyle w:val="EndNoteBibliography"/>
        <w:spacing w:after="0"/>
      </w:pPr>
      <w:bookmarkStart w:id="397" w:name="_ENREF_254"/>
      <w:r w:rsidRPr="00750C8B">
        <w:t xml:space="preserve">Kassanis, B 1970, </w:t>
      </w:r>
      <w:r w:rsidRPr="00750C8B">
        <w:rPr>
          <w:i/>
        </w:rPr>
        <w:t>Tobacco necrosis virus</w:t>
      </w:r>
      <w:r w:rsidRPr="00750C8B">
        <w:t xml:space="preserve">, Association of Applied Biologists: Descriptions of Plant Viruses, available at </w:t>
      </w:r>
      <w:r w:rsidRPr="00B8782D">
        <w:t>http://www.dpvweb.net</w:t>
      </w:r>
      <w:r w:rsidRPr="00750C8B">
        <w:t>.</w:t>
      </w:r>
      <w:bookmarkEnd w:id="397"/>
    </w:p>
    <w:p w:rsidR="00B8782D" w:rsidRPr="00750C8B" w:rsidRDefault="00B8782D" w:rsidP="00750C8B">
      <w:pPr>
        <w:pStyle w:val="EndNoteBibliography"/>
        <w:spacing w:after="0"/>
      </w:pPr>
      <w:bookmarkStart w:id="398" w:name="_ENREF_255"/>
      <w:r w:rsidRPr="00750C8B">
        <w:t xml:space="preserve">Katsumata, K 1934, </w:t>
      </w:r>
      <w:r w:rsidRPr="00750C8B">
        <w:rPr>
          <w:i/>
        </w:rPr>
        <w:t>Results of studies on Rhynchites heros Roelofs</w:t>
      </w:r>
      <w:r w:rsidRPr="00750C8B">
        <w:t>, Ishikawa Agricultural Experimental Station, Japan.</w:t>
      </w:r>
      <w:bookmarkEnd w:id="398"/>
    </w:p>
    <w:p w:rsidR="00B8782D" w:rsidRPr="00750C8B" w:rsidRDefault="00B8782D" w:rsidP="00750C8B">
      <w:pPr>
        <w:pStyle w:val="EndNoteBibliography"/>
        <w:spacing w:after="0"/>
      </w:pPr>
      <w:bookmarkStart w:id="399" w:name="_ENREF_256"/>
      <w:r w:rsidRPr="00750C8B">
        <w:t xml:space="preserve">Kaya, K, Gazel, M, Serçe, CU, Elçi, E, Cengiz, FC, Cambra, M &amp; Caglayan, K 2014, ‘Potential vectors of </w:t>
      </w:r>
      <w:r w:rsidRPr="00750C8B">
        <w:rPr>
          <w:i/>
        </w:rPr>
        <w:t xml:space="preserve">Plum pox virus </w:t>
      </w:r>
      <w:r w:rsidRPr="00750C8B">
        <w:t xml:space="preserve">in the Eastern Mediterranean Region of Turkey’, </w:t>
      </w:r>
      <w:r w:rsidRPr="00750C8B">
        <w:rPr>
          <w:i/>
        </w:rPr>
        <w:t>Entomologia Generalis</w:t>
      </w:r>
      <w:r w:rsidRPr="00750C8B">
        <w:t>, vol. 35, no. 2, pp. 137-50.</w:t>
      </w:r>
      <w:bookmarkEnd w:id="399"/>
    </w:p>
    <w:p w:rsidR="00B8782D" w:rsidRPr="00750C8B" w:rsidRDefault="00B8782D" w:rsidP="00750C8B">
      <w:pPr>
        <w:pStyle w:val="EndNoteBibliography"/>
        <w:spacing w:after="0"/>
      </w:pPr>
      <w:bookmarkStart w:id="400" w:name="_ENREF_257"/>
      <w:r w:rsidRPr="00750C8B">
        <w:lastRenderedPageBreak/>
        <w:t>Kharizanov, A 1976, ‘</w:t>
      </w:r>
      <w:r w:rsidRPr="00750C8B">
        <w:rPr>
          <w:i/>
        </w:rPr>
        <w:t>Argyrotaenia pulchellana</w:t>
      </w:r>
      <w:r w:rsidRPr="00750C8B">
        <w:t xml:space="preserve"> Haw.: a new pest of vine’ (in Bulgarian), </w:t>
      </w:r>
      <w:r w:rsidRPr="00750C8B">
        <w:rPr>
          <w:i/>
        </w:rPr>
        <w:t>Rastitelna Zashchita</w:t>
      </w:r>
      <w:r w:rsidRPr="00750C8B">
        <w:t>, vol. 24, no. 7, p. 32. (Abstract only)</w:t>
      </w:r>
      <w:bookmarkEnd w:id="400"/>
    </w:p>
    <w:p w:rsidR="00B8782D" w:rsidRPr="00750C8B" w:rsidRDefault="00B8782D" w:rsidP="00750C8B">
      <w:pPr>
        <w:pStyle w:val="EndNoteBibliography"/>
        <w:spacing w:after="0"/>
      </w:pPr>
      <w:bookmarkStart w:id="401" w:name="_ENREF_258"/>
      <w:r w:rsidRPr="00750C8B">
        <w:t xml:space="preserve">Kim, DS &amp; Lee, JH 2002, ‘Egg and larval survivorship of </w:t>
      </w:r>
      <w:r w:rsidRPr="00750C8B">
        <w:rPr>
          <w:i/>
        </w:rPr>
        <w:t xml:space="preserve">Carposina sasakii </w:t>
      </w:r>
      <w:r w:rsidRPr="00750C8B">
        <w:t xml:space="preserve">(Lepidoptera: Carposinidae) in apple and peach and their effects on adult population dynamics in orchards’, </w:t>
      </w:r>
      <w:r w:rsidRPr="00750C8B">
        <w:rPr>
          <w:i/>
        </w:rPr>
        <w:t>Environmental Entomology</w:t>
      </w:r>
      <w:r w:rsidRPr="00750C8B">
        <w:t>, vol. 31, no. 4, pp. 686-92.</w:t>
      </w:r>
      <w:bookmarkEnd w:id="401"/>
    </w:p>
    <w:p w:rsidR="00B8782D" w:rsidRPr="00750C8B" w:rsidRDefault="00B8782D" w:rsidP="00750C8B">
      <w:pPr>
        <w:pStyle w:val="EndNoteBibliography"/>
        <w:spacing w:after="0"/>
      </w:pPr>
      <w:bookmarkStart w:id="402" w:name="_ENREF_259"/>
      <w:r w:rsidRPr="00750C8B">
        <w:t xml:space="preserve">Kim, HR, lee, SH, Lee, DH, Kim, JS &amp; Park, JW 2006, ‘Transmission of </w:t>
      </w:r>
      <w:r w:rsidRPr="00750C8B">
        <w:rPr>
          <w:i/>
        </w:rPr>
        <w:t>Apple scar skin viroid</w:t>
      </w:r>
      <w:r w:rsidRPr="00750C8B">
        <w:t xml:space="preserve"> by grafting, using contaminated pruning equipment, and planting infected seeds’, </w:t>
      </w:r>
      <w:r w:rsidRPr="00750C8B">
        <w:rPr>
          <w:i/>
        </w:rPr>
        <w:t>Journal of Plant Pathology</w:t>
      </w:r>
      <w:r w:rsidRPr="00750C8B">
        <w:t>, vol. 22, pp. 63-7.</w:t>
      </w:r>
      <w:bookmarkEnd w:id="402"/>
    </w:p>
    <w:p w:rsidR="00B8782D" w:rsidRPr="00750C8B" w:rsidRDefault="00B8782D" w:rsidP="00750C8B">
      <w:pPr>
        <w:pStyle w:val="EndNoteBibliography"/>
        <w:spacing w:after="0"/>
      </w:pPr>
      <w:bookmarkStart w:id="403" w:name="_ENREF_260"/>
      <w:r w:rsidRPr="00750C8B">
        <w:t>Kitajima, H &amp; Sawamura, K 1995, ‘</w:t>
      </w:r>
      <w:r w:rsidRPr="00750C8B">
        <w:rPr>
          <w:i/>
        </w:rPr>
        <w:t>Leucotelium pruni-persicae</w:t>
      </w:r>
      <w:r w:rsidRPr="00750C8B">
        <w:t>’, Ogawa, JM, Zehr, EI, Bird, GW, Ritchie, DF, Uriu, K &amp; Uyemoto, JK (eds), The American Phytopathological Society Press, St. Paul, Minnesota.</w:t>
      </w:r>
      <w:bookmarkEnd w:id="403"/>
    </w:p>
    <w:p w:rsidR="00B8782D" w:rsidRPr="00750C8B" w:rsidRDefault="00B8782D" w:rsidP="00750C8B">
      <w:pPr>
        <w:pStyle w:val="EndNoteBibliography"/>
        <w:spacing w:after="0"/>
      </w:pPr>
      <w:bookmarkStart w:id="404" w:name="_ENREF_261"/>
      <w:r w:rsidRPr="00750C8B">
        <w:t xml:space="preserve">Koganezawa, H 1986, ‘Further evidence for viroid etiology of apple scar skin and dapple apple diseases’, </w:t>
      </w:r>
      <w:r w:rsidRPr="00750C8B">
        <w:rPr>
          <w:i/>
        </w:rPr>
        <w:t>Acta Horticulturae (ISHS)</w:t>
      </w:r>
      <w:r w:rsidRPr="00750C8B">
        <w:t>, vol. 193, pp. 29-33.</w:t>
      </w:r>
      <w:bookmarkEnd w:id="404"/>
    </w:p>
    <w:p w:rsidR="00B8782D" w:rsidRPr="00750C8B" w:rsidRDefault="00B8782D" w:rsidP="00750C8B">
      <w:pPr>
        <w:pStyle w:val="EndNoteBibliography"/>
        <w:spacing w:after="0"/>
      </w:pPr>
      <w:bookmarkStart w:id="405" w:name="_ENREF_262"/>
      <w:r w:rsidRPr="00750C8B">
        <w:t>Koganezawa, H, Yang, X, Zhu, SF, Hashimoto, J &amp; Hadidi, A 2003, ‘</w:t>
      </w:r>
      <w:r w:rsidRPr="00750C8B">
        <w:rPr>
          <w:i/>
        </w:rPr>
        <w:t>Apple scar skin viroid</w:t>
      </w:r>
      <w:r w:rsidRPr="00750C8B">
        <w:t xml:space="preserve">’, in </w:t>
      </w:r>
      <w:r w:rsidRPr="00750C8B">
        <w:rPr>
          <w:i/>
        </w:rPr>
        <w:t>Viroids</w:t>
      </w:r>
      <w:r w:rsidRPr="00750C8B">
        <w:t>, Hadidi, A, Flores, R, Randles, JW &amp; Semancik, JS (eds), Commonwealth Scientific and Industrial Research Organisation, Collingwood.</w:t>
      </w:r>
      <w:bookmarkEnd w:id="405"/>
    </w:p>
    <w:p w:rsidR="00B8782D" w:rsidRPr="00750C8B" w:rsidRDefault="00B8782D" w:rsidP="00750C8B">
      <w:pPr>
        <w:pStyle w:val="EndNoteBibliography"/>
        <w:spacing w:after="0"/>
      </w:pPr>
      <w:bookmarkStart w:id="406" w:name="_ENREF_263"/>
      <w:r w:rsidRPr="00750C8B">
        <w:t>Koltunow, AM, Krake, LR &amp; Rezaian, MA 1988, ‘</w:t>
      </w:r>
      <w:r w:rsidRPr="00750C8B">
        <w:rPr>
          <w:i/>
        </w:rPr>
        <w:t>Hop stunt viroid</w:t>
      </w:r>
      <w:r w:rsidRPr="00750C8B">
        <w:t xml:space="preserve"> in Australian grapevine cultivars: potential for hop infection’, </w:t>
      </w:r>
      <w:r w:rsidRPr="00750C8B">
        <w:rPr>
          <w:i/>
        </w:rPr>
        <w:t>Australasian Plant Pathology</w:t>
      </w:r>
      <w:r w:rsidRPr="00750C8B">
        <w:t>, vol. 17, no. 1, pp. 7-10.</w:t>
      </w:r>
      <w:bookmarkEnd w:id="406"/>
    </w:p>
    <w:p w:rsidR="00B8782D" w:rsidRPr="00750C8B" w:rsidRDefault="00B8782D" w:rsidP="00750C8B">
      <w:pPr>
        <w:pStyle w:val="EndNoteBibliography"/>
        <w:spacing w:after="0"/>
      </w:pPr>
      <w:bookmarkStart w:id="407" w:name="_ENREF_264"/>
      <w:r w:rsidRPr="00750C8B">
        <w:t xml:space="preserve">Kondo, T &amp; Miyahara, T 1930, ‘Fruit borers and a summary of their life-histories in Kwangtung, China’, </w:t>
      </w:r>
      <w:r w:rsidRPr="00750C8B">
        <w:rPr>
          <w:i/>
        </w:rPr>
        <w:t>Journal of Plant Protection (Tokyo)</w:t>
      </w:r>
      <w:r w:rsidRPr="00750C8B">
        <w:t>, vol. 17, pp. 85-94.</w:t>
      </w:r>
      <w:bookmarkEnd w:id="407"/>
    </w:p>
    <w:p w:rsidR="00B8782D" w:rsidRPr="00750C8B" w:rsidRDefault="00B8782D" w:rsidP="00750C8B">
      <w:pPr>
        <w:pStyle w:val="EndNoteBibliography"/>
        <w:spacing w:after="0"/>
      </w:pPr>
      <w:bookmarkStart w:id="408" w:name="_ENREF_265"/>
      <w:r w:rsidRPr="00750C8B">
        <w:t xml:space="preserve">Kovacs, G 2001, ‘Role of wood destroying fungi in orchards in Austria’, </w:t>
      </w:r>
      <w:r w:rsidRPr="00750C8B">
        <w:rPr>
          <w:i/>
        </w:rPr>
        <w:t>Integrated Fruit Production</w:t>
      </w:r>
      <w:r w:rsidRPr="00750C8B">
        <w:t>, vol. 24, no. 5, pp. 325-9.</w:t>
      </w:r>
      <w:bookmarkEnd w:id="408"/>
    </w:p>
    <w:p w:rsidR="00B8782D" w:rsidRPr="00750C8B" w:rsidRDefault="00B8782D" w:rsidP="00750C8B">
      <w:pPr>
        <w:pStyle w:val="EndNoteBibliography"/>
        <w:spacing w:after="0"/>
      </w:pPr>
      <w:bookmarkStart w:id="409" w:name="_ENREF_266"/>
      <w:r w:rsidRPr="00750C8B">
        <w:t xml:space="preserve">Kozakiewicz, Z 2003, </w:t>
      </w:r>
      <w:r w:rsidRPr="00750C8B">
        <w:rPr>
          <w:i/>
        </w:rPr>
        <w:t>Aspergillus japonicus</w:t>
      </w:r>
      <w:r w:rsidRPr="00750C8B">
        <w:t xml:space="preserve">, IMI Descriptions of Fungi and Bacteria No. 1543, CAB International, Wallingford, U.K., available at </w:t>
      </w:r>
      <w:r w:rsidRPr="00B8782D">
        <w:t>http://www.cabi.org/dfb/FullTextPDF/2005/20056401543.pdf</w:t>
      </w:r>
      <w:r w:rsidRPr="00750C8B">
        <w:t>.</w:t>
      </w:r>
      <w:bookmarkEnd w:id="409"/>
    </w:p>
    <w:p w:rsidR="00B8782D" w:rsidRPr="00750C8B" w:rsidRDefault="00B8782D" w:rsidP="00750C8B">
      <w:pPr>
        <w:pStyle w:val="EndNoteBibliography"/>
        <w:spacing w:after="0"/>
      </w:pPr>
      <w:bookmarkStart w:id="410" w:name="_ENREF_267"/>
      <w:r w:rsidRPr="00750C8B">
        <w:t xml:space="preserve">Kuang, C 1985, ‘Studies on the biology and control of </w:t>
      </w:r>
      <w:r w:rsidRPr="00750C8B">
        <w:rPr>
          <w:i/>
        </w:rPr>
        <w:t>Peridroma saucia</w:t>
      </w:r>
      <w:r w:rsidRPr="00750C8B">
        <w:t xml:space="preserve"> Hubner’ (in Chinese), </w:t>
      </w:r>
      <w:r w:rsidRPr="00750C8B">
        <w:rPr>
          <w:i/>
        </w:rPr>
        <w:t>Insect Knowledge (Kunchong Zhishi)</w:t>
      </w:r>
      <w:r w:rsidRPr="00750C8B">
        <w:t>, vol. 22, no. 2, pp. 61-4.</w:t>
      </w:r>
      <w:bookmarkEnd w:id="410"/>
    </w:p>
    <w:p w:rsidR="00B8782D" w:rsidRPr="00750C8B" w:rsidRDefault="00B8782D" w:rsidP="00750C8B">
      <w:pPr>
        <w:pStyle w:val="EndNoteBibliography"/>
        <w:spacing w:after="0"/>
      </w:pPr>
      <w:bookmarkStart w:id="411" w:name="_ENREF_268"/>
      <w:r w:rsidRPr="00750C8B">
        <w:t xml:space="preserve">Kulshrestha, S, Verma, N, Hallan, V, Raikhy, G, Singh, MK, Ram, R &amp; Zaidi, AA 2005, ‘Detection and identification of </w:t>
      </w:r>
      <w:r w:rsidRPr="00750C8B">
        <w:rPr>
          <w:i/>
        </w:rPr>
        <w:t>Prunus necrotic ringspot virus</w:t>
      </w:r>
      <w:r w:rsidRPr="00750C8B">
        <w:t xml:space="preserve"> in </w:t>
      </w:r>
      <w:r w:rsidRPr="00750C8B">
        <w:rPr>
          <w:i/>
        </w:rPr>
        <w:t>Pelargonium</w:t>
      </w:r>
      <w:r w:rsidRPr="00750C8B">
        <w:t xml:space="preserve">’, </w:t>
      </w:r>
      <w:r w:rsidRPr="00750C8B">
        <w:rPr>
          <w:i/>
        </w:rPr>
        <w:t>Australasian Plant Pathology</w:t>
      </w:r>
      <w:r w:rsidRPr="00750C8B">
        <w:t>, vol. 34, no. 4, pp. 599-601.</w:t>
      </w:r>
      <w:bookmarkEnd w:id="411"/>
    </w:p>
    <w:p w:rsidR="00B8782D" w:rsidRPr="00750C8B" w:rsidRDefault="00B8782D" w:rsidP="00750C8B">
      <w:pPr>
        <w:pStyle w:val="EndNoteBibliography"/>
        <w:spacing w:after="0"/>
      </w:pPr>
      <w:bookmarkStart w:id="412" w:name="_ENREF_269"/>
      <w:r w:rsidRPr="00750C8B">
        <w:t xml:space="preserve">Kumral, NA, Gencer, NS &amp; Coskuncu, KS 2004, ‘Life history of </w:t>
      </w:r>
      <w:r w:rsidRPr="00750C8B">
        <w:rPr>
          <w:i/>
        </w:rPr>
        <w:t>Lepidosaphes conchiformis</w:t>
      </w:r>
      <w:r w:rsidRPr="00750C8B">
        <w:t xml:space="preserve"> (Gmelin) in fig orchards in Bursa, Turkey’, </w:t>
      </w:r>
      <w:r w:rsidRPr="00750C8B">
        <w:rPr>
          <w:i/>
        </w:rPr>
        <w:t>Proceeding of the X International Symposium on Scale Insect Studies 19-23 April 2004</w:t>
      </w:r>
      <w:r w:rsidRPr="00750C8B">
        <w:t>.</w:t>
      </w:r>
      <w:bookmarkEnd w:id="412"/>
    </w:p>
    <w:p w:rsidR="00B8782D" w:rsidRPr="00750C8B" w:rsidRDefault="00B8782D" w:rsidP="00750C8B">
      <w:pPr>
        <w:pStyle w:val="EndNoteBibliography"/>
        <w:spacing w:after="0"/>
      </w:pPr>
      <w:bookmarkStart w:id="413" w:name="_ENREF_270"/>
      <w:r w:rsidRPr="00750C8B">
        <w:t>Kuwana, S 1902, ‘</w:t>
      </w:r>
      <w:r w:rsidRPr="00750C8B">
        <w:rPr>
          <w:i/>
        </w:rPr>
        <w:t>Dactylopius comstocki</w:t>
      </w:r>
      <w:r w:rsidRPr="00750C8B">
        <w:t xml:space="preserve">’, </w:t>
      </w:r>
      <w:r w:rsidRPr="00750C8B">
        <w:rPr>
          <w:i/>
        </w:rPr>
        <w:t>Proceedings of California Academy of Science</w:t>
      </w:r>
      <w:r w:rsidRPr="00750C8B">
        <w:t>, vol. 3, pp. 52-6.</w:t>
      </w:r>
      <w:bookmarkEnd w:id="413"/>
    </w:p>
    <w:p w:rsidR="00B8782D" w:rsidRPr="00750C8B" w:rsidRDefault="00B8782D" w:rsidP="00750C8B">
      <w:pPr>
        <w:pStyle w:val="EndNoteBibliography"/>
        <w:spacing w:after="0"/>
      </w:pPr>
      <w:bookmarkStart w:id="414" w:name="_ENREF_271"/>
      <w:r w:rsidRPr="00750C8B">
        <w:t xml:space="preserve">Labonne, G &amp; Quiot, J 2001, ‘Aphids can acquire </w:t>
      </w:r>
      <w:r w:rsidRPr="00750C8B">
        <w:rPr>
          <w:i/>
        </w:rPr>
        <w:t xml:space="preserve">Plum pox virus </w:t>
      </w:r>
      <w:r w:rsidRPr="00750C8B">
        <w:t xml:space="preserve">from infected fruits’, </w:t>
      </w:r>
      <w:r w:rsidRPr="00750C8B">
        <w:rPr>
          <w:i/>
        </w:rPr>
        <w:t>Acta Horticulturae (ISHS)</w:t>
      </w:r>
      <w:r w:rsidRPr="00750C8B">
        <w:t>, vol. 550, pp. 1-5.</w:t>
      </w:r>
      <w:bookmarkEnd w:id="414"/>
    </w:p>
    <w:p w:rsidR="00B8782D" w:rsidRPr="00750C8B" w:rsidRDefault="00B8782D" w:rsidP="00750C8B">
      <w:pPr>
        <w:pStyle w:val="EndNoteBibliography"/>
        <w:spacing w:after="0"/>
      </w:pPr>
      <w:bookmarkStart w:id="415" w:name="_ENREF_272"/>
      <w:r w:rsidRPr="00750C8B">
        <w:t xml:space="preserve">Labonne, G, Yvon, M, Quiot, J, Avinent, L &amp; Llacer, G 1995, ‘Aphids as potential vectors of </w:t>
      </w:r>
      <w:r w:rsidRPr="00750C8B">
        <w:rPr>
          <w:i/>
        </w:rPr>
        <w:t>Plum pox virus:</w:t>
      </w:r>
      <w:r w:rsidRPr="00750C8B">
        <w:t xml:space="preserve"> comparison of methods of testing and epidemiological consequences’, </w:t>
      </w:r>
      <w:r w:rsidRPr="00750C8B">
        <w:rPr>
          <w:i/>
        </w:rPr>
        <w:t>Acta Horticulturae (ISHS)</w:t>
      </w:r>
      <w:r w:rsidRPr="00750C8B">
        <w:t>, vol. 386, pp. 207-18.</w:t>
      </w:r>
      <w:bookmarkEnd w:id="415"/>
    </w:p>
    <w:p w:rsidR="00B8782D" w:rsidRPr="00750C8B" w:rsidRDefault="00B8782D" w:rsidP="00750C8B">
      <w:pPr>
        <w:pStyle w:val="EndNoteBibliography"/>
        <w:spacing w:after="0"/>
      </w:pPr>
      <w:bookmarkStart w:id="416" w:name="_ENREF_273"/>
      <w:r w:rsidRPr="00750C8B">
        <w:t xml:space="preserve">Lalancette, N &amp; Robison, DM 2002, ‘Effect of fungicides, application timing, and canker removal on incidence and severity of constriction canker of peach’, </w:t>
      </w:r>
      <w:r w:rsidRPr="00750C8B">
        <w:rPr>
          <w:i/>
        </w:rPr>
        <w:t>Plant Disease</w:t>
      </w:r>
      <w:r w:rsidRPr="00750C8B">
        <w:t>, vol. 86, pp. 721-8.</w:t>
      </w:r>
      <w:bookmarkEnd w:id="416"/>
    </w:p>
    <w:p w:rsidR="00B8782D" w:rsidRPr="00750C8B" w:rsidRDefault="00B8782D" w:rsidP="00750C8B">
      <w:pPr>
        <w:pStyle w:val="EndNoteBibliography"/>
        <w:spacing w:after="0"/>
      </w:pPr>
      <w:bookmarkStart w:id="417" w:name="_ENREF_274"/>
      <w:r w:rsidRPr="00750C8B">
        <w:t xml:space="preserve">Lammers, JW &amp; Stigter, H 2004, </w:t>
      </w:r>
      <w:r w:rsidRPr="00750C8B">
        <w:rPr>
          <w:i/>
        </w:rPr>
        <w:t>Report of a pest risk analysis - Cnidocampa flavescens</w:t>
      </w:r>
      <w:r w:rsidRPr="00750C8B">
        <w:t>, Plant Protection Service, The Netherlands.</w:t>
      </w:r>
      <w:bookmarkEnd w:id="417"/>
    </w:p>
    <w:p w:rsidR="00B8782D" w:rsidRPr="00750C8B" w:rsidRDefault="00B8782D" w:rsidP="00750C8B">
      <w:pPr>
        <w:pStyle w:val="EndNoteBibliography"/>
        <w:spacing w:after="0"/>
      </w:pPr>
      <w:bookmarkStart w:id="418" w:name="_ENREF_275"/>
      <w:r w:rsidRPr="00750C8B">
        <w:t xml:space="preserve">Landcare Research 2014, </w:t>
      </w:r>
      <w:r w:rsidRPr="00750C8B">
        <w:rPr>
          <w:i/>
        </w:rPr>
        <w:t>Soft scale factsheets: Pulvinaria vitis (Linnaeus) - Cottony vine scale</w:t>
      </w:r>
      <w:r w:rsidRPr="00750C8B">
        <w:t xml:space="preserve">, Landcare Research: Manaaki Whenua, available at </w:t>
      </w:r>
      <w:r w:rsidRPr="00B8782D">
        <w:t>http://www.landcareresearch.co.nz/science/plants-animals-fungi/animals/invertebrates/systematics/scale-insects/species-information-sheets/pulvinaria-vitis</w:t>
      </w:r>
      <w:r w:rsidRPr="00750C8B">
        <w:t>.</w:t>
      </w:r>
      <w:bookmarkEnd w:id="418"/>
    </w:p>
    <w:p w:rsidR="00B8782D" w:rsidRPr="00750C8B" w:rsidRDefault="00B8782D" w:rsidP="00750C8B">
      <w:pPr>
        <w:pStyle w:val="EndNoteBibliography"/>
        <w:spacing w:after="0"/>
      </w:pPr>
      <w:bookmarkStart w:id="419" w:name="_ENREF_276"/>
      <w:r w:rsidRPr="00750C8B">
        <w:t xml:space="preserve">-- -- 2015, </w:t>
      </w:r>
      <w:r w:rsidRPr="00750C8B">
        <w:rPr>
          <w:i/>
        </w:rPr>
        <w:t>Soft scale factsheet: Parthenolacanium corni (Bouche) - Brown scale</w:t>
      </w:r>
      <w:r w:rsidRPr="00750C8B">
        <w:t xml:space="preserve">, Landcare Research: Manaaki Whenua, available at </w:t>
      </w:r>
      <w:r w:rsidRPr="00B8782D">
        <w:t>http://www.landcareresearch.co.nz/science/portfolios/defining-land-biota/invertebrates/systematics/scale-insects/species-information-sheets/parthenolacanium-corni</w:t>
      </w:r>
      <w:r w:rsidRPr="00750C8B">
        <w:t>.</w:t>
      </w:r>
      <w:bookmarkEnd w:id="419"/>
    </w:p>
    <w:p w:rsidR="00B8782D" w:rsidRPr="00750C8B" w:rsidRDefault="00B8782D" w:rsidP="00750C8B">
      <w:pPr>
        <w:pStyle w:val="EndNoteBibliography"/>
        <w:spacing w:after="0"/>
      </w:pPr>
      <w:bookmarkStart w:id="420" w:name="_ENREF_277"/>
      <w:r w:rsidRPr="00750C8B">
        <w:t xml:space="preserve">Latham, AJ, Morgan-Jones, G &amp; Campbell, HL 1992, ‘Phomopsis dieback of peach shoots in Alabama’, </w:t>
      </w:r>
      <w:r w:rsidRPr="00750C8B">
        <w:rPr>
          <w:i/>
        </w:rPr>
        <w:t>Plant Disease</w:t>
      </w:r>
      <w:r w:rsidRPr="00750C8B">
        <w:t>, vol. 76, p. 426.</w:t>
      </w:r>
      <w:bookmarkEnd w:id="420"/>
    </w:p>
    <w:p w:rsidR="00B8782D" w:rsidRPr="00750C8B" w:rsidRDefault="00B8782D" w:rsidP="00750C8B">
      <w:pPr>
        <w:pStyle w:val="EndNoteBibliography"/>
        <w:spacing w:after="0"/>
      </w:pPr>
      <w:bookmarkStart w:id="421" w:name="_ENREF_278"/>
      <w:r w:rsidRPr="00750C8B">
        <w:lastRenderedPageBreak/>
        <w:t xml:space="preserve">Lee, JC, Bruck, DJ, Curry, H, Edwards, D, Haviland, DR, Van Steenwyk, RA &amp; Yorgey, BM 2011, ‘The susceptibility of small fruits and cherries to the spotted-wing drosophila, </w:t>
      </w:r>
      <w:r w:rsidRPr="00750C8B">
        <w:rPr>
          <w:i/>
        </w:rPr>
        <w:t>Drosophila suzukii</w:t>
      </w:r>
      <w:r w:rsidRPr="00750C8B">
        <w:t xml:space="preserve">’, </w:t>
      </w:r>
      <w:r w:rsidRPr="00750C8B">
        <w:rPr>
          <w:i/>
        </w:rPr>
        <w:t>Pest Management Science</w:t>
      </w:r>
      <w:r w:rsidRPr="00750C8B">
        <w:t>, vol. 67, pp. 1358-67.</w:t>
      </w:r>
      <w:bookmarkEnd w:id="421"/>
    </w:p>
    <w:p w:rsidR="00B8782D" w:rsidRPr="00750C8B" w:rsidRDefault="00B8782D" w:rsidP="00750C8B">
      <w:pPr>
        <w:pStyle w:val="EndNoteBibliography"/>
        <w:spacing w:after="0"/>
      </w:pPr>
      <w:bookmarkStart w:id="422" w:name="_ENREF_279"/>
      <w:r w:rsidRPr="00750C8B">
        <w:t xml:space="preserve">Lepp, H 2006, </w:t>
      </w:r>
      <w:r w:rsidRPr="00750C8B">
        <w:rPr>
          <w:i/>
        </w:rPr>
        <w:t>Fungal ecology: fungi and invertebrates</w:t>
      </w:r>
      <w:r w:rsidRPr="00750C8B">
        <w:t xml:space="preserve">, Australian National Botanic Gardens, available at </w:t>
      </w:r>
      <w:r w:rsidRPr="00B8782D">
        <w:t>www.anbg.gov.au</w:t>
      </w:r>
      <w:r w:rsidRPr="00750C8B">
        <w:t>.</w:t>
      </w:r>
      <w:bookmarkEnd w:id="422"/>
    </w:p>
    <w:p w:rsidR="00B8782D" w:rsidRPr="00750C8B" w:rsidRDefault="00B8782D" w:rsidP="00750C8B">
      <w:pPr>
        <w:pStyle w:val="EndNoteBibliography"/>
        <w:spacing w:after="0"/>
      </w:pPr>
      <w:bookmarkStart w:id="423" w:name="_ENREF_280"/>
      <w:r w:rsidRPr="00750C8B">
        <w:t xml:space="preserve">Letham, DB 1995, </w:t>
      </w:r>
      <w:r w:rsidRPr="00750C8B">
        <w:rPr>
          <w:i/>
        </w:rPr>
        <w:t>Host-pathogen index of plant diseases in New South Wales</w:t>
      </w:r>
      <w:r w:rsidRPr="00750C8B">
        <w:t>, New South Wales Agriculture, Rydalmere.</w:t>
      </w:r>
      <w:bookmarkEnd w:id="423"/>
    </w:p>
    <w:p w:rsidR="00B8782D" w:rsidRPr="00750C8B" w:rsidRDefault="00B8782D" w:rsidP="00750C8B">
      <w:pPr>
        <w:pStyle w:val="EndNoteBibliography"/>
        <w:spacing w:after="0"/>
      </w:pPr>
      <w:bookmarkStart w:id="424" w:name="_ENREF_281"/>
      <w:r w:rsidRPr="00750C8B">
        <w:t>Lewis, T 1973, ‘Thrips: their biology, ecology and economic importance’, Academic Press, London.</w:t>
      </w:r>
      <w:bookmarkEnd w:id="424"/>
    </w:p>
    <w:p w:rsidR="00B8782D" w:rsidRPr="00750C8B" w:rsidRDefault="00B8782D" w:rsidP="00750C8B">
      <w:pPr>
        <w:pStyle w:val="EndNoteBibliography"/>
        <w:spacing w:after="0"/>
      </w:pPr>
      <w:bookmarkStart w:id="425" w:name="_ENREF_282"/>
      <w:r w:rsidRPr="00750C8B">
        <w:t xml:space="preserve">Li, G 2012, </w:t>
      </w:r>
      <w:r w:rsidRPr="00750C8B">
        <w:rPr>
          <w:i/>
        </w:rPr>
        <w:t>Survey report on plum pox virus on stonefruit in China.</w:t>
      </w:r>
      <w:r w:rsidRPr="00750C8B">
        <w:t>, Chinese academy of inspection and quarantine, Research Report 2010IK264, China (pdf 3797kb).</w:t>
      </w:r>
      <w:bookmarkEnd w:id="425"/>
    </w:p>
    <w:p w:rsidR="00B8782D" w:rsidRPr="00750C8B" w:rsidRDefault="00B8782D" w:rsidP="00750C8B">
      <w:pPr>
        <w:pStyle w:val="EndNoteBibliography"/>
        <w:spacing w:after="0"/>
      </w:pPr>
      <w:bookmarkStart w:id="426" w:name="_ENREF_283"/>
      <w:r w:rsidRPr="00750C8B">
        <w:t xml:space="preserve">Li, LY, Wang, R &amp; Waterhouse, DF 1997, </w:t>
      </w:r>
      <w:r w:rsidRPr="00750C8B">
        <w:rPr>
          <w:i/>
        </w:rPr>
        <w:t>The distribution and importance of arthropod pest and weeds of agriculture and forestry plantations in Southern China</w:t>
      </w:r>
      <w:r w:rsidRPr="00750C8B">
        <w:t>, The Chinese Academy of Agricultural Sciences, Beijing, China and the Australian Centre for International Agricultural Research, Canberra.</w:t>
      </w:r>
      <w:bookmarkEnd w:id="426"/>
    </w:p>
    <w:p w:rsidR="00B8782D" w:rsidRPr="00750C8B" w:rsidRDefault="00B8782D" w:rsidP="00750C8B">
      <w:pPr>
        <w:pStyle w:val="EndNoteBibliography"/>
        <w:spacing w:after="0"/>
      </w:pPr>
      <w:bookmarkStart w:id="427" w:name="_ENREF_284"/>
      <w:r w:rsidRPr="00750C8B">
        <w:t xml:space="preserve">Li, SC, Liu, H &amp; Wu, HT 2004, ‘The occurrence of Comstock mealybug under bagging apple culture and its control’ (in Chinese), </w:t>
      </w:r>
      <w:r w:rsidRPr="00750C8B">
        <w:rPr>
          <w:i/>
        </w:rPr>
        <w:t>China Fruits</w:t>
      </w:r>
      <w:r w:rsidRPr="00750C8B">
        <w:t>, vol. 1, pp. 44-51.</w:t>
      </w:r>
      <w:bookmarkEnd w:id="427"/>
    </w:p>
    <w:p w:rsidR="00B8782D" w:rsidRPr="00750C8B" w:rsidRDefault="00B8782D" w:rsidP="00750C8B">
      <w:pPr>
        <w:pStyle w:val="EndNoteBibliography"/>
        <w:spacing w:after="0"/>
      </w:pPr>
      <w:bookmarkStart w:id="428" w:name="_ENREF_285"/>
      <w:r w:rsidRPr="00750C8B">
        <w:t xml:space="preserve">Li, SC, Wu, HT, Liu, SY, Liu, RX &amp; Yuan, XD 2001, ‘The occurrence of common green stink bug on apple trees and its control’ (in Chinese), </w:t>
      </w:r>
      <w:r w:rsidRPr="00750C8B">
        <w:rPr>
          <w:i/>
        </w:rPr>
        <w:t>China Fruits</w:t>
      </w:r>
      <w:r w:rsidRPr="00750C8B">
        <w:t>, vol. 6, pp. 31-2.</w:t>
      </w:r>
      <w:bookmarkEnd w:id="428"/>
    </w:p>
    <w:p w:rsidR="00B8782D" w:rsidRPr="00750C8B" w:rsidRDefault="00B8782D" w:rsidP="00750C8B">
      <w:pPr>
        <w:pStyle w:val="EndNoteBibliography"/>
        <w:spacing w:after="0"/>
      </w:pPr>
      <w:bookmarkStart w:id="429" w:name="_ENREF_286"/>
      <w:r w:rsidRPr="00750C8B">
        <w:t xml:space="preserve">Li, SF &amp; Lu, MG 2013, ‘Research on virus of peach trees and the preventive and control measures’ (in Chinese), </w:t>
      </w:r>
      <w:r w:rsidRPr="00750C8B">
        <w:rPr>
          <w:i/>
        </w:rPr>
        <w:t>China Fruit News</w:t>
      </w:r>
      <w:r w:rsidRPr="00750C8B">
        <w:t>, vol. 30, no. 10, pp. 80-1.</w:t>
      </w:r>
      <w:bookmarkEnd w:id="429"/>
    </w:p>
    <w:p w:rsidR="00B8782D" w:rsidRPr="00750C8B" w:rsidRDefault="00B8782D" w:rsidP="00750C8B">
      <w:pPr>
        <w:pStyle w:val="EndNoteBibliography"/>
        <w:spacing w:after="0"/>
      </w:pPr>
      <w:bookmarkStart w:id="430" w:name="_ENREF_287"/>
      <w:r w:rsidRPr="00750C8B">
        <w:t xml:space="preserve">Liang, G, Zhang, H, Li, Z &amp; Liu, T 2007, ‘Studies on the species of flower thrips and its occurrence in Dounan Chenggong county of Yunnan’, </w:t>
      </w:r>
      <w:r w:rsidRPr="00750C8B">
        <w:rPr>
          <w:i/>
        </w:rPr>
        <w:t>Southwest China Journal of Agricultural Sciences</w:t>
      </w:r>
      <w:r w:rsidRPr="00750C8B">
        <w:t>, vol. 20, no. 6, pp. 1291-5. (Abstract only)</w:t>
      </w:r>
      <w:bookmarkEnd w:id="430"/>
    </w:p>
    <w:p w:rsidR="00B8782D" w:rsidRPr="00750C8B" w:rsidRDefault="00B8782D" w:rsidP="00750C8B">
      <w:pPr>
        <w:pStyle w:val="EndNoteBibliography"/>
        <w:spacing w:after="0"/>
      </w:pPr>
      <w:bookmarkStart w:id="431" w:name="_ENREF_288"/>
      <w:r w:rsidRPr="00750C8B">
        <w:t xml:space="preserve">Liang, GQ, Hancock, DL, Xu, W &amp; Liang, F 1993, ‘Notes on the </w:t>
      </w:r>
      <w:r w:rsidRPr="00750C8B">
        <w:rPr>
          <w:i/>
        </w:rPr>
        <w:t xml:space="preserve">Dacinae </w:t>
      </w:r>
      <w:r w:rsidRPr="00750C8B">
        <w:t xml:space="preserve">of Southern China (Diptera: Tephritidae)’, </w:t>
      </w:r>
      <w:r w:rsidRPr="00750C8B">
        <w:rPr>
          <w:i/>
        </w:rPr>
        <w:t>Australian Journal of Entomology</w:t>
      </w:r>
      <w:r w:rsidRPr="00750C8B">
        <w:t>, vol. 32, no. 2, pp. 137-40.</w:t>
      </w:r>
      <w:bookmarkEnd w:id="431"/>
    </w:p>
    <w:p w:rsidR="00B8782D" w:rsidRPr="00750C8B" w:rsidRDefault="00B8782D" w:rsidP="00750C8B">
      <w:pPr>
        <w:pStyle w:val="EndNoteBibliography"/>
        <w:spacing w:after="0"/>
      </w:pPr>
      <w:bookmarkStart w:id="432" w:name="_ENREF_289"/>
      <w:r w:rsidRPr="00750C8B">
        <w:t>Liang, GQ, Liang, F &amp; Wu, JJ 2002, ‘Test on cold treatment of oriental fruit fly in Pomelo (</w:t>
      </w:r>
      <w:r w:rsidRPr="00750C8B">
        <w:rPr>
          <w:i/>
        </w:rPr>
        <w:t>Citrus grandis</w:t>
      </w:r>
      <w:r w:rsidRPr="00750C8B">
        <w:t xml:space="preserve">) fruits’ (in Chinese), </w:t>
      </w:r>
      <w:r w:rsidRPr="00750C8B">
        <w:rPr>
          <w:i/>
        </w:rPr>
        <w:t>Acta Agriculturae Universitatis Jiangxiensis</w:t>
      </w:r>
      <w:r w:rsidRPr="00750C8B">
        <w:t>, vol. 24, no. 2, pp. 223-6.</w:t>
      </w:r>
      <w:bookmarkEnd w:id="432"/>
    </w:p>
    <w:p w:rsidR="00B8782D" w:rsidRPr="00750C8B" w:rsidRDefault="00B8782D" w:rsidP="00750C8B">
      <w:pPr>
        <w:pStyle w:val="EndNoteBibliography"/>
        <w:spacing w:after="0"/>
      </w:pPr>
      <w:bookmarkStart w:id="433" w:name="_ENREF_290"/>
      <w:r w:rsidRPr="00750C8B">
        <w:t xml:space="preserve">Liang, GQ, Liang, F, Yang, GH, Wu, JJ, Situ, BL &amp; Zhang, ZH 1999, ‘The study of cold storage quarantine treatment controlling oriental fruit fly (Diptera: Tephritidae) in Longan’ (in Chinese), </w:t>
      </w:r>
      <w:r w:rsidRPr="00750C8B">
        <w:rPr>
          <w:i/>
        </w:rPr>
        <w:t>Acta Agriculturae Universitatis Jiangxiensis</w:t>
      </w:r>
      <w:r w:rsidRPr="00750C8B">
        <w:t>, vol. 1, no. 1, pp. 1-7.</w:t>
      </w:r>
      <w:bookmarkEnd w:id="433"/>
    </w:p>
    <w:p w:rsidR="00B8782D" w:rsidRPr="00750C8B" w:rsidRDefault="00B8782D" w:rsidP="00750C8B">
      <w:pPr>
        <w:pStyle w:val="EndNoteBibliography"/>
        <w:spacing w:after="0"/>
      </w:pPr>
      <w:bookmarkStart w:id="434" w:name="_ENREF_291"/>
      <w:r w:rsidRPr="00750C8B">
        <w:t xml:space="preserve">Liberti, D, Marais, A, Svanella-Dumas, L, Dulucq, MJ, Alioto, D, Ragozzino, A, Rodoni, B &amp; Candresse, T 2005, ‘Characterization of apricot pseudo-chlorotic leaf spot virus, a novel Trichovirus isolated from stone fruit trees’, </w:t>
      </w:r>
      <w:r w:rsidRPr="00750C8B">
        <w:rPr>
          <w:i/>
        </w:rPr>
        <w:t>Phytopathology</w:t>
      </w:r>
      <w:r w:rsidRPr="00750C8B">
        <w:t>, vol. 95, pp. 420-6.</w:t>
      </w:r>
      <w:bookmarkEnd w:id="434"/>
    </w:p>
    <w:p w:rsidR="00B8782D" w:rsidRPr="00750C8B" w:rsidRDefault="00B8782D" w:rsidP="00750C8B">
      <w:pPr>
        <w:pStyle w:val="EndNoteBibliography"/>
        <w:spacing w:after="0"/>
      </w:pPr>
      <w:bookmarkStart w:id="435" w:name="_ENREF_292"/>
      <w:r w:rsidRPr="00750C8B">
        <w:t xml:space="preserve">Lister, RM &amp; Murant, AF 1967, ‘Seed-transmission of nematode-borne viruses’, </w:t>
      </w:r>
      <w:r w:rsidRPr="00750C8B">
        <w:rPr>
          <w:i/>
        </w:rPr>
        <w:t>Annals of Applied Biology</w:t>
      </w:r>
      <w:r w:rsidRPr="00750C8B">
        <w:t>, vol. 59, pp. 49-62.</w:t>
      </w:r>
      <w:bookmarkEnd w:id="435"/>
    </w:p>
    <w:p w:rsidR="00B8782D" w:rsidRPr="00750C8B" w:rsidRDefault="00B8782D" w:rsidP="00750C8B">
      <w:pPr>
        <w:pStyle w:val="EndNoteBibliography"/>
        <w:spacing w:after="0"/>
      </w:pPr>
      <w:bookmarkStart w:id="436" w:name="_ENREF_293"/>
      <w:r w:rsidRPr="00750C8B">
        <w:t xml:space="preserve">Liu, Q &amp; Zheng, LY 1994, ‘On the Chinese species of </w:t>
      </w:r>
      <w:r w:rsidRPr="00750C8B">
        <w:rPr>
          <w:i/>
        </w:rPr>
        <w:t xml:space="preserve">Plautia </w:t>
      </w:r>
      <w:r w:rsidRPr="00750C8B">
        <w:t xml:space="preserve">Stal (Hemiptera: Pentatomidae)’ (in Chinese), </w:t>
      </w:r>
      <w:r w:rsidRPr="00750C8B">
        <w:rPr>
          <w:i/>
        </w:rPr>
        <w:t>Entomotaxonomia</w:t>
      </w:r>
      <w:r w:rsidRPr="00750C8B">
        <w:t>, vol. 16, no. 4, pp. 235-48.</w:t>
      </w:r>
      <w:bookmarkEnd w:id="436"/>
    </w:p>
    <w:p w:rsidR="00B8782D" w:rsidRPr="00750C8B" w:rsidRDefault="00B8782D" w:rsidP="00750C8B">
      <w:pPr>
        <w:pStyle w:val="EndNoteBibliography"/>
        <w:spacing w:after="0"/>
      </w:pPr>
      <w:bookmarkStart w:id="437" w:name="_ENREF_294"/>
      <w:r w:rsidRPr="00750C8B">
        <w:t xml:space="preserve">Liu, X &amp; Ye, H 2009, ‘Effect of temperature on development and survival of Bactrocera correcta (Diptera: Tephritidae)’, </w:t>
      </w:r>
      <w:r w:rsidRPr="00750C8B">
        <w:rPr>
          <w:i/>
        </w:rPr>
        <w:t>Scientific Research and Essay</w:t>
      </w:r>
      <w:r w:rsidRPr="00750C8B">
        <w:t>, vol. 4, no. 5, pp. 467-72.</w:t>
      </w:r>
      <w:bookmarkEnd w:id="437"/>
    </w:p>
    <w:p w:rsidR="00B8782D" w:rsidRPr="00750C8B" w:rsidRDefault="00B8782D" w:rsidP="00750C8B">
      <w:pPr>
        <w:pStyle w:val="EndNoteBibliography"/>
        <w:spacing w:after="0"/>
      </w:pPr>
      <w:bookmarkStart w:id="438" w:name="_ENREF_295"/>
      <w:r w:rsidRPr="00750C8B">
        <w:t xml:space="preserve">Liu, XQ 2002, ‘The occurrence of fruit piercing moth in Wuhan area and its control’ (in Chinese), </w:t>
      </w:r>
      <w:r w:rsidRPr="00750C8B">
        <w:rPr>
          <w:i/>
        </w:rPr>
        <w:t>South China Fruits</w:t>
      </w:r>
      <w:r w:rsidRPr="00750C8B">
        <w:t>, vol. 31, no. 3, pp. 15-6.</w:t>
      </w:r>
      <w:bookmarkEnd w:id="438"/>
    </w:p>
    <w:p w:rsidR="00B8782D" w:rsidRPr="00750C8B" w:rsidRDefault="00B8782D" w:rsidP="00750C8B">
      <w:pPr>
        <w:pStyle w:val="EndNoteBibliography"/>
        <w:spacing w:after="0"/>
      </w:pPr>
      <w:bookmarkStart w:id="439" w:name="_ENREF_296"/>
      <w:r w:rsidRPr="00750C8B">
        <w:t xml:space="preserve">Liu, Y &amp; Kuang, Y 2001, ‘Emergence and control of dominant population fruit-piercing moth in Hubei province’, </w:t>
      </w:r>
      <w:r w:rsidRPr="00750C8B">
        <w:rPr>
          <w:i/>
        </w:rPr>
        <w:t>Plant Protection Bulletin</w:t>
      </w:r>
      <w:r w:rsidRPr="00750C8B">
        <w:t>, vol. 27, no. 1, pp. 31-2. (Abstract only)</w:t>
      </w:r>
      <w:bookmarkEnd w:id="439"/>
    </w:p>
    <w:p w:rsidR="00B8782D" w:rsidRPr="00750C8B" w:rsidRDefault="00B8782D" w:rsidP="00750C8B">
      <w:pPr>
        <w:pStyle w:val="EndNoteBibliography"/>
        <w:spacing w:after="0"/>
      </w:pPr>
      <w:bookmarkStart w:id="440" w:name="_ENREF_297"/>
      <w:r w:rsidRPr="00750C8B">
        <w:t xml:space="preserve">Liu, Y &amp; Meng, X 2003, ‘Trapping effect of synthetic sex pheromone of </w:t>
      </w:r>
      <w:r w:rsidRPr="00750C8B">
        <w:rPr>
          <w:i/>
        </w:rPr>
        <w:t>Acleris fimbriana</w:t>
      </w:r>
      <w:r w:rsidRPr="00750C8B">
        <w:t xml:space="preserve"> (Lepidoptera: Tortricidae) in Chinese Northern orchard’, </w:t>
      </w:r>
      <w:r w:rsidRPr="00750C8B">
        <w:rPr>
          <w:i/>
        </w:rPr>
        <w:t>Zeitschrift fur Naturforschung: Section C, Biosciences</w:t>
      </w:r>
      <w:r w:rsidRPr="00750C8B">
        <w:t>, vol. 58, no. 56, pp. 421-5.</w:t>
      </w:r>
      <w:bookmarkEnd w:id="440"/>
    </w:p>
    <w:p w:rsidR="00B8782D" w:rsidRPr="00750C8B" w:rsidRDefault="00B8782D" w:rsidP="00750C8B">
      <w:pPr>
        <w:pStyle w:val="EndNoteBibliography"/>
        <w:spacing w:after="0"/>
      </w:pPr>
      <w:bookmarkStart w:id="441" w:name="_ENREF_298"/>
      <w:r w:rsidRPr="00750C8B">
        <w:t xml:space="preserve">Lo, PKC 1968, ‘Tetranychoid mites infesting fruit plants in Taiwan’, </w:t>
      </w:r>
      <w:r w:rsidRPr="00750C8B">
        <w:rPr>
          <w:i/>
        </w:rPr>
        <w:t>Bulletin Sun Yat-sen Cultural Foundation</w:t>
      </w:r>
      <w:r w:rsidRPr="00750C8B">
        <w:t>, vol. 2, pp. 97-137.</w:t>
      </w:r>
      <w:bookmarkEnd w:id="441"/>
    </w:p>
    <w:p w:rsidR="00B8782D" w:rsidRPr="00750C8B" w:rsidRDefault="00B8782D" w:rsidP="00750C8B">
      <w:pPr>
        <w:pStyle w:val="EndNoteBibliography"/>
        <w:spacing w:after="0"/>
      </w:pPr>
      <w:bookmarkStart w:id="442" w:name="_ENREF_299"/>
      <w:r w:rsidRPr="00750C8B">
        <w:lastRenderedPageBreak/>
        <w:t xml:space="preserve">Lommel, SA, Martelli, GP, Rubino, L &amp; Russo, M 2005, ‘Family Tombusviridae’, in </w:t>
      </w:r>
      <w:r w:rsidRPr="00750C8B">
        <w:rPr>
          <w:i/>
        </w:rPr>
        <w:t>Virus taxonomy classification and nomenclature: eighth report of the International Committee on Taxonomy of Viruses</w:t>
      </w:r>
      <w:r w:rsidRPr="00750C8B">
        <w:t>, Fauquet, CM, Mayo, MA, Maniloff, J, Desselberger, U &amp; Ball, LA (eds), Elsevier Academic Press, San Diego.</w:t>
      </w:r>
      <w:bookmarkEnd w:id="442"/>
    </w:p>
    <w:p w:rsidR="00B8782D" w:rsidRPr="00750C8B" w:rsidRDefault="00B8782D" w:rsidP="00750C8B">
      <w:pPr>
        <w:pStyle w:val="EndNoteBibliography"/>
        <w:spacing w:after="0"/>
      </w:pPr>
      <w:bookmarkStart w:id="443" w:name="_ENREF_300"/>
      <w:r w:rsidRPr="00750C8B">
        <w:t xml:space="preserve">Lu, H, Gong, Y-J, Shi, B &amp; Jing-Yi, S 2007, ‘Spatial distribution pattern and sampling of the Western flower thrips, </w:t>
      </w:r>
      <w:r w:rsidRPr="00750C8B">
        <w:rPr>
          <w:i/>
        </w:rPr>
        <w:t xml:space="preserve">Frankliniella occidentalis </w:t>
      </w:r>
      <w:r w:rsidRPr="00750C8B">
        <w:t xml:space="preserve">(Pergande) (Thysanoptera: Thripidae), on cucumber and green bean’ (in Chinese), </w:t>
      </w:r>
      <w:r w:rsidRPr="00750C8B">
        <w:rPr>
          <w:i/>
        </w:rPr>
        <w:t>Acta Entomologica Sinica (China)</w:t>
      </w:r>
      <w:r w:rsidRPr="00750C8B">
        <w:t>, vol. 50, no. 11, pp. 1187-93.</w:t>
      </w:r>
      <w:bookmarkEnd w:id="443"/>
    </w:p>
    <w:p w:rsidR="00B8782D" w:rsidRPr="00750C8B" w:rsidRDefault="00B8782D" w:rsidP="00750C8B">
      <w:pPr>
        <w:pStyle w:val="EndNoteBibliography"/>
        <w:spacing w:after="0"/>
      </w:pPr>
      <w:bookmarkStart w:id="444" w:name="_ENREF_301"/>
      <w:r w:rsidRPr="00750C8B">
        <w:t xml:space="preserve">Ma, CS 2006, </w:t>
      </w:r>
      <w:r w:rsidRPr="00750C8B">
        <w:rPr>
          <w:i/>
        </w:rPr>
        <w:t>Pests, diseases and weeds of apples</w:t>
      </w:r>
      <w:r w:rsidRPr="00750C8B">
        <w:t xml:space="preserve">, Key Laboratory of Agriculture Department, China, available at </w:t>
      </w:r>
      <w:r w:rsidRPr="00B8782D">
        <w:t>http://www.ecolsafety.org.cn//db/Fruit/login_pg.asp</w:t>
      </w:r>
      <w:r w:rsidRPr="00750C8B">
        <w:t>.</w:t>
      </w:r>
      <w:bookmarkEnd w:id="444"/>
    </w:p>
    <w:p w:rsidR="00B8782D" w:rsidRPr="00750C8B" w:rsidRDefault="00B8782D" w:rsidP="00750C8B">
      <w:pPr>
        <w:pStyle w:val="EndNoteBibliography"/>
        <w:spacing w:after="0"/>
      </w:pPr>
      <w:bookmarkStart w:id="445" w:name="_ENREF_302"/>
      <w:r w:rsidRPr="00750C8B">
        <w:t xml:space="preserve">Ma, YX, Li, JJ, Li, GF &amp; Zhu, SF 2014, ‘First report of </w:t>
      </w:r>
      <w:r w:rsidRPr="00750C8B">
        <w:rPr>
          <w:i/>
        </w:rPr>
        <w:t>Cherry mottle leaf virus</w:t>
      </w:r>
      <w:r w:rsidRPr="00750C8B">
        <w:t xml:space="preserve"> infecting cherry in China’, </w:t>
      </w:r>
      <w:r w:rsidRPr="00750C8B">
        <w:rPr>
          <w:i/>
        </w:rPr>
        <w:t>Plant Disease</w:t>
      </w:r>
      <w:r w:rsidRPr="00750C8B">
        <w:t>, vol. 98, no. 8, p. 1161.</w:t>
      </w:r>
      <w:bookmarkEnd w:id="445"/>
    </w:p>
    <w:p w:rsidR="00B8782D" w:rsidRPr="00750C8B" w:rsidRDefault="00B8782D" w:rsidP="00750C8B">
      <w:pPr>
        <w:pStyle w:val="EndNoteBibliography"/>
        <w:spacing w:after="0"/>
      </w:pPr>
      <w:bookmarkStart w:id="446" w:name="_ENREF_303"/>
      <w:r w:rsidRPr="00750C8B">
        <w:t xml:space="preserve">Maccarone, LD, Sivasithamparam, K, Barbetti, MJ &amp; Jones, RAC 2008, ‘Phylogenetic analysis of </w:t>
      </w:r>
      <w:r w:rsidRPr="00750C8B">
        <w:rPr>
          <w:i/>
        </w:rPr>
        <w:t>Olpidium virulentus,</w:t>
      </w:r>
      <w:r w:rsidRPr="00750C8B">
        <w:t xml:space="preserve"> </w:t>
      </w:r>
      <w:r w:rsidRPr="00750C8B">
        <w:rPr>
          <w:i/>
        </w:rPr>
        <w:t>Lettuce big-vein associated virus</w:t>
      </w:r>
      <w:r w:rsidRPr="00750C8B">
        <w:t xml:space="preserve"> and </w:t>
      </w:r>
      <w:r w:rsidRPr="00750C8B">
        <w:rPr>
          <w:i/>
        </w:rPr>
        <w:t>Mirafiori lettuce big-vein virus</w:t>
      </w:r>
      <w:r w:rsidRPr="00750C8B">
        <w:t xml:space="preserve"> isolates from Western Australia’, </w:t>
      </w:r>
      <w:r w:rsidRPr="00750C8B">
        <w:rPr>
          <w:i/>
        </w:rPr>
        <w:t>Plant Health Research Symposium 2008, 24 October 2008</w:t>
      </w:r>
      <w:r w:rsidRPr="00750C8B">
        <w:t>, Australian Plant Pathology Society, Western Australia, pp. 1-6.</w:t>
      </w:r>
      <w:bookmarkEnd w:id="446"/>
    </w:p>
    <w:p w:rsidR="00B8782D" w:rsidRPr="00750C8B" w:rsidRDefault="00B8782D" w:rsidP="00750C8B">
      <w:pPr>
        <w:pStyle w:val="EndNoteBibliography"/>
        <w:spacing w:after="0"/>
      </w:pPr>
      <w:bookmarkStart w:id="447" w:name="_ENREF_304"/>
      <w:r w:rsidRPr="00750C8B">
        <w:t>Maciesiak, A 1999, ‘Pear leaf blister moth (</w:t>
      </w:r>
      <w:r w:rsidRPr="00750C8B">
        <w:rPr>
          <w:i/>
        </w:rPr>
        <w:t>Leucoptera scitella</w:t>
      </w:r>
      <w:r w:rsidRPr="00750C8B">
        <w:t xml:space="preserve"> Zell.) appearance and control’, </w:t>
      </w:r>
      <w:r w:rsidRPr="00750C8B">
        <w:rPr>
          <w:i/>
        </w:rPr>
        <w:t>Progress in Plant Protection</w:t>
      </w:r>
      <w:r w:rsidRPr="00750C8B">
        <w:t>, vol. 39, no. 2, pp. 444-7. (Abstract only)</w:t>
      </w:r>
      <w:bookmarkEnd w:id="447"/>
    </w:p>
    <w:p w:rsidR="00B8782D" w:rsidRPr="00750C8B" w:rsidRDefault="00B8782D" w:rsidP="00750C8B">
      <w:pPr>
        <w:pStyle w:val="EndNoteBibliography"/>
        <w:spacing w:after="0"/>
      </w:pPr>
      <w:bookmarkStart w:id="448" w:name="_ENREF_305"/>
      <w:r w:rsidRPr="00750C8B">
        <w:t xml:space="preserve">MAF Plant Health &amp; Environment Laboratory 2011, </w:t>
      </w:r>
      <w:r w:rsidRPr="00750C8B">
        <w:rPr>
          <w:i/>
        </w:rPr>
        <w:t>Dictyospermum scale (Chrysomphalus dictyospermi) Morgan, 1889 (Hemiptera: Diaspididae)</w:t>
      </w:r>
      <w:r w:rsidRPr="00750C8B">
        <w:t xml:space="preserve">, PaDIL: Pests and Diseases Image Library, available at </w:t>
      </w:r>
      <w:r w:rsidRPr="00B8782D">
        <w:t>http://www.padil.gov.au:80/maf-border/Pest/Main/141383</w:t>
      </w:r>
      <w:r w:rsidRPr="00750C8B">
        <w:t>.</w:t>
      </w:r>
      <w:bookmarkEnd w:id="448"/>
    </w:p>
    <w:p w:rsidR="00B8782D" w:rsidRPr="00750C8B" w:rsidRDefault="00B8782D" w:rsidP="00750C8B">
      <w:pPr>
        <w:pStyle w:val="EndNoteBibliography"/>
        <w:spacing w:after="0"/>
      </w:pPr>
      <w:bookmarkStart w:id="449" w:name="_ENREF_306"/>
      <w:r w:rsidRPr="00750C8B">
        <w:t xml:space="preserve">MAFF 1989, </w:t>
      </w:r>
      <w:r w:rsidRPr="00750C8B">
        <w:rPr>
          <w:i/>
        </w:rPr>
        <w:t>Diseases of peach and nectarine sent by Ministry of Agriculture, Forestry and Fisheries, Japan</w:t>
      </w:r>
      <w:r w:rsidRPr="00750C8B">
        <w:t>, Ministry of Agriculture, Forestry and Fisheries, Tokyo.</w:t>
      </w:r>
      <w:bookmarkEnd w:id="449"/>
    </w:p>
    <w:p w:rsidR="00B8782D" w:rsidRPr="00750C8B" w:rsidRDefault="00B8782D" w:rsidP="00750C8B">
      <w:pPr>
        <w:pStyle w:val="EndNoteBibliography"/>
        <w:spacing w:after="0"/>
      </w:pPr>
      <w:bookmarkStart w:id="450" w:name="_ENREF_307"/>
      <w:r w:rsidRPr="00750C8B">
        <w:t xml:space="preserve">-- -- 1990, </w:t>
      </w:r>
      <w:r w:rsidRPr="00750C8B">
        <w:rPr>
          <w:i/>
        </w:rPr>
        <w:t>Biological information sent by Ministry of Agriculture, Forestry and Fisheries, Japan</w:t>
      </w:r>
      <w:r w:rsidRPr="00750C8B">
        <w:t>, Ministry of Agriculture, Forestry and Fisheries, Tokyo.</w:t>
      </w:r>
      <w:bookmarkEnd w:id="450"/>
    </w:p>
    <w:p w:rsidR="00B8782D" w:rsidRPr="00750C8B" w:rsidRDefault="00B8782D" w:rsidP="00750C8B">
      <w:pPr>
        <w:pStyle w:val="EndNoteBibliography"/>
        <w:spacing w:after="0"/>
      </w:pPr>
      <w:bookmarkStart w:id="451" w:name="_ENREF_308"/>
      <w:r w:rsidRPr="00750C8B">
        <w:t xml:space="preserve">-- -- 2008, </w:t>
      </w:r>
      <w:r w:rsidRPr="00750C8B">
        <w:rPr>
          <w:i/>
        </w:rPr>
        <w:t>Pest and disease status of pests relevant to stonefruit sent by Ministry of Agriculture, Forestry and Fisheries, Japan</w:t>
      </w:r>
      <w:r w:rsidRPr="00750C8B">
        <w:t>, Ministry of Agriculture, Forestry and Fisheries, Tokyo.</w:t>
      </w:r>
      <w:bookmarkEnd w:id="451"/>
    </w:p>
    <w:p w:rsidR="00B8782D" w:rsidRPr="00750C8B" w:rsidRDefault="00B8782D" w:rsidP="00750C8B">
      <w:pPr>
        <w:pStyle w:val="EndNoteBibliography"/>
        <w:spacing w:after="0"/>
      </w:pPr>
      <w:bookmarkStart w:id="452" w:name="_ENREF_309"/>
      <w:r w:rsidRPr="00750C8B">
        <w:t xml:space="preserve">-- -- 2010, </w:t>
      </w:r>
      <w:r w:rsidRPr="00750C8B">
        <w:rPr>
          <w:i/>
        </w:rPr>
        <w:t>Information on Japanese peaches and nectarines sent by Ministry of Agriculture, Forestry and Fisheries, Japan</w:t>
      </w:r>
      <w:r w:rsidRPr="00750C8B">
        <w:t>, Ministry of Agriculture, Forestry and Fisheries, Toyko.</w:t>
      </w:r>
      <w:bookmarkEnd w:id="452"/>
    </w:p>
    <w:p w:rsidR="00B8782D" w:rsidRPr="00750C8B" w:rsidRDefault="00B8782D" w:rsidP="00750C8B">
      <w:pPr>
        <w:pStyle w:val="EndNoteBibliography"/>
        <w:spacing w:after="0"/>
      </w:pPr>
      <w:bookmarkStart w:id="453" w:name="_ENREF_310"/>
      <w:r w:rsidRPr="00750C8B">
        <w:t xml:space="preserve">MAL 2006, </w:t>
      </w:r>
      <w:r w:rsidRPr="00750C8B">
        <w:rPr>
          <w:i/>
        </w:rPr>
        <w:t>Little cherry virus disease</w:t>
      </w:r>
      <w:r w:rsidRPr="00750C8B">
        <w:t xml:space="preserve">, Ministry of Agriculture and Lands, British Columbia, available at </w:t>
      </w:r>
      <w:r w:rsidRPr="00B8782D">
        <w:t>http://www.agf.gov.bc.ca/cropprot/lcv2.htm</w:t>
      </w:r>
      <w:r w:rsidRPr="00750C8B">
        <w:t>.</w:t>
      </w:r>
      <w:bookmarkEnd w:id="453"/>
    </w:p>
    <w:p w:rsidR="00B8782D" w:rsidRPr="00750C8B" w:rsidRDefault="00B8782D" w:rsidP="00750C8B">
      <w:pPr>
        <w:pStyle w:val="EndNoteBibliography"/>
        <w:spacing w:after="0"/>
      </w:pPr>
      <w:bookmarkStart w:id="454" w:name="_ENREF_311"/>
      <w:r w:rsidRPr="00750C8B">
        <w:t>Malumphy, CP 2005, ‘</w:t>
      </w:r>
      <w:r w:rsidRPr="00750C8B">
        <w:rPr>
          <w:i/>
        </w:rPr>
        <w:t>Eulecanium excrescens</w:t>
      </w:r>
      <w:r w:rsidRPr="00750C8B">
        <w:t xml:space="preserve"> (Ferries) (Hemiptera: Coccidae), an Asian pest of woody ornamentalis and fruit trees, new to Britain’, </w:t>
      </w:r>
      <w:r w:rsidRPr="00750C8B">
        <w:rPr>
          <w:i/>
        </w:rPr>
        <w:t>British Journal of Entomology and Natural History</w:t>
      </w:r>
      <w:r w:rsidRPr="00750C8B">
        <w:t>, vol. 18, pp. 45-9.</w:t>
      </w:r>
      <w:bookmarkEnd w:id="454"/>
    </w:p>
    <w:p w:rsidR="00B8782D" w:rsidRPr="00750C8B" w:rsidRDefault="00B8782D" w:rsidP="00750C8B">
      <w:pPr>
        <w:pStyle w:val="EndNoteBibliography"/>
        <w:spacing w:after="0"/>
      </w:pPr>
      <w:bookmarkStart w:id="455" w:name="_ENREF_312"/>
      <w:r w:rsidRPr="00750C8B">
        <w:t xml:space="preserve">Manson, DCM 1987, ‘A list of New Zealand mites and their host plants’, </w:t>
      </w:r>
      <w:r w:rsidRPr="00750C8B">
        <w:rPr>
          <w:i/>
        </w:rPr>
        <w:t>Department of Scientific and Industrial Research Bulletin</w:t>
      </w:r>
      <w:r w:rsidRPr="00750C8B">
        <w:t>, vol. 240, pp. 1-63.</w:t>
      </w:r>
      <w:bookmarkEnd w:id="455"/>
    </w:p>
    <w:p w:rsidR="00B8782D" w:rsidRPr="00750C8B" w:rsidRDefault="00B8782D" w:rsidP="00750C8B">
      <w:pPr>
        <w:pStyle w:val="EndNoteBibliography"/>
        <w:spacing w:after="0"/>
      </w:pPr>
      <w:bookmarkStart w:id="456" w:name="_ENREF_313"/>
      <w:r w:rsidRPr="00750C8B">
        <w:t xml:space="preserve">Martin, RR &amp; Tzanetakis, IE 2006, ‘Characterization and recent advances in detection of strawberry viruses’, </w:t>
      </w:r>
      <w:r w:rsidRPr="00750C8B">
        <w:rPr>
          <w:i/>
        </w:rPr>
        <w:t>Plant Disease</w:t>
      </w:r>
      <w:r w:rsidRPr="00750C8B">
        <w:t>, vol. 90, no. 4, pp. 384-96.</w:t>
      </w:r>
      <w:bookmarkEnd w:id="456"/>
    </w:p>
    <w:p w:rsidR="00B8782D" w:rsidRPr="00750C8B" w:rsidRDefault="00B8782D" w:rsidP="00750C8B">
      <w:pPr>
        <w:pStyle w:val="EndNoteBibliography"/>
        <w:spacing w:after="0"/>
      </w:pPr>
      <w:bookmarkStart w:id="457" w:name="_ENREF_314"/>
      <w:r w:rsidRPr="00750C8B">
        <w:t xml:space="preserve">Martini, C, Lantos, A, Di Francesco, A, Guidareli, M, D'Aquino, S &amp; Baraldi, E 2014, ‘First report of asiatic brown rot caused by </w:t>
      </w:r>
      <w:r w:rsidRPr="00750C8B">
        <w:rPr>
          <w:i/>
        </w:rPr>
        <w:t>Monilinia polystroma</w:t>
      </w:r>
      <w:r w:rsidRPr="00750C8B">
        <w:t xml:space="preserve"> on peach in Italy’, </w:t>
      </w:r>
      <w:r w:rsidRPr="00750C8B">
        <w:rPr>
          <w:i/>
        </w:rPr>
        <w:t>Plant Disease</w:t>
      </w:r>
      <w:r w:rsidRPr="00750C8B">
        <w:t>, vol. 98, no. 11, p. 1585.</w:t>
      </w:r>
      <w:bookmarkEnd w:id="457"/>
    </w:p>
    <w:p w:rsidR="00B8782D" w:rsidRPr="00750C8B" w:rsidRDefault="00B8782D" w:rsidP="00750C8B">
      <w:pPr>
        <w:pStyle w:val="EndNoteBibliography"/>
        <w:spacing w:after="0"/>
      </w:pPr>
      <w:bookmarkStart w:id="458" w:name="_ENREF_315"/>
      <w:r w:rsidRPr="00750C8B">
        <w:t xml:space="preserve">Matsumoto, K, Nakamuta, K &amp; Nakashima, T 2007, ‘Mating distruption controls the cherry tree borer, </w:t>
      </w:r>
      <w:r w:rsidRPr="00750C8B">
        <w:rPr>
          <w:i/>
        </w:rPr>
        <w:t xml:space="preserve">Synanthedon hector </w:t>
      </w:r>
      <w:r w:rsidRPr="00750C8B">
        <w:t xml:space="preserve">(Butler) (Lepidoptera: Sesiidae), in a steep orchard of cherry trees’, </w:t>
      </w:r>
      <w:r w:rsidRPr="00750C8B">
        <w:rPr>
          <w:i/>
        </w:rPr>
        <w:t>Journal of Forestry Research</w:t>
      </w:r>
      <w:r w:rsidRPr="00750C8B">
        <w:t>, vol. 12, pp. 34-7.</w:t>
      </w:r>
      <w:bookmarkEnd w:id="458"/>
    </w:p>
    <w:p w:rsidR="00B8782D" w:rsidRPr="00750C8B" w:rsidRDefault="00B8782D" w:rsidP="00750C8B">
      <w:pPr>
        <w:pStyle w:val="EndNoteBibliography"/>
        <w:spacing w:after="0"/>
      </w:pPr>
      <w:bookmarkStart w:id="459" w:name="_ENREF_316"/>
      <w:r w:rsidRPr="00750C8B">
        <w:t xml:space="preserve">Mau, RFL &amp; Martin Kessing, JL 1993, </w:t>
      </w:r>
      <w:r w:rsidRPr="00750C8B">
        <w:rPr>
          <w:i/>
        </w:rPr>
        <w:t>Frankliniella occidentalis (Pergande)</w:t>
      </w:r>
      <w:r w:rsidRPr="00750C8B">
        <w:t xml:space="preserve">, Crop Knowledge Master, available at </w:t>
      </w:r>
      <w:r w:rsidRPr="00B8782D">
        <w:t>http://www.extento.hawaii.edu/kbase/Crop/SciName/cropsci.htm</w:t>
      </w:r>
      <w:r w:rsidRPr="00750C8B">
        <w:t>.</w:t>
      </w:r>
      <w:bookmarkEnd w:id="459"/>
    </w:p>
    <w:p w:rsidR="00B8782D" w:rsidRPr="00750C8B" w:rsidRDefault="00B8782D" w:rsidP="00750C8B">
      <w:pPr>
        <w:pStyle w:val="EndNoteBibliography"/>
        <w:spacing w:after="0"/>
      </w:pPr>
      <w:bookmarkStart w:id="460" w:name="_ENREF_317"/>
      <w:r w:rsidRPr="00750C8B">
        <w:t xml:space="preserve">May, TW, Milne, J, Shingles, S &amp; Jones, RH 2003, </w:t>
      </w:r>
      <w:r w:rsidRPr="00750C8B">
        <w:rPr>
          <w:i/>
        </w:rPr>
        <w:t>Fungi of Australia vol. 2B: catalogue and bibliography of Australian fungi 2. Basidiomycota p.p. &amp; Myxomycota p.p</w:t>
      </w:r>
      <w:r w:rsidRPr="00750C8B">
        <w:t>, Grgurinovic, CA &amp; Cayzer, L (eds), Australian Biological Resources Study/Commonwealth Scientific and Industrial Research Organisation, Melbourne.</w:t>
      </w:r>
      <w:bookmarkEnd w:id="460"/>
    </w:p>
    <w:p w:rsidR="00B8782D" w:rsidRPr="00750C8B" w:rsidRDefault="00B8782D" w:rsidP="00750C8B">
      <w:pPr>
        <w:pStyle w:val="EndNoteBibliography"/>
        <w:spacing w:after="0"/>
      </w:pPr>
      <w:bookmarkStart w:id="461" w:name="_ENREF_318"/>
      <w:r w:rsidRPr="00750C8B">
        <w:t xml:space="preserve">MBG Integrated Pest Management 2011, </w:t>
      </w:r>
      <w:r w:rsidRPr="00750C8B">
        <w:rPr>
          <w:i/>
        </w:rPr>
        <w:t>Nectria canker and dieback</w:t>
      </w:r>
      <w:r w:rsidRPr="00750C8B">
        <w:t xml:space="preserve">, available at </w:t>
      </w:r>
      <w:r w:rsidRPr="00B8782D">
        <w:t>http://www.mobot.org/gardeninghelp/plantfinder/IPM.asp?code=145&amp;group=21&amp;level=s</w:t>
      </w:r>
      <w:r w:rsidRPr="00750C8B">
        <w:t>.</w:t>
      </w:r>
      <w:bookmarkEnd w:id="461"/>
    </w:p>
    <w:p w:rsidR="00B8782D" w:rsidRPr="00750C8B" w:rsidRDefault="00B8782D" w:rsidP="00750C8B">
      <w:pPr>
        <w:pStyle w:val="EndNoteBibliography"/>
        <w:spacing w:after="0"/>
      </w:pPr>
      <w:bookmarkStart w:id="462" w:name="_ENREF_319"/>
      <w:r w:rsidRPr="00750C8B">
        <w:lastRenderedPageBreak/>
        <w:t xml:space="preserve">McDonald, JR, Bale, JS &amp; Walter, KFA 1997, ‘Rapid cold hardening in the Western flower thrips </w:t>
      </w:r>
      <w:r w:rsidRPr="00750C8B">
        <w:rPr>
          <w:i/>
        </w:rPr>
        <w:t>Frankliniella occidentalis</w:t>
      </w:r>
      <w:r w:rsidRPr="00750C8B">
        <w:t xml:space="preserve">’, </w:t>
      </w:r>
      <w:r w:rsidRPr="00750C8B">
        <w:rPr>
          <w:i/>
        </w:rPr>
        <w:t>Journal of Insect Physiology</w:t>
      </w:r>
      <w:r w:rsidRPr="00750C8B">
        <w:t>, vol. 43, no. 8, pp. 759-66.</w:t>
      </w:r>
      <w:bookmarkEnd w:id="462"/>
    </w:p>
    <w:p w:rsidR="00B8782D" w:rsidRPr="00750C8B" w:rsidRDefault="00B8782D" w:rsidP="00750C8B">
      <w:pPr>
        <w:pStyle w:val="EndNoteBibliography"/>
        <w:spacing w:after="0"/>
      </w:pPr>
      <w:bookmarkStart w:id="463" w:name="_ENREF_320"/>
      <w:r w:rsidRPr="00750C8B">
        <w:t xml:space="preserve">McDonald, JR, Bale, JS &amp; Walters, KFA 1997, ‘Low temperature mortality and overwintering of the Western flower thrips </w:t>
      </w:r>
      <w:r w:rsidRPr="00750C8B">
        <w:rPr>
          <w:i/>
        </w:rPr>
        <w:t>Frankliniella occidentalis</w:t>
      </w:r>
      <w:r w:rsidRPr="00750C8B">
        <w:t xml:space="preserve"> (Thysanoptera: Thripidae)’, </w:t>
      </w:r>
      <w:r w:rsidRPr="00750C8B">
        <w:rPr>
          <w:i/>
        </w:rPr>
        <w:t>Bulletin of Entomological Research</w:t>
      </w:r>
      <w:r w:rsidRPr="00750C8B">
        <w:t>, vol. 87, pp. 497-505.</w:t>
      </w:r>
      <w:bookmarkEnd w:id="463"/>
    </w:p>
    <w:p w:rsidR="00B8782D" w:rsidRPr="00750C8B" w:rsidRDefault="00B8782D" w:rsidP="00750C8B">
      <w:pPr>
        <w:pStyle w:val="EndNoteBibliography"/>
        <w:spacing w:after="0"/>
      </w:pPr>
      <w:bookmarkStart w:id="464" w:name="_ENREF_321"/>
      <w:r w:rsidRPr="00750C8B">
        <w:t xml:space="preserve">McDougall, S 2006, ‘Lettuce IPM’, </w:t>
      </w:r>
      <w:r w:rsidRPr="00750C8B">
        <w:rPr>
          <w:i/>
        </w:rPr>
        <w:t>Primefacts: Profitable and Sustainable Primary Industries</w:t>
      </w:r>
      <w:r w:rsidRPr="00750C8B">
        <w:t>, vol. 154, pp. 1-5.</w:t>
      </w:r>
      <w:bookmarkEnd w:id="464"/>
    </w:p>
    <w:p w:rsidR="00B8782D" w:rsidRPr="00750C8B" w:rsidRDefault="00B8782D" w:rsidP="00750C8B">
      <w:pPr>
        <w:pStyle w:val="EndNoteBibliography"/>
        <w:spacing w:after="0"/>
      </w:pPr>
      <w:bookmarkStart w:id="465" w:name="_ENREF_322"/>
      <w:r w:rsidRPr="00750C8B">
        <w:t xml:space="preserve">McLaren, GF, Grandison, G, Wood, GA, Tate, G &amp; Horner, I 1999, </w:t>
      </w:r>
      <w:r w:rsidRPr="00750C8B">
        <w:rPr>
          <w:i/>
        </w:rPr>
        <w:t>Summerfruit in New Zealand: management of pests and diseases</w:t>
      </w:r>
      <w:r w:rsidRPr="00750C8B">
        <w:t>, HortResearch, Otago.</w:t>
      </w:r>
      <w:bookmarkEnd w:id="465"/>
    </w:p>
    <w:p w:rsidR="00B8782D" w:rsidRPr="00750C8B" w:rsidRDefault="00B8782D" w:rsidP="00750C8B">
      <w:pPr>
        <w:pStyle w:val="EndNoteBibliography"/>
        <w:spacing w:after="0"/>
      </w:pPr>
      <w:bookmarkStart w:id="466" w:name="_ENREF_323"/>
      <w:r w:rsidRPr="00750C8B">
        <w:t xml:space="preserve">McLean, GD &amp; Price, LK 1984, ‘Virus, viroid, mycoplasma and rickettsial diseases of plants in Western Australia’, </w:t>
      </w:r>
      <w:r w:rsidRPr="00750C8B">
        <w:rPr>
          <w:i/>
        </w:rPr>
        <w:t>Western Australia Department of Agriculture Technical Bulletin</w:t>
      </w:r>
      <w:r w:rsidRPr="00750C8B">
        <w:t>, vol. 68, pp. 1-22.</w:t>
      </w:r>
      <w:bookmarkEnd w:id="466"/>
    </w:p>
    <w:p w:rsidR="00B8782D" w:rsidRPr="00750C8B" w:rsidRDefault="00B8782D" w:rsidP="00750C8B">
      <w:pPr>
        <w:pStyle w:val="EndNoteBibliography"/>
        <w:spacing w:after="0"/>
      </w:pPr>
      <w:bookmarkStart w:id="467" w:name="_ENREF_324"/>
      <w:r w:rsidRPr="00750C8B">
        <w:t xml:space="preserve">McRitchie, JJ 1991, ‘The felt fungus, </w:t>
      </w:r>
      <w:r w:rsidRPr="00750C8B">
        <w:rPr>
          <w:i/>
        </w:rPr>
        <w:t>Septobasidium</w:t>
      </w:r>
      <w:r w:rsidRPr="00750C8B">
        <w:t xml:space="preserve">’, </w:t>
      </w:r>
      <w:r w:rsidRPr="00750C8B">
        <w:rPr>
          <w:i/>
        </w:rPr>
        <w:t>Plant Pathology Circular</w:t>
      </w:r>
      <w:r w:rsidRPr="00750C8B">
        <w:t>, vol. 346, pp. 1-2.</w:t>
      </w:r>
      <w:bookmarkEnd w:id="467"/>
    </w:p>
    <w:p w:rsidR="00B8782D" w:rsidRPr="00750C8B" w:rsidRDefault="00B8782D" w:rsidP="00750C8B">
      <w:pPr>
        <w:pStyle w:val="EndNoteBibliography"/>
        <w:spacing w:after="0"/>
      </w:pPr>
      <w:bookmarkStart w:id="468" w:name="_ENREF_325"/>
      <w:r w:rsidRPr="00750C8B">
        <w:t xml:space="preserve">Meijerman, L &amp; Ulenberg, SA 2000a, ‘Arthropods of economic importance - Eurasian Tortricidae’, available at </w:t>
      </w:r>
      <w:r w:rsidRPr="00B8782D">
        <w:t>http://nlbif.eti.uva.nl/bis/projects.php</w:t>
      </w:r>
      <w:r w:rsidRPr="00750C8B">
        <w:t>, accessed 6/17/2010.</w:t>
      </w:r>
      <w:bookmarkEnd w:id="468"/>
    </w:p>
    <w:p w:rsidR="00B8782D" w:rsidRPr="00750C8B" w:rsidRDefault="00B8782D" w:rsidP="00750C8B">
      <w:pPr>
        <w:pStyle w:val="EndNoteBibliography"/>
        <w:spacing w:after="0"/>
      </w:pPr>
      <w:bookmarkStart w:id="469" w:name="_ENREF_326"/>
      <w:r w:rsidRPr="00750C8B">
        <w:t xml:space="preserve">-- -- 2000b, ‘Arthropods of economic importance - Eurasian Tortricidae’, available at </w:t>
      </w:r>
      <w:r w:rsidRPr="00B8782D">
        <w:t>http://wbd.etibioinformatics.nl/bis/tortricidae.php</w:t>
      </w:r>
      <w:r w:rsidRPr="00750C8B">
        <w:t>, accessed 2014.</w:t>
      </w:r>
      <w:bookmarkEnd w:id="469"/>
    </w:p>
    <w:p w:rsidR="00B8782D" w:rsidRPr="00750C8B" w:rsidRDefault="00B8782D" w:rsidP="00750C8B">
      <w:pPr>
        <w:pStyle w:val="EndNoteBibliography"/>
        <w:spacing w:after="0"/>
      </w:pPr>
      <w:bookmarkStart w:id="470" w:name="_ENREF_327"/>
      <w:r w:rsidRPr="00750C8B">
        <w:t xml:space="preserve">-- -- 2004, ‘Arthropods of economic importance - Eurasian Tortricidae’, available at </w:t>
      </w:r>
      <w:r w:rsidRPr="00B8782D">
        <w:t>http://wbd.etibioinformatics.nl/bis/tortricidae.</w:t>
      </w:r>
      <w:r w:rsidRPr="00750C8B">
        <w:t>, accessed 2012.</w:t>
      </w:r>
      <w:bookmarkEnd w:id="470"/>
    </w:p>
    <w:p w:rsidR="00B8782D" w:rsidRPr="00750C8B" w:rsidRDefault="00B8782D" w:rsidP="00750C8B">
      <w:pPr>
        <w:pStyle w:val="EndNoteBibliography"/>
        <w:spacing w:after="0"/>
      </w:pPr>
      <w:bookmarkStart w:id="471" w:name="_ENREF_328"/>
      <w:r w:rsidRPr="00750C8B">
        <w:t>Men, Q-L, Chen, M-H, Zhang, Y-L &amp; Feng, J-N 2013, ‘Genetic structure and diversity of a newly invasive species, the codling moth,</w:t>
      </w:r>
      <w:r w:rsidRPr="00750C8B">
        <w:rPr>
          <w:i/>
        </w:rPr>
        <w:t xml:space="preserve"> Cydia pomonella</w:t>
      </w:r>
      <w:r w:rsidRPr="00750C8B">
        <w:t xml:space="preserve"> (L.) (Lepidoptera: Tortricidae) in China’, </w:t>
      </w:r>
      <w:r w:rsidRPr="00750C8B">
        <w:rPr>
          <w:i/>
        </w:rPr>
        <w:t>Biological Invasions</w:t>
      </w:r>
      <w:r w:rsidRPr="00750C8B">
        <w:t>, vol. 15, no. 2, pp. 447-58.</w:t>
      </w:r>
      <w:bookmarkEnd w:id="471"/>
    </w:p>
    <w:p w:rsidR="00B8782D" w:rsidRPr="00750C8B" w:rsidRDefault="00B8782D" w:rsidP="00750C8B">
      <w:pPr>
        <w:pStyle w:val="EndNoteBibliography"/>
        <w:spacing w:after="0"/>
      </w:pPr>
      <w:bookmarkStart w:id="472" w:name="_ENREF_329"/>
      <w:r w:rsidRPr="00750C8B">
        <w:t xml:space="preserve">Meulewaeter, F, Seurinck, J &amp; Van Emmelo, J 1990, ‘Genome structure of </w:t>
      </w:r>
      <w:r w:rsidRPr="00750C8B">
        <w:rPr>
          <w:i/>
        </w:rPr>
        <w:t xml:space="preserve">Tobacco necrosis virus </w:t>
      </w:r>
      <w:r w:rsidRPr="00750C8B">
        <w:t xml:space="preserve">strain A’, </w:t>
      </w:r>
      <w:r w:rsidRPr="00750C8B">
        <w:rPr>
          <w:i/>
        </w:rPr>
        <w:t>Virology</w:t>
      </w:r>
      <w:r w:rsidRPr="00750C8B">
        <w:t>, vol. 177, pp. 699-709.</w:t>
      </w:r>
      <w:bookmarkEnd w:id="472"/>
    </w:p>
    <w:p w:rsidR="00B8782D" w:rsidRPr="00750C8B" w:rsidRDefault="00B8782D" w:rsidP="00750C8B">
      <w:pPr>
        <w:pStyle w:val="EndNoteBibliography"/>
        <w:spacing w:after="0"/>
      </w:pPr>
      <w:bookmarkStart w:id="473" w:name="_ENREF_330"/>
      <w:r w:rsidRPr="00750C8B">
        <w:t xml:space="preserve">Migeon, A &amp; Dorkeld, F 2012, ‘Spider mites web: a comprehensive database for the Tetranychidae’, available at </w:t>
      </w:r>
      <w:r w:rsidRPr="00B8782D">
        <w:t>http://www1.montpellier.inra.fr/CBGP/spmweb/</w:t>
      </w:r>
      <w:r w:rsidRPr="00750C8B">
        <w:t>, accessed 2012.</w:t>
      </w:r>
      <w:bookmarkEnd w:id="473"/>
    </w:p>
    <w:p w:rsidR="00B8782D" w:rsidRPr="00750C8B" w:rsidRDefault="00B8782D" w:rsidP="00750C8B">
      <w:pPr>
        <w:pStyle w:val="EndNoteBibliography"/>
        <w:spacing w:after="0"/>
      </w:pPr>
      <w:bookmarkStart w:id="474" w:name="_ENREF_331"/>
      <w:r w:rsidRPr="00750C8B">
        <w:t xml:space="preserve">-- -- 2013, ‘Spider mites web: a comprehensive database for the Tetranychidae’, available at </w:t>
      </w:r>
      <w:r w:rsidRPr="00B8782D">
        <w:t>http://www1.montpellier.inra.fr/CBGP/spmweb/</w:t>
      </w:r>
      <w:r w:rsidRPr="00750C8B">
        <w:t>, accessed 2014.</w:t>
      </w:r>
      <w:bookmarkEnd w:id="474"/>
    </w:p>
    <w:p w:rsidR="00B8782D" w:rsidRPr="00750C8B" w:rsidRDefault="00B8782D" w:rsidP="00750C8B">
      <w:pPr>
        <w:pStyle w:val="EndNoteBibliography"/>
        <w:spacing w:after="0"/>
      </w:pPr>
      <w:bookmarkStart w:id="475" w:name="_ENREF_332"/>
      <w:r w:rsidRPr="00750C8B">
        <w:t xml:space="preserve">-- -- 2015, ‘Spider mites web: a comprehensive database for the Tetranychidae’, available at </w:t>
      </w:r>
      <w:r w:rsidRPr="00B8782D">
        <w:t>http://www1.montpellier.inra.fr/CBGP/spmweb/index.php</w:t>
      </w:r>
      <w:r w:rsidRPr="00750C8B">
        <w:t>, accessed 2015.</w:t>
      </w:r>
      <w:bookmarkEnd w:id="475"/>
    </w:p>
    <w:p w:rsidR="00B8782D" w:rsidRPr="00750C8B" w:rsidRDefault="00B8782D" w:rsidP="00750C8B">
      <w:pPr>
        <w:pStyle w:val="EndNoteBibliography"/>
        <w:spacing w:after="0"/>
      </w:pPr>
      <w:bookmarkStart w:id="476" w:name="_ENREF_333"/>
      <w:r w:rsidRPr="00750C8B">
        <w:t xml:space="preserve">Miller, DR &amp; Davidson, JA 1990, ‘Armored scale insects as pests’, in </w:t>
      </w:r>
      <w:r w:rsidRPr="00750C8B">
        <w:rPr>
          <w:i/>
        </w:rPr>
        <w:t>Armored scale insects: their biology, natural enemies and control. Vol. 4B</w:t>
      </w:r>
      <w:r w:rsidRPr="00750C8B">
        <w:t>, Rosen, D (ed), Elsevier Science Publishers B.V., Amsterdam.</w:t>
      </w:r>
      <w:bookmarkEnd w:id="476"/>
    </w:p>
    <w:p w:rsidR="00B8782D" w:rsidRPr="00750C8B" w:rsidRDefault="00B8782D" w:rsidP="00750C8B">
      <w:pPr>
        <w:pStyle w:val="EndNoteBibliography"/>
        <w:spacing w:after="0"/>
      </w:pPr>
      <w:bookmarkStart w:id="477" w:name="_ENREF_334"/>
      <w:r w:rsidRPr="00750C8B">
        <w:t xml:space="preserve">-- -- 2005, </w:t>
      </w:r>
      <w:r w:rsidRPr="00750C8B">
        <w:rPr>
          <w:i/>
        </w:rPr>
        <w:t>Armored scale insect pests of trees and shrubs (Hemiptera: Diaspididae)</w:t>
      </w:r>
      <w:r w:rsidRPr="00750C8B">
        <w:t>, Cornell University Press, Ithaca &amp; London.</w:t>
      </w:r>
      <w:bookmarkEnd w:id="477"/>
    </w:p>
    <w:p w:rsidR="00B8782D" w:rsidRPr="00750C8B" w:rsidRDefault="00B8782D" w:rsidP="00750C8B">
      <w:pPr>
        <w:pStyle w:val="EndNoteBibliography"/>
        <w:spacing w:after="0"/>
      </w:pPr>
      <w:bookmarkStart w:id="478" w:name="_ENREF_335"/>
      <w:r w:rsidRPr="00750C8B">
        <w:t xml:space="preserve">Miller, DR, Rung, A, Venable, GL &amp; Gill, RJ 2007a, ‘Scale insects - scale families: identification tools for species of quarantine significance’, available at </w:t>
      </w:r>
      <w:r w:rsidRPr="00B8782D">
        <w:t>http://www.sel.barc.usda.gov/ScaleKeys/ScaleInsectsHome/ScaleInsectsFamilies.html</w:t>
      </w:r>
      <w:r w:rsidRPr="00750C8B">
        <w:t>, accessed 2014.</w:t>
      </w:r>
      <w:bookmarkEnd w:id="478"/>
    </w:p>
    <w:p w:rsidR="00B8782D" w:rsidRPr="00750C8B" w:rsidRDefault="00B8782D" w:rsidP="00750C8B">
      <w:pPr>
        <w:pStyle w:val="EndNoteBibliography"/>
        <w:spacing w:after="0"/>
      </w:pPr>
      <w:bookmarkStart w:id="479" w:name="_ENREF_336"/>
      <w:r w:rsidRPr="00750C8B">
        <w:t xml:space="preserve">-- -- 2007b, ‘Scale insects - soft scales: identification tools for species of quarantine significance’, available at </w:t>
      </w:r>
      <w:r w:rsidRPr="00B8782D">
        <w:t>http://www.sel.barc.usda.gov/ScaleKeys/ScaleInsectsHome/ScaleInsectsSoftScales.html</w:t>
      </w:r>
      <w:r w:rsidRPr="00750C8B">
        <w:t>, accessed 2015.</w:t>
      </w:r>
      <w:bookmarkEnd w:id="479"/>
    </w:p>
    <w:p w:rsidR="00B8782D" w:rsidRPr="00750C8B" w:rsidRDefault="00B8782D" w:rsidP="00750C8B">
      <w:pPr>
        <w:pStyle w:val="EndNoteBibliography"/>
        <w:spacing w:after="0"/>
      </w:pPr>
      <w:bookmarkStart w:id="480" w:name="_ENREF_337"/>
      <w:r w:rsidRPr="00750C8B">
        <w:t xml:space="preserve">Milonas, PG &amp; Savopoulou-Soultani, M 2000, ‘Development, survivorship, and reproduction of </w:t>
      </w:r>
      <w:r w:rsidRPr="00750C8B">
        <w:rPr>
          <w:i/>
        </w:rPr>
        <w:t>Adoxophyes orana</w:t>
      </w:r>
      <w:r w:rsidRPr="00750C8B">
        <w:t xml:space="preserve"> (Lepidoptera: Tortricidae) at constant temperatures’, </w:t>
      </w:r>
      <w:r w:rsidRPr="00750C8B">
        <w:rPr>
          <w:i/>
        </w:rPr>
        <w:t>Annals of the Entomological Society of America</w:t>
      </w:r>
      <w:r w:rsidRPr="00750C8B">
        <w:t>, vol. 93, no. 1, pp. 96-102.</w:t>
      </w:r>
      <w:bookmarkEnd w:id="480"/>
    </w:p>
    <w:p w:rsidR="00B8782D" w:rsidRPr="00750C8B" w:rsidRDefault="00B8782D" w:rsidP="00750C8B">
      <w:pPr>
        <w:pStyle w:val="EndNoteBibliography"/>
        <w:spacing w:after="0"/>
      </w:pPr>
      <w:bookmarkStart w:id="481" w:name="_ENREF_338"/>
      <w:r w:rsidRPr="00750C8B">
        <w:t xml:space="preserve">Mirab-balou, M, Tong, XL, Feng, JN &amp; Chen, XX 2011, ‘Thrips (Insecta: Thysanoptera) of China’, </w:t>
      </w:r>
      <w:r w:rsidRPr="00750C8B">
        <w:rPr>
          <w:i/>
        </w:rPr>
        <w:t>Check List</w:t>
      </w:r>
      <w:r w:rsidRPr="00750C8B">
        <w:t>, vol. 7, no. 6, pp. 720-44.</w:t>
      </w:r>
      <w:bookmarkEnd w:id="481"/>
    </w:p>
    <w:p w:rsidR="00B8782D" w:rsidRPr="00750C8B" w:rsidRDefault="00B8782D" w:rsidP="00750C8B">
      <w:pPr>
        <w:pStyle w:val="EndNoteBibliography"/>
        <w:spacing w:after="0"/>
      </w:pPr>
      <w:bookmarkStart w:id="482" w:name="_ENREF_339"/>
      <w:r w:rsidRPr="00750C8B">
        <w:t xml:space="preserve">Mitrofanova, OV &amp; Teslenko, AV 1982, ‘Diagnosis of virus diseases of peach in the Crimea’, </w:t>
      </w:r>
      <w:r w:rsidRPr="00750C8B">
        <w:rPr>
          <w:i/>
        </w:rPr>
        <w:t>Vrediteli i Bolezni Plodovykh i Dekorativnykh Kul'tur Kryma</w:t>
      </w:r>
      <w:r w:rsidRPr="00750C8B">
        <w:rPr>
          <w:rFonts w:ascii="Segoe UI" w:hAnsi="Segoe UI" w:cs="Segoe UI"/>
        </w:rPr>
        <w:t>.</w:t>
      </w:r>
      <w:r w:rsidRPr="00750C8B">
        <w:t xml:space="preserve"> pp. 89-99.</w:t>
      </w:r>
      <w:bookmarkEnd w:id="482"/>
    </w:p>
    <w:p w:rsidR="00B8782D" w:rsidRPr="00750C8B" w:rsidRDefault="00B8782D" w:rsidP="00750C8B">
      <w:pPr>
        <w:pStyle w:val="EndNoteBibliography"/>
        <w:spacing w:after="0"/>
      </w:pPr>
      <w:bookmarkStart w:id="483" w:name="_ENREF_340"/>
      <w:r w:rsidRPr="00750C8B">
        <w:t xml:space="preserve">MOA 2007, </w:t>
      </w:r>
      <w:r w:rsidRPr="00750C8B">
        <w:rPr>
          <w:i/>
        </w:rPr>
        <w:t>Quarantine pest list for import plants to the People's Republic of China</w:t>
      </w:r>
      <w:r w:rsidRPr="00750C8B">
        <w:t xml:space="preserve">, Ministry of Agriculture, China, available at </w:t>
      </w:r>
      <w:r w:rsidRPr="00B8782D">
        <w:t>http://dzwjyjgs.aqsiq.gov.cn/</w:t>
      </w:r>
      <w:r w:rsidRPr="00750C8B">
        <w:t>.</w:t>
      </w:r>
      <w:bookmarkEnd w:id="483"/>
    </w:p>
    <w:p w:rsidR="00B8782D" w:rsidRPr="00750C8B" w:rsidRDefault="00B8782D" w:rsidP="00750C8B">
      <w:pPr>
        <w:pStyle w:val="EndNoteBibliography"/>
        <w:spacing w:after="0"/>
      </w:pPr>
      <w:bookmarkStart w:id="484" w:name="_ENREF_341"/>
      <w:r w:rsidRPr="00750C8B">
        <w:lastRenderedPageBreak/>
        <w:t xml:space="preserve">Molinari, F, Reguzzi, MC, Quaglia, M, Galliano, A &amp; Cravedi, P 1995, ‘Danni causati da larve di Lepidotteri, nottuidi in pescheti’ (Damage by noctuid larvae in peach orchards), </w:t>
      </w:r>
      <w:r w:rsidRPr="00750C8B">
        <w:rPr>
          <w:i/>
        </w:rPr>
        <w:t>Informatore Fitopatologico</w:t>
      </w:r>
      <w:r w:rsidRPr="00750C8B">
        <w:t>, vol. 45, no. 11, pp. 17-26. (Abstract only)</w:t>
      </w:r>
      <w:bookmarkEnd w:id="484"/>
    </w:p>
    <w:p w:rsidR="00B8782D" w:rsidRPr="00750C8B" w:rsidRDefault="00B8782D" w:rsidP="00750C8B">
      <w:pPr>
        <w:pStyle w:val="EndNoteBibliography"/>
        <w:spacing w:after="0"/>
      </w:pPr>
      <w:bookmarkStart w:id="485" w:name="_ENREF_342"/>
      <w:r w:rsidRPr="00750C8B">
        <w:t xml:space="preserve">Moore, J, Wilkinson, M, Conti, A &amp; Minnis, D 2012, </w:t>
      </w:r>
      <w:r w:rsidRPr="00750C8B">
        <w:rPr>
          <w:i/>
        </w:rPr>
        <w:t>Australia China agricultural cooperation agreement. Summerfruit delegation. 8th July - 22 July 2012</w:t>
      </w:r>
      <w:r w:rsidRPr="00750C8B">
        <w:t>, Final report, Summerfruit Australia Limited (SAL), Australia (pdf 2.25 mb).</w:t>
      </w:r>
      <w:bookmarkEnd w:id="485"/>
    </w:p>
    <w:p w:rsidR="00B8782D" w:rsidRPr="00750C8B" w:rsidRDefault="00B8782D" w:rsidP="00750C8B">
      <w:pPr>
        <w:pStyle w:val="EndNoteBibliography"/>
        <w:spacing w:after="0"/>
      </w:pPr>
      <w:bookmarkStart w:id="486" w:name="_ENREF_343"/>
      <w:r w:rsidRPr="00750C8B">
        <w:t>Moritz, G, Kumm, S &amp; Mound, L 2004, ‘</w:t>
      </w:r>
      <w:r w:rsidRPr="00750C8B">
        <w:rPr>
          <w:i/>
        </w:rPr>
        <w:t>Tospovirus</w:t>
      </w:r>
      <w:r w:rsidRPr="00750C8B">
        <w:t xml:space="preserve"> transmission depends on thrips ontogeny’, </w:t>
      </w:r>
      <w:r w:rsidRPr="00750C8B">
        <w:rPr>
          <w:i/>
        </w:rPr>
        <w:t>Virus Research</w:t>
      </w:r>
      <w:r w:rsidRPr="00750C8B">
        <w:t>, vol. 100, pp. 143-9.</w:t>
      </w:r>
      <w:bookmarkEnd w:id="486"/>
    </w:p>
    <w:p w:rsidR="00B8782D" w:rsidRPr="00750C8B" w:rsidRDefault="00B8782D" w:rsidP="00750C8B">
      <w:pPr>
        <w:pStyle w:val="EndNoteBibliography"/>
        <w:spacing w:after="0"/>
      </w:pPr>
      <w:bookmarkStart w:id="487" w:name="_ENREF_344"/>
      <w:r w:rsidRPr="00750C8B">
        <w:t xml:space="preserve">Morse, JG &amp; Hoddle, MS 2006, ‘Invasion biology of thrips’, </w:t>
      </w:r>
      <w:r w:rsidRPr="00750C8B">
        <w:rPr>
          <w:i/>
        </w:rPr>
        <w:t>Annual Review of Entomology</w:t>
      </w:r>
      <w:r w:rsidRPr="00750C8B">
        <w:t>, vol. 51, pp. 67-89.</w:t>
      </w:r>
      <w:bookmarkEnd w:id="487"/>
    </w:p>
    <w:p w:rsidR="00B8782D" w:rsidRPr="00750C8B" w:rsidRDefault="00B8782D" w:rsidP="00750C8B">
      <w:pPr>
        <w:pStyle w:val="EndNoteBibliography"/>
        <w:spacing w:after="0"/>
      </w:pPr>
      <w:bookmarkStart w:id="488" w:name="_ENREF_345"/>
      <w:r w:rsidRPr="00750C8B">
        <w:t xml:space="preserve">Munro, D 1987, ‘Viruses infecting hop, </w:t>
      </w:r>
      <w:r w:rsidRPr="00750C8B">
        <w:rPr>
          <w:i/>
        </w:rPr>
        <w:t>Humulus lupulus</w:t>
      </w:r>
      <w:r w:rsidRPr="00750C8B">
        <w:t xml:space="preserve">, in Australia’, </w:t>
      </w:r>
      <w:r w:rsidRPr="00750C8B">
        <w:rPr>
          <w:i/>
        </w:rPr>
        <w:t>Australian Journal of Agricultural Research</w:t>
      </w:r>
      <w:r w:rsidRPr="00750C8B">
        <w:t>, vol. 38, no. 1, pp. 83-90.</w:t>
      </w:r>
      <w:bookmarkEnd w:id="488"/>
    </w:p>
    <w:p w:rsidR="00B8782D" w:rsidRPr="00750C8B" w:rsidRDefault="00B8782D" w:rsidP="00750C8B">
      <w:pPr>
        <w:pStyle w:val="EndNoteBibliography"/>
        <w:spacing w:after="0"/>
      </w:pPr>
      <w:bookmarkStart w:id="489" w:name="_ENREF_346"/>
      <w:r w:rsidRPr="00750C8B">
        <w:t xml:space="preserve">Murakami, Y, Morimoto, R &amp; Kajita, H 1967, ‘Possibility of biological control of </w:t>
      </w:r>
      <w:r w:rsidRPr="00750C8B">
        <w:rPr>
          <w:i/>
        </w:rPr>
        <w:t>Pseudococcus comstocki</w:t>
      </w:r>
      <w:r w:rsidRPr="00750C8B">
        <w:t xml:space="preserve"> in Japan’, </w:t>
      </w:r>
      <w:r w:rsidRPr="00750C8B">
        <w:rPr>
          <w:i/>
        </w:rPr>
        <w:t>Mushi</w:t>
      </w:r>
      <w:r w:rsidRPr="00750C8B">
        <w:t>, vol. 39, pp. 85-96.</w:t>
      </w:r>
      <w:bookmarkEnd w:id="489"/>
    </w:p>
    <w:p w:rsidR="00B8782D" w:rsidRPr="00750C8B" w:rsidRDefault="00B8782D" w:rsidP="00750C8B">
      <w:pPr>
        <w:pStyle w:val="EndNoteBibliography"/>
        <w:spacing w:after="0"/>
      </w:pPr>
      <w:bookmarkStart w:id="490" w:name="_ENREF_347"/>
      <w:r w:rsidRPr="00750C8B">
        <w:t xml:space="preserve">Murrell, VC &amp; Lo, PL 1998, ‘Control of Oriental fruit moth </w:t>
      </w:r>
      <w:r w:rsidRPr="00750C8B">
        <w:rPr>
          <w:i/>
        </w:rPr>
        <w:t>(Grapholita molesta)</w:t>
      </w:r>
      <w:r w:rsidRPr="00750C8B">
        <w:t xml:space="preserve"> on golden queen peaches’, </w:t>
      </w:r>
      <w:r w:rsidRPr="00750C8B">
        <w:rPr>
          <w:i/>
        </w:rPr>
        <w:t>Proceedings of the 51st New Zealand Plant Protection Conference, Quality Hotel, Hamilton, New Zealand, 11-13 August, 1998</w:t>
      </w:r>
      <w:r w:rsidRPr="00750C8B">
        <w:t>, New Zealand Plant Protection Society, Wellington, pp. 189-94.</w:t>
      </w:r>
      <w:bookmarkEnd w:id="490"/>
    </w:p>
    <w:p w:rsidR="00B8782D" w:rsidRPr="00750C8B" w:rsidRDefault="00B8782D" w:rsidP="00750C8B">
      <w:pPr>
        <w:pStyle w:val="EndNoteBibliography"/>
        <w:spacing w:after="0"/>
      </w:pPr>
      <w:bookmarkStart w:id="491" w:name="_ENREF_348"/>
      <w:r w:rsidRPr="00750C8B">
        <w:t xml:space="preserve">Naka, H, Horie, Y, Mochizuki, F, Vang, LV, Yamamoto, M, Saito, T, Watarai, T, Tsuchida, K, Arita, Y &amp; Ando, T 2008, ‘Identification of the sex pheromone secreted by </w:t>
      </w:r>
      <w:r w:rsidRPr="00750C8B">
        <w:rPr>
          <w:i/>
        </w:rPr>
        <w:t xml:space="preserve">Synanthedon hector </w:t>
      </w:r>
      <w:r w:rsidRPr="00750C8B">
        <w:t xml:space="preserve">(Lepidoptera: Sesiidae)’, </w:t>
      </w:r>
      <w:r w:rsidRPr="00750C8B">
        <w:rPr>
          <w:i/>
        </w:rPr>
        <w:t>Applied Entomology and Zoology</w:t>
      </w:r>
      <w:r w:rsidRPr="00750C8B">
        <w:t>, vol. 43, no. 4, pp. 467-74.</w:t>
      </w:r>
      <w:bookmarkEnd w:id="491"/>
    </w:p>
    <w:p w:rsidR="00B8782D" w:rsidRPr="00750C8B" w:rsidRDefault="00B8782D" w:rsidP="00750C8B">
      <w:pPr>
        <w:pStyle w:val="EndNoteBibliography"/>
        <w:spacing w:after="0"/>
      </w:pPr>
      <w:bookmarkStart w:id="492" w:name="_ENREF_349"/>
      <w:r w:rsidRPr="00750C8B">
        <w:t xml:space="preserve">NAPPO 2010, </w:t>
      </w:r>
      <w:r w:rsidRPr="00750C8B">
        <w:rPr>
          <w:i/>
        </w:rPr>
        <w:t>Spotted wing drosophila, Drosophila suzukii, a fruit pest in the United States</w:t>
      </w:r>
      <w:r w:rsidRPr="00750C8B">
        <w:t xml:space="preserve">, North American Plant Protection Organization, available at </w:t>
      </w:r>
      <w:r w:rsidRPr="00B8782D">
        <w:t>http://www.pestalert.org/oprDetail.cfm?oprID=417&amp;keyword=drosophila</w:t>
      </w:r>
      <w:r w:rsidRPr="00750C8B">
        <w:t>.</w:t>
      </w:r>
      <w:bookmarkEnd w:id="492"/>
    </w:p>
    <w:p w:rsidR="00B8782D" w:rsidRPr="00750C8B" w:rsidRDefault="00B8782D" w:rsidP="00750C8B">
      <w:pPr>
        <w:pStyle w:val="EndNoteBibliography"/>
        <w:spacing w:after="0"/>
      </w:pPr>
      <w:bookmarkStart w:id="493" w:name="_ENREF_350"/>
      <w:r w:rsidRPr="00750C8B">
        <w:t xml:space="preserve">Navajas, M, Gutierrez, J, Williams, M &amp; Gotoh, T 2001, ‘Synonymy between two spider mite species, </w:t>
      </w:r>
      <w:r w:rsidRPr="00750C8B">
        <w:rPr>
          <w:i/>
        </w:rPr>
        <w:t xml:space="preserve">Tetranychus kanzawai </w:t>
      </w:r>
      <w:r w:rsidRPr="00750C8B">
        <w:t xml:space="preserve">and </w:t>
      </w:r>
      <w:r w:rsidRPr="00750C8B">
        <w:rPr>
          <w:i/>
        </w:rPr>
        <w:t>T. hydrangeae</w:t>
      </w:r>
      <w:r w:rsidRPr="00750C8B">
        <w:t xml:space="preserve"> (Acari: Tetranychidae), shown by ribosomal ITS2 sequences and cross-breeding experiments’, </w:t>
      </w:r>
      <w:r w:rsidRPr="00750C8B">
        <w:rPr>
          <w:i/>
        </w:rPr>
        <w:t>Bulletin of Entomological Research</w:t>
      </w:r>
      <w:r w:rsidRPr="00750C8B">
        <w:t>, vol. 91, pp. 117-23.</w:t>
      </w:r>
      <w:bookmarkEnd w:id="493"/>
    </w:p>
    <w:p w:rsidR="00B8782D" w:rsidRPr="00750C8B" w:rsidRDefault="00B8782D" w:rsidP="00750C8B">
      <w:pPr>
        <w:pStyle w:val="EndNoteBibliography"/>
        <w:spacing w:after="0"/>
      </w:pPr>
      <w:bookmarkStart w:id="494" w:name="_ENREF_351"/>
      <w:r w:rsidRPr="00750C8B">
        <w:t xml:space="preserve">Navratil, M, Safarova, D, Karesova, R &amp; Petrzik, K 2005, ‘First incidence of </w:t>
      </w:r>
      <w:r w:rsidRPr="00750C8B">
        <w:rPr>
          <w:i/>
        </w:rPr>
        <w:t>Plum pox virus</w:t>
      </w:r>
      <w:r w:rsidRPr="00750C8B">
        <w:t xml:space="preserve"> on apricot trees in China’, </w:t>
      </w:r>
      <w:r w:rsidRPr="00750C8B">
        <w:rPr>
          <w:i/>
        </w:rPr>
        <w:t>Plant Disease</w:t>
      </w:r>
      <w:r w:rsidRPr="00750C8B">
        <w:t>, vol. 89, no. 3, p. 338.</w:t>
      </w:r>
      <w:bookmarkEnd w:id="494"/>
    </w:p>
    <w:p w:rsidR="00B8782D" w:rsidRPr="00750C8B" w:rsidRDefault="00B8782D" w:rsidP="00750C8B">
      <w:pPr>
        <w:pStyle w:val="EndNoteBibliography"/>
        <w:spacing w:after="0"/>
      </w:pPr>
      <w:bookmarkStart w:id="495" w:name="_ENREF_352"/>
      <w:r w:rsidRPr="00750C8B">
        <w:t>NCBI 2009, ‘</w:t>
      </w:r>
      <w:r w:rsidRPr="00750C8B">
        <w:rPr>
          <w:i/>
        </w:rPr>
        <w:t>Necrovirus</w:t>
      </w:r>
      <w:r w:rsidRPr="00750C8B">
        <w:t xml:space="preserve">’, available at </w:t>
      </w:r>
      <w:r w:rsidRPr="00B8782D">
        <w:t>http://www.ncbi.nlm.nih.gov/Taxonomy/Browser/wwwtax.cgi?id=12052</w:t>
      </w:r>
      <w:r w:rsidRPr="00750C8B">
        <w:t>, accessed 2009.</w:t>
      </w:r>
      <w:bookmarkEnd w:id="495"/>
    </w:p>
    <w:p w:rsidR="00B8782D" w:rsidRPr="00750C8B" w:rsidRDefault="00B8782D" w:rsidP="00750C8B">
      <w:pPr>
        <w:pStyle w:val="EndNoteBibliography"/>
        <w:spacing w:after="0"/>
      </w:pPr>
      <w:bookmarkStart w:id="496" w:name="_ENREF_353"/>
      <w:r w:rsidRPr="00750C8B">
        <w:t xml:space="preserve">NCPN-FT 2014, </w:t>
      </w:r>
      <w:r w:rsidRPr="00750C8B">
        <w:rPr>
          <w:i/>
        </w:rPr>
        <w:t>Fruit tree clean plant network: Prunus viruses</w:t>
      </w:r>
      <w:r w:rsidRPr="00750C8B">
        <w:t xml:space="preserve">, University of California National Clean Plant Network, available at </w:t>
      </w:r>
      <w:r w:rsidRPr="00B8782D">
        <w:t>http://nationalcleanplantnetwork.org/files/29279.pdf</w:t>
      </w:r>
      <w:r w:rsidRPr="00750C8B">
        <w:t>.</w:t>
      </w:r>
      <w:bookmarkEnd w:id="496"/>
    </w:p>
    <w:p w:rsidR="00B8782D" w:rsidRPr="00750C8B" w:rsidRDefault="00B8782D" w:rsidP="00750C8B">
      <w:pPr>
        <w:pStyle w:val="EndNoteBibliography"/>
        <w:spacing w:after="0"/>
      </w:pPr>
      <w:bookmarkStart w:id="497" w:name="_ENREF_354"/>
      <w:r w:rsidRPr="00750C8B">
        <w:t>Nemeth, M 1986, ‘</w:t>
      </w:r>
      <w:r w:rsidRPr="00750C8B">
        <w:rPr>
          <w:i/>
        </w:rPr>
        <w:t>Tobacco necrosis virus</w:t>
      </w:r>
      <w:r w:rsidRPr="00750C8B">
        <w:t xml:space="preserve">’, in </w:t>
      </w:r>
      <w:r w:rsidRPr="00750C8B">
        <w:rPr>
          <w:i/>
        </w:rPr>
        <w:t>Virus, mycoplasma and rickettsia diseases of fruit trees</w:t>
      </w:r>
      <w:r w:rsidRPr="00750C8B">
        <w:t>, Martinus Nijhoff Publishers, Dordrecht.</w:t>
      </w:r>
      <w:bookmarkEnd w:id="497"/>
    </w:p>
    <w:p w:rsidR="00B8782D" w:rsidRPr="00750C8B" w:rsidRDefault="00B8782D" w:rsidP="00750C8B">
      <w:pPr>
        <w:pStyle w:val="EndNoteBibliography"/>
        <w:spacing w:after="0"/>
      </w:pPr>
      <w:bookmarkStart w:id="498" w:name="_ENREF_355"/>
      <w:r w:rsidRPr="00750C8B">
        <w:t xml:space="preserve">Neven, LG 1999, ‘Cold hardiness adaptations of codling moth, </w:t>
      </w:r>
      <w:r w:rsidRPr="00750C8B">
        <w:rPr>
          <w:i/>
        </w:rPr>
        <w:t>Cydia pomonella</w:t>
      </w:r>
      <w:r w:rsidRPr="00750C8B">
        <w:t xml:space="preserve">’, </w:t>
      </w:r>
      <w:r w:rsidRPr="00750C8B">
        <w:rPr>
          <w:i/>
        </w:rPr>
        <w:t>Cryobiology</w:t>
      </w:r>
      <w:r w:rsidRPr="00750C8B">
        <w:t>, vol. 38, pp. 43-50.</w:t>
      </w:r>
      <w:bookmarkEnd w:id="498"/>
    </w:p>
    <w:p w:rsidR="00B8782D" w:rsidRPr="00750C8B" w:rsidRDefault="00B8782D" w:rsidP="00750C8B">
      <w:pPr>
        <w:pStyle w:val="EndNoteBibliography"/>
        <w:spacing w:after="0"/>
      </w:pPr>
      <w:bookmarkStart w:id="499" w:name="_ENREF_356"/>
      <w:r w:rsidRPr="00750C8B">
        <w:t xml:space="preserve">-- -- 2013, ‘Effects of short photoperiod on coddling moth diapause and survival’, </w:t>
      </w:r>
      <w:r w:rsidRPr="00750C8B">
        <w:rPr>
          <w:i/>
        </w:rPr>
        <w:t>Journal of Economic Entomology</w:t>
      </w:r>
      <w:r w:rsidRPr="00750C8B">
        <w:t>, vol. 106, no. 1, p. 523.</w:t>
      </w:r>
      <w:bookmarkEnd w:id="499"/>
    </w:p>
    <w:p w:rsidR="00B8782D" w:rsidRPr="00750C8B" w:rsidRDefault="00B8782D" w:rsidP="00750C8B">
      <w:pPr>
        <w:pStyle w:val="EndNoteBibliography"/>
        <w:spacing w:after="0"/>
      </w:pPr>
      <w:bookmarkStart w:id="500" w:name="_ENREF_357"/>
      <w:r w:rsidRPr="00750C8B">
        <w:t xml:space="preserve">NIAS 2009, ‘NIAS Genebank; Database of plant diseases in Japan’, available at </w:t>
      </w:r>
      <w:r w:rsidRPr="00B8782D">
        <w:t>http://www.gene.affrc.go.jp/index_en.php</w:t>
      </w:r>
      <w:r w:rsidRPr="00750C8B">
        <w:t>, accessed 2010.</w:t>
      </w:r>
      <w:bookmarkEnd w:id="500"/>
    </w:p>
    <w:p w:rsidR="00B8782D" w:rsidRPr="00750C8B" w:rsidRDefault="00B8782D" w:rsidP="00750C8B">
      <w:pPr>
        <w:pStyle w:val="EndNoteBibliography"/>
        <w:spacing w:after="0"/>
      </w:pPr>
      <w:bookmarkStart w:id="501" w:name="_ENREF_358"/>
      <w:r w:rsidRPr="00750C8B">
        <w:t xml:space="preserve">Niu, FQ, Pan, S, Wu, ZJ, Jiang, DM &amp; Li, SF 2012, ‘First report of </w:t>
      </w:r>
      <w:r w:rsidRPr="00750C8B">
        <w:rPr>
          <w:i/>
        </w:rPr>
        <w:t>Apricot pseudo-chlorotic leaf spot virus</w:t>
      </w:r>
      <w:r w:rsidRPr="00750C8B">
        <w:t xml:space="preserve"> infection of peach in China’, </w:t>
      </w:r>
      <w:r w:rsidRPr="00750C8B">
        <w:rPr>
          <w:i/>
        </w:rPr>
        <w:t>Journal of Plant Pathology</w:t>
      </w:r>
      <w:r w:rsidRPr="00750C8B">
        <w:t>, vol. 94, no. 4 sup, p. 1. (Abstract only)</w:t>
      </w:r>
      <w:bookmarkEnd w:id="501"/>
    </w:p>
    <w:p w:rsidR="00B8782D" w:rsidRPr="00750C8B" w:rsidRDefault="00B8782D" w:rsidP="00750C8B">
      <w:pPr>
        <w:pStyle w:val="EndNoteBibliography"/>
        <w:spacing w:after="0"/>
      </w:pPr>
      <w:bookmarkStart w:id="502" w:name="_ENREF_359"/>
      <w:r w:rsidRPr="00750C8B">
        <w:t xml:space="preserve">Noma, T, Colunga-Garcia, M, Brewer, M, Landis, J &amp; Gooch, A 2010, </w:t>
      </w:r>
      <w:r w:rsidRPr="00750C8B">
        <w:rPr>
          <w:i/>
        </w:rPr>
        <w:t>Summer fruit tortrix Adozophyes orana</w:t>
      </w:r>
      <w:r w:rsidRPr="00750C8B">
        <w:t xml:space="preserve">, Michigan State University's invasive species factsheets, available at </w:t>
      </w:r>
      <w:r w:rsidRPr="00B8782D">
        <w:t>http://www.ipm.msu.edu/uploads/files/forecasting_invasion_risks/summerfruittortrix.pdf</w:t>
      </w:r>
      <w:r w:rsidRPr="00750C8B">
        <w:t xml:space="preserve"> (pdf 861kb).</w:t>
      </w:r>
      <w:bookmarkEnd w:id="502"/>
    </w:p>
    <w:p w:rsidR="00B8782D" w:rsidRPr="00750C8B" w:rsidRDefault="00B8782D" w:rsidP="00750C8B">
      <w:pPr>
        <w:pStyle w:val="EndNoteBibliography"/>
        <w:spacing w:after="0"/>
      </w:pPr>
      <w:bookmarkStart w:id="503" w:name="_ENREF_360"/>
      <w:r w:rsidRPr="00750C8B">
        <w:t xml:space="preserve">Northern Territory Government 2011, </w:t>
      </w:r>
      <w:r w:rsidRPr="00750C8B">
        <w:rPr>
          <w:i/>
        </w:rPr>
        <w:t>Plant Health Regulations</w:t>
      </w:r>
      <w:r w:rsidRPr="00750C8B">
        <w:t>, Northern Territory Government of Australia Department of the Chief Minister, Northern Territory.</w:t>
      </w:r>
      <w:bookmarkEnd w:id="503"/>
    </w:p>
    <w:p w:rsidR="00B8782D" w:rsidRPr="00750C8B" w:rsidRDefault="00B8782D" w:rsidP="00750C8B">
      <w:pPr>
        <w:pStyle w:val="EndNoteBibliography"/>
        <w:spacing w:after="0"/>
      </w:pPr>
      <w:bookmarkStart w:id="504" w:name="_ENREF_361"/>
      <w:r w:rsidRPr="00750C8B">
        <w:t>Ogawa, JM, Zehr, EI &amp; Biggs, AR 1995, ‘</w:t>
      </w:r>
      <w:r w:rsidRPr="00750C8B">
        <w:rPr>
          <w:i/>
        </w:rPr>
        <w:t>Monilinia fructigena</w:t>
      </w:r>
      <w:r w:rsidRPr="00750C8B">
        <w:t xml:space="preserve">’, in </w:t>
      </w:r>
      <w:r w:rsidRPr="00750C8B">
        <w:rPr>
          <w:i/>
        </w:rPr>
        <w:t>Compendium of stone fruit diseases</w:t>
      </w:r>
      <w:r w:rsidRPr="00750C8B">
        <w:t>, Ogawa, JM, Zehr, EI, Bird, GW, Ritchie, DF, Uriu, K &amp; Uyemoto, JK (eds), The American Phytopathological Society Press, St. Paul, Minnesota.</w:t>
      </w:r>
      <w:bookmarkEnd w:id="504"/>
    </w:p>
    <w:p w:rsidR="00B8782D" w:rsidRPr="00750C8B" w:rsidRDefault="00B8782D" w:rsidP="00750C8B">
      <w:pPr>
        <w:pStyle w:val="EndNoteBibliography"/>
        <w:spacing w:after="0"/>
      </w:pPr>
      <w:bookmarkStart w:id="505" w:name="_ENREF_362"/>
      <w:r w:rsidRPr="00750C8B">
        <w:lastRenderedPageBreak/>
        <w:t xml:space="preserve">Oku, T, Ohira, Y &amp; Wakou, M 1988, ‘Preliminary notes on a plum fruit moth, </w:t>
      </w:r>
      <w:r w:rsidRPr="00750C8B">
        <w:rPr>
          <w:i/>
        </w:rPr>
        <w:t>Grapholita dimorpha</w:t>
      </w:r>
      <w:r w:rsidRPr="00750C8B">
        <w:t xml:space="preserve"> Komai (Lepidoptera: Tortricidae)’, </w:t>
      </w:r>
      <w:r w:rsidRPr="00750C8B">
        <w:rPr>
          <w:i/>
        </w:rPr>
        <w:t>Bulletin of the Fruit Research Station, Series C, Morioka</w:t>
      </w:r>
      <w:r w:rsidRPr="00750C8B">
        <w:t>, vol. 15, pp. 49-64.</w:t>
      </w:r>
      <w:bookmarkEnd w:id="505"/>
    </w:p>
    <w:p w:rsidR="00B8782D" w:rsidRPr="00750C8B" w:rsidRDefault="00B8782D" w:rsidP="00750C8B">
      <w:pPr>
        <w:pStyle w:val="EndNoteBibliography"/>
        <w:spacing w:after="0"/>
      </w:pPr>
      <w:bookmarkStart w:id="506" w:name="_ENREF_363"/>
      <w:r w:rsidRPr="00750C8B">
        <w:t xml:space="preserve">Ostry, ME, Anderson, NA &amp; O'Brien, JG 2013, </w:t>
      </w:r>
      <w:r w:rsidRPr="00750C8B">
        <w:rPr>
          <w:i/>
        </w:rPr>
        <w:t>Field guide to common macrofungi in eastern forests and their ecosystem functions</w:t>
      </w:r>
      <w:r w:rsidRPr="00750C8B">
        <w:t xml:space="preserve">, General Technical Report NRS-79, US Forest Service, Newtown Square, PA 19073, available at </w:t>
      </w:r>
      <w:r w:rsidRPr="00B8782D">
        <w:t>http://www.fs.fed.us/nrs/pubs/gtr/gtr_nrs79.pdf</w:t>
      </w:r>
      <w:r w:rsidRPr="00750C8B">
        <w:t>.</w:t>
      </w:r>
      <w:bookmarkEnd w:id="506"/>
    </w:p>
    <w:p w:rsidR="00B8782D" w:rsidRPr="00750C8B" w:rsidRDefault="00B8782D" w:rsidP="00750C8B">
      <w:pPr>
        <w:pStyle w:val="EndNoteBibliography"/>
        <w:spacing w:after="0"/>
      </w:pPr>
      <w:bookmarkStart w:id="507" w:name="_ENREF_364"/>
      <w:r w:rsidRPr="00750C8B">
        <w:t xml:space="preserve">Ovsyannikova, EI &amp; Grichanov, IY 2009, </w:t>
      </w:r>
      <w:r w:rsidRPr="00750C8B">
        <w:rPr>
          <w:i/>
        </w:rPr>
        <w:t>Argyrotaenia ljungiana (Thunberg): Grape tortrix</w:t>
      </w:r>
      <w:r w:rsidRPr="00750C8B">
        <w:t xml:space="preserve">, Interactive agricultural ecological atlas of Russia and neighboring countries. Economic plants and their diseases, pests and weeds (online), available at </w:t>
      </w:r>
      <w:r w:rsidRPr="00B8782D">
        <w:t>http://www.agroatlas.ru/en/</w:t>
      </w:r>
      <w:r w:rsidRPr="00750C8B">
        <w:t>.</w:t>
      </w:r>
      <w:bookmarkEnd w:id="507"/>
    </w:p>
    <w:p w:rsidR="00B8782D" w:rsidRPr="00750C8B" w:rsidRDefault="00B8782D" w:rsidP="00750C8B">
      <w:pPr>
        <w:pStyle w:val="EndNoteBibliography"/>
        <w:spacing w:after="0"/>
      </w:pPr>
      <w:bookmarkStart w:id="508" w:name="_ENREF_365"/>
      <w:r w:rsidRPr="00750C8B">
        <w:t xml:space="preserve">Palmer, JM, Mound, LA, du Heaume, GJ &amp; Betts, CR 1989, </w:t>
      </w:r>
      <w:r w:rsidRPr="00750C8B">
        <w:rPr>
          <w:i/>
        </w:rPr>
        <w:t>IIE guides to insects of importance to man: 2. Thysanoptera</w:t>
      </w:r>
      <w:r w:rsidRPr="00750C8B">
        <w:t>, CAB International, Wallingford, U.K.</w:t>
      </w:r>
      <w:bookmarkEnd w:id="508"/>
    </w:p>
    <w:p w:rsidR="00B8782D" w:rsidRPr="00750C8B" w:rsidRDefault="00B8782D" w:rsidP="00750C8B">
      <w:pPr>
        <w:pStyle w:val="EndNoteBibliography"/>
        <w:spacing w:after="0"/>
      </w:pPr>
      <w:bookmarkStart w:id="509" w:name="_ENREF_366"/>
      <w:r w:rsidRPr="00750C8B">
        <w:t xml:space="preserve">Pan, H, Liu, B, Lu, Y &amp; Desneux, N 2014, ‘Identification of the key weather factors affecting overwintering success of </w:t>
      </w:r>
      <w:r w:rsidRPr="00750C8B">
        <w:rPr>
          <w:i/>
        </w:rPr>
        <w:t>Apolygus lucorum</w:t>
      </w:r>
      <w:r w:rsidRPr="00750C8B">
        <w:t xml:space="preserve"> eggs in dead host tree branches’ </w:t>
      </w:r>
      <w:r w:rsidRPr="00750C8B">
        <w:rPr>
          <w:i/>
        </w:rPr>
        <w:t>PloS ONE</w:t>
      </w:r>
      <w:r w:rsidRPr="00750C8B">
        <w:t>, vol. 9, no. 4, pp. e94190, available at DOI 10.1371/journal.pone.0094190.</w:t>
      </w:r>
      <w:bookmarkEnd w:id="509"/>
    </w:p>
    <w:p w:rsidR="00B8782D" w:rsidRPr="00750C8B" w:rsidRDefault="00B8782D" w:rsidP="00750C8B">
      <w:pPr>
        <w:pStyle w:val="EndNoteBibliography"/>
        <w:spacing w:after="0"/>
      </w:pPr>
      <w:bookmarkStart w:id="510" w:name="_ENREF_367"/>
      <w:r w:rsidRPr="00750C8B">
        <w:t xml:space="preserve">Panait, N &amp; Ciortan, G 1972, ‘Occurrence of the pest </w:t>
      </w:r>
      <w:r w:rsidRPr="00750C8B">
        <w:rPr>
          <w:i/>
        </w:rPr>
        <w:t xml:space="preserve">Gastropacha quercifolia </w:t>
      </w:r>
      <w:r w:rsidRPr="00750C8B">
        <w:t xml:space="preserve">L. on peach in Romania’ (Semnalarea daunatorului </w:t>
      </w:r>
      <w:r w:rsidRPr="00750C8B">
        <w:rPr>
          <w:i/>
        </w:rPr>
        <w:t xml:space="preserve">Gastropacha quercifolia </w:t>
      </w:r>
      <w:r w:rsidRPr="00750C8B">
        <w:t xml:space="preserve">L. pe piersic in Romania), </w:t>
      </w:r>
      <w:r w:rsidRPr="00750C8B">
        <w:rPr>
          <w:i/>
        </w:rPr>
        <w:t>Analele Institutului de Cercetari pentru Protectia Plantelor</w:t>
      </w:r>
      <w:r w:rsidRPr="00750C8B">
        <w:t>, vol. 10, pp. 265-72. (Abstract only)</w:t>
      </w:r>
      <w:bookmarkEnd w:id="510"/>
    </w:p>
    <w:p w:rsidR="00B8782D" w:rsidRPr="00750C8B" w:rsidRDefault="00B8782D" w:rsidP="00750C8B">
      <w:pPr>
        <w:pStyle w:val="EndNoteBibliography"/>
        <w:spacing w:after="0"/>
      </w:pPr>
      <w:bookmarkStart w:id="511" w:name="_ENREF_368"/>
      <w:r w:rsidRPr="00750C8B">
        <w:t xml:space="preserve">Park, KT, Lee, JS &amp; Lu.L. 2000, ‘Gelechiidae (Lepidoptera) from Changbai-san in China’, </w:t>
      </w:r>
      <w:r w:rsidRPr="00750C8B">
        <w:rPr>
          <w:i/>
        </w:rPr>
        <w:t>Korean Journal of Applied Entomology</w:t>
      </w:r>
      <w:r w:rsidRPr="00750C8B">
        <w:t>, vol. 39, no. 4, pp. 239-44.</w:t>
      </w:r>
      <w:bookmarkEnd w:id="511"/>
    </w:p>
    <w:p w:rsidR="00B8782D" w:rsidRPr="00750C8B" w:rsidRDefault="00B8782D" w:rsidP="00750C8B">
      <w:pPr>
        <w:pStyle w:val="EndNoteBibliography"/>
        <w:spacing w:after="0"/>
      </w:pPr>
      <w:bookmarkStart w:id="512" w:name="_ENREF_369"/>
      <w:r w:rsidRPr="00750C8B">
        <w:t xml:space="preserve">Paschoal, AD 1968, ‘Um ácaro parasita de plantas frutíferas: </w:t>
      </w:r>
      <w:r w:rsidRPr="00750C8B">
        <w:rPr>
          <w:i/>
        </w:rPr>
        <w:t>Tetranychus mexicanus</w:t>
      </w:r>
      <w:r w:rsidRPr="00750C8B">
        <w:t xml:space="preserve"> (Acarina: Tetranychidae)’ (A parasitic mite of fruit plants: </w:t>
      </w:r>
      <w:r w:rsidRPr="00750C8B">
        <w:rPr>
          <w:i/>
        </w:rPr>
        <w:t>Tetranychus mexicanus</w:t>
      </w:r>
      <w:r w:rsidRPr="00750C8B">
        <w:t xml:space="preserve"> (Acarina: Tetranychidae)), </w:t>
      </w:r>
      <w:r w:rsidRPr="00750C8B">
        <w:rPr>
          <w:i/>
        </w:rPr>
        <w:t>Solo</w:t>
      </w:r>
      <w:r w:rsidRPr="00750C8B">
        <w:t xml:space="preserve">, vol. 60, no. 2, pp. 75-7. </w:t>
      </w:r>
      <w:bookmarkEnd w:id="512"/>
    </w:p>
    <w:p w:rsidR="00B8782D" w:rsidRPr="00750C8B" w:rsidRDefault="00B8782D" w:rsidP="00750C8B">
      <w:pPr>
        <w:pStyle w:val="EndNoteBibliography"/>
        <w:spacing w:after="0"/>
      </w:pPr>
      <w:bookmarkStart w:id="513" w:name="_ENREF_370"/>
      <w:r w:rsidRPr="00750C8B">
        <w:t xml:space="preserve">Paulechova, K &amp; Baumgartenerova, H 1980, ‘Some properties of </w:t>
      </w:r>
      <w:r w:rsidRPr="00750C8B">
        <w:rPr>
          <w:i/>
        </w:rPr>
        <w:t xml:space="preserve">Tobacco necrosis virus </w:t>
      </w:r>
      <w:r w:rsidRPr="00750C8B">
        <w:t xml:space="preserve">isolated from plums’, </w:t>
      </w:r>
      <w:r w:rsidRPr="00750C8B">
        <w:rPr>
          <w:i/>
        </w:rPr>
        <w:t>Acta Phytopathologica Academiae Scientarium Hungaricae</w:t>
      </w:r>
      <w:r w:rsidRPr="00750C8B">
        <w:t>, vol. 15, pp. 119-22.</w:t>
      </w:r>
      <w:bookmarkEnd w:id="513"/>
    </w:p>
    <w:p w:rsidR="00B8782D" w:rsidRPr="00750C8B" w:rsidRDefault="00B8782D" w:rsidP="00750C8B">
      <w:pPr>
        <w:pStyle w:val="EndNoteBibliography"/>
        <w:spacing w:after="0"/>
      </w:pPr>
      <w:bookmarkStart w:id="514" w:name="_ENREF_371"/>
      <w:r w:rsidRPr="00750C8B">
        <w:t xml:space="preserve">Pellizzari, G, Duso, C, Rainato, A, Pozzebon, A &amp; Zanini, G 2012, ‘Phenology, ethology and distribution of </w:t>
      </w:r>
      <w:r w:rsidRPr="00750C8B">
        <w:rPr>
          <w:i/>
        </w:rPr>
        <w:t>Pseudococcus comstocki</w:t>
      </w:r>
      <w:r w:rsidRPr="00750C8B">
        <w:t xml:space="preserve">, an invasive pest in northeastern Italy’, </w:t>
      </w:r>
      <w:r w:rsidRPr="00750C8B">
        <w:rPr>
          <w:i/>
        </w:rPr>
        <w:t>Bulletin of Insectology</w:t>
      </w:r>
      <w:r w:rsidRPr="00750C8B">
        <w:t>, vol. 65, no. 2, pp. 209-15.</w:t>
      </w:r>
      <w:bookmarkEnd w:id="514"/>
    </w:p>
    <w:p w:rsidR="00B8782D" w:rsidRPr="00750C8B" w:rsidRDefault="00B8782D" w:rsidP="00750C8B">
      <w:pPr>
        <w:pStyle w:val="EndNoteBibliography"/>
        <w:spacing w:after="0"/>
      </w:pPr>
      <w:bookmarkStart w:id="515" w:name="_ENREF_372"/>
      <w:r w:rsidRPr="00750C8B">
        <w:t xml:space="preserve">Pernezny, K &amp; Simone, GW 2000, </w:t>
      </w:r>
      <w:r w:rsidRPr="00750C8B">
        <w:rPr>
          <w:i/>
        </w:rPr>
        <w:t>Diseases of mango (Mangifera indica L.)</w:t>
      </w:r>
      <w:r w:rsidRPr="00750C8B">
        <w:t xml:space="preserve">, American Phytopathological Society - APSnet, available at </w:t>
      </w:r>
      <w:r w:rsidRPr="00B8782D">
        <w:t>http://www.apsnet.org/publications/commonnames/Pages/Mango.aspx</w:t>
      </w:r>
      <w:r w:rsidRPr="00750C8B">
        <w:t>.</w:t>
      </w:r>
      <w:bookmarkEnd w:id="515"/>
    </w:p>
    <w:p w:rsidR="00B8782D" w:rsidRPr="00750C8B" w:rsidRDefault="00B8782D" w:rsidP="00750C8B">
      <w:pPr>
        <w:pStyle w:val="EndNoteBibliography"/>
        <w:spacing w:after="0"/>
      </w:pPr>
      <w:bookmarkStart w:id="516" w:name="_ENREF_373"/>
      <w:r w:rsidRPr="00750C8B">
        <w:t>Persley, DM, Thomas, JE &amp; Sharman, M 2006, ‘</w:t>
      </w:r>
      <w:r w:rsidRPr="00750C8B">
        <w:rPr>
          <w:i/>
        </w:rPr>
        <w:t>Tospoviruses:</w:t>
      </w:r>
      <w:r w:rsidRPr="00750C8B">
        <w:t xml:space="preserve"> an Australian perspective’, </w:t>
      </w:r>
      <w:r w:rsidRPr="00750C8B">
        <w:rPr>
          <w:i/>
        </w:rPr>
        <w:t>Australasian Plant Pathology</w:t>
      </w:r>
      <w:r w:rsidRPr="00750C8B">
        <w:t>, vol. 35, pp. 161-80.</w:t>
      </w:r>
      <w:bookmarkEnd w:id="516"/>
    </w:p>
    <w:p w:rsidR="00B8782D" w:rsidRPr="00750C8B" w:rsidRDefault="00B8782D" w:rsidP="00750C8B">
      <w:pPr>
        <w:pStyle w:val="EndNoteBibliography"/>
        <w:spacing w:after="0"/>
      </w:pPr>
      <w:bookmarkStart w:id="517" w:name="_ENREF_374"/>
      <w:r w:rsidRPr="00750C8B">
        <w:t xml:space="preserve">Phillips, CB 1994, </w:t>
      </w:r>
      <w:r w:rsidRPr="00750C8B">
        <w:rPr>
          <w:i/>
        </w:rPr>
        <w:t>Leaf diseases</w:t>
      </w:r>
      <w:r w:rsidRPr="00750C8B">
        <w:t xml:space="preserve">, Government of South Australia, Priamary Industries and Resources, South Australia, available at </w:t>
      </w:r>
      <w:r w:rsidRPr="00B8782D">
        <w:t>www.pir.sa.gov.au</w:t>
      </w:r>
      <w:r w:rsidRPr="00750C8B">
        <w:t>.</w:t>
      </w:r>
      <w:bookmarkEnd w:id="517"/>
    </w:p>
    <w:p w:rsidR="00B8782D" w:rsidRPr="00750C8B" w:rsidRDefault="00B8782D" w:rsidP="00750C8B">
      <w:pPr>
        <w:pStyle w:val="EndNoteBibliography"/>
        <w:spacing w:after="0"/>
      </w:pPr>
      <w:bookmarkStart w:id="518" w:name="_ENREF_375"/>
      <w:r w:rsidRPr="00750C8B">
        <w:t xml:space="preserve">Phillips, JHH 1963, ‘Life history and ecology of </w:t>
      </w:r>
      <w:r w:rsidRPr="00750C8B">
        <w:rPr>
          <w:i/>
        </w:rPr>
        <w:t xml:space="preserve">Pulvinaria vitis </w:t>
      </w:r>
      <w:r w:rsidRPr="00750C8B">
        <w:t xml:space="preserve">(L.) (Hemiptera: Coecoidea), the cottony scale attacking peach in Ontario’, </w:t>
      </w:r>
      <w:r w:rsidRPr="00750C8B">
        <w:rPr>
          <w:i/>
        </w:rPr>
        <w:t>The Canadian Entomologist</w:t>
      </w:r>
      <w:r w:rsidRPr="00750C8B">
        <w:t>, vol. 95, pp. 372-402.</w:t>
      </w:r>
      <w:bookmarkEnd w:id="518"/>
    </w:p>
    <w:p w:rsidR="00B8782D" w:rsidRPr="00750C8B" w:rsidRDefault="00B8782D" w:rsidP="00750C8B">
      <w:pPr>
        <w:pStyle w:val="EndNoteBibliography"/>
        <w:spacing w:after="0"/>
      </w:pPr>
      <w:bookmarkStart w:id="519" w:name="_ENREF_376"/>
      <w:r w:rsidRPr="00750C8B">
        <w:t xml:space="preserve">Pickel, C, Bentley, WJ, Hasey, JK, Day, KR &amp; Rice, RE 2006, </w:t>
      </w:r>
      <w:r w:rsidRPr="00750C8B">
        <w:rPr>
          <w:i/>
        </w:rPr>
        <w:t>Peach twig borer. In: UC Pest management guidelines: peach</w:t>
      </w:r>
      <w:r w:rsidRPr="00750C8B">
        <w:t xml:space="preserve">, UC IPM Online: Statewide Integrated Pest Management Program, available at </w:t>
      </w:r>
      <w:r w:rsidRPr="00B8782D">
        <w:t>http://www.ipm.ucdavis.edu/</w:t>
      </w:r>
      <w:r w:rsidRPr="00750C8B">
        <w:t>.</w:t>
      </w:r>
      <w:bookmarkEnd w:id="519"/>
    </w:p>
    <w:p w:rsidR="00B8782D" w:rsidRPr="00750C8B" w:rsidRDefault="00B8782D" w:rsidP="00750C8B">
      <w:pPr>
        <w:pStyle w:val="EndNoteBibliography"/>
        <w:spacing w:after="0"/>
      </w:pPr>
      <w:bookmarkStart w:id="520" w:name="_ENREF_377"/>
      <w:r w:rsidRPr="00750C8B">
        <w:t xml:space="preserve">Plant Health Australia 2001, ‘Australian Plant Pest Database, online database’, The Atlas of Living Australia, available at </w:t>
      </w:r>
      <w:r w:rsidRPr="00B8782D">
        <w:t>http://www.planthealthaustralia.com.au/resources/australian-plant-pest-database/</w:t>
      </w:r>
      <w:r w:rsidRPr="00750C8B">
        <w:t>, accessed 2015.</w:t>
      </w:r>
      <w:bookmarkEnd w:id="520"/>
    </w:p>
    <w:p w:rsidR="00B8782D" w:rsidRPr="00750C8B" w:rsidRDefault="00B8782D" w:rsidP="00750C8B">
      <w:pPr>
        <w:pStyle w:val="EndNoteBibliography"/>
        <w:spacing w:after="0"/>
      </w:pPr>
      <w:bookmarkStart w:id="521" w:name="_ENREF_378"/>
      <w:r w:rsidRPr="00750C8B">
        <w:t xml:space="preserve">Pollini, A 2008, ‘Combattere le ricamatrici con specifici preparati.’ (Combating certain fruit moths with specific preparations), </w:t>
      </w:r>
      <w:r w:rsidRPr="00750C8B">
        <w:rPr>
          <w:i/>
        </w:rPr>
        <w:t>Informatore Agrario</w:t>
      </w:r>
      <w:r w:rsidRPr="00750C8B">
        <w:t>, vol. 64, no. 26 (suppl.), pp. 11-2. (Abstract only)</w:t>
      </w:r>
      <w:bookmarkEnd w:id="521"/>
    </w:p>
    <w:p w:rsidR="00B8782D" w:rsidRPr="00750C8B" w:rsidRDefault="00B8782D" w:rsidP="00750C8B">
      <w:pPr>
        <w:pStyle w:val="EndNoteBibliography"/>
        <w:spacing w:after="0"/>
      </w:pPr>
      <w:bookmarkStart w:id="522" w:name="_ENREF_379"/>
      <w:r w:rsidRPr="00750C8B">
        <w:t xml:space="preserve">Poole, MC 2010, </w:t>
      </w:r>
      <w:r w:rsidRPr="00750C8B">
        <w:rPr>
          <w:i/>
        </w:rPr>
        <w:t>An annotated catalogue of insect and allied species associated with Western Australian agriculture and related industries: perennial draft, July 2010</w:t>
      </w:r>
      <w:r w:rsidRPr="00750C8B">
        <w:t>, Department of Agriculture and Food, Government of Western Australia.</w:t>
      </w:r>
      <w:bookmarkEnd w:id="522"/>
    </w:p>
    <w:p w:rsidR="00B8782D" w:rsidRPr="00750C8B" w:rsidRDefault="00B8782D" w:rsidP="00750C8B">
      <w:pPr>
        <w:pStyle w:val="EndNoteBibliography"/>
        <w:spacing w:after="0"/>
      </w:pPr>
      <w:bookmarkStart w:id="523" w:name="_ENREF_380"/>
      <w:r w:rsidRPr="00750C8B">
        <w:t xml:space="preserve">Poole, MC, Wood, CE, Lanoiselet, V, Tuten, SJ &amp; Hammond, NE 2011, </w:t>
      </w:r>
      <w:r w:rsidRPr="00750C8B">
        <w:rPr>
          <w:i/>
        </w:rPr>
        <w:t>Final pest risk analysis report for the importation of fresh summerfruit from South Australia, Tasmania, New South Wales and Victoria into Western Australia</w:t>
      </w:r>
      <w:r w:rsidRPr="00750C8B">
        <w:t>, Department of Agriculture and Food, Western Australia.</w:t>
      </w:r>
      <w:bookmarkEnd w:id="523"/>
    </w:p>
    <w:p w:rsidR="00B8782D" w:rsidRPr="00750C8B" w:rsidRDefault="00B8782D" w:rsidP="00750C8B">
      <w:pPr>
        <w:pStyle w:val="EndNoteBibliography"/>
        <w:spacing w:after="0"/>
      </w:pPr>
      <w:bookmarkStart w:id="524" w:name="_ENREF_381"/>
      <w:r w:rsidRPr="00750C8B">
        <w:t xml:space="preserve">Poole, MC, Woods, C &amp; Tuten, SJ 2009, </w:t>
      </w:r>
      <w:r w:rsidRPr="00750C8B">
        <w:rPr>
          <w:i/>
        </w:rPr>
        <w:t>A categorisation of invertebrate and pathogen species associated with mature stonefruit in Australia</w:t>
      </w:r>
      <w:r w:rsidRPr="00750C8B">
        <w:t>, Department of Agriculture and Food, Government of Western Australia, WA.</w:t>
      </w:r>
      <w:bookmarkEnd w:id="524"/>
    </w:p>
    <w:p w:rsidR="00B8782D" w:rsidRPr="00750C8B" w:rsidRDefault="00B8782D" w:rsidP="00750C8B">
      <w:pPr>
        <w:pStyle w:val="EndNoteBibliography"/>
        <w:spacing w:after="0"/>
      </w:pPr>
      <w:bookmarkStart w:id="525" w:name="_ENREF_382"/>
      <w:r w:rsidRPr="00750C8B">
        <w:t xml:space="preserve">Raine, J, McMullen, RD &amp; Forbes, AR 1986, ‘Transmission of the agent causing little cherry disease by the apple mealy bug </w:t>
      </w:r>
      <w:r w:rsidRPr="00750C8B">
        <w:rPr>
          <w:i/>
        </w:rPr>
        <w:t>Phenacoccus aceris</w:t>
      </w:r>
      <w:r w:rsidRPr="00750C8B">
        <w:t xml:space="preserve"> and the dooder </w:t>
      </w:r>
      <w:r w:rsidRPr="00750C8B">
        <w:rPr>
          <w:i/>
        </w:rPr>
        <w:t>Cuscuta lupuliformis</w:t>
      </w:r>
      <w:r w:rsidRPr="00750C8B">
        <w:t xml:space="preserve">’, </w:t>
      </w:r>
      <w:r w:rsidRPr="00750C8B">
        <w:rPr>
          <w:i/>
        </w:rPr>
        <w:t>Canadian Journal of Plant Pathology</w:t>
      </w:r>
      <w:r w:rsidRPr="00750C8B">
        <w:t>, vol. 8, pp. 6-11.</w:t>
      </w:r>
      <w:bookmarkEnd w:id="525"/>
    </w:p>
    <w:p w:rsidR="00B8782D" w:rsidRPr="00750C8B" w:rsidRDefault="00B8782D" w:rsidP="00750C8B">
      <w:pPr>
        <w:pStyle w:val="EndNoteBibliography"/>
        <w:spacing w:after="0"/>
      </w:pPr>
      <w:bookmarkStart w:id="526" w:name="_ENREF_383"/>
      <w:r w:rsidRPr="00750C8B">
        <w:lastRenderedPageBreak/>
        <w:t>Randles, JW &amp; Francki, RIB 1965, ‘Some properties of a</w:t>
      </w:r>
      <w:r w:rsidRPr="00750C8B">
        <w:rPr>
          <w:i/>
        </w:rPr>
        <w:t xml:space="preserve"> Tobacco ringspot virus</w:t>
      </w:r>
      <w:r w:rsidRPr="00750C8B">
        <w:t xml:space="preserve"> isolate from South Australia’, </w:t>
      </w:r>
      <w:r w:rsidRPr="00750C8B">
        <w:rPr>
          <w:i/>
        </w:rPr>
        <w:t>Australian Journal of Biological Sciences</w:t>
      </w:r>
      <w:r w:rsidRPr="00750C8B">
        <w:t>, vol. 18, pp. 979-86.</w:t>
      </w:r>
      <w:bookmarkEnd w:id="526"/>
    </w:p>
    <w:p w:rsidR="00B8782D" w:rsidRPr="00750C8B" w:rsidRDefault="00B8782D" w:rsidP="00750C8B">
      <w:pPr>
        <w:pStyle w:val="EndNoteBibliography"/>
        <w:spacing w:after="0"/>
      </w:pPr>
      <w:bookmarkStart w:id="527" w:name="_ENREF_384"/>
      <w:r w:rsidRPr="00750C8B">
        <w:t>Rao, WL, Zhang, ZK &amp; Li, R 2009, ‘First report of</w:t>
      </w:r>
      <w:r w:rsidRPr="00750C8B">
        <w:rPr>
          <w:i/>
        </w:rPr>
        <w:t xml:space="preserve"> Cherry virus A</w:t>
      </w:r>
      <w:r w:rsidRPr="00750C8B">
        <w:t xml:space="preserve"> in sweet cherry trees in China’, </w:t>
      </w:r>
      <w:r w:rsidRPr="00750C8B">
        <w:rPr>
          <w:i/>
        </w:rPr>
        <w:t>Plant Disease</w:t>
      </w:r>
      <w:r w:rsidRPr="00750C8B">
        <w:t>, vol. 93, no. 4, p. 425.</w:t>
      </w:r>
      <w:bookmarkEnd w:id="527"/>
    </w:p>
    <w:p w:rsidR="00B8782D" w:rsidRPr="00750C8B" w:rsidRDefault="00B8782D" w:rsidP="00750C8B">
      <w:pPr>
        <w:pStyle w:val="EndNoteBibliography"/>
        <w:spacing w:after="0"/>
      </w:pPr>
      <w:bookmarkStart w:id="528" w:name="_ENREF_385"/>
      <w:r w:rsidRPr="00750C8B">
        <w:t xml:space="preserve">Rebenstorf, K, Candresse, T, Dulucq, MJ, Buttner, C &amp; Obermeier, C 2006, ‘Host species-dependent population structure of a </w:t>
      </w:r>
      <w:r w:rsidRPr="00750C8B">
        <w:rPr>
          <w:i/>
        </w:rPr>
        <w:t>Pollen-borne plant virus,</w:t>
      </w:r>
      <w:r w:rsidRPr="00750C8B">
        <w:t xml:space="preserve"> </w:t>
      </w:r>
      <w:r w:rsidRPr="00750C8B">
        <w:rPr>
          <w:i/>
        </w:rPr>
        <w:t>Cherry leaf roll virus</w:t>
      </w:r>
      <w:r w:rsidRPr="00750C8B">
        <w:t xml:space="preserve">’, </w:t>
      </w:r>
      <w:r w:rsidRPr="00750C8B">
        <w:rPr>
          <w:i/>
        </w:rPr>
        <w:t>Journal of Virology</w:t>
      </w:r>
      <w:r w:rsidRPr="00750C8B">
        <w:t>, vol. 80, no. 5, pp. 2453-62.</w:t>
      </w:r>
      <w:bookmarkEnd w:id="528"/>
    </w:p>
    <w:p w:rsidR="00B8782D" w:rsidRPr="00750C8B" w:rsidRDefault="00B8782D" w:rsidP="00750C8B">
      <w:pPr>
        <w:pStyle w:val="EndNoteBibliography"/>
        <w:spacing w:after="0"/>
      </w:pPr>
      <w:bookmarkStart w:id="529" w:name="_ENREF_386"/>
      <w:r w:rsidRPr="00750C8B">
        <w:t xml:space="preserve">Reding, ME &amp; Alston, DG 2003, </w:t>
      </w:r>
      <w:r w:rsidRPr="00750C8B">
        <w:rPr>
          <w:i/>
        </w:rPr>
        <w:t>Peach twig borer: Anarsia lineatella</w:t>
      </w:r>
      <w:r w:rsidRPr="00750C8B">
        <w:t xml:space="preserve">, Utah Pests Fact Sheet, available at </w:t>
      </w:r>
      <w:r w:rsidRPr="00B8782D">
        <w:t>http://extension.usu.edu/files/factsheets/twigbore.pdf</w:t>
      </w:r>
      <w:r w:rsidRPr="00750C8B">
        <w:t>.</w:t>
      </w:r>
      <w:bookmarkEnd w:id="529"/>
    </w:p>
    <w:p w:rsidR="00B8782D" w:rsidRPr="00750C8B" w:rsidRDefault="00B8782D" w:rsidP="00750C8B">
      <w:pPr>
        <w:pStyle w:val="EndNoteBibliography"/>
        <w:spacing w:after="0"/>
      </w:pPr>
      <w:bookmarkStart w:id="530" w:name="_ENREF_387"/>
      <w:r w:rsidRPr="00750C8B">
        <w:t xml:space="preserve">Reinking, OA 1919, ‘Diseases of economic plants in Southern China’, </w:t>
      </w:r>
      <w:r w:rsidRPr="00750C8B">
        <w:rPr>
          <w:i/>
        </w:rPr>
        <w:t>The Philippine Agriculturist</w:t>
      </w:r>
      <w:r w:rsidRPr="00750C8B">
        <w:t>, vol. 8, pp. 109-35.</w:t>
      </w:r>
      <w:bookmarkEnd w:id="530"/>
    </w:p>
    <w:p w:rsidR="00B8782D" w:rsidRPr="00750C8B" w:rsidRDefault="00B8782D" w:rsidP="00750C8B">
      <w:pPr>
        <w:pStyle w:val="EndNoteBibliography"/>
        <w:spacing w:after="0"/>
      </w:pPr>
      <w:bookmarkStart w:id="531" w:name="_ENREF_388"/>
      <w:r w:rsidRPr="00750C8B">
        <w:t xml:space="preserve">Ren, SZ 1984, ‘Studies on the fine structure of egg-shells and the biology of </w:t>
      </w:r>
      <w:r w:rsidRPr="00750C8B">
        <w:rPr>
          <w:i/>
        </w:rPr>
        <w:t>Megacopta Hsiao</w:t>
      </w:r>
      <w:r w:rsidRPr="00750C8B">
        <w:t xml:space="preserve"> et Jen from China (Hemiptera: Plataspidae)’, </w:t>
      </w:r>
      <w:r w:rsidRPr="00750C8B">
        <w:rPr>
          <w:i/>
        </w:rPr>
        <w:t>Entomotaxonomia</w:t>
      </w:r>
      <w:r w:rsidRPr="00750C8B">
        <w:t>, vol. 6, no. 4, pp. 327-32. (Abstract only)</w:t>
      </w:r>
      <w:bookmarkEnd w:id="531"/>
    </w:p>
    <w:p w:rsidR="00B8782D" w:rsidRPr="00750C8B" w:rsidRDefault="00B8782D" w:rsidP="00750C8B">
      <w:pPr>
        <w:pStyle w:val="EndNoteBibliography"/>
        <w:spacing w:after="0"/>
      </w:pPr>
      <w:bookmarkStart w:id="532" w:name="_ENREF_389"/>
      <w:r w:rsidRPr="00750C8B">
        <w:t xml:space="preserve">Reynolds, B &amp; Teakle, DS 1976, ‘Viruses infecting commercial gladiolus cultivars in Queensland’, </w:t>
      </w:r>
      <w:r w:rsidRPr="00750C8B">
        <w:rPr>
          <w:i/>
        </w:rPr>
        <w:t>APPS Newsletter</w:t>
      </w:r>
      <w:r w:rsidRPr="00750C8B">
        <w:t>, vol. 5, no. 2, pp. 22-3.</w:t>
      </w:r>
      <w:bookmarkEnd w:id="532"/>
    </w:p>
    <w:p w:rsidR="00B8782D" w:rsidRPr="00750C8B" w:rsidRDefault="00B8782D" w:rsidP="00750C8B">
      <w:pPr>
        <w:pStyle w:val="EndNoteBibliography"/>
        <w:spacing w:after="0"/>
      </w:pPr>
      <w:bookmarkStart w:id="533" w:name="_ENREF_390"/>
      <w:r w:rsidRPr="00750C8B">
        <w:t xml:space="preserve">Rice, RE, Garnett, WW &amp; Steenwyk, RA 1996, ‘Insect and mite pest’, in </w:t>
      </w:r>
      <w:r w:rsidRPr="00750C8B">
        <w:rPr>
          <w:i/>
        </w:rPr>
        <w:t>Almond production manual</w:t>
      </w:r>
      <w:r w:rsidRPr="00750C8B">
        <w:t>, Micke, WC (ed), UCANR Publications, University of California, Division of Agriculture and Natural Resources, California, USA.</w:t>
      </w:r>
      <w:bookmarkEnd w:id="533"/>
    </w:p>
    <w:p w:rsidR="00B8782D" w:rsidRPr="00750C8B" w:rsidRDefault="00B8782D" w:rsidP="00750C8B">
      <w:pPr>
        <w:pStyle w:val="EndNoteBibliography"/>
        <w:spacing w:after="0"/>
      </w:pPr>
      <w:bookmarkStart w:id="534" w:name="_ENREF_391"/>
      <w:r w:rsidRPr="00750C8B">
        <w:t xml:space="preserve">Robinson, GS, Ackery, PR, Kitching, IJ, Beccaloni, GW &amp; Hernández, LM 2010, ‘HOSTS: a database of the world's lepidopteran hostplants’, available at </w:t>
      </w:r>
      <w:r w:rsidRPr="00B8782D">
        <w:t>http://www.nhm.ac.uk/hosts</w:t>
      </w:r>
      <w:r w:rsidRPr="00750C8B">
        <w:t>, accessed 2014.</w:t>
      </w:r>
      <w:bookmarkEnd w:id="534"/>
    </w:p>
    <w:p w:rsidR="00B8782D" w:rsidRPr="00750C8B" w:rsidRDefault="00B8782D" w:rsidP="00750C8B">
      <w:pPr>
        <w:pStyle w:val="EndNoteBibliography"/>
        <w:spacing w:after="0"/>
      </w:pPr>
      <w:bookmarkStart w:id="535" w:name="_ENREF_392"/>
      <w:r w:rsidRPr="00750C8B">
        <w:t xml:space="preserve">Rochon, D, Kakani, K, Robbins, M &amp; Reade, R 2004, ‘Molecular aspects of plant virus transmission by Olpidium and Plasmodiophorid vectors’, </w:t>
      </w:r>
      <w:r w:rsidRPr="00750C8B">
        <w:rPr>
          <w:i/>
        </w:rPr>
        <w:t>Annual Review of Phytopathology</w:t>
      </w:r>
      <w:r w:rsidRPr="00750C8B">
        <w:t>, vol. 42, pp. 211-41.</w:t>
      </w:r>
      <w:bookmarkEnd w:id="535"/>
    </w:p>
    <w:p w:rsidR="00B8782D" w:rsidRPr="00750C8B" w:rsidRDefault="00B8782D" w:rsidP="00750C8B">
      <w:pPr>
        <w:pStyle w:val="EndNoteBibliography"/>
        <w:spacing w:after="0"/>
      </w:pPr>
      <w:bookmarkStart w:id="536" w:name="_ENREF_393"/>
      <w:r w:rsidRPr="00750C8B">
        <w:t xml:space="preserve">Roques, A 2006, </w:t>
      </w:r>
      <w:r w:rsidRPr="00750C8B">
        <w:rPr>
          <w:i/>
        </w:rPr>
        <w:t>Frankliniella occidentalis (Pergande, 1895)</w:t>
      </w:r>
      <w:r w:rsidRPr="00750C8B">
        <w:t xml:space="preserve">, Delivering Alien Invasive Species Inventories for Europe, available at </w:t>
      </w:r>
      <w:r w:rsidRPr="00B8782D">
        <w:t>http://www.europe-aliens.org/</w:t>
      </w:r>
      <w:r w:rsidRPr="00750C8B">
        <w:t>.</w:t>
      </w:r>
      <w:bookmarkEnd w:id="536"/>
    </w:p>
    <w:p w:rsidR="00B8782D" w:rsidRPr="00750C8B" w:rsidRDefault="00B8782D" w:rsidP="00750C8B">
      <w:pPr>
        <w:pStyle w:val="EndNoteBibliography"/>
        <w:spacing w:after="0"/>
      </w:pPr>
      <w:bookmarkStart w:id="537" w:name="_ENREF_394"/>
      <w:r w:rsidRPr="00750C8B">
        <w:t xml:space="preserve">Rothschild, GHL &amp; Vickers, RA 1991, ‘Biology, ecology and control of the Oriental fruit moth’, in </w:t>
      </w:r>
      <w:r w:rsidRPr="00750C8B">
        <w:rPr>
          <w:i/>
        </w:rPr>
        <w:t>Tortricid pests: their biology, natural enemies and control. Vol. 5</w:t>
      </w:r>
      <w:r w:rsidRPr="00750C8B">
        <w:t>, Van der Geest, LPS &amp; Evenhuis, HH (eds), Elsevier Science Publishers B.V., Amsterdam.</w:t>
      </w:r>
      <w:bookmarkEnd w:id="537"/>
    </w:p>
    <w:p w:rsidR="00B8782D" w:rsidRPr="00750C8B" w:rsidRDefault="00B8782D" w:rsidP="00750C8B">
      <w:pPr>
        <w:pStyle w:val="EndNoteBibliography"/>
        <w:spacing w:after="0"/>
      </w:pPr>
      <w:bookmarkStart w:id="538" w:name="_ENREF_395"/>
      <w:r w:rsidRPr="00750C8B">
        <w:t xml:space="preserve">Rott, M &amp; Jelkmann, W 2011, ‘Cherry necrotic rusty mottle and cherry rusty mottle viruses’, in </w:t>
      </w:r>
      <w:r w:rsidRPr="00750C8B">
        <w:rPr>
          <w:i/>
        </w:rPr>
        <w:t>Virus and virus-like diseases of pome and stone fruits</w:t>
      </w:r>
      <w:r w:rsidRPr="00750C8B">
        <w:t>, Hadidi, A, Barba, M, Candresse, T &amp; Jelkman, W (eds), The American Phytopathological Society, St. Paul, Minnesota.</w:t>
      </w:r>
      <w:bookmarkEnd w:id="538"/>
    </w:p>
    <w:p w:rsidR="00B8782D" w:rsidRPr="00750C8B" w:rsidRDefault="00B8782D" w:rsidP="00750C8B">
      <w:pPr>
        <w:pStyle w:val="EndNoteBibliography"/>
        <w:spacing w:after="0"/>
      </w:pPr>
      <w:bookmarkStart w:id="539" w:name="_ENREF_396"/>
      <w:r w:rsidRPr="00750C8B">
        <w:t xml:space="preserve">Ruiting, J, Feng, W, Yuezhong, L, Yuzhou, D &amp; Feng, Z 2014, ‘Effect of temperature, soil moisture, and soil depths on eclosion of overwintering </w:t>
      </w:r>
      <w:r w:rsidRPr="00750C8B">
        <w:rPr>
          <w:i/>
        </w:rPr>
        <w:t>Setora postornata</w:t>
      </w:r>
      <w:r w:rsidRPr="00750C8B">
        <w:t xml:space="preserve"> (Hampson)’ (in Chinese), </w:t>
      </w:r>
      <w:r w:rsidRPr="00750C8B">
        <w:rPr>
          <w:i/>
        </w:rPr>
        <w:t>Acta Phytophylacica Sinica</w:t>
      </w:r>
      <w:r w:rsidRPr="00750C8B">
        <w:t>, vol. 34, no. 4, pp. 396-400.</w:t>
      </w:r>
      <w:bookmarkEnd w:id="539"/>
    </w:p>
    <w:p w:rsidR="00B8782D" w:rsidRPr="00750C8B" w:rsidRDefault="00B8782D" w:rsidP="00750C8B">
      <w:pPr>
        <w:pStyle w:val="EndNoteBibliography"/>
        <w:spacing w:after="0"/>
      </w:pPr>
      <w:bookmarkStart w:id="540" w:name="_ENREF_397"/>
      <w:r w:rsidRPr="00750C8B">
        <w:t xml:space="preserve">Saeed, A, Saeed, M &amp; Yousuf, M 2000, ‘New species and records of some crickets (Gryllinae: Gryllidae: Orthoptera) from Pakistan’, </w:t>
      </w:r>
      <w:r w:rsidRPr="00750C8B">
        <w:rPr>
          <w:i/>
        </w:rPr>
        <w:t>International Journal of Agriculture and Biology</w:t>
      </w:r>
      <w:r w:rsidRPr="00750C8B">
        <w:t>, vol. 2, no. 3, pp. 175-82.</w:t>
      </w:r>
      <w:bookmarkEnd w:id="540"/>
    </w:p>
    <w:p w:rsidR="00B8782D" w:rsidRPr="00750C8B" w:rsidRDefault="00B8782D" w:rsidP="00750C8B">
      <w:pPr>
        <w:pStyle w:val="EndNoteBibliography"/>
        <w:spacing w:after="0"/>
      </w:pPr>
      <w:bookmarkStart w:id="541" w:name="_ENREF_398"/>
      <w:r w:rsidRPr="00750C8B">
        <w:t xml:space="preserve">Saeki, K, Takahashi, Y, Oh-oka, H, Umeoka, T, Oda, Y &amp; Fukuyama, K 2001, ‘Primary structure and phylogenetic analysis of the coat protein of a toyama isolate of </w:t>
      </w:r>
      <w:r w:rsidRPr="00750C8B">
        <w:rPr>
          <w:i/>
        </w:rPr>
        <w:t>Tobacco necrosis virus</w:t>
      </w:r>
      <w:r w:rsidRPr="00750C8B">
        <w:t xml:space="preserve">’, </w:t>
      </w:r>
      <w:r w:rsidRPr="00750C8B">
        <w:rPr>
          <w:i/>
        </w:rPr>
        <w:t>Bioscience, Biotechnology and Biochemistry</w:t>
      </w:r>
      <w:r w:rsidRPr="00750C8B">
        <w:t>, vol. 65, no. 3, pp. 719-24.</w:t>
      </w:r>
      <w:bookmarkEnd w:id="541"/>
    </w:p>
    <w:p w:rsidR="00B8782D" w:rsidRPr="00750C8B" w:rsidRDefault="00B8782D" w:rsidP="00750C8B">
      <w:pPr>
        <w:pStyle w:val="EndNoteBibliography"/>
        <w:spacing w:after="0"/>
      </w:pPr>
      <w:bookmarkStart w:id="542" w:name="_ENREF_399"/>
      <w:r w:rsidRPr="00750C8B">
        <w:t xml:space="preserve">Safarova, D, Navratil, M, Faure, C &amp; Marais, A 2012, ‘First report of </w:t>
      </w:r>
      <w:r w:rsidRPr="00750C8B">
        <w:rPr>
          <w:i/>
        </w:rPr>
        <w:t>Apricot pseudo-chlorotic leaf spot virus</w:t>
      </w:r>
      <w:r w:rsidRPr="00750C8B">
        <w:t xml:space="preserve"> infecting plum (</w:t>
      </w:r>
      <w:r w:rsidRPr="00750C8B">
        <w:rPr>
          <w:i/>
        </w:rPr>
        <w:t>Prunus domestica</w:t>
      </w:r>
      <w:r w:rsidRPr="00750C8B">
        <w:t xml:space="preserve">) in the Czech Republic’, </w:t>
      </w:r>
      <w:r w:rsidRPr="00750C8B">
        <w:rPr>
          <w:i/>
        </w:rPr>
        <w:t>Plant Disease</w:t>
      </w:r>
      <w:r w:rsidRPr="00750C8B">
        <w:t>, vol. 96, no. 2, p. 461.</w:t>
      </w:r>
      <w:bookmarkEnd w:id="542"/>
    </w:p>
    <w:p w:rsidR="00B8782D" w:rsidRPr="00750C8B" w:rsidRDefault="00B8782D" w:rsidP="00750C8B">
      <w:pPr>
        <w:pStyle w:val="EndNoteBibliography"/>
        <w:spacing w:after="0"/>
      </w:pPr>
      <w:bookmarkStart w:id="543" w:name="_ENREF_400"/>
      <w:r w:rsidRPr="00750C8B">
        <w:t xml:space="preserve">Sampson, PJ &amp; Walker, J 1982, </w:t>
      </w:r>
      <w:r w:rsidRPr="00750C8B">
        <w:rPr>
          <w:i/>
        </w:rPr>
        <w:t>An annotated list of plant diseases in Tasmania</w:t>
      </w:r>
      <w:r w:rsidRPr="00750C8B">
        <w:t>, Department of Agriculture, Tasmania.</w:t>
      </w:r>
      <w:bookmarkEnd w:id="543"/>
    </w:p>
    <w:p w:rsidR="00B8782D" w:rsidRPr="00750C8B" w:rsidRDefault="00B8782D" w:rsidP="00750C8B">
      <w:pPr>
        <w:pStyle w:val="EndNoteBibliography"/>
        <w:spacing w:after="0"/>
      </w:pPr>
      <w:bookmarkStart w:id="544" w:name="_ENREF_401"/>
      <w:r w:rsidRPr="00750C8B">
        <w:t xml:space="preserve">Sasaya, T &amp; Koganezawa, H 2006, ‘Molecular analysis and virus transmission tests place </w:t>
      </w:r>
      <w:r w:rsidRPr="00750C8B">
        <w:rPr>
          <w:i/>
        </w:rPr>
        <w:t>Olpidium</w:t>
      </w:r>
      <w:r w:rsidRPr="00750C8B">
        <w:t xml:space="preserve"> </w:t>
      </w:r>
      <w:r w:rsidRPr="00750C8B">
        <w:rPr>
          <w:i/>
        </w:rPr>
        <w:t>virulentus</w:t>
      </w:r>
      <w:r w:rsidRPr="00750C8B">
        <w:t xml:space="preserve">, a vector of </w:t>
      </w:r>
      <w:r w:rsidRPr="00750C8B">
        <w:rPr>
          <w:i/>
        </w:rPr>
        <w:t>Mirafiori lettuce big-vein virus</w:t>
      </w:r>
      <w:r w:rsidRPr="00750C8B">
        <w:t xml:space="preserve"> and </w:t>
      </w:r>
      <w:r w:rsidRPr="00750C8B">
        <w:rPr>
          <w:i/>
        </w:rPr>
        <w:t>Tobacco stunt virus,</w:t>
      </w:r>
      <w:r w:rsidRPr="00750C8B">
        <w:t xml:space="preserve"> as a distinct species rather than a strain of </w:t>
      </w:r>
      <w:r w:rsidRPr="00750C8B">
        <w:rPr>
          <w:i/>
        </w:rPr>
        <w:t>Olpidium</w:t>
      </w:r>
      <w:r w:rsidRPr="00750C8B">
        <w:t xml:space="preserve"> </w:t>
      </w:r>
      <w:r w:rsidRPr="00750C8B">
        <w:rPr>
          <w:i/>
        </w:rPr>
        <w:t>brassicae</w:t>
      </w:r>
      <w:r w:rsidRPr="00750C8B">
        <w:t xml:space="preserve">’, </w:t>
      </w:r>
      <w:r w:rsidRPr="00750C8B">
        <w:rPr>
          <w:i/>
        </w:rPr>
        <w:t>Journal of General Plant Pathology</w:t>
      </w:r>
      <w:r w:rsidRPr="00750C8B">
        <w:t>, vol. 72, pp. 20-5.</w:t>
      </w:r>
      <w:bookmarkEnd w:id="544"/>
    </w:p>
    <w:p w:rsidR="00B8782D" w:rsidRPr="00750C8B" w:rsidRDefault="00B8782D" w:rsidP="00750C8B">
      <w:pPr>
        <w:pStyle w:val="EndNoteBibliography"/>
        <w:spacing w:after="0"/>
      </w:pPr>
      <w:bookmarkStart w:id="545" w:name="_ENREF_402"/>
      <w:r w:rsidRPr="00750C8B">
        <w:t xml:space="preserve">Savela, M 2009, </w:t>
      </w:r>
      <w:r w:rsidRPr="00750C8B">
        <w:rPr>
          <w:i/>
        </w:rPr>
        <w:t>Calpinae</w:t>
      </w:r>
      <w:r w:rsidRPr="00750C8B">
        <w:t xml:space="preserve">, Lepidoptera and some other life forms, available at </w:t>
      </w:r>
      <w:r w:rsidRPr="00B8782D">
        <w:t>http://www.funet.fi/pub/sci/bio/life/insecta/lepidoptera/ditrysia/noctuoidea/noctuidae/calpinae/calyptra/index.html</w:t>
      </w:r>
      <w:r w:rsidRPr="00750C8B">
        <w:t>.</w:t>
      </w:r>
      <w:bookmarkEnd w:id="545"/>
    </w:p>
    <w:p w:rsidR="00B8782D" w:rsidRPr="00750C8B" w:rsidRDefault="00B8782D" w:rsidP="00750C8B">
      <w:pPr>
        <w:pStyle w:val="EndNoteBibliography"/>
        <w:spacing w:after="0"/>
      </w:pPr>
      <w:bookmarkStart w:id="546" w:name="_ENREF_403"/>
      <w:r w:rsidRPr="00750C8B">
        <w:t xml:space="preserve">Savopoulou-Soultani, M, Hatzivassiliadis, A, Vlug, HJ, Minks, AK &amp; Tzanakakis, ME 1985, ‘First records of the summerfruit tortricid, </w:t>
      </w:r>
      <w:r w:rsidRPr="00750C8B">
        <w:rPr>
          <w:i/>
        </w:rPr>
        <w:t>Adoxophyes orana</w:t>
      </w:r>
      <w:r w:rsidRPr="00750C8B">
        <w:t xml:space="preserve"> F. v. R. in Greece’, </w:t>
      </w:r>
      <w:r w:rsidRPr="00750C8B">
        <w:rPr>
          <w:i/>
        </w:rPr>
        <w:t>Entomologia Hellenica</w:t>
      </w:r>
      <w:r w:rsidRPr="00750C8B">
        <w:t>, vol. 3, pp. 65-6.</w:t>
      </w:r>
      <w:bookmarkEnd w:id="546"/>
    </w:p>
    <w:p w:rsidR="00B8782D" w:rsidRPr="00750C8B" w:rsidRDefault="00B8782D" w:rsidP="00750C8B">
      <w:pPr>
        <w:pStyle w:val="EndNoteBibliography"/>
        <w:spacing w:after="0"/>
      </w:pPr>
      <w:bookmarkStart w:id="547" w:name="_ENREF_404"/>
      <w:r w:rsidRPr="00750C8B">
        <w:lastRenderedPageBreak/>
        <w:t xml:space="preserve">Schaefer, CW &amp; Panazzi, AR 2000, </w:t>
      </w:r>
      <w:r w:rsidRPr="00750C8B">
        <w:rPr>
          <w:i/>
        </w:rPr>
        <w:t>Heteroptera of economic importance</w:t>
      </w:r>
      <w:r w:rsidRPr="00750C8B">
        <w:t>, Cooperative Research Centre Press, Boca Raton.</w:t>
      </w:r>
      <w:bookmarkEnd w:id="547"/>
    </w:p>
    <w:p w:rsidR="00B8782D" w:rsidRPr="00750C8B" w:rsidRDefault="00B8782D" w:rsidP="00750C8B">
      <w:pPr>
        <w:pStyle w:val="EndNoteBibliography"/>
        <w:spacing w:after="0"/>
      </w:pPr>
      <w:bookmarkStart w:id="548" w:name="_ENREF_405"/>
      <w:r w:rsidRPr="00750C8B">
        <w:t xml:space="preserve">Schimanski, HH, Schmelzer, K &amp; Albrecht, HJ 1976, ‘Seed transmission of </w:t>
      </w:r>
      <w:r w:rsidRPr="00750C8B">
        <w:rPr>
          <w:i/>
        </w:rPr>
        <w:t>Cherry leaf roll virus</w:t>
      </w:r>
      <w:r w:rsidRPr="00750C8B">
        <w:t xml:space="preserve"> in black cherry (</w:t>
      </w:r>
      <w:r w:rsidRPr="00750C8B">
        <w:rPr>
          <w:i/>
        </w:rPr>
        <w:t>Prunus serotina</w:t>
      </w:r>
      <w:r w:rsidRPr="00750C8B">
        <w:t xml:space="preserve"> Ehrh.)’, </w:t>
      </w:r>
      <w:r w:rsidRPr="00750C8B">
        <w:rPr>
          <w:i/>
        </w:rPr>
        <w:t>Zentrablatt fur Bakteriologie, Parasitenkunde, Infektionskrankheiten und Hygiene</w:t>
      </w:r>
      <w:r w:rsidRPr="00750C8B">
        <w:t>, vol. 131, pp. 117-9. (Abstract only)</w:t>
      </w:r>
      <w:bookmarkEnd w:id="548"/>
    </w:p>
    <w:p w:rsidR="00B8782D" w:rsidRPr="00750C8B" w:rsidRDefault="00B8782D" w:rsidP="00750C8B">
      <w:pPr>
        <w:pStyle w:val="EndNoteBibliography"/>
        <w:spacing w:after="0"/>
      </w:pPr>
      <w:bookmarkStart w:id="549" w:name="_ENREF_406"/>
      <w:r w:rsidRPr="00750C8B">
        <w:t xml:space="preserve">Schneider, WL, Damsteegt, VD, Gildow, FE, Stone, AL, Sherman, DJ, Levy, LE, Mavrodieva, V, Richwine, N, Welliver, R &amp; Luster, DG 2011, ‘Molecular, ultrastructural, and biological characterization of Pennsylvania isolates of </w:t>
      </w:r>
      <w:r w:rsidRPr="00750C8B">
        <w:rPr>
          <w:i/>
        </w:rPr>
        <w:t>Plum pox virus</w:t>
      </w:r>
      <w:r w:rsidRPr="00750C8B">
        <w:t xml:space="preserve">’, </w:t>
      </w:r>
      <w:r w:rsidRPr="00750C8B">
        <w:rPr>
          <w:i/>
        </w:rPr>
        <w:t>Phytopathology</w:t>
      </w:r>
      <w:r w:rsidRPr="00750C8B">
        <w:t>, vol. 101, no. 5, pp. 627-36.</w:t>
      </w:r>
      <w:bookmarkEnd w:id="549"/>
    </w:p>
    <w:p w:rsidR="00B8782D" w:rsidRPr="00750C8B" w:rsidRDefault="00B8782D" w:rsidP="00750C8B">
      <w:pPr>
        <w:pStyle w:val="EndNoteBibliography"/>
        <w:spacing w:after="0"/>
      </w:pPr>
      <w:bookmarkStart w:id="550" w:name="_ENREF_407"/>
      <w:r w:rsidRPr="00750C8B">
        <w:t xml:space="preserve">Schreiner, J 1914, ‘Species of </w:t>
      </w:r>
      <w:r w:rsidRPr="00750C8B">
        <w:rPr>
          <w:i/>
        </w:rPr>
        <w:t>Rhynchites</w:t>
      </w:r>
      <w:r w:rsidRPr="00750C8B">
        <w:t xml:space="preserve"> and </w:t>
      </w:r>
      <w:r w:rsidRPr="00750C8B">
        <w:rPr>
          <w:i/>
        </w:rPr>
        <w:t>Anthonomus pomorum</w:t>
      </w:r>
      <w:r w:rsidRPr="00750C8B">
        <w:t xml:space="preserve"> injuring orchards’, </w:t>
      </w:r>
      <w:r w:rsidRPr="00750C8B">
        <w:rPr>
          <w:i/>
        </w:rPr>
        <w:t>Memoirs of the Bureau of Entomology of the Scientific Committee of the Central Board of Land Administration and Agriculture</w:t>
      </w:r>
      <w:r w:rsidRPr="00750C8B">
        <w:t>, vol. 2, no. 14, p. 65.</w:t>
      </w:r>
      <w:bookmarkEnd w:id="550"/>
    </w:p>
    <w:p w:rsidR="00B8782D" w:rsidRPr="00750C8B" w:rsidRDefault="00B8782D" w:rsidP="00750C8B">
      <w:pPr>
        <w:pStyle w:val="EndNoteBibliography"/>
        <w:spacing w:after="0"/>
      </w:pPr>
      <w:bookmarkStart w:id="551" w:name="_ENREF_408"/>
      <w:r w:rsidRPr="00750C8B">
        <w:t xml:space="preserve">Scott, R, Xu.F. &amp; Bugang, W 2013, </w:t>
      </w:r>
      <w:r w:rsidRPr="00750C8B">
        <w:rPr>
          <w:i/>
        </w:rPr>
        <w:t>China - People's Republic of, stone fruit annual 2013</w:t>
      </w:r>
      <w:r w:rsidRPr="00750C8B">
        <w:t>, USDA Foreign Agricultural Service, Global Agricultural Information Network, USA (pdf 349 kb).</w:t>
      </w:r>
      <w:bookmarkEnd w:id="551"/>
    </w:p>
    <w:p w:rsidR="00B8782D" w:rsidRPr="00750C8B" w:rsidRDefault="00B8782D" w:rsidP="00750C8B">
      <w:pPr>
        <w:pStyle w:val="EndNoteBibliography"/>
        <w:spacing w:after="0"/>
      </w:pPr>
      <w:bookmarkStart w:id="552" w:name="_ENREF_409"/>
      <w:r w:rsidRPr="00750C8B">
        <w:t xml:space="preserve">Scott, RR, Bugang, W, Zhen, X &amp; Lesny, V 2014, </w:t>
      </w:r>
      <w:r w:rsidRPr="00750C8B">
        <w:rPr>
          <w:i/>
        </w:rPr>
        <w:t>China - People's Republic of, stone fruit annual</w:t>
      </w:r>
      <w:r w:rsidRPr="00750C8B">
        <w:t>, GAIN report number: 14029, USDA Foreign Agricultural Service, Global Agricultural Information Network, USA (pdf 319 kb).</w:t>
      </w:r>
      <w:bookmarkEnd w:id="552"/>
    </w:p>
    <w:p w:rsidR="00B8782D" w:rsidRPr="00750C8B" w:rsidRDefault="00B8782D" w:rsidP="00750C8B">
      <w:pPr>
        <w:pStyle w:val="EndNoteBibliography"/>
        <w:spacing w:after="0"/>
      </w:pPr>
      <w:bookmarkStart w:id="553" w:name="_ENREF_410"/>
      <w:r w:rsidRPr="00750C8B">
        <w:t xml:space="preserve">Seeman, OD &amp; Beard, JJ 2011, ‘Identification of exotic pest and Australian native and naturalised species of </w:t>
      </w:r>
      <w:r w:rsidRPr="00750C8B">
        <w:rPr>
          <w:i/>
        </w:rPr>
        <w:t xml:space="preserve">Tetranychus </w:t>
      </w:r>
      <w:r w:rsidRPr="00750C8B">
        <w:t xml:space="preserve">(Acari: Tetranychidae)’, </w:t>
      </w:r>
      <w:r w:rsidRPr="00750C8B">
        <w:rPr>
          <w:i/>
        </w:rPr>
        <w:t>Zootaxa</w:t>
      </w:r>
      <w:r w:rsidRPr="00750C8B">
        <w:t>, vol. 2961, pp. 1-72.</w:t>
      </w:r>
      <w:bookmarkEnd w:id="553"/>
    </w:p>
    <w:p w:rsidR="00B8782D" w:rsidRPr="00750C8B" w:rsidRDefault="00B8782D" w:rsidP="00750C8B">
      <w:pPr>
        <w:pStyle w:val="EndNoteBibliography"/>
        <w:spacing w:after="0"/>
      </w:pPr>
      <w:bookmarkStart w:id="554" w:name="_ENREF_411"/>
      <w:r w:rsidRPr="00750C8B">
        <w:t xml:space="preserve">Shanghai Insects Online 2014, ‘Insect species inventory database’, available at </w:t>
      </w:r>
      <w:r w:rsidRPr="00B8782D">
        <w:t>http://www.insects.cn/</w:t>
      </w:r>
      <w:r w:rsidRPr="00750C8B">
        <w:t>, accessed 2014.</w:t>
      </w:r>
      <w:bookmarkEnd w:id="554"/>
    </w:p>
    <w:p w:rsidR="00B8782D" w:rsidRPr="00750C8B" w:rsidRDefault="00B8782D" w:rsidP="00750C8B">
      <w:pPr>
        <w:pStyle w:val="EndNoteBibliography"/>
        <w:spacing w:after="0"/>
      </w:pPr>
      <w:bookmarkStart w:id="555" w:name="_ENREF_412"/>
      <w:r w:rsidRPr="00750C8B">
        <w:t xml:space="preserve">Shiao, SN 1977, ‘Bionomics of the Camellia scale, </w:t>
      </w:r>
      <w:r w:rsidRPr="00750C8B">
        <w:rPr>
          <w:i/>
        </w:rPr>
        <w:t>Pseudaonidia duplex</w:t>
      </w:r>
      <w:r w:rsidRPr="00750C8B">
        <w:t xml:space="preserve"> (Cockerell), in northern parts of Taiwan: i. life history and morality factors’ (in Chinese), </w:t>
      </w:r>
      <w:r w:rsidRPr="00750C8B">
        <w:rPr>
          <w:i/>
        </w:rPr>
        <w:t>Plant Protection Bulletin (Taipei)</w:t>
      </w:r>
      <w:r w:rsidRPr="00750C8B">
        <w:t>, vol. 19, no. 2, pp. 65-77.</w:t>
      </w:r>
      <w:bookmarkEnd w:id="555"/>
    </w:p>
    <w:p w:rsidR="00B8782D" w:rsidRPr="00750C8B" w:rsidRDefault="00B8782D" w:rsidP="00750C8B">
      <w:pPr>
        <w:pStyle w:val="EndNoteBibliography"/>
        <w:spacing w:after="0"/>
      </w:pPr>
      <w:bookmarkStart w:id="556" w:name="_ENREF_413"/>
      <w:r w:rsidRPr="00750C8B">
        <w:t xml:space="preserve">Shivas, RG 1989, ‘Fungal and bacterial diseases of plants in Western Australia’, </w:t>
      </w:r>
      <w:r w:rsidRPr="00750C8B">
        <w:rPr>
          <w:i/>
        </w:rPr>
        <w:t>Journal of the Royal Society of Western Australia</w:t>
      </w:r>
      <w:r w:rsidRPr="00750C8B">
        <w:t>, vol. 72, no. 1-2, pp. 1-62.</w:t>
      </w:r>
      <w:bookmarkEnd w:id="556"/>
    </w:p>
    <w:p w:rsidR="00B8782D" w:rsidRPr="00750C8B" w:rsidRDefault="00B8782D" w:rsidP="00750C8B">
      <w:pPr>
        <w:pStyle w:val="EndNoteBibliography"/>
        <w:spacing w:after="0"/>
      </w:pPr>
      <w:bookmarkStart w:id="557" w:name="_ENREF_414"/>
      <w:r w:rsidRPr="00750C8B">
        <w:t xml:space="preserve">Shun, XG, Liu, ZY, Zhou, CG &amp; Qiao, LQ 1996, ‘Damage of </w:t>
      </w:r>
      <w:r w:rsidRPr="00750C8B">
        <w:rPr>
          <w:i/>
        </w:rPr>
        <w:t xml:space="preserve">Eutetranychus orientalis </w:t>
      </w:r>
      <w:r w:rsidRPr="00750C8B">
        <w:t xml:space="preserve">to </w:t>
      </w:r>
      <w:r w:rsidRPr="00750C8B">
        <w:rPr>
          <w:i/>
        </w:rPr>
        <w:t>Euonymus japonicus</w:t>
      </w:r>
      <w:r w:rsidRPr="00750C8B">
        <w:t xml:space="preserve">’, </w:t>
      </w:r>
      <w:r w:rsidRPr="00750C8B">
        <w:rPr>
          <w:i/>
        </w:rPr>
        <w:t>Plant Protection</w:t>
      </w:r>
      <w:r w:rsidRPr="00750C8B">
        <w:t>, vol. 22, no. 5, pp. 29-30.</w:t>
      </w:r>
      <w:bookmarkEnd w:id="557"/>
    </w:p>
    <w:p w:rsidR="00B8782D" w:rsidRPr="00750C8B" w:rsidRDefault="00B8782D" w:rsidP="00750C8B">
      <w:pPr>
        <w:pStyle w:val="EndNoteBibliography"/>
        <w:spacing w:after="0"/>
      </w:pPr>
      <w:bookmarkStart w:id="558" w:name="_ENREF_415"/>
      <w:r w:rsidRPr="00750C8B">
        <w:t xml:space="preserve">Shutova, N 1978, ‘Peach moth </w:t>
      </w:r>
      <w:r w:rsidRPr="00750C8B">
        <w:rPr>
          <w:i/>
        </w:rPr>
        <w:t>(Carposina sasakii</w:t>
      </w:r>
      <w:r w:rsidRPr="00750C8B">
        <w:t xml:space="preserve"> Mats.)’, in </w:t>
      </w:r>
      <w:r w:rsidRPr="00750C8B">
        <w:rPr>
          <w:i/>
        </w:rPr>
        <w:t>A handbook of pests, diseases, and weeds of quarantine significance</w:t>
      </w:r>
      <w:r w:rsidRPr="00750C8B">
        <w:t>, Rao, PM (ed), Amerind Publishing Company, New Dehli.</w:t>
      </w:r>
      <w:bookmarkEnd w:id="558"/>
    </w:p>
    <w:p w:rsidR="00B8782D" w:rsidRPr="00750C8B" w:rsidRDefault="00B8782D" w:rsidP="00750C8B">
      <w:pPr>
        <w:pStyle w:val="EndNoteBibliography"/>
        <w:spacing w:after="0"/>
      </w:pPr>
      <w:bookmarkStart w:id="559" w:name="_ENREF_416"/>
      <w:r w:rsidRPr="00750C8B">
        <w:t xml:space="preserve">Sidney, M, Brown, K, Judd, GJR &amp; Gries, G 2008, ‘Stimuli affecting selection of oviposition sites by female peach twig borer, </w:t>
      </w:r>
      <w:r w:rsidRPr="00750C8B">
        <w:rPr>
          <w:i/>
        </w:rPr>
        <w:t>Anarsia lineatella</w:t>
      </w:r>
      <w:r w:rsidRPr="00750C8B">
        <w:t xml:space="preserve"> Zeller (Lepidoptera: Gelechiidae)’, </w:t>
      </w:r>
      <w:r w:rsidRPr="00750C8B">
        <w:rPr>
          <w:i/>
        </w:rPr>
        <w:t>Journal of Applied Entomology</w:t>
      </w:r>
      <w:r w:rsidRPr="00750C8B">
        <w:t>, vol. 132, no. 7, pp. 538-44.</w:t>
      </w:r>
      <w:bookmarkEnd w:id="559"/>
    </w:p>
    <w:p w:rsidR="00B8782D" w:rsidRPr="00750C8B" w:rsidRDefault="00B8782D" w:rsidP="00750C8B">
      <w:pPr>
        <w:pStyle w:val="EndNoteBibliography"/>
        <w:spacing w:after="0"/>
      </w:pPr>
      <w:bookmarkStart w:id="560" w:name="_ENREF_417"/>
      <w:r w:rsidRPr="00750C8B">
        <w:t xml:space="preserve">Simmonds, JH 1966, </w:t>
      </w:r>
      <w:r w:rsidRPr="00750C8B">
        <w:rPr>
          <w:i/>
        </w:rPr>
        <w:t>Host index of plant diseases in Queensland</w:t>
      </w:r>
      <w:r w:rsidRPr="00750C8B">
        <w:t>, Department of Primary Industries, Brisbane.</w:t>
      </w:r>
      <w:bookmarkEnd w:id="560"/>
    </w:p>
    <w:p w:rsidR="00B8782D" w:rsidRPr="00750C8B" w:rsidRDefault="00B8782D" w:rsidP="00750C8B">
      <w:pPr>
        <w:pStyle w:val="EndNoteBibliography"/>
        <w:spacing w:after="0"/>
      </w:pPr>
      <w:bookmarkStart w:id="561" w:name="_ENREF_418"/>
      <w:r w:rsidRPr="00750C8B">
        <w:t xml:space="preserve">Smith, D, Beattie, GAC &amp; Broadley, RH 1997, </w:t>
      </w:r>
      <w:r w:rsidRPr="00750C8B">
        <w:rPr>
          <w:i/>
        </w:rPr>
        <w:t>Citrus pests and their natural enemies: intergrated pest management in Australia</w:t>
      </w:r>
      <w:r w:rsidRPr="00750C8B">
        <w:t>, Queensland Department of Primary Industries, Brisbane.</w:t>
      </w:r>
      <w:bookmarkEnd w:id="561"/>
    </w:p>
    <w:p w:rsidR="00B8782D" w:rsidRPr="00750C8B" w:rsidRDefault="00B8782D" w:rsidP="00750C8B">
      <w:pPr>
        <w:pStyle w:val="EndNoteBibliography"/>
        <w:spacing w:after="0"/>
      </w:pPr>
      <w:bookmarkStart w:id="562" w:name="_ENREF_419"/>
      <w:r w:rsidRPr="00750C8B">
        <w:t xml:space="preserve">Smith, IM, Dunez, J, Lelliot, RA, Phillips, DH &amp; Archer, SA 1988, </w:t>
      </w:r>
      <w:r w:rsidRPr="00750C8B">
        <w:rPr>
          <w:i/>
        </w:rPr>
        <w:t>European handbook of plant diseases</w:t>
      </w:r>
      <w:r w:rsidRPr="00750C8B">
        <w:t>, Smith, IM, Dunez, J, Lelliot, RA, Phillips, DH &amp; Archer, SA (eds), Blackwell Scientific Publications, Oxford.</w:t>
      </w:r>
      <w:bookmarkEnd w:id="562"/>
    </w:p>
    <w:p w:rsidR="00B8782D" w:rsidRPr="00750C8B" w:rsidRDefault="00B8782D" w:rsidP="00750C8B">
      <w:pPr>
        <w:pStyle w:val="EndNoteBibliography"/>
        <w:spacing w:after="0"/>
      </w:pPr>
      <w:bookmarkStart w:id="563" w:name="_ENREF_420"/>
      <w:r w:rsidRPr="00750C8B">
        <w:t xml:space="preserve">Smith, LM 1936, ‘Biology of the mealy plum aphid, </w:t>
      </w:r>
      <w:r w:rsidRPr="00750C8B">
        <w:rPr>
          <w:i/>
        </w:rPr>
        <w:t xml:space="preserve">Hyalopterus pruni </w:t>
      </w:r>
      <w:r w:rsidRPr="00750C8B">
        <w:t xml:space="preserve">(Geoffroy)’, </w:t>
      </w:r>
      <w:r w:rsidRPr="00750C8B">
        <w:rPr>
          <w:i/>
        </w:rPr>
        <w:t>Hilgardia</w:t>
      </w:r>
      <w:r w:rsidRPr="00750C8B">
        <w:t>, vol. 10, no. 7, pp. 167-209.</w:t>
      </w:r>
      <w:bookmarkEnd w:id="563"/>
    </w:p>
    <w:p w:rsidR="00B8782D" w:rsidRPr="00750C8B" w:rsidRDefault="00B8782D" w:rsidP="00750C8B">
      <w:pPr>
        <w:pStyle w:val="EndNoteBibliography"/>
        <w:spacing w:after="0"/>
      </w:pPr>
      <w:bookmarkStart w:id="564" w:name="_ENREF_421"/>
      <w:r w:rsidRPr="00750C8B">
        <w:t xml:space="preserve">Smith, PR, Stubbs, LL &amp; Challen, DI 1977, ‘The detection of </w:t>
      </w:r>
      <w:r w:rsidRPr="00750C8B">
        <w:rPr>
          <w:i/>
        </w:rPr>
        <w:t>Prune dwarf virus</w:t>
      </w:r>
      <w:r w:rsidRPr="00750C8B">
        <w:t xml:space="preserve"> in peach trees affected with peach rosette and decline with golden queen peach as an indicator, and the distribution of the virus in affected trees’, </w:t>
      </w:r>
      <w:r w:rsidRPr="00750C8B">
        <w:rPr>
          <w:i/>
        </w:rPr>
        <w:t>Australian Journal of Agricultural Research</w:t>
      </w:r>
      <w:r w:rsidRPr="00750C8B">
        <w:t>, vol. 28, no. 1, pp. 115-23.</w:t>
      </w:r>
      <w:bookmarkEnd w:id="564"/>
    </w:p>
    <w:p w:rsidR="00B8782D" w:rsidRPr="00750C8B" w:rsidRDefault="00B8782D" w:rsidP="00750C8B">
      <w:pPr>
        <w:pStyle w:val="EndNoteBibliography"/>
        <w:spacing w:after="0"/>
      </w:pPr>
      <w:bookmarkStart w:id="565" w:name="_ENREF_422"/>
      <w:r w:rsidRPr="00750C8B">
        <w:t xml:space="preserve">Smith, RH 1929, ‘The codling moth as a pest of stone fruits’, </w:t>
      </w:r>
      <w:r w:rsidRPr="00750C8B">
        <w:rPr>
          <w:i/>
        </w:rPr>
        <w:t>Monthly Bulletin of the Department of Agriculture, State of California</w:t>
      </w:r>
      <w:r w:rsidRPr="00750C8B">
        <w:t>, vol. 18, no. 5, pp. 304-9.</w:t>
      </w:r>
      <w:bookmarkEnd w:id="565"/>
    </w:p>
    <w:p w:rsidR="00B8782D" w:rsidRPr="00750C8B" w:rsidRDefault="00B8782D" w:rsidP="00750C8B">
      <w:pPr>
        <w:pStyle w:val="EndNoteBibliography"/>
        <w:spacing w:after="0"/>
      </w:pPr>
      <w:bookmarkStart w:id="566" w:name="_ENREF_423"/>
      <w:r w:rsidRPr="00750C8B">
        <w:t xml:space="preserve">Smith, TM &amp; Van Driesche, R 2003, </w:t>
      </w:r>
      <w:r w:rsidRPr="00750C8B">
        <w:rPr>
          <w:i/>
        </w:rPr>
        <w:t>A review of Western flower thrips and Tospoviruses</w:t>
      </w:r>
      <w:r w:rsidRPr="00750C8B">
        <w:t xml:space="preserve">, Greenhouse Crops and Floriculture Factsheet, University of Massachusetts, available at </w:t>
      </w:r>
      <w:r w:rsidRPr="00B8782D">
        <w:t>http://www.umass.edu/umext/floriculture/fact_sheets/pest_management/wft_03.html</w:t>
      </w:r>
      <w:r w:rsidRPr="00750C8B">
        <w:t>.</w:t>
      </w:r>
      <w:bookmarkEnd w:id="566"/>
    </w:p>
    <w:p w:rsidR="00B8782D" w:rsidRPr="00750C8B" w:rsidRDefault="00B8782D" w:rsidP="00750C8B">
      <w:pPr>
        <w:pStyle w:val="EndNoteBibliography"/>
        <w:spacing w:after="0"/>
      </w:pPr>
      <w:bookmarkStart w:id="567" w:name="_ENREF_424"/>
      <w:r w:rsidRPr="00750C8B">
        <w:t xml:space="preserve">Sochor, J, Babula, P, Adam, V, Krska, B &amp; Kizek, R 2012, ‘Sharka: the past, the present and the future’, </w:t>
      </w:r>
      <w:r w:rsidRPr="00750C8B">
        <w:rPr>
          <w:i/>
        </w:rPr>
        <w:t>Viruses</w:t>
      </w:r>
      <w:r w:rsidRPr="00750C8B">
        <w:t>, vol. 4, pp. 2853-901.</w:t>
      </w:r>
      <w:bookmarkEnd w:id="567"/>
    </w:p>
    <w:p w:rsidR="00B8782D" w:rsidRPr="00750C8B" w:rsidRDefault="00B8782D" w:rsidP="00750C8B">
      <w:pPr>
        <w:pStyle w:val="EndNoteBibliography"/>
        <w:spacing w:after="0"/>
      </w:pPr>
      <w:bookmarkStart w:id="568" w:name="_ENREF_425"/>
      <w:r w:rsidRPr="00750C8B">
        <w:t xml:space="preserve">Somma, S, Perrone, G &amp; Logrieco, AF 2012, ‘Diversity of black Aspergilli and mycotoxin risks in grape, wine and dried vine fruits’, </w:t>
      </w:r>
      <w:r w:rsidRPr="00750C8B">
        <w:rPr>
          <w:i/>
        </w:rPr>
        <w:t>Phytopathologia Mediterranea</w:t>
      </w:r>
      <w:r w:rsidRPr="00750C8B">
        <w:t>, vol. 51, no. 1, pp. 131-47.</w:t>
      </w:r>
      <w:bookmarkEnd w:id="568"/>
    </w:p>
    <w:p w:rsidR="00B8782D" w:rsidRPr="00750C8B" w:rsidRDefault="00B8782D" w:rsidP="00750C8B">
      <w:pPr>
        <w:pStyle w:val="EndNoteBibliography"/>
        <w:spacing w:after="0"/>
      </w:pPr>
      <w:bookmarkStart w:id="569" w:name="_ENREF_426"/>
      <w:r w:rsidRPr="00750C8B">
        <w:lastRenderedPageBreak/>
        <w:t xml:space="preserve">Spence, NJ 2001, ‘Fungal transmission of plant viruses’, in </w:t>
      </w:r>
      <w:r w:rsidRPr="00750C8B">
        <w:rPr>
          <w:i/>
        </w:rPr>
        <w:t>Biotic interactions in plant-pathogen associations</w:t>
      </w:r>
      <w:r w:rsidRPr="00750C8B">
        <w:t>, Jeger, MJ &amp; Spence, NJ (eds), CAB International, Wallingford.</w:t>
      </w:r>
      <w:bookmarkEnd w:id="569"/>
    </w:p>
    <w:p w:rsidR="00B8782D" w:rsidRPr="00750C8B" w:rsidRDefault="00B8782D" w:rsidP="00750C8B">
      <w:pPr>
        <w:pStyle w:val="EndNoteBibliography"/>
        <w:spacing w:after="0"/>
      </w:pPr>
      <w:bookmarkStart w:id="570" w:name="_ENREF_427"/>
      <w:r w:rsidRPr="00750C8B">
        <w:t xml:space="preserve">Stace-Smith, R 1985, </w:t>
      </w:r>
      <w:r w:rsidRPr="00750C8B">
        <w:rPr>
          <w:i/>
        </w:rPr>
        <w:t>Tobacco ringspot virus</w:t>
      </w:r>
      <w:r w:rsidRPr="00750C8B">
        <w:t xml:space="preserve">, Descriptions of Plant Viruses, available at </w:t>
      </w:r>
      <w:r w:rsidRPr="00B8782D">
        <w:t>http://www.dpvweb.net/dpv/showdpv.php?dpvno=309</w:t>
      </w:r>
      <w:r w:rsidRPr="00750C8B">
        <w:t>.</w:t>
      </w:r>
      <w:bookmarkEnd w:id="570"/>
    </w:p>
    <w:p w:rsidR="00B8782D" w:rsidRPr="00750C8B" w:rsidRDefault="00B8782D" w:rsidP="00750C8B">
      <w:pPr>
        <w:pStyle w:val="EndNoteBibliography"/>
        <w:spacing w:after="0"/>
      </w:pPr>
      <w:bookmarkStart w:id="571" w:name="_ENREF_428"/>
      <w:r w:rsidRPr="00750C8B">
        <w:t xml:space="preserve">Staniulis, J 2003, ‘Detection of </w:t>
      </w:r>
      <w:r w:rsidRPr="00750C8B">
        <w:rPr>
          <w:i/>
        </w:rPr>
        <w:t xml:space="preserve">Tobacco necrosis virus </w:t>
      </w:r>
      <w:r w:rsidRPr="00750C8B">
        <w:t xml:space="preserve">in horticultural plants’, </w:t>
      </w:r>
      <w:r w:rsidRPr="00750C8B">
        <w:rPr>
          <w:i/>
        </w:rPr>
        <w:t>Horticulture and Vegetable Growing</w:t>
      </w:r>
      <w:r w:rsidRPr="00750C8B">
        <w:t>, vol. 22, no. 3, pp. 72-82.</w:t>
      </w:r>
      <w:bookmarkEnd w:id="571"/>
    </w:p>
    <w:p w:rsidR="00B8782D" w:rsidRPr="00750C8B" w:rsidRDefault="00B8782D" w:rsidP="00750C8B">
      <w:pPr>
        <w:pStyle w:val="EndNoteBibliography"/>
        <w:spacing w:after="0"/>
      </w:pPr>
      <w:bookmarkStart w:id="572" w:name="_ENREF_429"/>
      <w:r w:rsidRPr="00750C8B">
        <w:t xml:space="preserve">Stará, J &amp; Kocourek, F 2007, ‘Insecticidal resistance and cross-resistance in populations of </w:t>
      </w:r>
      <w:r w:rsidRPr="00750C8B">
        <w:rPr>
          <w:i/>
        </w:rPr>
        <w:t xml:space="preserve">Cydia pomonella </w:t>
      </w:r>
      <w:r w:rsidRPr="00750C8B">
        <w:t xml:space="preserve">(Lepidoptera: Tortricidae) in Central Europe’, </w:t>
      </w:r>
      <w:r w:rsidRPr="00750C8B">
        <w:rPr>
          <w:i/>
        </w:rPr>
        <w:t>Journal of Economic Entomology</w:t>
      </w:r>
      <w:r w:rsidRPr="00750C8B">
        <w:t>, vol. 100, no. 5, pp. 1587-95.</w:t>
      </w:r>
      <w:bookmarkEnd w:id="572"/>
    </w:p>
    <w:p w:rsidR="00B8782D" w:rsidRPr="00750C8B" w:rsidRDefault="00B8782D" w:rsidP="00750C8B">
      <w:pPr>
        <w:pStyle w:val="EndNoteBibliography"/>
        <w:spacing w:after="0"/>
      </w:pPr>
      <w:bookmarkStart w:id="573" w:name="_ENREF_430"/>
      <w:r w:rsidRPr="00750C8B">
        <w:t xml:space="preserve">Steck, GJ 2002, </w:t>
      </w:r>
      <w:r w:rsidRPr="00750C8B">
        <w:rPr>
          <w:i/>
        </w:rPr>
        <w:t>A guava fruit fly Bactrocera correcta</w:t>
      </w:r>
      <w:r w:rsidRPr="00750C8B">
        <w:t xml:space="preserve">, Florida Department of Agriculture and Consumer Services, available at </w:t>
      </w:r>
      <w:r w:rsidRPr="00B8782D">
        <w:t>http://www.doacs.state.fl.us/</w:t>
      </w:r>
      <w:r w:rsidRPr="00750C8B">
        <w:t>.</w:t>
      </w:r>
      <w:bookmarkEnd w:id="573"/>
    </w:p>
    <w:p w:rsidR="00B8782D" w:rsidRPr="00750C8B" w:rsidRDefault="00B8782D" w:rsidP="00750C8B">
      <w:pPr>
        <w:pStyle w:val="EndNoteBibliography"/>
        <w:spacing w:after="0"/>
      </w:pPr>
      <w:bookmarkStart w:id="574" w:name="_ENREF_431"/>
      <w:r w:rsidRPr="00750C8B">
        <w:t xml:space="preserve">Sullivan, M &amp; Molet, T 2011, </w:t>
      </w:r>
      <w:r w:rsidRPr="00750C8B">
        <w:rPr>
          <w:i/>
        </w:rPr>
        <w:t>CPHST Pest Datasheet for Ceroplastes japonicus</w:t>
      </w:r>
      <w:r w:rsidRPr="00750C8B">
        <w:t xml:space="preserve">, USDA-APHIS-PPQ-CPHST, available at </w:t>
      </w:r>
      <w:r w:rsidRPr="00B8782D">
        <w:t>http://caps.ceris.purdue.edu/webfm_send/1552</w:t>
      </w:r>
      <w:r w:rsidRPr="00750C8B">
        <w:t>.</w:t>
      </w:r>
      <w:bookmarkEnd w:id="574"/>
    </w:p>
    <w:p w:rsidR="00B8782D" w:rsidRPr="00750C8B" w:rsidRDefault="00B8782D" w:rsidP="00750C8B">
      <w:pPr>
        <w:pStyle w:val="EndNoteBibliography"/>
        <w:spacing w:after="0"/>
      </w:pPr>
      <w:bookmarkStart w:id="575" w:name="_ENREF_432"/>
      <w:r w:rsidRPr="00750C8B">
        <w:t xml:space="preserve">Summerfruit Australia 2014, </w:t>
      </w:r>
      <w:r w:rsidRPr="00750C8B">
        <w:rPr>
          <w:i/>
        </w:rPr>
        <w:t>About Australian summerfruit</w:t>
      </w:r>
      <w:r w:rsidRPr="00750C8B">
        <w:t xml:space="preserve">, Summerfruit Australia Ltd, NSW, Australia, available at </w:t>
      </w:r>
      <w:r w:rsidRPr="00B8782D">
        <w:t>http://www.summerfruit.com.au/Domestic/About-Australian-Summerfruit.aspx</w:t>
      </w:r>
      <w:r w:rsidRPr="00750C8B">
        <w:t>.</w:t>
      </w:r>
      <w:bookmarkEnd w:id="575"/>
    </w:p>
    <w:p w:rsidR="00B8782D" w:rsidRPr="00750C8B" w:rsidRDefault="00B8782D" w:rsidP="00750C8B">
      <w:pPr>
        <w:pStyle w:val="EndNoteBibliography"/>
        <w:spacing w:after="0"/>
      </w:pPr>
      <w:bookmarkStart w:id="576" w:name="_ENREF_433"/>
      <w:r w:rsidRPr="00750C8B">
        <w:t xml:space="preserve">Sun, S &amp; Wang, J 1999, ‘A preliminary list of insect pests on fruit trees in Beijing’ (in Chinese), </w:t>
      </w:r>
      <w:r w:rsidRPr="00750C8B">
        <w:rPr>
          <w:i/>
        </w:rPr>
        <w:t>Journal of Beijing Agricultural College</w:t>
      </w:r>
      <w:r w:rsidRPr="00750C8B">
        <w:t>, vol. 1, pp. 1-6.</w:t>
      </w:r>
      <w:bookmarkEnd w:id="576"/>
    </w:p>
    <w:p w:rsidR="00B8782D" w:rsidRPr="00750C8B" w:rsidRDefault="00B8782D" w:rsidP="00750C8B">
      <w:pPr>
        <w:pStyle w:val="EndNoteBibliography"/>
        <w:spacing w:after="0"/>
      </w:pPr>
      <w:bookmarkStart w:id="577" w:name="_ENREF_434"/>
      <w:r w:rsidRPr="00750C8B">
        <w:t xml:space="preserve">Svanella-Dumas, L, Marais, M, Lamorte, J &amp; Candresse, T 2005, ‘First report on the natural occurrence of </w:t>
      </w:r>
      <w:r w:rsidRPr="00750C8B">
        <w:rPr>
          <w:i/>
        </w:rPr>
        <w:t xml:space="preserve">Cherry virus A </w:t>
      </w:r>
      <w:r w:rsidRPr="00750C8B">
        <w:t>in Mirabelle plum (</w:t>
      </w:r>
      <w:r w:rsidRPr="00750C8B">
        <w:rPr>
          <w:i/>
        </w:rPr>
        <w:t xml:space="preserve">Prunus domestica </w:t>
      </w:r>
      <w:r w:rsidRPr="00750C8B">
        <w:t xml:space="preserve">var. </w:t>
      </w:r>
      <w:r w:rsidRPr="00750C8B">
        <w:rPr>
          <w:i/>
        </w:rPr>
        <w:t>insititia</w:t>
      </w:r>
      <w:r w:rsidRPr="00750C8B">
        <w:t xml:space="preserve">)’, </w:t>
      </w:r>
      <w:r w:rsidRPr="00750C8B">
        <w:rPr>
          <w:i/>
        </w:rPr>
        <w:t>Plant Disease</w:t>
      </w:r>
      <w:r w:rsidRPr="00750C8B">
        <w:t>, vol. 89, p. 433.</w:t>
      </w:r>
      <w:bookmarkEnd w:id="577"/>
    </w:p>
    <w:p w:rsidR="00B8782D" w:rsidRPr="00750C8B" w:rsidRDefault="00B8782D" w:rsidP="00750C8B">
      <w:pPr>
        <w:pStyle w:val="EndNoteBibliography"/>
        <w:spacing w:after="0"/>
      </w:pPr>
      <w:bookmarkStart w:id="578" w:name="_ENREF_435"/>
      <w:r w:rsidRPr="00750C8B">
        <w:t xml:space="preserve">Sytenko, LS 1960, ‘On the specific composition of fruit moths in the Maritime Province’ (in Russian), </w:t>
      </w:r>
      <w:r w:rsidRPr="00750C8B">
        <w:rPr>
          <w:i/>
        </w:rPr>
        <w:t>Entmologicheskoe obozrenie</w:t>
      </w:r>
      <w:r w:rsidRPr="00750C8B">
        <w:t>, vol. 39, no. 3, pp. 551-5. (Abstract only)</w:t>
      </w:r>
      <w:bookmarkEnd w:id="578"/>
    </w:p>
    <w:p w:rsidR="00B8782D" w:rsidRPr="00750C8B" w:rsidRDefault="00B8782D" w:rsidP="00750C8B">
      <w:pPr>
        <w:pStyle w:val="EndNoteBibliography"/>
        <w:spacing w:after="0"/>
      </w:pPr>
      <w:bookmarkStart w:id="579" w:name="_ENREF_436"/>
      <w:r w:rsidRPr="00750C8B">
        <w:t xml:space="preserve">Sztejnberg, A 1995, ‘Cercospora leaf spot’, in </w:t>
      </w:r>
      <w:r w:rsidRPr="00750C8B">
        <w:rPr>
          <w:i/>
        </w:rPr>
        <w:t>Compendium of stone fruit diseases</w:t>
      </w:r>
      <w:r w:rsidRPr="00750C8B">
        <w:t>, Ogawa, JM, Zehr, EI, Bird, GW, Ritchie, DF, Uriu, K &amp; Uyemoto, JK (eds), The American Phytopathological Society Press, St. Paul, Minnesota.</w:t>
      </w:r>
      <w:bookmarkEnd w:id="579"/>
    </w:p>
    <w:p w:rsidR="00B8782D" w:rsidRPr="00750C8B" w:rsidRDefault="00B8782D" w:rsidP="00750C8B">
      <w:pPr>
        <w:pStyle w:val="EndNoteBibliography"/>
        <w:spacing w:after="0"/>
      </w:pPr>
      <w:bookmarkStart w:id="580" w:name="_ENREF_437"/>
      <w:r w:rsidRPr="00750C8B">
        <w:t xml:space="preserve">Tai, FL 1979, </w:t>
      </w:r>
      <w:r w:rsidRPr="00750C8B">
        <w:rPr>
          <w:i/>
        </w:rPr>
        <w:t>Sylloge fungorum sinicorum</w:t>
      </w:r>
      <w:r w:rsidRPr="00750C8B">
        <w:t>, Science Press, Academia Sinica, Peking.</w:t>
      </w:r>
      <w:bookmarkEnd w:id="580"/>
    </w:p>
    <w:p w:rsidR="00B8782D" w:rsidRPr="00750C8B" w:rsidRDefault="00B8782D" w:rsidP="00750C8B">
      <w:pPr>
        <w:pStyle w:val="EndNoteBibliography"/>
        <w:spacing w:after="0"/>
      </w:pPr>
      <w:bookmarkStart w:id="581" w:name="_ENREF_438"/>
      <w:r w:rsidRPr="00750C8B">
        <w:t xml:space="preserve">Takahashi, R 1923, </w:t>
      </w:r>
      <w:r w:rsidRPr="00750C8B">
        <w:rPr>
          <w:i/>
        </w:rPr>
        <w:t>Aphididae of Formosa: part 2</w:t>
      </w:r>
      <w:r w:rsidRPr="00750C8B">
        <w:t>, Department of Agriculture Government Research Institute, Formosa, Japan.</w:t>
      </w:r>
      <w:bookmarkEnd w:id="581"/>
    </w:p>
    <w:p w:rsidR="00B8782D" w:rsidRPr="00750C8B" w:rsidRDefault="00B8782D" w:rsidP="00750C8B">
      <w:pPr>
        <w:pStyle w:val="EndNoteBibliography"/>
        <w:spacing w:after="0"/>
      </w:pPr>
      <w:bookmarkStart w:id="582" w:name="_ENREF_439"/>
      <w:r w:rsidRPr="00750C8B">
        <w:t xml:space="preserve">Tan, HD, Li, SY &amp; Du, XF 2010, </w:t>
      </w:r>
      <w:r w:rsidRPr="00750C8B">
        <w:rPr>
          <w:i/>
        </w:rPr>
        <w:t>First report of Cucumber mosaic virus in sweet cherry in the People's Republic of China</w:t>
      </w:r>
      <w:r w:rsidRPr="00750C8B">
        <w:t xml:space="preserve">, APSnet: The American Phytopathological Society, available at </w:t>
      </w:r>
      <w:r w:rsidRPr="00B8782D">
        <w:t>http://www.apsnet.org/publications/plantdisease/2010/November/Pages/94_11_1378.1.aspx</w:t>
      </w:r>
      <w:r w:rsidRPr="00750C8B">
        <w:t>.</w:t>
      </w:r>
      <w:bookmarkEnd w:id="582"/>
    </w:p>
    <w:p w:rsidR="00B8782D" w:rsidRPr="00750C8B" w:rsidRDefault="00B8782D" w:rsidP="00750C8B">
      <w:pPr>
        <w:pStyle w:val="EndNoteBibliography"/>
        <w:spacing w:after="0"/>
      </w:pPr>
      <w:bookmarkStart w:id="583" w:name="_ENREF_440"/>
      <w:r w:rsidRPr="00750C8B">
        <w:t xml:space="preserve">Taverner, P &amp; Bailey, P 1995a, </w:t>
      </w:r>
      <w:r w:rsidRPr="00750C8B">
        <w:rPr>
          <w:i/>
        </w:rPr>
        <w:t>Commercial trial of citrus postharvest oil for removal of surface pests</w:t>
      </w:r>
      <w:r w:rsidRPr="00750C8B">
        <w:t>, SARDI research report series no. 5, South Australian Research and Development Institute, Adelaide.</w:t>
      </w:r>
      <w:bookmarkEnd w:id="583"/>
    </w:p>
    <w:p w:rsidR="00B8782D" w:rsidRPr="00750C8B" w:rsidRDefault="00B8782D" w:rsidP="00750C8B">
      <w:pPr>
        <w:pStyle w:val="EndNoteBibliography"/>
        <w:spacing w:after="0"/>
      </w:pPr>
      <w:bookmarkStart w:id="584" w:name="_ENREF_441"/>
      <w:r w:rsidRPr="00750C8B">
        <w:t xml:space="preserve">-- -- 1995b, </w:t>
      </w:r>
      <w:r w:rsidRPr="00750C8B">
        <w:rPr>
          <w:i/>
        </w:rPr>
        <w:t>Postharvest removal of lightbrown apple moth and mealybug from citrus fruit</w:t>
      </w:r>
      <w:r w:rsidRPr="00750C8B">
        <w:t>, Final report CT339, Horticultural Research and Development Corporation, Gordon, NSW.</w:t>
      </w:r>
      <w:bookmarkEnd w:id="584"/>
    </w:p>
    <w:p w:rsidR="00B8782D" w:rsidRPr="00750C8B" w:rsidRDefault="00B8782D" w:rsidP="00750C8B">
      <w:pPr>
        <w:pStyle w:val="EndNoteBibliography"/>
        <w:spacing w:after="0"/>
      </w:pPr>
      <w:bookmarkStart w:id="585" w:name="_ENREF_442"/>
      <w:r w:rsidRPr="00750C8B">
        <w:t xml:space="preserve">Taylor, R &amp; Burt, J 2007, </w:t>
      </w:r>
      <w:r w:rsidRPr="00750C8B">
        <w:rPr>
          <w:i/>
        </w:rPr>
        <w:t>Growing olives in Western Australia</w:t>
      </w:r>
      <w:r w:rsidRPr="00750C8B">
        <w:t>, Replaces Bulletin No. 4331, Department of Agriculture and Food, Government of Western Australia, South Perth.</w:t>
      </w:r>
      <w:bookmarkEnd w:id="585"/>
    </w:p>
    <w:p w:rsidR="00B8782D" w:rsidRPr="00750C8B" w:rsidRDefault="00B8782D" w:rsidP="00750C8B">
      <w:pPr>
        <w:pStyle w:val="EndNoteBibliography"/>
        <w:spacing w:after="0"/>
      </w:pPr>
      <w:bookmarkStart w:id="586" w:name="_ENREF_443"/>
      <w:r w:rsidRPr="00750C8B">
        <w:t xml:space="preserve">Tayutivutikul, J &amp; Kusigemati, K 1992, ‘Biological studies of insects feeding on the Kudzu plant, </w:t>
      </w:r>
      <w:r w:rsidRPr="00750C8B">
        <w:rPr>
          <w:i/>
        </w:rPr>
        <w:t>Pueraria lobata</w:t>
      </w:r>
      <w:r w:rsidRPr="00750C8B">
        <w:t xml:space="preserve"> (Leguminosae): i. list of feeding species’, </w:t>
      </w:r>
      <w:r w:rsidRPr="00750C8B">
        <w:rPr>
          <w:i/>
        </w:rPr>
        <w:t>Memoirs of the Faculty of Agriculture Kagoshima University</w:t>
      </w:r>
      <w:r w:rsidRPr="00750C8B">
        <w:t>, vol. 28, pp. 89-124.</w:t>
      </w:r>
      <w:bookmarkEnd w:id="586"/>
    </w:p>
    <w:p w:rsidR="00B8782D" w:rsidRPr="00750C8B" w:rsidRDefault="00B8782D" w:rsidP="00750C8B">
      <w:pPr>
        <w:pStyle w:val="EndNoteBibliography"/>
        <w:spacing w:after="0"/>
      </w:pPr>
      <w:bookmarkStart w:id="587" w:name="_ENREF_444"/>
      <w:r w:rsidRPr="00750C8B">
        <w:t>Teakle, DS 1988, ‘</w:t>
      </w:r>
      <w:r w:rsidRPr="00750C8B">
        <w:rPr>
          <w:i/>
        </w:rPr>
        <w:t>Tobacco necrosis necrovirus</w:t>
      </w:r>
      <w:r w:rsidRPr="00750C8B">
        <w:t xml:space="preserve">’, in </w:t>
      </w:r>
      <w:r w:rsidRPr="00750C8B">
        <w:rPr>
          <w:i/>
        </w:rPr>
        <w:t>Viruses of plants in Australia</w:t>
      </w:r>
      <w:r w:rsidRPr="00750C8B">
        <w:t>, Büchen-Osmond, C, Crabtree, K, Gibbs, A &amp; McLean, G (eds), Australian National University Printing Service, Canberra.</w:t>
      </w:r>
      <w:bookmarkEnd w:id="587"/>
    </w:p>
    <w:p w:rsidR="00B8782D" w:rsidRPr="00750C8B" w:rsidRDefault="00B8782D" w:rsidP="00750C8B">
      <w:pPr>
        <w:pStyle w:val="EndNoteBibliography"/>
        <w:spacing w:after="0"/>
      </w:pPr>
      <w:bookmarkStart w:id="588" w:name="_ENREF_445"/>
      <w:r w:rsidRPr="00750C8B">
        <w:t xml:space="preserve">Teng, SC 1996, </w:t>
      </w:r>
      <w:r w:rsidRPr="00750C8B">
        <w:rPr>
          <w:i/>
        </w:rPr>
        <w:t>Fungi of China</w:t>
      </w:r>
      <w:r w:rsidRPr="00750C8B">
        <w:t>, Mycotaxon Limited, Ithaca.</w:t>
      </w:r>
      <w:bookmarkEnd w:id="588"/>
    </w:p>
    <w:p w:rsidR="00B8782D" w:rsidRPr="00750C8B" w:rsidRDefault="00B8782D" w:rsidP="00750C8B">
      <w:pPr>
        <w:pStyle w:val="EndNoteBibliography"/>
        <w:spacing w:after="0"/>
      </w:pPr>
      <w:bookmarkStart w:id="589" w:name="_ENREF_446"/>
      <w:r w:rsidRPr="00750C8B">
        <w:t xml:space="preserve">Tian, JX &amp; Hu, JW 1992, ‘Study on the control of larvae of </w:t>
      </w:r>
      <w:r w:rsidRPr="00750C8B">
        <w:rPr>
          <w:i/>
        </w:rPr>
        <w:t xml:space="preserve">Holotrichia morosa </w:t>
      </w:r>
      <w:r w:rsidRPr="00750C8B">
        <w:t xml:space="preserve">and </w:t>
      </w:r>
      <w:r w:rsidRPr="00750C8B">
        <w:rPr>
          <w:i/>
        </w:rPr>
        <w:t xml:space="preserve">H. diomphalia </w:t>
      </w:r>
      <w:r w:rsidRPr="00750C8B">
        <w:t xml:space="preserve">(Coleoptera: Scarabaeidae) with </w:t>
      </w:r>
      <w:r w:rsidRPr="00750C8B">
        <w:rPr>
          <w:i/>
        </w:rPr>
        <w:t>Beauveria tenella</w:t>
      </w:r>
      <w:r w:rsidRPr="00750C8B">
        <w:t xml:space="preserve">’, </w:t>
      </w:r>
      <w:r w:rsidRPr="00750C8B">
        <w:rPr>
          <w:i/>
        </w:rPr>
        <w:t>Natural Enemies of Insects</w:t>
      </w:r>
      <w:r w:rsidRPr="00750C8B">
        <w:t>, vol. 14, no. 2, pp. 62-4. (Abstract only)</w:t>
      </w:r>
      <w:bookmarkEnd w:id="589"/>
    </w:p>
    <w:p w:rsidR="00B8782D" w:rsidRPr="00750C8B" w:rsidRDefault="00B8782D" w:rsidP="00750C8B">
      <w:pPr>
        <w:pStyle w:val="EndNoteBibliography"/>
        <w:spacing w:after="0"/>
      </w:pPr>
      <w:bookmarkStart w:id="590" w:name="_ENREF_447"/>
      <w:r w:rsidRPr="00750C8B">
        <w:t xml:space="preserve">Toda, MJ 1991, ‘Drosophilidae (Diptera) in Myanmar (Burma) vii. the </w:t>
      </w:r>
      <w:r w:rsidRPr="00750C8B">
        <w:rPr>
          <w:i/>
        </w:rPr>
        <w:t xml:space="preserve">Drosophila melanogaster </w:t>
      </w:r>
      <w:r w:rsidRPr="00750C8B">
        <w:t xml:space="preserve">species-group, excepting the </w:t>
      </w:r>
      <w:r w:rsidRPr="00750C8B">
        <w:rPr>
          <w:i/>
        </w:rPr>
        <w:t>D. montium</w:t>
      </w:r>
      <w:r w:rsidRPr="00750C8B">
        <w:t xml:space="preserve"> species sub-group’, </w:t>
      </w:r>
      <w:r w:rsidRPr="00750C8B">
        <w:rPr>
          <w:i/>
        </w:rPr>
        <w:t>Oriental Insects</w:t>
      </w:r>
      <w:r w:rsidRPr="00750C8B">
        <w:t>, vol. 25, pp. 69-94.</w:t>
      </w:r>
      <w:bookmarkEnd w:id="590"/>
    </w:p>
    <w:p w:rsidR="00B8782D" w:rsidRPr="00750C8B" w:rsidRDefault="00B8782D" w:rsidP="00750C8B">
      <w:pPr>
        <w:pStyle w:val="EndNoteBibliography"/>
        <w:spacing w:after="0"/>
      </w:pPr>
      <w:bookmarkStart w:id="591" w:name="_ENREF_448"/>
      <w:r w:rsidRPr="00750C8B">
        <w:lastRenderedPageBreak/>
        <w:t xml:space="preserve">Tomlinson, JA, Faithful, EM, Webb, MJW, Fraser, RSS &amp; Seeley, ND 1983, ‘Chenopodium necrosis: a distinctive strain of </w:t>
      </w:r>
      <w:r w:rsidRPr="00750C8B">
        <w:rPr>
          <w:i/>
        </w:rPr>
        <w:t>Tobacco necrosis virus</w:t>
      </w:r>
      <w:r w:rsidRPr="00750C8B">
        <w:t xml:space="preserve"> isolated from river water’, </w:t>
      </w:r>
      <w:r w:rsidRPr="00750C8B">
        <w:rPr>
          <w:i/>
        </w:rPr>
        <w:t>Annals of Applied Biology</w:t>
      </w:r>
      <w:r w:rsidRPr="00750C8B">
        <w:t>, vol. 102, pp. 135-47.</w:t>
      </w:r>
      <w:bookmarkEnd w:id="591"/>
    </w:p>
    <w:p w:rsidR="00B8782D" w:rsidRPr="00750C8B" w:rsidRDefault="00B8782D" w:rsidP="00750C8B">
      <w:pPr>
        <w:pStyle w:val="EndNoteBibliography"/>
        <w:spacing w:after="0"/>
      </w:pPr>
      <w:bookmarkStart w:id="592" w:name="_ENREF_449"/>
      <w:r w:rsidRPr="00750C8B">
        <w:t xml:space="preserve">Tommasini, MG &amp; Ceredi, G 2007, ‘Damages on nectarines by thrips in northern Italy: monitoring and control on late attacks’, </w:t>
      </w:r>
      <w:r w:rsidRPr="00750C8B">
        <w:rPr>
          <w:i/>
        </w:rPr>
        <w:t>Bulletin of Insectology</w:t>
      </w:r>
      <w:r w:rsidRPr="00750C8B">
        <w:t>, vol. 60, no. 1, pp. 71-5.</w:t>
      </w:r>
      <w:bookmarkEnd w:id="592"/>
    </w:p>
    <w:p w:rsidR="00B8782D" w:rsidRPr="00750C8B" w:rsidRDefault="00B8782D" w:rsidP="00750C8B">
      <w:pPr>
        <w:pStyle w:val="EndNoteBibliography"/>
        <w:spacing w:after="0"/>
      </w:pPr>
      <w:bookmarkStart w:id="593" w:name="_ENREF_450"/>
      <w:r w:rsidRPr="00750C8B">
        <w:t xml:space="preserve">Tomoshevich, MA &amp; Banaev, EV 2013, ‘Concerning regularities in the structure of pathogenic micromycetes on leaves of woody plants in urban ecosystems of Siberia’, </w:t>
      </w:r>
      <w:r w:rsidRPr="00750C8B">
        <w:rPr>
          <w:i/>
        </w:rPr>
        <w:t>Contemporary Problems of Ecology</w:t>
      </w:r>
      <w:r w:rsidRPr="00750C8B">
        <w:t>, vol. 6, no. 4, pp. 396-401.</w:t>
      </w:r>
      <w:bookmarkEnd w:id="593"/>
    </w:p>
    <w:p w:rsidR="00B8782D" w:rsidRPr="00750C8B" w:rsidRDefault="00B8782D" w:rsidP="00750C8B">
      <w:pPr>
        <w:pStyle w:val="EndNoteBibliography"/>
        <w:spacing w:after="0"/>
      </w:pPr>
      <w:bookmarkStart w:id="594" w:name="_ENREF_451"/>
      <w:r w:rsidRPr="00750C8B">
        <w:t xml:space="preserve">Toyoshima, S, Arai, T &amp; Yaginuma, K 2010, ‘Effect of constant temperatures on the development of peach fruit moth </w:t>
      </w:r>
      <w:r w:rsidRPr="00750C8B">
        <w:rPr>
          <w:i/>
        </w:rPr>
        <w:t xml:space="preserve">Carposina sasakii </w:t>
      </w:r>
      <w:r w:rsidRPr="00750C8B">
        <w:t xml:space="preserve">(Lepidoptera: Carposinidae)’, </w:t>
      </w:r>
      <w:r w:rsidRPr="00750C8B">
        <w:rPr>
          <w:i/>
        </w:rPr>
        <w:t>Bulletin of National Institute of Fruit Tree Science</w:t>
      </w:r>
      <w:r w:rsidRPr="00750C8B">
        <w:t>, vol. 10, pp. 1-8.</w:t>
      </w:r>
      <w:bookmarkEnd w:id="594"/>
    </w:p>
    <w:p w:rsidR="00B8782D" w:rsidRPr="00750C8B" w:rsidRDefault="00B8782D" w:rsidP="00750C8B">
      <w:pPr>
        <w:pStyle w:val="EndNoteBibliography"/>
        <w:spacing w:after="0"/>
      </w:pPr>
      <w:bookmarkStart w:id="595" w:name="_ENREF_452"/>
      <w:r w:rsidRPr="00750C8B">
        <w:t>Tremblay, E 1966, (</w:t>
      </w:r>
      <w:r w:rsidRPr="00750C8B">
        <w:rPr>
          <w:i/>
        </w:rPr>
        <w:t>A. pulchellana</w:t>
      </w:r>
      <w:r w:rsidRPr="00750C8B">
        <w:t xml:space="preserve"> injurious to fennel in Campania), </w:t>
      </w:r>
      <w:r w:rsidRPr="00750C8B">
        <w:rPr>
          <w:i/>
        </w:rPr>
        <w:t>Bollettino del Laboratorio di Entomologia Agraria "Filippo Silvestri"</w:t>
      </w:r>
      <w:r w:rsidRPr="00750C8B">
        <w:t>, vol. 24, pp. 31-48. (Abstract)</w:t>
      </w:r>
      <w:bookmarkEnd w:id="595"/>
    </w:p>
    <w:p w:rsidR="00B8782D" w:rsidRPr="00750C8B" w:rsidRDefault="00B8782D" w:rsidP="00750C8B">
      <w:pPr>
        <w:pStyle w:val="EndNoteBibliography"/>
        <w:spacing w:after="0"/>
      </w:pPr>
      <w:bookmarkStart w:id="596" w:name="_ENREF_453"/>
      <w:r w:rsidRPr="00750C8B">
        <w:t xml:space="preserve">Turturo, C, Minafra, A, Ni, H, Wang, G, di Terlizzi, B &amp; Savino, V 1998, ‘Occurrence of </w:t>
      </w:r>
      <w:r w:rsidRPr="00750C8B">
        <w:rPr>
          <w:i/>
        </w:rPr>
        <w:t>Peach latent mosaic viroid</w:t>
      </w:r>
      <w:r w:rsidRPr="00750C8B">
        <w:t xml:space="preserve"> in China and development of an improved detection method’, </w:t>
      </w:r>
      <w:r w:rsidRPr="00750C8B">
        <w:rPr>
          <w:i/>
        </w:rPr>
        <w:t>Journal of Plant Pathology</w:t>
      </w:r>
      <w:r w:rsidRPr="00750C8B">
        <w:t>, vol. 80, no. 2, pp. 165-9.</w:t>
      </w:r>
      <w:bookmarkEnd w:id="596"/>
    </w:p>
    <w:p w:rsidR="00B8782D" w:rsidRPr="00750C8B" w:rsidRDefault="00B8782D" w:rsidP="00750C8B">
      <w:pPr>
        <w:pStyle w:val="EndNoteBibliography"/>
        <w:spacing w:after="0"/>
      </w:pPr>
      <w:bookmarkStart w:id="597" w:name="_ENREF_454"/>
      <w:r w:rsidRPr="00750C8B">
        <w:t xml:space="preserve">Upsher, FJ &amp; Upsher, CM 1995, </w:t>
      </w:r>
      <w:r w:rsidRPr="00750C8B">
        <w:rPr>
          <w:i/>
        </w:rPr>
        <w:t>Catalogue of the Australian National Collection of Biodeterioration Microfungi</w:t>
      </w:r>
      <w:r w:rsidRPr="00750C8B">
        <w:t>, DSTO-GD-0054, DSTO Aeronautical and Marine Research Laboratory, Melbourne, Australia.</w:t>
      </w:r>
      <w:bookmarkEnd w:id="597"/>
    </w:p>
    <w:p w:rsidR="00B8782D" w:rsidRPr="00750C8B" w:rsidRDefault="00B8782D" w:rsidP="00750C8B">
      <w:pPr>
        <w:pStyle w:val="EndNoteBibliography"/>
        <w:spacing w:after="0"/>
      </w:pPr>
      <w:bookmarkStart w:id="598" w:name="_ENREF_455"/>
      <w:r w:rsidRPr="00750C8B">
        <w:t xml:space="preserve">USDA-APHIS 2002, </w:t>
      </w:r>
      <w:r w:rsidRPr="00750C8B">
        <w:rPr>
          <w:i/>
        </w:rPr>
        <w:t>Importation of grapes (Vitis spp.) from Korea into the United States: a qualitative, pathway-initiated pest risk assessment</w:t>
      </w:r>
      <w:r w:rsidRPr="00750C8B">
        <w:t xml:space="preserve">, Animal and Plant Health Inspection Service, United States Department of Agriculture, Riverdale, Maryland, available at </w:t>
      </w:r>
      <w:r w:rsidRPr="00750C8B">
        <w:rPr>
          <w:u w:val="single"/>
        </w:rPr>
        <w:t>https://web01.aphis.usda.gov/oxygen_fod/fb_md_ppq.nsf/0/6a4c6eb951006d8685256e2a005ecdc0/$FILE/0058.pdf</w:t>
      </w:r>
      <w:r w:rsidRPr="00750C8B">
        <w:t xml:space="preserve"> (pdf 199 kb).</w:t>
      </w:r>
      <w:bookmarkEnd w:id="598"/>
    </w:p>
    <w:p w:rsidR="00B8782D" w:rsidRPr="00750C8B" w:rsidRDefault="00B8782D" w:rsidP="00750C8B">
      <w:pPr>
        <w:pStyle w:val="EndNoteBibliography"/>
        <w:spacing w:after="0"/>
      </w:pPr>
      <w:bookmarkStart w:id="599" w:name="_ENREF_456"/>
      <w:r w:rsidRPr="00750C8B">
        <w:t xml:space="preserve">USDA 1958, </w:t>
      </w:r>
      <w:r w:rsidRPr="00750C8B">
        <w:rPr>
          <w:i/>
        </w:rPr>
        <w:t>Insects not known to occur in the United States: fruit weevil (Rhynchites heros Roelofs)</w:t>
      </w:r>
      <w:r w:rsidRPr="00750C8B">
        <w:t>, Report No. 45, The United States Department of Agriculture, USA.</w:t>
      </w:r>
      <w:bookmarkEnd w:id="599"/>
    </w:p>
    <w:p w:rsidR="00B8782D" w:rsidRPr="00750C8B" w:rsidRDefault="00B8782D" w:rsidP="00750C8B">
      <w:pPr>
        <w:pStyle w:val="EndNoteBibliography"/>
        <w:spacing w:after="0"/>
      </w:pPr>
      <w:bookmarkStart w:id="600" w:name="_ENREF_457"/>
      <w:r w:rsidRPr="00750C8B">
        <w:t xml:space="preserve">-- -- 2002, </w:t>
      </w:r>
      <w:r w:rsidRPr="00750C8B">
        <w:rPr>
          <w:i/>
        </w:rPr>
        <w:t>Expansion of the importation of fresh unshu orange fruit (Citrus reticulata blanco var. unshu Swingle) from the Republic of Korea in citrus producing states of the continental United States: a pathway-initiated pest risk assessment</w:t>
      </w:r>
      <w:r w:rsidRPr="00750C8B">
        <w:t>, United States Department of Agriculture, Washington, D.C.</w:t>
      </w:r>
      <w:bookmarkEnd w:id="600"/>
    </w:p>
    <w:p w:rsidR="00B8782D" w:rsidRPr="00750C8B" w:rsidRDefault="00B8782D" w:rsidP="00750C8B">
      <w:pPr>
        <w:pStyle w:val="EndNoteBibliography"/>
        <w:spacing w:after="0"/>
      </w:pPr>
      <w:bookmarkStart w:id="601" w:name="_ENREF_458"/>
      <w:r w:rsidRPr="00750C8B">
        <w:t xml:space="preserve">-- -- 2010, </w:t>
      </w:r>
      <w:r w:rsidRPr="00750C8B">
        <w:rPr>
          <w:i/>
        </w:rPr>
        <w:t>Treatment schedules: T100-schedules for fruit, nuts, and vegetables</w:t>
      </w:r>
      <w:r w:rsidRPr="00750C8B">
        <w:t xml:space="preserve">, available at </w:t>
      </w:r>
      <w:r w:rsidRPr="00B8782D">
        <w:t>http://www.aphis.usda.gov/import_export/plants/manuals/ports/downloads/treatment_pdf/05_05_t400schedules.pdf</w:t>
      </w:r>
      <w:r w:rsidRPr="00750C8B">
        <w:t>.</w:t>
      </w:r>
      <w:bookmarkEnd w:id="601"/>
    </w:p>
    <w:p w:rsidR="00B8782D" w:rsidRPr="00750C8B" w:rsidRDefault="00B8782D" w:rsidP="00750C8B">
      <w:pPr>
        <w:pStyle w:val="EndNoteBibliography"/>
        <w:spacing w:after="0"/>
      </w:pPr>
      <w:bookmarkStart w:id="602" w:name="_ENREF_459"/>
      <w:r w:rsidRPr="00750C8B">
        <w:t xml:space="preserve">-- -- 2015, </w:t>
      </w:r>
      <w:r w:rsidRPr="00750C8B">
        <w:rPr>
          <w:i/>
        </w:rPr>
        <w:t>USDA treatment manual</w:t>
      </w:r>
      <w:r w:rsidRPr="00750C8B">
        <w:t xml:space="preserve">, United States Department of Agriculture, USA, available at </w:t>
      </w:r>
      <w:r w:rsidRPr="00B8782D">
        <w:t>http://www.aphis.usda.gov/import_export/plants/manuals/ports/downloads/treatment.pdf</w:t>
      </w:r>
      <w:r w:rsidRPr="00750C8B">
        <w:t xml:space="preserve"> (PDF 4.99MB).</w:t>
      </w:r>
      <w:bookmarkEnd w:id="602"/>
    </w:p>
    <w:p w:rsidR="00B8782D" w:rsidRPr="00750C8B" w:rsidRDefault="00B8782D" w:rsidP="00750C8B">
      <w:pPr>
        <w:pStyle w:val="EndNoteBibliography"/>
        <w:spacing w:after="0"/>
      </w:pPr>
      <w:bookmarkStart w:id="603" w:name="_ENREF_460"/>
      <w:r w:rsidRPr="00750C8B">
        <w:t>Uyemoto, JK 1981, ‘</w:t>
      </w:r>
      <w:r w:rsidRPr="00750C8B">
        <w:rPr>
          <w:i/>
        </w:rPr>
        <w:t xml:space="preserve">Tobacco necrosis </w:t>
      </w:r>
      <w:r w:rsidRPr="00750C8B">
        <w:t xml:space="preserve">and </w:t>
      </w:r>
      <w:r w:rsidRPr="00750C8B">
        <w:rPr>
          <w:i/>
        </w:rPr>
        <w:t>satellite viruses</w:t>
      </w:r>
      <w:r w:rsidRPr="00750C8B">
        <w:t xml:space="preserve">’, in </w:t>
      </w:r>
      <w:r w:rsidRPr="00750C8B">
        <w:rPr>
          <w:i/>
        </w:rPr>
        <w:t>Handbook of plant virus infections and comparative diagnosis</w:t>
      </w:r>
      <w:r w:rsidRPr="00750C8B">
        <w:t>, Kurstak, E (ed), Elsevier North-Holland Biomedical Press, Amsterdam.</w:t>
      </w:r>
      <w:bookmarkEnd w:id="603"/>
    </w:p>
    <w:p w:rsidR="00B8782D" w:rsidRPr="00750C8B" w:rsidRDefault="00B8782D" w:rsidP="00750C8B">
      <w:pPr>
        <w:pStyle w:val="EndNoteBibliography"/>
        <w:spacing w:after="0"/>
      </w:pPr>
      <w:bookmarkStart w:id="604" w:name="_ENREF_461"/>
      <w:r w:rsidRPr="00750C8B">
        <w:t xml:space="preserve">Uyemoto, JK &amp; Gilmer, RM 1972, ‘Properties of </w:t>
      </w:r>
      <w:r w:rsidRPr="00750C8B">
        <w:rPr>
          <w:i/>
        </w:rPr>
        <w:t>Tobacco necrosis virus</w:t>
      </w:r>
      <w:r w:rsidRPr="00750C8B">
        <w:t xml:space="preserve"> strains isolated from apple’, </w:t>
      </w:r>
      <w:r w:rsidRPr="00750C8B">
        <w:rPr>
          <w:i/>
        </w:rPr>
        <w:t>Phytopathology</w:t>
      </w:r>
      <w:r w:rsidRPr="00750C8B">
        <w:t>, vol. 62, pp. 478-81.</w:t>
      </w:r>
      <w:bookmarkEnd w:id="604"/>
    </w:p>
    <w:p w:rsidR="00B8782D" w:rsidRPr="00750C8B" w:rsidRDefault="00B8782D" w:rsidP="00750C8B">
      <w:pPr>
        <w:pStyle w:val="EndNoteBibliography"/>
        <w:spacing w:after="0"/>
      </w:pPr>
      <w:bookmarkStart w:id="605" w:name="_ENREF_462"/>
      <w:r w:rsidRPr="00750C8B">
        <w:t xml:space="preserve">Uyemoto, JK, Ogawa, JM &amp; Jaffee, BA 2001, </w:t>
      </w:r>
      <w:r w:rsidRPr="00750C8B">
        <w:rPr>
          <w:i/>
        </w:rPr>
        <w:t>Diseases of peach and nectarine. Peach: Prunus persica (L.) Batsch, nectarine: P. persica var nucipersica (Suckor) C.K. Scheid</w:t>
      </w:r>
      <w:r w:rsidRPr="00750C8B">
        <w:t xml:space="preserve">, APSnet: The American Phytopathological Society, available at </w:t>
      </w:r>
      <w:r w:rsidRPr="00B8782D">
        <w:t>http://www.apsnet.org/publications/commonnames/Pages/PeachandNectarine.aspx</w:t>
      </w:r>
      <w:r w:rsidRPr="00750C8B">
        <w:t>.</w:t>
      </w:r>
      <w:bookmarkEnd w:id="605"/>
    </w:p>
    <w:p w:rsidR="00B8782D" w:rsidRPr="00750C8B" w:rsidRDefault="00B8782D" w:rsidP="00750C8B">
      <w:pPr>
        <w:pStyle w:val="EndNoteBibliography"/>
        <w:spacing w:after="0"/>
      </w:pPr>
      <w:bookmarkStart w:id="606" w:name="_ENREF_463"/>
      <w:r w:rsidRPr="00750C8B">
        <w:t xml:space="preserve">van Leeuwen, GCM, Baayen, RP, Holb, IJ &amp; Jeger, MJ 2002, ‘Distinction of the Asiatic brown rot fungus </w:t>
      </w:r>
      <w:r w:rsidRPr="00750C8B">
        <w:rPr>
          <w:i/>
        </w:rPr>
        <w:t>Monilia polystroma</w:t>
      </w:r>
      <w:r w:rsidRPr="00750C8B">
        <w:t xml:space="preserve"> sp. nov. from </w:t>
      </w:r>
      <w:r w:rsidRPr="00750C8B">
        <w:rPr>
          <w:i/>
        </w:rPr>
        <w:t>M. fructigena</w:t>
      </w:r>
      <w:r w:rsidRPr="00750C8B">
        <w:t xml:space="preserve">’, </w:t>
      </w:r>
      <w:r w:rsidRPr="00750C8B">
        <w:rPr>
          <w:i/>
        </w:rPr>
        <w:t>Mycological Research</w:t>
      </w:r>
      <w:r w:rsidRPr="00750C8B">
        <w:t>, vol. 106, no. 4, pp. 444-51.</w:t>
      </w:r>
      <w:bookmarkEnd w:id="606"/>
    </w:p>
    <w:p w:rsidR="00B8782D" w:rsidRPr="00750C8B" w:rsidRDefault="00B8782D" w:rsidP="00750C8B">
      <w:pPr>
        <w:pStyle w:val="EndNoteBibliography"/>
        <w:spacing w:after="0"/>
      </w:pPr>
      <w:bookmarkStart w:id="607" w:name="_ENREF_464"/>
      <w:r w:rsidRPr="00750C8B">
        <w:t xml:space="preserve">Varga, J, Jahasz, A, Kevei, F &amp; Kozakiewicz, Z 2004, ‘Molecular diversity of agriculturally important </w:t>
      </w:r>
      <w:r w:rsidRPr="00750C8B">
        <w:rPr>
          <w:i/>
        </w:rPr>
        <w:t>Aspergillus</w:t>
      </w:r>
      <w:r w:rsidRPr="00750C8B">
        <w:t xml:space="preserve"> species’, </w:t>
      </w:r>
      <w:r w:rsidRPr="00750C8B">
        <w:rPr>
          <w:i/>
        </w:rPr>
        <w:t>European Journal of Plant Pathology</w:t>
      </w:r>
      <w:r w:rsidRPr="00750C8B">
        <w:t>, vol. 110, pp. 627-40.</w:t>
      </w:r>
      <w:bookmarkEnd w:id="607"/>
    </w:p>
    <w:p w:rsidR="00B8782D" w:rsidRPr="00750C8B" w:rsidRDefault="00B8782D" w:rsidP="00750C8B">
      <w:pPr>
        <w:pStyle w:val="EndNoteBibliography"/>
        <w:spacing w:after="0"/>
      </w:pPr>
      <w:bookmarkStart w:id="608" w:name="_ENREF_465"/>
      <w:r w:rsidRPr="00750C8B">
        <w:t xml:space="preserve">Veer, V 1985, ‘Observations on the host preferences and biology of </w:t>
      </w:r>
      <w:r w:rsidRPr="00750C8B">
        <w:rPr>
          <w:i/>
        </w:rPr>
        <w:t>Thrips flavus</w:t>
      </w:r>
      <w:r w:rsidRPr="00750C8B">
        <w:t xml:space="preserve"> Schrank (Thysanoptera: Thripidae) from Dehra Dun, India’, </w:t>
      </w:r>
      <w:r w:rsidRPr="00750C8B">
        <w:rPr>
          <w:i/>
        </w:rPr>
        <w:t>Annals of Entomology</w:t>
      </w:r>
      <w:r w:rsidRPr="00750C8B">
        <w:t>, vol. 3, no. 1, pp. 39-48.</w:t>
      </w:r>
      <w:bookmarkEnd w:id="608"/>
    </w:p>
    <w:p w:rsidR="00B8782D" w:rsidRPr="00750C8B" w:rsidRDefault="00B8782D" w:rsidP="00750C8B">
      <w:pPr>
        <w:pStyle w:val="EndNoteBibliography"/>
        <w:spacing w:after="0"/>
      </w:pPr>
      <w:bookmarkStart w:id="609" w:name="_ENREF_466"/>
      <w:r w:rsidRPr="00750C8B">
        <w:t xml:space="preserve">Veerman, A 1985, ‘Diapause’, in </w:t>
      </w:r>
      <w:r w:rsidRPr="00750C8B">
        <w:rPr>
          <w:i/>
        </w:rPr>
        <w:t>Spider mites: their biology, natural enemies and control.  Vol. 1A.</w:t>
      </w:r>
      <w:r w:rsidRPr="00750C8B">
        <w:t>, Helle, W &amp; Sabelis, MW (eds), Elsevier Science Publishers B.V., Amsterdam.</w:t>
      </w:r>
      <w:bookmarkEnd w:id="609"/>
    </w:p>
    <w:p w:rsidR="00B8782D" w:rsidRPr="00750C8B" w:rsidRDefault="00B8782D" w:rsidP="00750C8B">
      <w:pPr>
        <w:pStyle w:val="EndNoteBibliography"/>
        <w:spacing w:after="0"/>
      </w:pPr>
      <w:bookmarkStart w:id="610" w:name="_ENREF_467"/>
      <w:r w:rsidRPr="00750C8B">
        <w:t>Vogelzang, BK &amp; Scott, ES 1990, ‘</w:t>
      </w:r>
      <w:r w:rsidRPr="00750C8B">
        <w:rPr>
          <w:i/>
        </w:rPr>
        <w:t>Ceratocystis fimbriata</w:t>
      </w:r>
      <w:r w:rsidRPr="00750C8B">
        <w:t xml:space="preserve">, causal agent of basal rot of syngonium cultivars, and host range studies of isolates of </w:t>
      </w:r>
      <w:r w:rsidRPr="00750C8B">
        <w:rPr>
          <w:i/>
        </w:rPr>
        <w:t>C. fimbriata</w:t>
      </w:r>
      <w:r w:rsidRPr="00750C8B">
        <w:t xml:space="preserve"> in Australia’, </w:t>
      </w:r>
      <w:r w:rsidRPr="00750C8B">
        <w:rPr>
          <w:i/>
        </w:rPr>
        <w:t>Australasian Plant Pathology</w:t>
      </w:r>
      <w:r w:rsidRPr="00750C8B">
        <w:t>, vol. 19, no. 3, pp. 82-9.</w:t>
      </w:r>
      <w:bookmarkEnd w:id="610"/>
    </w:p>
    <w:p w:rsidR="00B8782D" w:rsidRPr="00750C8B" w:rsidRDefault="00B8782D" w:rsidP="00750C8B">
      <w:pPr>
        <w:pStyle w:val="EndNoteBibliography"/>
        <w:spacing w:after="0"/>
      </w:pPr>
      <w:bookmarkStart w:id="611" w:name="_ENREF_468"/>
      <w:r w:rsidRPr="00750C8B">
        <w:lastRenderedPageBreak/>
        <w:t xml:space="preserve">Wallis, CM, Fleischer, SJ, Luster, D &amp; Gildow, FE 2005, ‘Aphid (Hemiptera: Aphididae) species composition and potential aphid vectors of </w:t>
      </w:r>
      <w:r w:rsidRPr="00750C8B">
        <w:rPr>
          <w:i/>
        </w:rPr>
        <w:t>Plum pox virus</w:t>
      </w:r>
      <w:r w:rsidRPr="00750C8B">
        <w:t xml:space="preserve"> in Pennsylvania peach orchards’, </w:t>
      </w:r>
      <w:r w:rsidRPr="00750C8B">
        <w:rPr>
          <w:i/>
        </w:rPr>
        <w:t>Journal of Economic Entomology</w:t>
      </w:r>
      <w:r w:rsidRPr="00750C8B">
        <w:t>, vol. 98, no. 5, pp. 1441-50.</w:t>
      </w:r>
      <w:bookmarkEnd w:id="611"/>
    </w:p>
    <w:p w:rsidR="00B8782D" w:rsidRPr="00750C8B" w:rsidRDefault="00B8782D" w:rsidP="00750C8B">
      <w:pPr>
        <w:pStyle w:val="EndNoteBibliography"/>
        <w:spacing w:after="0"/>
      </w:pPr>
      <w:bookmarkStart w:id="612" w:name="_ENREF_469"/>
      <w:r w:rsidRPr="00750C8B">
        <w:t>Wang, A, Sanfaçon, H, Stobbs, LW, James, D, Thompson, D, Svircev, AM &amp; Brown, DCW 2006, ‘</w:t>
      </w:r>
      <w:r w:rsidRPr="00750C8B">
        <w:rPr>
          <w:i/>
        </w:rPr>
        <w:t>Plum pox virus</w:t>
      </w:r>
      <w:r w:rsidRPr="00750C8B">
        <w:t xml:space="preserve"> in Canada: progress in research and future prospects for disease control’, </w:t>
      </w:r>
      <w:r w:rsidRPr="00750C8B">
        <w:rPr>
          <w:i/>
        </w:rPr>
        <w:t>Canadian Journal of Plant Pathology</w:t>
      </w:r>
      <w:r w:rsidRPr="00750C8B">
        <w:t>, vol. 28, no. 2, pp. 182-96. (Abstract only)</w:t>
      </w:r>
      <w:bookmarkEnd w:id="612"/>
    </w:p>
    <w:p w:rsidR="00B8782D" w:rsidRPr="00750C8B" w:rsidRDefault="00B8782D" w:rsidP="00750C8B">
      <w:pPr>
        <w:pStyle w:val="EndNoteBibliography"/>
        <w:spacing w:after="0"/>
      </w:pPr>
      <w:bookmarkStart w:id="613" w:name="_ENREF_470"/>
      <w:r w:rsidRPr="00750C8B">
        <w:t xml:space="preserve">Wang, CQ, Xiao, B, Ji, ZX &amp; Chui, GL 2007, ‘A study on the biological characteristics and control techniques of </w:t>
      </w:r>
      <w:r w:rsidRPr="00750C8B">
        <w:rPr>
          <w:i/>
        </w:rPr>
        <w:t>Sinopticula sinica</w:t>
      </w:r>
      <w:r w:rsidRPr="00750C8B">
        <w:t xml:space="preserve"> Yang’ (in Chinese), </w:t>
      </w:r>
      <w:r w:rsidRPr="00750C8B">
        <w:rPr>
          <w:i/>
        </w:rPr>
        <w:t>Journal of Hebei Normal University of Science and Technology</w:t>
      </w:r>
      <w:r w:rsidRPr="00750C8B">
        <w:t>, vol. 21, no. 2, p. 1. (Abstract only)</w:t>
      </w:r>
      <w:bookmarkEnd w:id="613"/>
    </w:p>
    <w:p w:rsidR="00B8782D" w:rsidRPr="00750C8B" w:rsidRDefault="00B8782D" w:rsidP="00750C8B">
      <w:pPr>
        <w:pStyle w:val="EndNoteBibliography"/>
        <w:spacing w:after="0"/>
      </w:pPr>
      <w:bookmarkStart w:id="614" w:name="_ENREF_471"/>
      <w:r w:rsidRPr="00750C8B">
        <w:t xml:space="preserve">Wang, DA, An, JH, Ren, WY, Bu, GH &amp; He, GL 1998, ‘Damage of borers to kernel-edible apricot and their control’, </w:t>
      </w:r>
      <w:r w:rsidRPr="00750C8B">
        <w:rPr>
          <w:i/>
        </w:rPr>
        <w:t>Journal of Hebei Agricultural University</w:t>
      </w:r>
      <w:r w:rsidRPr="00750C8B">
        <w:t>, vol. 21, no. 1, pp. 16-22. (Abstract only)</w:t>
      </w:r>
      <w:bookmarkEnd w:id="614"/>
    </w:p>
    <w:p w:rsidR="00B8782D" w:rsidRPr="00750C8B" w:rsidRDefault="00B8782D" w:rsidP="00750C8B">
      <w:pPr>
        <w:pStyle w:val="EndNoteBibliography"/>
        <w:spacing w:after="0"/>
      </w:pPr>
      <w:bookmarkStart w:id="615" w:name="_ENREF_472"/>
      <w:r w:rsidRPr="00750C8B">
        <w:t xml:space="preserve">Wang, HF 1981, </w:t>
      </w:r>
      <w:r w:rsidRPr="00750C8B">
        <w:rPr>
          <w:i/>
        </w:rPr>
        <w:t>Economic insect fauna of China: Acari: Tetranychoidea. Volume 23</w:t>
      </w:r>
      <w:r w:rsidRPr="00750C8B">
        <w:t>, Science Press, Academia Sinica, Beijing.</w:t>
      </w:r>
      <w:bookmarkEnd w:id="615"/>
    </w:p>
    <w:p w:rsidR="00B8782D" w:rsidRPr="00750C8B" w:rsidRDefault="00B8782D" w:rsidP="00750C8B">
      <w:pPr>
        <w:pStyle w:val="EndNoteBibliography"/>
        <w:spacing w:after="0"/>
      </w:pPr>
      <w:bookmarkStart w:id="616" w:name="_ENREF_473"/>
      <w:r w:rsidRPr="00750C8B">
        <w:t xml:space="preserve">Wang, HF, Cui, YQ &amp; Zhang, SY 1981, ‘Tetranychid and tenuipalpid mites infesting fruit trees in the North of China’ (in Chinese), </w:t>
      </w:r>
      <w:r w:rsidRPr="00750C8B">
        <w:rPr>
          <w:i/>
        </w:rPr>
        <w:t>Acta Phytophylacica Sinica</w:t>
      </w:r>
      <w:r w:rsidRPr="00750C8B">
        <w:t>, vol. 8, pp. 9-16.</w:t>
      </w:r>
      <w:bookmarkEnd w:id="616"/>
    </w:p>
    <w:p w:rsidR="00B8782D" w:rsidRPr="00750C8B" w:rsidRDefault="00B8782D" w:rsidP="00750C8B">
      <w:pPr>
        <w:pStyle w:val="EndNoteBibliography"/>
        <w:spacing w:after="0"/>
      </w:pPr>
      <w:bookmarkStart w:id="617" w:name="_ENREF_474"/>
      <w:r w:rsidRPr="00750C8B">
        <w:t xml:space="preserve">Wang, Y, Zhao, Y &amp; Niu, J 2012, ‘Molecular identification and sequence analysis of the </w:t>
      </w:r>
      <w:r w:rsidRPr="00750C8B">
        <w:rPr>
          <w:i/>
        </w:rPr>
        <w:t>Apple scar skin viroid</w:t>
      </w:r>
      <w:r w:rsidRPr="00750C8B">
        <w:t xml:space="preserve"> (ASSVd) isolated from four kinds of fruit trees in Xinjiang Province, China’, </w:t>
      </w:r>
      <w:r w:rsidRPr="00750C8B">
        <w:rPr>
          <w:i/>
        </w:rPr>
        <w:t>Molecular Pathogens</w:t>
      </w:r>
      <w:r w:rsidRPr="00750C8B">
        <w:t>, vol. 3, no. 3, pp. 12-8.</w:t>
      </w:r>
      <w:bookmarkEnd w:id="617"/>
    </w:p>
    <w:p w:rsidR="00B8782D" w:rsidRPr="00750C8B" w:rsidRDefault="00B8782D" w:rsidP="00750C8B">
      <w:pPr>
        <w:pStyle w:val="EndNoteBibliography"/>
        <w:spacing w:after="0"/>
      </w:pPr>
      <w:bookmarkStart w:id="618" w:name="_ENREF_475"/>
      <w:r w:rsidRPr="00750C8B">
        <w:t xml:space="preserve">Washington, WS &amp; Nancarrow, RJ 1983, </w:t>
      </w:r>
      <w:r w:rsidRPr="00750C8B">
        <w:rPr>
          <w:i/>
        </w:rPr>
        <w:t>List of diseases recorded on fruit and vegetable crops in Victoria before June 30, 1980</w:t>
      </w:r>
      <w:r w:rsidRPr="00750C8B">
        <w:t>, Technical report series, Report No. 66, Victorian Department of Agriculture, Melbourne.</w:t>
      </w:r>
      <w:bookmarkEnd w:id="618"/>
    </w:p>
    <w:p w:rsidR="00B8782D" w:rsidRPr="00750C8B" w:rsidRDefault="00B8782D" w:rsidP="00750C8B">
      <w:pPr>
        <w:pStyle w:val="EndNoteBibliography"/>
        <w:spacing w:after="0"/>
      </w:pPr>
      <w:bookmarkStart w:id="619" w:name="_ENREF_476"/>
      <w:r w:rsidRPr="00750C8B">
        <w:t xml:space="preserve">Watson, GW 2005, ‘Arthropods of economic importance - Diaspididae of the world’, available at </w:t>
      </w:r>
      <w:r w:rsidRPr="00B8782D">
        <w:t>http://wbd.etibioinformatics.nl/bis/diaspididae.php</w:t>
      </w:r>
      <w:r w:rsidRPr="00750C8B">
        <w:t>, accessed 2014.</w:t>
      </w:r>
      <w:bookmarkEnd w:id="619"/>
    </w:p>
    <w:p w:rsidR="00B8782D" w:rsidRPr="00750C8B" w:rsidRDefault="00B8782D" w:rsidP="00750C8B">
      <w:pPr>
        <w:pStyle w:val="EndNoteBibliography"/>
        <w:spacing w:after="0"/>
      </w:pPr>
      <w:bookmarkStart w:id="620" w:name="_ENREF_477"/>
      <w:r w:rsidRPr="00750C8B">
        <w:t xml:space="preserve">Weakley, CV, Kirsch, PA &amp; Zalom, FG 1990, ‘Within-orchard and within-tree distributions of peach twig borer (Lepidoptera: Gelechiidae) damage to peaches’, </w:t>
      </w:r>
      <w:r w:rsidRPr="00750C8B">
        <w:rPr>
          <w:i/>
        </w:rPr>
        <w:t>Journal of Economic Entomology</w:t>
      </w:r>
      <w:r w:rsidRPr="00750C8B">
        <w:t>, vol. 83, pp. 505-10.</w:t>
      </w:r>
      <w:bookmarkEnd w:id="620"/>
    </w:p>
    <w:p w:rsidR="00B8782D" w:rsidRPr="00750C8B" w:rsidRDefault="00B8782D" w:rsidP="00750C8B">
      <w:pPr>
        <w:pStyle w:val="EndNoteBibliography"/>
        <w:spacing w:after="0"/>
      </w:pPr>
      <w:bookmarkStart w:id="621" w:name="_ENREF_478"/>
      <w:r w:rsidRPr="00750C8B">
        <w:t xml:space="preserve">Wei, MS, Li, GF, Ma, J, Fan, XH, Zhu, SF, Zhu, JG, Li, WM, Xu, XJ, Zhao, WS &amp; Yang, J 2013, ‘Plum pox virus survey and research in China’, </w:t>
      </w:r>
      <w:r w:rsidRPr="00750C8B">
        <w:rPr>
          <w:i/>
        </w:rPr>
        <w:t>Canadian Journal of Plant Pathology, Niagara Falls, Ontario</w:t>
      </w:r>
      <w:r w:rsidRPr="00750C8B">
        <w:t>, pp. 133-9.</w:t>
      </w:r>
      <w:bookmarkEnd w:id="621"/>
    </w:p>
    <w:p w:rsidR="00B8782D" w:rsidRPr="00750C8B" w:rsidRDefault="00B8782D" w:rsidP="00750C8B">
      <w:pPr>
        <w:pStyle w:val="EndNoteBibliography"/>
        <w:spacing w:after="0"/>
      </w:pPr>
      <w:bookmarkStart w:id="622" w:name="_ENREF_479"/>
      <w:r w:rsidRPr="00750C8B">
        <w:t xml:space="preserve">Weires, RW 1984, ‘Economic impact of a flucythrinate-induced resurgence of the Comstock mealybug (Homoptera: Pseudococcidae) on apple’, </w:t>
      </w:r>
      <w:r w:rsidRPr="00750C8B">
        <w:rPr>
          <w:i/>
        </w:rPr>
        <w:t>Journal of Economic Entomology</w:t>
      </w:r>
      <w:r w:rsidRPr="00750C8B">
        <w:t>, vol. 77, no. 1, pp. 186-9.</w:t>
      </w:r>
      <w:bookmarkEnd w:id="622"/>
    </w:p>
    <w:p w:rsidR="00B8782D" w:rsidRPr="00750C8B" w:rsidRDefault="00B8782D" w:rsidP="00750C8B">
      <w:pPr>
        <w:pStyle w:val="EndNoteBibliography"/>
        <w:spacing w:after="0"/>
      </w:pPr>
      <w:bookmarkStart w:id="623" w:name="_ENREF_480"/>
      <w:r w:rsidRPr="00750C8B">
        <w:t xml:space="preserve">Weydert, C 2011, </w:t>
      </w:r>
      <w:r w:rsidRPr="00750C8B">
        <w:rPr>
          <w:i/>
        </w:rPr>
        <w:t>Drosophila suzukii: situation in France and first test results</w:t>
      </w:r>
      <w:r w:rsidRPr="00750C8B">
        <w:t xml:space="preserve">, Fondazione Edmund Mach, Research and Innovation Centre (Istituto Agrario di San Michele all'Adige), available at </w:t>
      </w:r>
      <w:r w:rsidRPr="00B8782D">
        <w:t>http://cri.fmach.eu/Media/Files/Drosophila/Weydert</w:t>
      </w:r>
      <w:r w:rsidRPr="00750C8B">
        <w:t>.</w:t>
      </w:r>
      <w:bookmarkEnd w:id="623"/>
    </w:p>
    <w:p w:rsidR="00B8782D" w:rsidRPr="00750C8B" w:rsidRDefault="00B8782D" w:rsidP="00750C8B">
      <w:pPr>
        <w:pStyle w:val="EndNoteBibliography"/>
        <w:spacing w:after="0"/>
      </w:pPr>
      <w:bookmarkStart w:id="624" w:name="_ENREF_481"/>
      <w:r w:rsidRPr="00750C8B">
        <w:t xml:space="preserve">White, IM &amp; Elson-Harris, MM 1992, </w:t>
      </w:r>
      <w:r w:rsidRPr="00750C8B">
        <w:rPr>
          <w:i/>
        </w:rPr>
        <w:t>Fruit flies of economic significance: their identification and bionomics</w:t>
      </w:r>
      <w:r w:rsidRPr="00750C8B">
        <w:t>, CAB International, Wallingford, U.K.</w:t>
      </w:r>
      <w:bookmarkEnd w:id="624"/>
    </w:p>
    <w:p w:rsidR="00B8782D" w:rsidRPr="00750C8B" w:rsidRDefault="00B8782D" w:rsidP="00750C8B">
      <w:pPr>
        <w:pStyle w:val="EndNoteBibliography"/>
        <w:spacing w:after="0"/>
      </w:pPr>
      <w:bookmarkStart w:id="625" w:name="_ENREF_482"/>
      <w:r w:rsidRPr="00750C8B">
        <w:t xml:space="preserve">Whitfield, AE, Ullman, DE &amp; German, TL 2005, ‘Tospovirus - thrips interactions’, </w:t>
      </w:r>
      <w:r w:rsidRPr="00750C8B">
        <w:rPr>
          <w:i/>
        </w:rPr>
        <w:t>Annual Review of Phytopathology</w:t>
      </w:r>
      <w:r w:rsidRPr="00750C8B">
        <w:t>, vol. 43, pp. 459-89.</w:t>
      </w:r>
      <w:bookmarkEnd w:id="625"/>
    </w:p>
    <w:p w:rsidR="00B8782D" w:rsidRPr="00750C8B" w:rsidRDefault="00B8782D" w:rsidP="00750C8B">
      <w:pPr>
        <w:pStyle w:val="EndNoteBibliography"/>
        <w:spacing w:after="0"/>
      </w:pPr>
      <w:bookmarkStart w:id="626" w:name="_ENREF_483"/>
      <w:r w:rsidRPr="00750C8B">
        <w:t xml:space="preserve">Wijkamp, I, Almarza, N, Goldbach, R &amp; Peters, D 1995, ‘Distinct levels of specificity in thrips transmission of tospoviruses’, </w:t>
      </w:r>
      <w:r w:rsidRPr="00750C8B">
        <w:rPr>
          <w:i/>
        </w:rPr>
        <w:t>Phytopathology</w:t>
      </w:r>
      <w:r w:rsidRPr="00750C8B">
        <w:t>, vol. 85, no. 10, pp. 1069-74.</w:t>
      </w:r>
      <w:bookmarkEnd w:id="626"/>
    </w:p>
    <w:p w:rsidR="00B8782D" w:rsidRPr="00750C8B" w:rsidRDefault="00B8782D" w:rsidP="00750C8B">
      <w:pPr>
        <w:pStyle w:val="EndNoteBibliography"/>
        <w:spacing w:after="0"/>
      </w:pPr>
      <w:bookmarkStart w:id="627" w:name="_ENREF_484"/>
      <w:r w:rsidRPr="00750C8B">
        <w:t xml:space="preserve">Wijkamp, I, Goldbach, R &amp; Peters, D 1996, ‘Propagation of Tomato spotted wilt virus in </w:t>
      </w:r>
      <w:r w:rsidRPr="00750C8B">
        <w:rPr>
          <w:i/>
        </w:rPr>
        <w:t>Frankliniella occidentalis</w:t>
      </w:r>
      <w:r w:rsidRPr="00750C8B">
        <w:t xml:space="preserve"> does neither result in pathological effects nor in transovarial passage of the virus’, </w:t>
      </w:r>
      <w:r w:rsidRPr="00750C8B">
        <w:rPr>
          <w:i/>
        </w:rPr>
        <w:t>Entomologia Experimentalis et Applicata</w:t>
      </w:r>
      <w:r w:rsidRPr="00750C8B">
        <w:t>, vol. 81, no. 3, pp. 285-92.</w:t>
      </w:r>
      <w:bookmarkEnd w:id="627"/>
    </w:p>
    <w:p w:rsidR="00B8782D" w:rsidRPr="00750C8B" w:rsidRDefault="00B8782D" w:rsidP="00750C8B">
      <w:pPr>
        <w:pStyle w:val="EndNoteBibliography"/>
        <w:spacing w:after="0"/>
      </w:pPr>
      <w:bookmarkStart w:id="628" w:name="_ENREF_485"/>
      <w:r w:rsidRPr="00750C8B">
        <w:t xml:space="preserve">Wijkamp, I &amp; van der Gaag, DJ 2011, </w:t>
      </w:r>
      <w:r w:rsidRPr="00750C8B">
        <w:rPr>
          <w:i/>
        </w:rPr>
        <w:t>Pest risk analysis for Plum pox virus</w:t>
      </w:r>
      <w:r w:rsidRPr="00750C8B">
        <w:t>, Plant Protection Service, Ministry of Economic Affairs, Agriculture and Innovation, Wageningen, the Netherlands.</w:t>
      </w:r>
      <w:bookmarkEnd w:id="628"/>
    </w:p>
    <w:p w:rsidR="00B8782D" w:rsidRPr="00750C8B" w:rsidRDefault="00B8782D" w:rsidP="00750C8B">
      <w:pPr>
        <w:pStyle w:val="EndNoteBibliography"/>
        <w:spacing w:after="0"/>
      </w:pPr>
      <w:bookmarkStart w:id="629" w:name="_ENREF_486"/>
      <w:r w:rsidRPr="00750C8B">
        <w:t xml:space="preserve">World Weather Online 2015, </w:t>
      </w:r>
      <w:r w:rsidRPr="00750C8B">
        <w:rPr>
          <w:i/>
        </w:rPr>
        <w:t>Monthly climate average</w:t>
      </w:r>
      <w:r w:rsidRPr="00750C8B">
        <w:t xml:space="preserve">, World Weather Online, available at </w:t>
      </w:r>
      <w:r w:rsidRPr="00B8782D">
        <w:t>http://www.worldweatheronline.com/</w:t>
      </w:r>
      <w:r w:rsidRPr="00750C8B">
        <w:t>.</w:t>
      </w:r>
      <w:bookmarkEnd w:id="629"/>
    </w:p>
    <w:p w:rsidR="00B8782D" w:rsidRPr="00750C8B" w:rsidRDefault="00B8782D" w:rsidP="00750C8B">
      <w:pPr>
        <w:pStyle w:val="EndNoteBibliography"/>
        <w:spacing w:after="0"/>
      </w:pPr>
      <w:bookmarkStart w:id="630" w:name="_ENREF_487"/>
      <w:r w:rsidRPr="00750C8B">
        <w:t>WTO 1995, ‘Agreement on the application of sanitary and phytosanitary measures’, World Trade Organization. Geneva.</w:t>
      </w:r>
      <w:bookmarkEnd w:id="630"/>
    </w:p>
    <w:p w:rsidR="00B8782D" w:rsidRPr="00750C8B" w:rsidRDefault="00B8782D" w:rsidP="00750C8B">
      <w:pPr>
        <w:pStyle w:val="EndNoteBibliography"/>
        <w:spacing w:after="0"/>
      </w:pPr>
      <w:bookmarkStart w:id="631" w:name="_ENREF_488"/>
      <w:r w:rsidRPr="00750C8B">
        <w:t xml:space="preserve">Wu, J, Zhou, P, Cheng, W &amp; Li, Q 2006, ‘Influence of temperature on development and survival of </w:t>
      </w:r>
      <w:r w:rsidRPr="00750C8B">
        <w:rPr>
          <w:i/>
        </w:rPr>
        <w:t>Pristiphora sinesis</w:t>
      </w:r>
      <w:r w:rsidRPr="00750C8B">
        <w:t xml:space="preserve"> and control effect of some insecticides’ (in Chinese), </w:t>
      </w:r>
      <w:r w:rsidRPr="00750C8B">
        <w:rPr>
          <w:i/>
        </w:rPr>
        <w:t>Chinese Bulletin of Entomology</w:t>
      </w:r>
      <w:r w:rsidRPr="00750C8B">
        <w:t>, vol. 43, no. 3, p. 316.</w:t>
      </w:r>
      <w:bookmarkEnd w:id="631"/>
    </w:p>
    <w:p w:rsidR="00B8782D" w:rsidRPr="00750C8B" w:rsidRDefault="00B8782D" w:rsidP="00750C8B">
      <w:pPr>
        <w:pStyle w:val="EndNoteBibliography"/>
        <w:spacing w:after="0"/>
      </w:pPr>
      <w:bookmarkStart w:id="632" w:name="_ENREF_489"/>
      <w:r w:rsidRPr="00750C8B">
        <w:lastRenderedPageBreak/>
        <w:t xml:space="preserve">Wu, L &amp; Huang, ZY 1986, ‘Studies on the bionomics of </w:t>
      </w:r>
      <w:r w:rsidRPr="00750C8B">
        <w:rPr>
          <w:i/>
        </w:rPr>
        <w:t>Bhima undulosa</w:t>
      </w:r>
      <w:r w:rsidRPr="00750C8B">
        <w:t xml:space="preserve"> Walker and its control’, </w:t>
      </w:r>
      <w:r w:rsidRPr="00750C8B">
        <w:rPr>
          <w:i/>
        </w:rPr>
        <w:t>Entomological Knowledge</w:t>
      </w:r>
      <w:r w:rsidRPr="00750C8B">
        <w:t>, vol. 23, no. 5, pp. 211-2.</w:t>
      </w:r>
      <w:bookmarkEnd w:id="632"/>
    </w:p>
    <w:p w:rsidR="00B8782D" w:rsidRPr="00750C8B" w:rsidRDefault="00B8782D" w:rsidP="00750C8B">
      <w:pPr>
        <w:pStyle w:val="EndNoteBibliography"/>
        <w:spacing w:after="0"/>
      </w:pPr>
      <w:bookmarkStart w:id="633" w:name="_ENREF_490"/>
      <w:r w:rsidRPr="00750C8B">
        <w:t xml:space="preserve">Wu, MX, Wu, ZQ &amp; Hua, SMA 2006, ‘A preliminary study on some biological characters of globular stink bug, </w:t>
      </w:r>
      <w:r w:rsidRPr="00750C8B">
        <w:rPr>
          <w:i/>
        </w:rPr>
        <w:t>Megacopta cribraria</w:t>
      </w:r>
      <w:r w:rsidRPr="00750C8B">
        <w:t xml:space="preserve"> and its two egg parasitoids’, </w:t>
      </w:r>
      <w:r w:rsidRPr="00750C8B">
        <w:rPr>
          <w:i/>
        </w:rPr>
        <w:t>Journal of Fujian Agricultural University</w:t>
      </w:r>
      <w:r w:rsidRPr="00750C8B">
        <w:t>, vol. 35, no. 2, pp. 147-50.</w:t>
      </w:r>
      <w:bookmarkEnd w:id="633"/>
    </w:p>
    <w:p w:rsidR="00B8782D" w:rsidRPr="00750C8B" w:rsidRDefault="00B8782D" w:rsidP="00750C8B">
      <w:pPr>
        <w:pStyle w:val="EndNoteBibliography"/>
        <w:spacing w:after="0"/>
      </w:pPr>
      <w:bookmarkStart w:id="634" w:name="_ENREF_491"/>
      <w:r w:rsidRPr="00750C8B">
        <w:t>Wu, Y, Li, C, Song, X, Fu, Y, Jia, Q &amp; Guo, F 1995, ‘Biological characters and control techniques of peach blossom weevil (</w:t>
      </w:r>
      <w:r w:rsidRPr="00750C8B">
        <w:rPr>
          <w:i/>
        </w:rPr>
        <w:t xml:space="preserve">Anthonomus </w:t>
      </w:r>
      <w:r w:rsidRPr="00750C8B">
        <w:t xml:space="preserve">sp.)’, </w:t>
      </w:r>
      <w:r w:rsidRPr="00750C8B">
        <w:rPr>
          <w:i/>
        </w:rPr>
        <w:t>Hubei Agricultural Science</w:t>
      </w:r>
      <w:r w:rsidRPr="00750C8B">
        <w:t>, vol. 4, pp. 43-6.</w:t>
      </w:r>
      <w:bookmarkEnd w:id="634"/>
    </w:p>
    <w:p w:rsidR="00B8782D" w:rsidRPr="00750C8B" w:rsidRDefault="00B8782D" w:rsidP="00750C8B">
      <w:pPr>
        <w:pStyle w:val="EndNoteBibliography"/>
        <w:spacing w:after="0"/>
      </w:pPr>
      <w:bookmarkStart w:id="635" w:name="_ENREF_492"/>
      <w:r w:rsidRPr="00750C8B">
        <w:t xml:space="preserve">Wu, YF 2005, ‘Geographical distribution model of Oriental fruit fly’, </w:t>
      </w:r>
      <w:r w:rsidRPr="00750C8B">
        <w:rPr>
          <w:i/>
        </w:rPr>
        <w:t>Journal of Fujian Agricultural University</w:t>
      </w:r>
      <w:r w:rsidRPr="00750C8B">
        <w:t>, vol. 34, no. 2, pp. 168-71.</w:t>
      </w:r>
      <w:bookmarkEnd w:id="635"/>
    </w:p>
    <w:p w:rsidR="00B8782D" w:rsidRPr="00750C8B" w:rsidRDefault="00B8782D" w:rsidP="00750C8B">
      <w:pPr>
        <w:pStyle w:val="EndNoteBibliography"/>
        <w:spacing w:after="0"/>
      </w:pPr>
      <w:bookmarkStart w:id="636" w:name="_ENREF_493"/>
      <w:r w:rsidRPr="00750C8B">
        <w:t xml:space="preserve">Xi, D, Li, J, Han, C, Li, D, Yu, J &amp; Zhou, X 2008, ‘Complete nucleotide sequence of a new strain of </w:t>
      </w:r>
      <w:r w:rsidRPr="00750C8B">
        <w:rPr>
          <w:i/>
        </w:rPr>
        <w:t>Tobacco necrosis virus A</w:t>
      </w:r>
      <w:r w:rsidRPr="00750C8B">
        <w:t xml:space="preserve"> infecting soybean in China and infectivity of its full-length cDNA clone’, </w:t>
      </w:r>
      <w:r w:rsidRPr="00750C8B">
        <w:rPr>
          <w:i/>
        </w:rPr>
        <w:t>Virus Genes</w:t>
      </w:r>
      <w:r w:rsidRPr="00750C8B">
        <w:t>, vol. 36, pp. 259-66.</w:t>
      </w:r>
      <w:bookmarkEnd w:id="636"/>
    </w:p>
    <w:p w:rsidR="00B8782D" w:rsidRPr="00750C8B" w:rsidRDefault="00B8782D" w:rsidP="00750C8B">
      <w:pPr>
        <w:pStyle w:val="EndNoteBibliography"/>
        <w:spacing w:after="0"/>
      </w:pPr>
      <w:bookmarkStart w:id="637" w:name="_ENREF_494"/>
      <w:r w:rsidRPr="00750C8B">
        <w:t xml:space="preserve">Xu, Q, Sun, X, Wu, D &amp; Zhang, Z 1999, ‘Biological characteristics and control methods of </w:t>
      </w:r>
      <w:r w:rsidRPr="00750C8B">
        <w:rPr>
          <w:i/>
        </w:rPr>
        <w:t>Drosicha corpulenta</w:t>
      </w:r>
      <w:r w:rsidRPr="00750C8B">
        <w:t xml:space="preserve"> (Kanawa)’ (in Chinese), </w:t>
      </w:r>
      <w:r w:rsidRPr="00750C8B">
        <w:rPr>
          <w:i/>
        </w:rPr>
        <w:t>Journal of Jiangsu Forestry Science and Technology</w:t>
      </w:r>
      <w:r w:rsidRPr="00750C8B">
        <w:t>, vol. 26, no. 1, pp. 52-4.</w:t>
      </w:r>
      <w:bookmarkEnd w:id="637"/>
    </w:p>
    <w:p w:rsidR="00B8782D" w:rsidRPr="00750C8B" w:rsidRDefault="00B8782D" w:rsidP="00750C8B">
      <w:pPr>
        <w:pStyle w:val="EndNoteBibliography"/>
        <w:spacing w:after="0"/>
      </w:pPr>
      <w:bookmarkStart w:id="638" w:name="_ENREF_495"/>
      <w:r w:rsidRPr="00750C8B">
        <w:t xml:space="preserve">Xu, QG &amp; Hua, BZ 2004, ‘RAPD analysis on the speciation in host races of </w:t>
      </w:r>
      <w:r w:rsidRPr="00750C8B">
        <w:rPr>
          <w:i/>
        </w:rPr>
        <w:t xml:space="preserve">Carposina sasakii </w:t>
      </w:r>
      <w:r w:rsidRPr="00750C8B">
        <w:t xml:space="preserve">Matsumura (Lepidoptera: Carposinidae)’ (in Chinese), </w:t>
      </w:r>
      <w:r w:rsidRPr="00750C8B">
        <w:rPr>
          <w:i/>
        </w:rPr>
        <w:t>Acta Entomologica Sinica (China)</w:t>
      </w:r>
      <w:r w:rsidRPr="00750C8B">
        <w:t>, vol. 47, pp. 379-83.</w:t>
      </w:r>
      <w:bookmarkEnd w:id="638"/>
    </w:p>
    <w:p w:rsidR="00B8782D" w:rsidRPr="00750C8B" w:rsidRDefault="00B8782D" w:rsidP="00750C8B">
      <w:pPr>
        <w:pStyle w:val="EndNoteBibliography"/>
        <w:spacing w:after="0"/>
      </w:pPr>
      <w:bookmarkStart w:id="639" w:name="_ENREF_496"/>
      <w:r w:rsidRPr="00750C8B">
        <w:t>Xu, XM &amp; Robinson, JD 2000, ‘Epidemiology of brown rot (</w:t>
      </w:r>
      <w:r w:rsidRPr="00750C8B">
        <w:rPr>
          <w:i/>
        </w:rPr>
        <w:t>Monilinia fructigena</w:t>
      </w:r>
      <w:r w:rsidRPr="00750C8B">
        <w:t xml:space="preserve">) on apple: infection of fruits by conidia’, </w:t>
      </w:r>
      <w:r w:rsidRPr="00750C8B">
        <w:rPr>
          <w:i/>
        </w:rPr>
        <w:t>Plant Pathology</w:t>
      </w:r>
      <w:r w:rsidRPr="00750C8B">
        <w:t>, vol. 49, no. 2, pp. 201-6.</w:t>
      </w:r>
      <w:bookmarkEnd w:id="639"/>
    </w:p>
    <w:p w:rsidR="00B8782D" w:rsidRPr="00750C8B" w:rsidRDefault="00B8782D" w:rsidP="00750C8B">
      <w:pPr>
        <w:pStyle w:val="EndNoteBibliography"/>
        <w:spacing w:after="0"/>
      </w:pPr>
      <w:bookmarkStart w:id="640" w:name="_ENREF_497"/>
      <w:r w:rsidRPr="00750C8B">
        <w:t xml:space="preserve">Yang, C 1965, ‘Two new leafhoppers of the genus </w:t>
      </w:r>
      <w:r w:rsidRPr="00750C8B">
        <w:rPr>
          <w:i/>
        </w:rPr>
        <w:t>Pyramidotettix</w:t>
      </w:r>
      <w:r w:rsidRPr="00750C8B">
        <w:t xml:space="preserve"> (Homoptera: Jassidae) injuring apple trees’ (in Chinese), </w:t>
      </w:r>
      <w:r w:rsidRPr="00750C8B">
        <w:rPr>
          <w:i/>
        </w:rPr>
        <w:t>Acta Entomologica Sinica (China)</w:t>
      </w:r>
      <w:r w:rsidRPr="00750C8B">
        <w:t>, vol. 14, no. 2, pp. 196-202.</w:t>
      </w:r>
      <w:bookmarkEnd w:id="640"/>
    </w:p>
    <w:p w:rsidR="00B8782D" w:rsidRPr="00750C8B" w:rsidRDefault="00B8782D" w:rsidP="00750C8B">
      <w:pPr>
        <w:pStyle w:val="EndNoteBibliography"/>
        <w:spacing w:after="0"/>
      </w:pPr>
      <w:bookmarkStart w:id="641" w:name="_ENREF_498"/>
      <w:r w:rsidRPr="00750C8B">
        <w:t>-- -- 1989, ‘</w:t>
      </w:r>
      <w:r w:rsidRPr="00750C8B">
        <w:rPr>
          <w:i/>
        </w:rPr>
        <w:t>Sinopticula sinica</w:t>
      </w:r>
      <w:r w:rsidRPr="00750C8B">
        <w:t xml:space="preserve"> (Lepidoptera: Nepticulidae): a new genus and species from China’, </w:t>
      </w:r>
      <w:r w:rsidRPr="00750C8B">
        <w:rPr>
          <w:i/>
        </w:rPr>
        <w:t>Entomotaxonomia</w:t>
      </w:r>
      <w:r w:rsidRPr="00750C8B">
        <w:t>, vol. 6, no. 1-2, pp. 79-82.</w:t>
      </w:r>
      <w:bookmarkEnd w:id="641"/>
    </w:p>
    <w:p w:rsidR="00B8782D" w:rsidRPr="00750C8B" w:rsidRDefault="00B8782D" w:rsidP="00750C8B">
      <w:pPr>
        <w:pStyle w:val="EndNoteBibliography"/>
        <w:spacing w:after="0"/>
      </w:pPr>
      <w:bookmarkStart w:id="642" w:name="_ENREF_499"/>
      <w:r w:rsidRPr="00750C8B">
        <w:t xml:space="preserve">Yang, HQ, Xu, YD, Chao, XM, Guang, W, Zhang, JZ &amp; Yuan, JJ 2011, ‘Occurrence and control of </w:t>
      </w:r>
      <w:r w:rsidRPr="00750C8B">
        <w:rPr>
          <w:i/>
        </w:rPr>
        <w:t>Pseudococcus comstocki</w:t>
      </w:r>
      <w:r w:rsidRPr="00750C8B">
        <w:t xml:space="preserve">’ (in Chinese), </w:t>
      </w:r>
      <w:r w:rsidRPr="00750C8B">
        <w:rPr>
          <w:i/>
        </w:rPr>
        <w:t>Shanxi Fruits</w:t>
      </w:r>
      <w:r w:rsidRPr="00750C8B">
        <w:t>, vol. 3, pp. 49-51.</w:t>
      </w:r>
      <w:bookmarkEnd w:id="642"/>
    </w:p>
    <w:p w:rsidR="00B8782D" w:rsidRPr="00750C8B" w:rsidRDefault="00B8782D" w:rsidP="00750C8B">
      <w:pPr>
        <w:pStyle w:val="EndNoteBibliography"/>
        <w:spacing w:after="0"/>
      </w:pPr>
      <w:bookmarkStart w:id="643" w:name="_ENREF_500"/>
      <w:r w:rsidRPr="00750C8B">
        <w:t xml:space="preserve">Yang, P, Carey, JR &amp; Dowell, RV 1994, ‘Temperature influences on the development and demography of </w:t>
      </w:r>
      <w:r w:rsidRPr="00750C8B">
        <w:rPr>
          <w:i/>
        </w:rPr>
        <w:t>Bactrocera dorsalis</w:t>
      </w:r>
      <w:r w:rsidRPr="00750C8B">
        <w:t xml:space="preserve"> (Diptera: Tephritidae) in China’, </w:t>
      </w:r>
      <w:r w:rsidRPr="00750C8B">
        <w:rPr>
          <w:i/>
        </w:rPr>
        <w:t>Environmental Entomology</w:t>
      </w:r>
      <w:r w:rsidRPr="00750C8B">
        <w:t>, vol. 23, no. 4, pp. 971-4.</w:t>
      </w:r>
      <w:bookmarkEnd w:id="643"/>
    </w:p>
    <w:p w:rsidR="00B8782D" w:rsidRPr="00750C8B" w:rsidRDefault="00B8782D" w:rsidP="00750C8B">
      <w:pPr>
        <w:pStyle w:val="EndNoteBibliography"/>
        <w:spacing w:after="0"/>
      </w:pPr>
      <w:bookmarkStart w:id="644" w:name="_ENREF_501"/>
      <w:r w:rsidRPr="00750C8B">
        <w:t xml:space="preserve">Yang, PJ 1988, ‘Status of fruit fly research in China’, </w:t>
      </w:r>
      <w:r w:rsidRPr="00750C8B">
        <w:rPr>
          <w:i/>
        </w:rPr>
        <w:t>Proceedings of the 1st International Symposium on Fruit Flies in the Tropics, Kuala Lumpur, Malaysia, 14-16 March 1988</w:t>
      </w:r>
      <w:r w:rsidRPr="00750C8B">
        <w:t>, Malaysian Agricultural Research and Development Institute (MARDI) and Malaysian Plant Protection Society, Kuala Lumpur, Malaysia, pp. 161-8.</w:t>
      </w:r>
      <w:bookmarkEnd w:id="644"/>
    </w:p>
    <w:p w:rsidR="00B8782D" w:rsidRPr="00750C8B" w:rsidRDefault="00B8782D" w:rsidP="00750C8B">
      <w:pPr>
        <w:pStyle w:val="EndNoteBibliography"/>
        <w:spacing w:after="0"/>
      </w:pPr>
      <w:bookmarkStart w:id="645" w:name="_ENREF_502"/>
      <w:r w:rsidRPr="00750C8B">
        <w:t xml:space="preserve">Yang, S, Li, H, Xu, B, Tulake, T, Abudureheman, T &amp; Zhu, X 2008, ‘Study on species, field identification and biological characters of scale insects in orchards in Tarim Basin’ (in Chinese), </w:t>
      </w:r>
      <w:r w:rsidRPr="00750C8B">
        <w:rPr>
          <w:i/>
        </w:rPr>
        <w:t>Xinjiang Agricultural Sciences</w:t>
      </w:r>
      <w:r w:rsidRPr="00750C8B">
        <w:t>, vol. 45, no. 2, pp. 276-81.</w:t>
      </w:r>
      <w:bookmarkEnd w:id="645"/>
    </w:p>
    <w:p w:rsidR="00B8782D" w:rsidRPr="00750C8B" w:rsidRDefault="00B8782D" w:rsidP="00750C8B">
      <w:pPr>
        <w:pStyle w:val="EndNoteBibliography"/>
        <w:spacing w:after="0"/>
      </w:pPr>
      <w:bookmarkStart w:id="646" w:name="_ENREF_503"/>
      <w:r w:rsidRPr="00750C8B">
        <w:t xml:space="preserve">Yang, S, Tulake, T &amp; Li, J 2005, ‘Occurrence and infestation of pest insects on apricot in Xinjiang, China’ (in Chinese), </w:t>
      </w:r>
      <w:r w:rsidRPr="00750C8B">
        <w:rPr>
          <w:i/>
        </w:rPr>
        <w:t>Xinjiang Agricultural Sciences</w:t>
      </w:r>
      <w:r w:rsidRPr="00750C8B">
        <w:t>, vol. 42, no. 5, pp. 363-5.</w:t>
      </w:r>
      <w:bookmarkEnd w:id="646"/>
    </w:p>
    <w:p w:rsidR="00B8782D" w:rsidRPr="00750C8B" w:rsidRDefault="00B8782D" w:rsidP="00750C8B">
      <w:pPr>
        <w:pStyle w:val="EndNoteBibliography"/>
        <w:spacing w:after="0"/>
      </w:pPr>
      <w:bookmarkStart w:id="647" w:name="_ENREF_504"/>
      <w:r w:rsidRPr="00750C8B">
        <w:t xml:space="preserve">Yang, YA, Wang, HQ, Cheng, ZM, Sano, T &amp; Li, SF 2006, ‘First report of </w:t>
      </w:r>
      <w:r w:rsidRPr="00750C8B">
        <w:rPr>
          <w:i/>
        </w:rPr>
        <w:t xml:space="preserve">Hop stunt viroid </w:t>
      </w:r>
      <w:r w:rsidRPr="00750C8B">
        <w:t xml:space="preserve">from plum in China’, </w:t>
      </w:r>
      <w:r w:rsidRPr="00750C8B">
        <w:rPr>
          <w:i/>
        </w:rPr>
        <w:t>New Disease Reports</w:t>
      </w:r>
      <w:r w:rsidRPr="00750C8B">
        <w:t>, vol. 13, no. 41. (Abstract Only)</w:t>
      </w:r>
      <w:bookmarkEnd w:id="647"/>
    </w:p>
    <w:p w:rsidR="00B8782D" w:rsidRPr="00750C8B" w:rsidRDefault="00B8782D" w:rsidP="00750C8B">
      <w:pPr>
        <w:pStyle w:val="EndNoteBibliography"/>
        <w:spacing w:after="0"/>
      </w:pPr>
      <w:bookmarkStart w:id="648" w:name="_ENREF_505"/>
      <w:r w:rsidRPr="00750C8B">
        <w:t xml:space="preserve">Yin, BR, Kang, ZX, Li, GP &amp; Wang, XL 1987, ‘A preliminary study on the bionomics of </w:t>
      </w:r>
      <w:r w:rsidRPr="00750C8B">
        <w:rPr>
          <w:i/>
        </w:rPr>
        <w:t>Anthophila pariana</w:t>
      </w:r>
      <w:r w:rsidRPr="00750C8B">
        <w:t xml:space="preserve"> and its control’, </w:t>
      </w:r>
      <w:r w:rsidRPr="00750C8B">
        <w:rPr>
          <w:i/>
        </w:rPr>
        <w:t>Plant Protection</w:t>
      </w:r>
      <w:r w:rsidRPr="00750C8B">
        <w:t>, vol. 13, no. 6, pp. 24-5.</w:t>
      </w:r>
      <w:bookmarkEnd w:id="648"/>
    </w:p>
    <w:p w:rsidR="00B8782D" w:rsidRPr="00750C8B" w:rsidRDefault="00B8782D" w:rsidP="00750C8B">
      <w:pPr>
        <w:pStyle w:val="EndNoteBibliography"/>
        <w:spacing w:after="0"/>
        <w:rPr>
          <w:rFonts w:ascii="Segoe UI" w:hAnsi="Segoe UI" w:cs="Segoe UI"/>
        </w:rPr>
      </w:pPr>
      <w:bookmarkStart w:id="649" w:name="_ENREF_506"/>
      <w:r w:rsidRPr="00750C8B">
        <w:t xml:space="preserve">Yin, L, Chen, S, Cai, M, Li, G &amp; Luo, C 2013, ‘First report of brown rot of apricot caused by </w:t>
      </w:r>
      <w:r w:rsidRPr="00750C8B">
        <w:rPr>
          <w:i/>
        </w:rPr>
        <w:t>Monilia mumecola</w:t>
      </w:r>
      <w:r w:rsidRPr="00750C8B">
        <w:t xml:space="preserve">’, </w:t>
      </w:r>
      <w:r w:rsidRPr="00750C8B">
        <w:rPr>
          <w:i/>
        </w:rPr>
        <w:t>Plant Disease</w:t>
      </w:r>
      <w:r w:rsidRPr="00750C8B">
        <w:rPr>
          <w:rFonts w:ascii="Segoe UI" w:hAnsi="Segoe UI" w:cs="Segoe UI"/>
        </w:rPr>
        <w:t xml:space="preserve">, </w:t>
      </w:r>
      <w:r w:rsidRPr="00B8782D">
        <w:t>available at http://dx.doi.org/10.1094/PDIS-09-13-0995-PDN [epub ahead of print], accessed 1/19/2014.</w:t>
      </w:r>
      <w:bookmarkEnd w:id="649"/>
    </w:p>
    <w:p w:rsidR="00B8782D" w:rsidRPr="00750C8B" w:rsidRDefault="00B8782D" w:rsidP="00750C8B">
      <w:pPr>
        <w:pStyle w:val="EndNoteBibliography"/>
        <w:spacing w:after="0"/>
      </w:pPr>
      <w:bookmarkStart w:id="650" w:name="_ENREF_507"/>
      <w:r w:rsidRPr="00750C8B">
        <w:t xml:space="preserve">Yokoyama, VY, Miller, GT &amp; Crisosto, CH 1999, ‘Low temperature storage combined with sulfur dioxide slow release pads for quarantine control of omnivorous leafroller </w:t>
      </w:r>
      <w:r w:rsidRPr="00750C8B">
        <w:rPr>
          <w:i/>
        </w:rPr>
        <w:t>Platynota stultana</w:t>
      </w:r>
      <w:r w:rsidRPr="00750C8B">
        <w:t xml:space="preserve"> (Lepidoptera: Tortricidae)’, </w:t>
      </w:r>
      <w:r w:rsidRPr="00750C8B">
        <w:rPr>
          <w:i/>
        </w:rPr>
        <w:t>Journal of Economic Entomology</w:t>
      </w:r>
      <w:r w:rsidRPr="00750C8B">
        <w:t>, vol. 92, pp. 235-8.</w:t>
      </w:r>
      <w:bookmarkEnd w:id="650"/>
    </w:p>
    <w:p w:rsidR="00B8782D" w:rsidRPr="00750C8B" w:rsidRDefault="00B8782D" w:rsidP="00750C8B">
      <w:pPr>
        <w:pStyle w:val="EndNoteBibliography"/>
        <w:spacing w:after="0"/>
      </w:pPr>
      <w:bookmarkStart w:id="651" w:name="_ENREF_508"/>
      <w:r w:rsidRPr="00750C8B">
        <w:t xml:space="preserve">Yu, GF 2001, ‘Damage and control of </w:t>
      </w:r>
      <w:r w:rsidRPr="00750C8B">
        <w:rPr>
          <w:i/>
        </w:rPr>
        <w:t>Culcula panterinaria</w:t>
      </w:r>
      <w:r w:rsidRPr="00750C8B">
        <w:t xml:space="preserve">’ (in Chinese), </w:t>
      </w:r>
      <w:r w:rsidRPr="00750C8B">
        <w:rPr>
          <w:i/>
        </w:rPr>
        <w:t>Forestry of Shanxi</w:t>
      </w:r>
      <w:r w:rsidRPr="00750C8B">
        <w:t>, vol. 5, pp. 27-8.</w:t>
      </w:r>
      <w:bookmarkEnd w:id="651"/>
    </w:p>
    <w:p w:rsidR="00B8782D" w:rsidRPr="00750C8B" w:rsidRDefault="00B8782D" w:rsidP="00750C8B">
      <w:pPr>
        <w:pStyle w:val="EndNoteBibliography"/>
        <w:spacing w:after="0"/>
      </w:pPr>
      <w:bookmarkStart w:id="652" w:name="_ENREF_509"/>
      <w:r w:rsidRPr="00750C8B">
        <w:t xml:space="preserve">Yu, TF 1940, ‘A list of important crop diseases occurring in Kiangsu Province (1934-1937)’, </w:t>
      </w:r>
      <w:r w:rsidRPr="00750C8B">
        <w:rPr>
          <w:i/>
        </w:rPr>
        <w:t>Lingnan Science Journal</w:t>
      </w:r>
      <w:r w:rsidRPr="00750C8B">
        <w:t>, vol. 19, pp. 67-78.</w:t>
      </w:r>
      <w:bookmarkEnd w:id="652"/>
    </w:p>
    <w:p w:rsidR="00B8782D" w:rsidRPr="00750C8B" w:rsidRDefault="00B8782D" w:rsidP="00750C8B">
      <w:pPr>
        <w:pStyle w:val="EndNoteBibliography"/>
        <w:spacing w:after="0"/>
      </w:pPr>
      <w:bookmarkStart w:id="653" w:name="_ENREF_510"/>
      <w:r w:rsidRPr="00750C8B">
        <w:t xml:space="preserve">Yu, Y, Zhao, Z, Qin, L, Zhao, Y, Fan, H, Zhang, Z, Wu, Z &amp; Li, S 2013, ‘Incidence of major peach viruses and viroids in China’, </w:t>
      </w:r>
      <w:r w:rsidRPr="00750C8B">
        <w:rPr>
          <w:i/>
        </w:rPr>
        <w:t>Journal of Plant Pathology</w:t>
      </w:r>
      <w:r w:rsidRPr="00750C8B">
        <w:t>, vol. 95, no. 3, pp. 603-7.</w:t>
      </w:r>
      <w:bookmarkEnd w:id="653"/>
    </w:p>
    <w:p w:rsidR="00B8782D" w:rsidRPr="00750C8B" w:rsidRDefault="00B8782D" w:rsidP="00750C8B">
      <w:pPr>
        <w:pStyle w:val="EndNoteBibliography"/>
        <w:spacing w:after="0"/>
      </w:pPr>
      <w:bookmarkStart w:id="654" w:name="_ENREF_511"/>
      <w:r w:rsidRPr="00750C8B">
        <w:lastRenderedPageBreak/>
        <w:t xml:space="preserve">ZDCBIC 2005, </w:t>
      </w:r>
      <w:r w:rsidRPr="00750C8B">
        <w:rPr>
          <w:i/>
        </w:rPr>
        <w:t>Noctuidae; Calyptra genus</w:t>
      </w:r>
      <w:r w:rsidRPr="00750C8B">
        <w:t xml:space="preserve">, Zoological Division of Chinese Biodiversity Information Center, available at </w:t>
      </w:r>
      <w:r w:rsidRPr="00B8782D">
        <w:t>http://zd1.brim.ac.cn/specialist.asp?x_genus=Calyptra&amp;z_genus=LIK</w:t>
      </w:r>
      <w:r w:rsidRPr="00750C8B">
        <w:t>.</w:t>
      </w:r>
      <w:bookmarkEnd w:id="654"/>
    </w:p>
    <w:p w:rsidR="00B8782D" w:rsidRPr="00750C8B" w:rsidRDefault="00B8782D" w:rsidP="00750C8B">
      <w:pPr>
        <w:pStyle w:val="EndNoteBibliography"/>
        <w:spacing w:after="0"/>
      </w:pPr>
      <w:bookmarkStart w:id="655" w:name="_ENREF_512"/>
      <w:r w:rsidRPr="00750C8B">
        <w:t xml:space="preserve">Zehr, EI 1995a, ‘Constriction canker’, in </w:t>
      </w:r>
      <w:r w:rsidRPr="00750C8B">
        <w:rPr>
          <w:i/>
        </w:rPr>
        <w:t>Compendium of stone fruit diseases</w:t>
      </w:r>
      <w:r w:rsidRPr="00750C8B">
        <w:t>, Ogawa, JM, Zehr, EI, Bird, GW, Ritchie, DF, Uriu, K &amp; Uyemoto, JK (eds), The American Phytopathological Society Press, St. Paul, Minnesota.</w:t>
      </w:r>
      <w:bookmarkEnd w:id="655"/>
    </w:p>
    <w:p w:rsidR="00B8782D" w:rsidRPr="00750C8B" w:rsidRDefault="00B8782D" w:rsidP="00750C8B">
      <w:pPr>
        <w:pStyle w:val="EndNoteBibliography"/>
        <w:spacing w:after="0"/>
      </w:pPr>
      <w:bookmarkStart w:id="656" w:name="_ENREF_513"/>
      <w:r w:rsidRPr="00750C8B">
        <w:t xml:space="preserve">-- -- 1995b, ‘Frosty mildew of peach’, in </w:t>
      </w:r>
      <w:r w:rsidRPr="00750C8B">
        <w:rPr>
          <w:i/>
        </w:rPr>
        <w:t>Compendium of stone fruit diseases</w:t>
      </w:r>
      <w:r w:rsidRPr="00750C8B">
        <w:t>, Ogawa, JM, Zehr, EI, Bird, GW, Ritchie, DF, Uriu, K &amp; Uyemoto, JK (eds), The American Phytopathological Society Press, St Paul, Minnesota.</w:t>
      </w:r>
      <w:bookmarkEnd w:id="656"/>
    </w:p>
    <w:p w:rsidR="00B8782D" w:rsidRPr="00750C8B" w:rsidRDefault="00B8782D" w:rsidP="00750C8B">
      <w:pPr>
        <w:pStyle w:val="EndNoteBibliography"/>
        <w:spacing w:after="0"/>
      </w:pPr>
      <w:bookmarkStart w:id="657" w:name="_ENREF_514"/>
      <w:r w:rsidRPr="00750C8B">
        <w:t xml:space="preserve">Zhang, AH &amp; Li, HH 2005, ‘Catalogue of Eucosmini from China (Lepidoptera: Tortricidae)’, </w:t>
      </w:r>
      <w:r w:rsidRPr="00750C8B">
        <w:rPr>
          <w:i/>
        </w:rPr>
        <w:t>SHILAP Revista de Lepidopterologia</w:t>
      </w:r>
      <w:r w:rsidRPr="00750C8B">
        <w:t>, vol. 33, no. 131, pp. 265-98.</w:t>
      </w:r>
      <w:bookmarkEnd w:id="657"/>
    </w:p>
    <w:p w:rsidR="00B8782D" w:rsidRPr="00750C8B" w:rsidRDefault="00B8782D" w:rsidP="00750C8B">
      <w:pPr>
        <w:pStyle w:val="EndNoteBibliography"/>
        <w:spacing w:after="0"/>
      </w:pPr>
      <w:bookmarkStart w:id="658" w:name="_ENREF_515"/>
      <w:r w:rsidRPr="00750C8B">
        <w:t xml:space="preserve">Zhang, B &amp; Huang, Y 1990, ‘A list of important plant diseases in China’, </w:t>
      </w:r>
      <w:r w:rsidRPr="00750C8B">
        <w:rPr>
          <w:i/>
        </w:rPr>
        <w:t>Review of Plant Pathology</w:t>
      </w:r>
      <w:r w:rsidRPr="00750C8B">
        <w:t>, vol. 69, no. 3, pp. 97-118.</w:t>
      </w:r>
      <w:bookmarkEnd w:id="658"/>
    </w:p>
    <w:p w:rsidR="00B8782D" w:rsidRPr="00750C8B" w:rsidRDefault="00B8782D" w:rsidP="00750C8B">
      <w:pPr>
        <w:pStyle w:val="EndNoteBibliography"/>
        <w:spacing w:after="0"/>
      </w:pPr>
      <w:bookmarkStart w:id="659" w:name="_ENREF_516"/>
      <w:r w:rsidRPr="00750C8B">
        <w:t xml:space="preserve">Zhang, F &amp; Fu, YH 2004, ‘The occurrence and preventative of </w:t>
      </w:r>
      <w:r w:rsidRPr="00750C8B">
        <w:rPr>
          <w:i/>
        </w:rPr>
        <w:t>Tetranychus piercei</w:t>
      </w:r>
      <w:r w:rsidRPr="00750C8B">
        <w:t xml:space="preserve"> McGregor in Hainan’ (in Chinese), </w:t>
      </w:r>
      <w:r w:rsidRPr="00750C8B">
        <w:rPr>
          <w:i/>
        </w:rPr>
        <w:t>South China Fruits</w:t>
      </w:r>
      <w:r w:rsidRPr="00750C8B">
        <w:t>, vol. 6, pp. 44-7.</w:t>
      </w:r>
      <w:bookmarkEnd w:id="659"/>
    </w:p>
    <w:p w:rsidR="00B8782D" w:rsidRPr="00750C8B" w:rsidRDefault="00B8782D" w:rsidP="00750C8B">
      <w:pPr>
        <w:pStyle w:val="EndNoteBibliography"/>
        <w:spacing w:after="0"/>
      </w:pPr>
      <w:bookmarkStart w:id="660" w:name="_ENREF_517"/>
      <w:r w:rsidRPr="00750C8B">
        <w:t>Zhang, L 2009, ‘Biodiversity study on aphids in the Forestry Park in Hebei’, Masters, Hebei Agricultural University.</w:t>
      </w:r>
      <w:bookmarkEnd w:id="660"/>
    </w:p>
    <w:p w:rsidR="00B8782D" w:rsidRPr="00750C8B" w:rsidRDefault="00B8782D" w:rsidP="00750C8B">
      <w:pPr>
        <w:pStyle w:val="EndNoteBibliography"/>
        <w:spacing w:after="0"/>
      </w:pPr>
      <w:bookmarkStart w:id="661" w:name="_ENREF_518"/>
      <w:r w:rsidRPr="00750C8B">
        <w:t xml:space="preserve">Zhang, L, French, R &amp; Langenberg, WG 1993, ‘Molecular cloning and sequencing of the coat protein gene of a Nebraskan isolate of </w:t>
      </w:r>
      <w:r w:rsidRPr="00750C8B">
        <w:rPr>
          <w:i/>
        </w:rPr>
        <w:t>Tobacco necrosis virus:</w:t>
      </w:r>
      <w:r w:rsidRPr="00750C8B">
        <w:t xml:space="preserve"> the deduced coat protein sequence has only moderate homology with those of strain A and strain D’, </w:t>
      </w:r>
      <w:r w:rsidRPr="00750C8B">
        <w:rPr>
          <w:i/>
        </w:rPr>
        <w:t>Archives of Virology</w:t>
      </w:r>
      <w:r w:rsidRPr="00750C8B">
        <w:t>, vol. 132, pp. 291-305.</w:t>
      </w:r>
      <w:bookmarkEnd w:id="661"/>
    </w:p>
    <w:p w:rsidR="00B8782D" w:rsidRPr="00750C8B" w:rsidRDefault="00B8782D" w:rsidP="00750C8B">
      <w:pPr>
        <w:pStyle w:val="EndNoteBibliography"/>
        <w:spacing w:after="0"/>
      </w:pPr>
      <w:bookmarkStart w:id="662" w:name="_ENREF_519"/>
      <w:r w:rsidRPr="00750C8B">
        <w:t xml:space="preserve">Zhang, LM, Liao, QY, Huang, J, Luo, XN &amp; Huang, BK 1995, ‘New pests of plum and peach’ (in Chinese), </w:t>
      </w:r>
      <w:r w:rsidRPr="00750C8B">
        <w:rPr>
          <w:i/>
        </w:rPr>
        <w:t>Entomological Journal of East China</w:t>
      </w:r>
      <w:r w:rsidRPr="00750C8B">
        <w:t>, vol. 4, no. 1, pp. 110-1.</w:t>
      </w:r>
      <w:bookmarkEnd w:id="662"/>
    </w:p>
    <w:p w:rsidR="00B8782D" w:rsidRPr="00750C8B" w:rsidRDefault="00B8782D" w:rsidP="00750C8B">
      <w:pPr>
        <w:pStyle w:val="EndNoteBibliography"/>
        <w:spacing w:after="0"/>
      </w:pPr>
      <w:bookmarkStart w:id="663" w:name="_ENREF_520"/>
      <w:r w:rsidRPr="00750C8B">
        <w:t xml:space="preserve">Zhang, LN 2008, ‘Biology and Pest Management of Spider Mites’, </w:t>
      </w:r>
      <w:r w:rsidRPr="00750C8B">
        <w:rPr>
          <w:i/>
        </w:rPr>
        <w:t>Northern Territory Government Factsheet</w:t>
      </w:r>
      <w:r w:rsidRPr="00750C8B">
        <w:t>, vol. ENT4, pp. 1-3.</w:t>
      </w:r>
      <w:bookmarkEnd w:id="663"/>
    </w:p>
    <w:p w:rsidR="00B8782D" w:rsidRPr="00750C8B" w:rsidRDefault="00B8782D" w:rsidP="00750C8B">
      <w:pPr>
        <w:pStyle w:val="EndNoteBibliography"/>
        <w:spacing w:after="0"/>
      </w:pPr>
      <w:bookmarkStart w:id="664" w:name="_ENREF_521"/>
      <w:r w:rsidRPr="00750C8B">
        <w:t>Zhang, Y &amp; Wu, S 2007, ‘</w:t>
      </w:r>
      <w:r w:rsidRPr="00750C8B">
        <w:rPr>
          <w:i/>
        </w:rPr>
        <w:t>Metaphycus annasor</w:t>
      </w:r>
      <w:r w:rsidRPr="00750C8B">
        <w:t xml:space="preserve"> (Hymenoptera: Encyrtidae), an important parasitoid of </w:t>
      </w:r>
      <w:r w:rsidRPr="00750C8B">
        <w:rPr>
          <w:i/>
        </w:rPr>
        <w:t>Pulvinaria vitis</w:t>
      </w:r>
      <w:r w:rsidRPr="00750C8B">
        <w:t xml:space="preserve">’, </w:t>
      </w:r>
      <w:r w:rsidRPr="00750C8B">
        <w:rPr>
          <w:i/>
        </w:rPr>
        <w:t>Entomotaxonomia</w:t>
      </w:r>
      <w:r w:rsidRPr="00750C8B">
        <w:t>, vol. 29, no. 4, pp. 318-20.</w:t>
      </w:r>
      <w:bookmarkEnd w:id="664"/>
    </w:p>
    <w:p w:rsidR="00B8782D" w:rsidRPr="00750C8B" w:rsidRDefault="00B8782D" w:rsidP="00750C8B">
      <w:pPr>
        <w:pStyle w:val="EndNoteBibliography"/>
        <w:spacing w:after="0"/>
      </w:pPr>
      <w:bookmarkStart w:id="665" w:name="_ENREF_522"/>
      <w:r w:rsidRPr="00750C8B">
        <w:t xml:space="preserve">Zhang, YP 2005, </w:t>
      </w:r>
      <w:r w:rsidRPr="00750C8B">
        <w:rPr>
          <w:i/>
        </w:rPr>
        <w:t>Identification and control of pests and diseases of table grape (with colour plates)</w:t>
      </w:r>
      <w:r w:rsidRPr="00750C8B">
        <w:t>, Jindun, Beijing.</w:t>
      </w:r>
      <w:bookmarkEnd w:id="665"/>
    </w:p>
    <w:p w:rsidR="00B8782D" w:rsidRPr="00750C8B" w:rsidRDefault="00B8782D" w:rsidP="00750C8B">
      <w:pPr>
        <w:pStyle w:val="EndNoteBibliography"/>
        <w:spacing w:after="0"/>
      </w:pPr>
      <w:bookmarkStart w:id="666" w:name="_ENREF_523"/>
      <w:r w:rsidRPr="00750C8B">
        <w:t xml:space="preserve">Zhang, YW &amp; Qi, SY 2013, ‘Occurrence of </w:t>
      </w:r>
      <w:r w:rsidRPr="00750C8B">
        <w:rPr>
          <w:i/>
        </w:rPr>
        <w:t xml:space="preserve">Spilonota albicarla </w:t>
      </w:r>
      <w:r w:rsidRPr="00750C8B">
        <w:t>[=</w:t>
      </w:r>
      <w:r w:rsidRPr="00750C8B">
        <w:rPr>
          <w:i/>
        </w:rPr>
        <w:t>albicana</w:t>
      </w:r>
      <w:r w:rsidRPr="00750C8B">
        <w:t xml:space="preserve">] and its preventative and control measures’, </w:t>
      </w:r>
      <w:r w:rsidRPr="00750C8B">
        <w:rPr>
          <w:i/>
        </w:rPr>
        <w:t>Qinghai Agro-Technology Extension</w:t>
      </w:r>
      <w:r w:rsidRPr="00750C8B">
        <w:t>, vol. 4, pp. 23-4.</w:t>
      </w:r>
      <w:bookmarkEnd w:id="666"/>
    </w:p>
    <w:p w:rsidR="00B8782D" w:rsidRPr="00750C8B" w:rsidRDefault="00B8782D" w:rsidP="00750C8B">
      <w:pPr>
        <w:pStyle w:val="EndNoteBibliography"/>
        <w:spacing w:after="0"/>
      </w:pPr>
      <w:bookmarkStart w:id="667" w:name="_ENREF_524"/>
      <w:r w:rsidRPr="00750C8B">
        <w:t xml:space="preserve">Zhang, ZQ 2003, </w:t>
      </w:r>
      <w:r w:rsidRPr="00750C8B">
        <w:rPr>
          <w:i/>
        </w:rPr>
        <w:t>Mites of greenhouses: identification, biology and control</w:t>
      </w:r>
      <w:r w:rsidRPr="00750C8B">
        <w:t>, CABI Publishing, Wallingford, U.K.</w:t>
      </w:r>
      <w:bookmarkEnd w:id="667"/>
    </w:p>
    <w:p w:rsidR="00B8782D" w:rsidRPr="00750C8B" w:rsidRDefault="00B8782D" w:rsidP="00750C8B">
      <w:pPr>
        <w:pStyle w:val="EndNoteBibliography"/>
        <w:spacing w:after="0"/>
      </w:pPr>
      <w:bookmarkStart w:id="668" w:name="_ENREF_525"/>
      <w:r w:rsidRPr="00750C8B">
        <w:t xml:space="preserve">Zhao, JD &amp; Zhang, XQ 1992, </w:t>
      </w:r>
      <w:r w:rsidRPr="00750C8B">
        <w:rPr>
          <w:i/>
        </w:rPr>
        <w:t>The polypores of China</w:t>
      </w:r>
      <w:r w:rsidRPr="00750C8B">
        <w:t>, J Cramer in der Gebrüder Borntraeger Verlagsbuchhandlung, Berlin, Germany.</w:t>
      </w:r>
      <w:bookmarkEnd w:id="668"/>
    </w:p>
    <w:p w:rsidR="00B8782D" w:rsidRPr="00750C8B" w:rsidRDefault="00B8782D" w:rsidP="00750C8B">
      <w:pPr>
        <w:pStyle w:val="EndNoteBibliography"/>
        <w:spacing w:after="0"/>
      </w:pPr>
      <w:bookmarkStart w:id="669" w:name="_ENREF_526"/>
      <w:r w:rsidRPr="00750C8B">
        <w:t xml:space="preserve">Zhao, Y &amp; Niu, J 2008a, ‘Apricot is a new host of </w:t>
      </w:r>
      <w:r w:rsidRPr="00750C8B">
        <w:rPr>
          <w:i/>
        </w:rPr>
        <w:t>Apple scar skin viroid</w:t>
      </w:r>
      <w:r w:rsidRPr="00750C8B">
        <w:t xml:space="preserve">’, </w:t>
      </w:r>
      <w:r w:rsidRPr="00750C8B">
        <w:rPr>
          <w:i/>
        </w:rPr>
        <w:t>Australasian Plant Disease Notes</w:t>
      </w:r>
      <w:r w:rsidRPr="00750C8B">
        <w:t>, vol. 3, pp. 98-100.</w:t>
      </w:r>
      <w:bookmarkEnd w:id="669"/>
    </w:p>
    <w:p w:rsidR="00B8782D" w:rsidRPr="00750C8B" w:rsidRDefault="00B8782D" w:rsidP="00750C8B">
      <w:pPr>
        <w:pStyle w:val="EndNoteBibliography"/>
        <w:spacing w:after="0"/>
      </w:pPr>
      <w:bookmarkStart w:id="670" w:name="_ENREF_527"/>
      <w:r w:rsidRPr="00750C8B">
        <w:t xml:space="preserve">Zhao, Y &amp; Niu, JX 2008b, ‘Detection and sequencing of </w:t>
      </w:r>
      <w:r w:rsidRPr="00750C8B">
        <w:rPr>
          <w:i/>
        </w:rPr>
        <w:t>Apple scar skin viroid</w:t>
      </w:r>
      <w:r w:rsidRPr="00750C8B">
        <w:t xml:space="preserve"> from peach in Xinjiang’ (in Chinese), </w:t>
      </w:r>
      <w:r w:rsidRPr="00750C8B">
        <w:rPr>
          <w:i/>
        </w:rPr>
        <w:t>Journal of Fruit Science</w:t>
      </w:r>
      <w:r w:rsidRPr="00750C8B">
        <w:t>, vol. 25, pp. 274-6.</w:t>
      </w:r>
      <w:bookmarkEnd w:id="670"/>
    </w:p>
    <w:p w:rsidR="00B8782D" w:rsidRPr="00750C8B" w:rsidRDefault="00B8782D" w:rsidP="00750C8B">
      <w:pPr>
        <w:pStyle w:val="EndNoteBibliography"/>
        <w:spacing w:after="0"/>
      </w:pPr>
      <w:bookmarkStart w:id="671" w:name="_ENREF_528"/>
      <w:r w:rsidRPr="00750C8B">
        <w:t xml:space="preserve">Zhou, CG, Zhang, WG, Qiao, LQ, Sun, XG &amp; Wang, ZY 2006a, ‘The biological characteristics, effective accumulate temperature and occurrence regulation of </w:t>
      </w:r>
      <w:r w:rsidRPr="00750C8B">
        <w:rPr>
          <w:i/>
        </w:rPr>
        <w:t>Eutetranychus orientalis</w:t>
      </w:r>
      <w:r w:rsidRPr="00750C8B">
        <w:t xml:space="preserve">’ (in Chinese), </w:t>
      </w:r>
      <w:r w:rsidRPr="00750C8B">
        <w:rPr>
          <w:i/>
        </w:rPr>
        <w:t>Scientia Silvae Sinicae</w:t>
      </w:r>
      <w:r w:rsidRPr="00750C8B">
        <w:t>, vol. 42, no. 5, pp. 89-93.</w:t>
      </w:r>
      <w:bookmarkEnd w:id="671"/>
    </w:p>
    <w:p w:rsidR="00B8782D" w:rsidRPr="00750C8B" w:rsidRDefault="00B8782D" w:rsidP="00750C8B">
      <w:pPr>
        <w:pStyle w:val="EndNoteBibliography"/>
        <w:spacing w:after="0"/>
      </w:pPr>
      <w:bookmarkStart w:id="672" w:name="_ENREF_529"/>
      <w:r w:rsidRPr="00750C8B">
        <w:t xml:space="preserve">Zhou, J, F,, Wang, GP, Kuang, RF, Wang, LP &amp; Hong, N 2011, ‘First report of </w:t>
      </w:r>
      <w:r w:rsidRPr="00750C8B">
        <w:rPr>
          <w:i/>
        </w:rPr>
        <w:t xml:space="preserve">Cherry green ring mottle virus </w:t>
      </w:r>
      <w:r w:rsidRPr="00750C8B">
        <w:t xml:space="preserve">on cherry and peach grown in China’, </w:t>
      </w:r>
      <w:r w:rsidRPr="00750C8B">
        <w:rPr>
          <w:i/>
        </w:rPr>
        <w:t>Plant Disease</w:t>
      </w:r>
      <w:r w:rsidRPr="00750C8B">
        <w:t>, vol. 95, no. 10, p. 1319.</w:t>
      </w:r>
      <w:bookmarkEnd w:id="672"/>
    </w:p>
    <w:p w:rsidR="00B8782D" w:rsidRPr="00750C8B" w:rsidRDefault="00B8782D" w:rsidP="00750C8B">
      <w:pPr>
        <w:pStyle w:val="EndNoteBibliography"/>
        <w:spacing w:after="0"/>
      </w:pPr>
      <w:bookmarkStart w:id="673" w:name="_ENREF_530"/>
      <w:r w:rsidRPr="00750C8B">
        <w:t xml:space="preserve">Zhou, JF, Wang, GP, Qu, LN, Deng, CL, Wang, Y &amp; Wang, LP 2013, ‘First report of </w:t>
      </w:r>
      <w:r w:rsidRPr="00750C8B">
        <w:rPr>
          <w:i/>
        </w:rPr>
        <w:t xml:space="preserve">Cherry necrotic rusty mottle virus </w:t>
      </w:r>
      <w:r w:rsidRPr="00750C8B">
        <w:t xml:space="preserve">on stone fruit trees in China’, </w:t>
      </w:r>
      <w:r w:rsidRPr="00750C8B">
        <w:rPr>
          <w:i/>
        </w:rPr>
        <w:t>Plant Disease</w:t>
      </w:r>
      <w:r w:rsidRPr="00750C8B">
        <w:t>, vol. 97, no. 2, p. 290.</w:t>
      </w:r>
      <w:bookmarkEnd w:id="673"/>
    </w:p>
    <w:p w:rsidR="00B8782D" w:rsidRPr="00750C8B" w:rsidRDefault="00B8782D" w:rsidP="00750C8B">
      <w:pPr>
        <w:pStyle w:val="EndNoteBibliography"/>
        <w:spacing w:after="0"/>
        <w:rPr>
          <w:rFonts w:ascii="Segoe UI" w:hAnsi="Segoe UI" w:cs="Segoe UI"/>
        </w:rPr>
      </w:pPr>
      <w:bookmarkStart w:id="674" w:name="_ENREF_531"/>
      <w:r w:rsidRPr="00750C8B">
        <w:t xml:space="preserve">Zhou, Y, Guo, R, Cheng, Z, Sano, T &amp; Li, S 2006b, ‘First report of </w:t>
      </w:r>
      <w:r w:rsidRPr="00750C8B">
        <w:rPr>
          <w:i/>
        </w:rPr>
        <w:t>Hop stunt viroid</w:t>
      </w:r>
      <w:r w:rsidRPr="00750C8B">
        <w:t xml:space="preserve"> from peach (</w:t>
      </w:r>
      <w:r w:rsidRPr="00750C8B">
        <w:rPr>
          <w:i/>
        </w:rPr>
        <w:t>Prunus persica</w:t>
      </w:r>
      <w:r w:rsidRPr="00750C8B">
        <w:t xml:space="preserve">) with dapple fruit symptoms in China’, </w:t>
      </w:r>
      <w:r w:rsidRPr="00750C8B">
        <w:rPr>
          <w:i/>
        </w:rPr>
        <w:t>New Disease Reports</w:t>
      </w:r>
      <w:r w:rsidRPr="00750C8B">
        <w:rPr>
          <w:rFonts w:ascii="Segoe UI" w:hAnsi="Segoe UI" w:cs="Segoe UI"/>
        </w:rPr>
        <w:t xml:space="preserve">, </w:t>
      </w:r>
      <w:r w:rsidRPr="00B8782D">
        <w:t>available at http://www.bspp.org.uk/ndr/jan2006/2006-06.asp.</w:t>
      </w:r>
      <w:bookmarkEnd w:id="674"/>
    </w:p>
    <w:p w:rsidR="00B8782D" w:rsidRPr="00750C8B" w:rsidRDefault="00B8782D" w:rsidP="00750C8B">
      <w:pPr>
        <w:pStyle w:val="EndNoteBibliography"/>
        <w:spacing w:after="0"/>
      </w:pPr>
      <w:bookmarkStart w:id="675" w:name="_ENREF_532"/>
      <w:r w:rsidRPr="00750C8B">
        <w:t xml:space="preserve">Zhou, Y, Li, S, Cheng, Z, Zhao, J &amp; Jiang, Q 2006c, ‘Detection and sequence analysis of </w:t>
      </w:r>
      <w:r w:rsidRPr="00750C8B">
        <w:rPr>
          <w:i/>
        </w:rPr>
        <w:t>Hop stunt viroid</w:t>
      </w:r>
      <w:r w:rsidRPr="00750C8B">
        <w:t xml:space="preserve"> isolated from peach in China’ (in Chinese), </w:t>
      </w:r>
      <w:r w:rsidRPr="00750C8B">
        <w:rPr>
          <w:i/>
        </w:rPr>
        <w:t>Acta Phytopathologica Sinica</w:t>
      </w:r>
      <w:r w:rsidRPr="00750C8B">
        <w:t>, vol. 36, no. 6, pp. 501-7.</w:t>
      </w:r>
      <w:bookmarkEnd w:id="675"/>
    </w:p>
    <w:p w:rsidR="00B8782D" w:rsidRPr="00750C8B" w:rsidRDefault="00B8782D" w:rsidP="00750C8B">
      <w:pPr>
        <w:pStyle w:val="EndNoteBibliography"/>
        <w:spacing w:after="0"/>
      </w:pPr>
      <w:bookmarkStart w:id="676" w:name="_ENREF_533"/>
      <w:r w:rsidRPr="00750C8B">
        <w:lastRenderedPageBreak/>
        <w:t xml:space="preserve">Zhou, YY, Ruan, XF, Wu, CL &amp; Zhang, QZ 1996, ‘First report of sweet cherry viruses in China’, </w:t>
      </w:r>
      <w:r w:rsidRPr="00750C8B">
        <w:rPr>
          <w:i/>
        </w:rPr>
        <w:t>Plant Disease</w:t>
      </w:r>
      <w:r w:rsidRPr="00750C8B">
        <w:t>, vol. December, p. 1429.</w:t>
      </w:r>
      <w:bookmarkEnd w:id="676"/>
    </w:p>
    <w:p w:rsidR="00B8782D" w:rsidRPr="00750C8B" w:rsidRDefault="00B8782D" w:rsidP="00750C8B">
      <w:pPr>
        <w:pStyle w:val="EndNoteBibliography"/>
        <w:spacing w:after="0"/>
      </w:pPr>
      <w:bookmarkStart w:id="677" w:name="_ENREF_534"/>
      <w:r w:rsidRPr="00750C8B">
        <w:t xml:space="preserve">Zhou, ZS &amp; Deng, GR 2005, ‘Preliminary study on the host plants of leaf rollers on longan and litchi’, </w:t>
      </w:r>
      <w:r w:rsidRPr="00750C8B">
        <w:rPr>
          <w:i/>
        </w:rPr>
        <w:t>Chinese Bulletin of Entomology</w:t>
      </w:r>
      <w:r w:rsidRPr="00750C8B">
        <w:t>, vol. 42, no. 6, pp. 639-42.</w:t>
      </w:r>
      <w:bookmarkEnd w:id="677"/>
    </w:p>
    <w:p w:rsidR="00B8782D" w:rsidRPr="00750C8B" w:rsidRDefault="00B8782D" w:rsidP="00750C8B">
      <w:pPr>
        <w:pStyle w:val="EndNoteBibliography"/>
        <w:spacing w:after="0"/>
      </w:pPr>
      <w:bookmarkStart w:id="678" w:name="_ENREF_535"/>
      <w:r w:rsidRPr="00750C8B">
        <w:t xml:space="preserve">Zhu, JQ, Guo, MM &amp; Zhang, AL 1985, ‘Studies on the bionomics and control of </w:t>
      </w:r>
      <w:r w:rsidRPr="00750C8B">
        <w:rPr>
          <w:i/>
        </w:rPr>
        <w:t>Culcula Panterinaria</w:t>
      </w:r>
      <w:r w:rsidRPr="00750C8B">
        <w:t xml:space="preserve"> Bremer et Grey’, </w:t>
      </w:r>
      <w:r w:rsidRPr="00750C8B">
        <w:rPr>
          <w:i/>
        </w:rPr>
        <w:t>Journal of Tea Science</w:t>
      </w:r>
      <w:r w:rsidRPr="00750C8B">
        <w:t>, vol. 1985, no. 1, pp. 1-2.</w:t>
      </w:r>
      <w:bookmarkEnd w:id="678"/>
    </w:p>
    <w:p w:rsidR="00B8782D" w:rsidRPr="00750C8B" w:rsidRDefault="00B8782D" w:rsidP="00750C8B">
      <w:pPr>
        <w:pStyle w:val="EndNoteBibliography"/>
        <w:spacing w:after="0"/>
      </w:pPr>
      <w:bookmarkStart w:id="679" w:name="_ENREF_536"/>
      <w:r w:rsidRPr="00750C8B">
        <w:t xml:space="preserve">Zhu, XQ, Chen, XY &amp; Guo, LY 2011, ‘Population structure of brown rot fungi on stone fruits in China’, </w:t>
      </w:r>
      <w:r w:rsidRPr="00750C8B">
        <w:rPr>
          <w:i/>
        </w:rPr>
        <w:t>Plant Disease</w:t>
      </w:r>
      <w:r w:rsidRPr="00750C8B">
        <w:t>, vol. 95, no. 10, pp. 1284-91.</w:t>
      </w:r>
      <w:bookmarkEnd w:id="679"/>
    </w:p>
    <w:p w:rsidR="00B8782D" w:rsidRPr="00750C8B" w:rsidRDefault="00B8782D" w:rsidP="00750C8B">
      <w:pPr>
        <w:pStyle w:val="EndNoteBibliography"/>
        <w:spacing w:after="0"/>
      </w:pPr>
      <w:bookmarkStart w:id="680" w:name="_ENREF_537"/>
      <w:r w:rsidRPr="00750C8B">
        <w:t xml:space="preserve">Zhu, XQ &amp; Guo, LY 2010, ‘First report of brown rot on plum caused by </w:t>
      </w:r>
      <w:r w:rsidRPr="00750C8B">
        <w:rPr>
          <w:i/>
        </w:rPr>
        <w:t>Monilia polystroma</w:t>
      </w:r>
      <w:r w:rsidRPr="00750C8B">
        <w:t xml:space="preserve"> in China’, </w:t>
      </w:r>
      <w:r w:rsidRPr="00750C8B">
        <w:rPr>
          <w:i/>
        </w:rPr>
        <w:t>Plant Disease</w:t>
      </w:r>
      <w:r w:rsidRPr="00750C8B">
        <w:t>, vol. 94, p. 478.</w:t>
      </w:r>
      <w:bookmarkEnd w:id="680"/>
    </w:p>
    <w:p w:rsidR="00B8782D" w:rsidRPr="00750C8B" w:rsidRDefault="00B8782D" w:rsidP="00750C8B">
      <w:pPr>
        <w:pStyle w:val="EndNoteBibliography"/>
        <w:spacing w:after="0"/>
      </w:pPr>
      <w:bookmarkStart w:id="681" w:name="_ENREF_538"/>
      <w:r w:rsidRPr="00750C8B">
        <w:t xml:space="preserve">Zhuang, WY 2005, </w:t>
      </w:r>
      <w:r w:rsidRPr="00750C8B">
        <w:rPr>
          <w:i/>
        </w:rPr>
        <w:t>Fungi of Northwestern China</w:t>
      </w:r>
      <w:r w:rsidRPr="00750C8B">
        <w:t>, Mycotaxon Limited, Ithaca, New York.</w:t>
      </w:r>
      <w:bookmarkEnd w:id="681"/>
    </w:p>
    <w:p w:rsidR="009947A7" w:rsidRDefault="00B8782D" w:rsidP="00B8782D">
      <w:pPr>
        <w:pStyle w:val="EndNoteBibliography"/>
      </w:pPr>
      <w:bookmarkStart w:id="682" w:name="_ENREF_539"/>
      <w:r w:rsidRPr="00750C8B">
        <w:t xml:space="preserve">Zitikaite, I &amp; Staniulis, J 2009, ‘Isolation and characterization of </w:t>
      </w:r>
      <w:r w:rsidRPr="00750C8B">
        <w:rPr>
          <w:i/>
        </w:rPr>
        <w:t>Tobacco necrosis virus</w:t>
      </w:r>
      <w:r w:rsidRPr="00750C8B">
        <w:t xml:space="preserve"> detected on some vegetable species’, </w:t>
      </w:r>
      <w:r w:rsidRPr="00750C8B">
        <w:rPr>
          <w:i/>
        </w:rPr>
        <w:t>Biologija</w:t>
      </w:r>
      <w:r w:rsidRPr="00750C8B">
        <w:t>, vol. 55, pp. 35-9.</w:t>
      </w:r>
      <w:bookmarkEnd w:id="682"/>
    </w:p>
    <w:sectPr w:rsidR="009947A7" w:rsidSect="007D0B7F">
      <w:headerReference w:type="default" r:id="rId7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A0C11">
      <w:pPr>
        <w:spacing w:before="0" w:after="0" w:line="240" w:lineRule="auto"/>
      </w:pPr>
      <w:r>
        <w:separator/>
      </w:r>
    </w:p>
  </w:endnote>
  <w:endnote w:type="continuationSeparator" w:id="0">
    <w:p w:rsidR="00000000" w:rsidRDefault="00EA0C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EA0C11">
    <w:pPr>
      <w:pStyle w:val="Footer"/>
      <w:tabs>
        <w:tab w:val="clear" w:pos="4536"/>
        <w:tab w:val="center" w:pos="9072"/>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44" w:rsidRPr="00040F44" w:rsidRDefault="00EA0C11" w:rsidP="00040F44">
    <w:pPr>
      <w:pStyle w:val="Foote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44" w:rsidRDefault="00457D54" w:rsidP="00040F44">
    <w:pPr>
      <w:pStyle w:val="Footer"/>
      <w:jc w:val="left"/>
    </w:pPr>
    <w:r>
      <w:t xml:space="preserve">Australian Government Department of Agriculture and Water Resources </w:t>
    </w:r>
    <w:r>
      <w:tab/>
    </w:r>
    <w:r>
      <w:tab/>
    </w:r>
    <w:r>
      <w:tab/>
    </w:r>
    <w:r>
      <w:tab/>
    </w:r>
    <w:sdt>
      <w:sdtPr>
        <w:id w:val="13374942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A0C11">
          <w:rPr>
            <w:noProof/>
          </w:rPr>
          <w:t>x</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Footer"/>
      <w:tabs>
        <w:tab w:val="clear" w:pos="4536"/>
        <w:tab w:val="center" w:pos="9072"/>
      </w:tabs>
      <w:jc w:val="left"/>
    </w:pPr>
    <w:r>
      <w:t>Australian Government Department of Agriculture and Water Resources</w:t>
    </w:r>
    <w:r>
      <w:tab/>
    </w:r>
    <w:r>
      <w:fldChar w:fldCharType="begin"/>
    </w:r>
    <w:r>
      <w:instrText xml:space="preserve"> PAGE   \* MERGEFORMAT </w:instrText>
    </w:r>
    <w:r>
      <w:fldChar w:fldCharType="separate"/>
    </w:r>
    <w:r w:rsidR="00EA0C11">
      <w:rPr>
        <w:noProof/>
      </w:rPr>
      <w:t>93</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Footer"/>
      <w:tabs>
        <w:tab w:val="clear" w:pos="4536"/>
        <w:tab w:val="left" w:pos="14034"/>
      </w:tabs>
      <w:spacing w:before="120"/>
      <w:jc w:val="left"/>
    </w:pPr>
    <w:r>
      <w:t xml:space="preserve">Australian Government Department of Agriculture and Water Resources                                                                                                                                                                            </w:t>
    </w:r>
    <w:r>
      <w:fldChar w:fldCharType="begin"/>
    </w:r>
    <w:r>
      <w:instrText xml:space="preserve"> PAGE   \* MERGEFORMAT </w:instrText>
    </w:r>
    <w:r>
      <w:fldChar w:fldCharType="separate"/>
    </w:r>
    <w:r w:rsidR="00EA0C11">
      <w:rPr>
        <w:noProof/>
      </w:rPr>
      <w:t>99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Footer"/>
      <w:tabs>
        <w:tab w:val="clear" w:pos="4536"/>
        <w:tab w:val="right" w:pos="907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EA0C11">
      <w:rPr>
        <w:noProof/>
      </w:rPr>
      <w:t>118</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Footer"/>
      <w:tabs>
        <w:tab w:val="left" w:pos="14034"/>
      </w:tabs>
      <w:jc w:val="left"/>
    </w:pPr>
    <w:r>
      <w:t xml:space="preserve">Australian Government Department of Agriculture and Water Resources                                                                                                                                                                             </w:t>
    </w:r>
    <w:r>
      <w:fldChar w:fldCharType="begin"/>
    </w:r>
    <w:r>
      <w:instrText xml:space="preserve"> PAGE   \* MERGEFORMAT </w:instrText>
    </w:r>
    <w:r>
      <w:fldChar w:fldCharType="separate"/>
    </w:r>
    <w:r w:rsidR="00EA0C11">
      <w:rPr>
        <w:noProof/>
      </w:rPr>
      <w:t>246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Footer"/>
      <w:tabs>
        <w:tab w:val="clear" w:pos="4536"/>
        <w:tab w:val="left" w:pos="8505"/>
        <w:tab w:val="left" w:pos="14034"/>
      </w:tabs>
      <w:jc w:val="left"/>
    </w:pPr>
    <w:r>
      <w:t>Australian Government Department of Agriculture and Water Resources</w:t>
    </w:r>
    <w:r>
      <w:tab/>
    </w:r>
    <w:r>
      <w:fldChar w:fldCharType="begin"/>
    </w:r>
    <w:r>
      <w:instrText xml:space="preserve"> PAGE   \* MERGEFORMAT </w:instrText>
    </w:r>
    <w:r>
      <w:fldChar w:fldCharType="separate"/>
    </w:r>
    <w:r w:rsidR="00EA0C11">
      <w:rPr>
        <w:noProof/>
      </w:rPr>
      <w:t>281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A0C11">
      <w:pPr>
        <w:spacing w:before="0" w:after="0" w:line="240" w:lineRule="auto"/>
      </w:pPr>
      <w:r>
        <w:separator/>
      </w:r>
    </w:p>
  </w:footnote>
  <w:footnote w:type="continuationSeparator" w:id="0">
    <w:p w:rsidR="00000000" w:rsidRDefault="00EA0C1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s>
      <w:jc w:val="left"/>
    </w:pPr>
    <w:r>
      <w:rPr>
        <w:noProof/>
        <w:lang w:eastAsia="zh-CN"/>
      </w:rPr>
      <w:drawing>
        <wp:inline distT="0" distB="0" distL="0" distR="0" wp14:anchorId="33DEC063" wp14:editId="038769D0">
          <wp:extent cx="2513330" cy="800297"/>
          <wp:effectExtent l="19050" t="0" r="1270" b="0"/>
          <wp:docPr id="18" name="Picture 1" descr="C:\Users\villinger vera\AppData\Local\Microsoft\Windows\Temporary Internet Files\Content.Word\Master%20Brandmark%20Inline%20-%20TIF[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linger vera\AppData\Local\Microsoft\Windows\Temporary Internet Files\Content.Word\Master%20Brandmark%20Inline%20-%20TIF[1].tiff"/>
                  <pic:cNvPicPr>
                    <a:picLocks noChangeAspect="1" noChangeArrowheads="1"/>
                  </pic:cNvPicPr>
                </pic:nvPicPr>
                <pic:blipFill>
                  <a:blip r:embed="rId1"/>
                  <a:stretch>
                    <a:fillRect/>
                  </a:stretch>
                </pic:blipFill>
                <pic:spPr bwMode="auto">
                  <a:xfrm>
                    <a:off x="0" y="0"/>
                    <a:ext cx="2513949" cy="800494"/>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s>
      <w:jc w:val="left"/>
    </w:pPr>
    <w:r>
      <w:t>Final report for Chinese nectarines</w:t>
    </w:r>
    <w:r>
      <w:rPr>
        <w:color w:val="FF0000"/>
      </w:rPr>
      <w:tab/>
    </w:r>
    <w:r>
      <w:t>Commercial production practices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s>
      <w:jc w:val="left"/>
    </w:pPr>
    <w:r>
      <w:t>Final report for Chinese nectarines</w:t>
    </w:r>
    <w:r>
      <w:tab/>
      <w:t>Commercial production practices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s>
      <w:jc w:val="left"/>
    </w:pPr>
    <w:r>
      <w:t>Final report for Chinese nectarines</w:t>
    </w:r>
    <w:r>
      <w:tab/>
      <w:t>Pest risk assessments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s>
      <w:jc w:val="left"/>
    </w:pPr>
    <w:r>
      <w:t>Final report for Chinese nectarines</w:t>
    </w:r>
    <w:r>
      <w:tab/>
      <w:t>Pest risk assessments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s>
      <w:jc w:val="left"/>
    </w:pPr>
    <w:r>
      <w:t>Final report for Chinese nectarines</w:t>
    </w:r>
    <w:r>
      <w:tab/>
      <w:t>Pest risk assessments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13041"/>
      </w:tabs>
      <w:jc w:val="left"/>
    </w:pPr>
    <w:r>
      <w:t>Final report for Chinese nectarines</w:t>
    </w:r>
    <w:r>
      <w:tab/>
      <w:t>Pest risk assessments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 w:val="center" w:pos="13041"/>
      </w:tabs>
      <w:jc w:val="left"/>
    </w:pPr>
    <w:r>
      <w:t>Final report for Chinese nectarines</w:t>
    </w:r>
    <w:r>
      <w:tab/>
      <w:t>Pest risk management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 w:val="center" w:pos="13041"/>
      </w:tabs>
      <w:jc w:val="left"/>
    </w:pPr>
    <w:r>
      <w:t>Final report for Chinese nectarines</w:t>
    </w:r>
    <w:r>
      <w:tab/>
      <w:t>Conclusion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13041"/>
      </w:tabs>
      <w:jc w:val="left"/>
    </w:pPr>
    <w:r>
      <w:t>Final report for Chinese nectarines</w:t>
    </w:r>
    <w:r>
      <w:tab/>
      <w:t>Appendix 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 w:val="center" w:pos="13041"/>
      </w:tabs>
      <w:jc w:val="left"/>
    </w:pPr>
    <w:r>
      <w:t>Final report for Chinese nectarines</w:t>
    </w:r>
    <w:r>
      <w:tab/>
      <w:t>Appendix 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EA0C11">
    <w:pPr>
      <w:pStyle w:val="Header"/>
      <w:tabs>
        <w:tab w:val="clear" w:pos="4820"/>
        <w:tab w:val="center" w:pos="8505"/>
      </w:tabs>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 w:val="center" w:pos="13041"/>
      </w:tabs>
      <w:jc w:val="left"/>
    </w:pPr>
    <w:r>
      <w:t>Final report for Chinese nectarines</w:t>
    </w:r>
    <w:r>
      <w:tab/>
      <w:t>Glossary</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 w:val="center" w:pos="13041"/>
      </w:tabs>
      <w:jc w:val="left"/>
    </w:pPr>
    <w:r>
      <w:t>Final report for Chinese nectarines</w:t>
    </w:r>
    <w:r>
      <w:tab/>
      <w:t>References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s>
      <w:jc w:val="left"/>
    </w:pPr>
    <w:r>
      <w:t>Final report for Chinese nectarines</w:t>
    </w:r>
    <w:r>
      <w:ta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s>
      <w:jc w:val="left"/>
    </w:pPr>
    <w:r>
      <w:t>Final report for Chinese nectarines</w:t>
    </w:r>
    <w:r>
      <w:tab/>
      <w:t>Maps of Australia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s>
      <w:jc w:val="left"/>
    </w:pPr>
    <w:r>
      <w:t>Final report for Chinese nectarines</w:t>
    </w:r>
    <w:r>
      <w:tab/>
      <w:t>Diagram of nectarine fruit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s>
      <w:jc w:val="left"/>
    </w:pPr>
    <w:r>
      <w:t>Final report for Chinese nectarines</w:t>
    </w:r>
    <w:r>
      <w:tab/>
      <w:t>Acronyms and abbreviations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s>
      <w:jc w:val="left"/>
    </w:pPr>
    <w:r>
      <w:t>Final report for Chinese nectarines</w:t>
    </w:r>
    <w:r>
      <w:tab/>
      <w:t>Summary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s>
      <w:jc w:val="left"/>
    </w:pPr>
    <w:r>
      <w:t>Final report for Chinese nectarines</w:t>
    </w:r>
    <w:r>
      <w:tab/>
      <w:t>Introduction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FFC" w:rsidRDefault="00457D54">
    <w:pPr>
      <w:pStyle w:val="Header"/>
      <w:tabs>
        <w:tab w:val="clear" w:pos="4820"/>
        <w:tab w:val="center" w:pos="8505"/>
      </w:tabs>
      <w:jc w:val="left"/>
    </w:pPr>
    <w:r>
      <w:t>Final report for Chinese nectarines</w:t>
    </w:r>
    <w:r>
      <w:tab/>
      <w:t>Method for pest risk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C8060042"/>
    <w:lvl w:ilvl="0">
      <w:start w:val="1"/>
      <w:numFmt w:val="lowerRoman"/>
      <w:pStyle w:val="ListNumber3"/>
      <w:lvlText w:val="%1)"/>
      <w:lvlJc w:val="left"/>
      <w:pPr>
        <w:tabs>
          <w:tab w:val="num" w:pos="926"/>
        </w:tabs>
        <w:ind w:left="926" w:hanging="360"/>
      </w:pPr>
      <w:rPr>
        <w:rFonts w:hint="default"/>
      </w:rPr>
    </w:lvl>
  </w:abstractNum>
  <w:abstractNum w:abstractNumId="1" w15:restartNumberingAfterBreak="0">
    <w:nsid w:val="FFFFFF83"/>
    <w:multiLevelType w:val="singleLevel"/>
    <w:tmpl w:val="7C621EC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F90D436"/>
    <w:lvl w:ilvl="0">
      <w:start w:val="1"/>
      <w:numFmt w:val="bullet"/>
      <w:pStyle w:val="ListBullet"/>
      <w:lvlText w:val=""/>
      <w:lvlJc w:val="left"/>
      <w:pPr>
        <w:tabs>
          <w:tab w:val="num" w:pos="360"/>
        </w:tabs>
        <w:ind w:left="360" w:hanging="360"/>
      </w:pPr>
      <w:rPr>
        <w:rFonts w:ascii="Symbol" w:hAnsi="Symbol" w:hint="default"/>
        <w:color w:val="auto"/>
        <w:sz w:val="22"/>
        <w:szCs w:val="22"/>
      </w:rPr>
    </w:lvl>
  </w:abstractNum>
  <w:abstractNum w:abstractNumId="3" w15:restartNumberingAfterBreak="0">
    <w:nsid w:val="02A350A0"/>
    <w:multiLevelType w:val="hybridMultilevel"/>
    <w:tmpl w:val="72164374"/>
    <w:lvl w:ilvl="0" w:tplc="8C16CA36">
      <w:numFmt w:val="bullet"/>
      <w:lvlText w:val="•"/>
      <w:lvlJc w:val="left"/>
      <w:pPr>
        <w:ind w:left="761" w:hanging="360"/>
      </w:pPr>
      <w:rPr>
        <w:rFonts w:ascii="Cambria" w:eastAsia="Calibri" w:hAnsi="Cambria" w:cs="Times New Roman" w:hint="default"/>
      </w:rPr>
    </w:lvl>
    <w:lvl w:ilvl="1" w:tplc="0C090019" w:tentative="1">
      <w:start w:val="1"/>
      <w:numFmt w:val="lowerLetter"/>
      <w:lvlText w:val="%2."/>
      <w:lvlJc w:val="left"/>
      <w:pPr>
        <w:ind w:left="1481" w:hanging="360"/>
      </w:pPr>
    </w:lvl>
    <w:lvl w:ilvl="2" w:tplc="0C09001B" w:tentative="1">
      <w:start w:val="1"/>
      <w:numFmt w:val="lowerRoman"/>
      <w:lvlText w:val="%3."/>
      <w:lvlJc w:val="right"/>
      <w:pPr>
        <w:ind w:left="2201" w:hanging="180"/>
      </w:pPr>
    </w:lvl>
    <w:lvl w:ilvl="3" w:tplc="0C09000F" w:tentative="1">
      <w:start w:val="1"/>
      <w:numFmt w:val="decimal"/>
      <w:lvlText w:val="%4."/>
      <w:lvlJc w:val="left"/>
      <w:pPr>
        <w:ind w:left="2921" w:hanging="360"/>
      </w:pPr>
    </w:lvl>
    <w:lvl w:ilvl="4" w:tplc="0C090019" w:tentative="1">
      <w:start w:val="1"/>
      <w:numFmt w:val="lowerLetter"/>
      <w:lvlText w:val="%5."/>
      <w:lvlJc w:val="left"/>
      <w:pPr>
        <w:ind w:left="3641" w:hanging="360"/>
      </w:pPr>
    </w:lvl>
    <w:lvl w:ilvl="5" w:tplc="0C09001B" w:tentative="1">
      <w:start w:val="1"/>
      <w:numFmt w:val="lowerRoman"/>
      <w:lvlText w:val="%6."/>
      <w:lvlJc w:val="right"/>
      <w:pPr>
        <w:ind w:left="4361" w:hanging="180"/>
      </w:pPr>
    </w:lvl>
    <w:lvl w:ilvl="6" w:tplc="0C09000F" w:tentative="1">
      <w:start w:val="1"/>
      <w:numFmt w:val="decimal"/>
      <w:lvlText w:val="%7."/>
      <w:lvlJc w:val="left"/>
      <w:pPr>
        <w:ind w:left="5081" w:hanging="360"/>
      </w:pPr>
    </w:lvl>
    <w:lvl w:ilvl="7" w:tplc="0C090019" w:tentative="1">
      <w:start w:val="1"/>
      <w:numFmt w:val="lowerLetter"/>
      <w:lvlText w:val="%8."/>
      <w:lvlJc w:val="left"/>
      <w:pPr>
        <w:ind w:left="5801" w:hanging="360"/>
      </w:pPr>
    </w:lvl>
    <w:lvl w:ilvl="8" w:tplc="0C09001B" w:tentative="1">
      <w:start w:val="1"/>
      <w:numFmt w:val="lowerRoman"/>
      <w:lvlText w:val="%9."/>
      <w:lvlJc w:val="right"/>
      <w:pPr>
        <w:ind w:left="6521" w:hanging="180"/>
      </w:pPr>
    </w:lvl>
  </w:abstractNum>
  <w:abstractNum w:abstractNumId="4" w15:restartNumberingAfterBreak="0">
    <w:nsid w:val="06AF0F0E"/>
    <w:multiLevelType w:val="hybridMultilevel"/>
    <w:tmpl w:val="505E76BC"/>
    <w:lvl w:ilvl="0" w:tplc="AD6EDA8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6" w15:restartNumberingAfterBreak="0">
    <w:nsid w:val="0DAB06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9F628F"/>
    <w:multiLevelType w:val="hybridMultilevel"/>
    <w:tmpl w:val="4F6437E6"/>
    <w:lvl w:ilvl="0" w:tplc="8ECC9B10">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8E45C3"/>
    <w:multiLevelType w:val="hybridMultilevel"/>
    <w:tmpl w:val="9B409466"/>
    <w:lvl w:ilvl="0" w:tplc="AECC51FE">
      <w:start w:val="1"/>
      <w:numFmt w:val="bullet"/>
      <w:pStyle w:val="BAText1bullet"/>
      <w:lvlText w:val=""/>
      <w:lvlJc w:val="left"/>
      <w:pPr>
        <w:tabs>
          <w:tab w:val="num" w:pos="520"/>
        </w:tabs>
        <w:ind w:left="520" w:hanging="340"/>
      </w:pPr>
      <w:rPr>
        <w:rFonts w:ascii="Symbol" w:hAnsi="Symbol" w:hint="default"/>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C8312EF"/>
    <w:multiLevelType w:val="hybridMultilevel"/>
    <w:tmpl w:val="F4C49A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562634"/>
    <w:multiLevelType w:val="hybridMultilevel"/>
    <w:tmpl w:val="5C441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927DE8"/>
    <w:multiLevelType w:val="hybridMultilevel"/>
    <w:tmpl w:val="E9A2A1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9636E79"/>
    <w:multiLevelType w:val="multilevel"/>
    <w:tmpl w:val="4344E3E6"/>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4" w15:restartNumberingAfterBreak="0">
    <w:nsid w:val="2A937D5F"/>
    <w:multiLevelType w:val="multilevel"/>
    <w:tmpl w:val="340AD4BC"/>
    <w:styleLink w:val="Style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2.%3"/>
      <w:lvlJc w:val="left"/>
      <w:pPr>
        <w:ind w:left="1021" w:hanging="1021"/>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7" w15:restartNumberingAfterBreak="0">
    <w:nsid w:val="357F0D4F"/>
    <w:multiLevelType w:val="multilevel"/>
    <w:tmpl w:val="311EB4D2"/>
    <w:numStyleLink w:val="captions"/>
  </w:abstractNum>
  <w:abstractNum w:abstractNumId="18" w15:restartNumberingAfterBreak="0">
    <w:nsid w:val="38C06665"/>
    <w:multiLevelType w:val="hybridMultilevel"/>
    <w:tmpl w:val="D5605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551C78"/>
    <w:multiLevelType w:val="hybridMultilevel"/>
    <w:tmpl w:val="A6AA52EC"/>
    <w:lvl w:ilvl="0" w:tplc="68C6DB6E">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2A3E94"/>
    <w:multiLevelType w:val="multilevel"/>
    <w:tmpl w:val="4344E3E6"/>
    <w:numStyleLink w:val="Headings"/>
  </w:abstractNum>
  <w:abstractNum w:abstractNumId="21" w15:restartNumberingAfterBreak="0">
    <w:nsid w:val="3FDD470D"/>
    <w:multiLevelType w:val="singleLevel"/>
    <w:tmpl w:val="B664CF16"/>
    <w:lvl w:ilvl="0">
      <w:start w:val="1"/>
      <w:numFmt w:val="decimal"/>
      <w:pStyle w:val="ListNumber"/>
      <w:lvlText w:val="%1)"/>
      <w:lvlJc w:val="left"/>
      <w:pPr>
        <w:ind w:left="360" w:hanging="360"/>
      </w:pPr>
      <w:rPr>
        <w:color w:val="auto"/>
      </w:rPr>
    </w:lvl>
  </w:abstractNum>
  <w:abstractNum w:abstractNumId="2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B649F1"/>
    <w:multiLevelType w:val="hybridMultilevel"/>
    <w:tmpl w:val="C9208362"/>
    <w:lvl w:ilvl="0" w:tplc="3B76AB2E">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4D1325"/>
    <w:multiLevelType w:val="hybridMultilevel"/>
    <w:tmpl w:val="32B228F0"/>
    <w:lvl w:ilvl="0" w:tplc="8C16CA36">
      <w:numFmt w:val="bullet"/>
      <w:lvlText w:val="•"/>
      <w:lvlJc w:val="left"/>
      <w:pPr>
        <w:ind w:left="1080" w:hanging="720"/>
      </w:pPr>
      <w:rPr>
        <w:rFonts w:ascii="Cambria" w:eastAsia="Calibri"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902C5E"/>
    <w:multiLevelType w:val="hybridMultilevel"/>
    <w:tmpl w:val="F47CBC86"/>
    <w:lvl w:ilvl="0" w:tplc="E006CF5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0A397B"/>
    <w:multiLevelType w:val="hybridMultilevel"/>
    <w:tmpl w:val="75C6C28C"/>
    <w:lvl w:ilvl="0" w:tplc="F51029C8">
      <w:numFmt w:val="bullet"/>
      <w:lvlText w:val="•"/>
      <w:lvlJc w:val="left"/>
      <w:pPr>
        <w:ind w:left="1080" w:hanging="72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DAC4A46"/>
    <w:multiLevelType w:val="hybridMultilevel"/>
    <w:tmpl w:val="CE16DF60"/>
    <w:lvl w:ilvl="0" w:tplc="3B76AB2E">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D13EEF"/>
    <w:multiLevelType w:val="multilevel"/>
    <w:tmpl w:val="4344E3E6"/>
    <w:numStyleLink w:val="Headings"/>
  </w:abstractNum>
  <w:abstractNum w:abstractNumId="30" w15:restartNumberingAfterBreak="0">
    <w:nsid w:val="608356D2"/>
    <w:multiLevelType w:val="hybridMultilevel"/>
    <w:tmpl w:val="15AE14A2"/>
    <w:lvl w:ilvl="0" w:tplc="B71C56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A812E3"/>
    <w:multiLevelType w:val="hybridMultilevel"/>
    <w:tmpl w:val="E90E427A"/>
    <w:lvl w:ilvl="0" w:tplc="0958E404">
      <w:start w:val="1"/>
      <w:numFmt w:val="bullet"/>
      <w:lvlText w:val=""/>
      <w:lvlJc w:val="left"/>
      <w:pPr>
        <w:tabs>
          <w:tab w:val="num" w:pos="-360"/>
        </w:tabs>
        <w:ind w:left="360" w:hanging="360"/>
      </w:pPr>
      <w:rPr>
        <w:rFonts w:ascii="Symbol" w:hAnsi="Symbol" w:hint="default"/>
        <w:color w:val="auto"/>
        <w:sz w:val="16"/>
        <w:szCs w:val="16"/>
      </w:rPr>
    </w:lvl>
    <w:lvl w:ilvl="1" w:tplc="2EA4BF48">
      <w:start w:val="1"/>
      <w:numFmt w:val="bullet"/>
      <w:lvlText w:val="o"/>
      <w:lvlJc w:val="left"/>
      <w:pPr>
        <w:ind w:left="1440" w:hanging="360"/>
      </w:pPr>
      <w:rPr>
        <w:rFonts w:ascii="Courier New" w:hAnsi="Courier New" w:cs="Courier New" w:hint="default"/>
      </w:rPr>
    </w:lvl>
    <w:lvl w:ilvl="2" w:tplc="D938D968" w:tentative="1">
      <w:start w:val="1"/>
      <w:numFmt w:val="bullet"/>
      <w:lvlText w:val=""/>
      <w:lvlJc w:val="left"/>
      <w:pPr>
        <w:ind w:left="2160" w:hanging="360"/>
      </w:pPr>
      <w:rPr>
        <w:rFonts w:ascii="Wingdings" w:hAnsi="Wingdings" w:hint="default"/>
      </w:rPr>
    </w:lvl>
    <w:lvl w:ilvl="3" w:tplc="2B0A6E1C" w:tentative="1">
      <w:start w:val="1"/>
      <w:numFmt w:val="bullet"/>
      <w:lvlText w:val=""/>
      <w:lvlJc w:val="left"/>
      <w:pPr>
        <w:ind w:left="2880" w:hanging="360"/>
      </w:pPr>
      <w:rPr>
        <w:rFonts w:ascii="Symbol" w:hAnsi="Symbol" w:hint="default"/>
      </w:rPr>
    </w:lvl>
    <w:lvl w:ilvl="4" w:tplc="87C891B0" w:tentative="1">
      <w:start w:val="1"/>
      <w:numFmt w:val="bullet"/>
      <w:lvlText w:val="o"/>
      <w:lvlJc w:val="left"/>
      <w:pPr>
        <w:ind w:left="3600" w:hanging="360"/>
      </w:pPr>
      <w:rPr>
        <w:rFonts w:ascii="Courier New" w:hAnsi="Courier New" w:cs="Courier New" w:hint="default"/>
      </w:rPr>
    </w:lvl>
    <w:lvl w:ilvl="5" w:tplc="B9B020B0" w:tentative="1">
      <w:start w:val="1"/>
      <w:numFmt w:val="bullet"/>
      <w:lvlText w:val=""/>
      <w:lvlJc w:val="left"/>
      <w:pPr>
        <w:ind w:left="4320" w:hanging="360"/>
      </w:pPr>
      <w:rPr>
        <w:rFonts w:ascii="Wingdings" w:hAnsi="Wingdings" w:hint="default"/>
      </w:rPr>
    </w:lvl>
    <w:lvl w:ilvl="6" w:tplc="78CCAECC" w:tentative="1">
      <w:start w:val="1"/>
      <w:numFmt w:val="bullet"/>
      <w:lvlText w:val=""/>
      <w:lvlJc w:val="left"/>
      <w:pPr>
        <w:ind w:left="5040" w:hanging="360"/>
      </w:pPr>
      <w:rPr>
        <w:rFonts w:ascii="Symbol" w:hAnsi="Symbol" w:hint="default"/>
      </w:rPr>
    </w:lvl>
    <w:lvl w:ilvl="7" w:tplc="3EA6F2D0" w:tentative="1">
      <w:start w:val="1"/>
      <w:numFmt w:val="bullet"/>
      <w:lvlText w:val="o"/>
      <w:lvlJc w:val="left"/>
      <w:pPr>
        <w:ind w:left="5760" w:hanging="360"/>
      </w:pPr>
      <w:rPr>
        <w:rFonts w:ascii="Courier New" w:hAnsi="Courier New" w:cs="Courier New" w:hint="default"/>
      </w:rPr>
    </w:lvl>
    <w:lvl w:ilvl="8" w:tplc="9B0A4390" w:tentative="1">
      <w:start w:val="1"/>
      <w:numFmt w:val="bullet"/>
      <w:lvlText w:val=""/>
      <w:lvlJc w:val="left"/>
      <w:pPr>
        <w:ind w:left="6480" w:hanging="360"/>
      </w:pPr>
      <w:rPr>
        <w:rFonts w:ascii="Wingdings" w:hAnsi="Wingdings" w:hint="default"/>
      </w:rPr>
    </w:lvl>
  </w:abstractNum>
  <w:abstractNum w:abstractNumId="32" w15:restartNumberingAfterBreak="0">
    <w:nsid w:val="70D330FE"/>
    <w:multiLevelType w:val="singleLevel"/>
    <w:tmpl w:val="05420F66"/>
    <w:lvl w:ilvl="0">
      <w:start w:val="1"/>
      <w:numFmt w:val="lowerLetter"/>
      <w:lvlText w:val="%1)"/>
      <w:lvlJc w:val="left"/>
      <w:pPr>
        <w:ind w:left="709" w:hanging="426"/>
      </w:pPr>
      <w:rPr>
        <w:rFonts w:hint="default"/>
      </w:rPr>
    </w:lvl>
  </w:abstractNum>
  <w:abstractNum w:abstractNumId="33" w15:restartNumberingAfterBreak="0">
    <w:nsid w:val="72E34ABF"/>
    <w:multiLevelType w:val="hybridMultilevel"/>
    <w:tmpl w:val="A2005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00363E"/>
    <w:multiLevelType w:val="multilevel"/>
    <w:tmpl w:val="4344E3E6"/>
    <w:numStyleLink w:val="Headings"/>
  </w:abstractNum>
  <w:abstractNum w:abstractNumId="35" w15:restartNumberingAfterBreak="0">
    <w:nsid w:val="787F612D"/>
    <w:multiLevelType w:val="hybridMultilevel"/>
    <w:tmpl w:val="702E1D34"/>
    <w:lvl w:ilvl="0" w:tplc="3B76AB2E">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BB446A"/>
    <w:multiLevelType w:val="hybridMultilevel"/>
    <w:tmpl w:val="C3A050F2"/>
    <w:lvl w:ilvl="0" w:tplc="E8BE8634">
      <w:start w:val="1"/>
      <w:numFmt w:val="bullet"/>
      <w:lvlText w:val=""/>
      <w:lvlJc w:val="left"/>
      <w:pPr>
        <w:tabs>
          <w:tab w:val="num" w:pos="502"/>
        </w:tabs>
        <w:ind w:left="502" w:hanging="360"/>
      </w:pPr>
      <w:rPr>
        <w:rFonts w:ascii="Symbol" w:hAnsi="Symbol" w:hint="default"/>
        <w:color w:val="auto"/>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1"/>
  </w:num>
  <w:num w:numId="4">
    <w:abstractNumId w:val="32"/>
  </w:num>
  <w:num w:numId="5">
    <w:abstractNumId w:val="0"/>
    <w:lvlOverride w:ilvl="0">
      <w:startOverride w:val="1"/>
    </w:lvlOverride>
  </w:num>
  <w:num w:numId="6">
    <w:abstractNumId w:val="22"/>
  </w:num>
  <w:num w:numId="7">
    <w:abstractNumId w:val="8"/>
  </w:num>
  <w:num w:numId="8">
    <w:abstractNumId w:val="19"/>
  </w:num>
  <w:num w:numId="9">
    <w:abstractNumId w:val="5"/>
  </w:num>
  <w:num w:numId="10">
    <w:abstractNumId w:val="27"/>
  </w:num>
  <w:num w:numId="11">
    <w:abstractNumId w:val="6"/>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7"/>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9"/>
  </w:num>
  <w:num w:numId="19">
    <w:abstractNumId w:val="29"/>
    <w:lvlOverride w:ilvl="0">
      <w:startOverride w:val="1"/>
    </w:lvlOverride>
  </w:num>
  <w:num w:numId="20">
    <w:abstractNumId w:val="20"/>
  </w:num>
  <w:num w:numId="21">
    <w:abstractNumId w:val="36"/>
  </w:num>
  <w:num w:numId="22">
    <w:abstractNumId w:val="31"/>
  </w:num>
  <w:num w:numId="23">
    <w:abstractNumId w:val="9"/>
  </w:num>
  <w:num w:numId="24">
    <w:abstractNumId w:val="7"/>
  </w:num>
  <w:num w:numId="25">
    <w:abstractNumId w:val="10"/>
  </w:num>
  <w:num w:numId="26">
    <w:abstractNumId w:val="4"/>
  </w:num>
  <w:num w:numId="27">
    <w:abstractNumId w:val="25"/>
  </w:num>
  <w:num w:numId="28">
    <w:abstractNumId w:val="28"/>
  </w:num>
  <w:num w:numId="29">
    <w:abstractNumId w:val="35"/>
  </w:num>
  <w:num w:numId="30">
    <w:abstractNumId w:val="23"/>
  </w:num>
  <w:num w:numId="31">
    <w:abstractNumId w:val="30"/>
  </w:num>
  <w:num w:numId="32">
    <w:abstractNumId w:val="18"/>
  </w:num>
  <w:num w:numId="33">
    <w:abstractNumId w:val="14"/>
  </w:num>
  <w:num w:numId="34">
    <w:abstractNumId w:val="33"/>
  </w:num>
  <w:num w:numId="35">
    <w:abstractNumId w:val="26"/>
  </w:num>
  <w:num w:numId="36">
    <w:abstractNumId w:val="11"/>
  </w:num>
  <w:num w:numId="37">
    <w:abstractNumId w:val="12"/>
  </w:num>
  <w:num w:numId="38">
    <w:abstractNumId w:val="15"/>
  </w:num>
  <w:num w:numId="39">
    <w:abstractNumId w:val="24"/>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8782D"/>
    <w:rsid w:val="00457D54"/>
    <w:rsid w:val="009947A7"/>
    <w:rsid w:val="00B8782D"/>
    <w:rsid w:val="00EA0C1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8E156675-BCFA-4588-8E58-07E1C85F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82D"/>
    <w:pPr>
      <w:spacing w:before="200" w:after="200" w:line="276" w:lineRule="auto"/>
    </w:pPr>
    <w:rPr>
      <w:rFonts w:ascii="Cambria" w:eastAsia="Calibri" w:hAnsi="Cambria" w:cs="Times New Roman"/>
    </w:rPr>
  </w:style>
  <w:style w:type="paragraph" w:styleId="Heading1">
    <w:name w:val="heading 1"/>
    <w:basedOn w:val="Normal"/>
    <w:next w:val="Normal"/>
    <w:link w:val="Heading1Char"/>
    <w:uiPriority w:val="9"/>
    <w:qFormat/>
    <w:rsid w:val="00B8782D"/>
    <w:pPr>
      <w:keepNext/>
      <w:keepLines/>
      <w:spacing w:before="480" w:after="120"/>
      <w:ind w:left="357" w:hanging="357"/>
      <w:outlineLvl w:val="0"/>
    </w:pPr>
    <w:rPr>
      <w:rFonts w:ascii="Calibri" w:eastAsia="Times New Roman" w:hAnsi="Calibri"/>
      <w:b/>
      <w:bCs/>
      <w:color w:val="D52B1E"/>
      <w:sz w:val="34"/>
      <w:szCs w:val="28"/>
    </w:rPr>
  </w:style>
  <w:style w:type="paragraph" w:styleId="Heading2">
    <w:name w:val="heading 2"/>
    <w:basedOn w:val="Normal"/>
    <w:next w:val="Normal"/>
    <w:link w:val="Heading2Char"/>
    <w:uiPriority w:val="9"/>
    <w:unhideWhenUsed/>
    <w:qFormat/>
    <w:rsid w:val="00B8782D"/>
    <w:pPr>
      <w:keepNext/>
      <w:keepLines/>
      <w:spacing w:after="120"/>
      <w:ind w:left="357" w:hanging="357"/>
      <w:outlineLvl w:val="1"/>
    </w:pPr>
    <w:rPr>
      <w:rFonts w:ascii="Calibri" w:eastAsia="Times New Roman" w:hAnsi="Calibri"/>
      <w:b/>
      <w:bCs/>
      <w:color w:val="773141"/>
      <w:sz w:val="28"/>
      <w:szCs w:val="26"/>
    </w:rPr>
  </w:style>
  <w:style w:type="paragraph" w:styleId="Heading3">
    <w:name w:val="heading 3"/>
    <w:basedOn w:val="Normal"/>
    <w:next w:val="Normal"/>
    <w:link w:val="Heading3Char"/>
    <w:uiPriority w:val="4"/>
    <w:qFormat/>
    <w:rsid w:val="00B8782D"/>
    <w:pPr>
      <w:keepNext/>
      <w:keepLines/>
      <w:spacing w:before="120" w:line="240" w:lineRule="auto"/>
      <w:ind w:left="357" w:hanging="357"/>
      <w:outlineLvl w:val="2"/>
    </w:pPr>
    <w:rPr>
      <w:rFonts w:ascii="Calibri" w:hAnsi="Calibri"/>
      <w:b/>
      <w:bCs/>
      <w:sz w:val="24"/>
    </w:rPr>
  </w:style>
  <w:style w:type="paragraph" w:styleId="Heading4">
    <w:name w:val="heading 4"/>
    <w:basedOn w:val="Normal"/>
    <w:next w:val="Normal"/>
    <w:link w:val="Heading4Char"/>
    <w:uiPriority w:val="5"/>
    <w:qFormat/>
    <w:rsid w:val="00B8782D"/>
    <w:pPr>
      <w:keepNext/>
      <w:keepLines/>
      <w:spacing w:before="120" w:line="240" w:lineRule="auto"/>
      <w:outlineLvl w:val="3"/>
    </w:pPr>
    <w:rPr>
      <w:rFonts w:ascii="Calibri" w:hAnsi="Calibri"/>
      <w:b/>
      <w:bCs/>
      <w:iCs/>
    </w:rPr>
  </w:style>
  <w:style w:type="paragraph" w:styleId="Heading5">
    <w:name w:val="heading 5"/>
    <w:basedOn w:val="Normal"/>
    <w:next w:val="Normal"/>
    <w:link w:val="Heading5Char"/>
    <w:uiPriority w:val="6"/>
    <w:qFormat/>
    <w:rsid w:val="00B8782D"/>
    <w:pPr>
      <w:keepNext/>
      <w:keepLines/>
      <w:spacing w:before="120" w:line="240" w:lineRule="auto"/>
      <w:outlineLvl w:val="4"/>
    </w:pPr>
    <w:rPr>
      <w:rFonts w:ascii="Calibri" w:hAnsi="Calibr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82D"/>
    <w:rPr>
      <w:rFonts w:ascii="Calibri" w:eastAsia="Times New Roman" w:hAnsi="Calibri" w:cs="Times New Roman"/>
      <w:b/>
      <w:bCs/>
      <w:color w:val="D52B1E"/>
      <w:sz w:val="34"/>
      <w:szCs w:val="28"/>
    </w:rPr>
  </w:style>
  <w:style w:type="character" w:customStyle="1" w:styleId="Heading2Char">
    <w:name w:val="Heading 2 Char"/>
    <w:basedOn w:val="DefaultParagraphFont"/>
    <w:link w:val="Heading2"/>
    <w:uiPriority w:val="9"/>
    <w:rsid w:val="00B8782D"/>
    <w:rPr>
      <w:rFonts w:ascii="Calibri" w:eastAsia="Times New Roman" w:hAnsi="Calibri" w:cs="Times New Roman"/>
      <w:b/>
      <w:bCs/>
      <w:color w:val="773141"/>
      <w:sz w:val="28"/>
      <w:szCs w:val="26"/>
    </w:rPr>
  </w:style>
  <w:style w:type="character" w:customStyle="1" w:styleId="Heading3Char">
    <w:name w:val="Heading 3 Char"/>
    <w:basedOn w:val="DefaultParagraphFont"/>
    <w:link w:val="Heading3"/>
    <w:uiPriority w:val="4"/>
    <w:rsid w:val="00B8782D"/>
    <w:rPr>
      <w:rFonts w:ascii="Calibri" w:eastAsia="Calibri" w:hAnsi="Calibri" w:cs="Times New Roman"/>
      <w:b/>
      <w:bCs/>
      <w:sz w:val="24"/>
    </w:rPr>
  </w:style>
  <w:style w:type="character" w:customStyle="1" w:styleId="Heading4Char">
    <w:name w:val="Heading 4 Char"/>
    <w:basedOn w:val="DefaultParagraphFont"/>
    <w:link w:val="Heading4"/>
    <w:uiPriority w:val="5"/>
    <w:rsid w:val="00B8782D"/>
    <w:rPr>
      <w:rFonts w:ascii="Calibri" w:eastAsia="Calibri" w:hAnsi="Calibri" w:cs="Times New Roman"/>
      <w:b/>
      <w:bCs/>
      <w:iCs/>
    </w:rPr>
  </w:style>
  <w:style w:type="character" w:customStyle="1" w:styleId="Heading5Char">
    <w:name w:val="Heading 5 Char"/>
    <w:basedOn w:val="DefaultParagraphFont"/>
    <w:link w:val="Heading5"/>
    <w:uiPriority w:val="6"/>
    <w:rsid w:val="00B8782D"/>
    <w:rPr>
      <w:rFonts w:ascii="Calibri" w:eastAsia="Calibri" w:hAnsi="Calibri" w:cs="Times New Roman"/>
      <w:b/>
      <w:i/>
    </w:rPr>
  </w:style>
  <w:style w:type="paragraph" w:styleId="CommentText">
    <w:name w:val="annotation text"/>
    <w:basedOn w:val="Normal"/>
    <w:link w:val="CommentTextChar"/>
    <w:unhideWhenUsed/>
    <w:rsid w:val="00B8782D"/>
    <w:rPr>
      <w:sz w:val="20"/>
      <w:szCs w:val="20"/>
    </w:rPr>
  </w:style>
  <w:style w:type="character" w:customStyle="1" w:styleId="CommentTextChar">
    <w:name w:val="Comment Text Char"/>
    <w:basedOn w:val="DefaultParagraphFont"/>
    <w:link w:val="CommentText"/>
    <w:rsid w:val="00B8782D"/>
    <w:rPr>
      <w:rFonts w:ascii="Cambria" w:eastAsia="Calibri" w:hAnsi="Cambria" w:cs="Times New Roman"/>
      <w:sz w:val="20"/>
      <w:szCs w:val="20"/>
    </w:rPr>
  </w:style>
  <w:style w:type="paragraph" w:styleId="Header">
    <w:name w:val="header"/>
    <w:basedOn w:val="Normal"/>
    <w:link w:val="HeaderChar"/>
    <w:uiPriority w:val="26"/>
    <w:rsid w:val="00B8782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B8782D"/>
    <w:rPr>
      <w:rFonts w:ascii="Calibri" w:eastAsia="Calibri" w:hAnsi="Calibri" w:cs="Times New Roman"/>
      <w:sz w:val="20"/>
    </w:rPr>
  </w:style>
  <w:style w:type="paragraph" w:styleId="Footer">
    <w:name w:val="footer"/>
    <w:basedOn w:val="Normal"/>
    <w:link w:val="FooterChar"/>
    <w:uiPriority w:val="99"/>
    <w:rsid w:val="00B8782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B8782D"/>
    <w:rPr>
      <w:rFonts w:ascii="Calibri" w:eastAsia="Calibri" w:hAnsi="Calibri" w:cs="Times New Roman"/>
      <w:sz w:val="20"/>
    </w:rPr>
  </w:style>
  <w:style w:type="character" w:styleId="CommentReference">
    <w:name w:val="annotation reference"/>
    <w:basedOn w:val="DefaultParagraphFont"/>
    <w:unhideWhenUsed/>
    <w:rsid w:val="00B8782D"/>
    <w:rPr>
      <w:sz w:val="16"/>
      <w:szCs w:val="16"/>
    </w:rPr>
  </w:style>
  <w:style w:type="paragraph" w:styleId="CommentSubject">
    <w:name w:val="annotation subject"/>
    <w:basedOn w:val="CommentText"/>
    <w:next w:val="CommentText"/>
    <w:link w:val="CommentSubjectChar"/>
    <w:uiPriority w:val="99"/>
    <w:semiHidden/>
    <w:unhideWhenUsed/>
    <w:rsid w:val="00B8782D"/>
    <w:rPr>
      <w:b/>
      <w:bCs/>
    </w:rPr>
  </w:style>
  <w:style w:type="character" w:customStyle="1" w:styleId="CommentSubjectChar">
    <w:name w:val="Comment Subject Char"/>
    <w:basedOn w:val="CommentTextChar"/>
    <w:link w:val="CommentSubject"/>
    <w:uiPriority w:val="99"/>
    <w:semiHidden/>
    <w:rsid w:val="00B8782D"/>
    <w:rPr>
      <w:rFonts w:ascii="Cambria" w:eastAsia="Calibri" w:hAnsi="Cambria" w:cs="Times New Roman"/>
      <w:b/>
      <w:bCs/>
      <w:sz w:val="20"/>
      <w:szCs w:val="20"/>
    </w:rPr>
  </w:style>
  <w:style w:type="paragraph" w:styleId="BalloonText">
    <w:name w:val="Balloon Text"/>
    <w:basedOn w:val="Normal"/>
    <w:link w:val="BalloonTextChar"/>
    <w:uiPriority w:val="99"/>
    <w:semiHidden/>
    <w:unhideWhenUsed/>
    <w:rsid w:val="00B8782D"/>
    <w:rPr>
      <w:rFonts w:ascii="Calibri" w:hAnsi="Calibri"/>
      <w:sz w:val="18"/>
      <w:szCs w:val="18"/>
    </w:rPr>
  </w:style>
  <w:style w:type="character" w:customStyle="1" w:styleId="BalloonTextChar">
    <w:name w:val="Balloon Text Char"/>
    <w:basedOn w:val="DefaultParagraphFont"/>
    <w:link w:val="BalloonText"/>
    <w:uiPriority w:val="99"/>
    <w:semiHidden/>
    <w:rsid w:val="00B8782D"/>
    <w:rPr>
      <w:rFonts w:ascii="Calibri" w:eastAsia="Calibri" w:hAnsi="Calibri" w:cs="Times New Roman"/>
      <w:sz w:val="18"/>
      <w:szCs w:val="18"/>
    </w:rPr>
  </w:style>
  <w:style w:type="table" w:styleId="TableGrid">
    <w:name w:val="Table Grid"/>
    <w:basedOn w:val="TableNormal"/>
    <w:rsid w:val="00B8782D"/>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B8782D"/>
    <w:rPr>
      <w:sz w:val="16"/>
    </w:rPr>
  </w:style>
  <w:style w:type="numbering" w:customStyle="1" w:styleId="Headings">
    <w:name w:val="Headings"/>
    <w:uiPriority w:val="99"/>
    <w:rsid w:val="00B8782D"/>
    <w:pPr>
      <w:numPr>
        <w:numId w:val="12"/>
      </w:numPr>
    </w:pPr>
  </w:style>
  <w:style w:type="paragraph" w:styleId="ListParagraph">
    <w:name w:val="List Paragraph"/>
    <w:basedOn w:val="Normal"/>
    <w:uiPriority w:val="34"/>
    <w:qFormat/>
    <w:rsid w:val="00B8782D"/>
    <w:pPr>
      <w:ind w:left="720"/>
    </w:pPr>
  </w:style>
  <w:style w:type="paragraph" w:styleId="Quote">
    <w:name w:val="Quote"/>
    <w:basedOn w:val="Normal"/>
    <w:next w:val="Normal"/>
    <w:link w:val="QuoteChar"/>
    <w:uiPriority w:val="18"/>
    <w:qFormat/>
    <w:rsid w:val="00B8782D"/>
    <w:pPr>
      <w:ind w:left="709" w:right="567"/>
    </w:pPr>
    <w:rPr>
      <w:iCs/>
      <w:color w:val="000000"/>
    </w:rPr>
  </w:style>
  <w:style w:type="character" w:customStyle="1" w:styleId="QuoteChar">
    <w:name w:val="Quote Char"/>
    <w:basedOn w:val="DefaultParagraphFont"/>
    <w:link w:val="Quote"/>
    <w:uiPriority w:val="18"/>
    <w:rsid w:val="00B8782D"/>
    <w:rPr>
      <w:rFonts w:ascii="Cambria" w:eastAsia="Calibri" w:hAnsi="Cambria" w:cs="Times New Roman"/>
      <w:iCs/>
      <w:color w:val="000000"/>
    </w:rPr>
  </w:style>
  <w:style w:type="paragraph" w:customStyle="1" w:styleId="BoxText">
    <w:name w:val="Box Text"/>
    <w:basedOn w:val="Normal"/>
    <w:uiPriority w:val="19"/>
    <w:qFormat/>
    <w:rsid w:val="00B8782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qFormat/>
    <w:rsid w:val="00B8782D"/>
    <w:pPr>
      <w:spacing w:after="120" w:line="240" w:lineRule="auto"/>
    </w:pPr>
    <w:rPr>
      <w:rFonts w:ascii="Cambria" w:eastAsia="Times New Roman" w:hAnsi="Cambria" w:cs="Times New Roman"/>
      <w:b/>
      <w:bCs/>
      <w:color w:val="595959"/>
      <w:sz w:val="20"/>
      <w:szCs w:val="18"/>
    </w:rPr>
  </w:style>
  <w:style w:type="paragraph" w:customStyle="1" w:styleId="FigureTableNoteSource">
    <w:name w:val="Figure/Table Note/Source"/>
    <w:basedOn w:val="Normal"/>
    <w:next w:val="Normal"/>
    <w:uiPriority w:val="16"/>
    <w:qFormat/>
    <w:rsid w:val="00B8782D"/>
    <w:pPr>
      <w:spacing w:before="120" w:line="264" w:lineRule="auto"/>
      <w:contextualSpacing/>
    </w:pPr>
    <w:rPr>
      <w:rFonts w:ascii="Calibri" w:hAnsi="Calibri"/>
      <w:sz w:val="18"/>
    </w:rPr>
  </w:style>
  <w:style w:type="paragraph" w:styleId="Title">
    <w:name w:val="Title"/>
    <w:basedOn w:val="Normal"/>
    <w:next w:val="Subtitle"/>
    <w:link w:val="TitleChar"/>
    <w:uiPriority w:val="22"/>
    <w:qFormat/>
    <w:rsid w:val="00B8782D"/>
    <w:pPr>
      <w:spacing w:before="240" w:after="120" w:line="240" w:lineRule="auto"/>
    </w:pPr>
    <w:rPr>
      <w:rFonts w:ascii="Calibri" w:hAnsi="Calibri"/>
      <w:b/>
      <w:sz w:val="72"/>
      <w:szCs w:val="72"/>
    </w:rPr>
  </w:style>
  <w:style w:type="character" w:customStyle="1" w:styleId="TitleChar">
    <w:name w:val="Title Char"/>
    <w:basedOn w:val="DefaultParagraphFont"/>
    <w:link w:val="Title"/>
    <w:uiPriority w:val="22"/>
    <w:rsid w:val="00B8782D"/>
    <w:rPr>
      <w:rFonts w:ascii="Calibri" w:eastAsia="Calibri" w:hAnsi="Calibri" w:cs="Times New Roman"/>
      <w:b/>
      <w:sz w:val="72"/>
      <w:szCs w:val="72"/>
    </w:rPr>
  </w:style>
  <w:style w:type="paragraph" w:styleId="Subtitle">
    <w:name w:val="Subtitle"/>
    <w:basedOn w:val="Normal"/>
    <w:next w:val="Normal"/>
    <w:link w:val="SubtitleChar"/>
    <w:uiPriority w:val="23"/>
    <w:qFormat/>
    <w:rsid w:val="00B8782D"/>
    <w:pPr>
      <w:spacing w:after="840" w:line="240" w:lineRule="auto"/>
    </w:pPr>
    <w:rPr>
      <w:rFonts w:ascii="Calibri" w:hAnsi="Calibri" w:cs="Calibri"/>
      <w:sz w:val="68"/>
      <w:szCs w:val="72"/>
    </w:rPr>
  </w:style>
  <w:style w:type="character" w:customStyle="1" w:styleId="SubtitleChar">
    <w:name w:val="Subtitle Char"/>
    <w:basedOn w:val="DefaultParagraphFont"/>
    <w:link w:val="Subtitle"/>
    <w:uiPriority w:val="23"/>
    <w:rsid w:val="00B8782D"/>
    <w:rPr>
      <w:rFonts w:ascii="Calibri" w:eastAsia="Calibri" w:hAnsi="Calibri" w:cs="Calibri"/>
      <w:sz w:val="68"/>
      <w:szCs w:val="72"/>
    </w:rPr>
  </w:style>
  <w:style w:type="paragraph" w:styleId="TOCHeading">
    <w:name w:val="TOC Heading"/>
    <w:basedOn w:val="Heading1"/>
    <w:next w:val="Normal"/>
    <w:uiPriority w:val="39"/>
    <w:qFormat/>
    <w:rsid w:val="00B8782D"/>
    <w:pPr>
      <w:ind w:left="0" w:firstLine="0"/>
      <w:outlineLvl w:val="9"/>
    </w:pPr>
    <w:rPr>
      <w:lang w:val="en-US"/>
    </w:rPr>
  </w:style>
  <w:style w:type="paragraph" w:styleId="TOC1">
    <w:name w:val="toc 1"/>
    <w:basedOn w:val="Normal"/>
    <w:next w:val="Normal"/>
    <w:uiPriority w:val="39"/>
    <w:unhideWhenUsed/>
    <w:rsid w:val="00B8782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rsid w:val="00B8782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rsid w:val="00B8782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B8782D"/>
    <w:rPr>
      <w:color w:val="165788"/>
      <w:u w:val="single"/>
    </w:rPr>
  </w:style>
  <w:style w:type="paragraph" w:styleId="ListBullet">
    <w:name w:val="List Bullet"/>
    <w:basedOn w:val="Normal"/>
    <w:uiPriority w:val="7"/>
    <w:qFormat/>
    <w:rsid w:val="00B8782D"/>
    <w:pPr>
      <w:numPr>
        <w:numId w:val="1"/>
      </w:numPr>
      <w:spacing w:before="120" w:after="120"/>
    </w:pPr>
  </w:style>
  <w:style w:type="paragraph" w:styleId="TableofFigures">
    <w:name w:val="table of figures"/>
    <w:basedOn w:val="Normal"/>
    <w:next w:val="Normal"/>
    <w:uiPriority w:val="99"/>
    <w:rsid w:val="00B8782D"/>
    <w:pPr>
      <w:spacing w:before="120" w:after="120" w:line="240" w:lineRule="auto"/>
    </w:pPr>
  </w:style>
  <w:style w:type="paragraph" w:styleId="ListBullet2">
    <w:name w:val="List Bullet 2"/>
    <w:basedOn w:val="Normal"/>
    <w:uiPriority w:val="8"/>
    <w:qFormat/>
    <w:rsid w:val="00B8782D"/>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B8782D"/>
    <w:pPr>
      <w:numPr>
        <w:numId w:val="3"/>
      </w:numPr>
      <w:tabs>
        <w:tab w:val="left" w:pos="284"/>
      </w:tabs>
      <w:spacing w:before="120" w:after="120"/>
      <w:ind w:left="284" w:hanging="284"/>
    </w:pPr>
  </w:style>
  <w:style w:type="paragraph" w:styleId="ListNumber2">
    <w:name w:val="List Number 2"/>
    <w:uiPriority w:val="10"/>
    <w:qFormat/>
    <w:rsid w:val="00B8782D"/>
    <w:pPr>
      <w:tabs>
        <w:tab w:val="left" w:pos="567"/>
      </w:tabs>
      <w:spacing w:before="120" w:after="120" w:line="264" w:lineRule="auto"/>
      <w:ind w:left="568" w:hanging="284"/>
    </w:pPr>
    <w:rPr>
      <w:rFonts w:ascii="Calibri" w:eastAsia="Times New Roman" w:hAnsi="Calibri" w:cs="Times New Roman"/>
      <w:szCs w:val="24"/>
    </w:rPr>
  </w:style>
  <w:style w:type="paragraph" w:styleId="ListNumber3">
    <w:name w:val="List Number 3"/>
    <w:uiPriority w:val="11"/>
    <w:qFormat/>
    <w:rsid w:val="00B8782D"/>
    <w:pPr>
      <w:numPr>
        <w:numId w:val="5"/>
      </w:numPr>
      <w:tabs>
        <w:tab w:val="clear" w:pos="926"/>
        <w:tab w:val="num" w:pos="851"/>
      </w:tabs>
      <w:spacing w:before="120" w:after="120" w:line="264" w:lineRule="auto"/>
      <w:ind w:left="851" w:hanging="284"/>
    </w:pPr>
    <w:rPr>
      <w:rFonts w:ascii="Calibri" w:eastAsia="Times New Roman" w:hAnsi="Calibri" w:cs="Times New Roman"/>
      <w:szCs w:val="24"/>
    </w:rPr>
  </w:style>
  <w:style w:type="table" w:customStyle="1" w:styleId="LightShading1">
    <w:name w:val="Light Shading1"/>
    <w:basedOn w:val="TableNormal"/>
    <w:uiPriority w:val="60"/>
    <w:rsid w:val="00B8782D"/>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8782D"/>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qFormat/>
    <w:rsid w:val="00B8782D"/>
    <w:pPr>
      <w:spacing w:before="60" w:after="60" w:line="240" w:lineRule="auto"/>
    </w:pPr>
    <w:rPr>
      <w:sz w:val="18"/>
    </w:rPr>
  </w:style>
  <w:style w:type="table" w:styleId="TableGrid1">
    <w:name w:val="Table Grid 1"/>
    <w:basedOn w:val="TableNormal"/>
    <w:uiPriority w:val="99"/>
    <w:semiHidden/>
    <w:unhideWhenUsed/>
    <w:rsid w:val="00B8782D"/>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8782D"/>
    <w:pPr>
      <w:keepNext/>
    </w:pPr>
    <w:rPr>
      <w:b/>
    </w:rPr>
  </w:style>
  <w:style w:type="character" w:styleId="PlaceholderText">
    <w:name w:val="Placeholder Text"/>
    <w:basedOn w:val="DefaultParagraphFont"/>
    <w:uiPriority w:val="99"/>
    <w:semiHidden/>
    <w:rsid w:val="00B8782D"/>
    <w:rPr>
      <w:color w:val="808080"/>
    </w:rPr>
  </w:style>
  <w:style w:type="paragraph" w:customStyle="1" w:styleId="Author">
    <w:name w:val="Author"/>
    <w:basedOn w:val="Normal"/>
    <w:next w:val="Normal"/>
    <w:uiPriority w:val="24"/>
    <w:qFormat/>
    <w:rsid w:val="00B8782D"/>
    <w:pPr>
      <w:spacing w:after="60"/>
    </w:pPr>
    <w:rPr>
      <w:b/>
      <w:sz w:val="28"/>
      <w:szCs w:val="28"/>
    </w:rPr>
  </w:style>
  <w:style w:type="paragraph" w:customStyle="1" w:styleId="AuthorOrganisationAffiliation">
    <w:name w:val="Author Organisation/Affiliation"/>
    <w:basedOn w:val="Normal"/>
    <w:next w:val="Normal"/>
    <w:uiPriority w:val="25"/>
    <w:qFormat/>
    <w:rsid w:val="00B8782D"/>
    <w:pPr>
      <w:spacing w:after="720"/>
    </w:pPr>
  </w:style>
  <w:style w:type="character" w:styleId="Strong">
    <w:name w:val="Strong"/>
    <w:basedOn w:val="DefaultParagraphFont"/>
    <w:uiPriority w:val="99"/>
    <w:qFormat/>
    <w:rsid w:val="00B8782D"/>
    <w:rPr>
      <w:b/>
      <w:bCs/>
    </w:rPr>
  </w:style>
  <w:style w:type="paragraph" w:customStyle="1" w:styleId="Glossary">
    <w:name w:val="Glossary"/>
    <w:basedOn w:val="Normal"/>
    <w:link w:val="GlossaryChar"/>
    <w:uiPriority w:val="28"/>
    <w:qFormat/>
    <w:rsid w:val="00B8782D"/>
    <w:pPr>
      <w:spacing w:before="120" w:after="120"/>
      <w:ind w:left="2126" w:hanging="2126"/>
    </w:pPr>
    <w:rPr>
      <w:color w:val="000000"/>
    </w:rPr>
  </w:style>
  <w:style w:type="character" w:customStyle="1" w:styleId="GlossaryChar">
    <w:name w:val="Glossary Char"/>
    <w:basedOn w:val="DefaultParagraphFont"/>
    <w:link w:val="Glossary"/>
    <w:uiPriority w:val="28"/>
    <w:rsid w:val="00B8782D"/>
    <w:rPr>
      <w:rFonts w:ascii="Cambria" w:eastAsia="Calibri" w:hAnsi="Cambria" w:cs="Times New Roman"/>
      <w:color w:val="000000"/>
    </w:rPr>
  </w:style>
  <w:style w:type="character" w:styleId="Emphasis">
    <w:name w:val="Emphasis"/>
    <w:basedOn w:val="DefaultParagraphFont"/>
    <w:uiPriority w:val="99"/>
    <w:qFormat/>
    <w:rsid w:val="00B8782D"/>
    <w:rPr>
      <w:i/>
      <w:iCs/>
    </w:rPr>
  </w:style>
  <w:style w:type="paragraph" w:styleId="TOAHeading">
    <w:name w:val="toa heading"/>
    <w:basedOn w:val="Heading1"/>
    <w:next w:val="Normal"/>
    <w:uiPriority w:val="99"/>
    <w:semiHidden/>
    <w:unhideWhenUsed/>
    <w:rsid w:val="00B8782D"/>
    <w:pPr>
      <w:spacing w:before="120"/>
    </w:pPr>
    <w:rPr>
      <w:bCs w:val="0"/>
      <w:sz w:val="24"/>
    </w:rPr>
  </w:style>
  <w:style w:type="paragraph" w:styleId="NormalWeb">
    <w:name w:val="Normal (Web)"/>
    <w:basedOn w:val="Normal"/>
    <w:unhideWhenUsed/>
    <w:rsid w:val="00B8782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8782D"/>
    <w:pPr>
      <w:numPr>
        <w:numId w:val="6"/>
      </w:numPr>
      <w:ind w:left="357" w:hanging="357"/>
    </w:pPr>
  </w:style>
  <w:style w:type="paragraph" w:customStyle="1" w:styleId="TableBullet">
    <w:name w:val="Table Bullet"/>
    <w:basedOn w:val="TableText"/>
    <w:uiPriority w:val="15"/>
    <w:qFormat/>
    <w:rsid w:val="00B8782D"/>
    <w:pPr>
      <w:numPr>
        <w:numId w:val="7"/>
      </w:numPr>
      <w:ind w:left="284" w:hanging="284"/>
    </w:pPr>
  </w:style>
  <w:style w:type="paragraph" w:styleId="DocumentMap">
    <w:name w:val="Document Map"/>
    <w:basedOn w:val="Normal"/>
    <w:link w:val="DocumentMapChar"/>
    <w:uiPriority w:val="99"/>
    <w:semiHidden/>
    <w:unhideWhenUsed/>
    <w:rsid w:val="00B8782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8782D"/>
    <w:rPr>
      <w:rFonts w:ascii="Tahoma" w:eastAsia="Calibri" w:hAnsi="Tahoma" w:cs="Tahoma"/>
      <w:sz w:val="16"/>
      <w:szCs w:val="16"/>
    </w:rPr>
  </w:style>
  <w:style w:type="paragraph" w:customStyle="1" w:styleId="TOCHeadingsamepage">
    <w:name w:val="TOC Heading (same page)"/>
    <w:basedOn w:val="TOCHeading"/>
    <w:next w:val="Normal"/>
    <w:uiPriority w:val="39"/>
    <w:rsid w:val="00B8782D"/>
  </w:style>
  <w:style w:type="paragraph" w:customStyle="1" w:styleId="BoxHeading">
    <w:name w:val="Box Heading"/>
    <w:basedOn w:val="BoxText"/>
    <w:uiPriority w:val="20"/>
    <w:qFormat/>
    <w:rsid w:val="00B8782D"/>
    <w:pPr>
      <w:spacing w:line="240" w:lineRule="auto"/>
    </w:pPr>
    <w:rPr>
      <w:b/>
    </w:rPr>
  </w:style>
  <w:style w:type="paragraph" w:customStyle="1" w:styleId="Picture">
    <w:name w:val="Picture"/>
    <w:basedOn w:val="Normal"/>
    <w:uiPriority w:val="17"/>
    <w:qFormat/>
    <w:rsid w:val="00B8782D"/>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B8782D"/>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B8782D"/>
    <w:pPr>
      <w:spacing w:after="0"/>
    </w:pPr>
    <w:rPr>
      <w:b/>
      <w:color w:val="FF0000"/>
      <w:sz w:val="36"/>
      <w:szCs w:val="36"/>
    </w:rPr>
  </w:style>
  <w:style w:type="paragraph" w:styleId="FootnoteText">
    <w:name w:val="footnote text"/>
    <w:basedOn w:val="Normal"/>
    <w:link w:val="FootnoteTextChar"/>
    <w:uiPriority w:val="99"/>
    <w:unhideWhenUsed/>
    <w:rsid w:val="00B8782D"/>
    <w:pPr>
      <w:spacing w:after="60" w:line="264" w:lineRule="auto"/>
    </w:pPr>
    <w:rPr>
      <w:sz w:val="20"/>
      <w:szCs w:val="20"/>
    </w:rPr>
  </w:style>
  <w:style w:type="character" w:customStyle="1" w:styleId="FootnoteTextChar">
    <w:name w:val="Footnote Text Char"/>
    <w:basedOn w:val="DefaultParagraphFont"/>
    <w:link w:val="FootnoteText"/>
    <w:uiPriority w:val="99"/>
    <w:rsid w:val="00B8782D"/>
    <w:rPr>
      <w:rFonts w:ascii="Cambria" w:eastAsia="Calibri" w:hAnsi="Cambria" w:cs="Times New Roman"/>
      <w:sz w:val="20"/>
      <w:szCs w:val="20"/>
    </w:rPr>
  </w:style>
  <w:style w:type="character" w:styleId="FootnoteReference">
    <w:name w:val="footnote reference"/>
    <w:basedOn w:val="DefaultParagraphFont"/>
    <w:uiPriority w:val="99"/>
    <w:semiHidden/>
    <w:unhideWhenUsed/>
    <w:rsid w:val="00B8782D"/>
    <w:rPr>
      <w:vertAlign w:val="superscript"/>
    </w:rPr>
  </w:style>
  <w:style w:type="paragraph" w:styleId="EndnoteText">
    <w:name w:val="endnote text"/>
    <w:basedOn w:val="Normal"/>
    <w:link w:val="EndnoteTextChar"/>
    <w:uiPriority w:val="99"/>
    <w:unhideWhenUsed/>
    <w:rsid w:val="00B8782D"/>
    <w:pPr>
      <w:spacing w:after="60" w:line="264" w:lineRule="auto"/>
    </w:pPr>
    <w:rPr>
      <w:sz w:val="20"/>
      <w:szCs w:val="20"/>
    </w:rPr>
  </w:style>
  <w:style w:type="character" w:customStyle="1" w:styleId="EndnoteTextChar">
    <w:name w:val="Endnote Text Char"/>
    <w:basedOn w:val="DefaultParagraphFont"/>
    <w:link w:val="EndnoteText"/>
    <w:uiPriority w:val="99"/>
    <w:rsid w:val="00B8782D"/>
    <w:rPr>
      <w:rFonts w:ascii="Cambria" w:eastAsia="Calibri" w:hAnsi="Cambria" w:cs="Times New Roman"/>
      <w:sz w:val="20"/>
      <w:szCs w:val="20"/>
    </w:rPr>
  </w:style>
  <w:style w:type="character" w:styleId="EndnoteReference">
    <w:name w:val="endnote reference"/>
    <w:basedOn w:val="DefaultParagraphFont"/>
    <w:uiPriority w:val="99"/>
    <w:semiHidden/>
    <w:unhideWhenUsed/>
    <w:rsid w:val="00B8782D"/>
    <w:rPr>
      <w:vertAlign w:val="superscript"/>
    </w:rPr>
  </w:style>
  <w:style w:type="character" w:styleId="FollowedHyperlink">
    <w:name w:val="FollowedHyperlink"/>
    <w:basedOn w:val="DefaultParagraphFont"/>
    <w:uiPriority w:val="99"/>
    <w:semiHidden/>
    <w:unhideWhenUsed/>
    <w:rsid w:val="00B8782D"/>
    <w:rPr>
      <w:color w:val="800080"/>
      <w:u w:val="single"/>
    </w:rPr>
  </w:style>
  <w:style w:type="paragraph" w:customStyle="1" w:styleId="BoxSource">
    <w:name w:val="Box Source"/>
    <w:basedOn w:val="FigureTableNoteSource"/>
    <w:uiPriority w:val="22"/>
    <w:qFormat/>
    <w:rsid w:val="00B8782D"/>
    <w:pPr>
      <w:pBdr>
        <w:top w:val="single" w:sz="4" w:space="10" w:color="auto"/>
        <w:left w:val="single" w:sz="4" w:space="10" w:color="auto"/>
        <w:bottom w:val="single" w:sz="4" w:space="10" w:color="auto"/>
        <w:right w:val="single" w:sz="4" w:space="10" w:color="auto"/>
      </w:pBdr>
    </w:pPr>
    <w:rPr>
      <w:lang w:val="en-US"/>
    </w:rPr>
  </w:style>
  <w:style w:type="paragraph" w:customStyle="1" w:styleId="Heading2Nonumber">
    <w:name w:val="Heading 2 No number"/>
    <w:basedOn w:val="Heading2"/>
    <w:next w:val="Normal"/>
    <w:qFormat/>
    <w:rsid w:val="00B8782D"/>
    <w:pPr>
      <w:ind w:left="0" w:firstLine="0"/>
    </w:pPr>
  </w:style>
  <w:style w:type="paragraph" w:customStyle="1" w:styleId="Heading1nonumbers">
    <w:name w:val="Heading 1 (no numbers)"/>
    <w:basedOn w:val="Heading1"/>
    <w:qFormat/>
    <w:rsid w:val="00B8782D"/>
    <w:pPr>
      <w:ind w:left="0" w:firstLine="0"/>
    </w:pPr>
    <w:rPr>
      <w:lang w:val="en-US"/>
    </w:rPr>
  </w:style>
  <w:style w:type="numbering" w:customStyle="1" w:styleId="captions">
    <w:name w:val="captions"/>
    <w:uiPriority w:val="99"/>
    <w:rsid w:val="00B8782D"/>
    <w:pPr>
      <w:numPr>
        <w:numId w:val="14"/>
      </w:numPr>
    </w:pPr>
  </w:style>
  <w:style w:type="paragraph" w:customStyle="1" w:styleId="TableText0">
    <w:name w:val="TableText"/>
    <w:basedOn w:val="Normal"/>
    <w:link w:val="TableTextChar0"/>
    <w:rsid w:val="00B8782D"/>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B8782D"/>
    <w:rPr>
      <w:rFonts w:ascii="Times New Roman" w:eastAsia="Calibri" w:hAnsi="Times New Roman" w:cs="Times New Roman"/>
      <w:color w:val="000000"/>
      <w:sz w:val="16"/>
      <w:szCs w:val="20"/>
    </w:rPr>
  </w:style>
  <w:style w:type="paragraph" w:customStyle="1" w:styleId="TableNotes">
    <w:name w:val="TableNotes"/>
    <w:basedOn w:val="Normal"/>
    <w:link w:val="TableNotesChar"/>
    <w:rsid w:val="00B8782D"/>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B8782D"/>
    <w:rPr>
      <w:rFonts w:ascii="Arial Narrow" w:eastAsia="Calibri" w:hAnsi="Arial Narrow" w:cs="Times New Roman"/>
      <w:color w:val="000000"/>
      <w:sz w:val="16"/>
    </w:rPr>
  </w:style>
  <w:style w:type="paragraph" w:customStyle="1" w:styleId="AQISNum">
    <w:name w:val="AQIS Num"/>
    <w:basedOn w:val="Normal"/>
    <w:next w:val="Normal"/>
    <w:link w:val="AQISNumChar"/>
    <w:rsid w:val="00B8782D"/>
    <w:pPr>
      <w:numPr>
        <w:numId w:val="9"/>
      </w:numPr>
      <w:spacing w:before="60" w:after="0" w:line="280" w:lineRule="atLeast"/>
    </w:pPr>
    <w:rPr>
      <w:rFonts w:ascii="Times New Roman" w:hAnsi="Times New Roman"/>
      <w:sz w:val="24"/>
      <w:szCs w:val="20"/>
    </w:rPr>
  </w:style>
  <w:style w:type="character" w:customStyle="1" w:styleId="TableTextChar">
    <w:name w:val="Table Text Char"/>
    <w:basedOn w:val="DefaultParagraphFont"/>
    <w:link w:val="TableText"/>
    <w:rsid w:val="00B8782D"/>
    <w:rPr>
      <w:rFonts w:ascii="Cambria" w:eastAsia="Calibri" w:hAnsi="Cambria" w:cs="Times New Roman"/>
      <w:sz w:val="18"/>
    </w:rPr>
  </w:style>
  <w:style w:type="character" w:customStyle="1" w:styleId="AQISNumChar">
    <w:name w:val="AQIS Num Char"/>
    <w:basedOn w:val="DefaultParagraphFont"/>
    <w:link w:val="AQISNum"/>
    <w:rsid w:val="00B8782D"/>
    <w:rPr>
      <w:rFonts w:ascii="Times New Roman" w:eastAsia="Calibri" w:hAnsi="Times New Roman" w:cs="Times New Roman"/>
      <w:sz w:val="24"/>
      <w:szCs w:val="20"/>
    </w:rPr>
  </w:style>
  <w:style w:type="paragraph" w:customStyle="1" w:styleId="Heading6plain">
    <w:name w:val="Heading 6 plain"/>
    <w:basedOn w:val="Heading5"/>
    <w:link w:val="Heading6plainChar"/>
    <w:qFormat/>
    <w:rsid w:val="00B8782D"/>
    <w:rPr>
      <w:b w:val="0"/>
    </w:rPr>
  </w:style>
  <w:style w:type="character" w:customStyle="1" w:styleId="Heading6plainChar">
    <w:name w:val="Heading 6 plain Char"/>
    <w:basedOn w:val="Heading5Char"/>
    <w:link w:val="Heading6plain"/>
    <w:rsid w:val="00B8782D"/>
    <w:rPr>
      <w:rFonts w:ascii="Calibri" w:eastAsia="Calibri" w:hAnsi="Calibri" w:cs="Times New Roman"/>
      <w:b w:val="0"/>
      <w:i/>
    </w:rPr>
  </w:style>
  <w:style w:type="numbering" w:customStyle="1" w:styleId="List1">
    <w:name w:val="List1"/>
    <w:basedOn w:val="NoList"/>
    <w:uiPriority w:val="99"/>
    <w:rsid w:val="00B8782D"/>
    <w:pPr>
      <w:numPr>
        <w:numId w:val="10"/>
      </w:numPr>
    </w:pPr>
  </w:style>
  <w:style w:type="character" w:customStyle="1" w:styleId="CaptionChar">
    <w:name w:val="Caption Char"/>
    <w:basedOn w:val="Heading1Char"/>
    <w:link w:val="Caption"/>
    <w:rsid w:val="00B8782D"/>
    <w:rPr>
      <w:rFonts w:ascii="Cambria" w:eastAsia="Times New Roman" w:hAnsi="Cambria" w:cs="Times New Roman"/>
      <w:b/>
      <w:bCs/>
      <w:color w:val="595959"/>
      <w:sz w:val="20"/>
      <w:szCs w:val="18"/>
    </w:rPr>
  </w:style>
  <w:style w:type="paragraph" w:customStyle="1" w:styleId="Style1">
    <w:name w:val="Style1"/>
    <w:basedOn w:val="Heading3"/>
    <w:qFormat/>
    <w:rsid w:val="00B8782D"/>
  </w:style>
  <w:style w:type="paragraph" w:customStyle="1" w:styleId="Heading3Nonumber">
    <w:name w:val="Heading 3 No number"/>
    <w:basedOn w:val="Heading3"/>
    <w:qFormat/>
    <w:rsid w:val="00B8782D"/>
    <w:pPr>
      <w:ind w:left="0" w:firstLine="0"/>
    </w:pPr>
  </w:style>
  <w:style w:type="paragraph" w:customStyle="1" w:styleId="FigureName">
    <w:name w:val="FigureName"/>
    <w:basedOn w:val="Normal"/>
    <w:link w:val="FigureNameChar"/>
    <w:rsid w:val="00B8782D"/>
    <w:pPr>
      <w:keepNext/>
      <w:keepLines/>
      <w:tabs>
        <w:tab w:val="left" w:pos="1276"/>
      </w:tabs>
      <w:spacing w:before="360" w:after="360" w:line="240" w:lineRule="atLeast"/>
      <w:ind w:left="1276" w:hanging="1276"/>
      <w:outlineLvl w:val="8"/>
    </w:pPr>
    <w:rPr>
      <w:rFonts w:ascii="Arial" w:eastAsia="Times New Roman" w:hAnsi="Arial"/>
      <w:b/>
      <w:color w:val="000000"/>
      <w:szCs w:val="24"/>
    </w:rPr>
  </w:style>
  <w:style w:type="character" w:customStyle="1" w:styleId="FigureNameChar">
    <w:name w:val="FigureName Char"/>
    <w:basedOn w:val="DefaultParagraphFont"/>
    <w:link w:val="FigureName"/>
    <w:rsid w:val="00B8782D"/>
    <w:rPr>
      <w:rFonts w:ascii="Arial" w:eastAsia="Times New Roman" w:hAnsi="Arial" w:cs="Times New Roman"/>
      <w:b/>
      <w:color w:val="000000"/>
      <w:szCs w:val="24"/>
    </w:rPr>
  </w:style>
  <w:style w:type="paragraph" w:customStyle="1" w:styleId="BAText1">
    <w:name w:val="BA Text 1"/>
    <w:basedOn w:val="Normal"/>
    <w:link w:val="BAText1Char"/>
    <w:rsid w:val="00B8782D"/>
    <w:pPr>
      <w:spacing w:before="0" w:after="0" w:line="280" w:lineRule="atLeast"/>
      <w:jc w:val="both"/>
    </w:pPr>
    <w:rPr>
      <w:rFonts w:ascii="Times" w:eastAsia="Times New Roman" w:hAnsi="Times"/>
      <w:sz w:val="24"/>
      <w:szCs w:val="24"/>
    </w:rPr>
  </w:style>
  <w:style w:type="character" w:customStyle="1" w:styleId="BAText1Char">
    <w:name w:val="BA Text 1 Char"/>
    <w:basedOn w:val="DefaultParagraphFont"/>
    <w:link w:val="BAText1"/>
    <w:rsid w:val="00B8782D"/>
    <w:rPr>
      <w:rFonts w:ascii="Times" w:eastAsia="Times New Roman" w:hAnsi="Times" w:cs="Times New Roman"/>
      <w:sz w:val="24"/>
      <w:szCs w:val="24"/>
    </w:rPr>
  </w:style>
  <w:style w:type="paragraph" w:customStyle="1" w:styleId="Bullet">
    <w:name w:val="Bullet"/>
    <w:basedOn w:val="Normal"/>
    <w:link w:val="BulletChar"/>
    <w:rsid w:val="00B8782D"/>
    <w:pPr>
      <w:spacing w:before="0" w:after="180" w:line="275" w:lineRule="atLeast"/>
    </w:pPr>
    <w:rPr>
      <w:rFonts w:ascii="Calibri" w:hAnsi="Calibri"/>
      <w:color w:val="000000"/>
      <w:sz w:val="24"/>
    </w:rPr>
  </w:style>
  <w:style w:type="character" w:customStyle="1" w:styleId="BulletChar">
    <w:name w:val="Bullet Char"/>
    <w:basedOn w:val="DefaultParagraphFont"/>
    <w:link w:val="Bullet"/>
    <w:rsid w:val="00B8782D"/>
    <w:rPr>
      <w:rFonts w:ascii="Calibri" w:eastAsia="Calibri" w:hAnsi="Calibri" w:cs="Times New Roman"/>
      <w:color w:val="000000"/>
      <w:sz w:val="24"/>
    </w:rPr>
  </w:style>
  <w:style w:type="paragraph" w:customStyle="1" w:styleId="BAText1bullet">
    <w:name w:val="BA Text 1 bullet"/>
    <w:basedOn w:val="BAText1"/>
    <w:link w:val="BAText1bulletChar"/>
    <w:rsid w:val="00B8782D"/>
    <w:pPr>
      <w:numPr>
        <w:numId w:val="23"/>
      </w:numPr>
    </w:pPr>
  </w:style>
  <w:style w:type="character" w:customStyle="1" w:styleId="BAText1bulletChar">
    <w:name w:val="BA Text 1 bullet Char"/>
    <w:basedOn w:val="BAText1Char"/>
    <w:link w:val="BAText1bullet"/>
    <w:rsid w:val="00B8782D"/>
    <w:rPr>
      <w:rFonts w:ascii="Times" w:eastAsia="Times New Roman" w:hAnsi="Times" w:cs="Times New Roman"/>
      <w:sz w:val="24"/>
      <w:szCs w:val="24"/>
    </w:rPr>
  </w:style>
  <w:style w:type="paragraph" w:customStyle="1" w:styleId="TableName">
    <w:name w:val="TableName"/>
    <w:basedOn w:val="Normal"/>
    <w:rsid w:val="00B8782D"/>
    <w:pPr>
      <w:keepNext/>
      <w:keepLines/>
      <w:tabs>
        <w:tab w:val="left" w:pos="1440"/>
      </w:tabs>
      <w:spacing w:before="240" w:after="120" w:line="240" w:lineRule="auto"/>
      <w:ind w:left="1440" w:hanging="1440"/>
    </w:pPr>
    <w:rPr>
      <w:rFonts w:ascii="Arial Bold" w:eastAsia="Times New Roman" w:hAnsi="Arial Bold"/>
      <w:b/>
      <w:color w:val="000000"/>
    </w:rPr>
  </w:style>
  <w:style w:type="paragraph" w:customStyle="1" w:styleId="Heading2a">
    <w:name w:val="Heading 2a"/>
    <w:basedOn w:val="Heading2"/>
    <w:rsid w:val="00B8782D"/>
    <w:pPr>
      <w:keepLines w:val="0"/>
      <w:overflowPunct w:val="0"/>
      <w:autoSpaceDE w:val="0"/>
      <w:autoSpaceDN w:val="0"/>
      <w:adjustRightInd w:val="0"/>
      <w:spacing w:before="360" w:line="340" w:lineRule="atLeast"/>
      <w:ind w:left="0" w:firstLine="0"/>
      <w:textAlignment w:val="baseline"/>
      <w:outlineLvl w:val="9"/>
    </w:pPr>
    <w:rPr>
      <w:rFonts w:ascii="Arial" w:hAnsi="Arial" w:cs="Arial"/>
      <w:color w:val="000000"/>
      <w:szCs w:val="20"/>
    </w:rPr>
  </w:style>
  <w:style w:type="paragraph" w:customStyle="1" w:styleId="TableHeadings">
    <w:name w:val="TableHeadings"/>
    <w:basedOn w:val="TableText0"/>
    <w:rsid w:val="00B8782D"/>
    <w:pPr>
      <w:spacing w:before="40"/>
    </w:pPr>
    <w:rPr>
      <w:rFonts w:ascii="Arial" w:eastAsia="Times New Roman" w:hAnsi="Arial"/>
      <w:b/>
    </w:rPr>
  </w:style>
  <w:style w:type="paragraph" w:customStyle="1" w:styleId="Body">
    <w:name w:val="Body"/>
    <w:basedOn w:val="BAText1"/>
    <w:link w:val="BodyChar"/>
    <w:qFormat/>
    <w:rsid w:val="00B8782D"/>
    <w:pPr>
      <w:spacing w:before="180"/>
      <w:jc w:val="left"/>
    </w:pPr>
    <w:rPr>
      <w:rFonts w:eastAsia="TimesNewRoman"/>
    </w:rPr>
  </w:style>
  <w:style w:type="paragraph" w:customStyle="1" w:styleId="Bullets">
    <w:name w:val="Bullets"/>
    <w:basedOn w:val="Normal"/>
    <w:link w:val="BulletsChar"/>
    <w:qFormat/>
    <w:rsid w:val="00B8782D"/>
    <w:pPr>
      <w:autoSpaceDE w:val="0"/>
      <w:autoSpaceDN w:val="0"/>
      <w:adjustRightInd w:val="0"/>
      <w:spacing w:before="120" w:after="60" w:line="280" w:lineRule="atLeast"/>
      <w:ind w:left="360" w:hanging="360"/>
    </w:pPr>
    <w:rPr>
      <w:rFonts w:ascii="Times New Roman" w:eastAsia="Times New Roman" w:hAnsi="Times New Roman"/>
      <w:color w:val="000000"/>
      <w:sz w:val="24"/>
      <w:szCs w:val="24"/>
      <w:lang w:eastAsia="en-AU"/>
    </w:rPr>
  </w:style>
  <w:style w:type="character" w:customStyle="1" w:styleId="BodyChar">
    <w:name w:val="Body Char"/>
    <w:basedOn w:val="BAText1Char"/>
    <w:link w:val="Body"/>
    <w:rsid w:val="00B8782D"/>
    <w:rPr>
      <w:rFonts w:ascii="Times" w:eastAsia="TimesNewRoman" w:hAnsi="Times" w:cs="Times New Roman"/>
      <w:sz w:val="24"/>
      <w:szCs w:val="24"/>
    </w:rPr>
  </w:style>
  <w:style w:type="character" w:customStyle="1" w:styleId="BulletsChar">
    <w:name w:val="Bullets Char"/>
    <w:basedOn w:val="BAText1bulletChar"/>
    <w:link w:val="Bullets"/>
    <w:rsid w:val="00B8782D"/>
    <w:rPr>
      <w:rFonts w:ascii="Times New Roman" w:eastAsia="Times New Roman" w:hAnsi="Times New Roman" w:cs="Times New Roman"/>
      <w:color w:val="000000"/>
      <w:sz w:val="24"/>
      <w:szCs w:val="24"/>
      <w:lang w:eastAsia="en-AU"/>
    </w:rPr>
  </w:style>
  <w:style w:type="paragraph" w:customStyle="1" w:styleId="BAHeader4">
    <w:name w:val="BA Header 4"/>
    <w:link w:val="BAHeader4CharChar"/>
    <w:rsid w:val="00B8782D"/>
    <w:pPr>
      <w:spacing w:before="240" w:after="120" w:line="240" w:lineRule="auto"/>
    </w:pPr>
    <w:rPr>
      <w:rFonts w:ascii="Arial" w:eastAsia="Times New Roman" w:hAnsi="Arial" w:cs="Times New Roman"/>
      <w:i/>
      <w:sz w:val="24"/>
    </w:rPr>
  </w:style>
  <w:style w:type="character" w:customStyle="1" w:styleId="BAHeader4CharChar">
    <w:name w:val="BA Header 4 Char Char"/>
    <w:basedOn w:val="DefaultParagraphFont"/>
    <w:link w:val="BAHeader4"/>
    <w:rsid w:val="00B8782D"/>
    <w:rPr>
      <w:rFonts w:ascii="Arial" w:eastAsia="Times New Roman" w:hAnsi="Arial" w:cs="Times New Roman"/>
      <w:i/>
      <w:sz w:val="24"/>
    </w:rPr>
  </w:style>
  <w:style w:type="paragraph" w:customStyle="1" w:styleId="Default">
    <w:name w:val="Default"/>
    <w:rsid w:val="00B8782D"/>
    <w:pPr>
      <w:autoSpaceDE w:val="0"/>
      <w:autoSpaceDN w:val="0"/>
      <w:adjustRightInd w:val="0"/>
      <w:spacing w:after="0" w:line="240" w:lineRule="auto"/>
    </w:pPr>
    <w:rPr>
      <w:rFonts w:ascii="Cambria" w:eastAsia="Times New Roman" w:hAnsi="Cambria" w:cs="Cambria"/>
      <w:color w:val="000000"/>
      <w:sz w:val="24"/>
      <w:szCs w:val="24"/>
      <w:lang w:eastAsia="en-AU"/>
    </w:rPr>
  </w:style>
  <w:style w:type="numbering" w:customStyle="1" w:styleId="Style5">
    <w:name w:val="Style5"/>
    <w:uiPriority w:val="99"/>
    <w:rsid w:val="00B8782D"/>
    <w:pPr>
      <w:numPr>
        <w:numId w:val="33"/>
      </w:numPr>
    </w:pPr>
  </w:style>
  <w:style w:type="paragraph" w:styleId="Revision">
    <w:name w:val="Revision"/>
    <w:hidden/>
    <w:uiPriority w:val="99"/>
    <w:semiHidden/>
    <w:rsid w:val="00B8782D"/>
    <w:pPr>
      <w:spacing w:after="0" w:line="240" w:lineRule="auto"/>
    </w:pPr>
    <w:rPr>
      <w:rFonts w:ascii="Cambria" w:eastAsia="Calibri" w:hAnsi="Cambria" w:cs="Times New Roman"/>
    </w:rPr>
  </w:style>
  <w:style w:type="paragraph" w:customStyle="1" w:styleId="EndNoteBibliographyTitle">
    <w:name w:val="EndNote Bibliography Title"/>
    <w:basedOn w:val="Normal"/>
    <w:link w:val="EndNoteBibliographyTitleChar"/>
    <w:rsid w:val="00B8782D"/>
    <w:pPr>
      <w:spacing w:after="0"/>
      <w:jc w:val="center"/>
    </w:pPr>
    <w:rPr>
      <w:noProof/>
      <w:sz w:val="18"/>
      <w:lang w:val="en-US"/>
    </w:rPr>
  </w:style>
  <w:style w:type="character" w:customStyle="1" w:styleId="EndNoteBibliographyTitleChar">
    <w:name w:val="EndNote Bibliography Title Char"/>
    <w:basedOn w:val="TableTextChar"/>
    <w:link w:val="EndNoteBibliographyTitle"/>
    <w:rsid w:val="00B8782D"/>
    <w:rPr>
      <w:rFonts w:ascii="Cambria" w:eastAsia="Calibri" w:hAnsi="Cambria" w:cs="Times New Roman"/>
      <w:noProof/>
      <w:sz w:val="18"/>
      <w:lang w:val="en-US"/>
    </w:rPr>
  </w:style>
  <w:style w:type="paragraph" w:customStyle="1" w:styleId="EndNoteBibliography">
    <w:name w:val="EndNote Bibliography"/>
    <w:basedOn w:val="Normal"/>
    <w:link w:val="EndNoteBibliographyChar"/>
    <w:rsid w:val="00B8782D"/>
    <w:pPr>
      <w:spacing w:line="240" w:lineRule="auto"/>
    </w:pPr>
    <w:rPr>
      <w:noProof/>
      <w:sz w:val="18"/>
      <w:lang w:val="en-US"/>
    </w:rPr>
  </w:style>
  <w:style w:type="character" w:customStyle="1" w:styleId="EndNoteBibliographyChar">
    <w:name w:val="EndNote Bibliography Char"/>
    <w:basedOn w:val="TableTextChar"/>
    <w:link w:val="EndNoteBibliography"/>
    <w:rsid w:val="00B8782D"/>
    <w:rPr>
      <w:rFonts w:ascii="Cambria" w:eastAsia="Calibri" w:hAnsi="Cambria" w:cs="Times New Roman"/>
      <w:noProof/>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5.jpeg"/><Relationship Id="rId42" Type="http://schemas.openxmlformats.org/officeDocument/2006/relationships/image" Target="media/image15.wmf"/><Relationship Id="rId47" Type="http://schemas.openxmlformats.org/officeDocument/2006/relationships/image" Target="media/image20.wmf"/><Relationship Id="rId63" Type="http://schemas.openxmlformats.org/officeDocument/2006/relationships/header" Target="header17.xml"/><Relationship Id="rId68"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yperlink" Target="http://www.daff.gov.au/ba/ira/process-handbook" TargetMode="External"/><Relationship Id="rId11" Type="http://schemas.openxmlformats.org/officeDocument/2006/relationships/hyperlink" Target="http://creativecommons.org/licenses/by/3.0/au/deed.en" TargetMode="External"/><Relationship Id="rId24" Type="http://schemas.openxmlformats.org/officeDocument/2006/relationships/image" Target="media/image7.jpeg"/><Relationship Id="rId32" Type="http://schemas.openxmlformats.org/officeDocument/2006/relationships/header" Target="header9.xml"/><Relationship Id="rId37" Type="http://schemas.openxmlformats.org/officeDocument/2006/relationships/chart" Target="charts/chart1.xml"/><Relationship Id="rId40" Type="http://schemas.openxmlformats.org/officeDocument/2006/relationships/image" Target="media/image13.wmf"/><Relationship Id="rId45" Type="http://schemas.openxmlformats.org/officeDocument/2006/relationships/image" Target="media/image18.wmf"/><Relationship Id="rId53" Type="http://schemas.openxmlformats.org/officeDocument/2006/relationships/header" Target="header12.xml"/><Relationship Id="rId58" Type="http://schemas.openxmlformats.org/officeDocument/2006/relationships/header" Target="header16.xml"/><Relationship Id="rId66" Type="http://schemas.openxmlformats.org/officeDocument/2006/relationships/hyperlink" Target="http://www.comlaw.gov.au/Details/F2010C00203" TargetMode="External"/><Relationship Id="rId74"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hyperlink" Target="http://www.comlaw.gov.au/Details/F2014C00035" TargetMode="External"/><Relationship Id="rId19" Type="http://schemas.openxmlformats.org/officeDocument/2006/relationships/footer" Target="footer3.xml"/><Relationship Id="rId14" Type="http://schemas.openxmlformats.org/officeDocument/2006/relationships/hyperlink" Target="http://daff.gov.au" TargetMode="External"/><Relationship Id="rId22" Type="http://schemas.openxmlformats.org/officeDocument/2006/relationships/image" Target="media/image6.jpeg"/><Relationship Id="rId27" Type="http://schemas.openxmlformats.org/officeDocument/2006/relationships/header" Target="header7.xml"/><Relationship Id="rId30" Type="http://schemas.openxmlformats.org/officeDocument/2006/relationships/hyperlink" Target="http://apps.daff.gov.au/icon32/asp/ex_querycontent.asp" TargetMode="External"/><Relationship Id="rId35" Type="http://schemas.openxmlformats.org/officeDocument/2006/relationships/image" Target="media/image9.wmf"/><Relationship Id="rId43" Type="http://schemas.openxmlformats.org/officeDocument/2006/relationships/image" Target="media/image16.wmf"/><Relationship Id="rId48" Type="http://schemas.openxmlformats.org/officeDocument/2006/relationships/image" Target="media/image21.jpeg"/><Relationship Id="rId56" Type="http://schemas.openxmlformats.org/officeDocument/2006/relationships/header" Target="header15.xml"/><Relationship Id="rId64" Type="http://schemas.openxmlformats.org/officeDocument/2006/relationships/header" Target="header18.xml"/><Relationship Id="rId69" Type="http://schemas.openxmlformats.org/officeDocument/2006/relationships/header" Target="header20.xml"/><Relationship Id="rId8" Type="http://schemas.openxmlformats.org/officeDocument/2006/relationships/header" Target="header1.xml"/><Relationship Id="rId51" Type="http://schemas.openxmlformats.org/officeDocument/2006/relationships/header" Target="header11.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creativecommons.org/licenses/by/3.0/au/legalcode"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8.jpeg"/><Relationship Id="rId38" Type="http://schemas.openxmlformats.org/officeDocument/2006/relationships/image" Target="media/image11.wmf"/><Relationship Id="rId46" Type="http://schemas.openxmlformats.org/officeDocument/2006/relationships/image" Target="media/image19.wmf"/><Relationship Id="rId59" Type="http://schemas.openxmlformats.org/officeDocument/2006/relationships/footer" Target="footer6.xml"/><Relationship Id="rId67" Type="http://schemas.openxmlformats.org/officeDocument/2006/relationships/header" Target="header19.xml"/><Relationship Id="rId20" Type="http://schemas.openxmlformats.org/officeDocument/2006/relationships/image" Target="media/image4.png"/><Relationship Id="rId41" Type="http://schemas.openxmlformats.org/officeDocument/2006/relationships/image" Target="media/image14.wmf"/><Relationship Id="rId54" Type="http://schemas.openxmlformats.org/officeDocument/2006/relationships/header" Target="header13.xml"/><Relationship Id="rId62" Type="http://schemas.openxmlformats.org/officeDocument/2006/relationships/hyperlink" Target="http://www.foodstandards.gov.au/code/changes/pages/default.aspx" TargetMode="External"/><Relationship Id="rId70" Type="http://schemas.openxmlformats.org/officeDocument/2006/relationships/header" Target="header21.xml"/><Relationship Id="rId75"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plant@agriculture.gov.au" TargetMode="External"/><Relationship Id="rId23" Type="http://schemas.openxmlformats.org/officeDocument/2006/relationships/header" Target="header4.xml"/><Relationship Id="rId28" Type="http://schemas.openxmlformats.org/officeDocument/2006/relationships/footer" Target="footer4.xml"/><Relationship Id="rId36" Type="http://schemas.openxmlformats.org/officeDocument/2006/relationships/image" Target="media/image10.wmf"/><Relationship Id="rId49" Type="http://schemas.openxmlformats.org/officeDocument/2006/relationships/image" Target="media/image22.jpeg"/><Relationship Id="rId57"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image" Target="media/image17.wmf"/><Relationship Id="rId52" Type="http://schemas.openxmlformats.org/officeDocument/2006/relationships/image" Target="media/image24.emf"/><Relationship Id="rId60" Type="http://schemas.openxmlformats.org/officeDocument/2006/relationships/hyperlink" Target="http://apps.daff.gov.au/icon32/asp/ex_querycontent.asp" TargetMode="External"/><Relationship Id="rId65" Type="http://schemas.openxmlformats.org/officeDocument/2006/relationships/footer" Target="footer7.xml"/><Relationship Id="rId73"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mailto:copyright@agriculture.gov.au" TargetMode="External"/><Relationship Id="rId18" Type="http://schemas.openxmlformats.org/officeDocument/2006/relationships/header" Target="header3.xml"/><Relationship Id="rId39" Type="http://schemas.openxmlformats.org/officeDocument/2006/relationships/image" Target="media/image12.wmf"/><Relationship Id="rId34" Type="http://schemas.openxmlformats.org/officeDocument/2006/relationships/header" Target="header10.xml"/><Relationship Id="rId50" Type="http://schemas.openxmlformats.org/officeDocument/2006/relationships/image" Target="media/image23.jpeg"/><Relationship Id="rId55" Type="http://schemas.openxmlformats.org/officeDocument/2006/relationships/header" Target="header14.xml"/><Relationship Id="rId7" Type="http://schemas.openxmlformats.org/officeDocument/2006/relationships/image" Target="media/image1.jpeg"/><Relationship Id="rId7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ACT001CL04FS04\BioSecurityHome$\Mamun%20Ezaz\Desktop\Working%20Summarfruit\Nectarine%20climate%20Data\NectarineClimateFigures_0403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200">
                <a:latin typeface="Calibri" pitchFamily="34" charset="0"/>
              </a:rPr>
              <a:t>Shijiazhuzang, Hebei</a:t>
            </a:r>
          </a:p>
        </c:rich>
      </c:tx>
      <c:layout>
        <c:manualLayout>
          <c:xMode val="edge"/>
          <c:yMode val="edge"/>
          <c:x val="0.26083750521485244"/>
          <c:y val="2.2094641614474633E-2"/>
        </c:manualLayout>
      </c:layout>
      <c:overlay val="0"/>
    </c:title>
    <c:autoTitleDeleted val="0"/>
    <c:plotArea>
      <c:layout>
        <c:manualLayout>
          <c:layoutTarget val="inner"/>
          <c:xMode val="edge"/>
          <c:yMode val="edge"/>
          <c:x val="0.13569148936170233"/>
          <c:y val="0.17417942472744144"/>
          <c:w val="0.68978480044500134"/>
          <c:h val="0.63445546276965903"/>
        </c:manualLayout>
      </c:layout>
      <c:lineChart>
        <c:grouping val="standard"/>
        <c:varyColors val="0"/>
        <c:ser>
          <c:idx val="0"/>
          <c:order val="0"/>
          <c:tx>
            <c:strRef>
              <c:f>Sheet1!$B$63</c:f>
              <c:strCache>
                <c:ptCount val="1"/>
                <c:pt idx="0">
                  <c:v>mean monthly rainfall </c:v>
                </c:pt>
              </c:strCache>
            </c:strRef>
          </c:tx>
          <c:marker>
            <c:symbol val="diamond"/>
            <c:size val="6"/>
          </c:marker>
          <c:cat>
            <c:strRef>
              <c:f>Sheet1!$A$64:$A$75</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Sheet1!$B$64:$B$75</c:f>
              <c:numCache>
                <c:formatCode>General</c:formatCode>
                <c:ptCount val="12"/>
                <c:pt idx="0">
                  <c:v>2</c:v>
                </c:pt>
                <c:pt idx="1">
                  <c:v>3</c:v>
                </c:pt>
                <c:pt idx="2">
                  <c:v>7</c:v>
                </c:pt>
                <c:pt idx="3">
                  <c:v>22</c:v>
                </c:pt>
                <c:pt idx="4">
                  <c:v>48</c:v>
                </c:pt>
                <c:pt idx="5">
                  <c:v>60</c:v>
                </c:pt>
                <c:pt idx="6">
                  <c:v>135</c:v>
                </c:pt>
                <c:pt idx="7">
                  <c:v>80</c:v>
                </c:pt>
                <c:pt idx="8">
                  <c:v>70</c:v>
                </c:pt>
                <c:pt idx="9">
                  <c:v>25</c:v>
                </c:pt>
                <c:pt idx="10">
                  <c:v>5</c:v>
                </c:pt>
                <c:pt idx="11">
                  <c:v>1</c:v>
                </c:pt>
              </c:numCache>
            </c:numRef>
          </c:val>
          <c:smooth val="0"/>
        </c:ser>
        <c:dLbls>
          <c:showLegendKey val="0"/>
          <c:showVal val="0"/>
          <c:showCatName val="0"/>
          <c:showSerName val="0"/>
          <c:showPercent val="0"/>
          <c:showBubbleSize val="0"/>
        </c:dLbls>
        <c:marker val="1"/>
        <c:smooth val="0"/>
        <c:axId val="297046184"/>
        <c:axId val="297047360"/>
      </c:lineChart>
      <c:lineChart>
        <c:grouping val="standard"/>
        <c:varyColors val="0"/>
        <c:ser>
          <c:idx val="1"/>
          <c:order val="1"/>
          <c:tx>
            <c:strRef>
              <c:f>Sheet1!$C$63</c:f>
              <c:strCache>
                <c:ptCount val="1"/>
                <c:pt idx="0">
                  <c:v>Mean maximum temperature</c:v>
                </c:pt>
              </c:strCache>
            </c:strRef>
          </c:tx>
          <c:marker>
            <c:symbol val="square"/>
            <c:size val="5"/>
          </c:marker>
          <c:cat>
            <c:strRef>
              <c:f>Sheet1!$A$64:$A$75</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Sheet1!$C$64:$C$75</c:f>
              <c:numCache>
                <c:formatCode>General</c:formatCode>
                <c:ptCount val="12"/>
                <c:pt idx="0">
                  <c:v>-3</c:v>
                </c:pt>
                <c:pt idx="1">
                  <c:v>3</c:v>
                </c:pt>
                <c:pt idx="2">
                  <c:v>9</c:v>
                </c:pt>
                <c:pt idx="3">
                  <c:v>18</c:v>
                </c:pt>
                <c:pt idx="4">
                  <c:v>24</c:v>
                </c:pt>
                <c:pt idx="5">
                  <c:v>28</c:v>
                </c:pt>
                <c:pt idx="6">
                  <c:v>29</c:v>
                </c:pt>
                <c:pt idx="7">
                  <c:v>28</c:v>
                </c:pt>
                <c:pt idx="8">
                  <c:v>23</c:v>
                </c:pt>
                <c:pt idx="9">
                  <c:v>16</c:v>
                </c:pt>
                <c:pt idx="10">
                  <c:v>7</c:v>
                </c:pt>
                <c:pt idx="11">
                  <c:v>-1</c:v>
                </c:pt>
              </c:numCache>
            </c:numRef>
          </c:val>
          <c:smooth val="0"/>
        </c:ser>
        <c:ser>
          <c:idx val="2"/>
          <c:order val="2"/>
          <c:tx>
            <c:strRef>
              <c:f>Sheet1!$D$63</c:f>
              <c:strCache>
                <c:ptCount val="1"/>
                <c:pt idx="0">
                  <c:v>Mean minimum temperature</c:v>
                </c:pt>
              </c:strCache>
            </c:strRef>
          </c:tx>
          <c:marker>
            <c:symbol val="triangle"/>
            <c:size val="5"/>
          </c:marker>
          <c:cat>
            <c:strRef>
              <c:f>Sheet1!$A$64:$A$75</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Sheet1!$D$64:$D$75</c:f>
              <c:numCache>
                <c:formatCode>General</c:formatCode>
                <c:ptCount val="12"/>
                <c:pt idx="0">
                  <c:v>-17</c:v>
                </c:pt>
                <c:pt idx="1">
                  <c:v>-13</c:v>
                </c:pt>
                <c:pt idx="2">
                  <c:v>-5</c:v>
                </c:pt>
                <c:pt idx="3">
                  <c:v>2</c:v>
                </c:pt>
                <c:pt idx="4">
                  <c:v>9</c:v>
                </c:pt>
                <c:pt idx="5">
                  <c:v>14</c:v>
                </c:pt>
                <c:pt idx="6">
                  <c:v>17</c:v>
                </c:pt>
                <c:pt idx="7">
                  <c:v>15</c:v>
                </c:pt>
                <c:pt idx="8">
                  <c:v>9</c:v>
                </c:pt>
                <c:pt idx="9">
                  <c:v>1</c:v>
                </c:pt>
                <c:pt idx="10">
                  <c:v>-7</c:v>
                </c:pt>
                <c:pt idx="11">
                  <c:v>-14</c:v>
                </c:pt>
              </c:numCache>
            </c:numRef>
          </c:val>
          <c:smooth val="0"/>
        </c:ser>
        <c:dLbls>
          <c:showLegendKey val="0"/>
          <c:showVal val="0"/>
          <c:showCatName val="0"/>
          <c:showSerName val="0"/>
          <c:showPercent val="0"/>
          <c:showBubbleSize val="0"/>
        </c:dLbls>
        <c:marker val="1"/>
        <c:smooth val="0"/>
        <c:axId val="449360560"/>
        <c:axId val="449360168"/>
      </c:lineChart>
      <c:catAx>
        <c:axId val="297046184"/>
        <c:scaling>
          <c:orientation val="minMax"/>
        </c:scaling>
        <c:delete val="0"/>
        <c:axPos val="b"/>
        <c:numFmt formatCode="General" sourceLinked="0"/>
        <c:majorTickMark val="none"/>
        <c:minorTickMark val="none"/>
        <c:tickLblPos val="nextTo"/>
        <c:txPr>
          <a:bodyPr/>
          <a:lstStyle/>
          <a:p>
            <a:pPr>
              <a:defRPr sz="700">
                <a:latin typeface="Calibri" pitchFamily="34" charset="0"/>
              </a:defRPr>
            </a:pPr>
            <a:endParaRPr lang="en-US"/>
          </a:p>
        </c:txPr>
        <c:crossAx val="297047360"/>
        <c:crosses val="autoZero"/>
        <c:auto val="1"/>
        <c:lblAlgn val="ctr"/>
        <c:lblOffset val="100"/>
        <c:noMultiLvlLbl val="0"/>
      </c:catAx>
      <c:valAx>
        <c:axId val="297047360"/>
        <c:scaling>
          <c:orientation val="minMax"/>
          <c:max val="300"/>
        </c:scaling>
        <c:delete val="0"/>
        <c:axPos val="l"/>
        <c:majorGridlines/>
        <c:title>
          <c:tx>
            <c:rich>
              <a:bodyPr/>
              <a:lstStyle/>
              <a:p>
                <a:pPr>
                  <a:defRPr sz="700"/>
                </a:pPr>
                <a:r>
                  <a:rPr lang="en-AU" sz="700"/>
                  <a:t>Rainfall (mm)</a:t>
                </a:r>
              </a:p>
            </c:rich>
          </c:tx>
          <c:layout/>
          <c:overlay val="0"/>
        </c:title>
        <c:numFmt formatCode="General" sourceLinked="1"/>
        <c:majorTickMark val="none"/>
        <c:minorTickMark val="none"/>
        <c:tickLblPos val="nextTo"/>
        <c:txPr>
          <a:bodyPr/>
          <a:lstStyle/>
          <a:p>
            <a:pPr>
              <a:defRPr sz="600"/>
            </a:pPr>
            <a:endParaRPr lang="en-US"/>
          </a:p>
        </c:txPr>
        <c:crossAx val="297046184"/>
        <c:crosses val="autoZero"/>
        <c:crossBetween val="between"/>
        <c:majorUnit val="50"/>
      </c:valAx>
      <c:valAx>
        <c:axId val="449360168"/>
        <c:scaling>
          <c:orientation val="minMax"/>
          <c:max val="40"/>
        </c:scaling>
        <c:delete val="0"/>
        <c:axPos val="r"/>
        <c:title>
          <c:tx>
            <c:rich>
              <a:bodyPr rot="-5400000" vert="horz"/>
              <a:lstStyle/>
              <a:p>
                <a:pPr>
                  <a:defRPr sz="700">
                    <a:latin typeface="Calibri" pitchFamily="34" charset="0"/>
                  </a:defRPr>
                </a:pPr>
                <a:r>
                  <a:rPr lang="en-AU" sz="700">
                    <a:latin typeface="Calibri" pitchFamily="34" charset="0"/>
                  </a:rPr>
                  <a:t>Temperature (</a:t>
                </a:r>
                <a:r>
                  <a:rPr lang="en-AU" sz="700">
                    <a:latin typeface="Calibri" pitchFamily="34" charset="0"/>
                    <a:cs typeface="Times New Roman"/>
                  </a:rPr>
                  <a:t>°C</a:t>
                </a:r>
                <a:r>
                  <a:rPr lang="en-AU" sz="700">
                    <a:latin typeface="Calibri" pitchFamily="34" charset="0"/>
                  </a:rPr>
                  <a:t>)</a:t>
                </a:r>
              </a:p>
            </c:rich>
          </c:tx>
          <c:layout/>
          <c:overlay val="0"/>
        </c:title>
        <c:numFmt formatCode="General" sourceLinked="1"/>
        <c:majorTickMark val="out"/>
        <c:minorTickMark val="none"/>
        <c:tickLblPos val="nextTo"/>
        <c:txPr>
          <a:bodyPr/>
          <a:lstStyle/>
          <a:p>
            <a:pPr>
              <a:defRPr sz="600"/>
            </a:pPr>
            <a:endParaRPr lang="en-US"/>
          </a:p>
        </c:txPr>
        <c:crossAx val="449360560"/>
        <c:crosses val="max"/>
        <c:crossBetween val="between"/>
        <c:majorUnit val="5"/>
      </c:valAx>
      <c:catAx>
        <c:axId val="449360560"/>
        <c:scaling>
          <c:orientation val="minMax"/>
        </c:scaling>
        <c:delete val="1"/>
        <c:axPos val="b"/>
        <c:numFmt formatCode="General" sourceLinked="1"/>
        <c:majorTickMark val="out"/>
        <c:minorTickMark val="none"/>
        <c:tickLblPos val="none"/>
        <c:crossAx val="449360168"/>
        <c:crosses val="autoZero"/>
        <c:auto val="1"/>
        <c:lblAlgn val="ctr"/>
        <c:lblOffset val="100"/>
        <c:noMultiLvlLbl val="0"/>
      </c:cat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17571C6D-B705-4906-97A6-76DDDFABFB97}"/>
</file>

<file path=customXml/itemProps2.xml><?xml version="1.0" encoding="utf-8"?>
<ds:datastoreItem xmlns:ds="http://schemas.openxmlformats.org/officeDocument/2006/customXml" ds:itemID="{FDC815C1-7329-41DC-BC13-3B2FB192E2B9}"/>
</file>

<file path=customXml/itemProps3.xml><?xml version="1.0" encoding="utf-8"?>
<ds:datastoreItem xmlns:ds="http://schemas.openxmlformats.org/officeDocument/2006/customXml" ds:itemID="{15102E29-C67F-4212-8667-C5A796CD54AA}"/>
</file>

<file path=docProps/app.xml><?xml version="1.0" encoding="utf-8"?>
<Properties xmlns="http://schemas.openxmlformats.org/officeDocument/2006/extended-properties" xmlns:vt="http://schemas.openxmlformats.org/officeDocument/2006/docPropsVTypes">
  <Template>Normal</Template>
  <TotalTime>2</TotalTime>
  <Pages>291</Pages>
  <Words>83059</Words>
  <Characters>473437</Characters>
  <Application>Microsoft Office Word</Application>
  <DocSecurity>0</DocSecurity>
  <Lines>3945</Lines>
  <Paragraphs>1110</Paragraphs>
  <ScaleCrop>false</ScaleCrop>
  <HeadingPairs>
    <vt:vector size="2" baseType="variant">
      <vt:variant>
        <vt:lpstr>Title</vt:lpstr>
      </vt:variant>
      <vt:variant>
        <vt:i4>1</vt:i4>
      </vt:variant>
    </vt:vector>
  </HeadingPairs>
  <TitlesOfParts>
    <vt:vector size="1" baseType="lpstr">
      <vt:lpstr/>
    </vt:vector>
  </TitlesOfParts>
  <Company>Department of Agriculture</Company>
  <LinksUpToDate>false</LinksUpToDate>
  <CharactersWithSpaces>555386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Melissa</dc:creator>
  <cp:keywords/>
  <dc:description/>
  <cp:lastModifiedBy>Mamun, Ezaz</cp:lastModifiedBy>
  <cp:revision>2</cp:revision>
  <cp:lastPrinted>2016-04-13T02:18:00Z</cp:lastPrinted>
  <dcterms:created xsi:type="dcterms:W3CDTF">2016-04-13T03:58:00Z</dcterms:created>
  <dcterms:modified xsi:type="dcterms:W3CDTF">2016-04-13T03:58:00Z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