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B48" w:rsidRPr="002C4B48" w:rsidRDefault="002C4B48" w:rsidP="00530A65">
      <w:pPr>
        <w:pStyle w:val="Heading1"/>
      </w:pPr>
      <w:bookmarkStart w:id="0" w:name="_Toc425145189"/>
      <w:bookmarkStart w:id="1" w:name="_Toc425148905"/>
      <w:bookmarkStart w:id="2" w:name="_Toc425156675"/>
      <w:bookmarkStart w:id="3" w:name="OLE_LINK4"/>
      <w:bookmarkStart w:id="4" w:name="OLE_LINK5"/>
      <w:bookmarkStart w:id="5" w:name="_Toc433713852"/>
      <w:r w:rsidRPr="002C4B48">
        <w:t xml:space="preserve">Cost </w:t>
      </w:r>
      <w:r w:rsidRPr="00530A65">
        <w:t>Recovery</w:t>
      </w:r>
      <w:r w:rsidRPr="002C4B48">
        <w:t xml:space="preserve"> Implementation Statement</w:t>
      </w:r>
      <w:r w:rsidRPr="002C4B48">
        <w:br/>
        <w:t>Biosecurity</w:t>
      </w:r>
      <w:bookmarkEnd w:id="0"/>
      <w:bookmarkEnd w:id="1"/>
      <w:bookmarkEnd w:id="2"/>
      <w:r w:rsidRPr="002C4B48">
        <w:t xml:space="preserve"> </w:t>
      </w:r>
      <w:bookmarkEnd w:id="3"/>
      <w:bookmarkEnd w:id="4"/>
      <w:r w:rsidRPr="002C4B48">
        <w:t>2015–16</w:t>
      </w:r>
      <w:bookmarkEnd w:id="5"/>
    </w:p>
    <w:p w:rsidR="002C4B48" w:rsidRPr="002C4B48" w:rsidRDefault="002C4B48" w:rsidP="002C4B48">
      <w:pPr>
        <w:spacing w:before="120" w:after="360"/>
        <w:rPr>
          <w:b/>
          <w:i/>
          <w:sz w:val="24"/>
          <w:szCs w:val="20"/>
        </w:rPr>
      </w:pPr>
      <w:bookmarkStart w:id="6" w:name="_Toc425145190"/>
      <w:bookmarkStart w:id="7" w:name="_Toc425156676"/>
      <w:r w:rsidRPr="002C4B48">
        <w:rPr>
          <w:b/>
          <w:i/>
          <w:noProof/>
          <w:sz w:val="24"/>
          <w:szCs w:val="20"/>
          <w:lang w:eastAsia="en-AU"/>
        </w:rPr>
        <w:drawing>
          <wp:inline distT="0" distB="0" distL="0" distR="0" wp14:anchorId="47F4B9A7" wp14:editId="12830D7E">
            <wp:extent cx="5759450" cy="5627913"/>
            <wp:effectExtent l="0" t="0" r="0" b="0"/>
            <wp:docPr id="2" name="Picture 3" descr="Department of Agriculture and Water Resources"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_exp3_kaleid1_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5627913"/>
                    </a:xfrm>
                    <a:prstGeom prst="rect">
                      <a:avLst/>
                    </a:prstGeom>
                    <a:noFill/>
                    <a:ln>
                      <a:noFill/>
                    </a:ln>
                  </pic:spPr>
                </pic:pic>
              </a:graphicData>
            </a:graphic>
          </wp:inline>
        </w:drawing>
      </w:r>
    </w:p>
    <w:p w:rsidR="002C4B48" w:rsidRPr="002C4B48" w:rsidRDefault="002C4B48" w:rsidP="002C4B48">
      <w:pPr>
        <w:keepNext/>
        <w:pageBreakBefore/>
        <w:rPr>
          <w:sz w:val="20"/>
          <w:szCs w:val="20"/>
        </w:rPr>
      </w:pPr>
      <w:r w:rsidRPr="002C4B48">
        <w:rPr>
          <w:sz w:val="20"/>
          <w:szCs w:val="20"/>
        </w:rPr>
        <w:lastRenderedPageBreak/>
        <w:t>© Commonwealth of Australia 2015</w:t>
      </w:r>
    </w:p>
    <w:p w:rsidR="002C4B48" w:rsidRPr="002C4B48" w:rsidRDefault="002C4B48" w:rsidP="002C4B48">
      <w:pPr>
        <w:spacing w:after="0"/>
        <w:rPr>
          <w:b/>
          <w:bCs/>
          <w:sz w:val="20"/>
          <w:szCs w:val="20"/>
        </w:rPr>
      </w:pPr>
      <w:r w:rsidRPr="002C4B48">
        <w:rPr>
          <w:b/>
          <w:bCs/>
          <w:sz w:val="20"/>
          <w:szCs w:val="20"/>
        </w:rPr>
        <w:t>Ownership of intellectual property rights</w:t>
      </w:r>
    </w:p>
    <w:p w:rsidR="002C4B48" w:rsidRPr="002C4B48" w:rsidRDefault="002C4B48" w:rsidP="002C4B48">
      <w:pPr>
        <w:rPr>
          <w:sz w:val="20"/>
          <w:szCs w:val="20"/>
        </w:rPr>
      </w:pPr>
      <w:r w:rsidRPr="002C4B48">
        <w:rPr>
          <w:sz w:val="20"/>
          <w:szCs w:val="20"/>
        </w:rPr>
        <w:t>Unless otherwise noted, copyright (and any other intellectual property rights, if any) in this publication is owned by the Commonwealth of Australia (referred to as the Commonwealth).</w:t>
      </w:r>
    </w:p>
    <w:p w:rsidR="002C4B48" w:rsidRPr="002C4B48" w:rsidRDefault="002C4B48" w:rsidP="002C4B48">
      <w:pPr>
        <w:spacing w:after="0"/>
        <w:rPr>
          <w:b/>
          <w:bCs/>
          <w:sz w:val="20"/>
          <w:szCs w:val="20"/>
        </w:rPr>
      </w:pPr>
      <w:proofErr w:type="gramStart"/>
      <w:r w:rsidRPr="002C4B48">
        <w:rPr>
          <w:b/>
          <w:bCs/>
          <w:sz w:val="20"/>
          <w:szCs w:val="20"/>
        </w:rPr>
        <w:t>Creative Commons</w:t>
      </w:r>
      <w:proofErr w:type="gramEnd"/>
      <w:r w:rsidRPr="002C4B48">
        <w:rPr>
          <w:b/>
          <w:bCs/>
          <w:sz w:val="20"/>
          <w:szCs w:val="20"/>
        </w:rPr>
        <w:t xml:space="preserve"> licence</w:t>
      </w:r>
    </w:p>
    <w:p w:rsidR="002C4B48" w:rsidRPr="002C4B48" w:rsidRDefault="002C4B48" w:rsidP="002C4B48">
      <w:pPr>
        <w:rPr>
          <w:sz w:val="20"/>
          <w:szCs w:val="20"/>
        </w:rPr>
      </w:pPr>
      <w:r w:rsidRPr="002C4B48">
        <w:rPr>
          <w:sz w:val="20"/>
          <w:szCs w:val="20"/>
        </w:rPr>
        <w:t>All material in this publication is licensed under a Creative Commons Attribution 3.0 Australia Licence, save for content supplied by third parties, logos and the Commonwealth Coat of Arms.</w:t>
      </w:r>
    </w:p>
    <w:p w:rsidR="002C4B48" w:rsidRPr="002C4B48" w:rsidRDefault="002C4B48" w:rsidP="002C4B48">
      <w:pPr>
        <w:rPr>
          <w:sz w:val="20"/>
          <w:szCs w:val="20"/>
        </w:rPr>
      </w:pPr>
      <w:r w:rsidRPr="002C4B48">
        <w:rPr>
          <w:noProof/>
          <w:sz w:val="20"/>
          <w:szCs w:val="20"/>
          <w:lang w:eastAsia="en-AU"/>
        </w:rPr>
        <w:drawing>
          <wp:inline distT="0" distB="0" distL="0" distR="0" wp14:anchorId="48A95BBC" wp14:editId="243127A5">
            <wp:extent cx="724535" cy="255270"/>
            <wp:effectExtent l="0" t="0" r="0" b="0"/>
            <wp:docPr id="7" name="Picture 7" descr="Creative Commons logo"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2C4B48" w:rsidRPr="002C4B48" w:rsidRDefault="002C4B48" w:rsidP="002C4B48">
      <w:pPr>
        <w:rPr>
          <w:sz w:val="20"/>
          <w:szCs w:val="20"/>
        </w:rPr>
      </w:pPr>
      <w:r w:rsidRPr="002C4B48">
        <w:rPr>
          <w:sz w:val="20"/>
          <w:szCs w:val="20"/>
        </w:rP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2C4B48">
          <w:rPr>
            <w:color w:val="0000FF"/>
            <w:sz w:val="20"/>
            <w:szCs w:val="20"/>
            <w:u w:val="single"/>
          </w:rPr>
          <w:t>creativecommons.org/licenses/by/3.0/au/</w:t>
        </w:r>
        <w:proofErr w:type="spellStart"/>
        <w:r w:rsidRPr="002C4B48">
          <w:rPr>
            <w:color w:val="0000FF"/>
            <w:sz w:val="20"/>
            <w:szCs w:val="20"/>
            <w:u w:val="single"/>
          </w:rPr>
          <w:t>deed.en</w:t>
        </w:r>
        <w:proofErr w:type="spellEnd"/>
      </w:hyperlink>
      <w:r w:rsidRPr="002C4B48">
        <w:rPr>
          <w:sz w:val="20"/>
          <w:szCs w:val="20"/>
        </w:rPr>
        <w:t xml:space="preserve">. The full licence terms are available from </w:t>
      </w:r>
      <w:hyperlink r:id="rId14" w:history="1">
        <w:r w:rsidRPr="002C4B48">
          <w:rPr>
            <w:color w:val="0000FF"/>
            <w:sz w:val="20"/>
            <w:szCs w:val="20"/>
            <w:u w:val="single"/>
          </w:rPr>
          <w:t>creativecommons.org/licenses/by/3.0/au/</w:t>
        </w:r>
        <w:proofErr w:type="spellStart"/>
        <w:r w:rsidRPr="002C4B48">
          <w:rPr>
            <w:color w:val="0000FF"/>
            <w:sz w:val="20"/>
            <w:szCs w:val="20"/>
            <w:u w:val="single"/>
          </w:rPr>
          <w:t>legalcode</w:t>
        </w:r>
        <w:proofErr w:type="spellEnd"/>
      </w:hyperlink>
      <w:r w:rsidRPr="002C4B48">
        <w:rPr>
          <w:sz w:val="20"/>
          <w:szCs w:val="20"/>
        </w:rPr>
        <w:t>.</w:t>
      </w:r>
    </w:p>
    <w:p w:rsidR="002C4B48" w:rsidRPr="002C4B48" w:rsidRDefault="002C4B48" w:rsidP="002C4B48">
      <w:pPr>
        <w:rPr>
          <w:sz w:val="20"/>
          <w:szCs w:val="20"/>
        </w:rPr>
      </w:pPr>
      <w:r w:rsidRPr="002C4B48">
        <w:rPr>
          <w:sz w:val="20"/>
          <w:szCs w:val="20"/>
        </w:rPr>
        <w:t xml:space="preserve">Inquiries about the licence and any use of this document </w:t>
      </w:r>
      <w:proofErr w:type="gramStart"/>
      <w:r w:rsidRPr="002C4B48">
        <w:rPr>
          <w:sz w:val="20"/>
          <w:szCs w:val="20"/>
        </w:rPr>
        <w:t>should be sent</w:t>
      </w:r>
      <w:proofErr w:type="gramEnd"/>
      <w:r w:rsidRPr="002C4B48">
        <w:rPr>
          <w:sz w:val="20"/>
          <w:szCs w:val="20"/>
        </w:rPr>
        <w:t xml:space="preserve"> to </w:t>
      </w:r>
      <w:hyperlink r:id="rId15" w:history="1">
        <w:r w:rsidRPr="002C4B48">
          <w:rPr>
            <w:color w:val="0000FF"/>
            <w:sz w:val="20"/>
            <w:szCs w:val="20"/>
            <w:u w:val="single"/>
          </w:rPr>
          <w:t>copyright@agriculture.gov.au</w:t>
        </w:r>
      </w:hyperlink>
      <w:r w:rsidRPr="002C4B48">
        <w:rPr>
          <w:sz w:val="20"/>
          <w:szCs w:val="20"/>
        </w:rPr>
        <w:t>.</w:t>
      </w:r>
    </w:p>
    <w:p w:rsidR="002C4B48" w:rsidRPr="002C4B48" w:rsidRDefault="002C4B48" w:rsidP="002C4B48">
      <w:pPr>
        <w:spacing w:after="0"/>
        <w:rPr>
          <w:b/>
          <w:bCs/>
          <w:sz w:val="20"/>
          <w:szCs w:val="20"/>
        </w:rPr>
      </w:pPr>
      <w:r w:rsidRPr="002C4B48">
        <w:rPr>
          <w:b/>
          <w:bCs/>
          <w:sz w:val="20"/>
          <w:szCs w:val="20"/>
        </w:rPr>
        <w:t>Cataloguing data</w:t>
      </w:r>
    </w:p>
    <w:p w:rsidR="002C4B48" w:rsidRPr="002C4B48" w:rsidRDefault="002C4B48" w:rsidP="002C4B48">
      <w:pPr>
        <w:rPr>
          <w:i/>
          <w:sz w:val="20"/>
          <w:szCs w:val="20"/>
        </w:rPr>
      </w:pPr>
      <w:r w:rsidRPr="002C4B48">
        <w:rPr>
          <w:sz w:val="20"/>
          <w:szCs w:val="20"/>
        </w:rPr>
        <w:t xml:space="preserve">This publication (and any material sourced from it) should be attributed </w:t>
      </w:r>
      <w:proofErr w:type="gramStart"/>
      <w:r w:rsidRPr="002C4B48">
        <w:rPr>
          <w:sz w:val="20"/>
          <w:szCs w:val="20"/>
        </w:rPr>
        <w:t>as:</w:t>
      </w:r>
      <w:proofErr w:type="gramEnd"/>
      <w:r w:rsidRPr="002C4B48">
        <w:rPr>
          <w:sz w:val="20"/>
          <w:szCs w:val="20"/>
        </w:rPr>
        <w:t xml:space="preserve"> DAWR 2015, </w:t>
      </w:r>
      <w:r w:rsidRPr="002C4B48">
        <w:rPr>
          <w:i/>
          <w:sz w:val="20"/>
          <w:szCs w:val="20"/>
        </w:rPr>
        <w:t>Cost Recovery Implementation Statement, Biosecurity 2015–16</w:t>
      </w:r>
      <w:r w:rsidRPr="002C4B48">
        <w:rPr>
          <w:sz w:val="20"/>
          <w:szCs w:val="20"/>
        </w:rPr>
        <w:t>, Department of Agriculture and Water Resources, Canberra, October. CC BY 3.0.</w:t>
      </w:r>
    </w:p>
    <w:p w:rsidR="002C4B48" w:rsidRPr="002C4B48" w:rsidRDefault="002C4B48" w:rsidP="002C4B48">
      <w:pPr>
        <w:spacing w:after="0"/>
        <w:rPr>
          <w:sz w:val="20"/>
          <w:szCs w:val="20"/>
        </w:rPr>
      </w:pPr>
      <w:r w:rsidRPr="002C4B48">
        <w:rPr>
          <w:sz w:val="20"/>
          <w:szCs w:val="20"/>
        </w:rPr>
        <w:t>ISBN 978-1-76003-112-1 (online)</w:t>
      </w:r>
    </w:p>
    <w:p w:rsidR="002C4B48" w:rsidRPr="002C4B48" w:rsidRDefault="002C4B48" w:rsidP="002C4B48">
      <w:pPr>
        <w:spacing w:after="0"/>
        <w:rPr>
          <w:sz w:val="20"/>
          <w:szCs w:val="20"/>
        </w:rPr>
      </w:pPr>
      <w:r w:rsidRPr="002C4B48">
        <w:rPr>
          <w:sz w:val="20"/>
          <w:szCs w:val="20"/>
        </w:rPr>
        <w:t xml:space="preserve">This publication is available at </w:t>
      </w:r>
      <w:hyperlink r:id="rId16" w:history="1">
        <w:r w:rsidRPr="002C4B48">
          <w:rPr>
            <w:color w:val="0000FF"/>
            <w:sz w:val="20"/>
            <w:szCs w:val="20"/>
            <w:u w:val="single"/>
          </w:rPr>
          <w:t>agriculture.gov.au/publications</w:t>
        </w:r>
      </w:hyperlink>
      <w:r w:rsidRPr="002C4B48">
        <w:rPr>
          <w:sz w:val="20"/>
          <w:szCs w:val="20"/>
        </w:rPr>
        <w:t>.</w:t>
      </w:r>
    </w:p>
    <w:p w:rsidR="002C4B48" w:rsidRPr="002C4B48" w:rsidRDefault="002C4B48" w:rsidP="002C4B48">
      <w:pPr>
        <w:spacing w:after="0"/>
        <w:rPr>
          <w:sz w:val="20"/>
          <w:szCs w:val="20"/>
        </w:rPr>
      </w:pPr>
      <w:r w:rsidRPr="002C4B48">
        <w:rPr>
          <w:sz w:val="20"/>
          <w:szCs w:val="20"/>
        </w:rPr>
        <w:t>Department of Agriculture and Water Resources</w:t>
      </w:r>
    </w:p>
    <w:p w:rsidR="002C4B48" w:rsidRPr="002C4B48" w:rsidRDefault="002C4B48" w:rsidP="002C4B48">
      <w:pPr>
        <w:spacing w:after="0"/>
        <w:rPr>
          <w:sz w:val="20"/>
          <w:szCs w:val="20"/>
        </w:rPr>
      </w:pPr>
      <w:r w:rsidRPr="002C4B48">
        <w:rPr>
          <w:sz w:val="20"/>
          <w:szCs w:val="20"/>
        </w:rPr>
        <w:t>Postal address GPO Box 858 Canberra ACT 2601</w:t>
      </w:r>
    </w:p>
    <w:p w:rsidR="002C4B48" w:rsidRPr="002C4B48" w:rsidRDefault="002C4B48" w:rsidP="002C4B48">
      <w:pPr>
        <w:spacing w:after="0"/>
        <w:rPr>
          <w:sz w:val="20"/>
          <w:szCs w:val="20"/>
        </w:rPr>
      </w:pPr>
      <w:r w:rsidRPr="002C4B48">
        <w:rPr>
          <w:sz w:val="20"/>
          <w:szCs w:val="20"/>
        </w:rPr>
        <w:t>Telephone 1800 900 090</w:t>
      </w:r>
    </w:p>
    <w:p w:rsidR="002C4B48" w:rsidRPr="002C4B48" w:rsidRDefault="002C4B48" w:rsidP="002C4B48">
      <w:pPr>
        <w:spacing w:after="120"/>
        <w:rPr>
          <w:sz w:val="20"/>
          <w:szCs w:val="20"/>
        </w:rPr>
      </w:pPr>
      <w:r w:rsidRPr="002C4B48">
        <w:rPr>
          <w:sz w:val="20"/>
          <w:szCs w:val="20"/>
        </w:rPr>
        <w:t xml:space="preserve">Web </w:t>
      </w:r>
      <w:hyperlink r:id="rId17" w:history="1">
        <w:r w:rsidRPr="002C4B48">
          <w:rPr>
            <w:color w:val="0000FF"/>
            <w:sz w:val="20"/>
            <w:szCs w:val="20"/>
            <w:u w:val="single"/>
          </w:rPr>
          <w:t>agriculture.gov.au</w:t>
        </w:r>
      </w:hyperlink>
    </w:p>
    <w:p w:rsidR="002C4B48" w:rsidRPr="002C4B48" w:rsidRDefault="002C4B48" w:rsidP="002C4B48">
      <w:pPr>
        <w:rPr>
          <w:sz w:val="20"/>
          <w:szCs w:val="20"/>
        </w:rPr>
      </w:pPr>
      <w:r w:rsidRPr="002C4B48">
        <w:rPr>
          <w:sz w:val="20"/>
          <w:szCs w:val="20"/>
        </w:rPr>
        <w:t>The Australian Government acting through the Department of Agriculture and Water Resources has exercised due care and skill in preparing and compiling the information and data in this publication. Notwithstanding, the De</w:t>
      </w:r>
      <w:r w:rsidRPr="002C4B48">
        <w:rPr>
          <w:sz w:val="20"/>
          <w:szCs w:val="20"/>
        </w:rPr>
        <w:lastRenderedPageBreak/>
        <w:t>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sdt>
      <w:sdtPr>
        <w:rPr>
          <w:rFonts w:eastAsia="Calibri"/>
          <w:b w:val="0"/>
          <w:bCs w:val="0"/>
          <w:color w:val="auto"/>
          <w:sz w:val="22"/>
          <w:szCs w:val="22"/>
          <w:lang w:val="en-AU"/>
        </w:rPr>
        <w:id w:val="1891533516"/>
        <w:docPartObj>
          <w:docPartGallery w:val="Table of Contents"/>
          <w:docPartUnique/>
        </w:docPartObj>
      </w:sdtPr>
      <w:sdtEndPr>
        <w:rPr>
          <w:noProof/>
        </w:rPr>
      </w:sdtEndPr>
      <w:sdtContent>
        <w:p w:rsidR="006B2570" w:rsidRDefault="006B2570">
          <w:pPr>
            <w:pStyle w:val="TOCHeading"/>
          </w:pPr>
          <w:r>
            <w:t>Contents</w:t>
          </w:r>
        </w:p>
        <w:p w:rsidR="006B2570" w:rsidRPr="006B2570" w:rsidRDefault="006B2570">
          <w:pPr>
            <w:pStyle w:val="TOC1"/>
            <w:rPr>
              <w:rFonts w:asciiTheme="minorHAnsi" w:eastAsiaTheme="minorEastAsia" w:hAnsiTheme="minorHAnsi" w:cstheme="minorBidi"/>
              <w:noProof/>
              <w:lang w:eastAsia="en-AU"/>
            </w:rPr>
          </w:pPr>
          <w:r>
            <w:fldChar w:fldCharType="begin"/>
          </w:r>
          <w:r>
            <w:instrText xml:space="preserve"> TOC \o "1-3" \h \z \u </w:instrText>
          </w:r>
          <w:r>
            <w:fldChar w:fldCharType="separate"/>
          </w:r>
          <w:hyperlink w:anchor="_Toc433713852" w:history="1"/>
        </w:p>
        <w:p w:rsidR="006B2570" w:rsidRPr="006B2570" w:rsidRDefault="00CF2C84">
          <w:pPr>
            <w:pStyle w:val="TOC2"/>
            <w:rPr>
              <w:rFonts w:asciiTheme="minorHAnsi" w:eastAsiaTheme="minorEastAsia" w:hAnsiTheme="minorHAnsi" w:cstheme="minorBidi"/>
              <w:noProof/>
              <w:lang w:eastAsia="en-AU"/>
            </w:rPr>
          </w:pPr>
          <w:hyperlink w:anchor="_Toc433713853" w:history="1">
            <w:r w:rsidR="006B2570" w:rsidRPr="006B2570">
              <w:rPr>
                <w:rStyle w:val="Hyperlink"/>
                <w:noProof/>
                <w:lang w:val="x-none"/>
              </w:rPr>
              <w:t>Glossary</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_Toc433713853 \h </w:instrText>
            </w:r>
            <w:r w:rsidR="006B2570" w:rsidRPr="006B2570">
              <w:rPr>
                <w:noProof/>
                <w:webHidden/>
              </w:rPr>
            </w:r>
            <w:r w:rsidR="006B2570" w:rsidRPr="006B2570">
              <w:rPr>
                <w:noProof/>
                <w:webHidden/>
              </w:rPr>
              <w:fldChar w:fldCharType="separate"/>
            </w:r>
            <w:r>
              <w:rPr>
                <w:noProof/>
                <w:webHidden/>
              </w:rPr>
              <w:t>v</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54" w:history="1">
            <w:r w:rsidR="006B2570" w:rsidRPr="006B2570">
              <w:rPr>
                <w:rStyle w:val="Hyperlink"/>
                <w:noProof/>
                <w:lang w:val="x-none"/>
              </w:rPr>
              <w:t>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Purpose of the cost recovery implementation statement</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_Toc433713854 \h </w:instrText>
            </w:r>
            <w:r w:rsidR="006B2570" w:rsidRPr="006B2570">
              <w:rPr>
                <w:noProof/>
                <w:webHidden/>
              </w:rPr>
            </w:r>
            <w:r w:rsidR="006B2570" w:rsidRPr="006B2570">
              <w:rPr>
                <w:noProof/>
                <w:webHidden/>
              </w:rPr>
              <w:fldChar w:fldCharType="separate"/>
            </w:r>
            <w:r>
              <w:rPr>
                <w:noProof/>
                <w:webHidden/>
              </w:rPr>
              <w:t>1</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55" w:history="1">
            <w:r w:rsidR="006B2570" w:rsidRPr="006B2570">
              <w:rPr>
                <w:rStyle w:val="Hyperlink"/>
                <w:noProof/>
                <w:lang w:val="x-none"/>
              </w:rPr>
              <w:t>1.1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Biosecurity activities (including imported food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_Toc433713855 \h </w:instrText>
            </w:r>
            <w:r w:rsidR="006B2570" w:rsidRPr="006B2570">
              <w:rPr>
                <w:noProof/>
                <w:webHidden/>
              </w:rPr>
            </w:r>
            <w:r w:rsidR="006B2570" w:rsidRPr="006B2570">
              <w:rPr>
                <w:noProof/>
                <w:webHidden/>
              </w:rPr>
              <w:fldChar w:fldCharType="separate"/>
            </w:r>
            <w:r>
              <w:rPr>
                <w:noProof/>
                <w:webHidden/>
              </w:rPr>
              <w:t>1</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56" w:history="1">
            <w:r w:rsidR="006B2570" w:rsidRPr="006B2570">
              <w:rPr>
                <w:rStyle w:val="Hyperlink"/>
                <w:noProof/>
                <w:lang w:val="x-none"/>
              </w:rPr>
              <w:t>1.2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Why is cost recovery appropriate?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_Toc433713856 \h </w:instrText>
            </w:r>
            <w:r w:rsidR="006B2570" w:rsidRPr="006B2570">
              <w:rPr>
                <w:noProof/>
                <w:webHidden/>
              </w:rPr>
            </w:r>
            <w:r w:rsidR="006B2570" w:rsidRPr="006B2570">
              <w:rPr>
                <w:noProof/>
                <w:webHidden/>
              </w:rPr>
              <w:fldChar w:fldCharType="separate"/>
            </w:r>
            <w:r>
              <w:rPr>
                <w:noProof/>
                <w:webHidden/>
              </w:rPr>
              <w:t>2</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57" w:history="1">
            <w:r w:rsidR="006B2570" w:rsidRPr="006B2570">
              <w:rPr>
                <w:rStyle w:val="Hyperlink"/>
                <w:noProof/>
                <w:lang w:val="x-none"/>
              </w:rPr>
              <w:t>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Authority to cost recover</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_Toc433713857 \h </w:instrText>
            </w:r>
            <w:r w:rsidR="006B2570" w:rsidRPr="006B2570">
              <w:rPr>
                <w:noProof/>
                <w:webHidden/>
              </w:rPr>
            </w:r>
            <w:r w:rsidR="006B2570" w:rsidRPr="006B2570">
              <w:rPr>
                <w:noProof/>
                <w:webHidden/>
              </w:rPr>
              <w:fldChar w:fldCharType="separate"/>
            </w:r>
            <w:r>
              <w:rPr>
                <w:noProof/>
                <w:webHidden/>
              </w:rPr>
              <w:t>3</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58" w:history="1">
            <w:r w:rsidR="006B2570" w:rsidRPr="006B2570">
              <w:rPr>
                <w:rStyle w:val="Hyperlink"/>
                <w:noProof/>
                <w:lang w:val="x-none"/>
              </w:rPr>
              <w:t>2.1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Policy approval</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_Toc433713858 \h </w:instrText>
            </w:r>
            <w:r w:rsidR="006B2570" w:rsidRPr="006B2570">
              <w:rPr>
                <w:noProof/>
                <w:webHidden/>
              </w:rPr>
            </w:r>
            <w:r w:rsidR="006B2570" w:rsidRPr="006B2570">
              <w:rPr>
                <w:noProof/>
                <w:webHidden/>
              </w:rPr>
              <w:fldChar w:fldCharType="separate"/>
            </w:r>
            <w:r>
              <w:rPr>
                <w:noProof/>
                <w:webHidden/>
              </w:rPr>
              <w:t>3</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59" w:history="1">
            <w:r w:rsidR="006B2570" w:rsidRPr="006B2570">
              <w:rPr>
                <w:rStyle w:val="Hyperlink"/>
                <w:noProof/>
                <w:lang w:val="x-none"/>
              </w:rPr>
              <w:t>2.2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Statutory authority</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_Toc433713859 \h </w:instrText>
            </w:r>
            <w:r w:rsidR="006B2570" w:rsidRPr="006B2570">
              <w:rPr>
                <w:noProof/>
                <w:webHidden/>
              </w:rPr>
            </w:r>
            <w:r w:rsidR="006B2570" w:rsidRPr="006B2570">
              <w:rPr>
                <w:noProof/>
                <w:webHidden/>
              </w:rPr>
              <w:fldChar w:fldCharType="separate"/>
            </w:r>
            <w:r>
              <w:rPr>
                <w:noProof/>
                <w:webHidden/>
              </w:rPr>
              <w:t>3</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60" w:history="1">
            <w:r w:rsidR="006B2570" w:rsidRPr="006B2570">
              <w:rPr>
                <w:rStyle w:val="Hyperlink"/>
                <w:noProof/>
                <w:lang w:val="x-none"/>
              </w:rPr>
              <w:t>3</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Changes to the biosecurity cost recovery arrangement</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_Toc433713860 \h </w:instrText>
            </w:r>
            <w:r w:rsidR="006B2570" w:rsidRPr="006B2570">
              <w:rPr>
                <w:noProof/>
                <w:webHidden/>
              </w:rPr>
            </w:r>
            <w:r w:rsidR="006B2570" w:rsidRPr="006B2570">
              <w:rPr>
                <w:noProof/>
                <w:webHidden/>
              </w:rPr>
              <w:fldChar w:fldCharType="separate"/>
            </w:r>
            <w:r>
              <w:rPr>
                <w:noProof/>
                <w:webHidden/>
              </w:rPr>
              <w:t>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1" w:history="1">
            <w:r w:rsidR="006B2570" w:rsidRPr="006B2570">
              <w:rPr>
                <w:rStyle w:val="Hyperlink"/>
                <w:noProof/>
                <w:lang w:val="x-none"/>
              </w:rPr>
              <w:t>3.1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Importers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_Toc433713861 \h </w:instrText>
            </w:r>
            <w:r w:rsidR="006B2570" w:rsidRPr="006B2570">
              <w:rPr>
                <w:noProof/>
                <w:webHidden/>
              </w:rPr>
            </w:r>
            <w:r w:rsidR="006B2570" w:rsidRPr="006B2570">
              <w:rPr>
                <w:noProof/>
                <w:webHidden/>
              </w:rPr>
              <w:fldChar w:fldCharType="separate"/>
            </w:r>
            <w:r>
              <w:rPr>
                <w:noProof/>
                <w:webHidden/>
              </w:rPr>
              <w:t>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2" w:history="1">
            <w:r w:rsidR="006B2570" w:rsidRPr="006B2570">
              <w:rPr>
                <w:rStyle w:val="Hyperlink"/>
                <w:noProof/>
                <w:lang w:val="x-none"/>
              </w:rPr>
              <w:t>3.2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Approved arrangement participants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_Toc433713862 \h </w:instrText>
            </w:r>
            <w:r w:rsidR="006B2570" w:rsidRPr="006B2570">
              <w:rPr>
                <w:noProof/>
                <w:webHidden/>
              </w:rPr>
            </w:r>
            <w:r w:rsidR="006B2570" w:rsidRPr="006B2570">
              <w:rPr>
                <w:noProof/>
                <w:webHidden/>
              </w:rPr>
              <w:fldChar w:fldCharType="separate"/>
            </w:r>
            <w:r>
              <w:rPr>
                <w:noProof/>
                <w:webHidden/>
              </w:rPr>
              <w:t>8</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3" w:history="1">
            <w:r w:rsidR="006B2570" w:rsidRPr="006B2570">
              <w:rPr>
                <w:rStyle w:val="Hyperlink"/>
                <w:noProof/>
                <w:lang w:val="x-none"/>
              </w:rPr>
              <w:t>3.3</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Vessel operators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_Toc433713863 \h </w:instrText>
            </w:r>
            <w:r w:rsidR="006B2570" w:rsidRPr="006B2570">
              <w:rPr>
                <w:noProof/>
                <w:webHidden/>
              </w:rPr>
            </w:r>
            <w:r w:rsidR="006B2570" w:rsidRPr="006B2570">
              <w:rPr>
                <w:noProof/>
                <w:webHidden/>
              </w:rPr>
              <w:fldChar w:fldCharType="separate"/>
            </w:r>
            <w:r>
              <w:rPr>
                <w:noProof/>
                <w:webHidden/>
              </w:rPr>
              <w:t>10</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4" w:history="1">
            <w:r w:rsidR="006B2570" w:rsidRPr="006B2570">
              <w:rPr>
                <w:rStyle w:val="Hyperlink"/>
                <w:noProof/>
                <w:lang w:val="x-none"/>
              </w:rPr>
              <w:t>3.4</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Passengers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_Toc433713864 \h </w:instrText>
            </w:r>
            <w:r w:rsidR="006B2570" w:rsidRPr="006B2570">
              <w:rPr>
                <w:noProof/>
                <w:webHidden/>
              </w:rPr>
            </w:r>
            <w:r w:rsidR="006B2570" w:rsidRPr="006B2570">
              <w:rPr>
                <w:noProof/>
                <w:webHidden/>
              </w:rPr>
              <w:fldChar w:fldCharType="separate"/>
            </w:r>
            <w:r>
              <w:rPr>
                <w:noProof/>
                <w:webHidden/>
              </w:rPr>
              <w:t>11</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65" w:history="1">
            <w:r w:rsidR="006B2570" w:rsidRPr="006B2570">
              <w:rPr>
                <w:rStyle w:val="Hyperlink"/>
                <w:noProof/>
                <w:lang w:val="x-none"/>
              </w:rPr>
              <w:t>4</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Changes to services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_Toc433713865 \h </w:instrText>
            </w:r>
            <w:r w:rsidR="006B2570" w:rsidRPr="006B2570">
              <w:rPr>
                <w:noProof/>
                <w:webHidden/>
              </w:rPr>
            </w:r>
            <w:r w:rsidR="006B2570" w:rsidRPr="006B2570">
              <w:rPr>
                <w:noProof/>
                <w:webHidden/>
              </w:rPr>
              <w:fldChar w:fldCharType="separate"/>
            </w:r>
            <w:r>
              <w:rPr>
                <w:noProof/>
                <w:webHidden/>
              </w:rPr>
              <w:t>12</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6" w:history="1">
            <w:r w:rsidR="006B2570" w:rsidRPr="006B2570">
              <w:rPr>
                <w:rStyle w:val="Hyperlink"/>
                <w:noProof/>
                <w:lang w:val="x-none"/>
              </w:rPr>
              <w:t>4.1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Improving biosecurity service delivery</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_Toc433713866 \h </w:instrText>
            </w:r>
            <w:r w:rsidR="006B2570" w:rsidRPr="006B2570">
              <w:rPr>
                <w:noProof/>
                <w:webHidden/>
              </w:rPr>
            </w:r>
            <w:r w:rsidR="006B2570" w:rsidRPr="006B2570">
              <w:rPr>
                <w:noProof/>
                <w:webHidden/>
              </w:rPr>
              <w:fldChar w:fldCharType="separate"/>
            </w:r>
            <w:r>
              <w:rPr>
                <w:noProof/>
                <w:webHidden/>
              </w:rPr>
              <w:t>12</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7" w:history="1">
            <w:r w:rsidR="006B2570" w:rsidRPr="006B2570">
              <w:rPr>
                <w:rStyle w:val="Hyperlink"/>
                <w:noProof/>
                <w:lang w:val="x-none"/>
              </w:rPr>
              <w:t>4.2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Expanded surveillance and intelligence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_Toc433713867 \h </w:instrText>
            </w:r>
            <w:r w:rsidR="006B2570" w:rsidRPr="006B2570">
              <w:rPr>
                <w:noProof/>
                <w:webHidden/>
              </w:rPr>
            </w:r>
            <w:r w:rsidR="006B2570" w:rsidRPr="006B2570">
              <w:rPr>
                <w:noProof/>
                <w:webHidden/>
              </w:rPr>
              <w:fldChar w:fldCharType="separate"/>
            </w:r>
            <w:r>
              <w:rPr>
                <w:noProof/>
                <w:webHidden/>
              </w:rPr>
              <w:t>13</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68" w:history="1">
            <w:r w:rsidR="006B2570" w:rsidRPr="006B2570">
              <w:rPr>
                <w:rStyle w:val="Hyperlink"/>
                <w:noProof/>
                <w:lang w:val="x-none"/>
              </w:rPr>
              <w:t>4.3</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Expanded pre-border compliance and verification</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_Toc433713868 \h </w:instrText>
            </w:r>
            <w:r w:rsidR="006B2570" w:rsidRPr="006B2570">
              <w:rPr>
                <w:noProof/>
                <w:webHidden/>
              </w:rPr>
            </w:r>
            <w:r w:rsidR="006B2570" w:rsidRPr="006B2570">
              <w:rPr>
                <w:noProof/>
                <w:webHidden/>
              </w:rPr>
              <w:fldChar w:fldCharType="separate"/>
            </w:r>
            <w:r>
              <w:rPr>
                <w:noProof/>
                <w:webHidden/>
              </w:rPr>
              <w:t>13</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69" w:history="1">
            <w:r w:rsidR="006B2570" w:rsidRPr="006B2570">
              <w:rPr>
                <w:rStyle w:val="Hyperlink"/>
                <w:noProof/>
                <w:lang w:val="x-none"/>
              </w:rPr>
              <w:t>5</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Cost recovery methodology</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_Toc433713869 \h </w:instrText>
            </w:r>
            <w:r w:rsidR="006B2570" w:rsidRPr="006B2570">
              <w:rPr>
                <w:noProof/>
                <w:webHidden/>
              </w:rPr>
            </w:r>
            <w:r w:rsidR="006B2570" w:rsidRPr="006B2570">
              <w:rPr>
                <w:noProof/>
                <w:webHidden/>
              </w:rPr>
              <w:fldChar w:fldCharType="separate"/>
            </w:r>
            <w:r>
              <w:rPr>
                <w:noProof/>
                <w:webHidden/>
              </w:rPr>
              <w:t>14</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0" w:history="1">
            <w:r w:rsidR="006B2570" w:rsidRPr="006B2570">
              <w:rPr>
                <w:rStyle w:val="Hyperlink"/>
                <w:noProof/>
                <w:lang w:val="x-none"/>
              </w:rPr>
              <w:t>5.1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Determining the cost base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_Toc433713870 \h </w:instrText>
            </w:r>
            <w:r w:rsidR="006B2570" w:rsidRPr="006B2570">
              <w:rPr>
                <w:noProof/>
                <w:webHidden/>
              </w:rPr>
            </w:r>
            <w:r w:rsidR="006B2570" w:rsidRPr="006B2570">
              <w:rPr>
                <w:noProof/>
                <w:webHidden/>
              </w:rPr>
              <w:fldChar w:fldCharType="separate"/>
            </w:r>
            <w:r>
              <w:rPr>
                <w:noProof/>
                <w:webHidden/>
              </w:rPr>
              <w:t>14</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1" w:history="1">
            <w:r w:rsidR="006B2570" w:rsidRPr="006B2570">
              <w:rPr>
                <w:rStyle w:val="Hyperlink"/>
                <w:noProof/>
                <w:lang w:val="x-none"/>
              </w:rPr>
              <w:t>5.2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Activity-based cost model</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_Toc433713871 \h </w:instrText>
            </w:r>
            <w:r w:rsidR="006B2570" w:rsidRPr="006B2570">
              <w:rPr>
                <w:noProof/>
                <w:webHidden/>
              </w:rPr>
            </w:r>
            <w:r w:rsidR="006B2570" w:rsidRPr="006B2570">
              <w:rPr>
                <w:noProof/>
                <w:webHidden/>
              </w:rPr>
              <w:fldChar w:fldCharType="separate"/>
            </w:r>
            <w:r>
              <w:rPr>
                <w:noProof/>
                <w:webHidden/>
              </w:rPr>
              <w:t>14</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2" w:history="1">
            <w:r w:rsidR="006B2570" w:rsidRPr="006B2570">
              <w:rPr>
                <w:rStyle w:val="Hyperlink"/>
                <w:noProof/>
                <w:lang w:val="x-none"/>
              </w:rPr>
              <w:t>5.3</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Activities undertaken for the biosecurity cost recovery arrangement</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_Toc433713872 \h </w:instrText>
            </w:r>
            <w:r w:rsidR="006B2570" w:rsidRPr="006B2570">
              <w:rPr>
                <w:noProof/>
                <w:webHidden/>
              </w:rPr>
            </w:r>
            <w:r w:rsidR="006B2570" w:rsidRPr="006B2570">
              <w:rPr>
                <w:noProof/>
                <w:webHidden/>
              </w:rPr>
              <w:fldChar w:fldCharType="separate"/>
            </w:r>
            <w:r>
              <w:rPr>
                <w:noProof/>
                <w:webHidden/>
              </w:rPr>
              <w:t>15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3" w:history="1">
            <w:r w:rsidR="006B2570" w:rsidRPr="006B2570">
              <w:rPr>
                <w:rStyle w:val="Hyperlink"/>
                <w:noProof/>
                <w:lang w:val="x-none"/>
              </w:rPr>
              <w:t>5.4</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Volumetric forecasts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_Toc433713873 \h </w:instrText>
            </w:r>
            <w:r w:rsidR="006B2570" w:rsidRPr="006B2570">
              <w:rPr>
                <w:noProof/>
                <w:webHidden/>
              </w:rPr>
            </w:r>
            <w:r w:rsidR="006B2570" w:rsidRPr="006B2570">
              <w:rPr>
                <w:noProof/>
                <w:webHidden/>
              </w:rPr>
              <w:fldChar w:fldCharType="separate"/>
            </w:r>
            <w:r>
              <w:rPr>
                <w:noProof/>
                <w:webHidden/>
              </w:rPr>
              <w:t>15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4" w:history="1">
            <w:r w:rsidR="006B2570" w:rsidRPr="006B2570">
              <w:rPr>
                <w:rStyle w:val="Hyperlink"/>
                <w:noProof/>
                <w:lang w:val="x-none"/>
              </w:rPr>
              <w:t>5.5</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Cost recovery reserve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_Toc433713874 \h </w:instrText>
            </w:r>
            <w:r w:rsidR="006B2570" w:rsidRPr="006B2570">
              <w:rPr>
                <w:noProof/>
                <w:webHidden/>
              </w:rPr>
            </w:r>
            <w:r w:rsidR="006B2570" w:rsidRPr="006B2570">
              <w:rPr>
                <w:noProof/>
                <w:webHidden/>
              </w:rPr>
              <w:fldChar w:fldCharType="separate"/>
            </w:r>
            <w:r>
              <w:rPr>
                <w:noProof/>
                <w:webHidden/>
              </w:rPr>
              <w:t>16</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75" w:history="1">
            <w:r w:rsidR="006B2570" w:rsidRPr="006B2570">
              <w:rPr>
                <w:rStyle w:val="Hyperlink"/>
                <w:noProof/>
                <w:lang w:val="x-none"/>
              </w:rPr>
              <w:t>6</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Cost base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_Toc433713875 \h </w:instrText>
            </w:r>
            <w:r w:rsidR="006B2570" w:rsidRPr="006B2570">
              <w:rPr>
                <w:noProof/>
                <w:webHidden/>
              </w:rPr>
            </w:r>
            <w:r w:rsidR="006B2570" w:rsidRPr="006B2570">
              <w:rPr>
                <w:noProof/>
                <w:webHidden/>
              </w:rPr>
              <w:fldChar w:fldCharType="separate"/>
            </w:r>
            <w:r>
              <w:rPr>
                <w:noProof/>
                <w:webHidden/>
              </w:rPr>
              <w:t>17</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6" w:history="1">
            <w:r w:rsidR="006B2570" w:rsidRPr="006B2570">
              <w:rPr>
                <w:rStyle w:val="Hyperlink"/>
                <w:noProof/>
                <w:lang w:val="x-none"/>
              </w:rPr>
              <w:t>6.1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Projected cost base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_Toc433713876 \h </w:instrText>
            </w:r>
            <w:r w:rsidR="006B2570" w:rsidRPr="006B2570">
              <w:rPr>
                <w:noProof/>
                <w:webHidden/>
              </w:rPr>
            </w:r>
            <w:r w:rsidR="006B2570" w:rsidRPr="006B2570">
              <w:rPr>
                <w:noProof/>
                <w:webHidden/>
              </w:rPr>
              <w:fldChar w:fldCharType="separate"/>
            </w:r>
            <w:r>
              <w:rPr>
                <w:noProof/>
                <w:webHidden/>
              </w:rPr>
              <w:t>17</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77" w:history="1">
            <w:r w:rsidR="006B2570" w:rsidRPr="006B2570">
              <w:rPr>
                <w:rStyle w:val="Hyperlink"/>
                <w:noProof/>
                <w:lang w:val="x-none"/>
              </w:rPr>
              <w:t>6.2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Changes to the cost base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_Toc433713877 \h </w:instrText>
            </w:r>
            <w:r w:rsidR="006B2570" w:rsidRPr="006B2570">
              <w:rPr>
                <w:noProof/>
                <w:webHidden/>
              </w:rPr>
            </w:r>
            <w:r w:rsidR="006B2570" w:rsidRPr="006B2570">
              <w:rPr>
                <w:noProof/>
                <w:webHidden/>
              </w:rPr>
              <w:fldChar w:fldCharType="separate"/>
            </w:r>
            <w:r>
              <w:rPr>
                <w:noProof/>
                <w:webHidden/>
              </w:rPr>
              <w:t>18</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78" w:history="1">
            <w:r w:rsidR="006B2570" w:rsidRPr="006B2570">
              <w:rPr>
                <w:rStyle w:val="Hyperlink"/>
                <w:noProof/>
                <w:lang w:val="x-none"/>
              </w:rPr>
              <w:t>7</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Financial estimates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_Toc433713878 \h </w:instrText>
            </w:r>
            <w:r w:rsidR="006B2570" w:rsidRPr="006B2570">
              <w:rPr>
                <w:noProof/>
                <w:webHidden/>
              </w:rPr>
            </w:r>
            <w:r w:rsidR="006B2570" w:rsidRPr="006B2570">
              <w:rPr>
                <w:noProof/>
                <w:webHidden/>
              </w:rPr>
              <w:fldChar w:fldCharType="separate"/>
            </w:r>
            <w:r>
              <w:rPr>
                <w:noProof/>
                <w:webHidden/>
              </w:rPr>
              <w:t>20</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79" w:history="1">
            <w:r w:rsidR="006B2570" w:rsidRPr="006B2570">
              <w:rPr>
                <w:rStyle w:val="Hyperlink"/>
                <w:noProof/>
                <w:lang w:val="x-none"/>
              </w:rPr>
              <w:t>8</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Performance reporting</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_Toc433713879 \h </w:instrText>
            </w:r>
            <w:r w:rsidR="006B2570" w:rsidRPr="006B2570">
              <w:rPr>
                <w:noProof/>
                <w:webHidden/>
              </w:rPr>
            </w:r>
            <w:r w:rsidR="006B2570" w:rsidRPr="006B2570">
              <w:rPr>
                <w:noProof/>
                <w:webHidden/>
              </w:rPr>
              <w:fldChar w:fldCharType="separate"/>
            </w:r>
            <w:r>
              <w:rPr>
                <w:noProof/>
                <w:webHidden/>
              </w:rPr>
              <w:t>21</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80" w:history="1">
            <w:r w:rsidR="006B2570" w:rsidRPr="006B2570">
              <w:rPr>
                <w:rStyle w:val="Hyperlink"/>
                <w:noProof/>
                <w:lang w:val="x-none"/>
              </w:rPr>
              <w:t>8.1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Financial performance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_Toc433713880 \h </w:instrText>
            </w:r>
            <w:r w:rsidR="006B2570" w:rsidRPr="006B2570">
              <w:rPr>
                <w:noProof/>
                <w:webHidden/>
              </w:rPr>
            </w:r>
            <w:r w:rsidR="006B2570" w:rsidRPr="006B2570">
              <w:rPr>
                <w:noProof/>
                <w:webHidden/>
              </w:rPr>
              <w:fldChar w:fldCharType="separate"/>
            </w:r>
            <w:r>
              <w:rPr>
                <w:noProof/>
                <w:webHidden/>
              </w:rPr>
              <w:t>21</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81" w:history="1">
            <w:r w:rsidR="006B2570" w:rsidRPr="006B2570">
              <w:rPr>
                <w:rStyle w:val="Hyperlink"/>
                <w:noProof/>
                <w:lang w:val="x-none"/>
              </w:rPr>
              <w:t>8.2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Non-financial performance</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_Toc433713881 \h </w:instrText>
            </w:r>
            <w:r w:rsidR="006B2570" w:rsidRPr="006B2570">
              <w:rPr>
                <w:noProof/>
                <w:webHidden/>
              </w:rPr>
            </w:r>
            <w:r w:rsidR="006B2570" w:rsidRPr="006B2570">
              <w:rPr>
                <w:noProof/>
                <w:webHidden/>
              </w:rPr>
              <w:fldChar w:fldCharType="separate"/>
            </w:r>
            <w:r>
              <w:rPr>
                <w:noProof/>
                <w:webHidden/>
              </w:rPr>
              <w:t>21</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82" w:history="1">
            <w:r w:rsidR="006B2570" w:rsidRPr="006B2570">
              <w:rPr>
                <w:rStyle w:val="Hyperlink"/>
                <w:noProof/>
                <w:lang w:val="x-none"/>
              </w:rPr>
              <w:t>9</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Risk management</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_Toc433713882 \h </w:instrText>
            </w:r>
            <w:r w:rsidR="006B2570" w:rsidRPr="006B2570">
              <w:rPr>
                <w:noProof/>
                <w:webHidden/>
              </w:rPr>
            </w:r>
            <w:r w:rsidR="006B2570" w:rsidRPr="006B2570">
              <w:rPr>
                <w:noProof/>
                <w:webHidden/>
              </w:rPr>
              <w:fldChar w:fldCharType="separate"/>
            </w:r>
            <w:r>
              <w:rPr>
                <w:noProof/>
                <w:webHidden/>
              </w:rPr>
              <w:t>22</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83" w:history="1">
            <w:r w:rsidR="006B2570" w:rsidRPr="006B2570">
              <w:rPr>
                <w:rStyle w:val="Hyperlink"/>
                <w:noProof/>
                <w:lang w:val="x-none"/>
              </w:rPr>
              <w:t>10</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Stakeholder engagement</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_Toc433713883 \h </w:instrText>
            </w:r>
            <w:r w:rsidR="006B2570" w:rsidRPr="006B2570">
              <w:rPr>
                <w:noProof/>
                <w:webHidden/>
              </w:rPr>
            </w:r>
            <w:r w:rsidR="006B2570" w:rsidRPr="006B2570">
              <w:rPr>
                <w:noProof/>
                <w:webHidden/>
              </w:rPr>
              <w:fldChar w:fldCharType="separate"/>
            </w:r>
            <w:r>
              <w:rPr>
                <w:noProof/>
                <w:webHidden/>
              </w:rPr>
              <w:t>23</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84" w:history="1">
            <w:r w:rsidR="006B2570" w:rsidRPr="006B2570">
              <w:rPr>
                <w:rStyle w:val="Hyperlink"/>
                <w:noProof/>
                <w:lang w:val="x-none"/>
              </w:rPr>
              <w:t>11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Key dates and events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_Toc433713884 \h </w:instrText>
            </w:r>
            <w:r w:rsidR="006B2570" w:rsidRPr="006B2570">
              <w:rPr>
                <w:noProof/>
                <w:webHidden/>
              </w:rPr>
            </w:r>
            <w:r w:rsidR="006B2570" w:rsidRPr="006B2570">
              <w:rPr>
                <w:noProof/>
                <w:webHidden/>
              </w:rPr>
              <w:fldChar w:fldCharType="separate"/>
            </w:r>
            <w:r>
              <w:rPr>
                <w:noProof/>
                <w:webHidden/>
              </w:rPr>
              <w:t>25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85" w:history="1">
            <w:r w:rsidR="006B2570" w:rsidRPr="006B2570">
              <w:rPr>
                <w:rStyle w:val="Hyperlink"/>
                <w:noProof/>
                <w:lang w:val="x-none"/>
              </w:rPr>
              <w:t>11.1</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Consultation</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_Toc433713885 \h </w:instrText>
            </w:r>
            <w:r w:rsidR="006B2570" w:rsidRPr="006B2570">
              <w:rPr>
                <w:noProof/>
                <w:webHidden/>
              </w:rPr>
            </w:r>
            <w:r w:rsidR="006B2570" w:rsidRPr="006B2570">
              <w:rPr>
                <w:noProof/>
                <w:webHidden/>
              </w:rPr>
              <w:fldChar w:fldCharType="separate"/>
            </w:r>
            <w:r>
              <w:rPr>
                <w:noProof/>
                <w:webHidden/>
              </w:rPr>
              <w:t>25</w:t>
            </w:r>
            <w:r w:rsidR="006B2570" w:rsidRPr="006B2570">
              <w:rPr>
                <w:noProof/>
                <w:webHidden/>
              </w:rPr>
              <w:fldChar w:fldCharType="end"/>
            </w:r>
          </w:hyperlink>
        </w:p>
        <w:p w:rsidR="006B2570" w:rsidRPr="006B2570" w:rsidRDefault="00CF2C84">
          <w:pPr>
            <w:pStyle w:val="TOC3"/>
            <w:tabs>
              <w:tab w:val="left" w:pos="1100"/>
              <w:tab w:val="right" w:leader="dot" w:pos="9060"/>
            </w:tabs>
            <w:rPr>
              <w:rFonts w:asciiTheme="minorHAnsi" w:eastAsiaTheme="minorEastAsia" w:hAnsiTheme="minorHAnsi" w:cstheme="minorBidi"/>
              <w:noProof/>
              <w:lang w:eastAsia="en-AU"/>
            </w:rPr>
          </w:pPr>
          <w:hyperlink w:anchor="_Toc433713886" w:history="1">
            <w:r w:rsidR="006B2570" w:rsidRPr="006B2570">
              <w:rPr>
                <w:rStyle w:val="Hyperlink"/>
                <w:noProof/>
                <w:lang w:val="x-none"/>
              </w:rPr>
              <w:t>11.2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CRIS approval process and change register</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_Toc433713886 \h </w:instrText>
            </w:r>
            <w:r w:rsidR="006B2570" w:rsidRPr="006B2570">
              <w:rPr>
                <w:noProof/>
                <w:webHidden/>
              </w:rPr>
            </w:r>
            <w:r w:rsidR="006B2570" w:rsidRPr="006B2570">
              <w:rPr>
                <w:noProof/>
                <w:webHidden/>
              </w:rPr>
              <w:fldChar w:fldCharType="separate"/>
            </w:r>
            <w:r>
              <w:rPr>
                <w:noProof/>
                <w:webHidden/>
              </w:rPr>
              <w:t>25</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87" w:history="1">
            <w:r w:rsidR="006B2570" w:rsidRPr="006B2570">
              <w:rPr>
                <w:rStyle w:val="Hyperlink"/>
                <w:noProof/>
                <w:lang w:val="x-none"/>
              </w:rPr>
              <w:t>12</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Attachment A—Fees and levies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_Toc433713887 \h </w:instrText>
            </w:r>
            <w:r w:rsidR="006B2570" w:rsidRPr="006B2570">
              <w:rPr>
                <w:noProof/>
                <w:webHidden/>
              </w:rPr>
            </w:r>
            <w:r w:rsidR="006B2570" w:rsidRPr="006B2570">
              <w:rPr>
                <w:noProof/>
                <w:webHidden/>
              </w:rPr>
              <w:fldChar w:fldCharType="separate"/>
            </w:r>
            <w:r>
              <w:rPr>
                <w:noProof/>
                <w:webHidden/>
              </w:rPr>
              <w:t>26</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88" w:history="1">
            <w:r w:rsidR="006B2570" w:rsidRPr="006B2570">
              <w:rPr>
                <w:rStyle w:val="Hyperlink"/>
                <w:noProof/>
                <w:lang w:val="x-none"/>
              </w:rPr>
              <w:t>Proposed charging structure 1 December 2015 – 30 June 2016</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_Toc433713888 \h </w:instrText>
            </w:r>
            <w:r w:rsidR="006B2570" w:rsidRPr="006B2570">
              <w:rPr>
                <w:noProof/>
                <w:webHidden/>
              </w:rPr>
            </w:r>
            <w:r w:rsidR="006B2570" w:rsidRPr="006B2570">
              <w:rPr>
                <w:noProof/>
                <w:webHidden/>
              </w:rPr>
              <w:fldChar w:fldCharType="separate"/>
            </w:r>
            <w:r>
              <w:rPr>
                <w:noProof/>
                <w:webHidden/>
              </w:rPr>
              <w:t>26</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89" w:history="1">
            <w:r w:rsidR="006B2570" w:rsidRPr="006B2570">
              <w:rPr>
                <w:rStyle w:val="Hyperlink"/>
                <w:noProof/>
                <w:lang w:val="x-none"/>
              </w:rPr>
              <w:t>Proposed charging structure 2016–17</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_Toc433713889 \h </w:instrText>
            </w:r>
            <w:r w:rsidR="006B2570" w:rsidRPr="006B2570">
              <w:rPr>
                <w:noProof/>
                <w:webHidden/>
              </w:rPr>
            </w:r>
            <w:r w:rsidR="006B2570" w:rsidRPr="006B2570">
              <w:rPr>
                <w:noProof/>
                <w:webHidden/>
              </w:rPr>
              <w:fldChar w:fldCharType="separate"/>
            </w:r>
            <w:r>
              <w:rPr>
                <w:noProof/>
                <w:webHidden/>
              </w:rPr>
              <w:t>27</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90" w:history="1">
            <w:r w:rsidR="006B2570" w:rsidRPr="006B2570">
              <w:rPr>
                <w:rStyle w:val="Hyperlink"/>
                <w:noProof/>
                <w:lang w:val="x-none"/>
              </w:rPr>
              <w:t>Proposed charging structure 2017–18</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_Toc433713890 \h </w:instrText>
            </w:r>
            <w:r w:rsidR="006B2570" w:rsidRPr="006B2570">
              <w:rPr>
                <w:noProof/>
                <w:webHidden/>
              </w:rPr>
            </w:r>
            <w:r w:rsidR="006B2570" w:rsidRPr="006B2570">
              <w:rPr>
                <w:noProof/>
                <w:webHidden/>
              </w:rPr>
              <w:fldChar w:fldCharType="separate"/>
            </w:r>
            <w:r>
              <w:rPr>
                <w:noProof/>
                <w:webHidden/>
              </w:rPr>
              <w:t>29</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91" w:history="1">
            <w:r w:rsidR="006B2570" w:rsidRPr="006B2570">
              <w:rPr>
                <w:rStyle w:val="Hyperlink"/>
                <w:noProof/>
                <w:lang w:val="x-none"/>
              </w:rPr>
              <w:t>Proposed charging structure 2018–19</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_Toc433713891 \h </w:instrText>
            </w:r>
            <w:r w:rsidR="006B2570" w:rsidRPr="006B2570">
              <w:rPr>
                <w:noProof/>
                <w:webHidden/>
              </w:rPr>
            </w:r>
            <w:r w:rsidR="006B2570" w:rsidRPr="006B2570">
              <w:rPr>
                <w:noProof/>
                <w:webHidden/>
              </w:rPr>
              <w:fldChar w:fldCharType="separate"/>
            </w:r>
            <w:r>
              <w:rPr>
                <w:noProof/>
                <w:webHidden/>
              </w:rPr>
              <w:t>30</w:t>
            </w:r>
            <w:r w:rsidR="006B2570" w:rsidRPr="006B2570">
              <w:rPr>
                <w:noProof/>
                <w:webHidden/>
              </w:rPr>
              <w:fldChar w:fldCharType="end"/>
            </w:r>
          </w:hyperlink>
        </w:p>
        <w:p w:rsidR="006B2570" w:rsidRPr="006B2570" w:rsidRDefault="00CF2C84">
          <w:pPr>
            <w:pStyle w:val="TOC2"/>
            <w:rPr>
              <w:rFonts w:asciiTheme="minorHAnsi" w:eastAsiaTheme="minorEastAsia" w:hAnsiTheme="minorHAnsi" w:cstheme="minorBidi"/>
              <w:noProof/>
              <w:lang w:eastAsia="en-AU"/>
            </w:rPr>
          </w:pPr>
          <w:hyperlink w:anchor="_Toc433713892" w:history="1">
            <w:r w:rsidR="006B2570" w:rsidRPr="006B2570">
              <w:rPr>
                <w:rStyle w:val="Hyperlink"/>
                <w:noProof/>
                <w:lang w:val="x-none"/>
              </w:rPr>
              <w:t>13</w:t>
            </w:r>
            <w:r w:rsidR="006B2570" w:rsidRPr="006B2570">
              <w:rPr>
                <w:rFonts w:asciiTheme="minorHAnsi" w:eastAsiaTheme="minorEastAsia" w:hAnsiTheme="minorHAnsi" w:cstheme="minorBidi"/>
                <w:noProof/>
                <w:lang w:eastAsia="en-AU"/>
              </w:rPr>
              <w:tab/>
            </w:r>
            <w:r w:rsidR="006B2570" w:rsidRPr="006B2570">
              <w:rPr>
                <w:rStyle w:val="Hyperlink"/>
                <w:noProof/>
                <w:lang w:val="x-none"/>
              </w:rPr>
              <w:t xml:space="preserve">Attachment </w:t>
            </w:r>
            <w:r w:rsidR="006B2570" w:rsidRPr="006B2570">
              <w:rPr>
                <w:rStyle w:val="Hyperlink"/>
                <w:noProof/>
              </w:rPr>
              <w:t>B</w:t>
            </w:r>
            <w:r w:rsidR="006B2570" w:rsidRPr="006B2570">
              <w:rPr>
                <w:rStyle w:val="Hyperlink"/>
                <w:noProof/>
                <w:lang w:val="x-none"/>
              </w:rPr>
              <w:t>—Description of cost model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_Toc433713892 \h </w:instrText>
            </w:r>
            <w:r w:rsidR="006B2570" w:rsidRPr="006B2570">
              <w:rPr>
                <w:noProof/>
                <w:webHidden/>
              </w:rPr>
            </w:r>
            <w:r w:rsidR="006B2570" w:rsidRPr="006B2570">
              <w:rPr>
                <w:noProof/>
                <w:webHidden/>
              </w:rPr>
              <w:fldChar w:fldCharType="separate"/>
            </w:r>
            <w:r>
              <w:rPr>
                <w:noProof/>
                <w:webHidden/>
              </w:rPr>
              <w:t>33</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93" w:history="1">
            <w:r w:rsidR="006B2570" w:rsidRPr="006B2570">
              <w:rPr>
                <w:rStyle w:val="Hyperlink"/>
                <w:noProof/>
                <w:lang w:val="x-none"/>
              </w:rPr>
              <w:t>Intervention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_Toc433713893 \h </w:instrText>
            </w:r>
            <w:r w:rsidR="006B2570" w:rsidRPr="006B2570">
              <w:rPr>
                <w:noProof/>
                <w:webHidden/>
              </w:rPr>
            </w:r>
            <w:r w:rsidR="006B2570" w:rsidRPr="006B2570">
              <w:rPr>
                <w:noProof/>
                <w:webHidden/>
              </w:rPr>
              <w:fldChar w:fldCharType="separate"/>
            </w:r>
            <w:r>
              <w:rPr>
                <w:noProof/>
                <w:webHidden/>
              </w:rPr>
              <w:t>33</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94" w:history="1">
            <w:r w:rsidR="006B2570" w:rsidRPr="006B2570">
              <w:rPr>
                <w:rStyle w:val="Hyperlink"/>
                <w:noProof/>
                <w:lang w:val="x-none"/>
              </w:rPr>
              <w:t>Incident management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_Toc433713894 \h </w:instrText>
            </w:r>
            <w:r w:rsidR="006B2570" w:rsidRPr="006B2570">
              <w:rPr>
                <w:noProof/>
                <w:webHidden/>
              </w:rPr>
            </w:r>
            <w:r w:rsidR="006B2570" w:rsidRPr="006B2570">
              <w:rPr>
                <w:noProof/>
                <w:webHidden/>
              </w:rPr>
              <w:fldChar w:fldCharType="separate"/>
            </w:r>
            <w:r>
              <w:rPr>
                <w:noProof/>
                <w:webHidden/>
              </w:rPr>
              <w:t>33</w:t>
            </w:r>
            <w:r w:rsidR="006B2570" w:rsidRPr="006B2570">
              <w:rPr>
                <w:noProof/>
                <w:webHidden/>
              </w:rPr>
              <w:fldChar w:fldCharType="end"/>
            </w:r>
          </w:hyperlink>
        </w:p>
        <w:p w:rsidR="006B2570" w:rsidRPr="006B2570" w:rsidRDefault="00CF2C84">
          <w:pPr>
            <w:pStyle w:val="TOC3"/>
            <w:tabs>
              <w:tab w:val="right" w:leader="dot" w:pos="9060"/>
            </w:tabs>
            <w:rPr>
              <w:rFonts w:asciiTheme="minorHAnsi" w:eastAsiaTheme="minorEastAsia" w:hAnsiTheme="minorHAnsi" w:cstheme="minorBidi"/>
              <w:noProof/>
              <w:lang w:eastAsia="en-AU"/>
            </w:rPr>
          </w:pPr>
          <w:hyperlink w:anchor="_Toc433713895" w:history="1">
            <w:r w:rsidR="006B2570" w:rsidRPr="006B2570">
              <w:rPr>
                <w:rStyle w:val="Hyperlink"/>
                <w:noProof/>
                <w:lang w:val="x-none"/>
              </w:rPr>
              <w:t>Assurance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_Toc433713895 \h </w:instrText>
            </w:r>
            <w:r w:rsidR="006B2570" w:rsidRPr="006B2570">
              <w:rPr>
                <w:noProof/>
                <w:webHidden/>
              </w:rPr>
            </w:r>
            <w:r w:rsidR="006B2570" w:rsidRPr="006B2570">
              <w:rPr>
                <w:noProof/>
                <w:webHidden/>
              </w:rPr>
              <w:fldChar w:fldCharType="separate"/>
            </w:r>
            <w:r>
              <w:rPr>
                <w:noProof/>
                <w:webHidden/>
              </w:rPr>
              <w:t>34</w:t>
            </w:r>
            <w:r w:rsidR="006B2570" w:rsidRPr="006B2570">
              <w:rPr>
                <w:noProof/>
                <w:webHidden/>
              </w:rPr>
              <w:fldChar w:fldCharType="end"/>
            </w:r>
          </w:hyperlink>
        </w:p>
        <w:p w:rsidR="006B2570" w:rsidRDefault="00CF2C84">
          <w:pPr>
            <w:pStyle w:val="TOC3"/>
            <w:tabs>
              <w:tab w:val="right" w:leader="dot" w:pos="9060"/>
            </w:tabs>
            <w:rPr>
              <w:rFonts w:asciiTheme="minorHAnsi" w:eastAsiaTheme="minorEastAsia" w:hAnsiTheme="minorHAnsi" w:cstheme="minorBidi"/>
              <w:noProof/>
              <w:lang w:eastAsia="en-AU"/>
            </w:rPr>
          </w:pPr>
          <w:hyperlink w:anchor="_Toc433713896" w:history="1">
            <w:r w:rsidR="006B2570" w:rsidRPr="006B2570">
              <w:rPr>
                <w:rStyle w:val="Hyperlink"/>
                <w:noProof/>
                <w:lang w:val="x-none"/>
              </w:rPr>
              <w:t>Programme management and administration activities</w:t>
            </w:r>
            <w:r w:rsidR="006B2570" w:rsidRPr="006B2570">
              <w:rPr>
                <w:noProof/>
                <w:webHidden/>
              </w:rPr>
              <w:tab/>
            </w:r>
            <w:r w:rsidR="006B2570" w:rsidRPr="006B2570">
              <w:rPr>
                <w:noProof/>
                <w:webHidden/>
              </w:rPr>
              <w:fldChar w:fldCharType="begin"/>
            </w:r>
            <w:r w:rsidR="006B2570" w:rsidRPr="006B2570">
              <w:rPr>
                <w:noProof/>
                <w:webHidden/>
              </w:rPr>
              <w:instrText xml:space="preserve"> PAGEREF _Toc433713896 \h </w:instrText>
            </w:r>
            <w:r w:rsidR="006B2570" w:rsidRPr="006B2570">
              <w:rPr>
                <w:noProof/>
                <w:webHidden/>
              </w:rPr>
            </w:r>
            <w:r w:rsidR="006B2570" w:rsidRPr="006B2570">
              <w:rPr>
                <w:noProof/>
                <w:webHidden/>
              </w:rPr>
              <w:fldChar w:fldCharType="separate"/>
            </w:r>
            <w:r>
              <w:rPr>
                <w:noProof/>
                <w:webHidden/>
              </w:rPr>
              <w:t>34</w:t>
            </w:r>
            <w:r w:rsidR="006B2570" w:rsidRPr="006B2570">
              <w:rPr>
                <w:noProof/>
                <w:webHidden/>
              </w:rPr>
              <w:fldChar w:fldCharType="end"/>
            </w:r>
          </w:hyperlink>
        </w:p>
        <w:p w:rsidR="006B2570" w:rsidRDefault="006B2570">
          <w:r>
            <w:rPr>
              <w:b/>
              <w:bCs/>
              <w:noProof/>
            </w:rPr>
            <w:fldChar w:fldCharType="end"/>
          </w:r>
        </w:p>
      </w:sdtContent>
    </w:sdt>
    <w:p w:rsidR="006B2570" w:rsidRPr="006B2570" w:rsidRDefault="006B2570" w:rsidP="006B2570">
      <w:pPr>
        <w:tabs>
          <w:tab w:val="left" w:pos="3668"/>
        </w:tabs>
      </w:pPr>
      <w:r>
        <w:tab/>
      </w:r>
    </w:p>
    <w:p w:rsidR="002C4B48" w:rsidRPr="002C4B48" w:rsidRDefault="002C4B48" w:rsidP="002C4B48">
      <w:pPr>
        <w:pageBreakBefore/>
        <w:spacing w:before="120" w:after="240"/>
        <w:outlineLvl w:val="1"/>
        <w:rPr>
          <w:b/>
          <w:sz w:val="40"/>
          <w:szCs w:val="20"/>
          <w:lang w:val="x-none"/>
        </w:rPr>
      </w:pPr>
      <w:bookmarkStart w:id="8" w:name="_Toc417895203"/>
      <w:bookmarkStart w:id="9" w:name="_Toc424755436"/>
      <w:bookmarkStart w:id="10" w:name="_Toc425145191"/>
      <w:bookmarkStart w:id="11" w:name="_Toc425156677"/>
      <w:bookmarkStart w:id="12" w:name="_Toc433713853"/>
      <w:bookmarkEnd w:id="6"/>
      <w:bookmarkEnd w:id="7"/>
      <w:r w:rsidRPr="002C4B48">
        <w:rPr>
          <w:b/>
          <w:sz w:val="40"/>
          <w:szCs w:val="20"/>
          <w:lang w:val="x-none"/>
        </w:rPr>
        <w:lastRenderedPageBreak/>
        <w:t>Glossary</w:t>
      </w:r>
      <w:bookmarkEnd w:id="8"/>
      <w:bookmarkEnd w:id="9"/>
      <w:bookmarkEnd w:id="10"/>
      <w:bookmarkEnd w:id="11"/>
      <w:bookmarkEnd w:id="12"/>
    </w:p>
    <w:p w:rsidR="002C4B48" w:rsidRPr="002C4B48" w:rsidRDefault="002C4B48" w:rsidP="002C4B48">
      <w:pPr>
        <w:keepNext/>
      </w:pPr>
      <w:r w:rsidRPr="002C4B48">
        <w:rPr>
          <w:b/>
          <w:bCs/>
        </w:rPr>
        <w:t xml:space="preserve">Activity: </w:t>
      </w:r>
      <w:r w:rsidRPr="002C4B48">
        <w:t>any measurable</w:t>
      </w:r>
      <w:r w:rsidRPr="002C4B48">
        <w:rPr>
          <w:b/>
          <w:bCs/>
        </w:rPr>
        <w:t xml:space="preserve"> </w:t>
      </w:r>
      <w:r w:rsidRPr="002C4B48">
        <w:t>work undertaken by the department to enable the importation of goods. This includes activities, business processes and outputs as described in the Australian Government Cost Recovery Guidelines (CRGs).</w:t>
      </w:r>
    </w:p>
    <w:p w:rsidR="002C4B48" w:rsidRPr="002C4B48" w:rsidRDefault="002C4B48" w:rsidP="002C4B48">
      <w:pPr>
        <w:keepNext/>
        <w:rPr>
          <w:b/>
          <w:bCs/>
        </w:rPr>
      </w:pPr>
      <w:r w:rsidRPr="002C4B48">
        <w:rPr>
          <w:b/>
          <w:bCs/>
        </w:rPr>
        <w:t xml:space="preserve">Approved arrangement: </w:t>
      </w:r>
      <w:r w:rsidRPr="002C4B48">
        <w:t xml:space="preserve">Collectively refers to a section 46A approval of a </w:t>
      </w:r>
      <w:proofErr w:type="gramStart"/>
      <w:r w:rsidRPr="002C4B48">
        <w:t>quarantine approved</w:t>
      </w:r>
      <w:proofErr w:type="gramEnd"/>
      <w:r w:rsidRPr="002C4B48">
        <w:t xml:space="preserve"> premises and a s66B compliance agreement under the </w:t>
      </w:r>
      <w:r w:rsidRPr="002C4B48">
        <w:rPr>
          <w:i/>
          <w:iCs/>
        </w:rPr>
        <w:t xml:space="preserve">Quarantine Act 1908, </w:t>
      </w:r>
      <w:r w:rsidRPr="002C4B48">
        <w:t xml:space="preserve">a section 35A imported food compliance agreement under the </w:t>
      </w:r>
      <w:r w:rsidRPr="002C4B48">
        <w:rPr>
          <w:i/>
          <w:iCs/>
        </w:rPr>
        <w:t>Imported Food Control Act 1992</w:t>
      </w:r>
      <w:r w:rsidRPr="002C4B48">
        <w:t xml:space="preserve"> and an approved arrangement as defined in section 10 of the </w:t>
      </w:r>
      <w:r w:rsidRPr="002C4B48">
        <w:rPr>
          <w:i/>
          <w:iCs/>
        </w:rPr>
        <w:t>Biosecurity Act 2015</w:t>
      </w:r>
      <w:r w:rsidRPr="002C4B48">
        <w:t>.</w:t>
      </w:r>
    </w:p>
    <w:p w:rsidR="002C4B48" w:rsidRPr="002C4B48" w:rsidRDefault="002C4B48" w:rsidP="002C4B48">
      <w:pPr>
        <w:keepNext/>
      </w:pPr>
      <w:r w:rsidRPr="002C4B48">
        <w:rPr>
          <w:b/>
          <w:bCs/>
        </w:rPr>
        <w:t xml:space="preserve">Charge: </w:t>
      </w:r>
      <w:r w:rsidRPr="002C4B48">
        <w:t xml:space="preserve">a fee or a levy that the department imposes on industry. In the CRGs, charges </w:t>
      </w:r>
      <w:proofErr w:type="gramStart"/>
      <w:r w:rsidRPr="002C4B48">
        <w:t>are referred</w:t>
      </w:r>
      <w:proofErr w:type="gramEnd"/>
      <w:r w:rsidRPr="002C4B48">
        <w:t xml:space="preserve"> to as cost recovery charges.</w:t>
      </w:r>
    </w:p>
    <w:p w:rsidR="002C4B48" w:rsidRPr="002C4B48" w:rsidRDefault="002C4B48" w:rsidP="002C4B48">
      <w:pPr>
        <w:keepNext/>
      </w:pPr>
      <w:r w:rsidRPr="002C4B48">
        <w:rPr>
          <w:b/>
          <w:bCs/>
        </w:rPr>
        <w:t xml:space="preserve">Fee: </w:t>
      </w:r>
      <w:r w:rsidRPr="002C4B48">
        <w:t xml:space="preserve">a charge imposed when activities </w:t>
      </w:r>
      <w:proofErr w:type="gramStart"/>
      <w:r w:rsidRPr="002C4B48">
        <w:t>are provided</w:t>
      </w:r>
      <w:proofErr w:type="gramEnd"/>
      <w:r w:rsidRPr="002C4B48">
        <w:t xml:space="preserve"> directly to a specific individual or organisation. In the CRGs, fees </w:t>
      </w:r>
      <w:proofErr w:type="gramStart"/>
      <w:r w:rsidRPr="002C4B48">
        <w:t>are referred</w:t>
      </w:r>
      <w:proofErr w:type="gramEnd"/>
      <w:r w:rsidRPr="002C4B48">
        <w:t xml:space="preserve"> to as cost recovery fees.</w:t>
      </w:r>
    </w:p>
    <w:p w:rsidR="002C4B48" w:rsidRPr="002C4B48" w:rsidRDefault="002C4B48" w:rsidP="002C4B48">
      <w:r w:rsidRPr="002C4B48">
        <w:rPr>
          <w:b/>
          <w:bCs/>
        </w:rPr>
        <w:t>FID (Full import declaration):</w:t>
      </w:r>
      <w:r w:rsidRPr="002C4B48">
        <w:t xml:space="preserve"> information required by the Australian Government to process imported goods with a value exceeding AUD$1000. All importers lodging a FID must pay a charge to assess biosecurity risk of imported goods.</w:t>
      </w:r>
    </w:p>
    <w:p w:rsidR="002C4B48" w:rsidRPr="002C4B48" w:rsidRDefault="002C4B48" w:rsidP="002C4B48">
      <w:pPr>
        <w:keepNext/>
      </w:pPr>
      <w:r w:rsidRPr="002C4B48">
        <w:rPr>
          <w:b/>
          <w:bCs/>
        </w:rPr>
        <w:t>SAC (Self-assessed clearance):</w:t>
      </w:r>
      <w:r w:rsidRPr="002C4B48">
        <w:t xml:space="preserve"> information required by the Australian Government to process imported goods with a value of AUD$1000 or less.</w:t>
      </w:r>
    </w:p>
    <w:p w:rsidR="002C4B48" w:rsidRPr="002C4B48" w:rsidRDefault="002C4B48" w:rsidP="002C4B48">
      <w:pPr>
        <w:sectPr w:rsidR="002C4B48" w:rsidRPr="002C4B48" w:rsidSect="002C4B48">
          <w:headerReference w:type="default" r:id="rId18"/>
          <w:footerReference w:type="default" r:id="rId19"/>
          <w:headerReference w:type="first" r:id="rId20"/>
          <w:footerReference w:type="first" r:id="rId21"/>
          <w:pgSz w:w="11906" w:h="16838"/>
          <w:pgMar w:top="1276" w:right="1418" w:bottom="1276" w:left="1418" w:header="567" w:footer="284" w:gutter="0"/>
          <w:pgNumType w:fmt="lowerRoman"/>
          <w:cols w:space="708"/>
          <w:titlePg/>
          <w:docGrid w:linePitch="360"/>
        </w:sectPr>
      </w:pPr>
      <w:r w:rsidRPr="002C4B48">
        <w:rPr>
          <w:b/>
          <w:bCs/>
        </w:rPr>
        <w:t>Levy:</w:t>
      </w:r>
      <w:r w:rsidRPr="002C4B48">
        <w:t xml:space="preserve"> a charge imposed when activities </w:t>
      </w:r>
      <w:proofErr w:type="gramStart"/>
      <w:r w:rsidRPr="002C4B48">
        <w:t>are provided</w:t>
      </w:r>
      <w:proofErr w:type="gramEnd"/>
      <w:r w:rsidRPr="002C4B48">
        <w:t xml:space="preserve"> to a group of individuals or organisations (e.g. an industry sector) rather than to a specific individual or organisation. A levy is legally a taxation charge and needs to </w:t>
      </w:r>
      <w:proofErr w:type="gramStart"/>
      <w:r w:rsidRPr="002C4B48">
        <w:t>be imposed</w:t>
      </w:r>
      <w:proofErr w:type="gramEnd"/>
      <w:r w:rsidRPr="002C4B48">
        <w:t xml:space="preserve"> in a separate taxation Act to comply with constitutional requirements. A levy differs from general taxation, as it </w:t>
      </w:r>
      <w:proofErr w:type="gramStart"/>
      <w:r w:rsidRPr="002C4B48">
        <w:t>is earmarked</w:t>
      </w:r>
      <w:proofErr w:type="gramEnd"/>
      <w:r w:rsidRPr="002C4B48">
        <w:t xml:space="preserve"> to fund activities provided to the group being charged.</w:t>
      </w:r>
      <w:r w:rsidRPr="002C4B48">
        <w:rPr>
          <w:i/>
          <w:iCs/>
        </w:rPr>
        <w:t xml:space="preserve"> </w:t>
      </w:r>
      <w:r w:rsidRPr="002C4B48">
        <w:t xml:space="preserve">In the CRGs, levies </w:t>
      </w:r>
      <w:proofErr w:type="gramStart"/>
      <w:r w:rsidRPr="002C4B48">
        <w:t>are referred</w:t>
      </w:r>
      <w:proofErr w:type="gramEnd"/>
      <w:r w:rsidRPr="002C4B48">
        <w:t xml:space="preserve"> to as cost recovery levies</w:t>
      </w:r>
      <w:bookmarkStart w:id="13" w:name="_____replySeparator"/>
      <w:bookmarkStart w:id="14" w:name="_Toc424755437"/>
      <w:bookmarkEnd w:id="13"/>
    </w:p>
    <w:p w:rsidR="002C4B48" w:rsidRPr="002C4B48" w:rsidRDefault="002C4B48" w:rsidP="00530A65">
      <w:pPr>
        <w:pStyle w:val="Heading2"/>
      </w:pPr>
      <w:bookmarkStart w:id="15" w:name="_Toc433713854"/>
      <w:r w:rsidRPr="00530A65">
        <w:lastRenderedPageBreak/>
        <w:t>Purpose</w:t>
      </w:r>
      <w:r w:rsidRPr="002C4B48">
        <w:t xml:space="preserve"> of the cost recovery implementation statement</w:t>
      </w:r>
      <w:bookmarkEnd w:id="14"/>
      <w:bookmarkEnd w:id="15"/>
    </w:p>
    <w:p w:rsidR="002C4B48" w:rsidRPr="002C4B48" w:rsidRDefault="002C4B48" w:rsidP="002C4B48">
      <w:r w:rsidRPr="002C4B48">
        <w:rPr>
          <w:iCs/>
        </w:rPr>
        <w:t xml:space="preserve">This Cost Recovery Implementation Statement (CRIS) provides information on the </w:t>
      </w:r>
      <w:r w:rsidRPr="002C4B48">
        <w:t xml:space="preserve">Department of Agriculture and Water Resources’ (the </w:t>
      </w:r>
      <w:proofErr w:type="gramStart"/>
      <w:r w:rsidRPr="002C4B48">
        <w:t>department’s</w:t>
      </w:r>
      <w:proofErr w:type="gramEnd"/>
      <w:r w:rsidRPr="002C4B48">
        <w:t xml:space="preserve">) cost recovery arrangement for </w:t>
      </w:r>
      <w:r w:rsidRPr="002C4B48">
        <w:rPr>
          <w:bCs/>
        </w:rPr>
        <w:t>biosecurity activities (including imported food)</w:t>
      </w:r>
      <w:r w:rsidRPr="002C4B48">
        <w:t>. It also reports financial and non-financial performance information for the delivery of these activities and contains financial forecasts out to 2018–19.</w:t>
      </w:r>
    </w:p>
    <w:p w:rsidR="002C4B48" w:rsidRPr="002C4B48" w:rsidRDefault="002C4B48" w:rsidP="002C4B48">
      <w:r w:rsidRPr="002C4B48">
        <w:t xml:space="preserve">This CRIS covers activities that </w:t>
      </w:r>
      <w:proofErr w:type="gramStart"/>
      <w:r w:rsidRPr="002C4B48">
        <w:t>have been previously described</w:t>
      </w:r>
      <w:proofErr w:type="gramEnd"/>
      <w:r w:rsidRPr="002C4B48">
        <w:t xml:space="preserve"> in the following documents:</w:t>
      </w:r>
    </w:p>
    <w:p w:rsidR="002C4B48" w:rsidRPr="002C4B48" w:rsidRDefault="002C4B48" w:rsidP="002C4B48">
      <w:pPr>
        <w:numPr>
          <w:ilvl w:val="0"/>
          <w:numId w:val="2"/>
        </w:numPr>
        <w:spacing w:before="120" w:after="120"/>
      </w:pPr>
      <w:r w:rsidRPr="002C4B48">
        <w:t>Cost Recovery Impact Statement—Import Clearance 2014–2015</w:t>
      </w:r>
    </w:p>
    <w:p w:rsidR="002C4B48" w:rsidRPr="002C4B48" w:rsidRDefault="002C4B48" w:rsidP="002C4B48">
      <w:pPr>
        <w:numPr>
          <w:ilvl w:val="0"/>
          <w:numId w:val="2"/>
        </w:numPr>
        <w:spacing w:before="120" w:after="120"/>
      </w:pPr>
      <w:r w:rsidRPr="002C4B48">
        <w:t>Cost Recovery Impact Statement—Seaports 2014–2015</w:t>
      </w:r>
    </w:p>
    <w:p w:rsidR="002C4B48" w:rsidRPr="002C4B48" w:rsidRDefault="002C4B48" w:rsidP="002C4B48">
      <w:pPr>
        <w:numPr>
          <w:ilvl w:val="0"/>
          <w:numId w:val="2"/>
        </w:numPr>
        <w:spacing w:before="120" w:after="120"/>
      </w:pPr>
      <w:r w:rsidRPr="002C4B48">
        <w:t>Cost Recovery Impact Statement—Post Entry Animal Quarantine 2014–2015</w:t>
      </w:r>
    </w:p>
    <w:p w:rsidR="002C4B48" w:rsidRPr="002C4B48" w:rsidRDefault="002C4B48" w:rsidP="002C4B48">
      <w:pPr>
        <w:numPr>
          <w:ilvl w:val="0"/>
          <w:numId w:val="2"/>
        </w:numPr>
        <w:spacing w:before="120" w:after="120"/>
      </w:pPr>
      <w:r w:rsidRPr="002C4B48">
        <w:t>Cost Recovery Impact Statement—Horse Imports Program Fees</w:t>
      </w:r>
    </w:p>
    <w:p w:rsidR="002C4B48" w:rsidRPr="002C4B48" w:rsidRDefault="002C4B48" w:rsidP="002C4B48">
      <w:pPr>
        <w:numPr>
          <w:ilvl w:val="0"/>
          <w:numId w:val="2"/>
        </w:numPr>
        <w:spacing w:before="120" w:after="120"/>
      </w:pPr>
      <w:r w:rsidRPr="002C4B48">
        <w:t>CRIS—Portfolio (Airports)</w:t>
      </w:r>
    </w:p>
    <w:p w:rsidR="002C4B48" w:rsidRPr="002C4B48" w:rsidRDefault="002C4B48" w:rsidP="002C4B48">
      <w:pPr>
        <w:numPr>
          <w:ilvl w:val="0"/>
          <w:numId w:val="2"/>
        </w:numPr>
        <w:spacing w:before="120" w:after="120"/>
      </w:pPr>
      <w:r w:rsidRPr="002C4B48">
        <w:t>CRIS—Portfolio (International Mail)</w:t>
      </w:r>
    </w:p>
    <w:p w:rsidR="002C4B48" w:rsidRPr="002C4B48" w:rsidRDefault="002C4B48" w:rsidP="002C4B48">
      <w:pPr>
        <w:numPr>
          <w:ilvl w:val="0"/>
          <w:numId w:val="2"/>
        </w:numPr>
        <w:spacing w:before="120" w:after="120"/>
      </w:pPr>
      <w:r w:rsidRPr="002C4B48">
        <w:t>CRIS—Portfolio (PEQ plant)</w:t>
      </w:r>
    </w:p>
    <w:p w:rsidR="002C4B48" w:rsidRPr="002C4B48" w:rsidRDefault="002C4B48" w:rsidP="00530A65">
      <w:pPr>
        <w:pStyle w:val="Heading3"/>
      </w:pPr>
      <w:bookmarkStart w:id="16" w:name="_Toc424755438"/>
      <w:bookmarkStart w:id="17" w:name="_Toc433713855"/>
      <w:r w:rsidRPr="00530A65">
        <w:t>Biosecurity</w:t>
      </w:r>
      <w:r w:rsidRPr="002C4B48">
        <w:t xml:space="preserve"> activities (including imported food activities)</w:t>
      </w:r>
      <w:bookmarkEnd w:id="16"/>
      <w:bookmarkEnd w:id="17"/>
    </w:p>
    <w:p w:rsidR="002C4B48" w:rsidRPr="002C4B48" w:rsidRDefault="002C4B48" w:rsidP="002C4B48">
      <w:r w:rsidRPr="002C4B48">
        <w:t>Biosecurity activities undertaken by the department involve activity to assess and manage the biosecurity risks arising from people, goods and vessels (sea and aircraft) entering Australia. These activities also include assessing compliance of imported food with relevant food standards and public health and safety requirements.</w:t>
      </w:r>
    </w:p>
    <w:p w:rsidR="002C4B48" w:rsidRPr="002C4B48" w:rsidRDefault="002C4B48" w:rsidP="002C4B48">
      <w:r w:rsidRPr="002C4B48">
        <w:t xml:space="preserve">These essential </w:t>
      </w:r>
      <w:proofErr w:type="gramStart"/>
      <w:r w:rsidRPr="002C4B48">
        <w:t>services which</w:t>
      </w:r>
      <w:proofErr w:type="gramEnd"/>
      <w:r w:rsidRPr="002C4B48">
        <w:t xml:space="preserve"> occur onshore, offshore and at the border are a major part of the department’s day-to-day business. During </w:t>
      </w:r>
      <w:r w:rsidRPr="002C4B48">
        <w:lastRenderedPageBreak/>
        <w:t xml:space="preserve">2013–14, the department assessed and cleared more than 17 million international passengers, 180 million international mail articles and 17 000 international vessels and aircraft at international airports and seaports around the country. Around 18 </w:t>
      </w:r>
      <w:proofErr w:type="gramStart"/>
      <w:r w:rsidRPr="002C4B48">
        <w:t>000 import</w:t>
      </w:r>
      <w:proofErr w:type="gramEnd"/>
      <w:r w:rsidRPr="002C4B48">
        <w:t xml:space="preserve"> permit applications were received and 6 000 animals were processed at Australian Government post entry quarantine facilities.</w:t>
      </w:r>
    </w:p>
    <w:p w:rsidR="002C4B48" w:rsidRPr="002C4B48" w:rsidRDefault="002C4B48" w:rsidP="002C4B48">
      <w:r w:rsidRPr="002C4B48">
        <w:t xml:space="preserve">This CRIS covers the department’s cost recovery of biosecurity </w:t>
      </w:r>
      <w:proofErr w:type="gramStart"/>
      <w:r w:rsidRPr="002C4B48">
        <w:t>activities which</w:t>
      </w:r>
      <w:proofErr w:type="gramEnd"/>
      <w:r w:rsidRPr="002C4B48">
        <w:t xml:space="preserve"> are provided to four key groups: importers, vessel operators, approved arrangement participants and passengers.</w:t>
      </w:r>
    </w:p>
    <w:p w:rsidR="002C4B48" w:rsidRPr="002C4B48" w:rsidRDefault="002C4B48" w:rsidP="002C4B48">
      <w:r w:rsidRPr="002C4B48">
        <w:t>The key biosecurity activities provided by the department to these clients are:</w:t>
      </w:r>
    </w:p>
    <w:p w:rsidR="002C4B48" w:rsidRPr="002C4B48" w:rsidRDefault="002C4B48" w:rsidP="002C4B48">
      <w:pPr>
        <w:numPr>
          <w:ilvl w:val="0"/>
          <w:numId w:val="2"/>
        </w:numPr>
        <w:spacing w:before="120" w:after="120"/>
      </w:pPr>
      <w:r w:rsidRPr="002C4B48">
        <w:t>Importers —assessment and management of the biosecurity risks associated with imported goods and packaging (including air and sea cargo, international mail, food, live animals and plants). This also includes husbandry activities, undertaken by the department, associated with the post entry quarantine of live animals and plants prior to release into Australia (such as horses, dogs, cats, hatching eggs, birds, ruminants, bees and viable seeds).</w:t>
      </w:r>
    </w:p>
    <w:p w:rsidR="002C4B48" w:rsidRPr="002C4B48" w:rsidRDefault="002C4B48" w:rsidP="002C4B48">
      <w:pPr>
        <w:numPr>
          <w:ilvl w:val="0"/>
          <w:numId w:val="2"/>
        </w:numPr>
        <w:spacing w:before="120" w:after="120"/>
      </w:pPr>
      <w:r w:rsidRPr="002C4B48">
        <w:t xml:space="preserve">Vessel operators—assessment and management of the biosecurity risks of sea vessels and aircraft entering Australia. This includes assessments and inspections to manage the risks posed by the vessel itself, contaminants on the vessel, human biosecurity risks, ballast water and biofouling on sea vessels and aircraft </w:t>
      </w:r>
      <w:proofErr w:type="spellStart"/>
      <w:r w:rsidRPr="002C4B48">
        <w:t>disinsection</w:t>
      </w:r>
      <w:proofErr w:type="spellEnd"/>
      <w:r w:rsidRPr="002C4B48">
        <w:t>.</w:t>
      </w:r>
    </w:p>
    <w:p w:rsidR="002C4B48" w:rsidRPr="002C4B48" w:rsidRDefault="002C4B48" w:rsidP="002C4B48">
      <w:pPr>
        <w:numPr>
          <w:ilvl w:val="0"/>
          <w:numId w:val="2"/>
        </w:numPr>
        <w:spacing w:before="120" w:after="120"/>
      </w:pPr>
      <w:r w:rsidRPr="002C4B48">
        <w:t xml:space="preserve">Approved arrangement participants—administering arrangements, managing compliance regimes and setting standards for various third party arrangements managed by the department, such as </w:t>
      </w:r>
      <w:proofErr w:type="gramStart"/>
      <w:r w:rsidRPr="002C4B48">
        <w:t>quarantine approved</w:t>
      </w:r>
      <w:proofErr w:type="gramEnd"/>
      <w:r w:rsidRPr="002C4B48">
        <w:t xml:space="preserve"> premises, compliance agreements and imported food compliance agreements.</w:t>
      </w:r>
    </w:p>
    <w:p w:rsidR="002C4B48" w:rsidRPr="002C4B48" w:rsidRDefault="002C4B48" w:rsidP="002C4B48">
      <w:pPr>
        <w:numPr>
          <w:ilvl w:val="0"/>
          <w:numId w:val="2"/>
        </w:numPr>
        <w:spacing w:before="120" w:after="120"/>
      </w:pPr>
      <w:r w:rsidRPr="002C4B48">
        <w:t xml:space="preserve">Passengers—assessment and management of biosecurity risks posed by accompanied passengers baggage. Activities such as inspection and assessment of baggage are only cost recovered </w:t>
      </w:r>
      <w:r w:rsidRPr="002C4B48">
        <w:lastRenderedPageBreak/>
        <w:t>where provided outside of designated international airports or seaports.</w:t>
      </w:r>
    </w:p>
    <w:p w:rsidR="002C4B48" w:rsidRPr="002C4B48" w:rsidRDefault="002C4B48" w:rsidP="00530A65">
      <w:pPr>
        <w:pStyle w:val="Heading3"/>
      </w:pPr>
      <w:bookmarkStart w:id="18" w:name="_Toc424755439"/>
      <w:bookmarkStart w:id="19" w:name="_Toc433713856"/>
      <w:r w:rsidRPr="002C4B48">
        <w:t>Why is cost recovery appropriate?</w:t>
      </w:r>
      <w:bookmarkEnd w:id="18"/>
      <w:bookmarkEnd w:id="19"/>
    </w:p>
    <w:p w:rsidR="002C4B48" w:rsidRPr="002C4B48" w:rsidRDefault="002C4B48" w:rsidP="002C4B48">
      <w:r w:rsidRPr="002C4B48">
        <w:t xml:space="preserve">Cost recovery fees and levies fall within the Australian Government’s (the government’s) broader charging framework. Other charges in this framework include commercial charges and resource charges. The type of charge </w:t>
      </w:r>
      <w:proofErr w:type="gramStart"/>
      <w:r w:rsidRPr="002C4B48">
        <w:t>is determined</w:t>
      </w:r>
      <w:proofErr w:type="gramEnd"/>
      <w:r w:rsidRPr="002C4B48">
        <w:t xml:space="preserve"> by the characteristics of the services.</w:t>
      </w:r>
    </w:p>
    <w:p w:rsidR="002C4B48" w:rsidRPr="002C4B48" w:rsidRDefault="002C4B48" w:rsidP="002C4B48">
      <w:r w:rsidRPr="002C4B48">
        <w:t xml:space="preserve">The use of commercial charging is not appropriate as this approach relies on competitive markets. While the private sector can undertake some biosecurity activities, the government must provide the biosecurity system due to constitutional requirements. Resource charging is not appropriate as biosecurity services </w:t>
      </w:r>
      <w:proofErr w:type="gramStart"/>
      <w:r w:rsidRPr="002C4B48">
        <w:t>are not based</w:t>
      </w:r>
      <w:proofErr w:type="gramEnd"/>
      <w:r w:rsidRPr="002C4B48">
        <w:t xml:space="preserve"> on the value of the activity to the recipient.</w:t>
      </w:r>
    </w:p>
    <w:p w:rsidR="002C4B48" w:rsidRPr="002C4B48" w:rsidRDefault="002C4B48" w:rsidP="002C4B48">
      <w:r w:rsidRPr="002C4B48">
        <w:t xml:space="preserve">The only viable alternative to cost recovering biosecurity services is funding this activity through consolidated revenue (general taxation). In most circumstances, general taxation is only appropriate for services that </w:t>
      </w:r>
      <w:proofErr w:type="gramStart"/>
      <w:r w:rsidRPr="002C4B48">
        <w:t>are provided</w:t>
      </w:r>
      <w:proofErr w:type="gramEnd"/>
      <w:r w:rsidRPr="002C4B48">
        <w:t xml:space="preserve"> to the wider community. Biosecurity services </w:t>
      </w:r>
      <w:proofErr w:type="gramStart"/>
      <w:r w:rsidRPr="002C4B48">
        <w:t>are provided</w:t>
      </w:r>
      <w:proofErr w:type="gramEnd"/>
      <w:r w:rsidRPr="002C4B48">
        <w:t xml:space="preserve"> to a clearly identifiable group—individuals and organisations that participate in the import supply chain. If it were not for the business activities of this group, much of the biosecurity services would not be required.</w:t>
      </w:r>
    </w:p>
    <w:p w:rsidR="002C4B48" w:rsidRPr="002C4B48" w:rsidRDefault="002C4B48" w:rsidP="002C4B48">
      <w:r w:rsidRPr="002C4B48">
        <w:t>There are additional benefits to funding biosecurity services through cost recovery. When a business pays for the activities it receives, the government has an obligation to justify the prices it charges. Cost recovery also increases the cost consciousness of clients of how much a government activity actually costs.</w:t>
      </w:r>
    </w:p>
    <w:p w:rsidR="002C4B48" w:rsidRPr="002C4B48" w:rsidRDefault="002C4B48" w:rsidP="002C4B48">
      <w:pPr>
        <w:spacing w:after="0"/>
      </w:pPr>
      <w:r w:rsidRPr="002C4B48">
        <w:t xml:space="preserve">For these reasons, the government has determined cost recovery to be the most appropriate mechanism for funding biosecurity services. The department has redesigned cost recovery of biosecurity services to be consistent with the Australian Government Cost Recovery Guidelines (CRGs). These provide the overarching framework under </w:t>
      </w:r>
      <w:r w:rsidRPr="002C4B48">
        <w:lastRenderedPageBreak/>
        <w:t>which government entities must design, implement and review cost recovery.</w:t>
      </w:r>
      <w:bookmarkStart w:id="20" w:name="_Toc424755440"/>
    </w:p>
    <w:p w:rsidR="002C4B48" w:rsidRPr="002C4B48" w:rsidRDefault="002C4B48" w:rsidP="00530A65">
      <w:pPr>
        <w:pStyle w:val="Heading2"/>
      </w:pPr>
      <w:bookmarkStart w:id="21" w:name="_Toc433713857"/>
      <w:r w:rsidRPr="002C4B48">
        <w:lastRenderedPageBreak/>
        <w:t>Authority to cost recover</w:t>
      </w:r>
      <w:bookmarkEnd w:id="20"/>
      <w:bookmarkEnd w:id="21"/>
    </w:p>
    <w:p w:rsidR="002C4B48" w:rsidRPr="002C4B48" w:rsidRDefault="002C4B48" w:rsidP="002C4B48">
      <w:r w:rsidRPr="002C4B48">
        <w:t>Under the CRGs, cost recovery requires both policy approval and statutory authority. The following section provides information on government approval of cost recovery for biosecurity activities and the legislation that enables the department to collect fees and cost recovery levies.</w:t>
      </w:r>
    </w:p>
    <w:p w:rsidR="002C4B48" w:rsidRPr="002C4B48" w:rsidRDefault="002C4B48" w:rsidP="00530A65">
      <w:pPr>
        <w:pStyle w:val="Heading3"/>
      </w:pPr>
      <w:bookmarkStart w:id="22" w:name="_Toc424755441"/>
      <w:bookmarkStart w:id="23" w:name="_Toc433713858"/>
      <w:r w:rsidRPr="002C4B48">
        <w:t>Policy approval</w:t>
      </w:r>
      <w:bookmarkEnd w:id="22"/>
      <w:bookmarkEnd w:id="23"/>
    </w:p>
    <w:p w:rsidR="002C4B48" w:rsidRPr="002C4B48" w:rsidRDefault="002C4B48" w:rsidP="002C4B48">
      <w:pPr>
        <w:keepNext/>
      </w:pPr>
      <w:r w:rsidRPr="002C4B48">
        <w:t xml:space="preserve">The department commenced partial cost recovery of selected biosecurity activities in 1979 and implemented full cost recovery from 1 January 1991. </w:t>
      </w:r>
    </w:p>
    <w:p w:rsidR="002C4B48" w:rsidRPr="002C4B48" w:rsidRDefault="002C4B48" w:rsidP="002C4B48">
      <w:pPr>
        <w:keepNext/>
        <w:rPr>
          <w:iCs/>
        </w:rPr>
      </w:pPr>
      <w:r w:rsidRPr="002C4B48">
        <w:t xml:space="preserve">The policy authority for continued cost recovery of biosecurity activities </w:t>
      </w:r>
      <w:proofErr w:type="gramStart"/>
      <w:r w:rsidRPr="002C4B48">
        <w:t>was confirmed</w:t>
      </w:r>
      <w:proofErr w:type="gramEnd"/>
      <w:r w:rsidRPr="002C4B48">
        <w:t xml:space="preserve"> in the 2015–16 Budget when the government announced a redesign of all biosecurity and export certification cost recovery arrangements.</w:t>
      </w:r>
      <w:r w:rsidRPr="002C4B48">
        <w:rPr>
          <w:iCs/>
        </w:rPr>
        <w:t xml:space="preserve"> The redesign ensures the </w:t>
      </w:r>
      <w:proofErr w:type="gramStart"/>
      <w:r w:rsidRPr="002C4B48">
        <w:rPr>
          <w:iCs/>
        </w:rPr>
        <w:t>department’s</w:t>
      </w:r>
      <w:proofErr w:type="gramEnd"/>
      <w:r w:rsidRPr="002C4B48">
        <w:rPr>
          <w:iCs/>
        </w:rPr>
        <w:t xml:space="preserve"> cost recovery arrangements are equitable, financially sustainable and support the efficient and effective delivery of biosecurity activities into the future.</w:t>
      </w:r>
    </w:p>
    <w:p w:rsidR="002C4B48" w:rsidRPr="002C4B48" w:rsidRDefault="002C4B48" w:rsidP="002C4B48">
      <w:pPr>
        <w:keepNext/>
      </w:pPr>
      <w:r w:rsidRPr="002C4B48">
        <w:t>The redesign improves the cost recovery of biosecurity activities by:</w:t>
      </w:r>
    </w:p>
    <w:p w:rsidR="002C4B48" w:rsidRPr="002C4B48" w:rsidRDefault="002C4B48" w:rsidP="002C4B48">
      <w:pPr>
        <w:numPr>
          <w:ilvl w:val="0"/>
          <w:numId w:val="2"/>
        </w:numPr>
        <w:spacing w:before="120" w:after="120"/>
      </w:pPr>
      <w:r w:rsidRPr="002C4B48">
        <w:t xml:space="preserve">recovering the full costs of activities undertaken by the department, where appropriate, </w:t>
      </w:r>
    </w:p>
    <w:p w:rsidR="002C4B48" w:rsidRPr="002C4B48" w:rsidRDefault="002C4B48" w:rsidP="002C4B48">
      <w:pPr>
        <w:numPr>
          <w:ilvl w:val="0"/>
          <w:numId w:val="2"/>
        </w:numPr>
        <w:spacing w:before="120" w:after="120"/>
      </w:pPr>
      <w:r w:rsidRPr="002C4B48">
        <w:t xml:space="preserve">simplifying the structure of fees and levies where appropriate </w:t>
      </w:r>
    </w:p>
    <w:p w:rsidR="002C4B48" w:rsidRPr="002C4B48" w:rsidRDefault="002C4B48" w:rsidP="002C4B48">
      <w:pPr>
        <w:numPr>
          <w:ilvl w:val="0"/>
          <w:numId w:val="2"/>
        </w:numPr>
        <w:spacing w:before="120" w:after="120"/>
      </w:pPr>
      <w:r w:rsidRPr="002C4B48">
        <w:t xml:space="preserve">achieving greater equity in client contributions to system costs </w:t>
      </w:r>
    </w:p>
    <w:p w:rsidR="002C4B48" w:rsidRPr="002C4B48" w:rsidRDefault="002C4B48" w:rsidP="002C4B48">
      <w:pPr>
        <w:numPr>
          <w:ilvl w:val="0"/>
          <w:numId w:val="2"/>
        </w:numPr>
        <w:spacing w:before="120" w:after="120"/>
      </w:pPr>
      <w:proofErr w:type="gramStart"/>
      <w:r w:rsidRPr="002C4B48">
        <w:t>expanding</w:t>
      </w:r>
      <w:proofErr w:type="gramEnd"/>
      <w:r w:rsidRPr="002C4B48">
        <w:t xml:space="preserve"> and enhancing activities to strengthen the management of biosecurity risk.</w:t>
      </w:r>
    </w:p>
    <w:p w:rsidR="002C4B48" w:rsidRPr="002C4B48" w:rsidRDefault="002C4B48" w:rsidP="00530A65">
      <w:pPr>
        <w:pStyle w:val="Heading3"/>
      </w:pPr>
      <w:bookmarkStart w:id="24" w:name="_Toc424755442"/>
      <w:bookmarkStart w:id="25" w:name="_Toc433713859"/>
      <w:r w:rsidRPr="002C4B48">
        <w:t>Statutory authority</w:t>
      </w:r>
      <w:bookmarkEnd w:id="24"/>
      <w:bookmarkEnd w:id="25"/>
    </w:p>
    <w:p w:rsidR="002C4B48" w:rsidRPr="002C4B48" w:rsidRDefault="002C4B48" w:rsidP="002C4B48">
      <w:r w:rsidRPr="002C4B48">
        <w:t xml:space="preserve">Fees and levies for biosecurity activities </w:t>
      </w:r>
      <w:proofErr w:type="gramStart"/>
      <w:r w:rsidRPr="002C4B48">
        <w:t>are recovered</w:t>
      </w:r>
      <w:proofErr w:type="gramEnd"/>
      <w:r w:rsidRPr="002C4B48">
        <w:t xml:space="preserve"> under separate statutory authority. The relevant legislative instruments will be </w:t>
      </w:r>
      <w:r w:rsidRPr="002C4B48">
        <w:lastRenderedPageBreak/>
        <w:t>amended (where they exist) or developed (where needed) to enable the redesign of biosecurity and imported food fees and levies.</w:t>
      </w:r>
    </w:p>
    <w:p w:rsidR="002C4B48" w:rsidRPr="002C4B48" w:rsidRDefault="002C4B48" w:rsidP="002C4B48">
      <w:pPr>
        <w:spacing w:before="120" w:after="0"/>
        <w:outlineLvl w:val="3"/>
        <w:rPr>
          <w:b/>
          <w:sz w:val="28"/>
          <w:szCs w:val="20"/>
        </w:rPr>
      </w:pPr>
      <w:bookmarkStart w:id="26" w:name="_Toc424755443"/>
      <w:r w:rsidRPr="002C4B48">
        <w:rPr>
          <w:b/>
          <w:sz w:val="28"/>
          <w:szCs w:val="20"/>
          <w:lang w:val="x-none"/>
        </w:rPr>
        <w:t>Cost recovery fees</w:t>
      </w:r>
      <w:bookmarkEnd w:id="26"/>
    </w:p>
    <w:p w:rsidR="002C4B48" w:rsidRPr="002C4B48" w:rsidRDefault="002C4B48" w:rsidP="002C4B48">
      <w:r w:rsidRPr="002C4B48">
        <w:t xml:space="preserve">Under Section 86E of the </w:t>
      </w:r>
      <w:r w:rsidRPr="002C4B48">
        <w:rPr>
          <w:i/>
          <w:iCs/>
        </w:rPr>
        <w:t>Quarantine Act 1908</w:t>
      </w:r>
      <w:r w:rsidRPr="002C4B48">
        <w:rPr>
          <w:iCs/>
        </w:rPr>
        <w:t>,</w:t>
      </w:r>
      <w:r w:rsidRPr="002C4B48">
        <w:t xml:space="preserve"> the Minister for Agriculture and Water Resources has the power to determine fees for biosecurity related activities. The specific amounts were set out in the </w:t>
      </w:r>
      <w:r w:rsidRPr="002C4B48">
        <w:rPr>
          <w:iCs/>
        </w:rPr>
        <w:t>Quarantine Service Fees Determination 2005</w:t>
      </w:r>
      <w:r w:rsidRPr="002C4B48">
        <w:t>.</w:t>
      </w:r>
    </w:p>
    <w:p w:rsidR="002C4B48" w:rsidRPr="002C4B48" w:rsidRDefault="002C4B48" w:rsidP="002C4B48">
      <w:pPr>
        <w:numPr>
          <w:ilvl w:val="0"/>
          <w:numId w:val="2"/>
        </w:numPr>
        <w:spacing w:before="120" w:after="120"/>
      </w:pPr>
      <w:r w:rsidRPr="002C4B48">
        <w:t xml:space="preserve">The </w:t>
      </w:r>
      <w:r w:rsidRPr="002C4B48">
        <w:rPr>
          <w:i/>
          <w:iCs/>
        </w:rPr>
        <w:t>Quarantine Act 1908</w:t>
      </w:r>
      <w:r w:rsidRPr="002C4B48">
        <w:t xml:space="preserve"> and its subordinate legislation can be obtained at </w:t>
      </w:r>
      <w:hyperlink r:id="rId22" w:history="1">
        <w:r w:rsidRPr="002C4B48">
          <w:rPr>
            <w:color w:val="0000FF"/>
            <w:u w:val="single"/>
          </w:rPr>
          <w:t xml:space="preserve">the </w:t>
        </w:r>
        <w:proofErr w:type="spellStart"/>
        <w:r w:rsidRPr="002C4B48">
          <w:rPr>
            <w:color w:val="0000FF"/>
            <w:u w:val="single"/>
          </w:rPr>
          <w:t>Comlaw</w:t>
        </w:r>
        <w:proofErr w:type="spellEnd"/>
        <w:r w:rsidRPr="002C4B48">
          <w:rPr>
            <w:color w:val="0000FF"/>
            <w:u w:val="single"/>
          </w:rPr>
          <w:t xml:space="preserve"> website</w:t>
        </w:r>
      </w:hyperlink>
    </w:p>
    <w:p w:rsidR="002C4B48" w:rsidRPr="002C4B48" w:rsidRDefault="002C4B48" w:rsidP="002C4B48">
      <w:r w:rsidRPr="002C4B48">
        <w:t xml:space="preserve">Amendment to the existing fee </w:t>
      </w:r>
      <w:proofErr w:type="gramStart"/>
      <w:r w:rsidRPr="002C4B48">
        <w:t>determination,</w:t>
      </w:r>
      <w:proofErr w:type="gramEnd"/>
      <w:r w:rsidRPr="002C4B48">
        <w:t xml:space="preserve"> or a new determination will provide for the fees detailed in this CRIS to be established. These and other delegated instruments will include descriptions of the charging points for quarantine fees.</w:t>
      </w:r>
    </w:p>
    <w:p w:rsidR="002C4B48" w:rsidRPr="002C4B48" w:rsidRDefault="002C4B48" w:rsidP="002C4B48">
      <w:r w:rsidRPr="002C4B48">
        <w:t xml:space="preserve">Under Section 36 of the </w:t>
      </w:r>
      <w:hyperlink r:id="rId23" w:history="1">
        <w:r w:rsidRPr="002C4B48">
          <w:rPr>
            <w:i/>
            <w:iCs/>
          </w:rPr>
          <w:t>Imported Food Control Act 1992</w:t>
        </w:r>
      </w:hyperlink>
      <w:r w:rsidRPr="002C4B48">
        <w:t>, the Minister for Agriculture and Water Resources has the power to determine fees</w:t>
      </w:r>
      <w:r w:rsidRPr="002C4B48">
        <w:rPr>
          <w:szCs w:val="24"/>
        </w:rPr>
        <w:t xml:space="preserve"> for activities that ensure imported food complies with Australian food standards</w:t>
      </w:r>
      <w:r w:rsidRPr="002C4B48">
        <w:t>. The specific amounts were set out in the Imported Food Control Regulations 1993.</w:t>
      </w:r>
    </w:p>
    <w:p w:rsidR="002C4B48" w:rsidRPr="002C4B48" w:rsidRDefault="002C4B48" w:rsidP="002C4B48">
      <w:pPr>
        <w:numPr>
          <w:ilvl w:val="0"/>
          <w:numId w:val="2"/>
        </w:numPr>
        <w:spacing w:before="120" w:after="120"/>
      </w:pPr>
      <w:r w:rsidRPr="002C4B48">
        <w:t xml:space="preserve">The </w:t>
      </w:r>
      <w:r w:rsidRPr="002C4B48">
        <w:rPr>
          <w:i/>
          <w:iCs/>
        </w:rPr>
        <w:t>Imported Food Control Act 1992</w:t>
      </w:r>
      <w:r w:rsidRPr="002C4B48">
        <w:t xml:space="preserve"> and its subordinate legislation can be obtained at </w:t>
      </w:r>
      <w:hyperlink r:id="rId24" w:history="1">
        <w:r w:rsidRPr="002C4B48">
          <w:rPr>
            <w:color w:val="0000FF"/>
            <w:u w:val="single"/>
          </w:rPr>
          <w:t xml:space="preserve">the </w:t>
        </w:r>
        <w:proofErr w:type="spellStart"/>
        <w:r w:rsidRPr="002C4B48">
          <w:rPr>
            <w:color w:val="0000FF"/>
            <w:u w:val="single"/>
          </w:rPr>
          <w:t>Comlaw</w:t>
        </w:r>
        <w:proofErr w:type="spellEnd"/>
        <w:r w:rsidRPr="002C4B48">
          <w:rPr>
            <w:color w:val="0000FF"/>
            <w:u w:val="single"/>
          </w:rPr>
          <w:t xml:space="preserve"> website</w:t>
        </w:r>
      </w:hyperlink>
    </w:p>
    <w:p w:rsidR="002C4B48" w:rsidRPr="002C4B48" w:rsidRDefault="002C4B48" w:rsidP="002C4B48">
      <w:pPr>
        <w:keepNext/>
        <w:spacing w:after="120"/>
      </w:pPr>
      <w:r w:rsidRPr="002C4B48">
        <w:t xml:space="preserve">Amendment to the existing </w:t>
      </w:r>
      <w:proofErr w:type="gramStart"/>
      <w:r w:rsidRPr="002C4B48">
        <w:t>regulation,</w:t>
      </w:r>
      <w:proofErr w:type="gramEnd"/>
      <w:r w:rsidRPr="002C4B48">
        <w:t xml:space="preserve"> or new regulations will provide for the fees detailed in this CRIS to be established. These and other delegated instruments will include descriptions of the charging points for imported food fees.</w:t>
      </w:r>
    </w:p>
    <w:p w:rsidR="002C4B48" w:rsidRPr="002C4B48" w:rsidRDefault="002C4B48" w:rsidP="002C4B48">
      <w:r w:rsidRPr="002C4B48">
        <w:t xml:space="preserve">New legislation (the </w:t>
      </w:r>
      <w:r w:rsidRPr="002C4B48">
        <w:rPr>
          <w:i/>
        </w:rPr>
        <w:t>Biosecurity Act 2015)</w:t>
      </w:r>
      <w:r w:rsidRPr="002C4B48">
        <w:t xml:space="preserve"> will commence on 16 June 2016. This will replace the </w:t>
      </w:r>
      <w:r w:rsidRPr="002C4B48">
        <w:rPr>
          <w:i/>
        </w:rPr>
        <w:t>Quarantine Act 1908</w:t>
      </w:r>
      <w:r w:rsidRPr="002C4B48">
        <w:t xml:space="preserve"> as the primary piece of biosecurity legislation in Australia. The department will be working with stakeholders to develop subordinate legislation and supporting polices before the legislation comes into effect. This includes regulations affecting the management of ballast water, approved arrangements and import risk analysis.</w:t>
      </w:r>
    </w:p>
    <w:p w:rsidR="002C4B48" w:rsidRPr="002C4B48" w:rsidRDefault="002C4B48" w:rsidP="002C4B48">
      <w:r w:rsidRPr="002C4B48">
        <w:lastRenderedPageBreak/>
        <w:t xml:space="preserve">More information on the </w:t>
      </w:r>
      <w:hyperlink r:id="rId25" w:history="1">
        <w:r w:rsidRPr="002C4B48">
          <w:rPr>
            <w:i/>
            <w:color w:val="0000FF"/>
            <w:u w:val="single"/>
          </w:rPr>
          <w:t>Biosecurity Act 2015</w:t>
        </w:r>
      </w:hyperlink>
      <w:r w:rsidRPr="002C4B48">
        <w:t xml:space="preserve"> </w:t>
      </w:r>
      <w:proofErr w:type="gramStart"/>
      <w:r w:rsidRPr="002C4B48">
        <w:t>can be obtained</w:t>
      </w:r>
      <w:proofErr w:type="gramEnd"/>
      <w:r w:rsidRPr="002C4B48">
        <w:t xml:space="preserve"> from the department’s website.</w:t>
      </w:r>
    </w:p>
    <w:p w:rsidR="002C4B48" w:rsidRPr="002C4B48" w:rsidRDefault="002C4B48" w:rsidP="002C4B48">
      <w:pPr>
        <w:spacing w:before="120" w:after="0"/>
        <w:outlineLvl w:val="3"/>
        <w:rPr>
          <w:b/>
          <w:sz w:val="28"/>
          <w:szCs w:val="20"/>
          <w:lang w:val="x-none"/>
        </w:rPr>
      </w:pPr>
      <w:bookmarkStart w:id="27" w:name="_Toc424755444"/>
      <w:r w:rsidRPr="002C4B48">
        <w:rPr>
          <w:b/>
          <w:sz w:val="28"/>
          <w:szCs w:val="20"/>
          <w:lang w:val="x-none"/>
        </w:rPr>
        <w:t>Cost recovery levies—biosecurity</w:t>
      </w:r>
      <w:bookmarkEnd w:id="27"/>
    </w:p>
    <w:p w:rsidR="002C4B48" w:rsidRPr="002C4B48" w:rsidRDefault="002C4B48" w:rsidP="002C4B48">
      <w:pPr>
        <w:keepNext/>
        <w:spacing w:after="120"/>
      </w:pPr>
      <w:r w:rsidRPr="002C4B48">
        <w:t>The following acts and associated delegated legislation provide powers to impose and collect levies for biosecurity-related activities:</w:t>
      </w:r>
    </w:p>
    <w:p w:rsidR="002C4B48" w:rsidRPr="002C4B48" w:rsidRDefault="002C4B48" w:rsidP="002C4B48">
      <w:pPr>
        <w:numPr>
          <w:ilvl w:val="0"/>
          <w:numId w:val="2"/>
        </w:numPr>
        <w:spacing w:before="120" w:after="120"/>
        <w:rPr>
          <w:i/>
          <w:iCs/>
        </w:rPr>
      </w:pPr>
      <w:r w:rsidRPr="002C4B48">
        <w:rPr>
          <w:i/>
          <w:iCs/>
        </w:rPr>
        <w:t>Quarantine Charges (Imposition—Customs) Act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Quarantine Charges (Imposition—Customs) Regulations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26"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r w:rsidRPr="002C4B48">
        <w:rPr>
          <w:szCs w:val="20"/>
          <w:lang w:val="x-none"/>
        </w:rPr>
        <w:t>.</w:t>
      </w:r>
    </w:p>
    <w:p w:rsidR="002C4B48" w:rsidRPr="002C4B48" w:rsidRDefault="002C4B48" w:rsidP="002C4B48">
      <w:pPr>
        <w:numPr>
          <w:ilvl w:val="0"/>
          <w:numId w:val="2"/>
        </w:numPr>
        <w:spacing w:before="120" w:after="120"/>
        <w:rPr>
          <w:i/>
          <w:iCs/>
        </w:rPr>
      </w:pPr>
      <w:r w:rsidRPr="002C4B48">
        <w:rPr>
          <w:i/>
          <w:iCs/>
        </w:rPr>
        <w:t>Quarantine Charges (Imposition—Excise) Act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27"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r w:rsidRPr="002C4B48">
        <w:rPr>
          <w:szCs w:val="20"/>
        </w:rPr>
        <w:t xml:space="preserve"> </w:t>
      </w:r>
    </w:p>
    <w:p w:rsidR="002C4B48" w:rsidRPr="002C4B48" w:rsidRDefault="002C4B48" w:rsidP="002C4B48">
      <w:pPr>
        <w:numPr>
          <w:ilvl w:val="0"/>
          <w:numId w:val="2"/>
        </w:numPr>
        <w:spacing w:before="120" w:after="120"/>
        <w:rPr>
          <w:i/>
          <w:iCs/>
        </w:rPr>
      </w:pPr>
      <w:r w:rsidRPr="002C4B48">
        <w:rPr>
          <w:i/>
          <w:iCs/>
        </w:rPr>
        <w:t>Quarantine Charges (Imposition—General) Act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28"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p>
    <w:p w:rsidR="002C4B48" w:rsidRPr="002C4B48" w:rsidRDefault="002C4B48" w:rsidP="002C4B48">
      <w:pPr>
        <w:numPr>
          <w:ilvl w:val="0"/>
          <w:numId w:val="2"/>
        </w:numPr>
        <w:spacing w:before="120" w:after="120"/>
        <w:rPr>
          <w:i/>
          <w:iCs/>
        </w:rPr>
      </w:pPr>
      <w:r w:rsidRPr="002C4B48">
        <w:rPr>
          <w:i/>
          <w:iCs/>
        </w:rPr>
        <w:t>Quarantine Charges (Collection) Act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Quarantine Charges (Collection) Regulations 2014</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29"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r w:rsidRPr="002C4B48">
        <w:rPr>
          <w:szCs w:val="20"/>
          <w:lang w:val="x-none"/>
        </w:rPr>
        <w:t>.</w:t>
      </w:r>
    </w:p>
    <w:p w:rsidR="002C4B48" w:rsidRPr="002C4B48" w:rsidRDefault="002C4B48" w:rsidP="002C4B48">
      <w:pPr>
        <w:keepNext/>
        <w:spacing w:after="120"/>
      </w:pPr>
      <w:bookmarkStart w:id="28" w:name="_Toc424755445"/>
      <w:r w:rsidRPr="002C4B48">
        <w:t xml:space="preserve">Amendment to the existing </w:t>
      </w:r>
      <w:proofErr w:type="gramStart"/>
      <w:r w:rsidRPr="002C4B48">
        <w:t>regulations,</w:t>
      </w:r>
      <w:proofErr w:type="gramEnd"/>
      <w:r w:rsidRPr="002C4B48">
        <w:t xml:space="preserve"> or new regulations will provide for the levies detailed in this CRIS to be established.</w:t>
      </w:r>
    </w:p>
    <w:p w:rsidR="002C4B48" w:rsidRPr="002C4B48" w:rsidRDefault="002C4B48" w:rsidP="002C4B48">
      <w:pPr>
        <w:spacing w:before="120" w:after="120"/>
        <w:outlineLvl w:val="3"/>
        <w:rPr>
          <w:b/>
          <w:sz w:val="28"/>
          <w:szCs w:val="20"/>
          <w:lang w:val="x-none"/>
        </w:rPr>
      </w:pPr>
      <w:r w:rsidRPr="002C4B48">
        <w:rPr>
          <w:b/>
          <w:sz w:val="28"/>
          <w:szCs w:val="20"/>
          <w:lang w:val="x-none"/>
        </w:rPr>
        <w:t>Cost recovery levies—imported food</w:t>
      </w:r>
      <w:bookmarkEnd w:id="28"/>
    </w:p>
    <w:p w:rsidR="002C4B48" w:rsidRPr="002C4B48" w:rsidRDefault="002C4B48" w:rsidP="002C4B48">
      <w:pPr>
        <w:keepNext/>
        <w:spacing w:after="120"/>
      </w:pPr>
      <w:r w:rsidRPr="002C4B48">
        <w:t>The government has implemented new imported food charging legislation consistent with biosecurity charging arrangements.</w:t>
      </w:r>
    </w:p>
    <w:p w:rsidR="002C4B48" w:rsidRPr="002C4B48" w:rsidRDefault="002C4B48" w:rsidP="002C4B48">
      <w:pPr>
        <w:keepNext/>
        <w:spacing w:after="120"/>
      </w:pPr>
      <w:r w:rsidRPr="002C4B48">
        <w:t>The following acts provide powers to impose levies for imported food compliance activities:</w:t>
      </w:r>
    </w:p>
    <w:p w:rsidR="002C4B48" w:rsidRPr="002C4B48" w:rsidRDefault="002C4B48" w:rsidP="002C4B48">
      <w:pPr>
        <w:numPr>
          <w:ilvl w:val="0"/>
          <w:numId w:val="2"/>
        </w:numPr>
        <w:spacing w:before="120" w:after="120"/>
        <w:rPr>
          <w:i/>
          <w:iCs/>
        </w:rPr>
      </w:pPr>
      <w:r w:rsidRPr="002C4B48">
        <w:rPr>
          <w:i/>
          <w:iCs/>
        </w:rPr>
        <w:t>Imported Food Charges (Imposition—Customs) Act 2015</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30"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r w:rsidRPr="002C4B48">
        <w:rPr>
          <w:szCs w:val="20"/>
          <w:lang w:val="x-none"/>
        </w:rPr>
        <w:t>.</w:t>
      </w:r>
    </w:p>
    <w:p w:rsidR="002C4B48" w:rsidRPr="002C4B48" w:rsidRDefault="002C4B48" w:rsidP="002C4B48">
      <w:pPr>
        <w:numPr>
          <w:ilvl w:val="0"/>
          <w:numId w:val="2"/>
        </w:numPr>
        <w:spacing w:before="120" w:after="120"/>
        <w:rPr>
          <w:i/>
          <w:iCs/>
        </w:rPr>
      </w:pPr>
      <w:r w:rsidRPr="002C4B48">
        <w:rPr>
          <w:i/>
          <w:iCs/>
        </w:rPr>
        <w:t>Imported Food Charges (Imposition—Excise) Act 2015</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31"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p>
    <w:p w:rsidR="002C4B48" w:rsidRPr="002C4B48" w:rsidRDefault="002C4B48" w:rsidP="002C4B48">
      <w:pPr>
        <w:numPr>
          <w:ilvl w:val="0"/>
          <w:numId w:val="2"/>
        </w:numPr>
        <w:spacing w:before="120" w:after="120"/>
        <w:rPr>
          <w:i/>
          <w:iCs/>
        </w:rPr>
      </w:pPr>
      <w:r w:rsidRPr="002C4B48">
        <w:rPr>
          <w:i/>
          <w:iCs/>
        </w:rPr>
        <w:t>Imported Food Charges (Imposition—General) Act 2015</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32"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p>
    <w:p w:rsidR="002C4B48" w:rsidRPr="002C4B48" w:rsidRDefault="002C4B48" w:rsidP="002C4B48">
      <w:pPr>
        <w:keepNext/>
        <w:spacing w:after="120"/>
      </w:pPr>
      <w:r w:rsidRPr="002C4B48">
        <w:lastRenderedPageBreak/>
        <w:t xml:space="preserve">Powers to collect imported food levies </w:t>
      </w:r>
      <w:proofErr w:type="gramStart"/>
      <w:r w:rsidRPr="002C4B48">
        <w:t>are provided</w:t>
      </w:r>
      <w:proofErr w:type="gramEnd"/>
      <w:r w:rsidRPr="002C4B48">
        <w:t xml:space="preserve"> under the following legislation: </w:t>
      </w:r>
    </w:p>
    <w:p w:rsidR="002C4B48" w:rsidRPr="002C4B48" w:rsidRDefault="002C4B48" w:rsidP="002C4B48">
      <w:pPr>
        <w:numPr>
          <w:ilvl w:val="0"/>
          <w:numId w:val="2"/>
        </w:numPr>
        <w:spacing w:before="120" w:after="120"/>
        <w:rPr>
          <w:i/>
          <w:iCs/>
        </w:rPr>
      </w:pPr>
      <w:r w:rsidRPr="002C4B48">
        <w:rPr>
          <w:i/>
          <w:iCs/>
        </w:rPr>
        <w:t>Imported Food Charges (Collection) Act 2015</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This legislation can be obtained at </w:t>
      </w:r>
      <w:hyperlink r:id="rId33" w:history="1">
        <w:r w:rsidRPr="002C4B48">
          <w:rPr>
            <w:color w:val="0000FF"/>
            <w:szCs w:val="20"/>
            <w:u w:val="single"/>
            <w:lang w:val="x-none"/>
          </w:rPr>
          <w:t xml:space="preserve">the </w:t>
        </w:r>
        <w:proofErr w:type="spellStart"/>
        <w:r w:rsidRPr="002C4B48">
          <w:rPr>
            <w:color w:val="0000FF"/>
            <w:szCs w:val="20"/>
            <w:u w:val="single"/>
            <w:lang w:val="x-none"/>
          </w:rPr>
          <w:t>Comlaw</w:t>
        </w:r>
        <w:proofErr w:type="spellEnd"/>
        <w:r w:rsidRPr="002C4B48">
          <w:rPr>
            <w:color w:val="0000FF"/>
            <w:szCs w:val="20"/>
            <w:u w:val="single"/>
            <w:lang w:val="x-none"/>
          </w:rPr>
          <w:t xml:space="preserve"> website</w:t>
        </w:r>
      </w:hyperlink>
      <w:r w:rsidRPr="002C4B48">
        <w:rPr>
          <w:szCs w:val="20"/>
          <w:lang w:val="x-none"/>
        </w:rPr>
        <w:t>.</w:t>
      </w:r>
      <w:bookmarkStart w:id="29" w:name="_Toc417978400"/>
      <w:bookmarkStart w:id="30" w:name="_Toc423939486"/>
      <w:bookmarkStart w:id="31" w:name="_Toc424755455"/>
    </w:p>
    <w:p w:rsidR="002C4B48" w:rsidRPr="002C4B48" w:rsidRDefault="002C4B48" w:rsidP="002C4B48">
      <w:pPr>
        <w:keepNext/>
        <w:spacing w:after="120"/>
      </w:pPr>
      <w:r w:rsidRPr="002C4B48">
        <w:t>New regulations will provide for the levies detailed in this CRIS to be established. These and other delegated instruments will include descriptions of the charging points for levies.</w:t>
      </w:r>
    </w:p>
    <w:p w:rsidR="002C4B48" w:rsidRPr="002C4B48" w:rsidRDefault="002C4B48" w:rsidP="00530A65">
      <w:pPr>
        <w:pStyle w:val="Heading2"/>
      </w:pPr>
      <w:bookmarkStart w:id="32" w:name="_Toc433713860"/>
      <w:r w:rsidRPr="002C4B48">
        <w:lastRenderedPageBreak/>
        <w:t xml:space="preserve">Changes to </w:t>
      </w:r>
      <w:bookmarkEnd w:id="29"/>
      <w:bookmarkEnd w:id="30"/>
      <w:r w:rsidRPr="002C4B48">
        <w:t>the biosecurity cost recovery arrangement</w:t>
      </w:r>
      <w:bookmarkEnd w:id="32"/>
    </w:p>
    <w:p w:rsidR="002C4B48" w:rsidRPr="002C4B48" w:rsidRDefault="002C4B48" w:rsidP="002C4B48">
      <w:r w:rsidRPr="002C4B48">
        <w:t xml:space="preserve">There were around 170 biosecurity fees and levies, most of which recover very small amounts of revenue. The redesigned structure reduces this to around 60 fees and levies. Under the new arrangement, fees have been streamlined and standardised to ensure that all biosecurity clients </w:t>
      </w:r>
      <w:proofErr w:type="gramStart"/>
      <w:r w:rsidRPr="002C4B48">
        <w:t>are charged</w:t>
      </w:r>
      <w:proofErr w:type="gramEnd"/>
      <w:r w:rsidRPr="002C4B48">
        <w:t xml:space="preserve"> consistently for similar activities.</w:t>
      </w:r>
    </w:p>
    <w:p w:rsidR="002C4B48" w:rsidRPr="002C4B48" w:rsidRDefault="002C4B48" w:rsidP="002C4B48">
      <w:r w:rsidRPr="002C4B48">
        <w:t xml:space="preserve">The redesign </w:t>
      </w:r>
      <w:proofErr w:type="gramStart"/>
      <w:r w:rsidRPr="002C4B48">
        <w:t>is intended</w:t>
      </w:r>
      <w:proofErr w:type="gramEnd"/>
      <w:r w:rsidRPr="002C4B48">
        <w:t xml:space="preserve"> to address inequities by imposing fees and levies that reflect the actual costs incurred by the department. The cost of addressing biosecurity risk </w:t>
      </w:r>
      <w:proofErr w:type="gramStart"/>
      <w:r w:rsidRPr="002C4B48">
        <w:t>is determined</w:t>
      </w:r>
      <w:proofErr w:type="gramEnd"/>
      <w:r w:rsidRPr="002C4B48">
        <w:t xml:space="preserve"> by the type of goods, country of origin, pathway and compliance history; it has no direct correlation to the value of the goods entering Australia. Under the redesign, fees and levies </w:t>
      </w:r>
      <w:proofErr w:type="gramStart"/>
      <w:r w:rsidRPr="002C4B48">
        <w:t>are not varied</w:t>
      </w:r>
      <w:proofErr w:type="gramEnd"/>
      <w:r w:rsidRPr="002C4B48">
        <w:t xml:space="preserve"> with respect to the value of a consignment.</w:t>
      </w:r>
    </w:p>
    <w:p w:rsidR="002C4B48" w:rsidRPr="002C4B48" w:rsidRDefault="002C4B48" w:rsidP="002C4B48">
      <w:r w:rsidRPr="002C4B48">
        <w:t xml:space="preserve">The recovery of costs associated with supporting the biosecurity system, such as programme management and administration, </w:t>
      </w:r>
      <w:proofErr w:type="gramStart"/>
      <w:r w:rsidRPr="002C4B48">
        <w:t>will be recovered</w:t>
      </w:r>
      <w:proofErr w:type="gramEnd"/>
      <w:r w:rsidRPr="002C4B48">
        <w:t xml:space="preserve"> through levies as these activities are provided to a group of clients. Services provided directly to individuals, such as inspections and audits </w:t>
      </w:r>
      <w:proofErr w:type="gramStart"/>
      <w:r w:rsidRPr="002C4B48">
        <w:t>will be recovered</w:t>
      </w:r>
      <w:proofErr w:type="gramEnd"/>
      <w:r w:rsidRPr="002C4B48">
        <w:t xml:space="preserve"> as fees. Detailed information on the cost model and the design of fees and levies </w:t>
      </w:r>
      <w:proofErr w:type="gramStart"/>
      <w:r w:rsidRPr="002C4B48">
        <w:t>is presented</w:t>
      </w:r>
      <w:proofErr w:type="gramEnd"/>
      <w:r w:rsidRPr="002C4B48">
        <w:t xml:space="preserve"> in Section 4. The full list of fees and levies </w:t>
      </w:r>
      <w:proofErr w:type="gramStart"/>
      <w:r w:rsidRPr="002C4B48">
        <w:t>are provided</w:t>
      </w:r>
      <w:proofErr w:type="gramEnd"/>
      <w:r w:rsidRPr="002C4B48">
        <w:t xml:space="preserve"> at </w:t>
      </w:r>
      <w:r w:rsidRPr="002C4B48">
        <w:rPr>
          <w:b/>
        </w:rPr>
        <w:t>Attachment A</w:t>
      </w:r>
      <w:r w:rsidRPr="002C4B48">
        <w:t>.</w:t>
      </w:r>
    </w:p>
    <w:p w:rsidR="002C4B48" w:rsidRPr="002C4B48" w:rsidRDefault="002C4B48" w:rsidP="00530A65">
      <w:pPr>
        <w:pStyle w:val="Heading3"/>
      </w:pPr>
      <w:bookmarkStart w:id="33" w:name="_Toc423939487"/>
      <w:bookmarkStart w:id="34" w:name="_Toc433713861"/>
      <w:r w:rsidRPr="002C4B48">
        <w:t>Importers</w:t>
      </w:r>
      <w:bookmarkEnd w:id="33"/>
      <w:bookmarkEnd w:id="34"/>
    </w:p>
    <w:p w:rsidR="002C4B48" w:rsidRPr="002C4B48" w:rsidRDefault="002C4B48" w:rsidP="002C4B48">
      <w:bookmarkStart w:id="35" w:name="_Toc423939488"/>
      <w:r w:rsidRPr="002C4B48">
        <w:t xml:space="preserve">Cargo </w:t>
      </w:r>
      <w:proofErr w:type="gramStart"/>
      <w:r w:rsidRPr="002C4B48">
        <w:t>is currently imported</w:t>
      </w:r>
      <w:proofErr w:type="gramEnd"/>
      <w:r w:rsidRPr="002C4B48">
        <w:t xml:space="preserve"> through two processes: for goods valued over $1000, a full import declaration (FID) is required; for goods valued $1000 or less, a self-assessed clearance (SAC) is required. The following section provides information on changes affecting importers of goods requiring a FID. At this stage, there is no change to the current cost recovery mechanism for SACs as this is still under government consideration.</w:t>
      </w:r>
    </w:p>
    <w:p w:rsidR="002C4B48" w:rsidRPr="002C4B48" w:rsidRDefault="002C4B48" w:rsidP="002C4B48">
      <w:pPr>
        <w:spacing w:before="120" w:after="0"/>
        <w:outlineLvl w:val="3"/>
        <w:rPr>
          <w:b/>
          <w:sz w:val="28"/>
          <w:szCs w:val="20"/>
          <w:lang w:val="x-none"/>
        </w:rPr>
      </w:pPr>
      <w:r w:rsidRPr="002C4B48">
        <w:rPr>
          <w:b/>
          <w:sz w:val="28"/>
          <w:szCs w:val="20"/>
          <w:lang w:val="x-none"/>
        </w:rPr>
        <w:t>Key changes affecting FID importers</w:t>
      </w:r>
      <w:bookmarkEnd w:id="35"/>
    </w:p>
    <w:p w:rsidR="002C4B48" w:rsidRPr="002C4B48" w:rsidRDefault="002C4B48" w:rsidP="002C4B48">
      <w:r w:rsidRPr="002C4B48">
        <w:lastRenderedPageBreak/>
        <w:t>Prior to 1 December 2015, importers of goods requiring a FID had a number of key costs:</w:t>
      </w:r>
    </w:p>
    <w:p w:rsidR="002C4B48" w:rsidRPr="002C4B48" w:rsidRDefault="002C4B48" w:rsidP="002C4B48">
      <w:pPr>
        <w:numPr>
          <w:ilvl w:val="0"/>
          <w:numId w:val="2"/>
        </w:numPr>
        <w:spacing w:before="120" w:after="120"/>
      </w:pPr>
      <w:r w:rsidRPr="002C4B48">
        <w:t xml:space="preserve">A levy </w:t>
      </w:r>
      <w:proofErr w:type="gramStart"/>
      <w:r w:rsidRPr="002C4B48">
        <w:t>was applied</w:t>
      </w:r>
      <w:proofErr w:type="gramEnd"/>
      <w:r w:rsidRPr="002C4B48">
        <w:t xml:space="preserve"> to all consignments requiring a FID to assess the consignment’s biosecurity risk. There were two rates depending on whether goods arrived by sea or air: $15 and $16 respectively.</w:t>
      </w:r>
    </w:p>
    <w:p w:rsidR="002C4B48" w:rsidRPr="002C4B48" w:rsidRDefault="002C4B48" w:rsidP="002C4B48">
      <w:pPr>
        <w:numPr>
          <w:ilvl w:val="0"/>
          <w:numId w:val="2"/>
        </w:numPr>
        <w:spacing w:before="120" w:after="120"/>
      </w:pPr>
      <w:r w:rsidRPr="002C4B48">
        <w:t xml:space="preserve">If the consignment </w:t>
      </w:r>
      <w:proofErr w:type="gramStart"/>
      <w:r w:rsidRPr="002C4B48">
        <w:t>was transported</w:t>
      </w:r>
      <w:proofErr w:type="gramEnd"/>
      <w:r w:rsidRPr="002C4B48">
        <w:t xml:space="preserve"> in a shipping container, additional levies applied. For a consignment occupying a full container, a $30 levy </w:t>
      </w:r>
      <w:proofErr w:type="gramStart"/>
      <w:r w:rsidRPr="002C4B48">
        <w:t>was applied</w:t>
      </w:r>
      <w:proofErr w:type="gramEnd"/>
      <w:r w:rsidRPr="002C4B48">
        <w:t>; for consignments only occupying part of a container, an $8 levy applied.</w:t>
      </w:r>
    </w:p>
    <w:p w:rsidR="002C4B48" w:rsidRPr="002C4B48" w:rsidRDefault="002C4B48" w:rsidP="002C4B48">
      <w:pPr>
        <w:numPr>
          <w:ilvl w:val="0"/>
          <w:numId w:val="2"/>
        </w:numPr>
        <w:spacing w:before="120" w:after="120"/>
      </w:pPr>
      <w:r w:rsidRPr="002C4B48">
        <w:t xml:space="preserve">If the imported goods </w:t>
      </w:r>
      <w:proofErr w:type="gramStart"/>
      <w:r w:rsidRPr="002C4B48">
        <w:t>were identified</w:t>
      </w:r>
      <w:proofErr w:type="gramEnd"/>
      <w:r w:rsidRPr="002C4B48">
        <w:t xml:space="preserve"> as a biosecurity or imported food risk, the consignment was transferred into the agriculture import management system (AIMS). An electronic lodgement fee of $10 </w:t>
      </w:r>
      <w:proofErr w:type="gramStart"/>
      <w:r w:rsidRPr="002C4B48">
        <w:t>was applied</w:t>
      </w:r>
      <w:proofErr w:type="gramEnd"/>
      <w:r w:rsidRPr="002C4B48">
        <w:t xml:space="preserve">. Once a consignment </w:t>
      </w:r>
      <w:proofErr w:type="gramStart"/>
      <w:r w:rsidRPr="002C4B48">
        <w:t>was transferred</w:t>
      </w:r>
      <w:proofErr w:type="gramEnd"/>
      <w:r w:rsidRPr="002C4B48">
        <w:t xml:space="preserve"> to AIMS, a fee </w:t>
      </w:r>
      <w:r w:rsidR="00115781">
        <w:t>wa</w:t>
      </w:r>
      <w:r w:rsidRPr="002C4B48">
        <w:t xml:space="preserve">s applied for assessing the biosecurity or imported food risk. The initial 30 minutes of assessment was $40, unless the importer used a </w:t>
      </w:r>
      <w:proofErr w:type="gramStart"/>
      <w:r w:rsidRPr="002C4B48">
        <w:t>department accredited</w:t>
      </w:r>
      <w:proofErr w:type="gramEnd"/>
      <w:r w:rsidRPr="002C4B48">
        <w:t xml:space="preserve"> broker, in which case the fee was $8.</w:t>
      </w:r>
    </w:p>
    <w:p w:rsidR="002C4B48" w:rsidRPr="002C4B48" w:rsidRDefault="002C4B48" w:rsidP="002C4B48">
      <w:pPr>
        <w:numPr>
          <w:ilvl w:val="0"/>
          <w:numId w:val="2"/>
        </w:numPr>
        <w:spacing w:before="120" w:after="120"/>
      </w:pPr>
      <w:r w:rsidRPr="002C4B48">
        <w:t xml:space="preserve">There was a fee of $40 for each additional 15 minutes (beyond the initial minimum 30 minutes) required </w:t>
      </w:r>
      <w:proofErr w:type="gramStart"/>
      <w:r w:rsidRPr="002C4B48">
        <w:t>to assess</w:t>
      </w:r>
      <w:proofErr w:type="gramEnd"/>
      <w:r w:rsidRPr="002C4B48">
        <w:t xml:space="preserve"> an AIMS entry. If the department required additional information to process a consignment, a $40 fee also applied.</w:t>
      </w:r>
    </w:p>
    <w:p w:rsidR="002C4B48" w:rsidRPr="002C4B48" w:rsidRDefault="002C4B48" w:rsidP="002C4B48">
      <w:pPr>
        <w:numPr>
          <w:ilvl w:val="0"/>
          <w:numId w:val="2"/>
        </w:numPr>
        <w:spacing w:before="120" w:after="120"/>
      </w:pPr>
      <w:r w:rsidRPr="002C4B48">
        <w:t>There was a standard $40 per 15 minutes fee for activities performed in-o</w:t>
      </w:r>
      <w:r w:rsidRPr="002C4B48">
        <w:rPr>
          <w:rFonts w:cs="Calibri"/>
        </w:rPr>
        <w:t>ffice including inspection, examination, analysis, clearance, fumigation, supervision, or other ser</w:t>
      </w:r>
      <w:r w:rsidRPr="002C4B48">
        <w:t xml:space="preserve">vice, performed in relation to goods. If these activities </w:t>
      </w:r>
      <w:r w:rsidR="00115781">
        <w:t>were</w:t>
      </w:r>
      <w:r w:rsidRPr="002C4B48">
        <w:t xml:space="preserve"> performed out-of-office, the standard fee was a minimum $90 for the first 30 minutes and $45 per additional 15 minutes.</w:t>
      </w:r>
    </w:p>
    <w:p w:rsidR="002C4B48" w:rsidRPr="002C4B48" w:rsidRDefault="002C4B48" w:rsidP="002C4B48">
      <w:pPr>
        <w:numPr>
          <w:ilvl w:val="0"/>
          <w:numId w:val="2"/>
        </w:numPr>
        <w:spacing w:before="120" w:after="120"/>
      </w:pPr>
      <w:r w:rsidRPr="002C4B48">
        <w:t xml:space="preserve">Each container bound for a rural destination was to have a tailgate inspection. A standard in-office inspection fee ($40 per 15 minutes) </w:t>
      </w:r>
      <w:proofErr w:type="gramStart"/>
      <w:r w:rsidRPr="002C4B48">
        <w:t>was applied</w:t>
      </w:r>
      <w:proofErr w:type="gramEnd"/>
      <w:r w:rsidRPr="002C4B48">
        <w:t xml:space="preserve"> at locations where departmental officers are permanently stationed. A standard out-of-office fee ($90 for the first 30 minutes and $45 for each additional 15 minutes) </w:t>
      </w:r>
      <w:proofErr w:type="gramStart"/>
      <w:r w:rsidRPr="002C4B48">
        <w:t xml:space="preserve">was </w:t>
      </w:r>
      <w:r w:rsidRPr="002C4B48">
        <w:lastRenderedPageBreak/>
        <w:t>applied</w:t>
      </w:r>
      <w:proofErr w:type="gramEnd"/>
      <w:r w:rsidRPr="002C4B48">
        <w:t xml:space="preserve"> to tailgate inspections that occur</w:t>
      </w:r>
      <w:r w:rsidR="00115781">
        <w:t>red</w:t>
      </w:r>
      <w:r w:rsidRPr="002C4B48">
        <w:t xml:space="preserve"> at a location where departmental officers are not permanently stationed.</w:t>
      </w:r>
    </w:p>
    <w:p w:rsidR="002C4B48" w:rsidRPr="002C4B48" w:rsidRDefault="002C4B48" w:rsidP="002C4B48">
      <w:pPr>
        <w:numPr>
          <w:ilvl w:val="0"/>
          <w:numId w:val="2"/>
        </w:numPr>
        <w:spacing w:before="120" w:after="120"/>
      </w:pPr>
      <w:r w:rsidRPr="002C4B48">
        <w:t>The existing air and sea FID levies have been redesigned to improve the efficiency of recovery and address cross subsidisation from shipping containers and approved arrangements (see also Section 3.2: Approved Arrangement Participants).</w:t>
      </w:r>
    </w:p>
    <w:p w:rsidR="002C4B48" w:rsidRPr="002C4B48" w:rsidRDefault="002C4B48" w:rsidP="002C4B48">
      <w:r w:rsidRPr="002C4B48">
        <w:t>Key changes for FID importers from 1 December 2015 include:</w:t>
      </w:r>
    </w:p>
    <w:p w:rsidR="002C4B48" w:rsidRPr="002C4B48" w:rsidRDefault="002C4B48" w:rsidP="002C4B48">
      <w:pPr>
        <w:numPr>
          <w:ilvl w:val="0"/>
          <w:numId w:val="2"/>
        </w:numPr>
        <w:spacing w:before="120" w:after="120"/>
      </w:pPr>
      <w:r w:rsidRPr="002C4B48">
        <w:t>Both the air and sea FID levies will now fund the systems costs of importing cargo and packaging. The existing container levies will cease. These FIDs will also meet the costs of additional biosecurity systems expenses associated with increased surveillance and pre-border verification activities (as outlined in section 4). These changes will increase the price of a FID—sea to $42 and the FID—air to $33. The difference in pricing between sea and air consignments is proportionate to the departmental resources required to manage the biosecurity risk for sea cargo compared to air cargo.</w:t>
      </w:r>
    </w:p>
    <w:p w:rsidR="002C4B48" w:rsidRPr="002C4B48" w:rsidRDefault="002C4B48" w:rsidP="002C4B48">
      <w:pPr>
        <w:numPr>
          <w:ilvl w:val="0"/>
          <w:numId w:val="2"/>
        </w:numPr>
        <w:spacing w:before="120" w:after="120"/>
      </w:pPr>
      <w:r w:rsidRPr="002C4B48">
        <w:t>Historically, the container levies covered the cost of the department examining 100 percent of sea containers. Under the risk-based approach to intervention, the department no longer examines every container and instead targets its efforts towards surveillance on sea containers and other types of cargo (such as bulk and break bulk). Incorporating the container levies in the FID (sea) levy will ensure that importers of other cargo types also contribute to these costs. The department did examine other options to apply a levy to all types of imported cargo, however, there are no other cost effective mechanisms available at this time.</w:t>
      </w:r>
    </w:p>
    <w:p w:rsidR="002C4B48" w:rsidRPr="002C4B48" w:rsidRDefault="002C4B48" w:rsidP="002C4B48">
      <w:pPr>
        <w:numPr>
          <w:ilvl w:val="0"/>
          <w:numId w:val="2"/>
        </w:numPr>
        <w:spacing w:before="120" w:after="120"/>
      </w:pPr>
      <w:r w:rsidRPr="002C4B48">
        <w:t xml:space="preserve">The electronic lodgement fee funds activities that underpin the department’s biosecurity system. All importers use this system, regardless of the contents of their consignment. Therefore, it is appropriate that </w:t>
      </w:r>
      <w:proofErr w:type="gramStart"/>
      <w:r w:rsidRPr="002C4B48">
        <w:t>this system is paid for by all importers, not just those that have a consignment transferred into AIMS</w:t>
      </w:r>
      <w:proofErr w:type="gramEnd"/>
      <w:r w:rsidRPr="002C4B48">
        <w:t xml:space="preserve">. As these activities </w:t>
      </w:r>
      <w:proofErr w:type="gramStart"/>
      <w:r w:rsidRPr="002C4B48">
        <w:t>are provided</w:t>
      </w:r>
      <w:proofErr w:type="gramEnd"/>
      <w:r w:rsidRPr="002C4B48">
        <w:t xml:space="preserve"> to all clients, this cost will be funded through the FID air and sea levies.</w:t>
      </w:r>
    </w:p>
    <w:p w:rsidR="002C4B48" w:rsidRPr="002C4B48" w:rsidRDefault="002C4B48" w:rsidP="002C4B48">
      <w:pPr>
        <w:numPr>
          <w:ilvl w:val="0"/>
          <w:numId w:val="2"/>
        </w:numPr>
        <w:spacing w:before="120" w:after="120"/>
      </w:pPr>
      <w:r w:rsidRPr="002C4B48">
        <w:lastRenderedPageBreak/>
        <w:t xml:space="preserve">If a consignment </w:t>
      </w:r>
      <w:proofErr w:type="gramStart"/>
      <w:r w:rsidRPr="002C4B48">
        <w:t>is transferred</w:t>
      </w:r>
      <w:proofErr w:type="gramEnd"/>
      <w:r w:rsidRPr="002C4B48">
        <w:t xml:space="preserve"> to AIMS, a fee is still applied for time taken for assessing the biosecurity or food risk. The assessment fee will be $30 per 15 minutes (standard in-office fee) for all AIMS entries, which reflects the cost to the department of providing this activity. The department expects most AIMS entries will only require a </w:t>
      </w:r>
      <w:proofErr w:type="gramStart"/>
      <w:r w:rsidRPr="002C4B48">
        <w:t>15 minute</w:t>
      </w:r>
      <w:proofErr w:type="gramEnd"/>
      <w:r w:rsidRPr="002C4B48">
        <w:t xml:space="preserve"> assessment. There is no longer a fee if the department requires additional information to process a consignment, but if an assessment takes longer than 15 minutes, it </w:t>
      </w:r>
      <w:proofErr w:type="gramStart"/>
      <w:r w:rsidRPr="002C4B48">
        <w:t>will be charged</w:t>
      </w:r>
      <w:proofErr w:type="gramEnd"/>
      <w:r w:rsidRPr="002C4B48">
        <w:t xml:space="preserve"> at $30 for each additional 15 minutes.</w:t>
      </w:r>
    </w:p>
    <w:p w:rsidR="002C4B48" w:rsidRPr="002C4B48" w:rsidRDefault="002C4B48" w:rsidP="002C4B48">
      <w:pPr>
        <w:numPr>
          <w:ilvl w:val="0"/>
          <w:numId w:val="2"/>
        </w:numPr>
        <w:spacing w:before="120" w:after="120"/>
      </w:pPr>
      <w:r w:rsidRPr="002C4B48">
        <w:t xml:space="preserve">Where a broker has entered into an approved arrangement with the department under the Automatic Entry Processing for Commodities (AEP) Scheme, the $8 per entry </w:t>
      </w:r>
      <w:proofErr w:type="gramStart"/>
      <w:r w:rsidRPr="002C4B48">
        <w:t>fee which previously applied</w:t>
      </w:r>
      <w:proofErr w:type="gramEnd"/>
      <w:r w:rsidRPr="002C4B48">
        <w:t xml:space="preserve"> will no longer apply. Instead, for the $2 900 annual registration levy, each AEP broker will receive an unlimited number of free AEP entries – meaning that if a broker processes more than 363 AEP entries per year </w:t>
      </w:r>
      <w:proofErr w:type="gramStart"/>
      <w:r w:rsidRPr="002C4B48">
        <w:t>they</w:t>
      </w:r>
      <w:proofErr w:type="gramEnd"/>
      <w:r w:rsidRPr="002C4B48">
        <w:t xml:space="preserve"> will receive a savings.</w:t>
      </w:r>
    </w:p>
    <w:p w:rsidR="002C4B48" w:rsidRPr="002C4B48" w:rsidRDefault="002C4B48" w:rsidP="002C4B48">
      <w:pPr>
        <w:numPr>
          <w:ilvl w:val="0"/>
          <w:numId w:val="2"/>
        </w:numPr>
        <w:spacing w:before="120" w:after="120"/>
      </w:pPr>
      <w:r w:rsidRPr="002C4B48">
        <w:t>The standard fee for activities performed in-o</w:t>
      </w:r>
      <w:r w:rsidRPr="002C4B48">
        <w:rPr>
          <w:rFonts w:cs="Calibri"/>
        </w:rPr>
        <w:t xml:space="preserve">ffice </w:t>
      </w:r>
      <w:proofErr w:type="gramStart"/>
      <w:r w:rsidRPr="002C4B48">
        <w:rPr>
          <w:rFonts w:cs="Calibri"/>
        </w:rPr>
        <w:t>has been reduced</w:t>
      </w:r>
      <w:proofErr w:type="gramEnd"/>
      <w:r w:rsidRPr="002C4B48">
        <w:rPr>
          <w:rFonts w:cs="Calibri"/>
        </w:rPr>
        <w:t xml:space="preserve"> to </w:t>
      </w:r>
      <w:r w:rsidRPr="002C4B48">
        <w:t xml:space="preserve">$30 per 15 minutes </w:t>
      </w:r>
      <w:r w:rsidRPr="002C4B48">
        <w:rPr>
          <w:rFonts w:cs="Calibri"/>
        </w:rPr>
        <w:t>(including inspection, examination, analysis, clearance, fumigation, supervision, or other ser</w:t>
      </w:r>
      <w:r w:rsidRPr="002C4B48">
        <w:t xml:space="preserve">vice, performed in relation to goods). The out-of-office standard fee </w:t>
      </w:r>
      <w:proofErr w:type="gramStart"/>
      <w:r w:rsidRPr="002C4B48">
        <w:t>has been increased</w:t>
      </w:r>
      <w:proofErr w:type="gramEnd"/>
      <w:r w:rsidRPr="002C4B48">
        <w:t xml:space="preserve"> to $50 per 15 minutes. This better reflects the actual cost to the department of providing these services at different locations.</w:t>
      </w:r>
    </w:p>
    <w:p w:rsidR="002C4B48" w:rsidRPr="002C4B48" w:rsidRDefault="002C4B48" w:rsidP="002C4B48">
      <w:pPr>
        <w:numPr>
          <w:ilvl w:val="0"/>
          <w:numId w:val="2"/>
        </w:numPr>
        <w:spacing w:before="120" w:after="120"/>
      </w:pPr>
      <w:r w:rsidRPr="002C4B48">
        <w:t xml:space="preserve">Each container bound for a rural destination will continue to </w:t>
      </w:r>
      <w:proofErr w:type="gramStart"/>
      <w:r w:rsidRPr="002C4B48">
        <w:t>be subjected</w:t>
      </w:r>
      <w:proofErr w:type="gramEnd"/>
      <w:r w:rsidRPr="002C4B48">
        <w:t xml:space="preserve"> to a tailgate inspection. A standard in-office inspection fee of $30 per 15 minutes </w:t>
      </w:r>
      <w:proofErr w:type="gramStart"/>
      <w:r w:rsidRPr="002C4B48">
        <w:t>will be applied</w:t>
      </w:r>
      <w:proofErr w:type="gramEnd"/>
      <w:r w:rsidRPr="002C4B48">
        <w:t xml:space="preserve"> at locations where departmental officers are permanently stationed. A standard out-of-office fee of $50 per 15 minutes </w:t>
      </w:r>
      <w:proofErr w:type="gramStart"/>
      <w:r w:rsidRPr="002C4B48">
        <w:t>will be applied</w:t>
      </w:r>
      <w:proofErr w:type="gramEnd"/>
      <w:r w:rsidRPr="002C4B48">
        <w:t xml:space="preserve"> where officers are not permanently stationed.</w:t>
      </w:r>
    </w:p>
    <w:p w:rsidR="002C4B48" w:rsidRPr="002C4B48" w:rsidRDefault="002C4B48" w:rsidP="002C4B48">
      <w:pPr>
        <w:spacing w:before="120" w:after="0"/>
        <w:outlineLvl w:val="3"/>
        <w:rPr>
          <w:b/>
          <w:sz w:val="28"/>
          <w:szCs w:val="20"/>
          <w:lang w:val="x-none"/>
        </w:rPr>
      </w:pPr>
      <w:bookmarkStart w:id="36" w:name="_Toc423939489"/>
      <w:r w:rsidRPr="002C4B48">
        <w:rPr>
          <w:b/>
          <w:sz w:val="28"/>
          <w:szCs w:val="20"/>
          <w:lang w:val="x-none"/>
        </w:rPr>
        <w:t>Import permits</w:t>
      </w:r>
    </w:p>
    <w:p w:rsidR="002C4B48" w:rsidRPr="002C4B48" w:rsidRDefault="002C4B48" w:rsidP="002C4B48">
      <w:r w:rsidRPr="002C4B48">
        <w:t>Prior to 1 December 2015, those requiring an import permit had a number of key costs:</w:t>
      </w:r>
    </w:p>
    <w:p w:rsidR="002C4B48" w:rsidRPr="002C4B48" w:rsidRDefault="002C4B48" w:rsidP="002C4B48">
      <w:pPr>
        <w:numPr>
          <w:ilvl w:val="0"/>
          <w:numId w:val="2"/>
        </w:numPr>
        <w:spacing w:before="120" w:after="120"/>
      </w:pPr>
      <w:r w:rsidRPr="002C4B48">
        <w:lastRenderedPageBreak/>
        <w:t>All import permit applications required payment of a lodgement fee of $125. This also applied to applications for varying an import permit.</w:t>
      </w:r>
    </w:p>
    <w:p w:rsidR="002C4B48" w:rsidRPr="002C4B48" w:rsidRDefault="002C4B48" w:rsidP="002C4B48">
      <w:pPr>
        <w:numPr>
          <w:ilvl w:val="0"/>
          <w:numId w:val="2"/>
        </w:numPr>
        <w:spacing w:before="120" w:after="120"/>
      </w:pPr>
      <w:r w:rsidRPr="002C4B48">
        <w:t>Fees for the assessment of import permits (and variations)</w:t>
      </w:r>
      <w:r w:rsidR="00115781">
        <w:t xml:space="preserve"> was</w:t>
      </w:r>
      <w:r w:rsidRPr="002C4B48">
        <w:t xml:space="preserve"> depend</w:t>
      </w:r>
      <w:r w:rsidR="00115781">
        <w:t>ent</w:t>
      </w:r>
      <w:r w:rsidRPr="002C4B48">
        <w:t xml:space="preserve"> on the time needed to assess biosecurity risk: Category 1 ($60), Category 2 (1 hour at $120), Category 3 (2 hours at $240), Category 4 (3 hours at $360) and Category 5 (4 hours $480). A permit requiring additional assessment (longer than the standard category time) </w:t>
      </w:r>
      <w:proofErr w:type="gramStart"/>
      <w:r w:rsidRPr="002C4B48">
        <w:t>was charged</w:t>
      </w:r>
      <w:proofErr w:type="gramEnd"/>
      <w:r w:rsidRPr="002C4B48">
        <w:t xml:space="preserve"> at $40 per 15 minutes.</w:t>
      </w:r>
    </w:p>
    <w:p w:rsidR="002C4B48" w:rsidRPr="002C4B48" w:rsidRDefault="002C4B48" w:rsidP="002C4B48">
      <w:r w:rsidRPr="002C4B48">
        <w:t>Changes to import permit charges from 1 December 2015 include:</w:t>
      </w:r>
    </w:p>
    <w:p w:rsidR="002C4B48" w:rsidRPr="002C4B48" w:rsidRDefault="002C4B48" w:rsidP="002C4B48">
      <w:pPr>
        <w:numPr>
          <w:ilvl w:val="0"/>
          <w:numId w:val="2"/>
        </w:numPr>
        <w:spacing w:before="120" w:after="120"/>
      </w:pPr>
      <w:r w:rsidRPr="002C4B48">
        <w:t>All import permit applications will now pay a lodgement levy rather than a fee, with the cost decreased to $120. This levy will recover the cost of activities that support the import permit system (for example, policy development), not activities provided to individual clients. This levy will also apply to applications for varying an import permit.</w:t>
      </w:r>
    </w:p>
    <w:p w:rsidR="002C4B48" w:rsidRPr="002C4B48" w:rsidRDefault="002C4B48" w:rsidP="002C4B48">
      <w:pPr>
        <w:numPr>
          <w:ilvl w:val="0"/>
          <w:numId w:val="2"/>
        </w:numPr>
        <w:spacing w:before="120" w:after="120"/>
      </w:pPr>
      <w:r w:rsidRPr="002C4B48">
        <w:t xml:space="preserve">The five categories of import permits </w:t>
      </w:r>
      <w:proofErr w:type="gramStart"/>
      <w:r w:rsidRPr="002C4B48">
        <w:t>will be retained</w:t>
      </w:r>
      <w:proofErr w:type="gramEnd"/>
      <w:r w:rsidRPr="002C4B48">
        <w:t xml:space="preserve"> as before with no change to the assessment prices for each category. Where an assessment takes longer than expected, the additional time </w:t>
      </w:r>
      <w:proofErr w:type="gramStart"/>
      <w:r w:rsidRPr="002C4B48">
        <w:t>will be charged</w:t>
      </w:r>
      <w:proofErr w:type="gramEnd"/>
      <w:r w:rsidRPr="002C4B48">
        <w:t xml:space="preserve"> at $30 per 15 minutes. The legislation </w:t>
      </w:r>
      <w:proofErr w:type="gramStart"/>
      <w:r w:rsidRPr="002C4B48">
        <w:t>has been made</w:t>
      </w:r>
      <w:proofErr w:type="gramEnd"/>
      <w:r w:rsidRPr="002C4B48">
        <w:t xml:space="preserve"> less prescriptive as information about which commodities would fit into each permit category has been removed and will sit in the charging guidelines. This will provide greater flexibility to add new commodities or to move commodities from one category as assessment times are improved.</w:t>
      </w:r>
    </w:p>
    <w:p w:rsidR="002C4B48" w:rsidRPr="002C4B48" w:rsidRDefault="002C4B48" w:rsidP="002C4B48">
      <w:pPr>
        <w:keepNext/>
        <w:spacing w:before="120" w:after="0"/>
        <w:outlineLvl w:val="3"/>
        <w:rPr>
          <w:b/>
          <w:sz w:val="28"/>
          <w:szCs w:val="20"/>
          <w:lang w:val="x-none"/>
        </w:rPr>
      </w:pPr>
      <w:bookmarkStart w:id="37" w:name="_Toc423939490"/>
      <w:bookmarkEnd w:id="36"/>
      <w:r w:rsidRPr="002C4B48">
        <w:rPr>
          <w:b/>
          <w:sz w:val="28"/>
          <w:szCs w:val="20"/>
          <w:lang w:val="x-none"/>
        </w:rPr>
        <w:t>Post entry quarantine</w:t>
      </w:r>
      <w:bookmarkEnd w:id="37"/>
    </w:p>
    <w:p w:rsidR="002C4B48" w:rsidRPr="002C4B48" w:rsidRDefault="002C4B48" w:rsidP="002C4B48">
      <w:r w:rsidRPr="002C4B48">
        <w:t>Prior to 1 December 2015, importers of animals or plants that must enter a quarantine facility had a number of key costs:</w:t>
      </w:r>
    </w:p>
    <w:p w:rsidR="002C4B48" w:rsidRPr="002C4B48" w:rsidRDefault="002C4B48" w:rsidP="002C4B48">
      <w:pPr>
        <w:numPr>
          <w:ilvl w:val="0"/>
          <w:numId w:val="2"/>
        </w:numPr>
        <w:spacing w:before="120" w:after="120"/>
      </w:pPr>
      <w:r w:rsidRPr="002C4B48">
        <w:t xml:space="preserve">All importers paid fees for time spent in the </w:t>
      </w:r>
      <w:proofErr w:type="gramStart"/>
      <w:r w:rsidRPr="002C4B48">
        <w:t>post entry quarantine facility</w:t>
      </w:r>
      <w:proofErr w:type="gramEnd"/>
      <w:r w:rsidRPr="002C4B48">
        <w:t xml:space="preserve">. These fees </w:t>
      </w:r>
      <w:proofErr w:type="gramStart"/>
      <w:r w:rsidRPr="002C4B48">
        <w:t>were generally charged</w:t>
      </w:r>
      <w:proofErr w:type="gramEnd"/>
      <w:r w:rsidRPr="002C4B48">
        <w:t xml:space="preserve"> ‘per day’ or ‘per month’. The daily fee covered all the costs associated with running the Australian Government post entry quarantine (PEQ) stations.</w:t>
      </w:r>
    </w:p>
    <w:p w:rsidR="002C4B48" w:rsidRPr="002C4B48" w:rsidRDefault="002C4B48" w:rsidP="002C4B48">
      <w:pPr>
        <w:numPr>
          <w:ilvl w:val="1"/>
          <w:numId w:val="2"/>
        </w:numPr>
        <w:spacing w:after="120"/>
        <w:ind w:left="851" w:hanging="284"/>
        <w:rPr>
          <w:szCs w:val="20"/>
          <w:lang w:val="x-none"/>
        </w:rPr>
      </w:pPr>
      <w:r w:rsidRPr="002C4B48">
        <w:rPr>
          <w:szCs w:val="20"/>
          <w:lang w:val="x-none"/>
        </w:rPr>
        <w:lastRenderedPageBreak/>
        <w:t xml:space="preserve">Animals </w:t>
      </w:r>
      <w:r w:rsidRPr="002C4B48">
        <w:rPr>
          <w:szCs w:val="20"/>
        </w:rPr>
        <w:t>were</w:t>
      </w:r>
      <w:r w:rsidRPr="002C4B48">
        <w:rPr>
          <w:szCs w:val="20"/>
          <w:lang w:val="x-none"/>
        </w:rPr>
        <w:t xml:space="preserve"> charged depending on the type and number—for example, horses </w:t>
      </w:r>
      <w:r w:rsidRPr="002C4B48">
        <w:rPr>
          <w:szCs w:val="20"/>
        </w:rPr>
        <w:t>were</w:t>
      </w:r>
      <w:r w:rsidRPr="002C4B48">
        <w:rPr>
          <w:szCs w:val="20"/>
          <w:lang w:val="x-none"/>
        </w:rPr>
        <w:t xml:space="preserve"> charged at $262 per horse per day, whereas cats and dogs </w:t>
      </w:r>
      <w:r w:rsidRPr="002C4B48">
        <w:rPr>
          <w:szCs w:val="20"/>
        </w:rPr>
        <w:t>were</w:t>
      </w:r>
      <w:r w:rsidRPr="002C4B48">
        <w:rPr>
          <w:szCs w:val="20"/>
          <w:lang w:val="x-none"/>
        </w:rPr>
        <w:t xml:space="preserve"> charged at $149 per animal per day. In some cases (for example, bees) the quarantine stay </w:t>
      </w:r>
      <w:r w:rsidRPr="002C4B48">
        <w:rPr>
          <w:szCs w:val="20"/>
        </w:rPr>
        <w:t>was</w:t>
      </w:r>
      <w:r w:rsidRPr="002C4B48">
        <w:rPr>
          <w:szCs w:val="20"/>
          <w:lang w:val="x-none"/>
        </w:rPr>
        <w:t xml:space="preserve"> charged per consignment.</w:t>
      </w:r>
    </w:p>
    <w:p w:rsidR="002C4B48" w:rsidRPr="002C4B48" w:rsidRDefault="002C4B48" w:rsidP="002C4B48">
      <w:pPr>
        <w:numPr>
          <w:ilvl w:val="1"/>
          <w:numId w:val="2"/>
        </w:numPr>
        <w:spacing w:after="120"/>
        <w:ind w:left="851" w:hanging="284"/>
        <w:rPr>
          <w:szCs w:val="20"/>
          <w:lang w:val="x-none"/>
        </w:rPr>
      </w:pPr>
      <w:r w:rsidRPr="002C4B48">
        <w:rPr>
          <w:szCs w:val="20"/>
          <w:lang w:val="x-none"/>
        </w:rPr>
        <w:t xml:space="preserve">Plants </w:t>
      </w:r>
      <w:r w:rsidRPr="002C4B48">
        <w:rPr>
          <w:szCs w:val="20"/>
        </w:rPr>
        <w:t>were</w:t>
      </w:r>
      <w:r w:rsidRPr="002C4B48">
        <w:rPr>
          <w:szCs w:val="20"/>
          <w:lang w:val="x-none"/>
        </w:rPr>
        <w:t xml:space="preserve"> charged ‘per m</w:t>
      </w:r>
      <w:r w:rsidRPr="002C4B48">
        <w:rPr>
          <w:szCs w:val="20"/>
          <w:vertAlign w:val="superscript"/>
          <w:lang w:val="x-none"/>
        </w:rPr>
        <w:t>2</w:t>
      </w:r>
      <w:r w:rsidRPr="002C4B48">
        <w:rPr>
          <w:szCs w:val="20"/>
          <w:lang w:val="x-none"/>
        </w:rPr>
        <w:t xml:space="preserve"> occupied, per day’.</w:t>
      </w:r>
    </w:p>
    <w:p w:rsidR="002C4B48" w:rsidRPr="002C4B48" w:rsidRDefault="002C4B48" w:rsidP="002C4B48">
      <w:pPr>
        <w:numPr>
          <w:ilvl w:val="0"/>
          <w:numId w:val="2"/>
        </w:numPr>
        <w:spacing w:before="120" w:after="120"/>
      </w:pPr>
      <w:r w:rsidRPr="002C4B48">
        <w:t xml:space="preserve">Importers paid for any additional costs—for example, testing for plant diseases. Any additional in-office activities undertaken by departmental staff </w:t>
      </w:r>
      <w:proofErr w:type="gramStart"/>
      <w:r w:rsidRPr="002C4B48">
        <w:t>were charged</w:t>
      </w:r>
      <w:proofErr w:type="gramEnd"/>
      <w:r w:rsidRPr="002C4B48">
        <w:t xml:space="preserve"> at $40 per 15 minutes.</w:t>
      </w:r>
    </w:p>
    <w:p w:rsidR="002C4B48" w:rsidRPr="002C4B48" w:rsidRDefault="002C4B48" w:rsidP="002C4B48">
      <w:pPr>
        <w:numPr>
          <w:ilvl w:val="0"/>
          <w:numId w:val="2"/>
        </w:numPr>
        <w:spacing w:before="120" w:after="120"/>
      </w:pPr>
      <w:r w:rsidRPr="002C4B48">
        <w:t>For some animals, importers were required to pay a booking fee or deposit.</w:t>
      </w:r>
    </w:p>
    <w:p w:rsidR="002C4B48" w:rsidRPr="002C4B48" w:rsidRDefault="002C4B48" w:rsidP="002C4B48">
      <w:r w:rsidRPr="002C4B48">
        <w:t xml:space="preserve">Key changes affecting importers of animals and plants (see </w:t>
      </w:r>
      <w:r w:rsidRPr="002C4B48">
        <w:rPr>
          <w:b/>
        </w:rPr>
        <w:t>Attachment A</w:t>
      </w:r>
      <w:r w:rsidRPr="002C4B48">
        <w:t xml:space="preserve"> for full list of prices) from 1 December 2015 include:</w:t>
      </w:r>
    </w:p>
    <w:p w:rsidR="002C4B48" w:rsidRPr="002C4B48" w:rsidRDefault="002C4B48" w:rsidP="002C4B48">
      <w:pPr>
        <w:numPr>
          <w:ilvl w:val="0"/>
          <w:numId w:val="2"/>
        </w:numPr>
        <w:spacing w:before="120" w:after="120"/>
      </w:pPr>
      <w:r w:rsidRPr="002C4B48">
        <w:t xml:space="preserve">Under the new charging structure, a levy </w:t>
      </w:r>
      <w:proofErr w:type="gramStart"/>
      <w:r w:rsidRPr="002C4B48">
        <w:t>will be applied</w:t>
      </w:r>
      <w:proofErr w:type="gramEnd"/>
      <w:r w:rsidRPr="002C4B48">
        <w:t xml:space="preserve"> to all plants and animals on arrival to PEQ. This is not an additional </w:t>
      </w:r>
      <w:proofErr w:type="gramStart"/>
      <w:r w:rsidRPr="002C4B48">
        <w:t>cost,</w:t>
      </w:r>
      <w:proofErr w:type="gramEnd"/>
      <w:r w:rsidRPr="002C4B48">
        <w:t xml:space="preserve"> it will ensure that a reduced daily fee only covers activities provided directly to individual clients. The levy will cover the cost of activities not provided to individual importers of plants and animals. For example, the department’s overheads costs associated with operating the PEQ facility.</w:t>
      </w:r>
    </w:p>
    <w:p w:rsidR="002C4B48" w:rsidRPr="002C4B48" w:rsidRDefault="002C4B48" w:rsidP="002C4B48">
      <w:pPr>
        <w:numPr>
          <w:ilvl w:val="1"/>
          <w:numId w:val="2"/>
        </w:numPr>
        <w:spacing w:after="120"/>
        <w:ind w:left="851" w:hanging="284"/>
        <w:rPr>
          <w:szCs w:val="20"/>
          <w:lang w:val="x-none"/>
        </w:rPr>
      </w:pPr>
      <w:r w:rsidRPr="002C4B48">
        <w:rPr>
          <w:szCs w:val="20"/>
          <w:lang w:val="x-none"/>
        </w:rPr>
        <w:t>For animals, prices will continue to depend on the type and number of animals (or consignments) imported. The levy will cover the animal’s or consignment’s scheduled stay in quarantine. If the animal or consignment stays in PEQ longer (because of a health concern or otherwise), the importer will not incur additional levy costs, only daily husbandry fee costs.</w:t>
      </w:r>
    </w:p>
    <w:p w:rsidR="002C4B48" w:rsidRPr="002C4B48" w:rsidRDefault="002C4B48" w:rsidP="002C4B48">
      <w:pPr>
        <w:numPr>
          <w:ilvl w:val="1"/>
          <w:numId w:val="2"/>
        </w:numPr>
        <w:spacing w:after="120"/>
        <w:ind w:left="851" w:hanging="284"/>
        <w:rPr>
          <w:szCs w:val="20"/>
          <w:lang w:val="x-none"/>
        </w:rPr>
      </w:pPr>
      <w:r w:rsidRPr="002C4B48">
        <w:rPr>
          <w:szCs w:val="20"/>
          <w:lang w:val="x-none"/>
        </w:rPr>
        <w:t>For plants, the levy will be charged each month (or part thereof) per m</w:t>
      </w:r>
      <w:r w:rsidRPr="002C4B48">
        <w:rPr>
          <w:szCs w:val="20"/>
          <w:vertAlign w:val="superscript"/>
          <w:lang w:val="x-none"/>
        </w:rPr>
        <w:t>2</w:t>
      </w:r>
      <w:r w:rsidRPr="002C4B48">
        <w:rPr>
          <w:szCs w:val="20"/>
          <w:lang w:val="x-none"/>
        </w:rPr>
        <w:t xml:space="preserve"> of plant material. This is because plants are held in post entry quarantine for varying durations</w:t>
      </w:r>
      <w:r w:rsidRPr="002C4B48">
        <w:rPr>
          <w:szCs w:val="20"/>
        </w:rPr>
        <w:t>,</w:t>
      </w:r>
      <w:r w:rsidRPr="002C4B48">
        <w:rPr>
          <w:szCs w:val="20"/>
          <w:lang w:val="x-none"/>
        </w:rPr>
        <w:t xml:space="preserve"> depending on the species and country of origin.</w:t>
      </w:r>
    </w:p>
    <w:p w:rsidR="002C4B48" w:rsidRPr="002C4B48" w:rsidRDefault="002C4B48" w:rsidP="002C4B48">
      <w:pPr>
        <w:numPr>
          <w:ilvl w:val="0"/>
          <w:numId w:val="2"/>
        </w:numPr>
        <w:spacing w:before="120" w:after="120"/>
      </w:pPr>
      <w:r w:rsidRPr="002C4B48">
        <w:t xml:space="preserve">Importers will continue to </w:t>
      </w:r>
      <w:proofErr w:type="gramStart"/>
      <w:r w:rsidRPr="002C4B48">
        <w:t>be charged</w:t>
      </w:r>
      <w:proofErr w:type="gramEnd"/>
      <w:r w:rsidRPr="002C4B48">
        <w:t xml:space="preserve"> a fee for husbandry activities. The introduction of the PEQ entry levy will result in a lower husbandry fee that aligns with the actual cost to the department </w:t>
      </w:r>
      <w:r w:rsidRPr="002C4B48">
        <w:lastRenderedPageBreak/>
        <w:t>of providing these activities. Due to the lower fee, the cost of biosecurity related overstays will be reduced, providing more price certainty for clients.</w:t>
      </w:r>
    </w:p>
    <w:p w:rsidR="002C4B48" w:rsidRPr="002C4B48" w:rsidRDefault="002C4B48" w:rsidP="002C4B48">
      <w:pPr>
        <w:numPr>
          <w:ilvl w:val="1"/>
          <w:numId w:val="2"/>
        </w:numPr>
        <w:spacing w:after="120"/>
        <w:ind w:left="851" w:hanging="284"/>
        <w:rPr>
          <w:szCs w:val="20"/>
          <w:lang w:val="x-none"/>
        </w:rPr>
      </w:pPr>
      <w:r w:rsidRPr="002C4B48">
        <w:rPr>
          <w:szCs w:val="20"/>
          <w:lang w:val="x-none"/>
        </w:rPr>
        <w:t>The price of the husbandry fee will depend on the type and number of animals (or consignments) imported.</w:t>
      </w:r>
    </w:p>
    <w:p w:rsidR="002C4B48" w:rsidRPr="002C4B48" w:rsidRDefault="002C4B48" w:rsidP="002C4B48">
      <w:pPr>
        <w:numPr>
          <w:ilvl w:val="1"/>
          <w:numId w:val="2"/>
        </w:numPr>
        <w:spacing w:after="120"/>
        <w:ind w:left="851" w:hanging="284"/>
        <w:rPr>
          <w:szCs w:val="20"/>
          <w:lang w:val="x-none"/>
        </w:rPr>
      </w:pPr>
      <w:r w:rsidRPr="002C4B48">
        <w:rPr>
          <w:szCs w:val="20"/>
          <w:lang w:val="x-none"/>
        </w:rPr>
        <w:t>Plants will continue to be charged ‘per m</w:t>
      </w:r>
      <w:r w:rsidRPr="002C4B48">
        <w:rPr>
          <w:szCs w:val="20"/>
          <w:vertAlign w:val="superscript"/>
          <w:lang w:val="x-none"/>
        </w:rPr>
        <w:t>2</w:t>
      </w:r>
      <w:r w:rsidRPr="002C4B48">
        <w:rPr>
          <w:szCs w:val="20"/>
          <w:lang w:val="x-none"/>
        </w:rPr>
        <w:t>’ as a monthly fee.</w:t>
      </w:r>
    </w:p>
    <w:p w:rsidR="002C4B48" w:rsidRPr="002C4B48" w:rsidRDefault="002C4B48" w:rsidP="002C4B48">
      <w:pPr>
        <w:numPr>
          <w:ilvl w:val="0"/>
          <w:numId w:val="2"/>
        </w:numPr>
        <w:spacing w:before="120" w:after="120"/>
      </w:pPr>
      <w:r w:rsidRPr="002C4B48">
        <w:t>Importers will continue to pay for any additional in-office activities undertaken by departmental staff. The fee for in-office activities has decreased to $30 per 15 minutes. In the case of testing for plant diseases, the price of tests will be established according to the time taken to perform each test ($30 per 15 minutes, where undertaken in office), plus the cost of any materials used. Basing the fee on time taken better reflects the actual cost of providing testing services.</w:t>
      </w:r>
    </w:p>
    <w:p w:rsidR="002C4B48" w:rsidRPr="002C4B48" w:rsidRDefault="002C4B48" w:rsidP="002C4B48">
      <w:pPr>
        <w:numPr>
          <w:ilvl w:val="0"/>
          <w:numId w:val="2"/>
        </w:numPr>
        <w:spacing w:before="120" w:after="120"/>
      </w:pPr>
      <w:r w:rsidRPr="002C4B48">
        <w:t xml:space="preserve">Husbandry fees for the minimum stay, as determined by animal or plant type and origin, will be required before an animal or plant enters the quarantine facility. Any additional costs </w:t>
      </w:r>
      <w:proofErr w:type="gramStart"/>
      <w:r w:rsidRPr="002C4B48">
        <w:t>must be paid</w:t>
      </w:r>
      <w:proofErr w:type="gramEnd"/>
      <w:r w:rsidRPr="002C4B48">
        <w:t xml:space="preserve"> before an animal or plant is released from the quarantine facility.</w:t>
      </w:r>
    </w:p>
    <w:p w:rsidR="002C4B48" w:rsidRPr="002C4B48" w:rsidRDefault="002C4B48" w:rsidP="002C4B48">
      <w:pPr>
        <w:spacing w:before="120" w:after="0"/>
        <w:outlineLvl w:val="3"/>
        <w:rPr>
          <w:b/>
          <w:sz w:val="28"/>
          <w:szCs w:val="20"/>
          <w:lang w:val="x-none"/>
        </w:rPr>
      </w:pPr>
      <w:bookmarkStart w:id="38" w:name="_Toc423939491"/>
      <w:r w:rsidRPr="002C4B48">
        <w:rPr>
          <w:b/>
          <w:sz w:val="28"/>
          <w:szCs w:val="20"/>
          <w:lang w:val="x-none"/>
        </w:rPr>
        <w:t>International mail</w:t>
      </w:r>
      <w:bookmarkEnd w:id="38"/>
    </w:p>
    <w:p w:rsidR="002C4B48" w:rsidRPr="002C4B48" w:rsidRDefault="002C4B48" w:rsidP="002C4B48">
      <w:r w:rsidRPr="002C4B48">
        <w:t>The department partially recovers the costs for biosecurity activities on international mail, brought in by Australia Post, through a biosecurity services fee. Where the department does not cost recover through the service fee, it meets the costs of biosecurity clearance of mail through appropriation funding.</w:t>
      </w:r>
    </w:p>
    <w:p w:rsidR="002C4B48" w:rsidRPr="002C4B48" w:rsidRDefault="002C4B48" w:rsidP="002C4B48">
      <w:r w:rsidRPr="002C4B48">
        <w:t xml:space="preserve">The services fee applied to Australia Post </w:t>
      </w:r>
      <w:proofErr w:type="gramStart"/>
      <w:r w:rsidRPr="002C4B48">
        <w:t>will be progressively increased</w:t>
      </w:r>
      <w:proofErr w:type="gramEnd"/>
      <w:r w:rsidRPr="002C4B48">
        <w:t xml:space="preserve"> until full cost recovery is achieved in 2017–18. An extra $3.5 million will be cost recovered in 2016–17, and an extra $6.9 million will be cost recovered in 2017–18 to bring the activity to full cost recovery.</w:t>
      </w:r>
    </w:p>
    <w:p w:rsidR="002C4B48" w:rsidRPr="002C4B48" w:rsidRDefault="002C4B48" w:rsidP="00530A65">
      <w:pPr>
        <w:pStyle w:val="Heading3"/>
      </w:pPr>
      <w:bookmarkStart w:id="39" w:name="_Toc423939492"/>
      <w:bookmarkStart w:id="40" w:name="_Toc433713862"/>
      <w:bookmarkEnd w:id="39"/>
      <w:r w:rsidRPr="002C4B48">
        <w:t>Approved arrangement participants</w:t>
      </w:r>
      <w:bookmarkEnd w:id="40"/>
      <w:r w:rsidRPr="002C4B48">
        <w:t xml:space="preserve"> </w:t>
      </w:r>
    </w:p>
    <w:p w:rsidR="002C4B48" w:rsidRPr="002C4B48" w:rsidRDefault="002C4B48" w:rsidP="002C4B48">
      <w:r w:rsidRPr="002C4B48">
        <w:lastRenderedPageBreak/>
        <w:t xml:space="preserve">Approved arrangements include compliance agreements (CAs), </w:t>
      </w:r>
      <w:proofErr w:type="gramStart"/>
      <w:r w:rsidRPr="002C4B48">
        <w:t>food import compliance agreements</w:t>
      </w:r>
      <w:proofErr w:type="gramEnd"/>
      <w:r w:rsidRPr="002C4B48">
        <w:t xml:space="preserve"> (FICA) and quarantine approved premises (QAPs). The existing cost recovery charges for the department’s approved arrangements (including compliance agreements, quarantine approved premises and imported food compliance agreements) do not recover the full costs of these activities.</w:t>
      </w:r>
    </w:p>
    <w:p w:rsidR="002C4B48" w:rsidRPr="002C4B48" w:rsidRDefault="002C4B48" w:rsidP="002C4B48">
      <w:r w:rsidRPr="002C4B48">
        <w:t xml:space="preserve">Funds for approved arrangements </w:t>
      </w:r>
      <w:proofErr w:type="gramStart"/>
      <w:r w:rsidRPr="002C4B48">
        <w:t>have been sourced</w:t>
      </w:r>
      <w:proofErr w:type="gramEnd"/>
      <w:r w:rsidRPr="002C4B48">
        <w:t xml:space="preserve"> in part from cost recovery imposed on importers, including many importers who do not use approved arrangements. This is not equitable, and is not appropriate under the government’s cost recovery guidelines.</w:t>
      </w:r>
    </w:p>
    <w:p w:rsidR="002C4B48" w:rsidRPr="002C4B48" w:rsidRDefault="002C4B48" w:rsidP="002C4B48">
      <w:r w:rsidRPr="002C4B48">
        <w:t>As a result, charges for approved arrangements will increase.</w:t>
      </w:r>
    </w:p>
    <w:p w:rsidR="002C4B48" w:rsidRPr="002C4B48" w:rsidRDefault="002C4B48" w:rsidP="002C4B48">
      <w:r w:rsidRPr="002C4B48">
        <w:t>Prior to 1 December 2015, approved arrangement operators had a number of key costs:</w:t>
      </w:r>
    </w:p>
    <w:p w:rsidR="002C4B48" w:rsidRPr="002C4B48" w:rsidRDefault="002C4B48" w:rsidP="002C4B48">
      <w:pPr>
        <w:numPr>
          <w:ilvl w:val="0"/>
          <w:numId w:val="2"/>
        </w:numPr>
        <w:spacing w:before="120" w:after="120"/>
      </w:pPr>
      <w:r w:rsidRPr="002C4B48">
        <w:t xml:space="preserve">Operators of FICAs paid a $1 </w:t>
      </w:r>
      <w:proofErr w:type="gramStart"/>
      <w:r w:rsidRPr="002C4B48">
        <w:t>300 application</w:t>
      </w:r>
      <w:proofErr w:type="gramEnd"/>
      <w:r w:rsidRPr="002C4B48">
        <w:t xml:space="preserve"> fee, a $2 300 annual fee and audit fees of $45 per 15 minutes.</w:t>
      </w:r>
    </w:p>
    <w:p w:rsidR="002C4B48" w:rsidRPr="002C4B48" w:rsidRDefault="002C4B48" w:rsidP="002C4B48">
      <w:pPr>
        <w:numPr>
          <w:ilvl w:val="0"/>
          <w:numId w:val="2"/>
        </w:numPr>
        <w:spacing w:before="120" w:after="120"/>
      </w:pPr>
      <w:r w:rsidRPr="002C4B48">
        <w:t>Operators of QAPs paid a $1 200 annual fee and assessment application fees of $90 for the first 30 minutes and $45 per additional 15 minutes. Out-of-office audit fees of $90 for the first 30 minutes and $45 per additional 15 minutes applied.</w:t>
      </w:r>
    </w:p>
    <w:p w:rsidR="002C4B48" w:rsidRPr="002C4B48" w:rsidRDefault="002C4B48" w:rsidP="002C4B48">
      <w:pPr>
        <w:numPr>
          <w:ilvl w:val="0"/>
          <w:numId w:val="2"/>
        </w:numPr>
        <w:spacing w:before="120" w:after="120"/>
      </w:pPr>
      <w:r w:rsidRPr="002C4B48">
        <w:t>Operators of CAs only paid audit fees of $90 for the first 30 minutes and $45 per additional 15 minutes.</w:t>
      </w:r>
    </w:p>
    <w:p w:rsidR="002C4B48" w:rsidRPr="002C4B48" w:rsidRDefault="002C4B48" w:rsidP="002C4B48">
      <w:r w:rsidRPr="002C4B48">
        <w:t xml:space="preserve">Under the new structure, all approved arrangement participants will contribute to the cost of providing the approved arrangements system. All activities undertaken by the department, such as audits, </w:t>
      </w:r>
      <w:proofErr w:type="gramStart"/>
      <w:r w:rsidRPr="002C4B48">
        <w:t>will be charged</w:t>
      </w:r>
      <w:proofErr w:type="gramEnd"/>
      <w:r w:rsidRPr="002C4B48">
        <w:t xml:space="preserve"> at a standard rate. The new charging structure will increase costs for some participants, particularly those entering into compliance agreements. However, revenue recovered by the department will not exceed the cost of administering approved arrangements.</w:t>
      </w:r>
    </w:p>
    <w:p w:rsidR="002C4B48" w:rsidRPr="002C4B48" w:rsidRDefault="002C4B48" w:rsidP="002C4B48">
      <w:r w:rsidRPr="002C4B48">
        <w:t>Key changes affecting operators of approved arrangements from 1 December 2015 are as follows:</w:t>
      </w:r>
    </w:p>
    <w:p w:rsidR="002C4B48" w:rsidRPr="002C4B48" w:rsidRDefault="002C4B48" w:rsidP="002C4B48">
      <w:pPr>
        <w:numPr>
          <w:ilvl w:val="0"/>
          <w:numId w:val="2"/>
        </w:numPr>
        <w:spacing w:before="120" w:after="120"/>
      </w:pPr>
      <w:r w:rsidRPr="002C4B48">
        <w:lastRenderedPageBreak/>
        <w:t>There will be a $180 application lodgement levy for new approved arrangements. This will now be a levy (not a fee) as it will recover the cost of activities that support the approved arrangements system (for example, policy development) which benefits all clients.</w:t>
      </w:r>
    </w:p>
    <w:p w:rsidR="002C4B48" w:rsidRPr="002C4B48" w:rsidRDefault="002C4B48" w:rsidP="002C4B48">
      <w:pPr>
        <w:numPr>
          <w:ilvl w:val="0"/>
          <w:numId w:val="2"/>
        </w:numPr>
        <w:spacing w:before="120" w:after="120"/>
      </w:pPr>
      <w:r w:rsidRPr="002C4B48">
        <w:t>An annual levy of $2 900 will apply to all entities operating approved arrangements. This levy replaces the existing annual fees to recover the cost of providing the approved arrangements system.</w:t>
      </w:r>
    </w:p>
    <w:p w:rsidR="002C4B48" w:rsidRPr="002C4B48" w:rsidRDefault="002C4B48" w:rsidP="002C4B48">
      <w:pPr>
        <w:numPr>
          <w:ilvl w:val="0"/>
          <w:numId w:val="2"/>
        </w:numPr>
        <w:spacing w:before="120" w:after="120"/>
      </w:pPr>
      <w:r w:rsidRPr="002C4B48">
        <w:t xml:space="preserve">A standard fee of $30 per 15 minutes </w:t>
      </w:r>
      <w:proofErr w:type="gramStart"/>
      <w:r w:rsidRPr="002C4B48">
        <w:t>will be applied</w:t>
      </w:r>
      <w:proofErr w:type="gramEnd"/>
      <w:r w:rsidRPr="002C4B48">
        <w:t xml:space="preserve"> for all activities performed in-office, for example, assessing applications. A standard fee of $50 per 15 minutes </w:t>
      </w:r>
      <w:proofErr w:type="gramStart"/>
      <w:r w:rsidRPr="002C4B48">
        <w:t>will be applied</w:t>
      </w:r>
      <w:proofErr w:type="gramEnd"/>
      <w:r w:rsidRPr="002C4B48">
        <w:t xml:space="preserve"> to all activities performed out-of-office, for example, audits.</w:t>
      </w:r>
    </w:p>
    <w:p w:rsidR="002C4B48" w:rsidRPr="002C4B48" w:rsidRDefault="002C4B48" w:rsidP="002C4B48">
      <w:pPr>
        <w:numPr>
          <w:ilvl w:val="0"/>
          <w:numId w:val="2"/>
        </w:numPr>
        <w:spacing w:before="120" w:after="120"/>
      </w:pPr>
      <w:r w:rsidRPr="002C4B48">
        <w:t xml:space="preserve">The new annual approved arrangement charges will apply to each entity holding any number of approved arrangements – so no matter how many arrangements that entity has, they will only pay one charge. For example, if a QAP operator also holds a compliance agreement for fumigation, the proposed annual charge under the current model would be a single cost of </w:t>
      </w:r>
      <w:r w:rsidRPr="002C4B48">
        <w:br/>
        <w:t>$2 900.</w:t>
      </w:r>
    </w:p>
    <w:p w:rsidR="002C4B48" w:rsidRPr="002C4B48" w:rsidRDefault="002C4B48" w:rsidP="002C4B48">
      <w:pPr>
        <w:numPr>
          <w:ilvl w:val="0"/>
          <w:numId w:val="2"/>
        </w:numPr>
        <w:spacing w:before="120" w:after="120"/>
      </w:pPr>
      <w:r w:rsidRPr="002C4B48">
        <w:t>All participants in the Automatic Entry Processing (AEP) Scheme will be charged an annual approved arrangements charge of $2 900 – as the AEP Scheme is an approved arrangement.</w:t>
      </w:r>
    </w:p>
    <w:p w:rsidR="002C4B48" w:rsidRPr="002C4B48" w:rsidRDefault="002C4B48" w:rsidP="002C4B48">
      <w:pPr>
        <w:numPr>
          <w:ilvl w:val="1"/>
          <w:numId w:val="2"/>
        </w:numPr>
        <w:spacing w:after="120"/>
        <w:ind w:left="851" w:hanging="284"/>
        <w:rPr>
          <w:szCs w:val="20"/>
          <w:lang w:val="x-none"/>
        </w:rPr>
      </w:pPr>
      <w:r w:rsidRPr="002C4B48">
        <w:rPr>
          <w:szCs w:val="20"/>
          <w:lang w:val="x-none"/>
        </w:rPr>
        <w:t>There will be no per entry charges specific to the AEP scheme – the proposed $2 900 AEP charge will allow the broker to make an unlimited number of AEP entries, with no additional “AEP entry” fees payable.</w:t>
      </w:r>
    </w:p>
    <w:p w:rsidR="002C4B48" w:rsidRPr="002C4B48" w:rsidRDefault="002C4B48" w:rsidP="002C4B48">
      <w:pPr>
        <w:numPr>
          <w:ilvl w:val="1"/>
          <w:numId w:val="2"/>
        </w:numPr>
        <w:spacing w:after="120"/>
        <w:ind w:left="851" w:hanging="284"/>
        <w:rPr>
          <w:szCs w:val="20"/>
          <w:lang w:val="x-none"/>
        </w:rPr>
      </w:pPr>
      <w:r w:rsidRPr="002C4B48">
        <w:rPr>
          <w:szCs w:val="20"/>
          <w:lang w:val="x-none"/>
        </w:rPr>
        <w:t>Additional fees will still be payable where a particular entry attracts a requirement for additional departmental activity – such as for document clearance or inspection activity. These extra charges will be applied in the normal way using the charges set out elsewhere in the CRIS.</w:t>
      </w:r>
    </w:p>
    <w:p w:rsidR="002C4B48" w:rsidRPr="002C4B48" w:rsidRDefault="002C4B48" w:rsidP="002C4B48">
      <w:pPr>
        <w:numPr>
          <w:ilvl w:val="0"/>
          <w:numId w:val="2"/>
        </w:numPr>
        <w:spacing w:before="120" w:after="120"/>
      </w:pPr>
      <w:proofErr w:type="gramStart"/>
      <w:r w:rsidRPr="002C4B48">
        <w:t>Existing QAP operators that are approved and paid up to 30 June 2016 will be impacted by the new fees from July</w:t>
      </w:r>
      <w:proofErr w:type="gramEnd"/>
      <w:r w:rsidRPr="002C4B48">
        <w:t xml:space="preserve"> 2016.</w:t>
      </w:r>
    </w:p>
    <w:p w:rsidR="002C4B48" w:rsidRPr="002C4B48" w:rsidRDefault="002C4B48" w:rsidP="002C4B48">
      <w:pPr>
        <w:numPr>
          <w:ilvl w:val="1"/>
          <w:numId w:val="2"/>
        </w:numPr>
        <w:spacing w:after="120"/>
        <w:ind w:left="851" w:hanging="284"/>
        <w:rPr>
          <w:szCs w:val="20"/>
          <w:lang w:val="x-none"/>
        </w:rPr>
      </w:pPr>
      <w:r w:rsidRPr="002C4B48">
        <w:rPr>
          <w:szCs w:val="20"/>
          <w:lang w:val="x-none"/>
        </w:rPr>
        <w:lastRenderedPageBreak/>
        <w:t>Where charges are imposed from 1 December during the 2015–2016 financial year, they will be applied pro-rata – so that the costs only apply from 1 December 2015. For example, where an entity operates under a compliance agreement, but does not hold a QAP, the annual approved arrangement charge will apply on a pro-rata basis from 1 December 2015.</w:t>
      </w:r>
    </w:p>
    <w:p w:rsidR="002C4B48" w:rsidRPr="002C4B48" w:rsidRDefault="002C4B48" w:rsidP="002C4B48">
      <w:pPr>
        <w:numPr>
          <w:ilvl w:val="1"/>
          <w:numId w:val="2"/>
        </w:numPr>
        <w:spacing w:after="120"/>
        <w:ind w:left="851" w:hanging="284"/>
        <w:rPr>
          <w:szCs w:val="20"/>
          <w:lang w:val="x-none"/>
        </w:rPr>
      </w:pPr>
      <w:r w:rsidRPr="002C4B48">
        <w:rPr>
          <w:szCs w:val="20"/>
          <w:lang w:val="x-none"/>
        </w:rPr>
        <w:t>Where an entity operates a QAP and is also the holder of a compliance agreement, the payment of the 2015—16 QAP approval at the existing rates will mean that no other annual charges will need to be paid by that entity for either a QAP or CA during 2015–16.</w:t>
      </w:r>
    </w:p>
    <w:p w:rsidR="002C4B48" w:rsidRPr="002C4B48" w:rsidRDefault="002C4B48" w:rsidP="002C4B48">
      <w:pPr>
        <w:numPr>
          <w:ilvl w:val="0"/>
          <w:numId w:val="2"/>
        </w:numPr>
        <w:spacing w:before="120" w:after="120"/>
      </w:pPr>
      <w:r w:rsidRPr="002C4B48">
        <w:t>If an operator is seeking a formal variation to their conditions of approval, this work will be cost recovered under the fee for service charges.</w:t>
      </w:r>
    </w:p>
    <w:p w:rsidR="002C4B48" w:rsidRPr="002C4B48" w:rsidRDefault="002C4B48" w:rsidP="002C4B48">
      <w:pPr>
        <w:numPr>
          <w:ilvl w:val="0"/>
          <w:numId w:val="2"/>
        </w:numPr>
        <w:spacing w:before="120" w:after="120"/>
      </w:pPr>
      <w:r w:rsidRPr="002C4B48">
        <w:t xml:space="preserve">If a new applicant (who does not currently hold an approved arrangement) approaches the department with a new application for a QAP, they </w:t>
      </w:r>
      <w:proofErr w:type="gramStart"/>
      <w:r w:rsidRPr="002C4B48">
        <w:t>will be charged</w:t>
      </w:r>
      <w:proofErr w:type="gramEnd"/>
      <w:r w:rsidRPr="002C4B48">
        <w:t xml:space="preserve"> the “new approved arrangement” levy of $180 (as described above). Once their application is approved, they will also be charged the annual charge of $2 900.</w:t>
      </w:r>
    </w:p>
    <w:p w:rsidR="002C4B48" w:rsidRPr="002C4B48" w:rsidRDefault="002C4B48" w:rsidP="002C4B48">
      <w:pPr>
        <w:numPr>
          <w:ilvl w:val="0"/>
          <w:numId w:val="2"/>
        </w:numPr>
        <w:spacing w:before="120" w:after="120"/>
      </w:pPr>
      <w:r w:rsidRPr="002C4B48">
        <w:t xml:space="preserve">Where an entity operates multiple arrangements, compliance will continue to be on an </w:t>
      </w:r>
      <w:proofErr w:type="gramStart"/>
      <w:r w:rsidRPr="002C4B48">
        <w:t>arrangement by arrangement</w:t>
      </w:r>
      <w:proofErr w:type="gramEnd"/>
      <w:r w:rsidRPr="002C4B48">
        <w:t xml:space="preserve"> basis. This means that a compliance breach at one facility in the entity will not flow beyond the QAP in breach. If one QAP in the group </w:t>
      </w:r>
      <w:proofErr w:type="gramStart"/>
      <w:r w:rsidRPr="002C4B48">
        <w:t>is found</w:t>
      </w:r>
      <w:proofErr w:type="gramEnd"/>
      <w:r w:rsidRPr="002C4B48">
        <w:t xml:space="preserve"> to be non-compliant, the non-compliance will not trigger increased audits for all the other QAPs operated by that entity. Each QAP will continue to </w:t>
      </w:r>
      <w:proofErr w:type="gramStart"/>
      <w:r w:rsidRPr="002C4B48">
        <w:t>be considered</w:t>
      </w:r>
      <w:proofErr w:type="gramEnd"/>
      <w:r w:rsidRPr="002C4B48">
        <w:t xml:space="preserve"> separate for compliance monitoring, as is the approach under the current departmental policy.</w:t>
      </w:r>
    </w:p>
    <w:p w:rsidR="002C4B48" w:rsidRPr="002C4B48" w:rsidRDefault="002C4B48" w:rsidP="002C4B48">
      <w:pPr>
        <w:numPr>
          <w:ilvl w:val="1"/>
          <w:numId w:val="2"/>
        </w:numPr>
        <w:spacing w:after="120"/>
        <w:ind w:left="851" w:hanging="284"/>
        <w:rPr>
          <w:szCs w:val="20"/>
          <w:lang w:val="x-none"/>
        </w:rPr>
      </w:pPr>
      <w:r w:rsidRPr="002C4B48">
        <w:rPr>
          <w:szCs w:val="20"/>
          <w:lang w:val="x-none"/>
        </w:rPr>
        <w:t>It is important to note that if there are indications that an entity has systemic compliance issues occurring across all of its QAPs or approved arrangements, broader compliance action may be considered by the department. This is consistent with the department’s longstanding compliance approach – and will not change under the new charging arrangements.</w:t>
      </w:r>
    </w:p>
    <w:p w:rsidR="002C4B48" w:rsidRPr="002C4B48" w:rsidRDefault="002C4B48" w:rsidP="00530A65">
      <w:pPr>
        <w:pStyle w:val="Heading3"/>
      </w:pPr>
      <w:bookmarkStart w:id="41" w:name="_Toc423939493"/>
      <w:bookmarkStart w:id="42" w:name="_Toc433713863"/>
      <w:r w:rsidRPr="002C4B48">
        <w:lastRenderedPageBreak/>
        <w:t>Vessel operators</w:t>
      </w:r>
      <w:bookmarkEnd w:id="41"/>
      <w:bookmarkEnd w:id="42"/>
    </w:p>
    <w:p w:rsidR="002C4B48" w:rsidRPr="002C4B48" w:rsidRDefault="002C4B48" w:rsidP="002C4B48">
      <w:r w:rsidRPr="002C4B48">
        <w:t>For vessel operators entering Australia, costs are currently dependent on vessel size: greater than or equal to 25 metres in length, or less than 25 metres in length. For vessels greater than 25 metres in length, costs will also vary depending on whether an inspection is required.</w:t>
      </w:r>
    </w:p>
    <w:p w:rsidR="002C4B48" w:rsidRPr="002C4B48" w:rsidRDefault="002C4B48" w:rsidP="002C4B48">
      <w:r w:rsidRPr="002C4B48">
        <w:t>Prior to 1 December 2015 key costs were as follows:</w:t>
      </w:r>
    </w:p>
    <w:p w:rsidR="002C4B48" w:rsidRPr="002C4B48" w:rsidRDefault="002C4B48" w:rsidP="002C4B48">
      <w:pPr>
        <w:numPr>
          <w:ilvl w:val="0"/>
          <w:numId w:val="2"/>
        </w:numPr>
        <w:spacing w:before="120" w:after="120"/>
      </w:pPr>
      <w:r w:rsidRPr="002C4B48">
        <w:t>Vessels less than 25 metres paid a $380 pratique fee, which included the first 1.5 hours of inspection. If additional inspection was required, the fee was $45 per 15 minutes.</w:t>
      </w:r>
    </w:p>
    <w:p w:rsidR="002C4B48" w:rsidRPr="002C4B48" w:rsidRDefault="002C4B48" w:rsidP="002C4B48">
      <w:pPr>
        <w:numPr>
          <w:ilvl w:val="0"/>
          <w:numId w:val="2"/>
        </w:numPr>
        <w:spacing w:before="120" w:after="120"/>
      </w:pPr>
      <w:r w:rsidRPr="002C4B48">
        <w:t>Vessels greater than or equal to 25 metres that required an inspection paid a $1 210 pratique fee, which included the first two hours of inspection. If additional inspection was required, the fee was $45 per 15 minutes.</w:t>
      </w:r>
    </w:p>
    <w:p w:rsidR="002C4B48" w:rsidRPr="002C4B48" w:rsidRDefault="002C4B48" w:rsidP="002C4B48">
      <w:pPr>
        <w:numPr>
          <w:ilvl w:val="0"/>
          <w:numId w:val="2"/>
        </w:numPr>
        <w:spacing w:before="120" w:after="120"/>
      </w:pPr>
      <w:r w:rsidRPr="002C4B48">
        <w:t xml:space="preserve">Vessels greater than or equal to 25 metres in length with a good compliance history that </w:t>
      </w:r>
      <w:proofErr w:type="gramStart"/>
      <w:r w:rsidRPr="002C4B48">
        <w:t>were cleared</w:t>
      </w:r>
      <w:proofErr w:type="gramEnd"/>
      <w:r w:rsidRPr="002C4B48">
        <w:t xml:space="preserve"> on documents only paid an $850 pratique fee.</w:t>
      </w:r>
    </w:p>
    <w:p w:rsidR="002C4B48" w:rsidRPr="002C4B48" w:rsidRDefault="002C4B48" w:rsidP="002C4B48">
      <w:r w:rsidRPr="002C4B48">
        <w:t>The revised fee and levy structure will encourage compliance in arriving international vessels 25 metres and over in length through greater differentiation of costs between vessels assessed only on documents and those requiring a physical inspection. This promotes a more efficient use of the department’s resources as physical inspections often require significant travel and officer time, and therefore are much more costly for the department to provide.</w:t>
      </w:r>
    </w:p>
    <w:p w:rsidR="002C4B48" w:rsidRPr="002C4B48" w:rsidRDefault="002C4B48" w:rsidP="002C4B48">
      <w:r w:rsidRPr="002C4B48">
        <w:t>Key changes for vessel operators from 1 December 2015 are as follows:</w:t>
      </w:r>
    </w:p>
    <w:p w:rsidR="002C4B48" w:rsidRPr="002C4B48" w:rsidRDefault="002C4B48" w:rsidP="002C4B48">
      <w:pPr>
        <w:numPr>
          <w:ilvl w:val="0"/>
          <w:numId w:val="2"/>
        </w:numPr>
        <w:spacing w:before="120" w:after="120"/>
      </w:pPr>
      <w:r w:rsidRPr="002C4B48">
        <w:t>Under the new fee and levy structure, all vessels will pay a levy on arrival to Australia. The levy will recover the cost of activities that support the management of incoming international vessels (for example, risk assessment of pathways), not activities provided to individual clients. However, costs will still be dependent on vessel size reflecting the different biosecurity risks posed:</w:t>
      </w:r>
    </w:p>
    <w:p w:rsidR="002C4B48" w:rsidRPr="002C4B48" w:rsidRDefault="002C4B48" w:rsidP="002C4B48">
      <w:pPr>
        <w:numPr>
          <w:ilvl w:val="1"/>
          <w:numId w:val="2"/>
        </w:numPr>
        <w:spacing w:after="120"/>
        <w:ind w:left="851" w:hanging="284"/>
        <w:rPr>
          <w:szCs w:val="20"/>
          <w:lang w:val="x-none"/>
        </w:rPr>
      </w:pPr>
      <w:r w:rsidRPr="002C4B48">
        <w:rPr>
          <w:szCs w:val="20"/>
          <w:lang w:val="x-none"/>
        </w:rPr>
        <w:t>Vessel less than 25 metres: $100</w:t>
      </w:r>
    </w:p>
    <w:p w:rsidR="002C4B48" w:rsidRPr="002C4B48" w:rsidRDefault="002C4B48" w:rsidP="002C4B48">
      <w:pPr>
        <w:numPr>
          <w:ilvl w:val="1"/>
          <w:numId w:val="2"/>
        </w:numPr>
        <w:spacing w:after="120"/>
        <w:ind w:left="851" w:hanging="284"/>
        <w:rPr>
          <w:szCs w:val="20"/>
          <w:lang w:val="x-none"/>
        </w:rPr>
      </w:pPr>
      <w:r w:rsidRPr="002C4B48">
        <w:rPr>
          <w:szCs w:val="20"/>
          <w:lang w:val="x-none"/>
        </w:rPr>
        <w:lastRenderedPageBreak/>
        <w:t>Vessel 25 metres</w:t>
      </w:r>
      <w:r w:rsidRPr="002C4B48">
        <w:rPr>
          <w:szCs w:val="20"/>
        </w:rPr>
        <w:t xml:space="preserve"> or more</w:t>
      </w:r>
      <w:r w:rsidRPr="002C4B48">
        <w:rPr>
          <w:szCs w:val="20"/>
          <w:lang w:val="x-none"/>
        </w:rPr>
        <w:t>: $720.</w:t>
      </w:r>
    </w:p>
    <w:p w:rsidR="002C4B48" w:rsidRPr="002C4B48" w:rsidRDefault="002C4B48" w:rsidP="002C4B48">
      <w:pPr>
        <w:numPr>
          <w:ilvl w:val="0"/>
          <w:numId w:val="2"/>
        </w:numPr>
        <w:spacing w:before="120" w:after="120"/>
      </w:pPr>
      <w:r w:rsidRPr="002C4B48">
        <w:t xml:space="preserve">Fees will continue to apply to activities provided to individual clients. A standard fee of $30 per 15 minutes </w:t>
      </w:r>
      <w:proofErr w:type="gramStart"/>
      <w:r w:rsidRPr="002C4B48">
        <w:t>will be applied</w:t>
      </w:r>
      <w:proofErr w:type="gramEnd"/>
      <w:r w:rsidRPr="002C4B48">
        <w:t xml:space="preserve"> for all activities performed in-office, such as document assessment. A standard fee of $50 per 15 minutes will be applied to all activities performed out-of-office, such as inspections or any other activities required to manage biosecurity risk.</w:t>
      </w:r>
    </w:p>
    <w:p w:rsidR="002C4B48" w:rsidRPr="002C4B48" w:rsidRDefault="002C4B48" w:rsidP="00530A65">
      <w:pPr>
        <w:pStyle w:val="Heading3"/>
      </w:pPr>
      <w:bookmarkStart w:id="43" w:name="_Toc423939494"/>
      <w:bookmarkStart w:id="44" w:name="_Toc433713864"/>
      <w:r w:rsidRPr="002C4B48">
        <w:t>Passengers</w:t>
      </w:r>
      <w:bookmarkEnd w:id="43"/>
      <w:bookmarkEnd w:id="44"/>
    </w:p>
    <w:p w:rsidR="002C4B48" w:rsidRPr="002C4B48" w:rsidRDefault="002C4B48" w:rsidP="002C4B48">
      <w:r w:rsidRPr="002C4B48">
        <w:t xml:space="preserve">Clearance of passengers and their baggage at major international airports and identified emerging airports will continue to </w:t>
      </w:r>
      <w:proofErr w:type="gramStart"/>
      <w:r w:rsidRPr="002C4B48">
        <w:t>be funded</w:t>
      </w:r>
      <w:proofErr w:type="gramEnd"/>
      <w:r w:rsidRPr="002C4B48">
        <w:t xml:space="preserve"> through government appropriation. Clearance of charter aircraft and associated risk material that arrives at non-proclaimed airports will continue to be cost recovered under existing arrangements.</w:t>
      </w:r>
    </w:p>
    <w:p w:rsidR="002C4B48" w:rsidRPr="002C4B48" w:rsidRDefault="002C4B48" w:rsidP="00530A65">
      <w:pPr>
        <w:pStyle w:val="Heading2"/>
      </w:pPr>
      <w:bookmarkStart w:id="45" w:name="_Toc433713865"/>
      <w:r w:rsidRPr="002C4B48">
        <w:lastRenderedPageBreak/>
        <w:t>Changes to services</w:t>
      </w:r>
      <w:bookmarkEnd w:id="31"/>
      <w:bookmarkEnd w:id="45"/>
    </w:p>
    <w:p w:rsidR="002C4B48" w:rsidRPr="002C4B48" w:rsidRDefault="002C4B48" w:rsidP="002C4B48">
      <w:r w:rsidRPr="002C4B48">
        <w:t xml:space="preserve">The following section provides information on changes to the biosecurity services the department provides and the impact this will have on the cost base. These services </w:t>
      </w:r>
      <w:proofErr w:type="gramStart"/>
      <w:r w:rsidRPr="002C4B48">
        <w:t>are being funded</w:t>
      </w:r>
      <w:proofErr w:type="gramEnd"/>
      <w:r w:rsidRPr="002C4B48">
        <w:t xml:space="preserve"> through levies recovered from importers.</w:t>
      </w:r>
    </w:p>
    <w:p w:rsidR="002C4B48" w:rsidRPr="002C4B48" w:rsidRDefault="002C4B48" w:rsidP="00530A65">
      <w:pPr>
        <w:pStyle w:val="Heading3"/>
      </w:pPr>
      <w:bookmarkStart w:id="46" w:name="_Toc424755456"/>
      <w:bookmarkStart w:id="47" w:name="_Toc433713866"/>
      <w:r w:rsidRPr="002C4B48">
        <w:t>Improving biosecurity service delivery</w:t>
      </w:r>
      <w:bookmarkEnd w:id="46"/>
      <w:bookmarkEnd w:id="47"/>
      <w:r w:rsidRPr="002C4B48">
        <w:t xml:space="preserve"> </w:t>
      </w:r>
    </w:p>
    <w:p w:rsidR="002C4B48" w:rsidRPr="002C4B48" w:rsidRDefault="002C4B48" w:rsidP="002C4B48">
      <w:r w:rsidRPr="002C4B48">
        <w:t xml:space="preserve">The department is streamlining and improving biosecurity business processes and client services through better use of our organisational capabilities, modern service delivery arrangements and more effective technology. The department is providing better phone and email services and giving clients greater access to online services. This includes </w:t>
      </w:r>
      <w:proofErr w:type="gramStart"/>
      <w:r w:rsidRPr="002C4B48">
        <w:t>more efficient arrangements for lodging documents, paying invoices and making appointments</w:t>
      </w:r>
      <w:proofErr w:type="gramEnd"/>
      <w:r w:rsidRPr="002C4B48">
        <w:t>. These changes will reduce the cost of service delivery for the department and its clients.</w:t>
      </w:r>
    </w:p>
    <w:p w:rsidR="002C4B48" w:rsidRPr="002C4B48" w:rsidRDefault="002C4B48" w:rsidP="002C4B48">
      <w:r w:rsidRPr="002C4B48">
        <w:t xml:space="preserve">Client contact </w:t>
      </w:r>
      <w:proofErr w:type="gramStart"/>
      <w:r w:rsidRPr="002C4B48">
        <w:t>is being handled</w:t>
      </w:r>
      <w:proofErr w:type="gramEnd"/>
      <w:r w:rsidRPr="002C4B48">
        <w:t xml:space="preserve"> more efficiently and effectively through national call management. An updated, easier to use website </w:t>
      </w:r>
      <w:proofErr w:type="gramStart"/>
      <w:r w:rsidRPr="002C4B48">
        <w:t>has been launched</w:t>
      </w:r>
      <w:proofErr w:type="gramEnd"/>
      <w:r w:rsidRPr="002C4B48">
        <w:t>, and the department has deployed a single 1800 based telephone system for clients.</w:t>
      </w:r>
    </w:p>
    <w:p w:rsidR="002C4B48" w:rsidRPr="002C4B48" w:rsidRDefault="002C4B48" w:rsidP="002C4B48">
      <w:r w:rsidRPr="002C4B48">
        <w:t>Improved technology is enabling biosecurity officers to deliver services more effectively in the field. Mobile devices are reducing paperwork and double handling of information for activities such as inspection and audit. These improvements are increasing productivity and reducing time taken to release consignments.</w:t>
      </w:r>
    </w:p>
    <w:p w:rsidR="002C4B48" w:rsidRPr="002C4B48" w:rsidRDefault="002C4B48" w:rsidP="002C4B48">
      <w:r w:rsidRPr="002C4B48">
        <w:t>The department is implementing improved invoicing, receipting and payment arrangements for its clients. The proposed initiative will include standardised and consolidated invoices as well as faster electronic receipting. It also includes the introduction of contemporary electronic payment channels (such as BPAY and direct debit). This will make it easier for clients to manage and reconcile their payments.</w:t>
      </w:r>
    </w:p>
    <w:p w:rsidR="002C4B48" w:rsidRPr="002C4B48" w:rsidRDefault="002C4B48" w:rsidP="002C4B48">
      <w:r w:rsidRPr="002C4B48">
        <w:t xml:space="preserve">Greater access to online services includes the cargo online lodgement system, which is replacing the manual processing of documents. The </w:t>
      </w:r>
      <w:r w:rsidRPr="002C4B48">
        <w:lastRenderedPageBreak/>
        <w:t>department currently processes up to one million lodgements each year. The new system will allow clients to submit import documentation and check progress of their lodgement online, reducing time and costs for importers and brokers. A similar initiative for air cargo has already achieved an 84 per cent reduction in clearance times.</w:t>
      </w:r>
    </w:p>
    <w:p w:rsidR="002C4B48" w:rsidRPr="002C4B48" w:rsidRDefault="002C4B48" w:rsidP="002C4B48">
      <w:r w:rsidRPr="002C4B48">
        <w:t>In addition to cargo lodgement, the department is expanding its online services through improved self-service facilities. This will allow cargo importers and post entry quarantine clients to make bookings, manage existing bookings and receive correspondence online. This will provide greater choice for clients, and will make dealing with the department more convenient and less time consuming for clients.</w:t>
      </w:r>
    </w:p>
    <w:p w:rsidR="002C4B48" w:rsidRPr="002C4B48" w:rsidRDefault="002C4B48" w:rsidP="002C4B48">
      <w:r w:rsidRPr="002C4B48">
        <w:t>The department will leverage the capabilities introduced with online systems to improve its workload management across the business. This will be achieved through national processing and automated workflow. Staff will no longer need to manage day-to-day work from email. Instead, based on their role and competencies, they will receive a queue of prioritised transactions. These and other changes will increase the efficiency of service interactions and further reduce costs for the department and its clients.</w:t>
      </w:r>
    </w:p>
    <w:p w:rsidR="002C4B48" w:rsidRPr="002C4B48" w:rsidRDefault="002C4B48" w:rsidP="002C4B48">
      <w:r w:rsidRPr="002C4B48">
        <w:br w:type="page"/>
      </w:r>
    </w:p>
    <w:p w:rsidR="002C4B48" w:rsidRPr="002C4B48" w:rsidRDefault="002C4B48" w:rsidP="00530A65">
      <w:pPr>
        <w:pStyle w:val="Heading3"/>
      </w:pPr>
      <w:bookmarkStart w:id="48" w:name="_Toc424755457"/>
      <w:bookmarkStart w:id="49" w:name="_Toc433713867"/>
      <w:r w:rsidRPr="002C4B48">
        <w:lastRenderedPageBreak/>
        <w:t>Expanded surveillance and intelligence</w:t>
      </w:r>
      <w:bookmarkEnd w:id="48"/>
      <w:bookmarkEnd w:id="49"/>
    </w:p>
    <w:p w:rsidR="002C4B48" w:rsidRPr="002C4B48" w:rsidRDefault="002C4B48" w:rsidP="002C4B48">
      <w:r w:rsidRPr="002C4B48">
        <w:t>The department is expand</w:t>
      </w:r>
      <w:r w:rsidR="00115781">
        <w:t>ing</w:t>
      </w:r>
      <w:r w:rsidRPr="002C4B48">
        <w:t xml:space="preserve"> its border surveillance and intelligence activities. This includes additional general surveillance, enhanced trapping and testing, and the implementation of a nationally consistent regime for collecting, analysing and disseminating biosecurity intelligence.</w:t>
      </w:r>
    </w:p>
    <w:p w:rsidR="002C4B48" w:rsidRPr="002C4B48" w:rsidRDefault="002C4B48" w:rsidP="002C4B48">
      <w:r w:rsidRPr="002C4B48">
        <w:t xml:space="preserve">The growing volume, range and composition of imported goods has increased the biosecurity risks posed to Australia. The department needs new capacity and capability to ensure that surveillance activities continue to be effective. Improved surveillance and intelligence is required to minimise the risk of incursions and prevent harm to Australia’s agricultural production or environment. The information gained from these activities also allows the department to continue </w:t>
      </w:r>
      <w:proofErr w:type="gramStart"/>
      <w:r w:rsidRPr="002C4B48">
        <w:t>to effectively target</w:t>
      </w:r>
      <w:proofErr w:type="gramEnd"/>
      <w:r w:rsidRPr="002C4B48">
        <w:t xml:space="preserve"> biosecurity activities across the biosecurity continuum.</w:t>
      </w:r>
    </w:p>
    <w:p w:rsidR="002C4B48" w:rsidRPr="002C4B48" w:rsidRDefault="002C4B48" w:rsidP="00530A65">
      <w:pPr>
        <w:pStyle w:val="Heading3"/>
      </w:pPr>
      <w:bookmarkStart w:id="50" w:name="_Toc424755458"/>
      <w:bookmarkStart w:id="51" w:name="_Toc433713868"/>
      <w:r w:rsidRPr="002C4B48">
        <w:t>Expanded pre-border compliance and verification</w:t>
      </w:r>
      <w:bookmarkEnd w:id="50"/>
      <w:bookmarkEnd w:id="51"/>
    </w:p>
    <w:p w:rsidR="002C4B48" w:rsidRPr="002C4B48" w:rsidRDefault="002C4B48" w:rsidP="002C4B48">
      <w:r w:rsidRPr="002C4B48">
        <w:t>The department is increas</w:t>
      </w:r>
      <w:r w:rsidR="00115781">
        <w:t>ing</w:t>
      </w:r>
      <w:r w:rsidRPr="002C4B48">
        <w:t xml:space="preserve"> assessment and audit activities of the systems that manage biosecurity risk in exporting countries.</w:t>
      </w:r>
    </w:p>
    <w:p w:rsidR="002C4B48" w:rsidRPr="002C4B48" w:rsidRDefault="002C4B48" w:rsidP="002C4B48">
      <w:r w:rsidRPr="002C4B48">
        <w:t xml:space="preserve">The nature and volume of biosecurity risks of imported goods arriving in Australia are continuing to grow to increasing volumes of imports and complexity with global food and agricultural production and manufacturing systems. For example, milk products </w:t>
      </w:r>
      <w:proofErr w:type="gramStart"/>
      <w:r w:rsidRPr="002C4B48">
        <w:t>are used</w:t>
      </w:r>
      <w:proofErr w:type="gramEnd"/>
      <w:r w:rsidRPr="002C4B48">
        <w:t xml:space="preserve"> in a range of products and may be sourced from multiple countries, each with different biosecurity risks. The manufacturing, transport and storage of products may also involve multiple countries and exposure to multiple biosecurity risks.</w:t>
      </w:r>
    </w:p>
    <w:p w:rsidR="002C4B48" w:rsidRPr="002C4B48" w:rsidRDefault="002C4B48" w:rsidP="002C4B48">
      <w:r w:rsidRPr="002C4B48">
        <w:t xml:space="preserve">It is essential that biosecurity risk </w:t>
      </w:r>
      <w:proofErr w:type="gramStart"/>
      <w:r w:rsidRPr="002C4B48">
        <w:t>is</w:t>
      </w:r>
      <w:proofErr w:type="gramEnd"/>
      <w:r w:rsidRPr="002C4B48">
        <w:t xml:space="preserve"> managed effectively in exporting countries. The systematic management of risk prior to goods arriving into Australia is more effective than doing so through border inspections. By increasing pre-border compliance activities, the department </w:t>
      </w:r>
      <w:r w:rsidRPr="002C4B48">
        <w:lastRenderedPageBreak/>
        <w:t xml:space="preserve">will reduce its reliance on border intervention. This means biosecurity risks </w:t>
      </w:r>
      <w:proofErr w:type="gramStart"/>
      <w:r w:rsidRPr="002C4B48">
        <w:t>are effectively addressed</w:t>
      </w:r>
      <w:proofErr w:type="gramEnd"/>
      <w:r w:rsidRPr="002C4B48">
        <w:t>, while at the same time the regulatory burden for importers is minimised and goods are cleared in a timely fashion.</w:t>
      </w:r>
    </w:p>
    <w:p w:rsidR="002C4B48" w:rsidRPr="002C4B48" w:rsidRDefault="002C4B48" w:rsidP="00530A65">
      <w:pPr>
        <w:pStyle w:val="Heading2"/>
      </w:pPr>
      <w:bookmarkStart w:id="52" w:name="_Toc424627605"/>
      <w:bookmarkStart w:id="53" w:name="_Toc424755459"/>
      <w:bookmarkStart w:id="54" w:name="_Toc433713869"/>
      <w:r w:rsidRPr="002C4B48">
        <w:lastRenderedPageBreak/>
        <w:t>Cost recovery methodology</w:t>
      </w:r>
      <w:bookmarkEnd w:id="52"/>
      <w:bookmarkEnd w:id="53"/>
      <w:bookmarkEnd w:id="54"/>
    </w:p>
    <w:p w:rsidR="002C4B48" w:rsidRPr="002C4B48" w:rsidRDefault="002C4B48" w:rsidP="002C4B48">
      <w:pPr>
        <w:spacing w:after="120"/>
      </w:pPr>
      <w:r w:rsidRPr="002C4B48">
        <w:t>The department has applied a consistent methodology to determine the fees and levies in its biosecurity and export certification cost recovery arrangements. Determining fees and levies for each cost recovery arrangement is a four-step process:</w:t>
      </w:r>
    </w:p>
    <w:p w:rsidR="002C4B48" w:rsidRPr="002C4B48" w:rsidRDefault="002C4B48" w:rsidP="002C4B48">
      <w:pPr>
        <w:numPr>
          <w:ilvl w:val="0"/>
          <w:numId w:val="17"/>
        </w:numPr>
      </w:pPr>
      <w:r w:rsidRPr="002C4B48">
        <w:t>Determine the cost base.</w:t>
      </w:r>
    </w:p>
    <w:p w:rsidR="002C4B48" w:rsidRPr="002C4B48" w:rsidRDefault="002C4B48" w:rsidP="002C4B48">
      <w:pPr>
        <w:numPr>
          <w:ilvl w:val="0"/>
          <w:numId w:val="17"/>
        </w:numPr>
      </w:pPr>
      <w:r w:rsidRPr="002C4B48">
        <w:t>Incorporate the cost base into a consistent activity based cost model.</w:t>
      </w:r>
    </w:p>
    <w:p w:rsidR="002C4B48" w:rsidRPr="002C4B48" w:rsidRDefault="002C4B48" w:rsidP="002C4B48">
      <w:pPr>
        <w:numPr>
          <w:ilvl w:val="0"/>
          <w:numId w:val="17"/>
        </w:numPr>
      </w:pPr>
      <w:r w:rsidRPr="002C4B48">
        <w:t>Establish charges and forecast volumes.</w:t>
      </w:r>
    </w:p>
    <w:p w:rsidR="002C4B48" w:rsidRPr="002C4B48" w:rsidRDefault="002C4B48" w:rsidP="002C4B48">
      <w:pPr>
        <w:numPr>
          <w:ilvl w:val="0"/>
          <w:numId w:val="17"/>
        </w:numPr>
      </w:pPr>
      <w:r w:rsidRPr="002C4B48">
        <w:t>Calculate prices for fees and levies using the cost model and volumes.</w:t>
      </w:r>
    </w:p>
    <w:p w:rsidR="002C4B48" w:rsidRPr="002C4B48" w:rsidRDefault="002C4B48" w:rsidP="002C4B48">
      <w:r w:rsidRPr="002C4B48">
        <w:t xml:space="preserve">The department’s new cost recovery model used in the redesign is consistent with the principles and processes set out in the CRGs. Although the model is new, it </w:t>
      </w:r>
      <w:proofErr w:type="gramStart"/>
      <w:r w:rsidRPr="002C4B48">
        <w:t>is based</w:t>
      </w:r>
      <w:proofErr w:type="gramEnd"/>
      <w:r w:rsidRPr="002C4B48">
        <w:t xml:space="preserve"> on previous activity based costing models. These models have been developed and improved over the time the department has undertaken cost recovery.</w:t>
      </w:r>
    </w:p>
    <w:p w:rsidR="002C4B48" w:rsidRPr="002C4B48" w:rsidRDefault="002C4B48" w:rsidP="00530A65">
      <w:pPr>
        <w:pStyle w:val="Heading3"/>
      </w:pPr>
      <w:bookmarkStart w:id="55" w:name="_Toc424627606"/>
      <w:bookmarkStart w:id="56" w:name="_Toc424755460"/>
      <w:bookmarkStart w:id="57" w:name="_Toc433713870"/>
      <w:bookmarkStart w:id="58" w:name="_Toc417047920"/>
      <w:r w:rsidRPr="002C4B48">
        <w:t>Determining the cost base</w:t>
      </w:r>
      <w:bookmarkEnd w:id="55"/>
      <w:bookmarkEnd w:id="56"/>
      <w:bookmarkEnd w:id="57"/>
      <w:r w:rsidRPr="002C4B48">
        <w:t xml:space="preserve"> </w:t>
      </w:r>
      <w:bookmarkEnd w:id="58"/>
    </w:p>
    <w:p w:rsidR="002C4B48" w:rsidRPr="002C4B48" w:rsidRDefault="002C4B48" w:rsidP="002C4B48">
      <w:pPr>
        <w:spacing w:after="120"/>
      </w:pPr>
      <w:r w:rsidRPr="002C4B48">
        <w:t xml:space="preserve">The department’s 2014–15 budget </w:t>
      </w:r>
      <w:proofErr w:type="gramStart"/>
      <w:r w:rsidRPr="002C4B48">
        <w:t>has been used</w:t>
      </w:r>
      <w:proofErr w:type="gramEnd"/>
      <w:r w:rsidRPr="002C4B48">
        <w:t xml:space="preserve"> as the starting point for determining the cost base. It </w:t>
      </w:r>
      <w:proofErr w:type="gramStart"/>
      <w:r w:rsidRPr="002C4B48">
        <w:t>is drawn</w:t>
      </w:r>
      <w:proofErr w:type="gramEnd"/>
      <w:r w:rsidRPr="002C4B48">
        <w:t xml:space="preserve"> from the department’s Financial Management Information System (FMIS) and is made up of three types of costs:</w:t>
      </w:r>
    </w:p>
    <w:p w:rsidR="002C4B48" w:rsidRPr="002C4B48" w:rsidRDefault="002C4B48" w:rsidP="002C4B48">
      <w:pPr>
        <w:numPr>
          <w:ilvl w:val="0"/>
          <w:numId w:val="2"/>
        </w:numPr>
        <w:spacing w:before="120" w:after="120"/>
      </w:pPr>
      <w:r w:rsidRPr="002C4B48">
        <w:t xml:space="preserve">Direct expenses—these </w:t>
      </w:r>
      <w:proofErr w:type="gramStart"/>
      <w:r w:rsidRPr="002C4B48">
        <w:t>can be traced</w:t>
      </w:r>
      <w:proofErr w:type="gramEnd"/>
      <w:r w:rsidRPr="002C4B48">
        <w:t xml:space="preserve"> to the provision of an activity, for example inspections. Direct expenses include staff salaries and supplier costs.</w:t>
      </w:r>
    </w:p>
    <w:p w:rsidR="002C4B48" w:rsidRPr="002C4B48" w:rsidRDefault="002C4B48" w:rsidP="002C4B48">
      <w:pPr>
        <w:numPr>
          <w:ilvl w:val="0"/>
          <w:numId w:val="2"/>
        </w:numPr>
        <w:spacing w:before="120" w:after="120"/>
      </w:pPr>
      <w:r w:rsidRPr="002C4B48">
        <w:t xml:space="preserve">Indirect expenses—these </w:t>
      </w:r>
      <w:proofErr w:type="gramStart"/>
      <w:r w:rsidRPr="002C4B48">
        <w:t>are not easily linked</w:t>
      </w:r>
      <w:proofErr w:type="gramEnd"/>
      <w:r w:rsidRPr="002C4B48">
        <w:t xml:space="preserve"> to an activity provided by the department. Indirect expenses include corporate employee salaries and overheads such as information technology, finance and human resources costs.</w:t>
      </w:r>
    </w:p>
    <w:p w:rsidR="002C4B48" w:rsidRPr="002C4B48" w:rsidRDefault="002C4B48" w:rsidP="002C4B48">
      <w:pPr>
        <w:numPr>
          <w:ilvl w:val="0"/>
          <w:numId w:val="2"/>
        </w:numPr>
        <w:spacing w:before="120" w:after="120"/>
      </w:pPr>
      <w:r w:rsidRPr="002C4B48">
        <w:t>Capital expenses—this includes plant, property and depreciation.</w:t>
      </w:r>
    </w:p>
    <w:p w:rsidR="002C4B48" w:rsidRPr="002C4B48" w:rsidRDefault="002C4B48" w:rsidP="002C4B48">
      <w:r w:rsidRPr="002C4B48">
        <w:lastRenderedPageBreak/>
        <w:t xml:space="preserve">Indirect expenses </w:t>
      </w:r>
      <w:proofErr w:type="gramStart"/>
      <w:r w:rsidRPr="002C4B48">
        <w:t>are allocated</w:t>
      </w:r>
      <w:proofErr w:type="gramEnd"/>
      <w:r w:rsidRPr="002C4B48">
        <w:t xml:space="preserve"> to activities using appropriate drivers in the FMIS costing methodology, such as the number of full time equivalents (FTE) of staff and information technology assets. Effort surveys and the use of the departmental cost drivers provides a consistent approach for allocating expenses into the activity based cost model across all of the department’s cost recovery arrangements.</w:t>
      </w:r>
    </w:p>
    <w:p w:rsidR="002C4B48" w:rsidRPr="002C4B48" w:rsidRDefault="002C4B48" w:rsidP="002C4B48">
      <w:r w:rsidRPr="002C4B48">
        <w:t xml:space="preserve">To project the cost base over the next four years, adjustments </w:t>
      </w:r>
      <w:proofErr w:type="gramStart"/>
      <w:r w:rsidRPr="002C4B48">
        <w:t>have been applied</w:t>
      </w:r>
      <w:proofErr w:type="gramEnd"/>
      <w:r w:rsidRPr="002C4B48">
        <w:t xml:space="preserve"> to capture expected changes to the costs. These changes </w:t>
      </w:r>
      <w:proofErr w:type="gramStart"/>
      <w:r w:rsidRPr="002C4B48">
        <w:t>have not yet been captured</w:t>
      </w:r>
      <w:proofErr w:type="gramEnd"/>
      <w:r w:rsidRPr="002C4B48">
        <w:t xml:space="preserve"> in the department’s FMIS. Reductions in cost will arise from reforms such as service delivery modernisation, while factors such as inflation on supplier expenses and new capital items will increase cost.</w:t>
      </w:r>
    </w:p>
    <w:p w:rsidR="002C4B48" w:rsidRPr="002C4B48" w:rsidRDefault="002C4B48" w:rsidP="00530A65">
      <w:pPr>
        <w:pStyle w:val="Heading3"/>
      </w:pPr>
      <w:bookmarkStart w:id="59" w:name="_Toc424627607"/>
      <w:bookmarkStart w:id="60" w:name="_Toc424755461"/>
      <w:bookmarkStart w:id="61" w:name="_Toc433713871"/>
      <w:r w:rsidRPr="002C4B48">
        <w:t>Activity-based cost model</w:t>
      </w:r>
      <w:bookmarkEnd w:id="59"/>
      <w:bookmarkEnd w:id="60"/>
      <w:bookmarkEnd w:id="61"/>
    </w:p>
    <w:p w:rsidR="002C4B48" w:rsidRPr="002C4B48" w:rsidRDefault="002C4B48" w:rsidP="002C4B48">
      <w:r w:rsidRPr="002C4B48">
        <w:t xml:space="preserve">The department’s cost recovery model consists of 17 activities divided into four groups (as shown in Figure 1). The activities and groups </w:t>
      </w:r>
      <w:proofErr w:type="gramStart"/>
      <w:r w:rsidRPr="002C4B48">
        <w:t>are based</w:t>
      </w:r>
      <w:proofErr w:type="gramEnd"/>
      <w:r w:rsidRPr="002C4B48">
        <w:t xml:space="preserve"> on the department’s business service catalogue of activities. The business service catalogue provides consistent descriptions of the department’s activities and underpins a range of reforms across the department. The cost model ensures that fees or levies collect similar costs consistently across all biosecurity and export cost recovery arrangements.</w:t>
      </w:r>
    </w:p>
    <w:p w:rsidR="002C4B48" w:rsidRPr="002C4B48" w:rsidRDefault="002C4B48" w:rsidP="002C4B48">
      <w:r w:rsidRPr="002C4B48">
        <w:t xml:space="preserve">The four groups of activities in Figure 1 determine how the costs of that activity </w:t>
      </w:r>
      <w:proofErr w:type="gramStart"/>
      <w:r w:rsidRPr="002C4B48">
        <w:t>are recovered</w:t>
      </w:r>
      <w:proofErr w:type="gramEnd"/>
      <w:r w:rsidRPr="002C4B48">
        <w:t xml:space="preserve">. The costs associated with programme management and administration, assurance and incident management activities </w:t>
      </w:r>
      <w:proofErr w:type="gramStart"/>
      <w:r w:rsidRPr="002C4B48">
        <w:t>are recovered</w:t>
      </w:r>
      <w:proofErr w:type="gramEnd"/>
      <w:r w:rsidRPr="002C4B48">
        <w:t xml:space="preserve"> through levies. Levies recover costs of activities provided to a group of individuals, businesses or organisations. The costs associated with the intervention activities </w:t>
      </w:r>
      <w:proofErr w:type="gramStart"/>
      <w:r w:rsidRPr="002C4B48">
        <w:t>are recovered</w:t>
      </w:r>
      <w:proofErr w:type="gramEnd"/>
      <w:r w:rsidRPr="002C4B48">
        <w:t xml:space="preserve"> through fees. A fee applies to those activities provided directly to an individual, business or organisation. This application of fees and levies aligns with the CRGs.</w:t>
      </w:r>
    </w:p>
    <w:p w:rsidR="002C4B48" w:rsidRPr="002C4B48" w:rsidRDefault="002C4B48" w:rsidP="002C4B48">
      <w:pPr>
        <w:keepNext/>
        <w:spacing w:before="120" w:after="0"/>
        <w:rPr>
          <w:b/>
          <w:bCs/>
          <w:color w:val="548DD4"/>
          <w:szCs w:val="18"/>
        </w:rPr>
      </w:pPr>
      <w:bookmarkStart w:id="62" w:name="_Ref419115401"/>
      <w:bookmarkStart w:id="63" w:name="_Ref419115396"/>
      <w:r w:rsidRPr="002C4B48">
        <w:rPr>
          <w:b/>
          <w:bCs/>
          <w:color w:val="548DD4"/>
          <w:szCs w:val="18"/>
        </w:rPr>
        <w:lastRenderedPageBreak/>
        <w:t xml:space="preserve">Figure </w:t>
      </w:r>
      <w:r w:rsidRPr="002C4B48">
        <w:rPr>
          <w:b/>
          <w:bCs/>
          <w:color w:val="548DD4"/>
          <w:szCs w:val="18"/>
        </w:rPr>
        <w:fldChar w:fldCharType="begin"/>
      </w:r>
      <w:r w:rsidRPr="002C4B48">
        <w:rPr>
          <w:b/>
          <w:bCs/>
          <w:color w:val="548DD4"/>
          <w:szCs w:val="18"/>
        </w:rPr>
        <w:instrText xml:space="preserve"> SEQ Figure \* ARABIC </w:instrText>
      </w:r>
      <w:r w:rsidRPr="002C4B48">
        <w:rPr>
          <w:b/>
          <w:bCs/>
          <w:color w:val="548DD4"/>
          <w:szCs w:val="18"/>
        </w:rPr>
        <w:fldChar w:fldCharType="separate"/>
      </w:r>
      <w:r w:rsidR="00CF2C84">
        <w:rPr>
          <w:b/>
          <w:bCs/>
          <w:noProof/>
          <w:color w:val="548DD4"/>
          <w:szCs w:val="18"/>
        </w:rPr>
        <w:t>1</w:t>
      </w:r>
      <w:r w:rsidRPr="002C4B48">
        <w:rPr>
          <w:b/>
          <w:bCs/>
          <w:noProof/>
          <w:color w:val="548DD4"/>
          <w:szCs w:val="18"/>
        </w:rPr>
        <w:fldChar w:fldCharType="end"/>
      </w:r>
      <w:r w:rsidRPr="002C4B48">
        <w:rPr>
          <w:b/>
          <w:bCs/>
          <w:color w:val="548DD4"/>
          <w:szCs w:val="18"/>
        </w:rPr>
        <w:t>: The department's activity base cost model</w:t>
      </w:r>
    </w:p>
    <w:bookmarkEnd w:id="62"/>
    <w:bookmarkEnd w:id="63"/>
    <w:p w:rsidR="002C4B48" w:rsidRPr="002C4B48" w:rsidRDefault="002C4B48" w:rsidP="002C4B48">
      <w:pPr>
        <w:spacing w:before="120" w:after="360"/>
        <w:rPr>
          <w:b/>
          <w:i/>
          <w:sz w:val="24"/>
          <w:szCs w:val="20"/>
        </w:rPr>
      </w:pPr>
      <w:r w:rsidRPr="002C4B48">
        <w:rPr>
          <w:b/>
          <w:i/>
          <w:noProof/>
          <w:sz w:val="24"/>
          <w:szCs w:val="20"/>
          <w:lang w:eastAsia="en-AU"/>
        </w:rPr>
        <w:drawing>
          <wp:inline distT="0" distB="0" distL="0" distR="0" wp14:anchorId="280946C3" wp14:editId="06EC71D9">
            <wp:extent cx="5697220" cy="3607435"/>
            <wp:effectExtent l="0" t="0" r="0" b="0"/>
            <wp:docPr id="8" name="Picture 39" descr="Figure 1: The department's activity base cos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97220" cy="3607435"/>
                    </a:xfrm>
                    <a:prstGeom prst="rect">
                      <a:avLst/>
                    </a:prstGeom>
                    <a:noFill/>
                    <a:ln>
                      <a:noFill/>
                    </a:ln>
                  </pic:spPr>
                </pic:pic>
              </a:graphicData>
            </a:graphic>
          </wp:inline>
        </w:drawing>
      </w:r>
    </w:p>
    <w:p w:rsidR="002C4B48" w:rsidRPr="002C4B48" w:rsidRDefault="002C4B48" w:rsidP="00530A65">
      <w:pPr>
        <w:pStyle w:val="Heading3"/>
      </w:pPr>
      <w:bookmarkStart w:id="64" w:name="_Toc433713872"/>
      <w:r w:rsidRPr="002C4B48">
        <w:t>Activities undertaken for the biosecurity cost recovery arrangement</w:t>
      </w:r>
      <w:bookmarkEnd w:id="64"/>
    </w:p>
    <w:p w:rsidR="002C4B48" w:rsidRPr="002C4B48" w:rsidRDefault="002C4B48" w:rsidP="002C4B48">
      <w:r w:rsidRPr="002C4B48">
        <w:t xml:space="preserve">The biosecurity cost recovery arrangement incurs costs in all 17 activities under the department’s cost model. A description of the activities relevant to biosecurity is at </w:t>
      </w:r>
      <w:r w:rsidRPr="002C4B48">
        <w:rPr>
          <w:b/>
        </w:rPr>
        <w:t>Attachment B</w:t>
      </w:r>
      <w:r w:rsidRPr="002C4B48">
        <w:t xml:space="preserve">. The estimated amounts that will be collected under each relevant activity in the biosecurity cost recovery arrangement for the </w:t>
      </w:r>
      <w:proofErr w:type="gramStart"/>
      <w:r w:rsidRPr="002C4B48">
        <w:t>four year</w:t>
      </w:r>
      <w:proofErr w:type="gramEnd"/>
      <w:r w:rsidRPr="002C4B48">
        <w:t xml:space="preserve"> period beginning 2015–16 are presented in Section 6.</w:t>
      </w:r>
    </w:p>
    <w:p w:rsidR="002C4B48" w:rsidRPr="002C4B48" w:rsidRDefault="002C4B48" w:rsidP="00530A65">
      <w:pPr>
        <w:pStyle w:val="Heading3"/>
      </w:pPr>
      <w:bookmarkStart w:id="65" w:name="_Toc424627608"/>
      <w:bookmarkStart w:id="66" w:name="_Toc424755462"/>
      <w:bookmarkStart w:id="67" w:name="_Toc433713873"/>
      <w:bookmarkStart w:id="68" w:name="OLE_LINK9"/>
      <w:bookmarkStart w:id="69" w:name="OLE_LINK10"/>
      <w:r w:rsidRPr="002C4B48">
        <w:t>Volumetric forecasts</w:t>
      </w:r>
      <w:bookmarkEnd w:id="65"/>
      <w:bookmarkEnd w:id="66"/>
      <w:bookmarkEnd w:id="67"/>
    </w:p>
    <w:p w:rsidR="002C4B48" w:rsidRPr="002C4B48" w:rsidRDefault="002C4B48" w:rsidP="002C4B48">
      <w:pPr>
        <w:rPr>
          <w:lang w:eastAsia="en-AU"/>
        </w:rPr>
      </w:pPr>
      <w:r w:rsidRPr="002C4B48">
        <w:rPr>
          <w:lang w:eastAsia="en-AU"/>
        </w:rPr>
        <w:t xml:space="preserve">The demand for the department’s services drives costs and hence the level of revenue required to recover those costs. The forecast volumes of services, such as certificates issued, premises registered, or volumes of trade are required to calculate the price of fees and levies. To incorporate volume changes into projected prices, the department maintains a volume forecast model. This uses historical volumes of imports </w:t>
      </w:r>
      <w:r w:rsidRPr="002C4B48">
        <w:rPr>
          <w:lang w:eastAsia="en-AU"/>
        </w:rPr>
        <w:lastRenderedPageBreak/>
        <w:t>and predicts future market conditions and their likely impact on demand for the department’s activities.</w:t>
      </w:r>
    </w:p>
    <w:p w:rsidR="002C4B48" w:rsidRPr="002C4B48" w:rsidRDefault="002C4B48" w:rsidP="002C4B48">
      <w:pPr>
        <w:keepNext/>
        <w:rPr>
          <w:lang w:eastAsia="en-AU"/>
        </w:rPr>
      </w:pPr>
      <w:r w:rsidRPr="002C4B48">
        <w:rPr>
          <w:lang w:eastAsia="en-AU"/>
        </w:rPr>
        <w:t>The volumetric model:</w:t>
      </w:r>
    </w:p>
    <w:p w:rsidR="002C4B48" w:rsidRPr="002C4B48" w:rsidRDefault="002C4B48" w:rsidP="002C4B48">
      <w:pPr>
        <w:numPr>
          <w:ilvl w:val="0"/>
          <w:numId w:val="2"/>
        </w:numPr>
        <w:spacing w:before="120" w:after="120"/>
      </w:pPr>
      <w:r w:rsidRPr="002C4B48">
        <w:t>uses Australian Bureau of Agricultural and Resource Economics and Sciences (ABARES) analysis to forecast the impact of macro-economic drivers on historical volumes</w:t>
      </w:r>
    </w:p>
    <w:p w:rsidR="002C4B48" w:rsidRPr="002C4B48" w:rsidRDefault="002C4B48" w:rsidP="002C4B48">
      <w:pPr>
        <w:numPr>
          <w:ilvl w:val="0"/>
          <w:numId w:val="2"/>
        </w:numPr>
        <w:spacing w:before="120" w:after="120"/>
      </w:pPr>
      <w:r w:rsidRPr="002C4B48">
        <w:t>incorporates industry forecasts and the ABARES commodity forecasts</w:t>
      </w:r>
    </w:p>
    <w:p w:rsidR="002C4B48" w:rsidRPr="002C4B48" w:rsidRDefault="002C4B48" w:rsidP="002C4B48">
      <w:pPr>
        <w:numPr>
          <w:ilvl w:val="0"/>
          <w:numId w:val="2"/>
        </w:numPr>
        <w:spacing w:before="120" w:after="120"/>
      </w:pPr>
      <w:proofErr w:type="gramStart"/>
      <w:r w:rsidRPr="002C4B48">
        <w:t>projects</w:t>
      </w:r>
      <w:proofErr w:type="gramEnd"/>
      <w:r w:rsidRPr="002C4B48">
        <w:t xml:space="preserve"> the effect of changes to business processes on historical trends, such as changes in regulation, service delivery, organisational structure and charging structures.</w:t>
      </w:r>
    </w:p>
    <w:p w:rsidR="002C4B48" w:rsidRPr="002C4B48" w:rsidRDefault="002C4B48" w:rsidP="002C4B48">
      <w:r w:rsidRPr="002C4B48">
        <w:t xml:space="preserve">External business information, which </w:t>
      </w:r>
      <w:proofErr w:type="gramStart"/>
      <w:r w:rsidRPr="002C4B48">
        <w:t>is provided</w:t>
      </w:r>
      <w:proofErr w:type="gramEnd"/>
      <w:r w:rsidRPr="002C4B48">
        <w:t xml:space="preserve"> through established industry consultative committees, is used to improve and test the volumetric forecasts.</w:t>
      </w:r>
    </w:p>
    <w:p w:rsidR="002C4B48" w:rsidRPr="002C4B48" w:rsidRDefault="002C4B48" w:rsidP="002C4B48">
      <w:r w:rsidRPr="002C4B48">
        <w:t xml:space="preserve">The volume forecasts as well as fees and levies </w:t>
      </w:r>
      <w:proofErr w:type="gramStart"/>
      <w:r w:rsidRPr="002C4B48">
        <w:t>are presented</w:t>
      </w:r>
      <w:proofErr w:type="gramEnd"/>
      <w:r w:rsidRPr="002C4B48">
        <w:t xml:space="preserve"> in </w:t>
      </w:r>
      <w:r w:rsidRPr="002C4B48">
        <w:rPr>
          <w:b/>
        </w:rPr>
        <w:t>Attachment A</w:t>
      </w:r>
      <w:r w:rsidRPr="002C4B48">
        <w:t>.</w:t>
      </w:r>
      <w:bookmarkStart w:id="70" w:name="_Toc424755463"/>
      <w:bookmarkEnd w:id="68"/>
      <w:bookmarkEnd w:id="69"/>
    </w:p>
    <w:p w:rsidR="002C4B48" w:rsidRPr="002C4B48" w:rsidRDefault="002C4B48" w:rsidP="00530A65">
      <w:pPr>
        <w:pStyle w:val="Heading3"/>
      </w:pPr>
      <w:bookmarkStart w:id="71" w:name="_Toc428176301"/>
      <w:bookmarkStart w:id="72" w:name="_Toc433713874"/>
      <w:r w:rsidRPr="002C4B48">
        <w:t>Cost recovery reserve</w:t>
      </w:r>
      <w:bookmarkEnd w:id="71"/>
      <w:bookmarkEnd w:id="72"/>
    </w:p>
    <w:p w:rsidR="002C4B48" w:rsidRPr="002C4B48" w:rsidRDefault="002C4B48" w:rsidP="002C4B48">
      <w:r w:rsidRPr="002C4B48">
        <w:t>The department has revised its cost recovery reserve (previously industry reserve) policy to assist with managing the alignment of revenue and expenses. This has meant changing the policy from maintaining a balance of between two and ten percent of annual programme expenditure to a balance of between zero and five percent of annual programme expenditure.</w:t>
      </w:r>
    </w:p>
    <w:p w:rsidR="002C4B48" w:rsidRPr="002C4B48" w:rsidRDefault="002C4B48" w:rsidP="002C4B48">
      <w:r w:rsidRPr="002C4B48">
        <w:t xml:space="preserve">Closer management of the financial performance of arrangements may lead </w:t>
      </w:r>
      <w:proofErr w:type="gramStart"/>
      <w:r w:rsidRPr="002C4B48">
        <w:t>to more frequent adjustments to charges</w:t>
      </w:r>
      <w:proofErr w:type="gramEnd"/>
      <w:r w:rsidRPr="002C4B48">
        <w:t xml:space="preserve">. Subject to government approval, over recoveries </w:t>
      </w:r>
      <w:proofErr w:type="gramStart"/>
      <w:r w:rsidRPr="002C4B48">
        <w:t>may be managed</w:t>
      </w:r>
      <w:proofErr w:type="gramEnd"/>
      <w:r w:rsidRPr="002C4B48">
        <w:t xml:space="preserve"> through remittance, or investment initiatives.</w:t>
      </w:r>
    </w:p>
    <w:p w:rsidR="002C4B48" w:rsidRPr="002C4B48" w:rsidRDefault="002C4B48" w:rsidP="002C4B48">
      <w:r w:rsidRPr="002C4B48">
        <w:t xml:space="preserve">A single reserve </w:t>
      </w:r>
      <w:proofErr w:type="gramStart"/>
      <w:r w:rsidRPr="002C4B48">
        <w:t>will be maintained</w:t>
      </w:r>
      <w:proofErr w:type="gramEnd"/>
      <w:r w:rsidRPr="002C4B48">
        <w:t xml:space="preserve"> for each cost recovery arrangement.</w:t>
      </w:r>
    </w:p>
    <w:p w:rsidR="002C4B48" w:rsidRPr="002C4B48" w:rsidRDefault="002C4B48" w:rsidP="00530A65">
      <w:pPr>
        <w:pStyle w:val="Heading2"/>
      </w:pPr>
      <w:bookmarkStart w:id="73" w:name="_Toc433713875"/>
      <w:r w:rsidRPr="002C4B48">
        <w:lastRenderedPageBreak/>
        <w:t>Cost base</w:t>
      </w:r>
      <w:bookmarkEnd w:id="70"/>
      <w:bookmarkEnd w:id="73"/>
    </w:p>
    <w:p w:rsidR="002C4B48" w:rsidRPr="002C4B48" w:rsidRDefault="002C4B48" w:rsidP="002C4B48">
      <w:r w:rsidRPr="002C4B48">
        <w:t xml:space="preserve">The following information on the biosecurity arrangement cost base is </w:t>
      </w:r>
      <w:proofErr w:type="gramStart"/>
      <w:r w:rsidRPr="002C4B48">
        <w:t>provided</w:t>
      </w:r>
      <w:proofErr w:type="gramEnd"/>
      <w:r w:rsidRPr="002C4B48">
        <w:t xml:space="preserve"> as a four-year average from 2015–16 to 2018–19.</w:t>
      </w:r>
    </w:p>
    <w:p w:rsidR="002C4B48" w:rsidRPr="002C4B48" w:rsidRDefault="002C4B48" w:rsidP="00530A65">
      <w:pPr>
        <w:pStyle w:val="Heading3"/>
      </w:pPr>
      <w:bookmarkStart w:id="74" w:name="_Toc424627610"/>
      <w:bookmarkStart w:id="75" w:name="_Toc424755464"/>
      <w:bookmarkStart w:id="76" w:name="_Toc433713876"/>
      <w:r w:rsidRPr="002C4B48">
        <w:t>Projected cost base</w:t>
      </w:r>
      <w:bookmarkEnd w:id="74"/>
      <w:bookmarkEnd w:id="75"/>
      <w:bookmarkEnd w:id="76"/>
    </w:p>
    <w:p w:rsidR="002C4B48" w:rsidRPr="002C4B48" w:rsidRDefault="002C4B48" w:rsidP="002C4B48">
      <w:r w:rsidRPr="002C4B48">
        <w:t xml:space="preserve">Figure 2 presents costs for the biosecurity arrangement by cost activity, attributed through the cost model presented in Section 5. A detailed description of cost activities </w:t>
      </w:r>
      <w:proofErr w:type="gramStart"/>
      <w:r w:rsidRPr="002C4B48">
        <w:t>is provided</w:t>
      </w:r>
      <w:proofErr w:type="gramEnd"/>
      <w:r w:rsidRPr="002C4B48">
        <w:t xml:space="preserve"> in </w:t>
      </w:r>
      <w:r w:rsidRPr="002C4B48">
        <w:rPr>
          <w:b/>
        </w:rPr>
        <w:t>Attachment B</w:t>
      </w:r>
      <w:r w:rsidRPr="002C4B48">
        <w:t>.</w:t>
      </w:r>
    </w:p>
    <w:p w:rsidR="002C4B48" w:rsidRPr="002C4B48" w:rsidRDefault="002C4B48" w:rsidP="002C4B48">
      <w:pPr>
        <w:spacing w:before="120" w:after="0"/>
        <w:rPr>
          <w:b/>
          <w:bCs/>
          <w:color w:val="548DD4"/>
          <w:szCs w:val="18"/>
        </w:rPr>
      </w:pPr>
      <w:r w:rsidRPr="002C4B48">
        <w:rPr>
          <w:b/>
          <w:bCs/>
          <w:color w:val="548DD4"/>
          <w:szCs w:val="18"/>
        </w:rPr>
        <w:t xml:space="preserve">Figure </w:t>
      </w:r>
      <w:r w:rsidRPr="002C4B48">
        <w:rPr>
          <w:b/>
          <w:bCs/>
          <w:color w:val="548DD4"/>
          <w:szCs w:val="18"/>
        </w:rPr>
        <w:fldChar w:fldCharType="begin"/>
      </w:r>
      <w:r w:rsidRPr="002C4B48">
        <w:rPr>
          <w:b/>
          <w:bCs/>
          <w:color w:val="548DD4"/>
          <w:szCs w:val="18"/>
        </w:rPr>
        <w:instrText xml:space="preserve"> SEQ Figure \* ARABIC </w:instrText>
      </w:r>
      <w:r w:rsidRPr="002C4B48">
        <w:rPr>
          <w:b/>
          <w:bCs/>
          <w:color w:val="548DD4"/>
          <w:szCs w:val="18"/>
        </w:rPr>
        <w:fldChar w:fldCharType="separate"/>
      </w:r>
      <w:r w:rsidR="00CF2C84">
        <w:rPr>
          <w:b/>
          <w:bCs/>
          <w:noProof/>
          <w:color w:val="548DD4"/>
          <w:szCs w:val="18"/>
        </w:rPr>
        <w:t>2</w:t>
      </w:r>
      <w:r w:rsidRPr="002C4B48">
        <w:rPr>
          <w:b/>
          <w:bCs/>
          <w:noProof/>
          <w:color w:val="548DD4"/>
          <w:szCs w:val="18"/>
        </w:rPr>
        <w:fldChar w:fldCharType="end"/>
      </w:r>
      <w:r w:rsidRPr="002C4B48">
        <w:rPr>
          <w:b/>
          <w:bCs/>
          <w:color w:val="548DD4"/>
          <w:szCs w:val="18"/>
        </w:rPr>
        <w:t>: Biosecurity cost base (</w:t>
      </w:r>
      <w:proofErr w:type="gramStart"/>
      <w:r w:rsidRPr="002C4B48">
        <w:rPr>
          <w:b/>
          <w:bCs/>
          <w:color w:val="548DD4"/>
          <w:szCs w:val="18"/>
        </w:rPr>
        <w:t>four year</w:t>
      </w:r>
      <w:proofErr w:type="gramEnd"/>
      <w:r w:rsidRPr="002C4B48">
        <w:rPr>
          <w:b/>
          <w:bCs/>
          <w:color w:val="548DD4"/>
          <w:szCs w:val="18"/>
        </w:rPr>
        <w:t xml:space="preserve"> average, 2015–16 to 2018–19)</w:t>
      </w:r>
    </w:p>
    <w:p w:rsidR="002C4B48" w:rsidRPr="002C4B48" w:rsidRDefault="002C4B48" w:rsidP="002C4B48">
      <w:r w:rsidRPr="002C4B48">
        <w:rPr>
          <w:noProof/>
          <w:lang w:eastAsia="en-AU"/>
        </w:rPr>
        <w:drawing>
          <wp:inline distT="0" distB="0" distL="0" distR="0" wp14:anchorId="33128B58" wp14:editId="6978818A">
            <wp:extent cx="5707380" cy="3989070"/>
            <wp:effectExtent l="0" t="0" r="7620" b="0"/>
            <wp:docPr id="9" name="Picture 1" descr="Biosecurity activities (included imported food) costs an average of $229.9 million per year. &#10;Programme management and administration activities are projected to cost an average of $132.5 million per year. This consists of $110.8 million in workforce and business management costs, $400,000 in business systems administration costs, $6.8 million in stakeholder engagement costs, $10.8 million in policy and instructional material costs, and $3.7 million in business improvement costs.&#10;Assurance activities are projected to cost an average of $29.5 million per year. This consists of $15.2 million in risk management costs, $2.4 million in verification costs and $11.9 million in surveillance costs. &#10;Incident management activities are projected to cost an average of $4.1 million per year. This consists of $1.8 million in incident management costs, $800,000 in investigation support costs, and $1.5 million in corrective action costs.&#10;Intervention activities are projected to cost an average of $63.8 million per year. This consists of $17.3 million in assessment costs, $300,000 in issues approvals certification costs, $38.8 million in inspection costs, $1.3 million in treatments costs, $2.3 million in husbandry costs, and $3.8 million in audits costs.&#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security cost base averaged over four years from 2015-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07380" cy="3989070"/>
                    </a:xfrm>
                    <a:prstGeom prst="rect">
                      <a:avLst/>
                    </a:prstGeom>
                    <a:noFill/>
                    <a:ln>
                      <a:noFill/>
                    </a:ln>
                  </pic:spPr>
                </pic:pic>
              </a:graphicData>
            </a:graphic>
          </wp:inline>
        </w:drawing>
      </w:r>
    </w:p>
    <w:p w:rsidR="002C4B48" w:rsidRPr="002C4B48" w:rsidRDefault="002C4B48" w:rsidP="002C4B48">
      <w:r w:rsidRPr="002C4B48">
        <w:t xml:space="preserve">Table </w:t>
      </w:r>
      <w:proofErr w:type="gramStart"/>
      <w:r w:rsidRPr="002C4B48">
        <w:t>1</w:t>
      </w:r>
      <w:proofErr w:type="gramEnd"/>
      <w:r w:rsidRPr="002C4B48">
        <w:t xml:space="preserve"> breaks down costs for the biosecurity arrangement into direct, indirect and capital expenses.</w:t>
      </w:r>
    </w:p>
    <w:p w:rsidR="002C4B48" w:rsidRPr="002C4B48" w:rsidRDefault="002C4B48" w:rsidP="002C4B48">
      <w:r w:rsidRPr="002C4B48">
        <w:t xml:space="preserve">Direct expenses </w:t>
      </w:r>
      <w:proofErr w:type="gramStart"/>
      <w:r w:rsidRPr="002C4B48">
        <w:t>can be traced</w:t>
      </w:r>
      <w:proofErr w:type="gramEnd"/>
      <w:r w:rsidRPr="002C4B48">
        <w:t xml:space="preserve"> to the provision of an activity, for example inspections or audit. These include, but are not limited to, staff salaries and supplier costs.</w:t>
      </w:r>
    </w:p>
    <w:p w:rsidR="002C4B48" w:rsidRPr="002C4B48" w:rsidRDefault="002C4B48" w:rsidP="002C4B48">
      <w:r w:rsidRPr="002C4B48">
        <w:lastRenderedPageBreak/>
        <w:t xml:space="preserve">Indirect expenses (overhead expenses) </w:t>
      </w:r>
      <w:proofErr w:type="gramStart"/>
      <w:r w:rsidRPr="002C4B48">
        <w:t>are not easily linked</w:t>
      </w:r>
      <w:proofErr w:type="gramEnd"/>
      <w:r w:rsidRPr="002C4B48">
        <w:t xml:space="preserve"> to an activity provided by the department. These include corporate employee salaries and overheads such as information technology, finance and human resources costs.</w:t>
      </w:r>
    </w:p>
    <w:p w:rsidR="002C4B48" w:rsidRPr="002C4B48" w:rsidRDefault="002C4B48" w:rsidP="002C4B48">
      <w:r w:rsidRPr="002C4B48">
        <w:t>Capital expenses include plant, property and depreciation.</w:t>
      </w:r>
    </w:p>
    <w:p w:rsidR="002C4B48" w:rsidRPr="002C4B48" w:rsidRDefault="002C4B48" w:rsidP="002C4B48">
      <w:r w:rsidRPr="002C4B48">
        <w:br w:type="page"/>
      </w:r>
    </w:p>
    <w:p w:rsidR="002C4B48" w:rsidRPr="002C4B48" w:rsidRDefault="002C4B48" w:rsidP="002C4B48">
      <w:pPr>
        <w:keepNext/>
        <w:spacing w:before="120" w:after="0"/>
        <w:rPr>
          <w:b/>
          <w:bCs/>
          <w:color w:val="548DD4"/>
          <w:szCs w:val="18"/>
        </w:rPr>
      </w:pPr>
      <w:r w:rsidRPr="002C4B48">
        <w:rPr>
          <w:b/>
          <w:bCs/>
          <w:color w:val="548DD4"/>
          <w:szCs w:val="18"/>
        </w:rPr>
        <w:lastRenderedPageBreak/>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1</w:t>
      </w:r>
      <w:r w:rsidRPr="002C4B48">
        <w:rPr>
          <w:b/>
          <w:bCs/>
          <w:noProof/>
          <w:color w:val="548DD4"/>
          <w:szCs w:val="18"/>
        </w:rPr>
        <w:fldChar w:fldCharType="end"/>
      </w:r>
      <w:r w:rsidRPr="002C4B48">
        <w:rPr>
          <w:b/>
          <w:bCs/>
          <w:color w:val="548DD4"/>
          <w:szCs w:val="18"/>
        </w:rPr>
        <w:t>: Cost type breakdown (four year average, 2015–16 to 2018–19), biosecurity cost recovery arrangement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394"/>
      </w:tblGrid>
      <w:tr w:rsidR="002C4B48" w:rsidRPr="002C4B48" w:rsidTr="002C4B48">
        <w:tc>
          <w:tcPr>
            <w:tcW w:w="4820" w:type="dxa"/>
            <w:shd w:val="solid" w:color="DBE5F1" w:fill="C6D9F1"/>
            <w:vAlign w:val="center"/>
          </w:tcPr>
          <w:p w:rsidR="002C4B48" w:rsidRPr="002C4B48" w:rsidRDefault="002C4B48" w:rsidP="002C4B48">
            <w:pPr>
              <w:spacing w:after="0"/>
              <w:rPr>
                <w:b/>
                <w:bCs/>
                <w:sz w:val="20"/>
              </w:rPr>
            </w:pPr>
            <w:r w:rsidRPr="002C4B48">
              <w:rPr>
                <w:b/>
                <w:bCs/>
                <w:sz w:val="20"/>
              </w:rPr>
              <w:t>Expense</w:t>
            </w:r>
          </w:p>
        </w:tc>
        <w:tc>
          <w:tcPr>
            <w:tcW w:w="4394" w:type="dxa"/>
            <w:tcBorders>
              <w:bottom w:val="single" w:sz="4" w:space="0" w:color="auto"/>
            </w:tcBorders>
            <w:shd w:val="solid" w:color="DBE5F1" w:fill="C6D9F1"/>
            <w:vAlign w:val="center"/>
          </w:tcPr>
          <w:p w:rsidR="002C4B48" w:rsidRPr="002C4B48" w:rsidRDefault="002C4B48" w:rsidP="002C4B48">
            <w:pPr>
              <w:spacing w:after="0"/>
              <w:rPr>
                <w:b/>
                <w:bCs/>
                <w:sz w:val="20"/>
              </w:rPr>
            </w:pPr>
            <w:r w:rsidRPr="002C4B48">
              <w:rPr>
                <w:b/>
                <w:bCs/>
                <w:sz w:val="20"/>
              </w:rPr>
              <w:t>Forecast ($ millions)</w:t>
            </w:r>
          </w:p>
        </w:tc>
      </w:tr>
      <w:tr w:rsidR="002C4B48" w:rsidRPr="002C4B48" w:rsidTr="002C4B48">
        <w:tc>
          <w:tcPr>
            <w:tcW w:w="4820" w:type="dxa"/>
            <w:tcBorders>
              <w:top w:val="nil"/>
              <w:left w:val="single" w:sz="4" w:space="0" w:color="auto"/>
              <w:bottom w:val="single" w:sz="4" w:space="0" w:color="auto"/>
              <w:right w:val="nil"/>
            </w:tcBorders>
            <w:shd w:val="clear" w:color="auto" w:fill="auto"/>
            <w:vAlign w:val="center"/>
          </w:tcPr>
          <w:p w:rsidR="002C4B48" w:rsidRPr="002C4B48" w:rsidRDefault="002C4B48" w:rsidP="002C4B48">
            <w:pPr>
              <w:spacing w:after="0"/>
              <w:ind w:left="488"/>
              <w:rPr>
                <w:sz w:val="20"/>
              </w:rPr>
            </w:pPr>
            <w:r w:rsidRPr="002C4B48">
              <w:rPr>
                <w:sz w:val="20"/>
              </w:rPr>
              <w:t>Direct expenses</w:t>
            </w:r>
          </w:p>
        </w:tc>
        <w:tc>
          <w:tcPr>
            <w:tcW w:w="4394" w:type="dxa"/>
            <w:tcBorders>
              <w:top w:val="single" w:sz="4" w:space="0" w:color="auto"/>
              <w:left w:val="nil"/>
              <w:bottom w:val="single" w:sz="4" w:space="0" w:color="auto"/>
              <w:right w:val="single" w:sz="4" w:space="0" w:color="auto"/>
            </w:tcBorders>
            <w:shd w:val="clear" w:color="auto" w:fill="auto"/>
          </w:tcPr>
          <w:p w:rsidR="002C4B48" w:rsidRPr="002C4B48" w:rsidRDefault="002C4B48" w:rsidP="002C4B48">
            <w:pPr>
              <w:spacing w:after="0"/>
              <w:rPr>
                <w:color w:val="F2F2F2"/>
                <w:sz w:val="20"/>
              </w:rPr>
            </w:pPr>
            <w:r w:rsidRPr="002C4B48">
              <w:rPr>
                <w:color w:val="F2F2F2"/>
                <w:sz w:val="20"/>
              </w:rPr>
              <w:t>.</w:t>
            </w:r>
          </w:p>
        </w:tc>
      </w:tr>
      <w:tr w:rsidR="002C4B48" w:rsidRPr="002C4B48" w:rsidTr="002C4B48">
        <w:tc>
          <w:tcPr>
            <w:tcW w:w="4820" w:type="dxa"/>
            <w:tcBorders>
              <w:top w:val="single" w:sz="4" w:space="0" w:color="auto"/>
              <w:right w:val="single" w:sz="4" w:space="0" w:color="auto"/>
            </w:tcBorders>
            <w:shd w:val="clear" w:color="auto" w:fill="auto"/>
            <w:vAlign w:val="center"/>
          </w:tcPr>
          <w:p w:rsidR="002C4B48" w:rsidRPr="002C4B48" w:rsidRDefault="002C4B48" w:rsidP="002C4B48">
            <w:pPr>
              <w:spacing w:after="0"/>
              <w:ind w:left="488"/>
              <w:rPr>
                <w:sz w:val="20"/>
              </w:rPr>
            </w:pPr>
            <w:r w:rsidRPr="002C4B48">
              <w:rPr>
                <w:sz w:val="20"/>
              </w:rPr>
              <w:t>Direct labour expenses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sz w:val="20"/>
              </w:rPr>
            </w:pPr>
            <w:r w:rsidRPr="002C4B48">
              <w:rPr>
                <w:sz w:val="20"/>
              </w:rPr>
              <w:t>$121.02</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ind w:left="488"/>
              <w:rPr>
                <w:sz w:val="20"/>
              </w:rPr>
            </w:pPr>
            <w:r w:rsidRPr="002C4B48">
              <w:rPr>
                <w:sz w:val="20"/>
              </w:rPr>
              <w:t>Direct materials expenses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sz w:val="20"/>
              </w:rPr>
            </w:pPr>
            <w:r w:rsidRPr="002C4B48">
              <w:rPr>
                <w:sz w:val="20"/>
              </w:rPr>
              <w:t>$18.90</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ind w:left="488"/>
              <w:rPr>
                <w:sz w:val="20"/>
              </w:rPr>
            </w:pPr>
            <w:r w:rsidRPr="002C4B48">
              <w:rPr>
                <w:sz w:val="20"/>
              </w:rPr>
              <w:t>Capital expenses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sz w:val="20"/>
              </w:rPr>
            </w:pPr>
            <w:r w:rsidRPr="002C4B48">
              <w:rPr>
                <w:sz w:val="20"/>
              </w:rPr>
              <w:t>$16.55</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ind w:left="488"/>
              <w:rPr>
                <w:sz w:val="20"/>
              </w:rPr>
            </w:pPr>
            <w:r w:rsidRPr="002C4B48">
              <w:rPr>
                <w:sz w:val="20"/>
              </w:rPr>
              <w:t>Other expenses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sz w:val="20"/>
              </w:rPr>
            </w:pPr>
            <w:r w:rsidRPr="002C4B48">
              <w:rPr>
                <w:sz w:val="20"/>
              </w:rPr>
              <w:t>$0.12</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rPr>
                <w:b/>
                <w:bCs/>
                <w:sz w:val="20"/>
              </w:rPr>
            </w:pPr>
            <w:r w:rsidRPr="002C4B48">
              <w:rPr>
                <w:b/>
                <w:bCs/>
                <w:sz w:val="20"/>
              </w:rPr>
              <w:t>Direct expenses total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b/>
                <w:bCs/>
                <w:sz w:val="20"/>
              </w:rPr>
            </w:pPr>
            <w:r w:rsidRPr="002C4B48">
              <w:rPr>
                <w:b/>
                <w:bCs/>
                <w:sz w:val="20"/>
              </w:rPr>
              <w:t>$156.59</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rPr>
                <w:b/>
                <w:bCs/>
                <w:sz w:val="20"/>
              </w:rPr>
            </w:pPr>
            <w:r w:rsidRPr="002C4B48">
              <w:rPr>
                <w:b/>
                <w:bCs/>
                <w:sz w:val="20"/>
              </w:rPr>
              <w:t>Indirect expenses total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b/>
                <w:bCs/>
                <w:sz w:val="20"/>
              </w:rPr>
            </w:pPr>
            <w:r w:rsidRPr="002C4B48">
              <w:rPr>
                <w:b/>
                <w:bCs/>
                <w:sz w:val="20"/>
              </w:rPr>
              <w:t>$73.33</w:t>
            </w:r>
          </w:p>
        </w:tc>
      </w:tr>
      <w:tr w:rsidR="002C4B48" w:rsidRPr="002C4B48" w:rsidTr="002C4B48">
        <w:tc>
          <w:tcPr>
            <w:tcW w:w="4820" w:type="dxa"/>
            <w:tcBorders>
              <w:right w:val="single" w:sz="4" w:space="0" w:color="auto"/>
            </w:tcBorders>
            <w:shd w:val="clear" w:color="auto" w:fill="auto"/>
            <w:vAlign w:val="center"/>
          </w:tcPr>
          <w:p w:rsidR="002C4B48" w:rsidRPr="002C4B48" w:rsidRDefault="002C4B48" w:rsidP="002C4B48">
            <w:pPr>
              <w:spacing w:after="0"/>
              <w:ind w:left="488"/>
              <w:rPr>
                <w:b/>
                <w:bCs/>
                <w:sz w:val="20"/>
              </w:rPr>
            </w:pPr>
            <w:r w:rsidRPr="002C4B48">
              <w:rPr>
                <w:b/>
                <w:bCs/>
                <w:sz w:val="20"/>
              </w:rPr>
              <w:t>Total Expenses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C4B48" w:rsidRPr="002C4B48" w:rsidRDefault="002C4B48" w:rsidP="002C4B48">
            <w:pPr>
              <w:spacing w:after="0"/>
              <w:rPr>
                <w:b/>
                <w:bCs/>
                <w:sz w:val="20"/>
              </w:rPr>
            </w:pPr>
            <w:r w:rsidRPr="002C4B48">
              <w:rPr>
                <w:b/>
                <w:bCs/>
                <w:sz w:val="20"/>
              </w:rPr>
              <w:t>$229.92</w:t>
            </w:r>
          </w:p>
        </w:tc>
      </w:tr>
    </w:tbl>
    <w:p w:rsidR="002C4B48" w:rsidRPr="002C4B48" w:rsidRDefault="002C4B48" w:rsidP="002C4B48">
      <w:pPr>
        <w:keepNext/>
      </w:pPr>
      <w:r w:rsidRPr="002C4B48">
        <w:t>Note: revenue and expenditure for appropriation funded biosecurity activities for passenger and mail clearance are not included in these totals because they are not cost recovered.</w:t>
      </w:r>
    </w:p>
    <w:p w:rsidR="002C4B48" w:rsidRPr="002C4B48" w:rsidRDefault="002C4B48" w:rsidP="00530A65">
      <w:pPr>
        <w:pStyle w:val="Heading3"/>
      </w:pPr>
      <w:bookmarkStart w:id="77" w:name="_Toc424755465"/>
      <w:bookmarkStart w:id="78" w:name="_Toc433713877"/>
      <w:r w:rsidRPr="002C4B48">
        <w:t>Changes to the cost base</w:t>
      </w:r>
      <w:bookmarkEnd w:id="77"/>
      <w:bookmarkEnd w:id="78"/>
    </w:p>
    <w:p w:rsidR="002C4B48" w:rsidRPr="002C4B48" w:rsidRDefault="002C4B48" w:rsidP="002C4B48">
      <w:pPr>
        <w:keepNext/>
      </w:pPr>
      <w:r w:rsidRPr="002C4B48">
        <w:t>Table 2 provides a list of adjustments to the cost base and their impact on revenue. These include the removal of some costs as well as additional costs such as the expanded activities described in Section 4, adjustments that reflect ongoing cost pressures and new costs previously not cost recovered.</w:t>
      </w:r>
    </w:p>
    <w:p w:rsidR="002C4B48" w:rsidRPr="002C4B48" w:rsidRDefault="002C4B48" w:rsidP="002C4B48">
      <w:pPr>
        <w:keepNext/>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2</w:t>
      </w:r>
      <w:r w:rsidRPr="002C4B48">
        <w:rPr>
          <w:b/>
          <w:bCs/>
          <w:noProof/>
          <w:color w:val="548DD4"/>
          <w:szCs w:val="18"/>
        </w:rPr>
        <w:fldChar w:fldCharType="end"/>
      </w:r>
      <w:r w:rsidRPr="002C4B48">
        <w:rPr>
          <w:b/>
          <w:bCs/>
          <w:color w:val="548DD4"/>
          <w:szCs w:val="18"/>
        </w:rPr>
        <w:t>: Changes to biosecurity arrangement cost base (</w:t>
      </w:r>
      <w:proofErr w:type="gramStart"/>
      <w:r w:rsidRPr="002C4B48">
        <w:rPr>
          <w:b/>
          <w:bCs/>
          <w:color w:val="548DD4"/>
          <w:szCs w:val="18"/>
        </w:rPr>
        <w:t>four year</w:t>
      </w:r>
      <w:proofErr w:type="gramEnd"/>
      <w:r w:rsidRPr="002C4B48">
        <w:rPr>
          <w:b/>
          <w:bCs/>
          <w:color w:val="548DD4"/>
          <w:szCs w:val="18"/>
        </w:rPr>
        <w:t xml:space="preserve"> average, 2015–16 to 2018–19)</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1277"/>
        <w:gridCol w:w="1984"/>
      </w:tblGrid>
      <w:tr w:rsidR="002C4B48" w:rsidRPr="002C4B48" w:rsidTr="002C4B48">
        <w:tc>
          <w:tcPr>
            <w:tcW w:w="6237" w:type="dxa"/>
            <w:shd w:val="solid" w:color="DBE5F1" w:fill="C6D9F1"/>
            <w:vAlign w:val="center"/>
          </w:tcPr>
          <w:p w:rsidR="002C4B48" w:rsidRPr="002C4B48" w:rsidRDefault="002C4B48" w:rsidP="002C4B48">
            <w:pPr>
              <w:spacing w:after="0"/>
              <w:rPr>
                <w:b/>
                <w:bCs/>
                <w:sz w:val="20"/>
              </w:rPr>
            </w:pPr>
            <w:r w:rsidRPr="002C4B48">
              <w:rPr>
                <w:b/>
                <w:bCs/>
                <w:sz w:val="20"/>
              </w:rPr>
              <w:t>Adjustment to cost base</w:t>
            </w:r>
          </w:p>
        </w:tc>
        <w:tc>
          <w:tcPr>
            <w:tcW w:w="1277" w:type="dxa"/>
            <w:shd w:val="solid" w:color="DBE5F1" w:fill="C6D9F1"/>
            <w:vAlign w:val="center"/>
          </w:tcPr>
          <w:p w:rsidR="002C4B48" w:rsidRPr="002C4B48" w:rsidRDefault="002C4B48" w:rsidP="002C4B48">
            <w:pPr>
              <w:spacing w:after="0"/>
              <w:rPr>
                <w:b/>
                <w:bCs/>
                <w:sz w:val="20"/>
              </w:rPr>
            </w:pPr>
            <w:r w:rsidRPr="002C4B48">
              <w:rPr>
                <w:b/>
                <w:bCs/>
                <w:sz w:val="20"/>
              </w:rPr>
              <w:t>Impact on cost base</w:t>
            </w:r>
          </w:p>
        </w:tc>
        <w:tc>
          <w:tcPr>
            <w:tcW w:w="1984" w:type="dxa"/>
            <w:shd w:val="solid" w:color="DBE5F1" w:fill="C6D9F1"/>
            <w:vAlign w:val="center"/>
          </w:tcPr>
          <w:p w:rsidR="002C4B48" w:rsidRPr="002C4B48" w:rsidRDefault="002C4B48" w:rsidP="002C4B48">
            <w:pPr>
              <w:spacing w:after="0"/>
              <w:rPr>
                <w:b/>
                <w:bCs/>
                <w:sz w:val="20"/>
              </w:rPr>
            </w:pPr>
            <w:r w:rsidRPr="002C4B48">
              <w:rPr>
                <w:b/>
                <w:bCs/>
                <w:sz w:val="20"/>
              </w:rPr>
              <w:t xml:space="preserve">Forecast </w:t>
            </w:r>
            <w:r w:rsidRPr="002C4B48">
              <w:rPr>
                <w:b/>
                <w:bCs/>
                <w:sz w:val="20"/>
              </w:rPr>
              <w:br/>
              <w:t>($ ’000s)</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1. Direct materials inflation adjustments</w:t>
            </w:r>
          </w:p>
        </w:tc>
        <w:tc>
          <w:tcPr>
            <w:tcW w:w="1277" w:type="dxa"/>
            <w:shd w:val="clear" w:color="auto" w:fill="auto"/>
            <w:vAlign w:val="center"/>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$759</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2. Service delivery resource utilisation improvements</w:t>
            </w:r>
          </w:p>
        </w:tc>
        <w:tc>
          <w:tcPr>
            <w:tcW w:w="1277" w:type="dxa"/>
            <w:shd w:val="clear" w:color="auto" w:fill="auto"/>
            <w:vAlign w:val="center"/>
          </w:tcPr>
          <w:p w:rsidR="002C4B48" w:rsidRPr="002C4B48" w:rsidRDefault="002C4B48" w:rsidP="002C4B48">
            <w:pPr>
              <w:spacing w:after="0"/>
              <w:rPr>
                <w:sz w:val="20"/>
              </w:rPr>
            </w:pPr>
            <w:r w:rsidRPr="002C4B48">
              <w:rPr>
                <w:sz w:val="20"/>
              </w:rPr>
              <w:t>Decrease</w:t>
            </w:r>
          </w:p>
        </w:tc>
        <w:tc>
          <w:tcPr>
            <w:tcW w:w="1984" w:type="dxa"/>
            <w:shd w:val="clear" w:color="auto" w:fill="auto"/>
            <w:vAlign w:val="center"/>
          </w:tcPr>
          <w:p w:rsidR="002C4B48" w:rsidRPr="002C4B48" w:rsidRDefault="002C4B48" w:rsidP="002C4B48">
            <w:pPr>
              <w:spacing w:after="0"/>
              <w:rPr>
                <w:sz w:val="20"/>
              </w:rPr>
            </w:pPr>
            <w:r w:rsidRPr="002C4B48">
              <w:rPr>
                <w:sz w:val="20"/>
              </w:rPr>
              <w:t>$-1 718</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3. Investment in capital, systems and technologies</w:t>
            </w:r>
          </w:p>
        </w:tc>
        <w:tc>
          <w:tcPr>
            <w:tcW w:w="1277" w:type="dxa"/>
            <w:shd w:val="clear" w:color="auto" w:fill="auto"/>
            <w:vAlign w:val="bottom"/>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$10 143</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 xml:space="preserve">4. Removal of indirect senior SES expenses </w:t>
            </w:r>
          </w:p>
        </w:tc>
        <w:tc>
          <w:tcPr>
            <w:tcW w:w="1277" w:type="dxa"/>
            <w:shd w:val="clear" w:color="auto" w:fill="auto"/>
            <w:vAlign w:val="bottom"/>
          </w:tcPr>
          <w:p w:rsidR="002C4B48" w:rsidRPr="002C4B48" w:rsidRDefault="002C4B48" w:rsidP="002C4B48">
            <w:pPr>
              <w:spacing w:after="0"/>
              <w:rPr>
                <w:sz w:val="20"/>
              </w:rPr>
            </w:pPr>
            <w:r w:rsidRPr="002C4B48">
              <w:rPr>
                <w:sz w:val="20"/>
              </w:rPr>
              <w:t>Decrease</w:t>
            </w:r>
          </w:p>
        </w:tc>
        <w:tc>
          <w:tcPr>
            <w:tcW w:w="1984" w:type="dxa"/>
            <w:shd w:val="clear" w:color="auto" w:fill="auto"/>
            <w:vAlign w:val="center"/>
          </w:tcPr>
          <w:p w:rsidR="002C4B48" w:rsidRPr="002C4B48" w:rsidRDefault="002C4B48" w:rsidP="002C4B48">
            <w:pPr>
              <w:spacing w:after="0"/>
              <w:rPr>
                <w:sz w:val="20"/>
              </w:rPr>
            </w:pPr>
            <w:r w:rsidRPr="002C4B48">
              <w:rPr>
                <w:sz w:val="20"/>
              </w:rPr>
              <w:t>$-506</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5. Enhanced people and workforce capabilities</w:t>
            </w:r>
          </w:p>
        </w:tc>
        <w:tc>
          <w:tcPr>
            <w:tcW w:w="1277" w:type="dxa"/>
            <w:shd w:val="clear" w:color="auto" w:fill="auto"/>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$2 613</w:t>
            </w:r>
          </w:p>
        </w:tc>
      </w:tr>
      <w:tr w:rsidR="002C4B48" w:rsidRPr="002C4B48" w:rsidTr="002C4B48">
        <w:tc>
          <w:tcPr>
            <w:tcW w:w="6237" w:type="dxa"/>
            <w:shd w:val="clear" w:color="auto" w:fill="auto"/>
          </w:tcPr>
          <w:p w:rsidR="002C4B48" w:rsidRPr="002C4B48" w:rsidRDefault="002C4B48" w:rsidP="002C4B48">
            <w:pPr>
              <w:spacing w:after="0"/>
              <w:rPr>
                <w:sz w:val="20"/>
              </w:rPr>
            </w:pPr>
            <w:r w:rsidRPr="002C4B48">
              <w:rPr>
                <w:sz w:val="20"/>
              </w:rPr>
              <w:t>6. Strengthened biosecurity systems and verification activities</w:t>
            </w:r>
          </w:p>
        </w:tc>
        <w:tc>
          <w:tcPr>
            <w:tcW w:w="1277" w:type="dxa"/>
            <w:shd w:val="clear" w:color="auto" w:fill="auto"/>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$8 528</w:t>
            </w:r>
          </w:p>
        </w:tc>
      </w:tr>
      <w:tr w:rsidR="002C4B48" w:rsidRPr="002C4B48" w:rsidTr="002C4B48">
        <w:tc>
          <w:tcPr>
            <w:tcW w:w="6237" w:type="dxa"/>
            <w:shd w:val="clear" w:color="auto" w:fill="auto"/>
          </w:tcPr>
          <w:p w:rsidR="002C4B48" w:rsidRPr="002C4B48" w:rsidRDefault="002C4B48" w:rsidP="002C4B48">
            <w:pPr>
              <w:spacing w:after="0"/>
              <w:ind w:left="488"/>
              <w:rPr>
                <w:b/>
                <w:bCs/>
                <w:sz w:val="20"/>
              </w:rPr>
            </w:pPr>
            <w:r w:rsidRPr="002C4B48">
              <w:rPr>
                <w:b/>
                <w:bCs/>
                <w:sz w:val="20"/>
              </w:rPr>
              <w:t>Total expenditure of adjustments to cost base</w:t>
            </w:r>
          </w:p>
        </w:tc>
        <w:tc>
          <w:tcPr>
            <w:tcW w:w="1277" w:type="dxa"/>
            <w:shd w:val="clear" w:color="auto" w:fill="auto"/>
            <w:vAlign w:val="bottom"/>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$19 819</w:t>
            </w:r>
          </w:p>
        </w:tc>
      </w:tr>
      <w:tr w:rsidR="002C4B48" w:rsidRPr="002C4B48" w:rsidTr="002C4B48">
        <w:tc>
          <w:tcPr>
            <w:tcW w:w="6237" w:type="dxa"/>
            <w:shd w:val="clear" w:color="auto" w:fill="auto"/>
          </w:tcPr>
          <w:p w:rsidR="002C4B48" w:rsidRPr="002C4B48" w:rsidRDefault="002C4B48" w:rsidP="002C4B48">
            <w:pPr>
              <w:spacing w:after="0"/>
              <w:ind w:left="488"/>
              <w:rPr>
                <w:b/>
                <w:bCs/>
                <w:sz w:val="20"/>
              </w:rPr>
            </w:pPr>
            <w:r w:rsidRPr="002C4B48">
              <w:rPr>
                <w:b/>
                <w:bCs/>
                <w:sz w:val="20"/>
              </w:rPr>
              <w:t>Total baseline expenditure</w:t>
            </w:r>
          </w:p>
        </w:tc>
        <w:tc>
          <w:tcPr>
            <w:tcW w:w="1277" w:type="dxa"/>
            <w:shd w:val="clear" w:color="auto" w:fill="auto"/>
            <w:vAlign w:val="bottom"/>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$210 100</w:t>
            </w:r>
          </w:p>
        </w:tc>
      </w:tr>
      <w:tr w:rsidR="002C4B48" w:rsidRPr="002C4B48" w:rsidTr="002C4B48">
        <w:tc>
          <w:tcPr>
            <w:tcW w:w="6237" w:type="dxa"/>
            <w:shd w:val="clear" w:color="auto" w:fill="auto"/>
          </w:tcPr>
          <w:p w:rsidR="002C4B48" w:rsidRPr="002C4B48" w:rsidRDefault="002C4B48" w:rsidP="002C4B48">
            <w:pPr>
              <w:spacing w:after="0"/>
              <w:ind w:left="488"/>
              <w:rPr>
                <w:b/>
                <w:bCs/>
                <w:sz w:val="20"/>
              </w:rPr>
            </w:pPr>
            <w:r w:rsidRPr="002C4B48">
              <w:rPr>
                <w:b/>
                <w:bCs/>
                <w:sz w:val="20"/>
              </w:rPr>
              <w:t>Adjusted cost recoverable expenditure (cost base)</w:t>
            </w:r>
          </w:p>
        </w:tc>
        <w:tc>
          <w:tcPr>
            <w:tcW w:w="1277" w:type="dxa"/>
            <w:shd w:val="clear" w:color="auto" w:fill="auto"/>
            <w:vAlign w:val="bottom"/>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sz w:val="20"/>
              </w:rPr>
            </w:pPr>
            <w:r w:rsidRPr="002C4B48">
              <w:rPr>
                <w:sz w:val="20"/>
              </w:rPr>
              <w:t>$229 919</w:t>
            </w:r>
          </w:p>
        </w:tc>
      </w:tr>
      <w:tr w:rsidR="002C4B48" w:rsidRPr="002C4B48" w:rsidTr="002C4B48">
        <w:tc>
          <w:tcPr>
            <w:tcW w:w="6237" w:type="dxa"/>
            <w:shd w:val="clear" w:color="auto" w:fill="auto"/>
          </w:tcPr>
          <w:p w:rsidR="002C4B48" w:rsidRPr="002C4B48" w:rsidRDefault="002C4B48" w:rsidP="002C4B48">
            <w:pPr>
              <w:spacing w:after="0"/>
              <w:ind w:left="488"/>
              <w:rPr>
                <w:b/>
                <w:bCs/>
                <w:sz w:val="20"/>
              </w:rPr>
            </w:pPr>
            <w:r w:rsidRPr="002C4B48">
              <w:rPr>
                <w:b/>
                <w:bCs/>
                <w:sz w:val="20"/>
              </w:rPr>
              <w:t>Change in expenditure</w:t>
            </w:r>
          </w:p>
        </w:tc>
        <w:tc>
          <w:tcPr>
            <w:tcW w:w="1277" w:type="dxa"/>
            <w:shd w:val="clear" w:color="auto" w:fill="auto"/>
            <w:vAlign w:val="bottom"/>
          </w:tcPr>
          <w:p w:rsidR="002C4B48" w:rsidRPr="002C4B48" w:rsidRDefault="002C4B48" w:rsidP="002C4B48">
            <w:pPr>
              <w:spacing w:after="0"/>
              <w:rPr>
                <w:sz w:val="20"/>
              </w:rPr>
            </w:pPr>
            <w:r w:rsidRPr="002C4B48">
              <w:rPr>
                <w:sz w:val="20"/>
              </w:rPr>
              <w:t>Increase</w:t>
            </w:r>
          </w:p>
        </w:tc>
        <w:tc>
          <w:tcPr>
            <w:tcW w:w="1984" w:type="dxa"/>
            <w:shd w:val="clear" w:color="auto" w:fill="auto"/>
            <w:vAlign w:val="center"/>
          </w:tcPr>
          <w:p w:rsidR="002C4B48" w:rsidRPr="002C4B48" w:rsidRDefault="002C4B48" w:rsidP="002C4B48">
            <w:pPr>
              <w:spacing w:after="0"/>
              <w:rPr>
                <w:b/>
                <w:bCs/>
                <w:sz w:val="20"/>
              </w:rPr>
            </w:pPr>
            <w:r w:rsidRPr="002C4B48">
              <w:rPr>
                <w:b/>
                <w:bCs/>
                <w:sz w:val="20"/>
              </w:rPr>
              <w:t>8.6%</w:t>
            </w:r>
          </w:p>
        </w:tc>
      </w:tr>
    </w:tbl>
    <w:p w:rsidR="002C4B48" w:rsidRPr="002C4B48" w:rsidRDefault="002C4B48" w:rsidP="002C4B48">
      <w:pPr>
        <w:rPr>
          <w:b/>
          <w:i/>
        </w:rPr>
      </w:pPr>
      <w:bookmarkStart w:id="79" w:name="_Toc423546314"/>
      <w:r w:rsidRPr="002C4B48">
        <w:t>Note: expenditure for appropriation funded biosecurity activities for passenger and mail clearance are not included in these totals because they are not cost recovered.</w:t>
      </w:r>
      <w:bookmarkEnd w:id="79"/>
    </w:p>
    <w:p w:rsidR="002C4B48" w:rsidRPr="002C4B48" w:rsidRDefault="002C4B48" w:rsidP="002C4B48">
      <w:pPr>
        <w:spacing w:after="0"/>
        <w:outlineLvl w:val="3"/>
        <w:rPr>
          <w:b/>
          <w:sz w:val="28"/>
          <w:szCs w:val="20"/>
        </w:rPr>
      </w:pPr>
      <w:bookmarkStart w:id="80" w:name="_Toc424755466"/>
      <w:r w:rsidRPr="002C4B48">
        <w:rPr>
          <w:b/>
          <w:sz w:val="28"/>
          <w:szCs w:val="20"/>
          <w:lang w:val="x-none"/>
        </w:rPr>
        <w:t>Removal of costs</w:t>
      </w:r>
      <w:bookmarkEnd w:id="80"/>
    </w:p>
    <w:p w:rsidR="002C4B48" w:rsidRPr="002C4B48" w:rsidRDefault="002C4B48" w:rsidP="002C4B48">
      <w:pPr>
        <w:keepNext/>
        <w:spacing w:after="120"/>
      </w:pPr>
      <w:r w:rsidRPr="002C4B48">
        <w:lastRenderedPageBreak/>
        <w:t>The department is making savings in two key areas, which are more effective and efficient use of resources (2) and removing some indirect departmental SES costs (4).</w:t>
      </w:r>
    </w:p>
    <w:p w:rsidR="002C4B48" w:rsidRPr="002C4B48" w:rsidRDefault="002C4B48" w:rsidP="002C4B48">
      <w:pPr>
        <w:keepNext/>
        <w:spacing w:after="120"/>
      </w:pPr>
      <w:r w:rsidRPr="002C4B48">
        <w:t>Greater centralisation of service delivery and the redesign of cost recovery arrangements have created an opportunity for the department to reduce costs in some functional areas. A consistent approach to costing similar activities will promote the establishment of benchmarks for efficient resource use. Implementation of uniform standards will give clients more confidence in the costing of the services received.</w:t>
      </w:r>
    </w:p>
    <w:p w:rsidR="002C4B48" w:rsidRPr="002C4B48" w:rsidRDefault="002C4B48" w:rsidP="002C4B48">
      <w:pPr>
        <w:keepNext/>
        <w:spacing w:after="120"/>
      </w:pPr>
      <w:r w:rsidRPr="002C4B48">
        <w:t xml:space="preserve">Costs for the department’s secretary and deputy secretaries will be removed (4). Previously, a proportion of the costs associated with these positions </w:t>
      </w:r>
      <w:proofErr w:type="gramStart"/>
      <w:r w:rsidRPr="002C4B48">
        <w:t>were allocated</w:t>
      </w:r>
      <w:proofErr w:type="gramEnd"/>
      <w:r w:rsidRPr="002C4B48">
        <w:t xml:space="preserve"> to cost recovered arrangements. These positions </w:t>
      </w:r>
      <w:proofErr w:type="gramStart"/>
      <w:r w:rsidRPr="002C4B48">
        <w:t>will now be funded</w:t>
      </w:r>
      <w:proofErr w:type="gramEnd"/>
      <w:r w:rsidRPr="002C4B48">
        <w:t xml:space="preserve"> through departmental appropriation.</w:t>
      </w:r>
    </w:p>
    <w:p w:rsidR="002C4B48" w:rsidRPr="002C4B48" w:rsidRDefault="002C4B48" w:rsidP="002C4B48">
      <w:pPr>
        <w:spacing w:after="0"/>
        <w:outlineLvl w:val="3"/>
        <w:rPr>
          <w:b/>
          <w:sz w:val="28"/>
          <w:szCs w:val="20"/>
          <w:lang w:val="x-none"/>
        </w:rPr>
      </w:pPr>
      <w:bookmarkStart w:id="81" w:name="_Toc424755467"/>
      <w:r w:rsidRPr="002C4B48">
        <w:rPr>
          <w:b/>
          <w:sz w:val="28"/>
          <w:szCs w:val="20"/>
          <w:lang w:val="x-none"/>
        </w:rPr>
        <w:t>Improving services</w:t>
      </w:r>
      <w:bookmarkEnd w:id="81"/>
    </w:p>
    <w:p w:rsidR="002C4B48" w:rsidRPr="002C4B48" w:rsidRDefault="002C4B48" w:rsidP="002C4B48">
      <w:pPr>
        <w:keepNext/>
        <w:spacing w:after="120"/>
      </w:pPr>
      <w:r w:rsidRPr="002C4B48">
        <w:t>Improving and expanding biosecurity services will have an impact on the cost base (6). These include additional costs associated with expanded pre-border compliance and verification, expanded surveillance and intelligence, new approved arrangements, capital investments, and implementation costs for service delivery improvements.</w:t>
      </w:r>
    </w:p>
    <w:p w:rsidR="002C4B48" w:rsidRPr="002C4B48" w:rsidRDefault="002C4B48" w:rsidP="002C4B48">
      <w:pPr>
        <w:keepNext/>
        <w:spacing w:after="120"/>
      </w:pPr>
      <w:r w:rsidRPr="002C4B48">
        <w:t xml:space="preserve">Expanded border surveillance and intelligence activities and expanded pre-border compliance and verification will add to the cost base. The department has undertaken some necessary capital expenditure that supports biosecurity activities (3). For example, many improvements to service delivery </w:t>
      </w:r>
      <w:proofErr w:type="gramStart"/>
      <w:r w:rsidRPr="002C4B48">
        <w:t>are underpinned</w:t>
      </w:r>
      <w:proofErr w:type="gramEnd"/>
      <w:r w:rsidRPr="002C4B48">
        <w:t xml:space="preserve"> by investment in enabling systems. Enhancing information and communication technology systems may drive efficiencies over the long term.</w:t>
      </w:r>
    </w:p>
    <w:p w:rsidR="002C4B48" w:rsidRPr="002C4B48" w:rsidRDefault="002C4B48" w:rsidP="002C4B48">
      <w:pPr>
        <w:spacing w:after="0"/>
        <w:outlineLvl w:val="3"/>
        <w:rPr>
          <w:b/>
          <w:sz w:val="28"/>
          <w:szCs w:val="20"/>
          <w:lang w:val="x-none"/>
        </w:rPr>
      </w:pPr>
      <w:bookmarkStart w:id="82" w:name="_Toc424755468"/>
      <w:r w:rsidRPr="002C4B48">
        <w:rPr>
          <w:b/>
          <w:sz w:val="28"/>
          <w:szCs w:val="20"/>
          <w:lang w:val="x-none"/>
        </w:rPr>
        <w:t>Additional adjustments</w:t>
      </w:r>
      <w:bookmarkEnd w:id="82"/>
    </w:p>
    <w:p w:rsidR="002C4B48" w:rsidRPr="002C4B48" w:rsidRDefault="002C4B48" w:rsidP="002C4B48">
      <w:pPr>
        <w:spacing w:after="120"/>
      </w:pPr>
      <w:r w:rsidRPr="002C4B48">
        <w:t xml:space="preserve">There are a number of ongoing cost </w:t>
      </w:r>
      <w:proofErr w:type="gramStart"/>
      <w:r w:rsidRPr="002C4B48">
        <w:t>pressures which</w:t>
      </w:r>
      <w:proofErr w:type="gramEnd"/>
      <w:r w:rsidRPr="002C4B48">
        <w:t xml:space="preserve"> increase the cost base. These include inflation adjustments for direct materials (1) and the costs of continuing to improve the capabilities of our people, including established wage increases (5).</w:t>
      </w:r>
    </w:p>
    <w:p w:rsidR="002C4B48" w:rsidRPr="002C4B48" w:rsidRDefault="002C4B48" w:rsidP="002C4B48">
      <w:pPr>
        <w:spacing w:after="120"/>
      </w:pPr>
      <w:r w:rsidRPr="002C4B48">
        <w:lastRenderedPageBreak/>
        <w:t xml:space="preserve">An example of the sorts of investments </w:t>
      </w:r>
      <w:proofErr w:type="gramStart"/>
      <w:r w:rsidRPr="002C4B48">
        <w:t>being made</w:t>
      </w:r>
      <w:proofErr w:type="gramEnd"/>
      <w:r w:rsidRPr="002C4B48">
        <w:t xml:space="preserve"> in this area is the department’s creation of a Work, Health and Safety (WHS) Taskforce. A long-term goal of this taskforce will be to reduce </w:t>
      </w:r>
      <w:proofErr w:type="spellStart"/>
      <w:r w:rsidRPr="002C4B48">
        <w:t>Comcare</w:t>
      </w:r>
      <w:proofErr w:type="spellEnd"/>
      <w:r w:rsidRPr="002C4B48">
        <w:t xml:space="preserve"> (insurance) premium costs, which may provide ongoing savings for the delivery of biosecurity activities.</w:t>
      </w:r>
    </w:p>
    <w:p w:rsidR="002C4B48" w:rsidRPr="002C4B48" w:rsidRDefault="002C4B48" w:rsidP="00530A65">
      <w:pPr>
        <w:pStyle w:val="Heading2"/>
      </w:pPr>
      <w:bookmarkStart w:id="83" w:name="_Toc424755469"/>
      <w:bookmarkStart w:id="84" w:name="_Toc433713878"/>
      <w:r w:rsidRPr="002C4B48">
        <w:lastRenderedPageBreak/>
        <w:t>Financial estimates</w:t>
      </w:r>
      <w:bookmarkEnd w:id="83"/>
      <w:bookmarkEnd w:id="84"/>
    </w:p>
    <w:p w:rsidR="002C4B48" w:rsidRPr="002C4B48" w:rsidRDefault="002C4B48" w:rsidP="002C4B48">
      <w:pPr>
        <w:spacing w:after="0"/>
      </w:pPr>
      <w:r w:rsidRPr="002C4B48">
        <w:t xml:space="preserve">A summary of the annual budgeted operating position for the biosecurity cost recovery arrangement </w:t>
      </w:r>
      <w:proofErr w:type="gramStart"/>
      <w:r w:rsidRPr="002C4B48">
        <w:t>is provided</w:t>
      </w:r>
      <w:proofErr w:type="gramEnd"/>
      <w:r w:rsidRPr="002C4B48">
        <w:t xml:space="preserve"> at Table 3. All </w:t>
      </w:r>
      <w:proofErr w:type="gramStart"/>
      <w:r w:rsidRPr="002C4B48">
        <w:t>cost recovered</w:t>
      </w:r>
      <w:proofErr w:type="gramEnd"/>
      <w:r w:rsidRPr="002C4B48">
        <w:t xml:space="preserve"> activities are subject to a detailed semi-annual review as part of departmental budgeting processes.</w:t>
      </w:r>
    </w:p>
    <w:p w:rsidR="002C4B48" w:rsidRPr="002C4B48" w:rsidRDefault="002C4B48" w:rsidP="002C4B48">
      <w:pPr>
        <w:keepNext/>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3</w:t>
      </w:r>
      <w:r w:rsidRPr="002C4B48">
        <w:rPr>
          <w:b/>
          <w:bCs/>
          <w:noProof/>
          <w:color w:val="548DD4"/>
          <w:szCs w:val="18"/>
        </w:rPr>
        <w:fldChar w:fldCharType="end"/>
      </w:r>
      <w:r w:rsidRPr="002C4B48">
        <w:rPr>
          <w:b/>
          <w:bCs/>
          <w:color w:val="548DD4"/>
          <w:szCs w:val="18"/>
        </w:rPr>
        <w:t>: Financial estimates—biosecurity cost recovery arrangement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650"/>
        <w:gridCol w:w="1613"/>
        <w:gridCol w:w="1553"/>
        <w:gridCol w:w="1553"/>
        <w:gridCol w:w="1553"/>
      </w:tblGrid>
      <w:tr w:rsidR="002C4B48" w:rsidRPr="002C4B48" w:rsidTr="002C4B48">
        <w:trPr>
          <w:cantSplit/>
          <w:tblHeader/>
          <w:jc w:val="center"/>
        </w:trPr>
        <w:tc>
          <w:tcPr>
            <w:tcW w:w="1973" w:type="dxa"/>
            <w:shd w:val="solid" w:color="C6D9F1" w:fill="C6D9F1"/>
            <w:vAlign w:val="center"/>
          </w:tcPr>
          <w:p w:rsidR="002C4B48" w:rsidRPr="002C4B48" w:rsidRDefault="002C4B48" w:rsidP="002C4B48">
            <w:pPr>
              <w:keepNext/>
              <w:keepLines/>
              <w:spacing w:after="0"/>
              <w:rPr>
                <w:b/>
                <w:iCs/>
              </w:rPr>
            </w:pPr>
            <w:r w:rsidRPr="002C4B48">
              <w:rPr>
                <w:b/>
                <w:iCs/>
              </w:rPr>
              <w:t>Finance element</w:t>
            </w:r>
          </w:p>
        </w:tc>
        <w:tc>
          <w:tcPr>
            <w:tcW w:w="1650" w:type="dxa"/>
            <w:shd w:val="solid" w:color="C6D9F1" w:fill="C6D9F1"/>
          </w:tcPr>
          <w:p w:rsidR="002C4B48" w:rsidRPr="002C4B48" w:rsidRDefault="002C4B48" w:rsidP="002C4B48">
            <w:pPr>
              <w:keepNext/>
              <w:keepLines/>
              <w:spacing w:after="0"/>
              <w:jc w:val="center"/>
              <w:rPr>
                <w:b/>
              </w:rPr>
            </w:pPr>
            <w:r w:rsidRPr="002C4B48">
              <w:rPr>
                <w:b/>
              </w:rPr>
              <w:t>A</w:t>
            </w:r>
          </w:p>
          <w:p w:rsidR="002C4B48" w:rsidRPr="002C4B48" w:rsidRDefault="002C4B48" w:rsidP="002C4B48">
            <w:pPr>
              <w:keepNext/>
              <w:keepLines/>
              <w:spacing w:after="0"/>
              <w:jc w:val="center"/>
              <w:rPr>
                <w:b/>
              </w:rPr>
            </w:pPr>
            <w:r w:rsidRPr="002C4B48">
              <w:t>2014–15</w:t>
            </w:r>
          </w:p>
        </w:tc>
        <w:tc>
          <w:tcPr>
            <w:tcW w:w="1613" w:type="dxa"/>
            <w:shd w:val="solid" w:color="C6D9F1" w:fill="C6D9F1"/>
          </w:tcPr>
          <w:p w:rsidR="002C4B48" w:rsidRPr="002C4B48" w:rsidRDefault="002C4B48" w:rsidP="002C4B48">
            <w:pPr>
              <w:keepNext/>
              <w:keepLines/>
              <w:spacing w:after="0"/>
              <w:jc w:val="center"/>
              <w:rPr>
                <w:b/>
              </w:rPr>
            </w:pPr>
            <w:r w:rsidRPr="002C4B48">
              <w:rPr>
                <w:b/>
              </w:rPr>
              <w:t>B</w:t>
            </w:r>
          </w:p>
          <w:p w:rsidR="002C4B48" w:rsidRPr="002C4B48" w:rsidRDefault="002C4B48" w:rsidP="002C4B48">
            <w:pPr>
              <w:keepNext/>
              <w:keepLines/>
              <w:spacing w:after="0"/>
              <w:jc w:val="center"/>
            </w:pPr>
            <w:r w:rsidRPr="002C4B48">
              <w:t>2015–16</w:t>
            </w:r>
          </w:p>
        </w:tc>
        <w:tc>
          <w:tcPr>
            <w:tcW w:w="1553" w:type="dxa"/>
            <w:shd w:val="solid" w:color="C6D9F1" w:fill="C6D9F1"/>
          </w:tcPr>
          <w:p w:rsidR="002C4B48" w:rsidRPr="002C4B48" w:rsidRDefault="002C4B48" w:rsidP="002C4B48">
            <w:pPr>
              <w:keepNext/>
              <w:keepLines/>
              <w:spacing w:after="0"/>
              <w:jc w:val="center"/>
              <w:rPr>
                <w:b/>
              </w:rPr>
            </w:pPr>
            <w:r w:rsidRPr="002C4B48">
              <w:rPr>
                <w:b/>
              </w:rPr>
              <w:t>C</w:t>
            </w:r>
          </w:p>
          <w:p w:rsidR="002C4B48" w:rsidRPr="002C4B48" w:rsidRDefault="002C4B48" w:rsidP="002C4B48">
            <w:pPr>
              <w:keepNext/>
              <w:keepLines/>
              <w:spacing w:after="0"/>
              <w:jc w:val="center"/>
            </w:pPr>
            <w:r w:rsidRPr="002C4B48">
              <w:t>2016–17</w:t>
            </w:r>
          </w:p>
        </w:tc>
        <w:tc>
          <w:tcPr>
            <w:tcW w:w="1553" w:type="dxa"/>
            <w:shd w:val="solid" w:color="C6D9F1" w:fill="C6D9F1"/>
          </w:tcPr>
          <w:p w:rsidR="002C4B48" w:rsidRPr="002C4B48" w:rsidRDefault="002C4B48" w:rsidP="002C4B48">
            <w:pPr>
              <w:keepNext/>
              <w:keepLines/>
              <w:spacing w:after="0"/>
              <w:jc w:val="center"/>
              <w:rPr>
                <w:b/>
              </w:rPr>
            </w:pPr>
            <w:r w:rsidRPr="002C4B48">
              <w:rPr>
                <w:b/>
              </w:rPr>
              <w:t>D</w:t>
            </w:r>
          </w:p>
          <w:p w:rsidR="002C4B48" w:rsidRPr="002C4B48" w:rsidRDefault="002C4B48" w:rsidP="002C4B48">
            <w:pPr>
              <w:keepNext/>
              <w:keepLines/>
              <w:spacing w:after="0"/>
              <w:jc w:val="center"/>
            </w:pPr>
            <w:r w:rsidRPr="002C4B48">
              <w:t>2017–18</w:t>
            </w:r>
          </w:p>
        </w:tc>
        <w:tc>
          <w:tcPr>
            <w:tcW w:w="1553" w:type="dxa"/>
            <w:shd w:val="solid" w:color="C6D9F1" w:fill="C6D9F1"/>
          </w:tcPr>
          <w:p w:rsidR="002C4B48" w:rsidRPr="002C4B48" w:rsidRDefault="002C4B48" w:rsidP="002C4B48">
            <w:pPr>
              <w:keepNext/>
              <w:keepLines/>
              <w:spacing w:after="0"/>
              <w:jc w:val="center"/>
              <w:rPr>
                <w:b/>
              </w:rPr>
            </w:pPr>
            <w:r w:rsidRPr="002C4B48">
              <w:rPr>
                <w:b/>
              </w:rPr>
              <w:t>E</w:t>
            </w:r>
          </w:p>
          <w:p w:rsidR="002C4B48" w:rsidRPr="002C4B48" w:rsidRDefault="002C4B48" w:rsidP="002C4B48">
            <w:pPr>
              <w:keepNext/>
              <w:keepLines/>
              <w:spacing w:after="0"/>
              <w:jc w:val="center"/>
            </w:pPr>
            <w:r w:rsidRPr="002C4B48">
              <w:t>2018–19</w:t>
            </w:r>
          </w:p>
        </w:tc>
      </w:tr>
      <w:tr w:rsidR="002C4B48" w:rsidRPr="002C4B48" w:rsidTr="002C4B48">
        <w:trPr>
          <w:cantSplit/>
          <w:jc w:val="center"/>
        </w:trPr>
        <w:tc>
          <w:tcPr>
            <w:tcW w:w="1973" w:type="dxa"/>
            <w:shd w:val="clear" w:color="auto" w:fill="auto"/>
            <w:vAlign w:val="center"/>
          </w:tcPr>
          <w:p w:rsidR="002C4B48" w:rsidRPr="002C4B48" w:rsidRDefault="002C4B48" w:rsidP="002C4B48">
            <w:pPr>
              <w:spacing w:after="0"/>
              <w:rPr>
                <w:sz w:val="20"/>
              </w:rPr>
            </w:pPr>
            <w:r w:rsidRPr="002C4B48">
              <w:rPr>
                <w:sz w:val="20"/>
              </w:rPr>
              <w:t>Expenses = X</w:t>
            </w:r>
          </w:p>
        </w:tc>
        <w:tc>
          <w:tcPr>
            <w:tcW w:w="1650" w:type="dxa"/>
          </w:tcPr>
          <w:p w:rsidR="002C4B48" w:rsidRPr="002C4B48" w:rsidRDefault="002C4B48" w:rsidP="002C4B48">
            <w:pPr>
              <w:spacing w:after="0"/>
              <w:rPr>
                <w:sz w:val="20"/>
              </w:rPr>
            </w:pPr>
            <w:r w:rsidRPr="002C4B48">
              <w:rPr>
                <w:sz w:val="20"/>
              </w:rPr>
              <w:t>$208 543 960</w:t>
            </w:r>
          </w:p>
        </w:tc>
        <w:tc>
          <w:tcPr>
            <w:tcW w:w="1613" w:type="dxa"/>
            <w:shd w:val="clear" w:color="auto" w:fill="auto"/>
          </w:tcPr>
          <w:p w:rsidR="002C4B48" w:rsidRPr="002C4B48" w:rsidRDefault="002C4B48" w:rsidP="002C4B48">
            <w:pPr>
              <w:spacing w:after="0"/>
              <w:jc w:val="center"/>
              <w:rPr>
                <w:sz w:val="20"/>
              </w:rPr>
            </w:pPr>
            <w:r w:rsidRPr="002C4B48">
              <w:rPr>
                <w:sz w:val="20"/>
              </w:rPr>
              <w:t>$226 903 641</w:t>
            </w:r>
          </w:p>
        </w:tc>
        <w:tc>
          <w:tcPr>
            <w:tcW w:w="1553" w:type="dxa"/>
            <w:shd w:val="clear" w:color="auto" w:fill="auto"/>
          </w:tcPr>
          <w:p w:rsidR="002C4B48" w:rsidRPr="002C4B48" w:rsidRDefault="002C4B48" w:rsidP="002C4B48">
            <w:pPr>
              <w:spacing w:after="0"/>
              <w:jc w:val="center"/>
              <w:rPr>
                <w:sz w:val="20"/>
              </w:rPr>
            </w:pPr>
            <w:r w:rsidRPr="002C4B48">
              <w:rPr>
                <w:sz w:val="20"/>
              </w:rPr>
              <w:t>$226 149 129</w:t>
            </w:r>
          </w:p>
        </w:tc>
        <w:tc>
          <w:tcPr>
            <w:tcW w:w="1553" w:type="dxa"/>
            <w:shd w:val="clear" w:color="auto" w:fill="auto"/>
          </w:tcPr>
          <w:p w:rsidR="002C4B48" w:rsidRPr="002C4B48" w:rsidRDefault="002C4B48" w:rsidP="002C4B48">
            <w:pPr>
              <w:spacing w:after="0"/>
              <w:jc w:val="center"/>
              <w:rPr>
                <w:sz w:val="20"/>
              </w:rPr>
            </w:pPr>
            <w:r w:rsidRPr="002C4B48">
              <w:rPr>
                <w:sz w:val="20"/>
              </w:rPr>
              <w:t>$231 023 861</w:t>
            </w:r>
          </w:p>
        </w:tc>
        <w:tc>
          <w:tcPr>
            <w:tcW w:w="1553" w:type="dxa"/>
            <w:shd w:val="clear" w:color="auto" w:fill="auto"/>
          </w:tcPr>
          <w:p w:rsidR="002C4B48" w:rsidRPr="002C4B48" w:rsidRDefault="002C4B48" w:rsidP="002C4B48">
            <w:pPr>
              <w:spacing w:after="0"/>
              <w:jc w:val="center"/>
              <w:rPr>
                <w:sz w:val="20"/>
              </w:rPr>
            </w:pPr>
            <w:r w:rsidRPr="002C4B48">
              <w:rPr>
                <w:sz w:val="20"/>
              </w:rPr>
              <w:t>$228 586 575</w:t>
            </w:r>
          </w:p>
        </w:tc>
      </w:tr>
      <w:tr w:rsidR="002C4B48" w:rsidRPr="002C4B48" w:rsidTr="002C4B48">
        <w:trPr>
          <w:cantSplit/>
          <w:jc w:val="center"/>
        </w:trPr>
        <w:tc>
          <w:tcPr>
            <w:tcW w:w="1973" w:type="dxa"/>
            <w:shd w:val="clear" w:color="auto" w:fill="auto"/>
            <w:vAlign w:val="center"/>
          </w:tcPr>
          <w:p w:rsidR="002C4B48" w:rsidRPr="002C4B48" w:rsidRDefault="002C4B48" w:rsidP="002C4B48">
            <w:pPr>
              <w:spacing w:after="0"/>
              <w:rPr>
                <w:sz w:val="20"/>
              </w:rPr>
            </w:pPr>
            <w:r w:rsidRPr="002C4B48">
              <w:rPr>
                <w:sz w:val="20"/>
              </w:rPr>
              <w:t>Revenue = Y</w:t>
            </w:r>
          </w:p>
        </w:tc>
        <w:tc>
          <w:tcPr>
            <w:tcW w:w="1650" w:type="dxa"/>
          </w:tcPr>
          <w:p w:rsidR="002C4B48" w:rsidRPr="002C4B48" w:rsidRDefault="002C4B48" w:rsidP="002C4B48">
            <w:pPr>
              <w:spacing w:after="0"/>
              <w:rPr>
                <w:sz w:val="20"/>
              </w:rPr>
            </w:pPr>
            <w:r w:rsidRPr="002C4B48">
              <w:rPr>
                <w:sz w:val="20"/>
              </w:rPr>
              <w:t>$225 600 827</w:t>
            </w:r>
          </w:p>
        </w:tc>
        <w:tc>
          <w:tcPr>
            <w:tcW w:w="1613" w:type="dxa"/>
            <w:shd w:val="clear" w:color="auto" w:fill="auto"/>
          </w:tcPr>
          <w:p w:rsidR="002C4B48" w:rsidRPr="002C4B48" w:rsidRDefault="002C4B48" w:rsidP="002C4B48">
            <w:pPr>
              <w:spacing w:after="0"/>
              <w:jc w:val="center"/>
              <w:rPr>
                <w:sz w:val="20"/>
              </w:rPr>
            </w:pPr>
            <w:r w:rsidRPr="002C4B48">
              <w:rPr>
                <w:sz w:val="20"/>
              </w:rPr>
              <w:t>$230 720 852</w:t>
            </w:r>
          </w:p>
        </w:tc>
        <w:tc>
          <w:tcPr>
            <w:tcW w:w="1553" w:type="dxa"/>
            <w:shd w:val="clear" w:color="auto" w:fill="auto"/>
          </w:tcPr>
          <w:p w:rsidR="002C4B48" w:rsidRPr="002C4B48" w:rsidRDefault="002C4B48" w:rsidP="002C4B48">
            <w:pPr>
              <w:spacing w:after="0"/>
              <w:jc w:val="center"/>
              <w:rPr>
                <w:sz w:val="20"/>
              </w:rPr>
            </w:pPr>
            <w:r w:rsidRPr="002C4B48">
              <w:rPr>
                <w:sz w:val="20"/>
              </w:rPr>
              <w:t>$229 085 937</w:t>
            </w:r>
          </w:p>
        </w:tc>
        <w:tc>
          <w:tcPr>
            <w:tcW w:w="1553" w:type="dxa"/>
            <w:shd w:val="clear" w:color="auto" w:fill="auto"/>
          </w:tcPr>
          <w:p w:rsidR="002C4B48" w:rsidRPr="002C4B48" w:rsidRDefault="002C4B48" w:rsidP="002C4B48">
            <w:pPr>
              <w:spacing w:after="0"/>
              <w:jc w:val="center"/>
              <w:rPr>
                <w:sz w:val="20"/>
              </w:rPr>
            </w:pPr>
            <w:r w:rsidRPr="002C4B48">
              <w:rPr>
                <w:sz w:val="20"/>
              </w:rPr>
              <w:t>$233 432 687</w:t>
            </w:r>
          </w:p>
        </w:tc>
        <w:tc>
          <w:tcPr>
            <w:tcW w:w="1553" w:type="dxa"/>
            <w:shd w:val="clear" w:color="auto" w:fill="auto"/>
          </w:tcPr>
          <w:p w:rsidR="002C4B48" w:rsidRPr="002C4B48" w:rsidRDefault="002C4B48" w:rsidP="002C4B48">
            <w:pPr>
              <w:spacing w:after="0"/>
              <w:jc w:val="center"/>
              <w:rPr>
                <w:sz w:val="20"/>
              </w:rPr>
            </w:pPr>
            <w:r w:rsidRPr="002C4B48">
              <w:rPr>
                <w:sz w:val="20"/>
              </w:rPr>
              <w:t>$230 136 187</w:t>
            </w:r>
          </w:p>
        </w:tc>
      </w:tr>
      <w:tr w:rsidR="002C4B48" w:rsidRPr="002C4B48" w:rsidTr="002C4B48">
        <w:trPr>
          <w:cantSplit/>
          <w:jc w:val="center"/>
        </w:trPr>
        <w:tc>
          <w:tcPr>
            <w:tcW w:w="1973" w:type="dxa"/>
            <w:shd w:val="clear" w:color="auto" w:fill="auto"/>
            <w:vAlign w:val="center"/>
          </w:tcPr>
          <w:p w:rsidR="002C4B48" w:rsidRPr="002C4B48" w:rsidRDefault="002C4B48" w:rsidP="002C4B48">
            <w:pPr>
              <w:spacing w:after="0"/>
              <w:rPr>
                <w:sz w:val="20"/>
              </w:rPr>
            </w:pPr>
            <w:r w:rsidRPr="002C4B48">
              <w:rPr>
                <w:sz w:val="20"/>
              </w:rPr>
              <w:t>Balance = Y – X</w:t>
            </w:r>
          </w:p>
        </w:tc>
        <w:tc>
          <w:tcPr>
            <w:tcW w:w="1650" w:type="dxa"/>
          </w:tcPr>
          <w:p w:rsidR="002C4B48" w:rsidRPr="002C4B48" w:rsidRDefault="002C4B48" w:rsidP="002C4B48">
            <w:pPr>
              <w:spacing w:after="0"/>
              <w:rPr>
                <w:sz w:val="20"/>
              </w:rPr>
            </w:pPr>
            <w:r w:rsidRPr="002C4B48">
              <w:rPr>
                <w:sz w:val="20"/>
              </w:rPr>
              <w:t>$17 056 867</w:t>
            </w:r>
          </w:p>
        </w:tc>
        <w:tc>
          <w:tcPr>
            <w:tcW w:w="1613" w:type="dxa"/>
            <w:shd w:val="clear" w:color="auto" w:fill="auto"/>
          </w:tcPr>
          <w:p w:rsidR="002C4B48" w:rsidRPr="002C4B48" w:rsidRDefault="002C4B48" w:rsidP="002C4B48">
            <w:pPr>
              <w:spacing w:after="0"/>
              <w:jc w:val="center"/>
              <w:rPr>
                <w:sz w:val="20"/>
              </w:rPr>
            </w:pPr>
            <w:r w:rsidRPr="002C4B48">
              <w:rPr>
                <w:sz w:val="20"/>
              </w:rPr>
              <w:t>$3 817 211</w:t>
            </w:r>
          </w:p>
        </w:tc>
        <w:tc>
          <w:tcPr>
            <w:tcW w:w="1553" w:type="dxa"/>
            <w:shd w:val="clear" w:color="auto" w:fill="auto"/>
          </w:tcPr>
          <w:p w:rsidR="002C4B48" w:rsidRPr="002C4B48" w:rsidRDefault="002C4B48" w:rsidP="002C4B48">
            <w:pPr>
              <w:spacing w:after="0"/>
              <w:jc w:val="center"/>
              <w:rPr>
                <w:sz w:val="20"/>
              </w:rPr>
            </w:pPr>
            <w:r w:rsidRPr="002C4B48">
              <w:rPr>
                <w:sz w:val="20"/>
              </w:rPr>
              <w:t>$2 936 807</w:t>
            </w:r>
          </w:p>
        </w:tc>
        <w:tc>
          <w:tcPr>
            <w:tcW w:w="1553" w:type="dxa"/>
            <w:shd w:val="clear" w:color="auto" w:fill="auto"/>
          </w:tcPr>
          <w:p w:rsidR="002C4B48" w:rsidRPr="002C4B48" w:rsidRDefault="002C4B48" w:rsidP="002C4B48">
            <w:pPr>
              <w:spacing w:after="0"/>
              <w:jc w:val="center"/>
              <w:rPr>
                <w:sz w:val="20"/>
              </w:rPr>
            </w:pPr>
            <w:r w:rsidRPr="002C4B48">
              <w:rPr>
                <w:sz w:val="20"/>
              </w:rPr>
              <w:t>$2 408 825</w:t>
            </w:r>
          </w:p>
        </w:tc>
        <w:tc>
          <w:tcPr>
            <w:tcW w:w="1553" w:type="dxa"/>
            <w:shd w:val="clear" w:color="auto" w:fill="auto"/>
          </w:tcPr>
          <w:p w:rsidR="002C4B48" w:rsidRPr="002C4B48" w:rsidRDefault="002C4B48" w:rsidP="002C4B48">
            <w:pPr>
              <w:spacing w:after="0"/>
              <w:jc w:val="center"/>
              <w:rPr>
                <w:sz w:val="20"/>
              </w:rPr>
            </w:pPr>
            <w:r w:rsidRPr="002C4B48">
              <w:rPr>
                <w:sz w:val="20"/>
              </w:rPr>
              <w:t>$1 549 612</w:t>
            </w:r>
          </w:p>
        </w:tc>
      </w:tr>
      <w:tr w:rsidR="002C4B48" w:rsidRPr="002C4B48" w:rsidTr="002C4B48">
        <w:trPr>
          <w:cantSplit/>
          <w:trHeight w:val="365"/>
          <w:jc w:val="center"/>
        </w:trPr>
        <w:tc>
          <w:tcPr>
            <w:tcW w:w="1973" w:type="dxa"/>
            <w:shd w:val="clear" w:color="auto" w:fill="auto"/>
          </w:tcPr>
          <w:p w:rsidR="002C4B48" w:rsidRPr="002C4B48" w:rsidRDefault="002C4B48" w:rsidP="002C4B48">
            <w:r w:rsidRPr="002C4B48">
              <w:t>Forecast opening cost recovery reserve balance</w:t>
            </w:r>
          </w:p>
        </w:tc>
        <w:tc>
          <w:tcPr>
            <w:tcW w:w="1650" w:type="dxa"/>
            <w:vAlign w:val="center"/>
          </w:tcPr>
          <w:p w:rsidR="002C4B48" w:rsidRPr="002C4B48" w:rsidRDefault="002C4B48" w:rsidP="002C4B48">
            <w:pPr>
              <w:spacing w:after="0"/>
              <w:jc w:val="center"/>
              <w:rPr>
                <w:sz w:val="20"/>
              </w:rPr>
            </w:pPr>
            <w:r w:rsidRPr="002C4B48">
              <w:rPr>
                <w:sz w:val="20"/>
              </w:rPr>
              <w:t>N/A</w:t>
            </w:r>
          </w:p>
        </w:tc>
        <w:tc>
          <w:tcPr>
            <w:tcW w:w="1613" w:type="dxa"/>
            <w:shd w:val="clear" w:color="auto" w:fill="auto"/>
            <w:vAlign w:val="center"/>
          </w:tcPr>
          <w:p w:rsidR="002C4B48" w:rsidRPr="002C4B48" w:rsidRDefault="002C4B48" w:rsidP="002C4B48">
            <w:pPr>
              <w:spacing w:after="0"/>
              <w:jc w:val="center"/>
              <w:rPr>
                <w:sz w:val="20"/>
              </w:rPr>
            </w:pPr>
            <w:r w:rsidRPr="002C4B48">
              <w:rPr>
                <w:sz w:val="20"/>
              </w:rPr>
              <w:t>0</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$3 817 211</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$6 754 018</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$9 162 843</w:t>
            </w:r>
          </w:p>
        </w:tc>
      </w:tr>
      <w:tr w:rsidR="002C4B48" w:rsidRPr="002C4B48" w:rsidTr="002C4B48">
        <w:trPr>
          <w:cantSplit/>
          <w:trHeight w:val="365"/>
          <w:jc w:val="center"/>
        </w:trPr>
        <w:tc>
          <w:tcPr>
            <w:tcW w:w="1973" w:type="dxa"/>
            <w:shd w:val="clear" w:color="auto" w:fill="auto"/>
          </w:tcPr>
          <w:p w:rsidR="002C4B48" w:rsidRPr="002C4B48" w:rsidRDefault="002C4B48" w:rsidP="002C4B48">
            <w:r w:rsidRPr="002C4B48">
              <w:t>Transfer</w:t>
            </w:r>
          </w:p>
        </w:tc>
        <w:tc>
          <w:tcPr>
            <w:tcW w:w="1650" w:type="dxa"/>
            <w:vAlign w:val="center"/>
          </w:tcPr>
          <w:p w:rsidR="002C4B48" w:rsidRPr="002C4B48" w:rsidRDefault="002C4B48" w:rsidP="002C4B48">
            <w:pPr>
              <w:spacing w:after="0"/>
              <w:jc w:val="center"/>
              <w:rPr>
                <w:sz w:val="20"/>
              </w:rPr>
            </w:pPr>
            <w:r w:rsidRPr="002C4B48">
              <w:rPr>
                <w:sz w:val="20"/>
              </w:rPr>
              <w:t>$17 056 867</w:t>
            </w:r>
            <w:r w:rsidRPr="002C4B48">
              <w:rPr>
                <w:sz w:val="20"/>
                <w:vertAlign w:val="superscript"/>
              </w:rPr>
              <w:t xml:space="preserve"> A</w:t>
            </w:r>
          </w:p>
        </w:tc>
        <w:tc>
          <w:tcPr>
            <w:tcW w:w="1613" w:type="dxa"/>
            <w:shd w:val="clear" w:color="auto" w:fill="auto"/>
            <w:vAlign w:val="center"/>
          </w:tcPr>
          <w:p w:rsidR="002C4B48" w:rsidRPr="002C4B48" w:rsidRDefault="002C4B48" w:rsidP="002C4B48">
            <w:pPr>
              <w:spacing w:after="0"/>
              <w:jc w:val="center"/>
              <w:rPr>
                <w:sz w:val="20"/>
              </w:rPr>
            </w:pPr>
            <w:r w:rsidRPr="002C4B48">
              <w:rPr>
                <w:sz w:val="20"/>
              </w:rPr>
              <w:t>$3 817 211</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$2 936 807</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$2 408 825</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$1 549 612</w:t>
            </w:r>
          </w:p>
        </w:tc>
      </w:tr>
      <w:tr w:rsidR="002C4B48" w:rsidRPr="002C4B48" w:rsidTr="002C4B48">
        <w:trPr>
          <w:cantSplit/>
          <w:trHeight w:val="365"/>
          <w:jc w:val="center"/>
        </w:trPr>
        <w:tc>
          <w:tcPr>
            <w:tcW w:w="1973" w:type="dxa"/>
            <w:shd w:val="clear" w:color="auto" w:fill="auto"/>
          </w:tcPr>
          <w:p w:rsidR="002C4B48" w:rsidRPr="002C4B48" w:rsidRDefault="002C4B48" w:rsidP="002C4B48">
            <w:r w:rsidRPr="002C4B48">
              <w:t>Forecast closing cost recovery reserve balance</w:t>
            </w:r>
          </w:p>
        </w:tc>
        <w:tc>
          <w:tcPr>
            <w:tcW w:w="1650" w:type="dxa"/>
            <w:vAlign w:val="center"/>
          </w:tcPr>
          <w:p w:rsidR="002C4B48" w:rsidRPr="002C4B48" w:rsidRDefault="002C4B48" w:rsidP="002C4B48">
            <w:pPr>
              <w:spacing w:after="0"/>
              <w:jc w:val="center"/>
              <w:rPr>
                <w:sz w:val="20"/>
              </w:rPr>
            </w:pPr>
            <w:r w:rsidRPr="002C4B48">
              <w:rPr>
                <w:sz w:val="20"/>
              </w:rPr>
              <w:t>0</w:t>
            </w:r>
          </w:p>
        </w:tc>
        <w:tc>
          <w:tcPr>
            <w:tcW w:w="1613" w:type="dxa"/>
            <w:shd w:val="clear" w:color="auto" w:fill="auto"/>
            <w:vAlign w:val="center"/>
          </w:tcPr>
          <w:p w:rsidR="002C4B48" w:rsidRPr="002C4B48" w:rsidRDefault="002C4B48" w:rsidP="002C4B48">
            <w:pPr>
              <w:spacing w:after="0"/>
              <w:jc w:val="center"/>
              <w:rPr>
                <w:sz w:val="20"/>
              </w:rPr>
            </w:pPr>
            <w:r w:rsidRPr="002C4B48">
              <w:rPr>
                <w:sz w:val="20"/>
              </w:rPr>
              <w:t>$3 817 211</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$6 754 018</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$9 162 843</w:t>
            </w:r>
          </w:p>
        </w:tc>
        <w:tc>
          <w:tcPr>
            <w:tcW w:w="1553" w:type="dxa"/>
            <w:shd w:val="clear" w:color="auto" w:fill="auto"/>
            <w:vAlign w:val="center"/>
          </w:tcPr>
          <w:p w:rsidR="002C4B48" w:rsidRPr="002C4B48" w:rsidRDefault="002C4B48" w:rsidP="002C4B48">
            <w:pPr>
              <w:spacing w:after="0"/>
              <w:jc w:val="center"/>
              <w:rPr>
                <w:sz w:val="20"/>
              </w:rPr>
            </w:pPr>
            <w:r w:rsidRPr="002C4B48">
              <w:rPr>
                <w:sz w:val="20"/>
              </w:rPr>
              <w:t>$10 712 455</w:t>
            </w:r>
          </w:p>
        </w:tc>
      </w:tr>
    </w:tbl>
    <w:p w:rsidR="002C4B48" w:rsidRPr="002C4B48" w:rsidRDefault="002C4B48" w:rsidP="002C4B48">
      <w:r w:rsidRPr="002C4B48">
        <w:t xml:space="preserve">A—Previous over recoveries held in the industry reserve will be drawn down through remitting specific charges and funding for the development of ICT assets used by importers and arriving international vessels. </w:t>
      </w:r>
    </w:p>
    <w:p w:rsidR="002C4B48" w:rsidRPr="002C4B48" w:rsidRDefault="002C4B48" w:rsidP="002C4B48">
      <w:pPr>
        <w:rPr>
          <w:iCs/>
        </w:rPr>
      </w:pPr>
      <w:r w:rsidRPr="002C4B48">
        <w:t>Materiality is applied in accordance with Public Governance, Performance and Accountability (Financial Reporting) Rule 2015 Part 2 - 7 (2), AASB 108 Accounting Policies, Changes in Accounting Estimates and Errors and AASB 101 Presentation of Financial Statements  as defined by AASB108.</w:t>
      </w:r>
    </w:p>
    <w:p w:rsidR="002C4B48" w:rsidRPr="002C4B48" w:rsidRDefault="002C4B48" w:rsidP="002C4B48">
      <w:pPr>
        <w:spacing w:after="0"/>
      </w:pPr>
      <w:r w:rsidRPr="002C4B48">
        <w:t>In line with existing cost recovery reserves policy, the cumulative balance will remain consistent with the target range of zero to five percent of annual programme expenditure.</w:t>
      </w:r>
    </w:p>
    <w:p w:rsidR="002C4B48" w:rsidRPr="002C4B48" w:rsidRDefault="002C4B48" w:rsidP="002C4B48">
      <w:pPr>
        <w:pageBreakBefore/>
        <w:numPr>
          <w:ilvl w:val="0"/>
          <w:numId w:val="20"/>
        </w:numPr>
        <w:spacing w:before="120" w:after="240"/>
        <w:ind w:left="0" w:firstLine="0"/>
        <w:outlineLvl w:val="1"/>
        <w:rPr>
          <w:b/>
          <w:sz w:val="40"/>
          <w:szCs w:val="20"/>
          <w:lang w:val="x-none"/>
        </w:rPr>
      </w:pPr>
      <w:bookmarkStart w:id="85" w:name="_Toc424755470"/>
      <w:bookmarkStart w:id="86" w:name="_Toc433713879"/>
      <w:r w:rsidRPr="002C4B48">
        <w:rPr>
          <w:b/>
          <w:sz w:val="40"/>
          <w:szCs w:val="20"/>
          <w:lang w:val="x-none"/>
        </w:rPr>
        <w:lastRenderedPageBreak/>
        <w:t>Perform</w:t>
      </w:r>
      <w:r w:rsidRPr="00530A65">
        <w:rPr>
          <w:rStyle w:val="Heading2Char"/>
        </w:rPr>
        <w:t>a</w:t>
      </w:r>
      <w:r w:rsidRPr="002C4B48">
        <w:rPr>
          <w:b/>
          <w:sz w:val="40"/>
          <w:szCs w:val="20"/>
          <w:lang w:val="x-none"/>
        </w:rPr>
        <w:t>nce reporting</w:t>
      </w:r>
      <w:bookmarkEnd w:id="85"/>
      <w:bookmarkEnd w:id="86"/>
    </w:p>
    <w:p w:rsidR="002C4B48" w:rsidRPr="002C4B48" w:rsidRDefault="002C4B48" w:rsidP="002C4B48">
      <w:pPr>
        <w:keepNext/>
      </w:pPr>
      <w:r w:rsidRPr="002C4B48">
        <w:t xml:space="preserve">The following section presents information on the financial and non-financial performance of the biosecurity cost recovery arrangement. This </w:t>
      </w:r>
      <w:proofErr w:type="gramStart"/>
      <w:r w:rsidRPr="002C4B48">
        <w:t>is intended</w:t>
      </w:r>
      <w:proofErr w:type="gramEnd"/>
      <w:r w:rsidRPr="002C4B48">
        <w:t xml:space="preserve"> to provide s</w:t>
      </w:r>
      <w:r w:rsidRPr="002C4B48">
        <w:rPr>
          <w:rFonts w:eastAsia="Times New Roman"/>
        </w:rPr>
        <w:t xml:space="preserve">takeholders with an overview of the department’s performance in recovering forecasted revenue and meeting service delivery objectives. </w:t>
      </w:r>
    </w:p>
    <w:p w:rsidR="002C4B48" w:rsidRPr="002C4B48" w:rsidRDefault="002C4B48" w:rsidP="00530A65">
      <w:pPr>
        <w:pStyle w:val="Heading3"/>
      </w:pPr>
      <w:bookmarkStart w:id="87" w:name="_Toc424755471"/>
      <w:bookmarkStart w:id="88" w:name="_Toc433713880"/>
      <w:r w:rsidRPr="002C4B48">
        <w:t>Financial performance</w:t>
      </w:r>
      <w:bookmarkEnd w:id="87"/>
      <w:bookmarkEnd w:id="88"/>
    </w:p>
    <w:p w:rsidR="002C4B48" w:rsidRPr="002C4B48" w:rsidRDefault="002C4B48" w:rsidP="002C4B48">
      <w:pPr>
        <w:keepNext/>
      </w:pPr>
      <w:r w:rsidRPr="002C4B48">
        <w:t xml:space="preserve">The financial performance for the biosecurity cost recovery arrangement from 2011–12 to 2014–15 is provided at Table 4. The 2015–16 financial year and three forward years </w:t>
      </w:r>
      <w:proofErr w:type="gramStart"/>
      <w:r w:rsidRPr="002C4B48">
        <w:t>will be updated</w:t>
      </w:r>
      <w:proofErr w:type="gramEnd"/>
      <w:r w:rsidRPr="002C4B48">
        <w:t xml:space="preserve"> each year as financial information becomes available. </w:t>
      </w:r>
    </w:p>
    <w:p w:rsidR="002C4B48" w:rsidRPr="002C4B48" w:rsidRDefault="002C4B48" w:rsidP="002C4B48">
      <w:pPr>
        <w:keepNext/>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4</w:t>
      </w:r>
      <w:r w:rsidRPr="002C4B48">
        <w:rPr>
          <w:b/>
          <w:bCs/>
          <w:noProof/>
          <w:color w:val="548DD4"/>
          <w:szCs w:val="18"/>
        </w:rPr>
        <w:fldChar w:fldCharType="end"/>
      </w:r>
      <w:r w:rsidRPr="002C4B48">
        <w:rPr>
          <w:b/>
          <w:bCs/>
          <w:color w:val="548DD4"/>
          <w:szCs w:val="18"/>
        </w:rPr>
        <w:t>: Financial performance—biosecurity cost recovery arrangement</w:t>
      </w:r>
    </w:p>
    <w:tbl>
      <w:tblPr>
        <w:tblW w:w="10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1569"/>
        <w:gridCol w:w="1276"/>
        <w:gridCol w:w="1275"/>
        <w:gridCol w:w="1202"/>
        <w:gridCol w:w="1418"/>
        <w:gridCol w:w="992"/>
        <w:gridCol w:w="851"/>
        <w:gridCol w:w="992"/>
        <w:gridCol w:w="1066"/>
      </w:tblGrid>
      <w:tr w:rsidR="002C4B48" w:rsidRPr="002C4B48" w:rsidTr="002C4B48">
        <w:trPr>
          <w:trHeight w:val="546"/>
          <w:tblHeader/>
          <w:jc w:val="center"/>
        </w:trPr>
        <w:tc>
          <w:tcPr>
            <w:tcW w:w="1569" w:type="dxa"/>
            <w:shd w:val="solid" w:color="DBE5F1" w:fill="C6D9F1"/>
            <w:vAlign w:val="center"/>
          </w:tcPr>
          <w:p w:rsidR="002C4B48" w:rsidRPr="002C4B48" w:rsidRDefault="002C4B48" w:rsidP="002C4B48">
            <w:pPr>
              <w:spacing w:after="0"/>
              <w:rPr>
                <w:b/>
                <w:bCs/>
                <w:sz w:val="20"/>
              </w:rPr>
            </w:pPr>
            <w:r w:rsidRPr="002C4B48">
              <w:rPr>
                <w:b/>
                <w:bCs/>
                <w:sz w:val="20"/>
              </w:rPr>
              <w:t>Finance element</w:t>
            </w:r>
          </w:p>
        </w:tc>
        <w:tc>
          <w:tcPr>
            <w:tcW w:w="1276" w:type="dxa"/>
            <w:shd w:val="solid" w:color="DBE5F1" w:fill="C6D9F1"/>
            <w:vAlign w:val="center"/>
          </w:tcPr>
          <w:p w:rsidR="002C4B48" w:rsidRPr="002C4B48" w:rsidRDefault="002C4B48" w:rsidP="002C4B48">
            <w:pPr>
              <w:spacing w:after="0"/>
              <w:rPr>
                <w:b/>
                <w:bCs/>
                <w:sz w:val="20"/>
              </w:rPr>
            </w:pPr>
            <w:r w:rsidRPr="002C4B48">
              <w:rPr>
                <w:b/>
                <w:bCs/>
                <w:sz w:val="20"/>
              </w:rPr>
              <w:t>2011–12</w:t>
            </w:r>
          </w:p>
        </w:tc>
        <w:tc>
          <w:tcPr>
            <w:tcW w:w="1275" w:type="dxa"/>
            <w:shd w:val="solid" w:color="DBE5F1" w:fill="C6D9F1"/>
            <w:vAlign w:val="center"/>
          </w:tcPr>
          <w:p w:rsidR="002C4B48" w:rsidRPr="002C4B48" w:rsidRDefault="002C4B48" w:rsidP="002C4B48">
            <w:pPr>
              <w:spacing w:after="0"/>
              <w:rPr>
                <w:b/>
                <w:bCs/>
                <w:sz w:val="20"/>
              </w:rPr>
            </w:pPr>
            <w:r w:rsidRPr="002C4B48">
              <w:rPr>
                <w:b/>
                <w:bCs/>
                <w:sz w:val="20"/>
              </w:rPr>
              <w:t>2012–13</w:t>
            </w:r>
          </w:p>
        </w:tc>
        <w:tc>
          <w:tcPr>
            <w:tcW w:w="1202" w:type="dxa"/>
            <w:shd w:val="solid" w:color="DBE5F1" w:fill="C6D9F1"/>
            <w:vAlign w:val="center"/>
          </w:tcPr>
          <w:p w:rsidR="002C4B48" w:rsidRPr="002C4B48" w:rsidRDefault="002C4B48" w:rsidP="002C4B48">
            <w:pPr>
              <w:spacing w:after="0"/>
              <w:rPr>
                <w:b/>
                <w:bCs/>
                <w:sz w:val="20"/>
              </w:rPr>
            </w:pPr>
            <w:r w:rsidRPr="002C4B48">
              <w:rPr>
                <w:b/>
                <w:bCs/>
                <w:sz w:val="20"/>
              </w:rPr>
              <w:t>2013–14</w:t>
            </w:r>
          </w:p>
        </w:tc>
        <w:tc>
          <w:tcPr>
            <w:tcW w:w="1418" w:type="dxa"/>
            <w:shd w:val="solid" w:color="DBE5F1" w:fill="C6D9F1"/>
            <w:vAlign w:val="center"/>
          </w:tcPr>
          <w:p w:rsidR="002C4B48" w:rsidRPr="002C4B48" w:rsidRDefault="002C4B48" w:rsidP="002C4B48">
            <w:pPr>
              <w:spacing w:after="0"/>
              <w:rPr>
                <w:b/>
                <w:bCs/>
                <w:sz w:val="20"/>
              </w:rPr>
            </w:pPr>
            <w:r w:rsidRPr="002C4B48">
              <w:rPr>
                <w:b/>
                <w:bCs/>
                <w:sz w:val="20"/>
              </w:rPr>
              <w:t>2014–15</w:t>
            </w:r>
          </w:p>
        </w:tc>
        <w:tc>
          <w:tcPr>
            <w:tcW w:w="992" w:type="dxa"/>
            <w:shd w:val="solid" w:color="DBE5F1" w:fill="C6D9F1"/>
            <w:vAlign w:val="center"/>
          </w:tcPr>
          <w:p w:rsidR="002C4B48" w:rsidRPr="002C4B48" w:rsidRDefault="002C4B48" w:rsidP="002C4B48">
            <w:pPr>
              <w:spacing w:after="0"/>
              <w:rPr>
                <w:b/>
                <w:bCs/>
                <w:sz w:val="20"/>
              </w:rPr>
            </w:pPr>
            <w:r w:rsidRPr="002C4B48">
              <w:rPr>
                <w:b/>
                <w:bCs/>
                <w:sz w:val="20"/>
              </w:rPr>
              <w:t>2015–16</w:t>
            </w:r>
            <w:r w:rsidRPr="002C4B48">
              <w:rPr>
                <w:b/>
                <w:bCs/>
                <w:sz w:val="20"/>
              </w:rPr>
              <w:br/>
              <w:t>Updated in 2016</w:t>
            </w:r>
          </w:p>
        </w:tc>
        <w:tc>
          <w:tcPr>
            <w:tcW w:w="851" w:type="dxa"/>
            <w:shd w:val="solid" w:color="DBE5F1" w:fill="C6D9F1"/>
            <w:vAlign w:val="center"/>
          </w:tcPr>
          <w:p w:rsidR="002C4B48" w:rsidRPr="002C4B48" w:rsidRDefault="002C4B48" w:rsidP="002C4B48">
            <w:pPr>
              <w:spacing w:after="0"/>
              <w:rPr>
                <w:b/>
                <w:bCs/>
                <w:sz w:val="20"/>
              </w:rPr>
            </w:pPr>
            <w:r w:rsidRPr="002C4B48">
              <w:rPr>
                <w:b/>
                <w:bCs/>
                <w:sz w:val="20"/>
              </w:rPr>
              <w:t>2016–17</w:t>
            </w:r>
            <w:r w:rsidRPr="002C4B48">
              <w:rPr>
                <w:b/>
                <w:bCs/>
                <w:sz w:val="20"/>
              </w:rPr>
              <w:br/>
              <w:t>Updated in 2017</w:t>
            </w:r>
          </w:p>
        </w:tc>
        <w:tc>
          <w:tcPr>
            <w:tcW w:w="992" w:type="dxa"/>
            <w:shd w:val="solid" w:color="DBE5F1" w:fill="C6D9F1"/>
            <w:vAlign w:val="center"/>
          </w:tcPr>
          <w:p w:rsidR="002C4B48" w:rsidRPr="002C4B48" w:rsidRDefault="002C4B48" w:rsidP="002C4B48">
            <w:pPr>
              <w:spacing w:after="0"/>
              <w:rPr>
                <w:b/>
                <w:bCs/>
                <w:sz w:val="20"/>
              </w:rPr>
            </w:pPr>
            <w:r w:rsidRPr="002C4B48">
              <w:rPr>
                <w:b/>
                <w:bCs/>
                <w:sz w:val="20"/>
              </w:rPr>
              <w:t>2017–18</w:t>
            </w:r>
            <w:r w:rsidRPr="002C4B48">
              <w:rPr>
                <w:b/>
                <w:bCs/>
                <w:sz w:val="20"/>
              </w:rPr>
              <w:br/>
              <w:t>Updated in 2018</w:t>
            </w:r>
          </w:p>
        </w:tc>
        <w:tc>
          <w:tcPr>
            <w:tcW w:w="1066" w:type="dxa"/>
            <w:shd w:val="solid" w:color="DBE5F1" w:fill="C6D9F1"/>
            <w:vAlign w:val="center"/>
          </w:tcPr>
          <w:p w:rsidR="002C4B48" w:rsidRPr="002C4B48" w:rsidRDefault="002C4B48" w:rsidP="002C4B48">
            <w:pPr>
              <w:spacing w:after="0"/>
              <w:rPr>
                <w:b/>
                <w:bCs/>
                <w:sz w:val="20"/>
              </w:rPr>
            </w:pPr>
            <w:r w:rsidRPr="002C4B48">
              <w:rPr>
                <w:b/>
                <w:bCs/>
                <w:sz w:val="20"/>
              </w:rPr>
              <w:t>2018–19</w:t>
            </w:r>
            <w:r w:rsidRPr="002C4B48">
              <w:rPr>
                <w:b/>
                <w:bCs/>
                <w:sz w:val="20"/>
              </w:rPr>
              <w:br/>
              <w:t>Updated in 2019</w:t>
            </w:r>
          </w:p>
        </w:tc>
      </w:tr>
      <w:tr w:rsidR="002C4B48" w:rsidRPr="002C4B48" w:rsidTr="002C4B48">
        <w:trPr>
          <w:trHeight w:val="507"/>
          <w:jc w:val="center"/>
        </w:trPr>
        <w:tc>
          <w:tcPr>
            <w:tcW w:w="1569" w:type="dxa"/>
            <w:shd w:val="clear" w:color="auto" w:fill="auto"/>
            <w:vAlign w:val="center"/>
          </w:tcPr>
          <w:p w:rsidR="002C4B48" w:rsidRPr="002C4B48" w:rsidRDefault="002C4B48" w:rsidP="002C4B48">
            <w:pPr>
              <w:spacing w:after="0"/>
              <w:rPr>
                <w:sz w:val="20"/>
              </w:rPr>
            </w:pPr>
            <w:r w:rsidRPr="002C4B48">
              <w:rPr>
                <w:sz w:val="20"/>
              </w:rPr>
              <w:t>Expenses = X</w:t>
            </w:r>
          </w:p>
        </w:tc>
        <w:tc>
          <w:tcPr>
            <w:tcW w:w="1276" w:type="dxa"/>
            <w:vAlign w:val="center"/>
          </w:tcPr>
          <w:p w:rsidR="002C4B48" w:rsidRPr="002C4B48" w:rsidRDefault="002C4B48" w:rsidP="002C4B48">
            <w:pPr>
              <w:spacing w:after="0"/>
              <w:rPr>
                <w:sz w:val="20"/>
              </w:rPr>
            </w:pPr>
            <w:r w:rsidRPr="002C4B48">
              <w:rPr>
                <w:sz w:val="20"/>
              </w:rPr>
              <w:t>$205 524 816</w:t>
            </w:r>
          </w:p>
        </w:tc>
        <w:tc>
          <w:tcPr>
            <w:tcW w:w="1275" w:type="dxa"/>
            <w:vAlign w:val="center"/>
          </w:tcPr>
          <w:p w:rsidR="002C4B48" w:rsidRPr="002C4B48" w:rsidRDefault="002C4B48" w:rsidP="002C4B48">
            <w:pPr>
              <w:spacing w:after="0"/>
              <w:rPr>
                <w:sz w:val="20"/>
              </w:rPr>
            </w:pPr>
            <w:r w:rsidRPr="002C4B48">
              <w:rPr>
                <w:sz w:val="20"/>
              </w:rPr>
              <w:t>$216 723 099</w:t>
            </w:r>
          </w:p>
        </w:tc>
        <w:tc>
          <w:tcPr>
            <w:tcW w:w="1202" w:type="dxa"/>
            <w:vAlign w:val="center"/>
          </w:tcPr>
          <w:p w:rsidR="002C4B48" w:rsidRPr="002C4B48" w:rsidRDefault="002C4B48" w:rsidP="002C4B48">
            <w:pPr>
              <w:spacing w:after="0"/>
              <w:rPr>
                <w:sz w:val="20"/>
              </w:rPr>
            </w:pPr>
            <w:r w:rsidRPr="002C4B48">
              <w:rPr>
                <w:sz w:val="20"/>
              </w:rPr>
              <w:t>$208 863 649</w:t>
            </w:r>
          </w:p>
        </w:tc>
        <w:tc>
          <w:tcPr>
            <w:tcW w:w="1418" w:type="dxa"/>
            <w:shd w:val="clear" w:color="auto" w:fill="auto"/>
            <w:vAlign w:val="center"/>
          </w:tcPr>
          <w:p w:rsidR="002C4B48" w:rsidRPr="002C4B48" w:rsidRDefault="002C4B48" w:rsidP="002C4B48">
            <w:pPr>
              <w:spacing w:after="0"/>
              <w:rPr>
                <w:sz w:val="20"/>
              </w:rPr>
            </w:pPr>
            <w:r w:rsidRPr="002C4B48">
              <w:rPr>
                <w:sz w:val="20"/>
              </w:rPr>
              <w:t>$207 759 137</w:t>
            </w:r>
          </w:p>
        </w:tc>
        <w:tc>
          <w:tcPr>
            <w:tcW w:w="992" w:type="dxa"/>
            <w:shd w:val="clear" w:color="auto" w:fill="auto"/>
          </w:tcPr>
          <w:p w:rsidR="002C4B48" w:rsidRPr="002C4B48" w:rsidRDefault="002C4B48" w:rsidP="002C4B48">
            <w:pPr>
              <w:spacing w:after="0"/>
              <w:rPr>
                <w:sz w:val="20"/>
              </w:rPr>
            </w:pPr>
            <w:r w:rsidRPr="002C4B48">
              <w:rPr>
                <w:sz w:val="20"/>
              </w:rPr>
              <w:t>-</w:t>
            </w:r>
          </w:p>
        </w:tc>
        <w:tc>
          <w:tcPr>
            <w:tcW w:w="851" w:type="dxa"/>
            <w:shd w:val="clear" w:color="auto" w:fill="auto"/>
          </w:tcPr>
          <w:p w:rsidR="002C4B48" w:rsidRPr="002C4B48" w:rsidRDefault="002C4B48" w:rsidP="002C4B48">
            <w:pPr>
              <w:spacing w:after="0"/>
              <w:rPr>
                <w:sz w:val="20"/>
              </w:rPr>
            </w:pPr>
            <w:r w:rsidRPr="002C4B48">
              <w:rPr>
                <w:sz w:val="20"/>
              </w:rPr>
              <w:t>-</w:t>
            </w:r>
          </w:p>
        </w:tc>
        <w:tc>
          <w:tcPr>
            <w:tcW w:w="992" w:type="dxa"/>
            <w:shd w:val="clear" w:color="auto" w:fill="auto"/>
          </w:tcPr>
          <w:p w:rsidR="002C4B48" w:rsidRPr="002C4B48" w:rsidRDefault="002C4B48" w:rsidP="002C4B48">
            <w:pPr>
              <w:spacing w:after="0"/>
              <w:rPr>
                <w:sz w:val="20"/>
              </w:rPr>
            </w:pPr>
            <w:r w:rsidRPr="002C4B48">
              <w:rPr>
                <w:sz w:val="20"/>
              </w:rPr>
              <w:t>-</w:t>
            </w:r>
          </w:p>
        </w:tc>
        <w:tc>
          <w:tcPr>
            <w:tcW w:w="1066" w:type="dxa"/>
            <w:shd w:val="clear" w:color="auto" w:fill="auto"/>
          </w:tcPr>
          <w:p w:rsidR="002C4B48" w:rsidRPr="002C4B48" w:rsidRDefault="002C4B48" w:rsidP="002C4B48">
            <w:pPr>
              <w:spacing w:after="0"/>
              <w:rPr>
                <w:sz w:val="20"/>
              </w:rPr>
            </w:pPr>
            <w:r w:rsidRPr="002C4B48">
              <w:rPr>
                <w:sz w:val="20"/>
              </w:rPr>
              <w:t>-</w:t>
            </w:r>
          </w:p>
        </w:tc>
      </w:tr>
      <w:tr w:rsidR="002C4B48" w:rsidRPr="002C4B48" w:rsidTr="002C4B48">
        <w:trPr>
          <w:trHeight w:val="494"/>
          <w:jc w:val="center"/>
        </w:trPr>
        <w:tc>
          <w:tcPr>
            <w:tcW w:w="1569" w:type="dxa"/>
            <w:shd w:val="clear" w:color="auto" w:fill="auto"/>
            <w:vAlign w:val="center"/>
          </w:tcPr>
          <w:p w:rsidR="002C4B48" w:rsidRPr="002C4B48" w:rsidRDefault="002C4B48" w:rsidP="002C4B48">
            <w:pPr>
              <w:spacing w:after="0"/>
              <w:rPr>
                <w:sz w:val="20"/>
              </w:rPr>
            </w:pPr>
            <w:r w:rsidRPr="002C4B48">
              <w:rPr>
                <w:sz w:val="20"/>
              </w:rPr>
              <w:t>Revenue = Y</w:t>
            </w:r>
          </w:p>
        </w:tc>
        <w:tc>
          <w:tcPr>
            <w:tcW w:w="1276" w:type="dxa"/>
          </w:tcPr>
          <w:p w:rsidR="002C4B48" w:rsidRPr="002C4B48" w:rsidRDefault="002C4B48" w:rsidP="002C4B48">
            <w:pPr>
              <w:spacing w:after="0"/>
              <w:rPr>
                <w:sz w:val="20"/>
              </w:rPr>
            </w:pPr>
            <w:r w:rsidRPr="002C4B48">
              <w:rPr>
                <w:sz w:val="20"/>
              </w:rPr>
              <w:t>$201 636 087</w:t>
            </w:r>
          </w:p>
        </w:tc>
        <w:tc>
          <w:tcPr>
            <w:tcW w:w="1275" w:type="dxa"/>
          </w:tcPr>
          <w:p w:rsidR="002C4B48" w:rsidRPr="002C4B48" w:rsidRDefault="002C4B48" w:rsidP="002C4B48">
            <w:pPr>
              <w:spacing w:after="0"/>
              <w:rPr>
                <w:sz w:val="20"/>
              </w:rPr>
            </w:pPr>
            <w:r w:rsidRPr="002C4B48">
              <w:rPr>
                <w:sz w:val="20"/>
              </w:rPr>
              <w:t>$197 317 503</w:t>
            </w:r>
          </w:p>
        </w:tc>
        <w:tc>
          <w:tcPr>
            <w:tcW w:w="1202" w:type="dxa"/>
          </w:tcPr>
          <w:p w:rsidR="002C4B48" w:rsidRPr="002C4B48" w:rsidRDefault="002C4B48" w:rsidP="002C4B48">
            <w:pPr>
              <w:spacing w:after="0"/>
              <w:rPr>
                <w:sz w:val="20"/>
              </w:rPr>
            </w:pPr>
            <w:r w:rsidRPr="002C4B48">
              <w:rPr>
                <w:sz w:val="20"/>
              </w:rPr>
              <w:t>$200 718 649</w:t>
            </w:r>
          </w:p>
        </w:tc>
        <w:tc>
          <w:tcPr>
            <w:tcW w:w="1418" w:type="dxa"/>
            <w:shd w:val="clear" w:color="auto" w:fill="auto"/>
            <w:vAlign w:val="center"/>
          </w:tcPr>
          <w:p w:rsidR="002C4B48" w:rsidRPr="002C4B48" w:rsidRDefault="002C4B48" w:rsidP="002C4B48">
            <w:pPr>
              <w:spacing w:after="0"/>
              <w:rPr>
                <w:sz w:val="20"/>
              </w:rPr>
            </w:pPr>
            <w:r w:rsidRPr="002C4B48">
              <w:rPr>
                <w:sz w:val="20"/>
              </w:rPr>
              <w:t>$226 343 179</w:t>
            </w:r>
          </w:p>
        </w:tc>
        <w:tc>
          <w:tcPr>
            <w:tcW w:w="992" w:type="dxa"/>
            <w:shd w:val="clear" w:color="auto" w:fill="auto"/>
          </w:tcPr>
          <w:p w:rsidR="002C4B48" w:rsidRPr="002C4B48" w:rsidRDefault="002C4B48" w:rsidP="002C4B48">
            <w:pPr>
              <w:spacing w:after="0"/>
              <w:rPr>
                <w:sz w:val="20"/>
              </w:rPr>
            </w:pPr>
            <w:r w:rsidRPr="002C4B48">
              <w:rPr>
                <w:sz w:val="20"/>
              </w:rPr>
              <w:t>-</w:t>
            </w:r>
          </w:p>
        </w:tc>
        <w:tc>
          <w:tcPr>
            <w:tcW w:w="851" w:type="dxa"/>
            <w:shd w:val="clear" w:color="auto" w:fill="auto"/>
          </w:tcPr>
          <w:p w:rsidR="002C4B48" w:rsidRPr="002C4B48" w:rsidRDefault="002C4B48" w:rsidP="002C4B48">
            <w:pPr>
              <w:spacing w:after="0"/>
              <w:rPr>
                <w:sz w:val="20"/>
              </w:rPr>
            </w:pPr>
            <w:r w:rsidRPr="002C4B48">
              <w:rPr>
                <w:sz w:val="20"/>
              </w:rPr>
              <w:t>-</w:t>
            </w:r>
          </w:p>
        </w:tc>
        <w:tc>
          <w:tcPr>
            <w:tcW w:w="992" w:type="dxa"/>
            <w:shd w:val="clear" w:color="auto" w:fill="auto"/>
          </w:tcPr>
          <w:p w:rsidR="002C4B48" w:rsidRPr="002C4B48" w:rsidRDefault="002C4B48" w:rsidP="002C4B48">
            <w:pPr>
              <w:spacing w:after="0"/>
              <w:rPr>
                <w:sz w:val="20"/>
              </w:rPr>
            </w:pPr>
            <w:r w:rsidRPr="002C4B48">
              <w:rPr>
                <w:sz w:val="20"/>
              </w:rPr>
              <w:t>-</w:t>
            </w:r>
          </w:p>
        </w:tc>
        <w:tc>
          <w:tcPr>
            <w:tcW w:w="1066" w:type="dxa"/>
            <w:shd w:val="clear" w:color="auto" w:fill="auto"/>
          </w:tcPr>
          <w:p w:rsidR="002C4B48" w:rsidRPr="002C4B48" w:rsidRDefault="002C4B48" w:rsidP="002C4B48">
            <w:pPr>
              <w:spacing w:after="0"/>
              <w:rPr>
                <w:sz w:val="20"/>
              </w:rPr>
            </w:pPr>
            <w:r w:rsidRPr="002C4B48">
              <w:rPr>
                <w:sz w:val="20"/>
              </w:rPr>
              <w:t>-</w:t>
            </w:r>
          </w:p>
        </w:tc>
      </w:tr>
      <w:tr w:rsidR="002C4B48" w:rsidRPr="002C4B48" w:rsidTr="002C4B48">
        <w:trPr>
          <w:trHeight w:val="507"/>
          <w:jc w:val="center"/>
        </w:trPr>
        <w:tc>
          <w:tcPr>
            <w:tcW w:w="1569" w:type="dxa"/>
            <w:shd w:val="clear" w:color="auto" w:fill="auto"/>
            <w:vAlign w:val="center"/>
          </w:tcPr>
          <w:p w:rsidR="002C4B48" w:rsidRPr="002C4B48" w:rsidRDefault="002C4B48" w:rsidP="002C4B48">
            <w:pPr>
              <w:spacing w:after="0"/>
              <w:rPr>
                <w:sz w:val="20"/>
              </w:rPr>
            </w:pPr>
            <w:r w:rsidRPr="002C4B48">
              <w:rPr>
                <w:sz w:val="20"/>
              </w:rPr>
              <w:t>Balance = Y – X</w:t>
            </w:r>
          </w:p>
        </w:tc>
        <w:tc>
          <w:tcPr>
            <w:tcW w:w="1276" w:type="dxa"/>
          </w:tcPr>
          <w:p w:rsidR="002C4B48" w:rsidRPr="002C4B48" w:rsidRDefault="002C4B48" w:rsidP="002C4B48">
            <w:pPr>
              <w:spacing w:after="0"/>
              <w:rPr>
                <w:sz w:val="20"/>
              </w:rPr>
            </w:pPr>
            <w:r w:rsidRPr="002C4B48">
              <w:rPr>
                <w:sz w:val="20"/>
              </w:rPr>
              <w:t>-$3 888 729</w:t>
            </w:r>
          </w:p>
        </w:tc>
        <w:tc>
          <w:tcPr>
            <w:tcW w:w="1275" w:type="dxa"/>
          </w:tcPr>
          <w:p w:rsidR="002C4B48" w:rsidRPr="002C4B48" w:rsidRDefault="002C4B48" w:rsidP="002C4B48">
            <w:pPr>
              <w:spacing w:after="0"/>
              <w:rPr>
                <w:sz w:val="20"/>
              </w:rPr>
            </w:pPr>
            <w:r w:rsidRPr="002C4B48">
              <w:rPr>
                <w:sz w:val="20"/>
              </w:rPr>
              <w:t>-$19 405 596</w:t>
            </w:r>
          </w:p>
        </w:tc>
        <w:tc>
          <w:tcPr>
            <w:tcW w:w="1202" w:type="dxa"/>
          </w:tcPr>
          <w:p w:rsidR="002C4B48" w:rsidRPr="002C4B48" w:rsidRDefault="002C4B48" w:rsidP="002C4B48">
            <w:pPr>
              <w:spacing w:after="0"/>
              <w:rPr>
                <w:sz w:val="20"/>
              </w:rPr>
            </w:pPr>
            <w:r w:rsidRPr="002C4B48">
              <w:rPr>
                <w:sz w:val="20"/>
              </w:rPr>
              <w:t>-$8 145 000</w:t>
            </w:r>
          </w:p>
        </w:tc>
        <w:tc>
          <w:tcPr>
            <w:tcW w:w="1418" w:type="dxa"/>
            <w:shd w:val="clear" w:color="auto" w:fill="auto"/>
            <w:vAlign w:val="center"/>
          </w:tcPr>
          <w:p w:rsidR="002C4B48" w:rsidRPr="002C4B48" w:rsidRDefault="002C4B48" w:rsidP="002C4B48">
            <w:pPr>
              <w:spacing w:after="0"/>
              <w:rPr>
                <w:sz w:val="20"/>
              </w:rPr>
            </w:pPr>
            <w:r w:rsidRPr="002C4B48">
              <w:rPr>
                <w:sz w:val="20"/>
              </w:rPr>
              <w:t>$18 584 042</w:t>
            </w:r>
          </w:p>
        </w:tc>
        <w:tc>
          <w:tcPr>
            <w:tcW w:w="992" w:type="dxa"/>
            <w:shd w:val="clear" w:color="auto" w:fill="auto"/>
          </w:tcPr>
          <w:p w:rsidR="002C4B48" w:rsidRPr="002C4B48" w:rsidRDefault="002C4B48" w:rsidP="002C4B48">
            <w:pPr>
              <w:spacing w:after="0"/>
              <w:rPr>
                <w:sz w:val="20"/>
              </w:rPr>
            </w:pPr>
            <w:r w:rsidRPr="002C4B48">
              <w:rPr>
                <w:sz w:val="20"/>
              </w:rPr>
              <w:t>-</w:t>
            </w:r>
          </w:p>
        </w:tc>
        <w:tc>
          <w:tcPr>
            <w:tcW w:w="851" w:type="dxa"/>
            <w:shd w:val="clear" w:color="auto" w:fill="auto"/>
          </w:tcPr>
          <w:p w:rsidR="002C4B48" w:rsidRPr="002C4B48" w:rsidRDefault="002C4B48" w:rsidP="002C4B48">
            <w:pPr>
              <w:spacing w:after="0"/>
              <w:rPr>
                <w:sz w:val="20"/>
              </w:rPr>
            </w:pPr>
            <w:r w:rsidRPr="002C4B48">
              <w:rPr>
                <w:sz w:val="20"/>
              </w:rPr>
              <w:t>-</w:t>
            </w:r>
          </w:p>
        </w:tc>
        <w:tc>
          <w:tcPr>
            <w:tcW w:w="992" w:type="dxa"/>
            <w:shd w:val="clear" w:color="auto" w:fill="auto"/>
          </w:tcPr>
          <w:p w:rsidR="002C4B48" w:rsidRPr="002C4B48" w:rsidRDefault="002C4B48" w:rsidP="002C4B48">
            <w:pPr>
              <w:spacing w:after="0"/>
              <w:rPr>
                <w:sz w:val="20"/>
              </w:rPr>
            </w:pPr>
            <w:r w:rsidRPr="002C4B48">
              <w:rPr>
                <w:sz w:val="20"/>
              </w:rPr>
              <w:t>-</w:t>
            </w:r>
          </w:p>
        </w:tc>
        <w:tc>
          <w:tcPr>
            <w:tcW w:w="1066" w:type="dxa"/>
            <w:shd w:val="clear" w:color="auto" w:fill="auto"/>
          </w:tcPr>
          <w:p w:rsidR="002C4B48" w:rsidRPr="002C4B48" w:rsidRDefault="002C4B48" w:rsidP="002C4B48">
            <w:pPr>
              <w:spacing w:after="0"/>
              <w:rPr>
                <w:sz w:val="20"/>
              </w:rPr>
            </w:pPr>
            <w:r w:rsidRPr="002C4B48">
              <w:rPr>
                <w:sz w:val="20"/>
              </w:rPr>
              <w:t>-</w:t>
            </w:r>
          </w:p>
        </w:tc>
      </w:tr>
    </w:tbl>
    <w:p w:rsidR="002C4B48" w:rsidRPr="002C4B48" w:rsidRDefault="002C4B48" w:rsidP="002C4B48">
      <w:bookmarkStart w:id="89" w:name="_Toc417651799"/>
      <w:bookmarkStart w:id="90" w:name="_Toc424755472"/>
      <w:r w:rsidRPr="002C4B48">
        <w:t>Note: revenue and expenditure for appropriation funded biosecurity activities for passenger and mail clearance are not included in these totals because they are not cost recovered.</w:t>
      </w:r>
    </w:p>
    <w:p w:rsidR="002C4B48" w:rsidRPr="002C4B48" w:rsidRDefault="002C4B48" w:rsidP="00530A65">
      <w:pPr>
        <w:pStyle w:val="Heading3"/>
      </w:pPr>
      <w:bookmarkStart w:id="91" w:name="_Toc433713881"/>
      <w:r w:rsidRPr="002C4B48">
        <w:t>Non-financial performance</w:t>
      </w:r>
      <w:bookmarkEnd w:id="89"/>
      <w:bookmarkEnd w:id="90"/>
      <w:bookmarkEnd w:id="91"/>
      <w:r w:rsidRPr="002C4B48">
        <w:t xml:space="preserve"> </w:t>
      </w:r>
    </w:p>
    <w:p w:rsidR="002C4B48" w:rsidRPr="002C4B48" w:rsidRDefault="002C4B48" w:rsidP="002C4B48">
      <w:pPr>
        <w:keepNext/>
      </w:pPr>
      <w:r w:rsidRPr="002C4B48">
        <w:t xml:space="preserve">Key non-financial performance measures </w:t>
      </w:r>
      <w:proofErr w:type="gramStart"/>
      <w:r w:rsidRPr="002C4B48">
        <w:t>are made</w:t>
      </w:r>
      <w:proofErr w:type="gramEnd"/>
      <w:r w:rsidRPr="002C4B48">
        <w:t xml:space="preserve"> available in the department’s annual report.</w:t>
      </w:r>
    </w:p>
    <w:p w:rsidR="002C4B48" w:rsidRPr="002C4B48" w:rsidRDefault="002C4B48" w:rsidP="002C4B48">
      <w:pPr>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5</w:t>
      </w:r>
      <w:r w:rsidRPr="002C4B48">
        <w:rPr>
          <w:b/>
          <w:bCs/>
          <w:noProof/>
          <w:color w:val="548DD4"/>
          <w:szCs w:val="18"/>
        </w:rPr>
        <w:fldChar w:fldCharType="end"/>
      </w:r>
      <w:r w:rsidRPr="002C4B48">
        <w:rPr>
          <w:b/>
          <w:bCs/>
          <w:color w:val="548DD4"/>
          <w:szCs w:val="18"/>
        </w:rPr>
        <w:t>: Non-financial performance measures—biosecurity cost recovery arrangement</w:t>
      </w:r>
    </w:p>
    <w:tbl>
      <w:tblPr>
        <w:tblW w:w="10348"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686"/>
        <w:gridCol w:w="1772"/>
        <w:gridCol w:w="1630"/>
        <w:gridCol w:w="1630"/>
        <w:gridCol w:w="1630"/>
      </w:tblGrid>
      <w:tr w:rsidR="002C4B48" w:rsidRPr="002C4B48" w:rsidTr="002C4B48">
        <w:trPr>
          <w:tblHeader/>
        </w:trPr>
        <w:tc>
          <w:tcPr>
            <w:tcW w:w="3686"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C4B48" w:rsidRPr="002C4B48" w:rsidRDefault="002C4B48" w:rsidP="002C4B48">
            <w:pPr>
              <w:spacing w:after="0"/>
              <w:rPr>
                <w:sz w:val="20"/>
              </w:rPr>
            </w:pPr>
            <w:r w:rsidRPr="002C4B48">
              <w:rPr>
                <w:sz w:val="20"/>
              </w:rPr>
              <w:t>Key Performance Indicator</w:t>
            </w:r>
          </w:p>
        </w:tc>
        <w:tc>
          <w:tcPr>
            <w:tcW w:w="177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C4B48" w:rsidRPr="002C4B48" w:rsidRDefault="002C4B48" w:rsidP="002C4B48">
            <w:pPr>
              <w:spacing w:after="0"/>
              <w:rPr>
                <w:sz w:val="20"/>
                <w:szCs w:val="20"/>
              </w:rPr>
            </w:pPr>
            <w:r w:rsidRPr="002C4B48">
              <w:rPr>
                <w:sz w:val="20"/>
                <w:szCs w:val="20"/>
              </w:rPr>
              <w:t>2015–16 Target</w:t>
            </w:r>
          </w:p>
        </w:tc>
        <w:tc>
          <w:tcPr>
            <w:tcW w:w="1630"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C4B48" w:rsidRPr="002C4B48" w:rsidRDefault="002C4B48" w:rsidP="002C4B48">
            <w:pPr>
              <w:spacing w:after="0"/>
              <w:rPr>
                <w:sz w:val="20"/>
                <w:szCs w:val="20"/>
              </w:rPr>
            </w:pPr>
            <w:r w:rsidRPr="002C4B48">
              <w:rPr>
                <w:sz w:val="20"/>
                <w:szCs w:val="20"/>
              </w:rPr>
              <w:t>2016–17 Target</w:t>
            </w:r>
          </w:p>
        </w:tc>
        <w:tc>
          <w:tcPr>
            <w:tcW w:w="1630"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C4B48" w:rsidRPr="002C4B48" w:rsidRDefault="002C4B48" w:rsidP="002C4B48">
            <w:pPr>
              <w:spacing w:after="0"/>
              <w:rPr>
                <w:sz w:val="20"/>
                <w:szCs w:val="20"/>
              </w:rPr>
            </w:pPr>
            <w:r w:rsidRPr="002C4B48">
              <w:rPr>
                <w:sz w:val="20"/>
                <w:szCs w:val="20"/>
              </w:rPr>
              <w:t>2017–18 Target</w:t>
            </w:r>
          </w:p>
        </w:tc>
        <w:tc>
          <w:tcPr>
            <w:tcW w:w="1630"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C4B48" w:rsidRPr="002C4B48" w:rsidRDefault="002C4B48" w:rsidP="002C4B48">
            <w:pPr>
              <w:spacing w:after="0"/>
              <w:rPr>
                <w:sz w:val="20"/>
                <w:szCs w:val="20"/>
              </w:rPr>
            </w:pPr>
            <w:r w:rsidRPr="002C4B48">
              <w:rPr>
                <w:sz w:val="20"/>
                <w:szCs w:val="20"/>
              </w:rPr>
              <w:t>2018–19 Target</w:t>
            </w:r>
          </w:p>
        </w:tc>
      </w:tr>
      <w:tr w:rsidR="002C4B48" w:rsidRPr="002C4B48" w:rsidTr="002C4B48">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4B48" w:rsidRPr="002C4B48" w:rsidRDefault="002C4B48" w:rsidP="002C4B48">
            <w:pPr>
              <w:spacing w:after="0"/>
              <w:rPr>
                <w:sz w:val="20"/>
              </w:rPr>
            </w:pPr>
            <w:r w:rsidRPr="002C4B48">
              <w:rPr>
                <w:sz w:val="20"/>
              </w:rPr>
              <w:t>Improvement in third party rate of compliance with biosecurity arrangements</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B48" w:rsidRPr="002C4B48" w:rsidRDefault="002C4B48" w:rsidP="002C4B48">
            <w:pPr>
              <w:spacing w:after="0"/>
              <w:rPr>
                <w:sz w:val="20"/>
              </w:rPr>
            </w:pPr>
            <w:r w:rsidRPr="002C4B48">
              <w:rPr>
                <w:sz w:val="20"/>
              </w:rPr>
              <w:t>5 percent improvement annually</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B48" w:rsidRPr="002C4B48" w:rsidRDefault="002C4B48" w:rsidP="002C4B48">
            <w:pPr>
              <w:spacing w:after="0"/>
              <w:rPr>
                <w:sz w:val="20"/>
              </w:rPr>
            </w:pPr>
            <w:r w:rsidRPr="002C4B48">
              <w:rPr>
                <w:sz w:val="20"/>
              </w:rPr>
              <w:t>5 percent improvement annually</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B48" w:rsidRPr="002C4B48" w:rsidRDefault="002C4B48" w:rsidP="002C4B48">
            <w:pPr>
              <w:spacing w:after="0"/>
              <w:rPr>
                <w:sz w:val="20"/>
              </w:rPr>
            </w:pPr>
            <w:r w:rsidRPr="002C4B48">
              <w:rPr>
                <w:sz w:val="20"/>
              </w:rPr>
              <w:t>5 percent improvement annually</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4B48" w:rsidRPr="002C4B48" w:rsidRDefault="002C4B48" w:rsidP="002C4B48">
            <w:pPr>
              <w:spacing w:after="0"/>
              <w:rPr>
                <w:sz w:val="20"/>
              </w:rPr>
            </w:pPr>
            <w:r w:rsidRPr="002C4B48">
              <w:rPr>
                <w:sz w:val="20"/>
              </w:rPr>
              <w:t>5 percent improvement annually</w:t>
            </w:r>
          </w:p>
        </w:tc>
      </w:tr>
      <w:tr w:rsidR="002C4B48" w:rsidRPr="002C4B48" w:rsidTr="002C4B48">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4B48" w:rsidRPr="002C4B48" w:rsidRDefault="002C4B48" w:rsidP="002C4B48">
            <w:pPr>
              <w:spacing w:after="0"/>
              <w:rPr>
                <w:sz w:val="20"/>
              </w:rPr>
            </w:pPr>
            <w:r w:rsidRPr="002C4B48">
              <w:rPr>
                <w:sz w:val="20"/>
              </w:rPr>
              <w:t>Sea cargo consignment clearance times median arrival-to-release time (in days)</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days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days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days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days </w:t>
            </w:r>
          </w:p>
        </w:tc>
      </w:tr>
      <w:tr w:rsidR="002C4B48" w:rsidRPr="002C4B48" w:rsidTr="002C4B48">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C4B48" w:rsidRPr="002C4B48" w:rsidRDefault="002C4B48" w:rsidP="002C4B48">
            <w:pPr>
              <w:spacing w:after="0"/>
              <w:rPr>
                <w:sz w:val="20"/>
              </w:rPr>
            </w:pPr>
            <w:r w:rsidRPr="002C4B48">
              <w:rPr>
                <w:sz w:val="20"/>
              </w:rPr>
              <w:lastRenderedPageBreak/>
              <w:t>Air cargo consignment clearance times median arrival-to-release time (in hours)</w:t>
            </w:r>
          </w:p>
        </w:tc>
        <w:tc>
          <w:tcPr>
            <w:tcW w:w="1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hours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hours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hours </w:t>
            </w:r>
          </w:p>
        </w:tc>
        <w:tc>
          <w:tcPr>
            <w:tcW w:w="1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C4B48" w:rsidRPr="002C4B48" w:rsidRDefault="002C4B48" w:rsidP="002C4B48">
            <w:pPr>
              <w:spacing w:after="0"/>
              <w:rPr>
                <w:sz w:val="20"/>
              </w:rPr>
            </w:pPr>
            <w:r w:rsidRPr="002C4B48">
              <w:rPr>
                <w:sz w:val="20"/>
              </w:rPr>
              <w:t xml:space="preserve">&lt;2 hours </w:t>
            </w:r>
          </w:p>
        </w:tc>
      </w:tr>
    </w:tbl>
    <w:p w:rsidR="002C4B48" w:rsidRPr="002C4B48" w:rsidRDefault="002C4B48" w:rsidP="00530A65">
      <w:pPr>
        <w:pStyle w:val="Heading2"/>
      </w:pPr>
      <w:bookmarkStart w:id="92" w:name="_Toc424755473"/>
      <w:bookmarkStart w:id="93" w:name="_Toc433713882"/>
      <w:r w:rsidRPr="002C4B48">
        <w:lastRenderedPageBreak/>
        <w:t>Risk management</w:t>
      </w:r>
      <w:bookmarkEnd w:id="92"/>
      <w:bookmarkEnd w:id="93"/>
    </w:p>
    <w:p w:rsidR="002C4B48" w:rsidRPr="002C4B48" w:rsidRDefault="002C4B48" w:rsidP="002C4B48">
      <w:r w:rsidRPr="002C4B48">
        <w:t xml:space="preserve">The department completed a Cost Recovery Risk Assessment (CCRA) for the redesign of its biosecurity and export certification cost recovery arrangements. The CRRA’s overall risk rating for the redesign is medium. Under the CRRA methodology, an overall rating is high if three or more predetermined criteria are categorised as high across the CRRA’s seven implementation risks. </w:t>
      </w:r>
    </w:p>
    <w:p w:rsidR="002C4B48" w:rsidRPr="002C4B48" w:rsidRDefault="002C4B48" w:rsidP="002C4B48">
      <w:r w:rsidRPr="002C4B48">
        <w:t xml:space="preserve">Only </w:t>
      </w:r>
      <w:proofErr w:type="gramStart"/>
      <w:r w:rsidRPr="002C4B48">
        <w:t>two implementation</w:t>
      </w:r>
      <w:proofErr w:type="gramEnd"/>
      <w:r w:rsidRPr="002C4B48">
        <w:t xml:space="preserve"> risks fall into the high category: over $330 million in annual costs are to be recovered; and some activities that had not been previously cost recovered will now be cost recovered. Four implementation risks are in the medium category: the types of charges used are fees and levies, acts of Parliament enable the changes; there is a medium level of impact on payers; and that stakeholders </w:t>
      </w:r>
      <w:proofErr w:type="gramStart"/>
      <w:r w:rsidRPr="002C4B48">
        <w:t>have been consulted</w:t>
      </w:r>
      <w:proofErr w:type="gramEnd"/>
      <w:r w:rsidRPr="002C4B48">
        <w:t xml:space="preserve"> and have raised issues, but these issues can be addressed. One implementation risk, that the change in annual cost recovery revenue is less than 5 per cent from the current arrangements, falls in the low risk category. </w:t>
      </w:r>
    </w:p>
    <w:p w:rsidR="002C4B48" w:rsidRPr="002C4B48" w:rsidRDefault="002C4B48" w:rsidP="002C4B48">
      <w:r w:rsidRPr="002C4B48">
        <w:t>In addition to the CRRA, the department has considered a number of risks (Table 6) associated with cost recovering biosecurity activities.</w:t>
      </w:r>
    </w:p>
    <w:p w:rsidR="002C4B48" w:rsidRPr="002C4B48" w:rsidRDefault="002C4B48" w:rsidP="002C4B48">
      <w:pPr>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6</w:t>
      </w:r>
      <w:r w:rsidRPr="002C4B48">
        <w:rPr>
          <w:b/>
          <w:bCs/>
          <w:color w:val="548DD4"/>
          <w:szCs w:val="18"/>
        </w:rPr>
        <w:fldChar w:fldCharType="end"/>
      </w:r>
      <w:r w:rsidRPr="002C4B48">
        <w:rPr>
          <w:b/>
          <w:bCs/>
          <w:color w:val="548DD4"/>
          <w:szCs w:val="18"/>
        </w:rPr>
        <w:t>: Risks—biosecurity cost recovery arrangement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0"/>
        <w:gridCol w:w="4600"/>
      </w:tblGrid>
      <w:tr w:rsidR="002C4B48" w:rsidRPr="002C4B48" w:rsidTr="002C4B48">
        <w:trPr>
          <w:tblHeader/>
        </w:trPr>
        <w:tc>
          <w:tcPr>
            <w:tcW w:w="0" w:type="auto"/>
            <w:tcBorders>
              <w:bottom w:val="single" w:sz="4" w:space="0" w:color="auto"/>
            </w:tcBorders>
            <w:shd w:val="solid" w:color="DBE5F1" w:fill="C6D9F1"/>
            <w:vAlign w:val="center"/>
          </w:tcPr>
          <w:p w:rsidR="002C4B48" w:rsidRPr="002C4B48" w:rsidRDefault="002C4B48" w:rsidP="002C4B48">
            <w:r w:rsidRPr="002C4B48">
              <w:t>Risk</w:t>
            </w:r>
          </w:p>
        </w:tc>
        <w:tc>
          <w:tcPr>
            <w:tcW w:w="0" w:type="auto"/>
            <w:shd w:val="solid" w:color="DBE5F1" w:fill="C6D9F1"/>
            <w:vAlign w:val="center"/>
          </w:tcPr>
          <w:p w:rsidR="002C4B48" w:rsidRPr="002C4B48" w:rsidRDefault="002C4B48" w:rsidP="002C4B48">
            <w:r w:rsidRPr="002C4B48">
              <w:t>Management</w:t>
            </w:r>
          </w:p>
        </w:tc>
      </w:tr>
      <w:tr w:rsidR="002C4B48" w:rsidRPr="002C4B48" w:rsidTr="002C4B48">
        <w:trPr>
          <w:trHeight w:val="444"/>
        </w:trPr>
        <w:tc>
          <w:tcPr>
            <w:tcW w:w="0" w:type="auto"/>
            <w:tcBorders>
              <w:top w:val="single" w:sz="4" w:space="0" w:color="auto"/>
              <w:left w:val="single" w:sz="4" w:space="0" w:color="auto"/>
              <w:bottom w:val="single" w:sz="4" w:space="0" w:color="auto"/>
              <w:right w:val="single" w:sz="4" w:space="0" w:color="auto"/>
            </w:tcBorders>
            <w:shd w:val="clear" w:color="auto" w:fill="auto"/>
          </w:tcPr>
          <w:p w:rsidR="002C4B48" w:rsidRPr="002C4B48" w:rsidRDefault="002C4B48" w:rsidP="002C4B48">
            <w:r w:rsidRPr="002C4B48">
              <w:t>The redesigned fee and levy structure doesn’t support future regulatory reforms</w:t>
            </w:r>
          </w:p>
        </w:tc>
        <w:tc>
          <w:tcPr>
            <w:tcW w:w="0" w:type="auto"/>
            <w:tcBorders>
              <w:left w:val="single" w:sz="4" w:space="0" w:color="auto"/>
            </w:tcBorders>
            <w:shd w:val="clear" w:color="auto" w:fill="auto"/>
          </w:tcPr>
          <w:p w:rsidR="002C4B48" w:rsidRPr="002C4B48" w:rsidRDefault="002C4B48" w:rsidP="002C4B48">
            <w:r w:rsidRPr="002C4B48">
              <w:t xml:space="preserve">The fee and levy structure </w:t>
            </w:r>
            <w:proofErr w:type="gramStart"/>
            <w:r w:rsidRPr="002C4B48">
              <w:t>has been designed</w:t>
            </w:r>
            <w:proofErr w:type="gramEnd"/>
            <w:r w:rsidRPr="002C4B48">
              <w:t xml:space="preserve"> taking into consideration future reforms. The structure </w:t>
            </w:r>
            <w:proofErr w:type="gramStart"/>
            <w:r w:rsidRPr="002C4B48">
              <w:t>has been developed</w:t>
            </w:r>
            <w:proofErr w:type="gramEnd"/>
            <w:r w:rsidRPr="002C4B48">
              <w:t xml:space="preserve"> to enable it to be adapted to the proposed reforms.</w:t>
            </w:r>
          </w:p>
        </w:tc>
      </w:tr>
      <w:tr w:rsidR="002C4B48" w:rsidRPr="002C4B48" w:rsidTr="002C4B48">
        <w:trPr>
          <w:trHeight w:val="444"/>
        </w:trPr>
        <w:tc>
          <w:tcPr>
            <w:tcW w:w="0" w:type="auto"/>
            <w:tcBorders>
              <w:top w:val="single" w:sz="4" w:space="0" w:color="auto"/>
              <w:left w:val="single" w:sz="4" w:space="0" w:color="auto"/>
              <w:bottom w:val="single" w:sz="4" w:space="0" w:color="auto"/>
              <w:right w:val="single" w:sz="4" w:space="0" w:color="auto"/>
            </w:tcBorders>
            <w:shd w:val="clear" w:color="auto" w:fill="auto"/>
          </w:tcPr>
          <w:p w:rsidR="002C4B48" w:rsidRPr="002C4B48" w:rsidRDefault="002C4B48" w:rsidP="002C4B48">
            <w:r w:rsidRPr="002C4B48">
              <w:t>Government policy changes and activities described are no longer undertaken</w:t>
            </w:r>
          </w:p>
        </w:tc>
        <w:tc>
          <w:tcPr>
            <w:tcW w:w="0" w:type="auto"/>
            <w:tcBorders>
              <w:left w:val="single" w:sz="4" w:space="0" w:color="auto"/>
            </w:tcBorders>
            <w:shd w:val="clear" w:color="auto" w:fill="auto"/>
          </w:tcPr>
          <w:p w:rsidR="002C4B48" w:rsidRPr="002C4B48" w:rsidRDefault="002C4B48" w:rsidP="002C4B48">
            <w:r w:rsidRPr="002C4B48">
              <w:t>Regular assessments of the arrangement will inform whether a cost recovery review is required.</w:t>
            </w:r>
          </w:p>
        </w:tc>
      </w:tr>
      <w:tr w:rsidR="002C4B48" w:rsidRPr="002C4B48" w:rsidTr="002C4B48">
        <w:trPr>
          <w:trHeight w:val="444"/>
        </w:trPr>
        <w:tc>
          <w:tcPr>
            <w:tcW w:w="0" w:type="auto"/>
            <w:tcBorders>
              <w:top w:val="single" w:sz="4" w:space="0" w:color="auto"/>
              <w:left w:val="single" w:sz="4" w:space="0" w:color="auto"/>
              <w:bottom w:val="single" w:sz="4" w:space="0" w:color="auto"/>
              <w:right w:val="single" w:sz="4" w:space="0" w:color="auto"/>
            </w:tcBorders>
            <w:shd w:val="clear" w:color="auto" w:fill="auto"/>
          </w:tcPr>
          <w:p w:rsidR="002C4B48" w:rsidRPr="002C4B48" w:rsidRDefault="002C4B48" w:rsidP="002C4B48">
            <w:r w:rsidRPr="002C4B48">
              <w:t>Pest or disease outbreak in exporting country reducing or ceasing importation into Australia—the cost of providing biosecurity services no longer reflects associated effort</w:t>
            </w:r>
          </w:p>
        </w:tc>
        <w:tc>
          <w:tcPr>
            <w:tcW w:w="0" w:type="auto"/>
            <w:tcBorders>
              <w:left w:val="single" w:sz="4" w:space="0" w:color="auto"/>
            </w:tcBorders>
            <w:shd w:val="clear" w:color="auto" w:fill="auto"/>
          </w:tcPr>
          <w:p w:rsidR="002C4B48" w:rsidRPr="002C4B48" w:rsidRDefault="002C4B48" w:rsidP="002C4B48">
            <w:r w:rsidRPr="002C4B48">
              <w:t>Regular assessments of the arrangement will inform whether a cost recovery review is required.</w:t>
            </w:r>
          </w:p>
        </w:tc>
      </w:tr>
      <w:tr w:rsidR="002C4B48" w:rsidRPr="002C4B48" w:rsidTr="002C4B48">
        <w:trPr>
          <w:trHeight w:val="444"/>
        </w:trPr>
        <w:tc>
          <w:tcPr>
            <w:tcW w:w="0" w:type="auto"/>
            <w:tcBorders>
              <w:top w:val="single" w:sz="4" w:space="0" w:color="auto"/>
              <w:left w:val="single" w:sz="4" w:space="0" w:color="auto"/>
              <w:bottom w:val="single" w:sz="4" w:space="0" w:color="auto"/>
              <w:right w:val="single" w:sz="4" w:space="0" w:color="auto"/>
            </w:tcBorders>
            <w:shd w:val="clear" w:color="auto" w:fill="auto"/>
          </w:tcPr>
          <w:p w:rsidR="002C4B48" w:rsidRPr="002C4B48" w:rsidRDefault="002C4B48" w:rsidP="002C4B48">
            <w:r w:rsidRPr="002C4B48">
              <w:t>Over recovery occurs</w:t>
            </w:r>
          </w:p>
        </w:tc>
        <w:tc>
          <w:tcPr>
            <w:tcW w:w="0" w:type="auto"/>
            <w:tcBorders>
              <w:left w:val="single" w:sz="4" w:space="0" w:color="auto"/>
            </w:tcBorders>
            <w:shd w:val="clear" w:color="auto" w:fill="auto"/>
          </w:tcPr>
          <w:p w:rsidR="002C4B48" w:rsidRPr="002C4B48" w:rsidRDefault="002C4B48" w:rsidP="002C4B48">
            <w:r w:rsidRPr="002C4B48">
              <w:t xml:space="preserve">Subject to government approval, over recoveries </w:t>
            </w:r>
            <w:proofErr w:type="gramStart"/>
            <w:r w:rsidRPr="002C4B48">
              <w:t>may be managed</w:t>
            </w:r>
            <w:proofErr w:type="gramEnd"/>
            <w:r w:rsidRPr="002C4B48">
              <w:t xml:space="preserve"> through remittance, or investment initiatives.</w:t>
            </w:r>
          </w:p>
        </w:tc>
      </w:tr>
    </w:tbl>
    <w:p w:rsidR="002C4B48" w:rsidRPr="002C4B48" w:rsidRDefault="002C4B48" w:rsidP="002C4B48"/>
    <w:p w:rsidR="002C4B48" w:rsidRPr="002C4B48" w:rsidRDefault="002C4B48" w:rsidP="00530A65">
      <w:pPr>
        <w:pStyle w:val="Heading2"/>
      </w:pPr>
      <w:bookmarkStart w:id="94" w:name="_Toc424755474"/>
      <w:bookmarkStart w:id="95" w:name="_Toc433713883"/>
      <w:r w:rsidRPr="002C4B48">
        <w:lastRenderedPageBreak/>
        <w:t>Stakeholder engagement</w:t>
      </w:r>
      <w:bookmarkEnd w:id="94"/>
      <w:bookmarkEnd w:id="95"/>
    </w:p>
    <w:p w:rsidR="002C4B48" w:rsidRPr="002C4B48" w:rsidRDefault="002C4B48" w:rsidP="002C4B48">
      <w:r w:rsidRPr="002C4B48">
        <w:t>Communication with the department’s clients was an integral part of developing the redesigned fee and levy structure and prices for biosecurity activities. From September 2014, the department has consulted with over 400 individuals and organisations including through Industry Consultative Committees (ICCs) and broader industry meetings. During these consultations, the department and clients discussed the restructuring of fees and levies for individual charges.</w:t>
      </w:r>
    </w:p>
    <w:p w:rsidR="002C4B48" w:rsidRPr="002C4B48" w:rsidRDefault="002C4B48" w:rsidP="002C4B48">
      <w:r w:rsidRPr="002C4B48">
        <w:t xml:space="preserve">In addition, there is a general view that the department must better demonstrate that it delivers activities efficiently. Under the new cost recovery model, efficiencies have already been identified and the department </w:t>
      </w:r>
      <w:proofErr w:type="gramStart"/>
      <w:r w:rsidRPr="002C4B48">
        <w:t>is also</w:t>
      </w:r>
      <w:proofErr w:type="gramEnd"/>
      <w:r w:rsidRPr="002C4B48">
        <w:t xml:space="preserve"> developing a framework to further drive ongoing optimisation of its resources.</w:t>
      </w:r>
    </w:p>
    <w:p w:rsidR="002C4B48" w:rsidRPr="002C4B48" w:rsidRDefault="002C4B48" w:rsidP="002C4B48">
      <w:proofErr w:type="gramStart"/>
      <w:r w:rsidRPr="002C4B48">
        <w:t>A wide range of views have</w:t>
      </w:r>
      <w:proofErr w:type="gramEnd"/>
      <w:r w:rsidRPr="002C4B48">
        <w:t xml:space="preserve"> been provided to the department on cost recovery and charging arrangements for biosecurity. While many of the reforms have broad support from the industry participants that have been engaged to date, there are some areas where the views of industry differ. For example, </w:t>
      </w:r>
      <w:proofErr w:type="gramStart"/>
      <w:r w:rsidRPr="002C4B48">
        <w:t>rolling up the costs associated with the sea container levies into the cost associated with the sea FID levy has been supported by some participants</w:t>
      </w:r>
      <w:proofErr w:type="gramEnd"/>
      <w:r w:rsidRPr="002C4B48">
        <w:t>, but others have suggested charges could be imposed on break bulk and bulk cargo in addition to the container levies.</w:t>
      </w:r>
    </w:p>
    <w:p w:rsidR="002C4B48" w:rsidRPr="002C4B48" w:rsidRDefault="002C4B48" w:rsidP="002C4B48">
      <w:r w:rsidRPr="002C4B48">
        <w:t xml:space="preserve">The increase in charges for </w:t>
      </w:r>
      <w:proofErr w:type="gramStart"/>
      <w:r w:rsidRPr="002C4B48">
        <w:t>quarantine approved</w:t>
      </w:r>
      <w:proofErr w:type="gramEnd"/>
      <w:r w:rsidRPr="002C4B48">
        <w:t xml:space="preserve"> premises (QAPs) and compliance agreements (CAs) has also generated differing views. These clients are currently subsidised by importers of goods valued over $1 000. Addressing this issue has resulted in increased costs for some operators of these arrangements. </w:t>
      </w:r>
    </w:p>
    <w:p w:rsidR="002C4B48" w:rsidRPr="002C4B48" w:rsidRDefault="002C4B48" w:rsidP="002C4B48">
      <w:r w:rsidRPr="002C4B48">
        <w:t xml:space="preserve">QAPs currently pay $1 200 per premises and CA holders do not contribute to the system costs of providing the scheme. A $2 900 annual charge </w:t>
      </w:r>
      <w:proofErr w:type="gramStart"/>
      <w:r w:rsidRPr="002C4B48">
        <w:t>will be imposed</w:t>
      </w:r>
      <w:proofErr w:type="gramEnd"/>
      <w:r w:rsidRPr="002C4B48">
        <w:t xml:space="preserve"> per entity, no matter how many QAPs or CAs an entity may have, ensuring all contribute to the biosecurity system. </w:t>
      </w:r>
      <w:r w:rsidRPr="002C4B48">
        <w:lastRenderedPageBreak/>
        <w:t xml:space="preserve">This will see many QAP holders receive considerable savings (not having to pay $1 200 per QAP), but will most significantly </w:t>
      </w:r>
      <w:proofErr w:type="gramStart"/>
      <w:r w:rsidRPr="002C4B48">
        <w:t>impact</w:t>
      </w:r>
      <w:proofErr w:type="gramEnd"/>
      <w:r w:rsidRPr="002C4B48">
        <w:t xml:space="preserve"> those entities that only hold CAs. The position of those </w:t>
      </w:r>
      <w:proofErr w:type="gramStart"/>
      <w:r w:rsidRPr="002C4B48">
        <w:t>operators</w:t>
      </w:r>
      <w:proofErr w:type="gramEnd"/>
      <w:r w:rsidRPr="002C4B48">
        <w:t xml:space="preserve"> who hold only a single compliance agreement, and no QAPs, is that having CAs lessens the administrative burden for the department and any increase in charges will drive them out of business.</w:t>
      </w:r>
    </w:p>
    <w:p w:rsidR="002C4B48" w:rsidRPr="002C4B48" w:rsidRDefault="002C4B48" w:rsidP="002C4B48">
      <w:r w:rsidRPr="002C4B48">
        <w:t xml:space="preserve">Some ICC members also raised concerns that the costs of clearing low-value imports (more commonly known as Self Assessed Clearances or SACs) were being </w:t>
      </w:r>
      <w:proofErr w:type="gramStart"/>
      <w:r w:rsidRPr="002C4B48">
        <w:t>cross-subsidised</w:t>
      </w:r>
      <w:proofErr w:type="gramEnd"/>
      <w:r w:rsidRPr="002C4B48">
        <w:t xml:space="preserve"> by importers of other cargo. Industry members sought the introduction of a specific SAC charge that would directly recover the costs of low value import clearance. </w:t>
      </w:r>
    </w:p>
    <w:p w:rsidR="002C4B48" w:rsidRPr="002C4B48" w:rsidRDefault="002C4B48" w:rsidP="002C4B48">
      <w:r w:rsidRPr="002C4B48">
        <w:t xml:space="preserve">The proposal to introduce a specific SAC charge </w:t>
      </w:r>
      <w:proofErr w:type="gramStart"/>
      <w:r w:rsidRPr="002C4B48">
        <w:t>was also raised</w:t>
      </w:r>
      <w:proofErr w:type="gramEnd"/>
      <w:r w:rsidRPr="002C4B48">
        <w:t xml:space="preserve"> at public consultation sessions – with the primary concern being the potential for the current charges to lead to cross-subsidy of low value clearance costs. It </w:t>
      </w:r>
      <w:proofErr w:type="gramStart"/>
      <w:r w:rsidRPr="002C4B48">
        <w:t>was noted</w:t>
      </w:r>
      <w:proofErr w:type="gramEnd"/>
      <w:r w:rsidRPr="002C4B48">
        <w:t xml:space="preserve"> that a SAC charge is still under consideration by government.</w:t>
      </w:r>
    </w:p>
    <w:p w:rsidR="002C4B48" w:rsidRPr="002C4B48" w:rsidRDefault="002C4B48" w:rsidP="002C4B48">
      <w:r w:rsidRPr="002C4B48">
        <w:t xml:space="preserve">In relation to biosecurity, direct engagement </w:t>
      </w:r>
      <w:proofErr w:type="gramStart"/>
      <w:r w:rsidRPr="002C4B48">
        <w:t>has been undertaken</w:t>
      </w:r>
      <w:proofErr w:type="gramEnd"/>
      <w:r w:rsidRPr="002C4B48">
        <w:t xml:space="preserve"> with industry and fee payer representatives through the:</w:t>
      </w:r>
    </w:p>
    <w:p w:rsidR="002C4B48" w:rsidRPr="002C4B48" w:rsidRDefault="002C4B48" w:rsidP="002C4B48">
      <w:pPr>
        <w:numPr>
          <w:ilvl w:val="0"/>
          <w:numId w:val="2"/>
        </w:numPr>
        <w:spacing w:before="120" w:after="120"/>
      </w:pPr>
      <w:r w:rsidRPr="002C4B48">
        <w:t>Import Industry Finance Consultative Committee</w:t>
      </w:r>
    </w:p>
    <w:p w:rsidR="002C4B48" w:rsidRPr="002C4B48" w:rsidRDefault="002C4B48" w:rsidP="002C4B48">
      <w:pPr>
        <w:numPr>
          <w:ilvl w:val="0"/>
          <w:numId w:val="2"/>
        </w:numPr>
        <w:spacing w:before="120" w:after="120"/>
      </w:pPr>
      <w:r w:rsidRPr="002C4B48">
        <w:t>Biological Consultative Group</w:t>
      </w:r>
    </w:p>
    <w:p w:rsidR="002C4B48" w:rsidRPr="002C4B48" w:rsidRDefault="002C4B48" w:rsidP="002C4B48">
      <w:pPr>
        <w:numPr>
          <w:ilvl w:val="0"/>
          <w:numId w:val="2"/>
        </w:numPr>
        <w:spacing w:before="120" w:after="120"/>
      </w:pPr>
      <w:r w:rsidRPr="002C4B48">
        <w:t>Imported Food Consultative Committee</w:t>
      </w:r>
    </w:p>
    <w:p w:rsidR="002C4B48" w:rsidRPr="002C4B48" w:rsidRDefault="002C4B48" w:rsidP="002C4B48">
      <w:pPr>
        <w:numPr>
          <w:ilvl w:val="0"/>
          <w:numId w:val="2"/>
        </w:numPr>
        <w:spacing w:before="120" w:after="120"/>
      </w:pPr>
      <w:r w:rsidRPr="002C4B48">
        <w:t>Horse Industry Consultative Committee</w:t>
      </w:r>
    </w:p>
    <w:p w:rsidR="002C4B48" w:rsidRPr="002C4B48" w:rsidRDefault="002C4B48" w:rsidP="002C4B48">
      <w:pPr>
        <w:numPr>
          <w:ilvl w:val="0"/>
          <w:numId w:val="2"/>
        </w:numPr>
        <w:spacing w:before="120" w:after="120"/>
      </w:pPr>
      <w:r w:rsidRPr="002C4B48">
        <w:t>Post Entry Plant Consultative Committee</w:t>
      </w:r>
    </w:p>
    <w:p w:rsidR="002C4B48" w:rsidRPr="002C4B48" w:rsidRDefault="002C4B48" w:rsidP="002C4B48">
      <w:pPr>
        <w:numPr>
          <w:ilvl w:val="0"/>
          <w:numId w:val="2"/>
        </w:numPr>
        <w:spacing w:before="120" w:after="120"/>
      </w:pPr>
      <w:r w:rsidRPr="002C4B48">
        <w:t>Avian, Cats and Dogs representatives</w:t>
      </w:r>
    </w:p>
    <w:p w:rsidR="002C4B48" w:rsidRPr="002C4B48" w:rsidRDefault="002C4B48" w:rsidP="002C4B48">
      <w:r w:rsidRPr="002C4B48">
        <w:t>Throughout this process, industry were consulted on the harmonising of fee and levy structures across all arrangements; standardising charging for travel; standardising operating hours; the proposed charging structure; the cost base and proposed charges.</w:t>
      </w:r>
    </w:p>
    <w:p w:rsidR="002C4B48" w:rsidRPr="002C4B48" w:rsidRDefault="002C4B48" w:rsidP="002C4B48">
      <w:r w:rsidRPr="002C4B48">
        <w:t xml:space="preserve">Consultation has resulted in the users of biosecurity activities being aware of the reasons for the redesign of fees and levies and provided </w:t>
      </w:r>
      <w:r w:rsidRPr="002C4B48">
        <w:lastRenderedPageBreak/>
        <w:t>an avenue for users to provide comment to the department to inform the development of this CRIS.</w:t>
      </w:r>
    </w:p>
    <w:p w:rsidR="002C4B48" w:rsidRPr="002C4B48" w:rsidRDefault="002C4B48" w:rsidP="002C4B48">
      <w:r w:rsidRPr="002C4B48">
        <w:t xml:space="preserve">The department also consulted with the relevant ICC on the proposal for drawing down the industry reserve. The ICC accepted the proposal to fund the development of ICT assets and remit specific charges which have contributed to the over recovery. </w:t>
      </w:r>
    </w:p>
    <w:p w:rsidR="002C4B48" w:rsidRPr="002C4B48" w:rsidRDefault="002C4B48" w:rsidP="002C4B48">
      <w:r w:rsidRPr="002C4B48">
        <w:t xml:space="preserve">Once the new arrangements begin, quarterly reporting of cost recovery performance will continue to </w:t>
      </w:r>
      <w:proofErr w:type="gramStart"/>
      <w:r w:rsidRPr="002C4B48">
        <w:t>be provided</w:t>
      </w:r>
      <w:proofErr w:type="gramEnd"/>
      <w:r w:rsidRPr="002C4B48">
        <w:t xml:space="preserve"> to relevant ICCs. This will provide a mechanism for regular engagement and review of cost recovery arrangements. It also ensures any unintended consequences or issues can be identified and resolved in a timely manner.</w:t>
      </w:r>
    </w:p>
    <w:p w:rsidR="002C4B48" w:rsidRPr="002C4B48" w:rsidRDefault="002C4B48" w:rsidP="00530A65">
      <w:pPr>
        <w:pStyle w:val="Heading2"/>
      </w:pPr>
      <w:bookmarkStart w:id="96" w:name="_Toc424755475"/>
      <w:bookmarkStart w:id="97" w:name="_Toc433713884"/>
      <w:r w:rsidRPr="002C4B48">
        <w:lastRenderedPageBreak/>
        <w:t>Key dates and events</w:t>
      </w:r>
      <w:bookmarkEnd w:id="96"/>
      <w:bookmarkEnd w:id="97"/>
    </w:p>
    <w:p w:rsidR="002C4B48" w:rsidRPr="002C4B48" w:rsidRDefault="002C4B48" w:rsidP="00530A65">
      <w:pPr>
        <w:pStyle w:val="Heading3"/>
      </w:pPr>
      <w:bookmarkStart w:id="98" w:name="_Toc416271324"/>
      <w:bookmarkStart w:id="99" w:name="_Toc417483213"/>
      <w:bookmarkStart w:id="100" w:name="_Toc424755476"/>
      <w:bookmarkStart w:id="101" w:name="_Toc433713885"/>
      <w:r w:rsidRPr="002C4B48">
        <w:t>Consultation</w:t>
      </w:r>
      <w:bookmarkEnd w:id="98"/>
      <w:bookmarkEnd w:id="99"/>
      <w:bookmarkEnd w:id="100"/>
      <w:bookmarkEnd w:id="101"/>
    </w:p>
    <w:p w:rsidR="002C4B48" w:rsidRPr="002C4B48" w:rsidRDefault="002C4B48" w:rsidP="002C4B48">
      <w:r w:rsidRPr="002C4B48">
        <w:t>This CRIS built on consultation that had occurred with stakeholders since mid-2014.</w:t>
      </w:r>
    </w:p>
    <w:p w:rsidR="002C4B48" w:rsidRPr="002C4B48" w:rsidRDefault="002C4B48" w:rsidP="002C4B48">
      <w:r w:rsidRPr="002C4B48">
        <w:t>Key dates in the CRIS consultation process were:</w:t>
      </w:r>
    </w:p>
    <w:p w:rsidR="002C4B48" w:rsidRPr="002C4B48" w:rsidRDefault="002C4B48" w:rsidP="002C4B48">
      <w:pPr>
        <w:numPr>
          <w:ilvl w:val="0"/>
          <w:numId w:val="2"/>
        </w:numPr>
        <w:spacing w:before="120" w:after="120"/>
      </w:pPr>
      <w:r w:rsidRPr="002C4B48">
        <w:t>20 July 2015—consultation draft of biosecurity CRIS released.</w:t>
      </w:r>
    </w:p>
    <w:p w:rsidR="002C4B48" w:rsidRPr="002C4B48" w:rsidRDefault="002C4B48" w:rsidP="002C4B48">
      <w:pPr>
        <w:numPr>
          <w:ilvl w:val="0"/>
          <w:numId w:val="2"/>
        </w:numPr>
        <w:spacing w:before="120" w:after="120"/>
      </w:pPr>
      <w:r w:rsidRPr="002C4B48">
        <w:t>July 2015 to August 2015—consultation with industry consultative committees, industry and public forums.</w:t>
      </w:r>
    </w:p>
    <w:p w:rsidR="002C4B48" w:rsidRPr="002C4B48" w:rsidRDefault="002C4B48" w:rsidP="002C4B48">
      <w:pPr>
        <w:numPr>
          <w:ilvl w:val="0"/>
          <w:numId w:val="2"/>
        </w:numPr>
        <w:spacing w:before="120" w:after="120"/>
      </w:pPr>
      <w:r w:rsidRPr="002C4B48">
        <w:t>14 August 2015—deadline to provide submissions to the department on the proposed changes.</w:t>
      </w:r>
    </w:p>
    <w:p w:rsidR="002C4B48" w:rsidRPr="002C4B48" w:rsidRDefault="002C4B48" w:rsidP="002C4B48">
      <w:pPr>
        <w:spacing w:before="120" w:after="120"/>
      </w:pPr>
      <w:r w:rsidRPr="002C4B48">
        <w:t xml:space="preserve">It </w:t>
      </w:r>
      <w:proofErr w:type="gramStart"/>
      <w:r w:rsidRPr="002C4B48">
        <w:t>is expected</w:t>
      </w:r>
      <w:proofErr w:type="gramEnd"/>
      <w:r w:rsidRPr="002C4B48">
        <w:t xml:space="preserve"> that the new charging arrangements will commence from 1 December 2015.</w:t>
      </w:r>
    </w:p>
    <w:p w:rsidR="002C4B48" w:rsidRPr="002C4B48" w:rsidRDefault="002C4B48" w:rsidP="00530A65">
      <w:pPr>
        <w:pStyle w:val="Heading3"/>
      </w:pPr>
      <w:bookmarkStart w:id="102" w:name="_Toc416271325"/>
      <w:bookmarkStart w:id="103" w:name="_Toc417483214"/>
      <w:bookmarkStart w:id="104" w:name="_Toc424755477"/>
      <w:bookmarkStart w:id="105" w:name="_Toc433713886"/>
      <w:r w:rsidRPr="002C4B48">
        <w:t>CRIS approval process</w:t>
      </w:r>
      <w:bookmarkEnd w:id="102"/>
      <w:bookmarkEnd w:id="103"/>
      <w:r w:rsidRPr="002C4B48">
        <w:t xml:space="preserve"> and change register</w:t>
      </w:r>
      <w:bookmarkEnd w:id="104"/>
      <w:bookmarkEnd w:id="105"/>
    </w:p>
    <w:p w:rsidR="002C4B48" w:rsidRPr="002C4B48" w:rsidRDefault="002C4B48" w:rsidP="002C4B48">
      <w:r w:rsidRPr="002C4B48">
        <w:t xml:space="preserve">The department considered stakeholder feedback when preparing this final CRIS. This CRIS </w:t>
      </w:r>
      <w:proofErr w:type="gramStart"/>
      <w:r w:rsidRPr="002C4B48">
        <w:t>was certified</w:t>
      </w:r>
      <w:proofErr w:type="gramEnd"/>
      <w:r w:rsidRPr="002C4B48">
        <w:t xml:space="preserve"> by the secretary of the department before being presented to the Minister for Agriculture and Water Resources for approval and the Minister for Finance for agreement. This CRIS </w:t>
      </w:r>
      <w:proofErr w:type="gramStart"/>
      <w:r w:rsidRPr="002C4B48">
        <w:t>was published</w:t>
      </w:r>
      <w:proofErr w:type="gramEnd"/>
      <w:r w:rsidRPr="002C4B48">
        <w:t xml:space="preserve"> on the department’s website in late 2015. The CRIS </w:t>
      </w:r>
      <w:proofErr w:type="gramStart"/>
      <w:r w:rsidRPr="002C4B48">
        <w:t>will be reviewed</w:t>
      </w:r>
      <w:proofErr w:type="gramEnd"/>
      <w:r w:rsidRPr="002C4B48">
        <w:t xml:space="preserve"> annually as recommended by the Department of Finance.</w:t>
      </w:r>
    </w:p>
    <w:p w:rsidR="002C4B48" w:rsidRPr="002C4B48" w:rsidRDefault="002C4B48" w:rsidP="002C4B48">
      <w:r w:rsidRPr="002C4B48">
        <w:t>Table 7 will provide a record of future changes and updates to this CRIS.</w:t>
      </w:r>
    </w:p>
    <w:p w:rsidR="002C4B48" w:rsidRPr="002C4B48" w:rsidRDefault="002C4B48" w:rsidP="002C4B48">
      <w:pPr>
        <w:keepNext/>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7</w:t>
      </w:r>
      <w:r w:rsidRPr="002C4B48">
        <w:rPr>
          <w:b/>
          <w:bCs/>
          <w:noProof/>
          <w:color w:val="548DD4"/>
          <w:szCs w:val="18"/>
        </w:rPr>
        <w:fldChar w:fldCharType="end"/>
      </w:r>
      <w:r w:rsidRPr="002C4B48">
        <w:rPr>
          <w:b/>
          <w:bCs/>
          <w:color w:val="548DD4"/>
          <w:szCs w:val="18"/>
        </w:rPr>
        <w:t>: Change register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2251"/>
        <w:gridCol w:w="2390"/>
        <w:gridCol w:w="2531"/>
      </w:tblGrid>
      <w:tr w:rsidR="002C4B48" w:rsidRPr="002C4B48" w:rsidTr="002C4B48">
        <w:trPr>
          <w:trHeight w:val="794"/>
          <w:tblHeader/>
        </w:trPr>
        <w:tc>
          <w:tcPr>
            <w:tcW w:w="1042" w:type="pct"/>
            <w:shd w:val="solid" w:color="DBE5F1" w:fill="C6D9F1"/>
            <w:vAlign w:val="center"/>
          </w:tcPr>
          <w:p w:rsidR="002C4B48" w:rsidRPr="002C4B48" w:rsidRDefault="002C4B48" w:rsidP="002C4B48">
            <w:pPr>
              <w:spacing w:after="0"/>
              <w:rPr>
                <w:sz w:val="20"/>
              </w:rPr>
            </w:pPr>
            <w:r w:rsidRPr="002C4B48">
              <w:rPr>
                <w:sz w:val="20"/>
              </w:rPr>
              <w:t>Date of CRIS change</w:t>
            </w:r>
          </w:p>
        </w:tc>
        <w:tc>
          <w:tcPr>
            <w:tcW w:w="1242" w:type="pct"/>
            <w:shd w:val="solid" w:color="DBE5F1" w:fill="C6D9F1"/>
            <w:vAlign w:val="center"/>
          </w:tcPr>
          <w:p w:rsidR="002C4B48" w:rsidRPr="002C4B48" w:rsidRDefault="002C4B48" w:rsidP="002C4B48">
            <w:pPr>
              <w:spacing w:after="0"/>
              <w:rPr>
                <w:sz w:val="20"/>
              </w:rPr>
            </w:pPr>
            <w:r w:rsidRPr="002C4B48">
              <w:rPr>
                <w:sz w:val="20"/>
              </w:rPr>
              <w:t>CRIS change</w:t>
            </w:r>
          </w:p>
        </w:tc>
        <w:tc>
          <w:tcPr>
            <w:tcW w:w="1319" w:type="pct"/>
            <w:shd w:val="solid" w:color="DBE5F1" w:fill="C6D9F1"/>
            <w:vAlign w:val="center"/>
          </w:tcPr>
          <w:p w:rsidR="002C4B48" w:rsidRPr="002C4B48" w:rsidRDefault="002C4B48" w:rsidP="002C4B48">
            <w:pPr>
              <w:spacing w:after="0"/>
              <w:rPr>
                <w:sz w:val="20"/>
              </w:rPr>
            </w:pPr>
            <w:r w:rsidRPr="002C4B48">
              <w:rPr>
                <w:sz w:val="20"/>
              </w:rPr>
              <w:t>Approver</w:t>
            </w:r>
          </w:p>
        </w:tc>
        <w:tc>
          <w:tcPr>
            <w:tcW w:w="1397" w:type="pct"/>
            <w:shd w:val="solid" w:color="DBE5F1" w:fill="C6D9F1"/>
            <w:vAlign w:val="center"/>
          </w:tcPr>
          <w:p w:rsidR="002C4B48" w:rsidRPr="002C4B48" w:rsidRDefault="002C4B48" w:rsidP="002C4B48">
            <w:pPr>
              <w:spacing w:after="0"/>
              <w:rPr>
                <w:sz w:val="20"/>
              </w:rPr>
            </w:pPr>
            <w:r w:rsidRPr="002C4B48">
              <w:rPr>
                <w:sz w:val="20"/>
              </w:rPr>
              <w:t>Basis for change</w:t>
            </w:r>
          </w:p>
        </w:tc>
      </w:tr>
      <w:tr w:rsidR="002C4B48" w:rsidRPr="002C4B48" w:rsidTr="002C4B48">
        <w:tc>
          <w:tcPr>
            <w:tcW w:w="1042" w:type="pct"/>
            <w:shd w:val="clear" w:color="auto" w:fill="auto"/>
            <w:vAlign w:val="center"/>
          </w:tcPr>
          <w:p w:rsidR="002C4B48" w:rsidRPr="002C4B48" w:rsidRDefault="002C4B48" w:rsidP="002C4B48">
            <w:pPr>
              <w:spacing w:after="0"/>
              <w:rPr>
                <w:sz w:val="20"/>
                <w:szCs w:val="20"/>
              </w:rPr>
            </w:pPr>
          </w:p>
        </w:tc>
        <w:tc>
          <w:tcPr>
            <w:tcW w:w="1241" w:type="pct"/>
            <w:shd w:val="clear" w:color="auto" w:fill="auto"/>
            <w:vAlign w:val="center"/>
          </w:tcPr>
          <w:p w:rsidR="002C4B48" w:rsidRPr="002C4B48" w:rsidRDefault="002C4B48" w:rsidP="002C4B48">
            <w:pPr>
              <w:spacing w:after="0"/>
              <w:rPr>
                <w:sz w:val="20"/>
              </w:rPr>
            </w:pPr>
          </w:p>
        </w:tc>
        <w:tc>
          <w:tcPr>
            <w:tcW w:w="1319" w:type="pct"/>
            <w:shd w:val="clear" w:color="auto" w:fill="auto"/>
            <w:vAlign w:val="center"/>
          </w:tcPr>
          <w:p w:rsidR="002C4B48" w:rsidRPr="002C4B48" w:rsidRDefault="002C4B48" w:rsidP="002C4B48">
            <w:pPr>
              <w:spacing w:after="0"/>
              <w:rPr>
                <w:sz w:val="20"/>
              </w:rPr>
            </w:pPr>
          </w:p>
        </w:tc>
        <w:tc>
          <w:tcPr>
            <w:tcW w:w="1397" w:type="pct"/>
            <w:shd w:val="clear" w:color="auto" w:fill="auto"/>
            <w:vAlign w:val="center"/>
          </w:tcPr>
          <w:p w:rsidR="002C4B48" w:rsidRPr="002C4B48" w:rsidRDefault="002C4B48" w:rsidP="002C4B48">
            <w:pPr>
              <w:spacing w:after="0"/>
              <w:rPr>
                <w:sz w:val="20"/>
              </w:rPr>
            </w:pPr>
          </w:p>
        </w:tc>
      </w:tr>
    </w:tbl>
    <w:p w:rsidR="002C4B48" w:rsidRPr="002C4B48" w:rsidRDefault="002C4B48" w:rsidP="00530A65">
      <w:pPr>
        <w:pStyle w:val="Heading2"/>
      </w:pPr>
      <w:bookmarkStart w:id="106" w:name="_Toc424755478"/>
      <w:bookmarkStart w:id="107" w:name="_Toc433713887"/>
      <w:r w:rsidRPr="002C4B48">
        <w:lastRenderedPageBreak/>
        <w:t>Attachment A—Fees and levies</w:t>
      </w:r>
      <w:bookmarkEnd w:id="106"/>
      <w:bookmarkEnd w:id="107"/>
    </w:p>
    <w:p w:rsidR="002C4B48" w:rsidRPr="002C4B48" w:rsidRDefault="002C4B48" w:rsidP="002C4B48">
      <w:pPr>
        <w:spacing w:before="360" w:after="120"/>
        <w:ind w:left="794" w:hanging="794"/>
        <w:outlineLvl w:val="2"/>
        <w:rPr>
          <w:b/>
          <w:sz w:val="32"/>
          <w:szCs w:val="20"/>
          <w:lang w:val="x-none"/>
        </w:rPr>
      </w:pPr>
      <w:bookmarkStart w:id="108" w:name="_Toc424755479"/>
      <w:bookmarkStart w:id="109" w:name="_Toc433713888"/>
      <w:r w:rsidRPr="002C4B48">
        <w:rPr>
          <w:b/>
          <w:sz w:val="32"/>
          <w:szCs w:val="20"/>
          <w:lang w:val="x-none"/>
        </w:rPr>
        <w:t>Proposed charging structure 1 December 2015 – 30 June 2016</w:t>
      </w:r>
      <w:bookmarkEnd w:id="108"/>
      <w:bookmarkEnd w:id="109"/>
    </w:p>
    <w:p w:rsidR="002C4B48" w:rsidRPr="002C4B48" w:rsidRDefault="002C4B48" w:rsidP="002C4B48">
      <w:pPr>
        <w:keepNext/>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8</w:t>
      </w:r>
      <w:r w:rsidRPr="002C4B48">
        <w:rPr>
          <w:b/>
          <w:bCs/>
          <w:noProof/>
          <w:color w:val="548DD4"/>
          <w:szCs w:val="18"/>
        </w:rPr>
        <w:fldChar w:fldCharType="end"/>
      </w:r>
      <w:r w:rsidRPr="002C4B48">
        <w:rPr>
          <w:b/>
          <w:bCs/>
          <w:color w:val="548DD4"/>
          <w:szCs w:val="18"/>
        </w:rPr>
        <w:t>: Fees, levies and volumes—biosecurity cost recovery arrangement (1 December 2015 – 30 June 2016)</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63"/>
        <w:gridCol w:w="992"/>
        <w:gridCol w:w="1134"/>
        <w:gridCol w:w="1782"/>
        <w:gridCol w:w="1195"/>
        <w:gridCol w:w="1559"/>
      </w:tblGrid>
      <w:tr w:rsidR="002C4B48" w:rsidRPr="002C4B48" w:rsidTr="002C4B48">
        <w:trPr>
          <w:trHeight w:val="453"/>
          <w:tblHeader/>
          <w:jc w:val="center"/>
        </w:trPr>
        <w:tc>
          <w:tcPr>
            <w:tcW w:w="3463" w:type="dxa"/>
            <w:shd w:val="clear" w:color="auto" w:fill="C6D9F1"/>
            <w:vAlign w:val="center"/>
          </w:tcPr>
          <w:p w:rsidR="002C4B48" w:rsidRPr="002C4B48" w:rsidRDefault="002C4B48" w:rsidP="002C4B48">
            <w:pPr>
              <w:spacing w:after="0"/>
              <w:rPr>
                <w:b/>
                <w:bCs/>
                <w:sz w:val="20"/>
              </w:rPr>
            </w:pPr>
            <w:r w:rsidRPr="002C4B48">
              <w:rPr>
                <w:b/>
                <w:bCs/>
                <w:sz w:val="20"/>
              </w:rPr>
              <w:t>Charge title</w:t>
            </w:r>
          </w:p>
        </w:tc>
        <w:tc>
          <w:tcPr>
            <w:tcW w:w="992" w:type="dxa"/>
            <w:shd w:val="clear" w:color="auto" w:fill="C6D9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C6D9F1"/>
            <w:vAlign w:val="center"/>
          </w:tcPr>
          <w:p w:rsidR="002C4B48" w:rsidRPr="002C4B48" w:rsidRDefault="002C4B48" w:rsidP="002C4B48">
            <w:pPr>
              <w:spacing w:after="0"/>
              <w:rPr>
                <w:b/>
                <w:bCs/>
                <w:sz w:val="20"/>
              </w:rPr>
            </w:pPr>
            <w:r w:rsidRPr="002C4B48">
              <w:rPr>
                <w:b/>
                <w:bCs/>
                <w:sz w:val="20"/>
              </w:rPr>
              <w:t>Rate</w:t>
            </w:r>
          </w:p>
        </w:tc>
        <w:tc>
          <w:tcPr>
            <w:tcW w:w="1782" w:type="dxa"/>
            <w:shd w:val="clear" w:color="auto" w:fill="C6D9F1"/>
            <w:vAlign w:val="center"/>
          </w:tcPr>
          <w:p w:rsidR="002C4B48" w:rsidRPr="002C4B48" w:rsidRDefault="002C4B48" w:rsidP="002C4B48">
            <w:pPr>
              <w:spacing w:after="0"/>
              <w:rPr>
                <w:b/>
                <w:bCs/>
                <w:sz w:val="20"/>
              </w:rPr>
            </w:pPr>
            <w:r w:rsidRPr="002C4B48">
              <w:rPr>
                <w:b/>
                <w:bCs/>
                <w:sz w:val="20"/>
              </w:rPr>
              <w:t>Unit</w:t>
            </w:r>
          </w:p>
        </w:tc>
        <w:tc>
          <w:tcPr>
            <w:tcW w:w="1195" w:type="dxa"/>
            <w:shd w:val="clear" w:color="auto" w:fill="C6D9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C6D9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453"/>
          <w:jc w:val="center"/>
        </w:trPr>
        <w:tc>
          <w:tcPr>
            <w:tcW w:w="3463" w:type="dxa"/>
            <w:shd w:val="clear" w:color="auto" w:fill="DBE5F1"/>
            <w:vAlign w:val="center"/>
          </w:tcPr>
          <w:p w:rsidR="002C4B48" w:rsidRPr="002C4B48" w:rsidRDefault="002C4B48" w:rsidP="002C4B48">
            <w:pPr>
              <w:spacing w:after="0"/>
              <w:rPr>
                <w:b/>
                <w:bCs/>
                <w:sz w:val="20"/>
              </w:rPr>
            </w:pPr>
            <w:r w:rsidRPr="002C4B48">
              <w:rPr>
                <w:b/>
                <w:bCs/>
                <w:sz w:val="20"/>
              </w:rPr>
              <w:t>Importer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782"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95"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Full Import Declaration charge—air</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$33</w:t>
            </w:r>
          </w:p>
        </w:tc>
        <w:tc>
          <w:tcPr>
            <w:tcW w:w="1782"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95" w:type="dxa"/>
            <w:shd w:val="clear" w:color="auto" w:fill="auto"/>
            <w:vAlign w:val="center"/>
          </w:tcPr>
          <w:p w:rsidR="002C4B48" w:rsidRPr="002C4B48" w:rsidRDefault="002C4B48" w:rsidP="002C4B48">
            <w:pPr>
              <w:spacing w:after="0"/>
              <w:rPr>
                <w:sz w:val="20"/>
              </w:rPr>
            </w:pPr>
            <w:r w:rsidRPr="002C4B48">
              <w:rPr>
                <w:sz w:val="20"/>
              </w:rPr>
              <w:t>1 843 684</w:t>
            </w:r>
          </w:p>
        </w:tc>
        <w:tc>
          <w:tcPr>
            <w:tcW w:w="1559" w:type="dxa"/>
            <w:shd w:val="clear" w:color="auto" w:fill="auto"/>
            <w:vAlign w:val="center"/>
          </w:tcPr>
          <w:p w:rsidR="002C4B48" w:rsidRPr="002C4B48" w:rsidRDefault="002C4B48" w:rsidP="002C4B48">
            <w:pPr>
              <w:spacing w:after="0"/>
              <w:rPr>
                <w:sz w:val="20"/>
              </w:rPr>
            </w:pPr>
            <w:r w:rsidRPr="002C4B48">
              <w:rPr>
                <w:sz w:val="20"/>
              </w:rPr>
              <w:t>$60 841 572</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Full Import Declaration charge—sea</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$42</w:t>
            </w:r>
          </w:p>
        </w:tc>
        <w:tc>
          <w:tcPr>
            <w:tcW w:w="1782"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95" w:type="dxa"/>
            <w:shd w:val="clear" w:color="auto" w:fill="auto"/>
            <w:vAlign w:val="center"/>
          </w:tcPr>
          <w:p w:rsidR="002C4B48" w:rsidRPr="002C4B48" w:rsidRDefault="002C4B48" w:rsidP="002C4B48">
            <w:pPr>
              <w:spacing w:after="0"/>
              <w:rPr>
                <w:sz w:val="20"/>
              </w:rPr>
            </w:pPr>
            <w:r w:rsidRPr="002C4B48">
              <w:rPr>
                <w:sz w:val="20"/>
              </w:rPr>
              <w:t>1 724 458</w:t>
            </w:r>
          </w:p>
        </w:tc>
        <w:tc>
          <w:tcPr>
            <w:tcW w:w="1559" w:type="dxa"/>
            <w:shd w:val="clear" w:color="auto" w:fill="auto"/>
            <w:vAlign w:val="center"/>
          </w:tcPr>
          <w:p w:rsidR="002C4B48" w:rsidRPr="002C4B48" w:rsidRDefault="002C4B48" w:rsidP="002C4B48">
            <w:pPr>
              <w:spacing w:after="0"/>
              <w:rPr>
                <w:sz w:val="20"/>
              </w:rPr>
            </w:pPr>
            <w:r w:rsidRPr="002C4B48">
              <w:rPr>
                <w:sz w:val="20"/>
              </w:rPr>
              <w:t>$72 427 236</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Permit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$120</w:t>
            </w:r>
          </w:p>
        </w:tc>
        <w:tc>
          <w:tcPr>
            <w:tcW w:w="1782" w:type="dxa"/>
            <w:shd w:val="clear" w:color="auto" w:fill="auto"/>
            <w:vAlign w:val="center"/>
          </w:tcPr>
          <w:p w:rsidR="002C4B48" w:rsidRPr="002C4B48" w:rsidRDefault="002C4B48" w:rsidP="002C4B48">
            <w:pPr>
              <w:spacing w:after="0"/>
              <w:rPr>
                <w:sz w:val="20"/>
              </w:rPr>
            </w:pPr>
            <w:r w:rsidRPr="002C4B48">
              <w:rPr>
                <w:sz w:val="20"/>
              </w:rPr>
              <w:t>Per application</w:t>
            </w:r>
          </w:p>
        </w:tc>
        <w:tc>
          <w:tcPr>
            <w:tcW w:w="1195" w:type="dxa"/>
            <w:shd w:val="clear" w:color="auto" w:fill="auto"/>
            <w:vAlign w:val="center"/>
          </w:tcPr>
          <w:p w:rsidR="002C4B48" w:rsidRPr="002C4B48" w:rsidRDefault="002C4B48" w:rsidP="002C4B48">
            <w:pPr>
              <w:spacing w:after="0"/>
              <w:rPr>
                <w:sz w:val="20"/>
              </w:rPr>
            </w:pPr>
            <w:r w:rsidRPr="002C4B48">
              <w:rPr>
                <w:sz w:val="20"/>
              </w:rPr>
              <w:t>18 670</w:t>
            </w:r>
          </w:p>
        </w:tc>
        <w:tc>
          <w:tcPr>
            <w:tcW w:w="1559" w:type="dxa"/>
            <w:shd w:val="clear" w:color="auto" w:fill="auto"/>
            <w:vAlign w:val="center"/>
          </w:tcPr>
          <w:p w:rsidR="002C4B48" w:rsidRPr="002C4B48" w:rsidRDefault="002C4B48" w:rsidP="002C4B48">
            <w:pPr>
              <w:spacing w:after="0"/>
              <w:rPr>
                <w:sz w:val="20"/>
              </w:rPr>
            </w:pPr>
            <w:r w:rsidRPr="002C4B48">
              <w:rPr>
                <w:sz w:val="20"/>
              </w:rPr>
              <w:t>$2 240 400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 xml:space="preserve">PEQ importation charge—horses or ruminants or animal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$3000</w:t>
            </w:r>
          </w:p>
        </w:tc>
        <w:tc>
          <w:tcPr>
            <w:tcW w:w="1782" w:type="dxa"/>
            <w:shd w:val="clear" w:color="auto" w:fill="auto"/>
            <w:vAlign w:val="center"/>
          </w:tcPr>
          <w:p w:rsidR="002C4B48" w:rsidRPr="002C4B48" w:rsidRDefault="002C4B48" w:rsidP="002C4B48">
            <w:pPr>
              <w:spacing w:after="0"/>
              <w:rPr>
                <w:sz w:val="20"/>
              </w:rPr>
            </w:pPr>
            <w:r w:rsidRPr="002C4B48">
              <w:rPr>
                <w:sz w:val="20"/>
              </w:rPr>
              <w:t>Per animal</w:t>
            </w:r>
          </w:p>
        </w:tc>
        <w:tc>
          <w:tcPr>
            <w:tcW w:w="1195" w:type="dxa"/>
            <w:shd w:val="clear" w:color="auto" w:fill="auto"/>
            <w:vAlign w:val="center"/>
          </w:tcPr>
          <w:p w:rsidR="002C4B48" w:rsidRPr="002C4B48" w:rsidRDefault="002C4B48" w:rsidP="002C4B48">
            <w:pPr>
              <w:spacing w:after="0"/>
              <w:rPr>
                <w:sz w:val="20"/>
              </w:rPr>
            </w:pPr>
            <w:r w:rsidRPr="002C4B48">
              <w:rPr>
                <w:sz w:val="20"/>
              </w:rPr>
              <w:t>400</w:t>
            </w:r>
          </w:p>
        </w:tc>
        <w:tc>
          <w:tcPr>
            <w:tcW w:w="1559" w:type="dxa"/>
            <w:shd w:val="clear" w:color="auto" w:fill="auto"/>
            <w:vAlign w:val="center"/>
          </w:tcPr>
          <w:p w:rsidR="002C4B48" w:rsidRPr="002C4B48" w:rsidRDefault="002C4B48" w:rsidP="002C4B48">
            <w:pPr>
              <w:spacing w:after="0"/>
              <w:rPr>
                <w:sz w:val="20"/>
              </w:rPr>
            </w:pPr>
            <w:r w:rsidRPr="002C4B48">
              <w:rPr>
                <w:sz w:val="20"/>
              </w:rPr>
              <w:t>$1 200 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 xml:space="preserve">PEQ importation charge—cats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$1 200</w:t>
            </w:r>
          </w:p>
        </w:tc>
        <w:tc>
          <w:tcPr>
            <w:tcW w:w="1782" w:type="dxa"/>
            <w:shd w:val="clear" w:color="auto" w:fill="auto"/>
            <w:vAlign w:val="center"/>
          </w:tcPr>
          <w:p w:rsidR="002C4B48" w:rsidRPr="002C4B48" w:rsidRDefault="002C4B48" w:rsidP="002C4B48">
            <w:pPr>
              <w:spacing w:after="0"/>
              <w:rPr>
                <w:sz w:val="20"/>
              </w:rPr>
            </w:pPr>
            <w:r w:rsidRPr="002C4B48">
              <w:rPr>
                <w:sz w:val="20"/>
              </w:rPr>
              <w:t>Per animal</w:t>
            </w:r>
          </w:p>
        </w:tc>
        <w:tc>
          <w:tcPr>
            <w:tcW w:w="1195" w:type="dxa"/>
            <w:shd w:val="clear" w:color="auto" w:fill="auto"/>
            <w:vAlign w:val="center"/>
          </w:tcPr>
          <w:p w:rsidR="002C4B48" w:rsidRPr="002C4B48" w:rsidRDefault="002C4B48" w:rsidP="002C4B48">
            <w:pPr>
              <w:spacing w:after="0"/>
              <w:rPr>
                <w:sz w:val="20"/>
              </w:rPr>
            </w:pPr>
            <w:r w:rsidRPr="002C4B48">
              <w:rPr>
                <w:sz w:val="20"/>
              </w:rPr>
              <w:t>5 254</w:t>
            </w:r>
          </w:p>
        </w:tc>
        <w:tc>
          <w:tcPr>
            <w:tcW w:w="1559" w:type="dxa"/>
            <w:shd w:val="clear" w:color="auto" w:fill="auto"/>
            <w:vAlign w:val="center"/>
          </w:tcPr>
          <w:p w:rsidR="002C4B48" w:rsidRPr="002C4B48" w:rsidRDefault="002C4B48" w:rsidP="002C4B48">
            <w:pPr>
              <w:spacing w:after="0"/>
              <w:rPr>
                <w:sz w:val="20"/>
              </w:rPr>
            </w:pPr>
            <w:r w:rsidRPr="002C4B48">
              <w:rPr>
                <w:sz w:val="20"/>
              </w:rPr>
              <w:t>$6 304 800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importation charge—bees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$2 500</w:t>
            </w:r>
          </w:p>
        </w:tc>
        <w:tc>
          <w:tcPr>
            <w:tcW w:w="1782" w:type="dxa"/>
            <w:shd w:val="clear" w:color="auto" w:fill="auto"/>
            <w:vAlign w:val="center"/>
          </w:tcPr>
          <w:p w:rsidR="002C4B48" w:rsidRPr="002C4B48" w:rsidRDefault="002C4B48" w:rsidP="002C4B48">
            <w:pPr>
              <w:spacing w:after="0"/>
              <w:rPr>
                <w:sz w:val="20"/>
              </w:rPr>
            </w:pPr>
            <w:r w:rsidRPr="002C4B48">
              <w:rPr>
                <w:sz w:val="20"/>
              </w:rPr>
              <w:t>Per bees consignment</w:t>
            </w:r>
          </w:p>
        </w:tc>
        <w:tc>
          <w:tcPr>
            <w:tcW w:w="1195" w:type="dxa"/>
            <w:shd w:val="clear" w:color="auto" w:fill="auto"/>
            <w:vAlign w:val="center"/>
          </w:tcPr>
          <w:p w:rsidR="002C4B48" w:rsidRPr="002C4B48" w:rsidRDefault="002C4B48" w:rsidP="002C4B48">
            <w:pPr>
              <w:spacing w:after="0"/>
              <w:rPr>
                <w:sz w:val="20"/>
              </w:rPr>
            </w:pPr>
            <w:r w:rsidRPr="002C4B48">
              <w:rPr>
                <w:sz w:val="20"/>
              </w:rPr>
              <w:t>10</w:t>
            </w:r>
          </w:p>
        </w:tc>
        <w:tc>
          <w:tcPr>
            <w:tcW w:w="1559" w:type="dxa"/>
            <w:shd w:val="clear" w:color="auto" w:fill="auto"/>
            <w:vAlign w:val="center"/>
          </w:tcPr>
          <w:p w:rsidR="002C4B48" w:rsidRPr="002C4B48" w:rsidRDefault="002C4B48" w:rsidP="002C4B48">
            <w:pPr>
              <w:spacing w:after="0"/>
              <w:rPr>
                <w:sz w:val="20"/>
              </w:rPr>
            </w:pPr>
            <w:r w:rsidRPr="002C4B48">
              <w:rPr>
                <w:sz w:val="20"/>
              </w:rPr>
              <w:t>$25 000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$39 130</w:t>
            </w:r>
          </w:p>
        </w:tc>
        <w:tc>
          <w:tcPr>
            <w:tcW w:w="1782" w:type="dxa"/>
            <w:shd w:val="clear" w:color="auto" w:fill="auto"/>
            <w:vAlign w:val="center"/>
          </w:tcPr>
          <w:p w:rsidR="002C4B48" w:rsidRPr="002C4B48" w:rsidRDefault="002C4B48" w:rsidP="002C4B48">
            <w:pPr>
              <w:spacing w:after="0"/>
              <w:rPr>
                <w:sz w:val="20"/>
              </w:rPr>
            </w:pPr>
            <w:r w:rsidRPr="002C4B48">
              <w:rPr>
                <w:sz w:val="20"/>
              </w:rPr>
              <w:t>Per hatching egg consignment</w:t>
            </w:r>
          </w:p>
        </w:tc>
        <w:tc>
          <w:tcPr>
            <w:tcW w:w="1195" w:type="dxa"/>
            <w:shd w:val="clear" w:color="auto" w:fill="auto"/>
            <w:vAlign w:val="center"/>
          </w:tcPr>
          <w:p w:rsidR="002C4B48" w:rsidRPr="002C4B48" w:rsidRDefault="002C4B48" w:rsidP="002C4B48">
            <w:pPr>
              <w:spacing w:after="0"/>
              <w:rPr>
                <w:sz w:val="20"/>
              </w:rPr>
            </w:pPr>
            <w:r w:rsidRPr="002C4B48">
              <w:rPr>
                <w:sz w:val="20"/>
              </w:rPr>
              <w:t>3</w:t>
            </w:r>
          </w:p>
        </w:tc>
        <w:tc>
          <w:tcPr>
            <w:tcW w:w="1559" w:type="dxa"/>
            <w:shd w:val="clear" w:color="auto" w:fill="auto"/>
            <w:vAlign w:val="center"/>
          </w:tcPr>
          <w:p w:rsidR="002C4B48" w:rsidRPr="002C4B48" w:rsidRDefault="002C4B48" w:rsidP="002C4B48">
            <w:pPr>
              <w:spacing w:after="0"/>
              <w:rPr>
                <w:sz w:val="20"/>
              </w:rPr>
            </w:pPr>
            <w:r w:rsidRPr="002C4B48">
              <w:rPr>
                <w:sz w:val="20"/>
              </w:rPr>
              <w:t>$117 390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(live bird)</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$14 050</w:t>
            </w:r>
          </w:p>
        </w:tc>
        <w:tc>
          <w:tcPr>
            <w:tcW w:w="1782" w:type="dxa"/>
            <w:shd w:val="clear" w:color="auto" w:fill="auto"/>
            <w:vAlign w:val="center"/>
          </w:tcPr>
          <w:p w:rsidR="002C4B48" w:rsidRPr="002C4B48" w:rsidRDefault="002C4B48" w:rsidP="002C4B48">
            <w:pPr>
              <w:spacing w:after="0"/>
              <w:rPr>
                <w:sz w:val="20"/>
              </w:rPr>
            </w:pPr>
            <w:r w:rsidRPr="002C4B48">
              <w:rPr>
                <w:sz w:val="20"/>
              </w:rPr>
              <w:t>Per live bird consignment</w:t>
            </w:r>
          </w:p>
        </w:tc>
        <w:tc>
          <w:tcPr>
            <w:tcW w:w="1195" w:type="dxa"/>
            <w:shd w:val="clear" w:color="auto" w:fill="auto"/>
            <w:vAlign w:val="center"/>
          </w:tcPr>
          <w:p w:rsidR="002C4B48" w:rsidRPr="002C4B48" w:rsidRDefault="002C4B48" w:rsidP="002C4B48">
            <w:pPr>
              <w:spacing w:after="0"/>
              <w:rPr>
                <w:sz w:val="20"/>
              </w:rPr>
            </w:pPr>
            <w:r w:rsidRPr="002C4B48">
              <w:rPr>
                <w:sz w:val="20"/>
              </w:rPr>
              <w:t>5</w:t>
            </w:r>
          </w:p>
        </w:tc>
        <w:tc>
          <w:tcPr>
            <w:tcW w:w="1559" w:type="dxa"/>
            <w:shd w:val="clear" w:color="auto" w:fill="auto"/>
            <w:vAlign w:val="center"/>
          </w:tcPr>
          <w:p w:rsidR="002C4B48" w:rsidRPr="002C4B48" w:rsidRDefault="002C4B48" w:rsidP="002C4B48">
            <w:pPr>
              <w:spacing w:after="0"/>
              <w:rPr>
                <w:sz w:val="20"/>
              </w:rPr>
            </w:pPr>
            <w:r w:rsidRPr="002C4B48">
              <w:rPr>
                <w:sz w:val="20"/>
              </w:rPr>
              <w:t>$70 250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importation charge—plants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$110</w:t>
            </w:r>
          </w:p>
        </w:tc>
        <w:tc>
          <w:tcPr>
            <w:tcW w:w="1782" w:type="dxa"/>
            <w:shd w:val="clear" w:color="auto" w:fill="auto"/>
            <w:vAlign w:val="center"/>
          </w:tcPr>
          <w:p w:rsidR="002C4B48" w:rsidRPr="002C4B48" w:rsidRDefault="002C4B48" w:rsidP="002C4B48">
            <w:pPr>
              <w:spacing w:after="0"/>
              <w:rPr>
                <w:sz w:val="20"/>
              </w:rPr>
            </w:pPr>
            <w:r w:rsidRPr="002C4B48">
              <w:rPr>
                <w:sz w:val="20"/>
              </w:rPr>
              <w:t>Per m</w:t>
            </w:r>
            <w:r w:rsidRPr="002C4B48">
              <w:rPr>
                <w:sz w:val="20"/>
                <w:vertAlign w:val="superscript"/>
              </w:rPr>
              <w:t>2</w:t>
            </w:r>
          </w:p>
        </w:tc>
        <w:tc>
          <w:tcPr>
            <w:tcW w:w="1195" w:type="dxa"/>
            <w:shd w:val="clear" w:color="auto" w:fill="auto"/>
            <w:vAlign w:val="center"/>
          </w:tcPr>
          <w:p w:rsidR="002C4B48" w:rsidRPr="002C4B48" w:rsidRDefault="002C4B48" w:rsidP="002C4B48">
            <w:pPr>
              <w:spacing w:after="0"/>
              <w:rPr>
                <w:sz w:val="20"/>
              </w:rPr>
            </w:pPr>
            <w:r w:rsidRPr="002C4B48">
              <w:rPr>
                <w:sz w:val="20"/>
              </w:rPr>
              <w:t>14 940</w:t>
            </w:r>
          </w:p>
        </w:tc>
        <w:tc>
          <w:tcPr>
            <w:tcW w:w="1559" w:type="dxa"/>
            <w:shd w:val="clear" w:color="auto" w:fill="auto"/>
            <w:vAlign w:val="center"/>
          </w:tcPr>
          <w:p w:rsidR="002C4B48" w:rsidRPr="002C4B48" w:rsidRDefault="002C4B48" w:rsidP="002C4B48">
            <w:pPr>
              <w:spacing w:after="0"/>
              <w:rPr>
                <w:sz w:val="20"/>
              </w:rPr>
            </w:pPr>
            <w:r w:rsidRPr="002C4B48">
              <w:rPr>
                <w:sz w:val="20"/>
              </w:rPr>
              <w:t>$1 643 400</w:t>
            </w:r>
          </w:p>
        </w:tc>
      </w:tr>
      <w:tr w:rsidR="002C4B48" w:rsidRPr="002C4B48" w:rsidTr="002C4B48">
        <w:trPr>
          <w:trHeight w:val="680"/>
          <w:jc w:val="center"/>
        </w:trPr>
        <w:tc>
          <w:tcPr>
            <w:tcW w:w="3463" w:type="dxa"/>
            <w:shd w:val="clear" w:color="auto" w:fill="DBE5F1"/>
            <w:vAlign w:val="center"/>
          </w:tcPr>
          <w:p w:rsidR="002C4B48" w:rsidRPr="002C4B48" w:rsidRDefault="002C4B48" w:rsidP="002C4B48">
            <w:pPr>
              <w:spacing w:after="0"/>
              <w:rPr>
                <w:b/>
                <w:bCs/>
                <w:sz w:val="20"/>
              </w:rPr>
            </w:pPr>
            <w:r w:rsidRPr="002C4B48">
              <w:rPr>
                <w:b/>
                <w:bCs/>
                <w:sz w:val="20"/>
              </w:rPr>
              <w:t>Approved arrangement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782"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95"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Approved arrangement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$180</w:t>
            </w:r>
          </w:p>
        </w:tc>
        <w:tc>
          <w:tcPr>
            <w:tcW w:w="1782" w:type="dxa"/>
            <w:shd w:val="clear" w:color="auto" w:fill="auto"/>
            <w:vAlign w:val="center"/>
          </w:tcPr>
          <w:p w:rsidR="002C4B48" w:rsidRPr="002C4B48" w:rsidRDefault="002C4B48" w:rsidP="002C4B48">
            <w:pPr>
              <w:spacing w:after="0"/>
              <w:rPr>
                <w:sz w:val="20"/>
              </w:rPr>
            </w:pPr>
            <w:r w:rsidRPr="002C4B48">
              <w:rPr>
                <w:sz w:val="20"/>
              </w:rPr>
              <w:t>Per new application</w:t>
            </w:r>
          </w:p>
        </w:tc>
        <w:tc>
          <w:tcPr>
            <w:tcW w:w="1195" w:type="dxa"/>
            <w:shd w:val="clear" w:color="auto" w:fill="auto"/>
            <w:vAlign w:val="center"/>
          </w:tcPr>
          <w:p w:rsidR="002C4B48" w:rsidRPr="002C4B48" w:rsidRDefault="002C4B48" w:rsidP="002C4B48">
            <w:pPr>
              <w:spacing w:after="0"/>
              <w:rPr>
                <w:sz w:val="20"/>
              </w:rPr>
            </w:pPr>
            <w:r w:rsidRPr="002C4B48">
              <w:rPr>
                <w:sz w:val="20"/>
              </w:rPr>
              <w:t>75</w:t>
            </w:r>
          </w:p>
        </w:tc>
        <w:tc>
          <w:tcPr>
            <w:tcW w:w="1559" w:type="dxa"/>
            <w:shd w:val="clear" w:color="auto" w:fill="auto"/>
            <w:vAlign w:val="center"/>
          </w:tcPr>
          <w:p w:rsidR="002C4B48" w:rsidRPr="002C4B48" w:rsidRDefault="002C4B48" w:rsidP="002C4B48">
            <w:pPr>
              <w:spacing w:after="0"/>
              <w:rPr>
                <w:sz w:val="20"/>
              </w:rPr>
            </w:pPr>
            <w:r w:rsidRPr="002C4B48">
              <w:rPr>
                <w:sz w:val="20"/>
              </w:rPr>
              <w:t>$13 500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Approved arrangement annual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$2 900</w:t>
            </w:r>
          </w:p>
        </w:tc>
        <w:tc>
          <w:tcPr>
            <w:tcW w:w="1782" w:type="dxa"/>
            <w:shd w:val="clear" w:color="auto" w:fill="auto"/>
            <w:vAlign w:val="center"/>
          </w:tcPr>
          <w:p w:rsidR="002C4B48" w:rsidRPr="002C4B48" w:rsidRDefault="002C4B48" w:rsidP="002C4B48">
            <w:pPr>
              <w:spacing w:after="0"/>
              <w:rPr>
                <w:sz w:val="20"/>
              </w:rPr>
            </w:pPr>
            <w:r w:rsidRPr="002C4B48">
              <w:rPr>
                <w:sz w:val="20"/>
              </w:rPr>
              <w:t>Per entity</w:t>
            </w:r>
          </w:p>
        </w:tc>
        <w:tc>
          <w:tcPr>
            <w:tcW w:w="1195" w:type="dxa"/>
            <w:shd w:val="clear" w:color="auto" w:fill="auto"/>
            <w:vAlign w:val="center"/>
          </w:tcPr>
          <w:p w:rsidR="002C4B48" w:rsidRPr="002C4B48" w:rsidRDefault="002C4B48" w:rsidP="002C4B48">
            <w:pPr>
              <w:spacing w:after="0"/>
              <w:rPr>
                <w:sz w:val="20"/>
              </w:rPr>
            </w:pPr>
            <w:r w:rsidRPr="002C4B48">
              <w:rPr>
                <w:sz w:val="20"/>
              </w:rPr>
              <w:t>2 499</w:t>
            </w:r>
          </w:p>
        </w:tc>
        <w:tc>
          <w:tcPr>
            <w:tcW w:w="1559" w:type="dxa"/>
            <w:tcBorders>
              <w:right w:val="single" w:sz="4" w:space="0" w:color="auto"/>
            </w:tcBorders>
            <w:shd w:val="clear" w:color="auto" w:fill="auto"/>
            <w:vAlign w:val="center"/>
          </w:tcPr>
          <w:p w:rsidR="002C4B48" w:rsidRPr="002C4B48" w:rsidRDefault="002C4B48" w:rsidP="002C4B48">
            <w:pPr>
              <w:spacing w:after="0"/>
              <w:rPr>
                <w:sz w:val="20"/>
              </w:rPr>
            </w:pPr>
            <w:r w:rsidRPr="002C4B48">
              <w:rPr>
                <w:sz w:val="20"/>
              </w:rPr>
              <w:t>$7 247 100</w:t>
            </w:r>
          </w:p>
        </w:tc>
      </w:tr>
      <w:tr w:rsidR="002C4B48" w:rsidRPr="002C4B48" w:rsidTr="002C4B48">
        <w:trPr>
          <w:trHeight w:val="680"/>
          <w:jc w:val="center"/>
        </w:trPr>
        <w:tc>
          <w:tcPr>
            <w:tcW w:w="3463"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Vessel operator levies</w:t>
            </w:r>
          </w:p>
        </w:tc>
        <w:tc>
          <w:tcPr>
            <w:tcW w:w="992"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Rate</w:t>
            </w:r>
          </w:p>
        </w:tc>
        <w:tc>
          <w:tcPr>
            <w:tcW w:w="1782"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Unit</w:t>
            </w:r>
          </w:p>
        </w:tc>
        <w:tc>
          <w:tcPr>
            <w:tcW w:w="1195"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463"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 xml:space="preserve">Vessel (≥25m) arrival charge </w:t>
            </w:r>
          </w:p>
        </w:tc>
        <w:tc>
          <w:tcPr>
            <w:tcW w:w="992"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Levy</w:t>
            </w:r>
          </w:p>
        </w:tc>
        <w:tc>
          <w:tcPr>
            <w:tcW w:w="113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$720</w:t>
            </w:r>
          </w:p>
        </w:tc>
        <w:tc>
          <w:tcPr>
            <w:tcW w:w="1782"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Per vessel</w:t>
            </w:r>
          </w:p>
        </w:tc>
        <w:tc>
          <w:tcPr>
            <w:tcW w:w="1195"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18 332</w:t>
            </w:r>
          </w:p>
        </w:tc>
        <w:tc>
          <w:tcPr>
            <w:tcW w:w="1559"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$13 199 040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Vessel (&lt;25m) arrival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782" w:type="dxa"/>
            <w:shd w:val="clear" w:color="auto" w:fill="auto"/>
            <w:vAlign w:val="center"/>
          </w:tcPr>
          <w:p w:rsidR="002C4B48" w:rsidRPr="002C4B48" w:rsidRDefault="002C4B48" w:rsidP="002C4B48">
            <w:pPr>
              <w:spacing w:after="0"/>
              <w:rPr>
                <w:sz w:val="20"/>
              </w:rPr>
            </w:pPr>
            <w:r w:rsidRPr="002C4B48">
              <w:rPr>
                <w:sz w:val="20"/>
              </w:rPr>
              <w:t>Per vessel</w:t>
            </w:r>
          </w:p>
        </w:tc>
        <w:tc>
          <w:tcPr>
            <w:tcW w:w="1195" w:type="dxa"/>
            <w:shd w:val="clear" w:color="auto" w:fill="auto"/>
            <w:vAlign w:val="center"/>
          </w:tcPr>
          <w:p w:rsidR="002C4B48" w:rsidRPr="002C4B48" w:rsidRDefault="002C4B48" w:rsidP="002C4B48">
            <w:pPr>
              <w:spacing w:after="0"/>
              <w:rPr>
                <w:sz w:val="20"/>
              </w:rPr>
            </w:pPr>
            <w:r w:rsidRPr="002C4B48">
              <w:rPr>
                <w:sz w:val="20"/>
              </w:rPr>
              <w:t>484</w:t>
            </w:r>
          </w:p>
        </w:tc>
        <w:tc>
          <w:tcPr>
            <w:tcW w:w="1559" w:type="dxa"/>
            <w:shd w:val="clear" w:color="auto" w:fill="auto"/>
            <w:vAlign w:val="center"/>
          </w:tcPr>
          <w:p w:rsidR="002C4B48" w:rsidRPr="002C4B48" w:rsidRDefault="002C4B48" w:rsidP="002C4B48">
            <w:pPr>
              <w:spacing w:after="0"/>
              <w:rPr>
                <w:sz w:val="20"/>
              </w:rPr>
            </w:pPr>
            <w:r w:rsidRPr="002C4B48">
              <w:rPr>
                <w:sz w:val="20"/>
              </w:rPr>
              <w:t>$48 400</w:t>
            </w:r>
          </w:p>
        </w:tc>
      </w:tr>
      <w:tr w:rsidR="002C4B48" w:rsidRPr="002C4B48" w:rsidTr="002C4B48">
        <w:trPr>
          <w:trHeight w:val="680"/>
          <w:jc w:val="center"/>
        </w:trPr>
        <w:tc>
          <w:tcPr>
            <w:tcW w:w="3463" w:type="dxa"/>
            <w:shd w:val="clear" w:color="auto" w:fill="DBE5F1"/>
            <w:vAlign w:val="center"/>
          </w:tcPr>
          <w:p w:rsidR="002C4B48" w:rsidRPr="002C4B48" w:rsidRDefault="002C4B48" w:rsidP="002C4B48">
            <w:pPr>
              <w:spacing w:after="0"/>
              <w:rPr>
                <w:b/>
                <w:bCs/>
                <w:sz w:val="20"/>
              </w:rPr>
            </w:pPr>
            <w:r w:rsidRPr="002C4B48">
              <w:rPr>
                <w:b/>
                <w:bCs/>
                <w:sz w:val="20"/>
              </w:rPr>
              <w:lastRenderedPageBreak/>
              <w:t>Biosecurity Arrangement fees—assessment, approval, inspection, treatment and audit</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782"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95"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In-office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$30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960 998</w:t>
            </w:r>
          </w:p>
        </w:tc>
        <w:tc>
          <w:tcPr>
            <w:tcW w:w="1559" w:type="dxa"/>
            <w:shd w:val="clear" w:color="auto" w:fill="auto"/>
            <w:vAlign w:val="center"/>
          </w:tcPr>
          <w:p w:rsidR="002C4B48" w:rsidRPr="002C4B48" w:rsidRDefault="002C4B48" w:rsidP="002C4B48">
            <w:pPr>
              <w:spacing w:after="0"/>
              <w:rPr>
                <w:sz w:val="20"/>
              </w:rPr>
            </w:pPr>
            <w:r w:rsidRPr="002C4B48">
              <w:rPr>
                <w:sz w:val="20"/>
              </w:rPr>
              <w:t>$28 829 940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Out–of-office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$50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675 160</w:t>
            </w:r>
          </w:p>
        </w:tc>
        <w:tc>
          <w:tcPr>
            <w:tcW w:w="1559" w:type="dxa"/>
            <w:shd w:val="clear" w:color="auto" w:fill="auto"/>
            <w:vAlign w:val="center"/>
          </w:tcPr>
          <w:p w:rsidR="002C4B48" w:rsidRPr="002C4B48" w:rsidRDefault="002C4B48" w:rsidP="002C4B48">
            <w:pPr>
              <w:spacing w:after="0"/>
              <w:rPr>
                <w:sz w:val="20"/>
              </w:rPr>
            </w:pPr>
            <w:r w:rsidRPr="002C4B48">
              <w:rPr>
                <w:sz w:val="20"/>
              </w:rPr>
              <w:t>$33 758 000</w:t>
            </w:r>
          </w:p>
        </w:tc>
      </w:tr>
      <w:tr w:rsidR="002C4B48" w:rsidRPr="002C4B48" w:rsidTr="002C4B48">
        <w:trPr>
          <w:trHeight w:val="680"/>
          <w:jc w:val="center"/>
        </w:trPr>
        <w:tc>
          <w:tcPr>
            <w:tcW w:w="3463"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fees—husbandry</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782"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95"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 xml:space="preserve">PEQ husbandry fee—horses or ruminants or animals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$60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animal per day</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5 600</w:t>
            </w:r>
          </w:p>
        </w:tc>
        <w:tc>
          <w:tcPr>
            <w:tcW w:w="1559" w:type="dxa"/>
            <w:shd w:val="clear" w:color="auto" w:fill="auto"/>
            <w:vAlign w:val="center"/>
          </w:tcPr>
          <w:p w:rsidR="002C4B48" w:rsidRPr="002C4B48" w:rsidRDefault="002C4B48" w:rsidP="002C4B48">
            <w:pPr>
              <w:spacing w:after="0"/>
              <w:rPr>
                <w:sz w:val="20"/>
              </w:rPr>
            </w:pPr>
            <w:r w:rsidRPr="002C4B48">
              <w:rPr>
                <w:sz w:val="20"/>
              </w:rPr>
              <w:t>$336 000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 xml:space="preserve">PEQ husbandry fee—cats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$29</w:t>
            </w:r>
          </w:p>
        </w:tc>
        <w:tc>
          <w:tcPr>
            <w:tcW w:w="1782" w:type="dxa"/>
            <w:shd w:val="clear" w:color="auto" w:fill="auto"/>
            <w:vAlign w:val="center"/>
          </w:tcPr>
          <w:p w:rsidR="002C4B48" w:rsidRPr="002C4B48" w:rsidRDefault="002C4B48" w:rsidP="002C4B48">
            <w:pPr>
              <w:spacing w:after="0"/>
              <w:rPr>
                <w:sz w:val="20"/>
              </w:rPr>
            </w:pPr>
            <w:r w:rsidRPr="002C4B48">
              <w:rPr>
                <w:sz w:val="20"/>
              </w:rPr>
              <w:t>Per animal per day</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52 542</w:t>
            </w:r>
          </w:p>
        </w:tc>
        <w:tc>
          <w:tcPr>
            <w:tcW w:w="1559" w:type="dxa"/>
            <w:shd w:val="clear" w:color="auto" w:fill="auto"/>
            <w:vAlign w:val="center"/>
          </w:tcPr>
          <w:p w:rsidR="002C4B48" w:rsidRPr="002C4B48" w:rsidRDefault="002C4B48" w:rsidP="002C4B48">
            <w:pPr>
              <w:spacing w:after="0"/>
              <w:rPr>
                <w:sz w:val="20"/>
              </w:rPr>
            </w:pPr>
            <w:r w:rsidRPr="002C4B48">
              <w:rPr>
                <w:sz w:val="20"/>
              </w:rPr>
              <w:t>$1 523 718</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husbandry fee—bees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$280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bee consignment monthly</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20</w:t>
            </w:r>
          </w:p>
        </w:tc>
        <w:tc>
          <w:tcPr>
            <w:tcW w:w="1559" w:type="dxa"/>
            <w:shd w:val="clear" w:color="auto" w:fill="auto"/>
            <w:vAlign w:val="center"/>
          </w:tcPr>
          <w:p w:rsidR="002C4B48" w:rsidRPr="002C4B48" w:rsidRDefault="002C4B48" w:rsidP="002C4B48">
            <w:pPr>
              <w:spacing w:after="0"/>
              <w:rPr>
                <w:sz w:val="20"/>
              </w:rPr>
            </w:pPr>
            <w:r w:rsidRPr="002C4B48">
              <w:rPr>
                <w:sz w:val="20"/>
              </w:rPr>
              <w:t>$5 600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$200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egg consignment per day</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293</w:t>
            </w:r>
          </w:p>
        </w:tc>
        <w:tc>
          <w:tcPr>
            <w:tcW w:w="1559" w:type="dxa"/>
            <w:shd w:val="clear" w:color="auto" w:fill="auto"/>
            <w:vAlign w:val="center"/>
          </w:tcPr>
          <w:p w:rsidR="002C4B48" w:rsidRPr="002C4B48" w:rsidRDefault="002C4B48" w:rsidP="002C4B48">
            <w:pPr>
              <w:spacing w:after="0"/>
              <w:rPr>
                <w:sz w:val="20"/>
              </w:rPr>
            </w:pPr>
            <w:r w:rsidRPr="002C4B48">
              <w:rPr>
                <w:sz w:val="20"/>
              </w:rPr>
              <w:t>$58 600</w:t>
            </w:r>
          </w:p>
        </w:tc>
      </w:tr>
      <w:tr w:rsidR="002C4B48" w:rsidRPr="002C4B48" w:rsidTr="002C4B48">
        <w:trPr>
          <w:trHeight w:val="680"/>
          <w:jc w:val="center"/>
        </w:trPr>
        <w:tc>
          <w:tcPr>
            <w:tcW w:w="3463"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(live birds)</w:t>
            </w:r>
          </w:p>
        </w:tc>
        <w:tc>
          <w:tcPr>
            <w:tcW w:w="992"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Fee</w:t>
            </w:r>
          </w:p>
        </w:tc>
        <w:tc>
          <w:tcPr>
            <w:tcW w:w="113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$150</w:t>
            </w:r>
          </w:p>
        </w:tc>
        <w:tc>
          <w:tcPr>
            <w:tcW w:w="1782" w:type="dxa"/>
            <w:tcBorders>
              <w:bottom w:val="single" w:sz="4" w:space="0" w:color="000000"/>
            </w:tcBorders>
            <w:shd w:val="clear" w:color="auto" w:fill="auto"/>
            <w:vAlign w:val="center"/>
          </w:tcPr>
          <w:p w:rsidR="002C4B48" w:rsidRPr="002C4B48" w:rsidRDefault="002C4B48" w:rsidP="002C4B48">
            <w:pPr>
              <w:spacing w:after="0"/>
              <w:rPr>
                <w:sz w:val="18"/>
                <w:szCs w:val="18"/>
              </w:rPr>
            </w:pPr>
            <w:r w:rsidRPr="002C4B48">
              <w:rPr>
                <w:sz w:val="20"/>
              </w:rPr>
              <w:t>Per live bird consignment per day</w:t>
            </w:r>
            <w:r w:rsidRPr="002C4B48">
              <w:rPr>
                <w:sz w:val="20"/>
              </w:rPr>
              <w:br/>
            </w:r>
            <w:r w:rsidRPr="002C4B48">
              <w:rPr>
                <w:rFonts w:cs="Arial"/>
                <w:sz w:val="18"/>
                <w:szCs w:val="18"/>
              </w:rPr>
              <w:t>(or part thereof)</w:t>
            </w:r>
          </w:p>
        </w:tc>
        <w:tc>
          <w:tcPr>
            <w:tcW w:w="1195"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160</w:t>
            </w:r>
          </w:p>
        </w:tc>
        <w:tc>
          <w:tcPr>
            <w:tcW w:w="1559"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$24 000</w:t>
            </w:r>
          </w:p>
        </w:tc>
      </w:tr>
      <w:tr w:rsidR="002C4B48" w:rsidRPr="002C4B48" w:rsidTr="002C4B48">
        <w:trPr>
          <w:trHeight w:val="680"/>
          <w:jc w:val="center"/>
        </w:trPr>
        <w:tc>
          <w:tcPr>
            <w:tcW w:w="3463" w:type="dxa"/>
            <w:shd w:val="clear" w:color="auto" w:fill="auto"/>
            <w:vAlign w:val="center"/>
          </w:tcPr>
          <w:p w:rsidR="002C4B48" w:rsidRPr="002C4B48" w:rsidRDefault="002C4B48" w:rsidP="002C4B48">
            <w:pPr>
              <w:spacing w:after="0"/>
              <w:rPr>
                <w:sz w:val="20"/>
              </w:rPr>
            </w:pPr>
            <w:r w:rsidRPr="002C4B48">
              <w:rPr>
                <w:sz w:val="20"/>
              </w:rPr>
              <w:t>PEQ husbandry fee—plants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$20</w:t>
            </w:r>
          </w:p>
        </w:tc>
        <w:tc>
          <w:tcPr>
            <w:tcW w:w="1782" w:type="dxa"/>
            <w:shd w:val="clear" w:color="auto" w:fill="auto"/>
            <w:vAlign w:val="center"/>
          </w:tcPr>
          <w:p w:rsidR="002C4B48" w:rsidRPr="002C4B48" w:rsidRDefault="002C4B48" w:rsidP="002C4B48">
            <w:pPr>
              <w:spacing w:after="0"/>
              <w:rPr>
                <w:sz w:val="18"/>
                <w:szCs w:val="18"/>
              </w:rPr>
            </w:pPr>
            <w:r w:rsidRPr="002C4B48">
              <w:rPr>
                <w:sz w:val="20"/>
              </w:rPr>
              <w:t>Per m</w:t>
            </w:r>
            <w:r w:rsidRPr="002C4B48">
              <w:rPr>
                <w:sz w:val="20"/>
                <w:vertAlign w:val="superscript"/>
              </w:rPr>
              <w:t xml:space="preserve">2 </w:t>
            </w:r>
            <w:r w:rsidRPr="002C4B48">
              <w:rPr>
                <w:sz w:val="20"/>
              </w:rPr>
              <w:t>monthly</w:t>
            </w:r>
            <w:r w:rsidRPr="002C4B48">
              <w:rPr>
                <w:sz w:val="20"/>
              </w:rPr>
              <w:br/>
            </w:r>
            <w:r w:rsidRPr="002C4B48">
              <w:rPr>
                <w:rFonts w:cs="Arial"/>
                <w:sz w:val="18"/>
                <w:szCs w:val="18"/>
              </w:rPr>
              <w:t>(or part thereof)</w:t>
            </w:r>
          </w:p>
        </w:tc>
        <w:tc>
          <w:tcPr>
            <w:tcW w:w="1195" w:type="dxa"/>
            <w:shd w:val="clear" w:color="auto" w:fill="auto"/>
            <w:vAlign w:val="center"/>
          </w:tcPr>
          <w:p w:rsidR="002C4B48" w:rsidRPr="002C4B48" w:rsidRDefault="002C4B48" w:rsidP="002C4B48">
            <w:pPr>
              <w:spacing w:after="0"/>
              <w:rPr>
                <w:sz w:val="20"/>
              </w:rPr>
            </w:pPr>
            <w:r w:rsidRPr="002C4B48">
              <w:rPr>
                <w:sz w:val="20"/>
              </w:rPr>
              <w:t>14 940</w:t>
            </w:r>
          </w:p>
        </w:tc>
        <w:tc>
          <w:tcPr>
            <w:tcW w:w="1559" w:type="dxa"/>
            <w:shd w:val="clear" w:color="auto" w:fill="auto"/>
            <w:vAlign w:val="center"/>
          </w:tcPr>
          <w:p w:rsidR="002C4B48" w:rsidRPr="002C4B48" w:rsidRDefault="002C4B48" w:rsidP="002C4B48">
            <w:pPr>
              <w:spacing w:after="0"/>
              <w:rPr>
                <w:sz w:val="20"/>
              </w:rPr>
            </w:pPr>
            <w:r w:rsidRPr="002C4B48">
              <w:rPr>
                <w:sz w:val="20"/>
              </w:rPr>
              <w:t>$298 800</w:t>
            </w:r>
          </w:p>
        </w:tc>
      </w:tr>
    </w:tbl>
    <w:p w:rsidR="002C4B48" w:rsidRPr="002C4B48" w:rsidRDefault="002C4B48" w:rsidP="002C4B48">
      <w:pPr>
        <w:spacing w:before="360" w:after="120"/>
        <w:ind w:left="794" w:hanging="794"/>
        <w:outlineLvl w:val="2"/>
        <w:rPr>
          <w:b/>
          <w:sz w:val="32"/>
          <w:szCs w:val="20"/>
          <w:lang w:val="x-none"/>
        </w:rPr>
      </w:pPr>
      <w:bookmarkStart w:id="110" w:name="_Toc424755480"/>
      <w:bookmarkStart w:id="111" w:name="_Toc433713889"/>
      <w:r w:rsidRPr="002C4B48">
        <w:rPr>
          <w:b/>
          <w:sz w:val="32"/>
          <w:szCs w:val="20"/>
          <w:lang w:val="x-none"/>
        </w:rPr>
        <w:t>Proposed charging structure 2016–17</w:t>
      </w:r>
      <w:bookmarkEnd w:id="110"/>
      <w:bookmarkEnd w:id="111"/>
    </w:p>
    <w:p w:rsidR="002C4B48" w:rsidRPr="002C4B48" w:rsidRDefault="002C4B48" w:rsidP="002C4B48">
      <w:pPr>
        <w:keepNext/>
        <w:keepLines/>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9</w:t>
      </w:r>
      <w:r w:rsidRPr="002C4B48">
        <w:rPr>
          <w:b/>
          <w:bCs/>
          <w:noProof/>
          <w:color w:val="548DD4"/>
          <w:szCs w:val="18"/>
        </w:rPr>
        <w:fldChar w:fldCharType="end"/>
      </w:r>
      <w:r w:rsidRPr="002C4B48">
        <w:rPr>
          <w:b/>
          <w:bCs/>
          <w:color w:val="548DD4"/>
          <w:szCs w:val="18"/>
        </w:rPr>
        <w:t>: Fees, levies and volumes—biosecurity cost recovery arrangement (2016–17)</w:t>
      </w: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6"/>
        <w:gridCol w:w="992"/>
        <w:gridCol w:w="1134"/>
        <w:gridCol w:w="1853"/>
        <w:gridCol w:w="1124"/>
        <w:gridCol w:w="1559"/>
      </w:tblGrid>
      <w:tr w:rsidR="002C4B48" w:rsidRPr="002C4B48" w:rsidTr="002C4B48">
        <w:trPr>
          <w:trHeight w:val="453"/>
          <w:tblHeader/>
          <w:jc w:val="center"/>
        </w:trPr>
        <w:tc>
          <w:tcPr>
            <w:tcW w:w="3526" w:type="dxa"/>
            <w:shd w:val="clear" w:color="auto" w:fill="C6D9F1"/>
            <w:vAlign w:val="center"/>
          </w:tcPr>
          <w:p w:rsidR="002C4B48" w:rsidRPr="002C4B48" w:rsidRDefault="002C4B48" w:rsidP="002C4B48">
            <w:pPr>
              <w:spacing w:after="0"/>
              <w:rPr>
                <w:b/>
                <w:bCs/>
                <w:sz w:val="20"/>
              </w:rPr>
            </w:pPr>
            <w:r w:rsidRPr="002C4B48">
              <w:rPr>
                <w:b/>
                <w:bCs/>
                <w:sz w:val="20"/>
              </w:rPr>
              <w:t>Charge title</w:t>
            </w:r>
          </w:p>
        </w:tc>
        <w:tc>
          <w:tcPr>
            <w:tcW w:w="992" w:type="dxa"/>
            <w:shd w:val="clear" w:color="auto" w:fill="C6D9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C6D9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C6D9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C6D9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C6D9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Importer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charge—air</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$31</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1 910 798</w:t>
            </w:r>
          </w:p>
        </w:tc>
        <w:tc>
          <w:tcPr>
            <w:tcW w:w="1559" w:type="dxa"/>
            <w:shd w:val="clear" w:color="auto" w:fill="auto"/>
            <w:vAlign w:val="center"/>
          </w:tcPr>
          <w:p w:rsidR="002C4B48" w:rsidRPr="002C4B48" w:rsidRDefault="002C4B48" w:rsidP="002C4B48">
            <w:pPr>
              <w:spacing w:after="0"/>
              <w:rPr>
                <w:sz w:val="20"/>
              </w:rPr>
            </w:pPr>
            <w:r w:rsidRPr="002C4B48">
              <w:rPr>
                <w:sz w:val="20"/>
              </w:rPr>
              <w:t>$59 234 738</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charge—sea</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$41</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1 783 992</w:t>
            </w:r>
          </w:p>
        </w:tc>
        <w:tc>
          <w:tcPr>
            <w:tcW w:w="1559" w:type="dxa"/>
            <w:shd w:val="clear" w:color="auto" w:fill="auto"/>
            <w:vAlign w:val="center"/>
          </w:tcPr>
          <w:p w:rsidR="002C4B48" w:rsidRPr="002C4B48" w:rsidRDefault="002C4B48" w:rsidP="002C4B48">
            <w:pPr>
              <w:spacing w:after="0"/>
              <w:rPr>
                <w:sz w:val="20"/>
              </w:rPr>
            </w:pPr>
            <w:r w:rsidRPr="002C4B48">
              <w:rPr>
                <w:sz w:val="20"/>
              </w:rPr>
              <w:t>$73 143 672</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Permit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$120</w:t>
            </w:r>
          </w:p>
        </w:tc>
        <w:tc>
          <w:tcPr>
            <w:tcW w:w="1853" w:type="dxa"/>
            <w:shd w:val="clear" w:color="auto" w:fill="auto"/>
            <w:vAlign w:val="center"/>
          </w:tcPr>
          <w:p w:rsidR="002C4B48" w:rsidRPr="002C4B48" w:rsidRDefault="002C4B48" w:rsidP="002C4B48">
            <w:pPr>
              <w:spacing w:after="0"/>
              <w:rPr>
                <w:sz w:val="20"/>
              </w:rPr>
            </w:pPr>
            <w:r w:rsidRPr="002C4B48">
              <w:rPr>
                <w:sz w:val="20"/>
              </w:rPr>
              <w:t>Per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18 873</w:t>
            </w:r>
          </w:p>
        </w:tc>
        <w:tc>
          <w:tcPr>
            <w:tcW w:w="1559" w:type="dxa"/>
            <w:shd w:val="clear" w:color="auto" w:fill="auto"/>
            <w:vAlign w:val="center"/>
          </w:tcPr>
          <w:p w:rsidR="002C4B48" w:rsidRPr="002C4B48" w:rsidRDefault="002C4B48" w:rsidP="002C4B48">
            <w:pPr>
              <w:spacing w:after="0"/>
              <w:rPr>
                <w:sz w:val="20"/>
              </w:rPr>
            </w:pPr>
            <w:r w:rsidRPr="002C4B48">
              <w:rPr>
                <w:sz w:val="20"/>
              </w:rPr>
              <w:t>$2 264 760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charge—horses or ruminants or animals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$2 900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415</w:t>
            </w:r>
          </w:p>
        </w:tc>
        <w:tc>
          <w:tcPr>
            <w:tcW w:w="1559" w:type="dxa"/>
            <w:shd w:val="clear" w:color="auto" w:fill="auto"/>
            <w:vAlign w:val="center"/>
          </w:tcPr>
          <w:p w:rsidR="002C4B48" w:rsidRPr="002C4B48" w:rsidRDefault="002C4B48" w:rsidP="002C4B48">
            <w:pPr>
              <w:spacing w:after="0"/>
              <w:rPr>
                <w:sz w:val="20"/>
              </w:rPr>
            </w:pPr>
            <w:r w:rsidRPr="002C4B48">
              <w:rPr>
                <w:sz w:val="20"/>
              </w:rPr>
              <w:t>$1 203 500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$1 200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5 200</w:t>
            </w:r>
          </w:p>
        </w:tc>
        <w:tc>
          <w:tcPr>
            <w:tcW w:w="1559" w:type="dxa"/>
            <w:shd w:val="clear" w:color="auto" w:fill="auto"/>
            <w:vAlign w:val="center"/>
          </w:tcPr>
          <w:p w:rsidR="002C4B48" w:rsidRPr="002C4B48" w:rsidRDefault="002C4B48" w:rsidP="002C4B48">
            <w:pPr>
              <w:spacing w:after="0"/>
              <w:rPr>
                <w:sz w:val="20"/>
              </w:rPr>
            </w:pPr>
            <w:r w:rsidRPr="002C4B48">
              <w:rPr>
                <w:sz w:val="20"/>
              </w:rPr>
              <w:t>$6 240 000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lastRenderedPageBreak/>
              <w:t>PEQ importation charge—bees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$2 480</w:t>
            </w:r>
          </w:p>
        </w:tc>
        <w:tc>
          <w:tcPr>
            <w:tcW w:w="1853" w:type="dxa"/>
            <w:shd w:val="clear" w:color="auto" w:fill="auto"/>
            <w:vAlign w:val="center"/>
          </w:tcPr>
          <w:p w:rsidR="002C4B48" w:rsidRPr="002C4B48" w:rsidRDefault="002C4B48" w:rsidP="002C4B48">
            <w:pPr>
              <w:spacing w:after="0"/>
              <w:rPr>
                <w:sz w:val="20"/>
              </w:rPr>
            </w:pPr>
            <w:r w:rsidRPr="002C4B48">
              <w:rPr>
                <w:sz w:val="20"/>
              </w:rPr>
              <w:t>Per bees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10</w:t>
            </w:r>
          </w:p>
        </w:tc>
        <w:tc>
          <w:tcPr>
            <w:tcW w:w="1559" w:type="dxa"/>
            <w:shd w:val="clear" w:color="auto" w:fill="auto"/>
            <w:vAlign w:val="center"/>
          </w:tcPr>
          <w:p w:rsidR="002C4B48" w:rsidRPr="002C4B48" w:rsidRDefault="002C4B48" w:rsidP="002C4B48">
            <w:pPr>
              <w:spacing w:after="0"/>
              <w:rPr>
                <w:sz w:val="20"/>
              </w:rPr>
            </w:pPr>
            <w:r w:rsidRPr="002C4B48">
              <w:rPr>
                <w:sz w:val="20"/>
              </w:rPr>
              <w:t>$24 800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$37 950</w:t>
            </w:r>
          </w:p>
        </w:tc>
        <w:tc>
          <w:tcPr>
            <w:tcW w:w="1853" w:type="dxa"/>
            <w:shd w:val="clear" w:color="auto" w:fill="auto"/>
            <w:vAlign w:val="center"/>
          </w:tcPr>
          <w:p w:rsidR="002C4B48" w:rsidRPr="002C4B48" w:rsidRDefault="002C4B48" w:rsidP="002C4B48">
            <w:pPr>
              <w:spacing w:after="0"/>
              <w:rPr>
                <w:sz w:val="20"/>
              </w:rPr>
            </w:pPr>
            <w:r w:rsidRPr="002C4B48">
              <w:rPr>
                <w:sz w:val="20"/>
              </w:rPr>
              <w:t>Per hatching egg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3</w:t>
            </w:r>
          </w:p>
        </w:tc>
        <w:tc>
          <w:tcPr>
            <w:tcW w:w="1559" w:type="dxa"/>
            <w:shd w:val="clear" w:color="auto" w:fill="auto"/>
            <w:vAlign w:val="center"/>
          </w:tcPr>
          <w:p w:rsidR="002C4B48" w:rsidRPr="002C4B48" w:rsidRDefault="002C4B48" w:rsidP="002C4B48">
            <w:pPr>
              <w:spacing w:after="0"/>
              <w:rPr>
                <w:sz w:val="20"/>
              </w:rPr>
            </w:pPr>
            <w:r w:rsidRPr="002C4B48">
              <w:rPr>
                <w:sz w:val="20"/>
              </w:rPr>
              <w:t>$113 850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(live bird)</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$13 630</w:t>
            </w:r>
          </w:p>
        </w:tc>
        <w:tc>
          <w:tcPr>
            <w:tcW w:w="1853" w:type="dxa"/>
            <w:shd w:val="clear" w:color="auto" w:fill="auto"/>
            <w:vAlign w:val="center"/>
          </w:tcPr>
          <w:p w:rsidR="002C4B48" w:rsidRPr="002C4B48" w:rsidRDefault="002C4B48" w:rsidP="002C4B48">
            <w:pPr>
              <w:spacing w:after="0"/>
              <w:rPr>
                <w:sz w:val="20"/>
              </w:rPr>
            </w:pPr>
            <w:r w:rsidRPr="002C4B48">
              <w:rPr>
                <w:sz w:val="20"/>
              </w:rPr>
              <w:t>Per live bird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5</w:t>
            </w:r>
          </w:p>
        </w:tc>
        <w:tc>
          <w:tcPr>
            <w:tcW w:w="1559" w:type="dxa"/>
            <w:shd w:val="clear" w:color="auto" w:fill="auto"/>
            <w:vAlign w:val="center"/>
          </w:tcPr>
          <w:p w:rsidR="002C4B48" w:rsidRPr="002C4B48" w:rsidRDefault="002C4B48" w:rsidP="002C4B48">
            <w:pPr>
              <w:spacing w:after="0"/>
              <w:rPr>
                <w:sz w:val="20"/>
              </w:rPr>
            </w:pPr>
            <w:r w:rsidRPr="002C4B48">
              <w:rPr>
                <w:sz w:val="20"/>
              </w:rPr>
              <w:t>$68 150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charge—plants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$105</w:t>
            </w:r>
          </w:p>
        </w:tc>
        <w:tc>
          <w:tcPr>
            <w:tcW w:w="1853" w:type="dxa"/>
            <w:shd w:val="clear" w:color="auto" w:fill="auto"/>
            <w:vAlign w:val="center"/>
          </w:tcPr>
          <w:p w:rsidR="002C4B48" w:rsidRPr="002C4B48" w:rsidRDefault="002C4B48" w:rsidP="002C4B48">
            <w:pPr>
              <w:spacing w:after="0"/>
              <w:rPr>
                <w:sz w:val="20"/>
              </w:rPr>
            </w:pPr>
            <w:r w:rsidRPr="002C4B48">
              <w:rPr>
                <w:sz w:val="20"/>
              </w:rPr>
              <w:t>Per m</w:t>
            </w:r>
            <w:r w:rsidRPr="002C4B48">
              <w:rPr>
                <w:sz w:val="20"/>
                <w:vertAlign w:val="superscript"/>
              </w:rPr>
              <w:t>2</w:t>
            </w:r>
          </w:p>
        </w:tc>
        <w:tc>
          <w:tcPr>
            <w:tcW w:w="1124" w:type="dxa"/>
            <w:shd w:val="clear" w:color="auto" w:fill="auto"/>
            <w:vAlign w:val="center"/>
          </w:tcPr>
          <w:p w:rsidR="002C4B48" w:rsidRPr="002C4B48" w:rsidRDefault="002C4B48" w:rsidP="002C4B48">
            <w:pPr>
              <w:spacing w:after="0"/>
              <w:rPr>
                <w:sz w:val="20"/>
              </w:rPr>
            </w:pPr>
            <w:r w:rsidRPr="002C4B48">
              <w:rPr>
                <w:sz w:val="20"/>
              </w:rPr>
              <w:t>15 389</w:t>
            </w:r>
          </w:p>
        </w:tc>
        <w:tc>
          <w:tcPr>
            <w:tcW w:w="1559" w:type="dxa"/>
            <w:shd w:val="clear" w:color="auto" w:fill="auto"/>
            <w:vAlign w:val="center"/>
          </w:tcPr>
          <w:p w:rsidR="002C4B48" w:rsidRPr="002C4B48" w:rsidRDefault="002C4B48" w:rsidP="002C4B48">
            <w:pPr>
              <w:spacing w:after="0"/>
              <w:rPr>
                <w:sz w:val="20"/>
              </w:rPr>
            </w:pPr>
            <w:r w:rsidRPr="002C4B48">
              <w:rPr>
                <w:sz w:val="20"/>
              </w:rPr>
              <w:t>$1 615 845</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Approved arrangement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tcMar>
              <w:left w:w="28" w:type="dxa"/>
              <w:right w:w="28" w:type="dxa"/>
            </w:tcMar>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$180</w:t>
            </w:r>
          </w:p>
        </w:tc>
        <w:tc>
          <w:tcPr>
            <w:tcW w:w="1853" w:type="dxa"/>
            <w:shd w:val="clear" w:color="auto" w:fill="auto"/>
            <w:vAlign w:val="center"/>
          </w:tcPr>
          <w:p w:rsidR="002C4B48" w:rsidRPr="002C4B48" w:rsidRDefault="002C4B48" w:rsidP="002C4B48">
            <w:pPr>
              <w:spacing w:after="0"/>
              <w:rPr>
                <w:sz w:val="20"/>
              </w:rPr>
            </w:pPr>
            <w:r w:rsidRPr="002C4B48">
              <w:rPr>
                <w:sz w:val="20"/>
              </w:rPr>
              <w:t>Per new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75</w:t>
            </w:r>
          </w:p>
        </w:tc>
        <w:tc>
          <w:tcPr>
            <w:tcW w:w="1559" w:type="dxa"/>
            <w:shd w:val="clear" w:color="auto" w:fill="auto"/>
            <w:vAlign w:val="center"/>
          </w:tcPr>
          <w:p w:rsidR="002C4B48" w:rsidRPr="002C4B48" w:rsidRDefault="002C4B48" w:rsidP="002C4B48">
            <w:pPr>
              <w:spacing w:after="0"/>
              <w:rPr>
                <w:sz w:val="20"/>
              </w:rPr>
            </w:pPr>
            <w:r w:rsidRPr="002C4B48">
              <w:rPr>
                <w:sz w:val="20"/>
              </w:rPr>
              <w:t>$13 500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annual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$2 900</w:t>
            </w:r>
          </w:p>
        </w:tc>
        <w:tc>
          <w:tcPr>
            <w:tcW w:w="1853" w:type="dxa"/>
            <w:shd w:val="clear" w:color="auto" w:fill="auto"/>
            <w:vAlign w:val="center"/>
          </w:tcPr>
          <w:p w:rsidR="002C4B48" w:rsidRPr="002C4B48" w:rsidRDefault="002C4B48" w:rsidP="002C4B48">
            <w:pPr>
              <w:spacing w:after="0"/>
              <w:rPr>
                <w:sz w:val="20"/>
              </w:rPr>
            </w:pPr>
            <w:r w:rsidRPr="002C4B48">
              <w:rPr>
                <w:sz w:val="20"/>
              </w:rPr>
              <w:t>Per entity</w:t>
            </w:r>
          </w:p>
        </w:tc>
        <w:tc>
          <w:tcPr>
            <w:tcW w:w="1124" w:type="dxa"/>
            <w:shd w:val="clear" w:color="auto" w:fill="auto"/>
            <w:vAlign w:val="center"/>
          </w:tcPr>
          <w:p w:rsidR="002C4B48" w:rsidRPr="002C4B48" w:rsidRDefault="002C4B48" w:rsidP="002C4B48">
            <w:pPr>
              <w:spacing w:after="0"/>
              <w:rPr>
                <w:sz w:val="20"/>
              </w:rPr>
            </w:pPr>
            <w:r w:rsidRPr="002C4B48">
              <w:rPr>
                <w:sz w:val="20"/>
              </w:rPr>
              <w:t>2 499</w:t>
            </w:r>
          </w:p>
        </w:tc>
        <w:tc>
          <w:tcPr>
            <w:tcW w:w="1559" w:type="dxa"/>
            <w:tcBorders>
              <w:right w:val="single" w:sz="4" w:space="0" w:color="auto"/>
            </w:tcBorders>
            <w:shd w:val="clear" w:color="auto" w:fill="auto"/>
            <w:vAlign w:val="center"/>
          </w:tcPr>
          <w:p w:rsidR="002C4B48" w:rsidRPr="002C4B48" w:rsidRDefault="002C4B48" w:rsidP="002C4B48">
            <w:pPr>
              <w:spacing w:after="0"/>
              <w:rPr>
                <w:sz w:val="20"/>
              </w:rPr>
            </w:pPr>
            <w:r w:rsidRPr="002C4B48">
              <w:rPr>
                <w:sz w:val="20"/>
              </w:rPr>
              <w:t xml:space="preserve">$7 247 100 </w:t>
            </w:r>
          </w:p>
        </w:tc>
      </w:tr>
      <w:tr w:rsidR="002C4B48" w:rsidRPr="002C4B48" w:rsidTr="002C4B48">
        <w:trPr>
          <w:trHeight w:val="680"/>
          <w:jc w:val="center"/>
        </w:trPr>
        <w:tc>
          <w:tcPr>
            <w:tcW w:w="3526"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Vessel operator levies</w:t>
            </w:r>
          </w:p>
        </w:tc>
        <w:tc>
          <w:tcPr>
            <w:tcW w:w="992"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 xml:space="preserve">Vessel (≥25m) arrival charge </w:t>
            </w:r>
          </w:p>
        </w:tc>
        <w:tc>
          <w:tcPr>
            <w:tcW w:w="992"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Levy</w:t>
            </w:r>
          </w:p>
        </w:tc>
        <w:tc>
          <w:tcPr>
            <w:tcW w:w="113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$675</w:t>
            </w:r>
          </w:p>
        </w:tc>
        <w:tc>
          <w:tcPr>
            <w:tcW w:w="1853"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19 353</w:t>
            </w:r>
          </w:p>
        </w:tc>
        <w:tc>
          <w:tcPr>
            <w:tcW w:w="1559"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$13 063 275</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Vessel (&lt;25m) arrival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853" w:type="dxa"/>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shd w:val="clear" w:color="auto" w:fill="auto"/>
            <w:vAlign w:val="center"/>
          </w:tcPr>
          <w:p w:rsidR="002C4B48" w:rsidRPr="002C4B48" w:rsidRDefault="002C4B48" w:rsidP="002C4B48">
            <w:pPr>
              <w:spacing w:after="0"/>
              <w:rPr>
                <w:sz w:val="20"/>
              </w:rPr>
            </w:pPr>
            <w:r w:rsidRPr="002C4B48">
              <w:rPr>
                <w:sz w:val="20"/>
              </w:rPr>
              <w:t>496</w:t>
            </w:r>
          </w:p>
        </w:tc>
        <w:tc>
          <w:tcPr>
            <w:tcW w:w="1559" w:type="dxa"/>
            <w:shd w:val="clear" w:color="auto" w:fill="auto"/>
            <w:vAlign w:val="center"/>
          </w:tcPr>
          <w:p w:rsidR="002C4B48" w:rsidRPr="002C4B48" w:rsidRDefault="002C4B48" w:rsidP="002C4B48">
            <w:pPr>
              <w:spacing w:after="0"/>
              <w:rPr>
                <w:sz w:val="20"/>
              </w:rPr>
            </w:pPr>
            <w:r w:rsidRPr="002C4B48">
              <w:rPr>
                <w:sz w:val="20"/>
              </w:rPr>
              <w:t>$49 600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fees—assessment, approval, inspection, treatment and audit</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In-office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$30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962 841</w:t>
            </w:r>
          </w:p>
        </w:tc>
        <w:tc>
          <w:tcPr>
            <w:tcW w:w="1559" w:type="dxa"/>
            <w:shd w:val="clear" w:color="auto" w:fill="auto"/>
            <w:vAlign w:val="center"/>
          </w:tcPr>
          <w:p w:rsidR="002C4B48" w:rsidRPr="002C4B48" w:rsidRDefault="002C4B48" w:rsidP="002C4B48">
            <w:pPr>
              <w:spacing w:after="0"/>
              <w:rPr>
                <w:sz w:val="20"/>
              </w:rPr>
            </w:pPr>
            <w:r w:rsidRPr="002C4B48">
              <w:rPr>
                <w:sz w:val="20"/>
              </w:rPr>
              <w:t>$28 885 230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Out–of-office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$50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667 807</w:t>
            </w:r>
          </w:p>
        </w:tc>
        <w:tc>
          <w:tcPr>
            <w:tcW w:w="1559" w:type="dxa"/>
            <w:shd w:val="clear" w:color="auto" w:fill="auto"/>
            <w:vAlign w:val="center"/>
          </w:tcPr>
          <w:p w:rsidR="002C4B48" w:rsidRPr="002C4B48" w:rsidRDefault="002C4B48" w:rsidP="002C4B48">
            <w:pPr>
              <w:spacing w:after="0"/>
              <w:rPr>
                <w:sz w:val="20"/>
              </w:rPr>
            </w:pPr>
            <w:r w:rsidRPr="002C4B48">
              <w:rPr>
                <w:sz w:val="20"/>
              </w:rPr>
              <w:t>$33 390 350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fees—husbandry</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fee—horses or ruminants or animals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$60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5 810</w:t>
            </w:r>
          </w:p>
        </w:tc>
        <w:tc>
          <w:tcPr>
            <w:tcW w:w="1559" w:type="dxa"/>
            <w:shd w:val="clear" w:color="auto" w:fill="auto"/>
            <w:vAlign w:val="center"/>
          </w:tcPr>
          <w:p w:rsidR="002C4B48" w:rsidRPr="002C4B48" w:rsidRDefault="002C4B48" w:rsidP="002C4B48">
            <w:pPr>
              <w:spacing w:after="0"/>
              <w:rPr>
                <w:sz w:val="20"/>
              </w:rPr>
            </w:pPr>
            <w:r w:rsidRPr="002C4B48">
              <w:rPr>
                <w:sz w:val="20"/>
              </w:rPr>
              <w:t>$348 600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$29</w:t>
            </w:r>
          </w:p>
        </w:tc>
        <w:tc>
          <w:tcPr>
            <w:tcW w:w="1853" w:type="dxa"/>
            <w:shd w:val="clear" w:color="auto" w:fill="auto"/>
            <w:vAlign w:val="center"/>
          </w:tcPr>
          <w:p w:rsidR="002C4B48" w:rsidRPr="002C4B48" w:rsidRDefault="002C4B48" w:rsidP="002C4B48">
            <w:pPr>
              <w:spacing w:after="0"/>
              <w:rPr>
                <w:sz w:val="20"/>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51 997</w:t>
            </w:r>
          </w:p>
        </w:tc>
        <w:tc>
          <w:tcPr>
            <w:tcW w:w="1559" w:type="dxa"/>
            <w:shd w:val="clear" w:color="auto" w:fill="auto"/>
            <w:vAlign w:val="center"/>
          </w:tcPr>
          <w:p w:rsidR="002C4B48" w:rsidRPr="002C4B48" w:rsidRDefault="002C4B48" w:rsidP="002C4B48">
            <w:pPr>
              <w:spacing w:after="0"/>
              <w:rPr>
                <w:sz w:val="20"/>
              </w:rPr>
            </w:pPr>
            <w:r w:rsidRPr="002C4B48">
              <w:rPr>
                <w:sz w:val="20"/>
              </w:rPr>
              <w:t>$1 507 913</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fee—bees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$280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bee consignment monthly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20</w:t>
            </w:r>
          </w:p>
        </w:tc>
        <w:tc>
          <w:tcPr>
            <w:tcW w:w="1559" w:type="dxa"/>
            <w:shd w:val="clear" w:color="auto" w:fill="auto"/>
            <w:vAlign w:val="center"/>
          </w:tcPr>
          <w:p w:rsidR="002C4B48" w:rsidRPr="002C4B48" w:rsidRDefault="002C4B48" w:rsidP="002C4B48">
            <w:pPr>
              <w:spacing w:after="0"/>
              <w:rPr>
                <w:sz w:val="20"/>
              </w:rPr>
            </w:pPr>
            <w:r w:rsidRPr="002C4B48">
              <w:rPr>
                <w:sz w:val="20"/>
              </w:rPr>
              <w:t>$5 600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$200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egg consignment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293</w:t>
            </w:r>
          </w:p>
        </w:tc>
        <w:tc>
          <w:tcPr>
            <w:tcW w:w="1559" w:type="dxa"/>
            <w:shd w:val="clear" w:color="auto" w:fill="auto"/>
            <w:vAlign w:val="center"/>
          </w:tcPr>
          <w:p w:rsidR="002C4B48" w:rsidRPr="002C4B48" w:rsidRDefault="002C4B48" w:rsidP="002C4B48">
            <w:pPr>
              <w:spacing w:after="0"/>
              <w:rPr>
                <w:sz w:val="20"/>
              </w:rPr>
            </w:pPr>
            <w:r w:rsidRPr="002C4B48">
              <w:rPr>
                <w:sz w:val="20"/>
              </w:rPr>
              <w:t>$58 600</w:t>
            </w:r>
          </w:p>
        </w:tc>
      </w:tr>
      <w:tr w:rsidR="002C4B48" w:rsidRPr="002C4B48" w:rsidTr="002C4B48">
        <w:trPr>
          <w:trHeight w:val="680"/>
          <w:jc w:val="center"/>
        </w:trPr>
        <w:tc>
          <w:tcPr>
            <w:tcW w:w="3526"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(live birds)</w:t>
            </w:r>
          </w:p>
        </w:tc>
        <w:tc>
          <w:tcPr>
            <w:tcW w:w="992"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Fee</w:t>
            </w:r>
          </w:p>
        </w:tc>
        <w:tc>
          <w:tcPr>
            <w:tcW w:w="113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$150</w:t>
            </w:r>
          </w:p>
        </w:tc>
        <w:tc>
          <w:tcPr>
            <w:tcW w:w="1853" w:type="dxa"/>
            <w:tcBorders>
              <w:bottom w:val="single" w:sz="4" w:space="0" w:color="000000"/>
            </w:tcBorders>
            <w:shd w:val="clear" w:color="auto" w:fill="auto"/>
            <w:vAlign w:val="center"/>
          </w:tcPr>
          <w:p w:rsidR="002C4B48" w:rsidRPr="002C4B48" w:rsidRDefault="002C4B48" w:rsidP="002C4B48">
            <w:pPr>
              <w:spacing w:after="0"/>
              <w:rPr>
                <w:sz w:val="18"/>
                <w:szCs w:val="18"/>
              </w:rPr>
            </w:pPr>
            <w:r w:rsidRPr="002C4B48">
              <w:rPr>
                <w:sz w:val="20"/>
              </w:rPr>
              <w:t>Per live bird consignment per day</w:t>
            </w:r>
            <w:r w:rsidRPr="002C4B48">
              <w:rPr>
                <w:sz w:val="20"/>
              </w:rPr>
              <w:br/>
            </w:r>
            <w:r w:rsidRPr="002C4B48">
              <w:rPr>
                <w:rFonts w:cs="Arial"/>
                <w:sz w:val="18"/>
                <w:szCs w:val="18"/>
              </w:rPr>
              <w:t>(or part thereof)</w:t>
            </w:r>
          </w:p>
        </w:tc>
        <w:tc>
          <w:tcPr>
            <w:tcW w:w="112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160</w:t>
            </w:r>
          </w:p>
        </w:tc>
        <w:tc>
          <w:tcPr>
            <w:tcW w:w="1559"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$24 000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lastRenderedPageBreak/>
              <w:t>PEQ husbandry fee—plants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$18</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m</w:t>
            </w:r>
            <w:r w:rsidRPr="002C4B48">
              <w:rPr>
                <w:sz w:val="20"/>
                <w:vertAlign w:val="superscript"/>
              </w:rPr>
              <w:t xml:space="preserve">2 </w:t>
            </w:r>
            <w:r w:rsidRPr="002C4B48">
              <w:rPr>
                <w:sz w:val="20"/>
              </w:rPr>
              <w:t>monthly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15 389</w:t>
            </w:r>
          </w:p>
        </w:tc>
        <w:tc>
          <w:tcPr>
            <w:tcW w:w="1559" w:type="dxa"/>
            <w:shd w:val="clear" w:color="auto" w:fill="auto"/>
            <w:vAlign w:val="center"/>
          </w:tcPr>
          <w:p w:rsidR="002C4B48" w:rsidRPr="002C4B48" w:rsidRDefault="002C4B48" w:rsidP="002C4B48">
            <w:pPr>
              <w:spacing w:after="0"/>
              <w:rPr>
                <w:sz w:val="20"/>
              </w:rPr>
            </w:pPr>
            <w:r w:rsidRPr="002C4B48">
              <w:rPr>
                <w:sz w:val="20"/>
              </w:rPr>
              <w:t>$277 002</w:t>
            </w:r>
          </w:p>
        </w:tc>
      </w:tr>
    </w:tbl>
    <w:p w:rsidR="002C4B48" w:rsidRPr="002C4B48" w:rsidRDefault="002C4B48" w:rsidP="002C4B48">
      <w:pPr>
        <w:spacing w:before="360" w:after="120"/>
        <w:ind w:left="794" w:hanging="794"/>
        <w:outlineLvl w:val="2"/>
        <w:rPr>
          <w:b/>
          <w:sz w:val="32"/>
          <w:szCs w:val="20"/>
          <w:lang w:val="x-none"/>
        </w:rPr>
      </w:pPr>
      <w:bookmarkStart w:id="112" w:name="_Toc424755481"/>
      <w:bookmarkStart w:id="113" w:name="_Toc433713890"/>
      <w:r w:rsidRPr="002C4B48">
        <w:rPr>
          <w:b/>
          <w:sz w:val="32"/>
          <w:szCs w:val="20"/>
          <w:lang w:val="x-none"/>
        </w:rPr>
        <w:t>Proposed charging structure 2017–18</w:t>
      </w:r>
      <w:bookmarkEnd w:id="112"/>
      <w:bookmarkEnd w:id="113"/>
      <w:r w:rsidRPr="002C4B48">
        <w:rPr>
          <w:b/>
          <w:sz w:val="32"/>
          <w:szCs w:val="20"/>
          <w:lang w:val="x-none"/>
        </w:rPr>
        <w:t xml:space="preserve"> </w:t>
      </w:r>
    </w:p>
    <w:p w:rsidR="002C4B48" w:rsidRPr="002C4B48" w:rsidRDefault="002C4B48" w:rsidP="002C4B48">
      <w:pPr>
        <w:keepNext/>
        <w:keepLines/>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10</w:t>
      </w:r>
      <w:r w:rsidRPr="002C4B48">
        <w:rPr>
          <w:b/>
          <w:bCs/>
          <w:noProof/>
          <w:color w:val="548DD4"/>
          <w:szCs w:val="18"/>
        </w:rPr>
        <w:fldChar w:fldCharType="end"/>
      </w:r>
      <w:r w:rsidRPr="002C4B48">
        <w:rPr>
          <w:b/>
          <w:bCs/>
          <w:color w:val="548DD4"/>
          <w:szCs w:val="18"/>
        </w:rPr>
        <w:t>: Fees, levies and volumes—biosecurity cost recovery arrangements (2017–18)</w:t>
      </w: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6"/>
        <w:gridCol w:w="992"/>
        <w:gridCol w:w="1134"/>
        <w:gridCol w:w="1853"/>
        <w:gridCol w:w="1124"/>
        <w:gridCol w:w="1559"/>
      </w:tblGrid>
      <w:tr w:rsidR="002C4B48" w:rsidRPr="002C4B48" w:rsidTr="002C4B48">
        <w:trPr>
          <w:trHeight w:val="453"/>
          <w:tblHeader/>
          <w:jc w:val="center"/>
        </w:trPr>
        <w:tc>
          <w:tcPr>
            <w:tcW w:w="3526" w:type="dxa"/>
            <w:shd w:val="clear" w:color="auto" w:fill="C6D9F1"/>
            <w:vAlign w:val="center"/>
          </w:tcPr>
          <w:p w:rsidR="002C4B48" w:rsidRPr="002C4B48" w:rsidRDefault="002C4B48" w:rsidP="002C4B48">
            <w:pPr>
              <w:spacing w:after="0"/>
              <w:rPr>
                <w:b/>
                <w:bCs/>
                <w:sz w:val="20"/>
              </w:rPr>
            </w:pPr>
            <w:r w:rsidRPr="002C4B48">
              <w:rPr>
                <w:b/>
                <w:bCs/>
                <w:sz w:val="20"/>
              </w:rPr>
              <w:t>Charge title</w:t>
            </w:r>
          </w:p>
        </w:tc>
        <w:tc>
          <w:tcPr>
            <w:tcW w:w="992" w:type="dxa"/>
            <w:shd w:val="clear" w:color="auto" w:fill="C6D9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C6D9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C6D9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C6D9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C6D9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Importer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charge—air</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$31</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1 977 699</w:t>
            </w:r>
          </w:p>
        </w:tc>
        <w:tc>
          <w:tcPr>
            <w:tcW w:w="1559" w:type="dxa"/>
            <w:shd w:val="clear" w:color="auto" w:fill="auto"/>
            <w:vAlign w:val="center"/>
          </w:tcPr>
          <w:p w:rsidR="002C4B48" w:rsidRPr="002C4B48" w:rsidRDefault="002C4B48" w:rsidP="002C4B48">
            <w:pPr>
              <w:spacing w:after="0"/>
              <w:rPr>
                <w:sz w:val="20"/>
              </w:rPr>
            </w:pPr>
            <w:r w:rsidRPr="002C4B48">
              <w:rPr>
                <w:sz w:val="20"/>
              </w:rPr>
              <w:t>$61 308 669</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charge—sea</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$41</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1 836 585</w:t>
            </w:r>
          </w:p>
        </w:tc>
        <w:tc>
          <w:tcPr>
            <w:tcW w:w="1559" w:type="dxa"/>
            <w:shd w:val="clear" w:color="auto" w:fill="auto"/>
            <w:vAlign w:val="center"/>
          </w:tcPr>
          <w:p w:rsidR="002C4B48" w:rsidRPr="002C4B48" w:rsidRDefault="002C4B48" w:rsidP="002C4B48">
            <w:pPr>
              <w:spacing w:after="0"/>
              <w:rPr>
                <w:sz w:val="20"/>
              </w:rPr>
            </w:pPr>
            <w:r w:rsidRPr="002C4B48">
              <w:rPr>
                <w:sz w:val="20"/>
              </w:rPr>
              <w:t>$75 299 985</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Permit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$120</w:t>
            </w:r>
          </w:p>
        </w:tc>
        <w:tc>
          <w:tcPr>
            <w:tcW w:w="1853" w:type="dxa"/>
            <w:shd w:val="clear" w:color="auto" w:fill="auto"/>
            <w:vAlign w:val="center"/>
          </w:tcPr>
          <w:p w:rsidR="002C4B48" w:rsidRPr="002C4B48" w:rsidRDefault="002C4B48" w:rsidP="002C4B48">
            <w:pPr>
              <w:spacing w:after="0"/>
              <w:rPr>
                <w:sz w:val="20"/>
              </w:rPr>
            </w:pPr>
            <w:r w:rsidRPr="002C4B48">
              <w:rPr>
                <w:sz w:val="20"/>
              </w:rPr>
              <w:t>Per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18 982</w:t>
            </w:r>
          </w:p>
        </w:tc>
        <w:tc>
          <w:tcPr>
            <w:tcW w:w="1559" w:type="dxa"/>
            <w:shd w:val="clear" w:color="auto" w:fill="auto"/>
            <w:vAlign w:val="center"/>
          </w:tcPr>
          <w:p w:rsidR="002C4B48" w:rsidRPr="002C4B48" w:rsidRDefault="002C4B48" w:rsidP="002C4B48">
            <w:pPr>
              <w:spacing w:after="0"/>
              <w:rPr>
                <w:sz w:val="20"/>
              </w:rPr>
            </w:pPr>
            <w:r w:rsidRPr="002C4B48">
              <w:rPr>
                <w:sz w:val="20"/>
              </w:rPr>
              <w:t>$2 277 840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charge—horses or ruminants or animal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$2 800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430</w:t>
            </w:r>
          </w:p>
        </w:tc>
        <w:tc>
          <w:tcPr>
            <w:tcW w:w="1559" w:type="dxa"/>
            <w:shd w:val="clear" w:color="auto" w:fill="auto"/>
            <w:vAlign w:val="center"/>
          </w:tcPr>
          <w:p w:rsidR="002C4B48" w:rsidRPr="002C4B48" w:rsidRDefault="002C4B48" w:rsidP="002C4B48">
            <w:pPr>
              <w:spacing w:after="0"/>
              <w:rPr>
                <w:sz w:val="20"/>
              </w:rPr>
            </w:pPr>
            <w:r w:rsidRPr="002C4B48">
              <w:rPr>
                <w:sz w:val="20"/>
              </w:rPr>
              <w:t>$1 204 000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$1 200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5 147</w:t>
            </w:r>
          </w:p>
        </w:tc>
        <w:tc>
          <w:tcPr>
            <w:tcW w:w="1559" w:type="dxa"/>
            <w:shd w:val="clear" w:color="auto" w:fill="auto"/>
            <w:vAlign w:val="center"/>
          </w:tcPr>
          <w:p w:rsidR="002C4B48" w:rsidRPr="002C4B48" w:rsidRDefault="002C4B48" w:rsidP="002C4B48">
            <w:pPr>
              <w:spacing w:after="0"/>
              <w:rPr>
                <w:sz w:val="20"/>
              </w:rPr>
            </w:pPr>
            <w:r w:rsidRPr="002C4B48">
              <w:rPr>
                <w:sz w:val="20"/>
              </w:rPr>
              <w:t>$6 176 400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charge—bees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$2 480</w:t>
            </w:r>
          </w:p>
        </w:tc>
        <w:tc>
          <w:tcPr>
            <w:tcW w:w="1853" w:type="dxa"/>
            <w:shd w:val="clear" w:color="auto" w:fill="auto"/>
            <w:vAlign w:val="center"/>
          </w:tcPr>
          <w:p w:rsidR="002C4B48" w:rsidRPr="002C4B48" w:rsidRDefault="002C4B48" w:rsidP="002C4B48">
            <w:pPr>
              <w:spacing w:after="0"/>
              <w:rPr>
                <w:sz w:val="20"/>
              </w:rPr>
            </w:pPr>
            <w:r w:rsidRPr="002C4B48">
              <w:rPr>
                <w:sz w:val="20"/>
              </w:rPr>
              <w:t>Per bees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10</w:t>
            </w:r>
          </w:p>
        </w:tc>
        <w:tc>
          <w:tcPr>
            <w:tcW w:w="1559" w:type="dxa"/>
            <w:shd w:val="clear" w:color="auto" w:fill="auto"/>
            <w:vAlign w:val="center"/>
          </w:tcPr>
          <w:p w:rsidR="002C4B48" w:rsidRPr="002C4B48" w:rsidRDefault="002C4B48" w:rsidP="002C4B48">
            <w:pPr>
              <w:spacing w:after="0"/>
              <w:rPr>
                <w:sz w:val="20"/>
              </w:rPr>
            </w:pPr>
            <w:r w:rsidRPr="002C4B48">
              <w:rPr>
                <w:sz w:val="20"/>
              </w:rPr>
              <w:t>$24 800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$38 120</w:t>
            </w:r>
          </w:p>
        </w:tc>
        <w:tc>
          <w:tcPr>
            <w:tcW w:w="1853" w:type="dxa"/>
            <w:shd w:val="clear" w:color="auto" w:fill="auto"/>
            <w:vAlign w:val="center"/>
          </w:tcPr>
          <w:p w:rsidR="002C4B48" w:rsidRPr="002C4B48" w:rsidRDefault="002C4B48" w:rsidP="002C4B48">
            <w:pPr>
              <w:spacing w:after="0"/>
              <w:rPr>
                <w:sz w:val="20"/>
              </w:rPr>
            </w:pPr>
            <w:r w:rsidRPr="002C4B48">
              <w:rPr>
                <w:sz w:val="20"/>
              </w:rPr>
              <w:t>Per hatching egg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3</w:t>
            </w:r>
          </w:p>
        </w:tc>
        <w:tc>
          <w:tcPr>
            <w:tcW w:w="1559" w:type="dxa"/>
            <w:shd w:val="clear" w:color="auto" w:fill="auto"/>
            <w:vAlign w:val="center"/>
          </w:tcPr>
          <w:p w:rsidR="002C4B48" w:rsidRPr="002C4B48" w:rsidRDefault="002C4B48" w:rsidP="002C4B48">
            <w:pPr>
              <w:spacing w:after="0"/>
              <w:rPr>
                <w:sz w:val="20"/>
              </w:rPr>
            </w:pPr>
            <w:r w:rsidRPr="002C4B48">
              <w:rPr>
                <w:sz w:val="20"/>
              </w:rPr>
              <w:t>$114 360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(live bird)</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$13 690</w:t>
            </w:r>
          </w:p>
        </w:tc>
        <w:tc>
          <w:tcPr>
            <w:tcW w:w="1853" w:type="dxa"/>
            <w:shd w:val="clear" w:color="auto" w:fill="auto"/>
            <w:vAlign w:val="center"/>
          </w:tcPr>
          <w:p w:rsidR="002C4B48" w:rsidRPr="002C4B48" w:rsidRDefault="002C4B48" w:rsidP="002C4B48">
            <w:pPr>
              <w:spacing w:after="0"/>
              <w:rPr>
                <w:sz w:val="20"/>
              </w:rPr>
            </w:pPr>
            <w:r w:rsidRPr="002C4B48">
              <w:rPr>
                <w:sz w:val="20"/>
              </w:rPr>
              <w:t>Per live bird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5</w:t>
            </w:r>
          </w:p>
        </w:tc>
        <w:tc>
          <w:tcPr>
            <w:tcW w:w="1559" w:type="dxa"/>
            <w:shd w:val="clear" w:color="auto" w:fill="auto"/>
            <w:vAlign w:val="center"/>
          </w:tcPr>
          <w:p w:rsidR="002C4B48" w:rsidRPr="002C4B48" w:rsidRDefault="002C4B48" w:rsidP="002C4B48">
            <w:pPr>
              <w:spacing w:after="0"/>
              <w:rPr>
                <w:sz w:val="20"/>
              </w:rPr>
            </w:pPr>
            <w:r w:rsidRPr="002C4B48">
              <w:rPr>
                <w:sz w:val="20"/>
              </w:rPr>
              <w:t>$68 450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charge—plants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853" w:type="dxa"/>
            <w:shd w:val="clear" w:color="auto" w:fill="auto"/>
            <w:vAlign w:val="center"/>
          </w:tcPr>
          <w:p w:rsidR="002C4B48" w:rsidRPr="002C4B48" w:rsidRDefault="002C4B48" w:rsidP="002C4B48">
            <w:pPr>
              <w:spacing w:after="0"/>
              <w:rPr>
                <w:sz w:val="20"/>
              </w:rPr>
            </w:pPr>
            <w:r w:rsidRPr="002C4B48">
              <w:rPr>
                <w:sz w:val="20"/>
              </w:rPr>
              <w:t>Per m</w:t>
            </w:r>
            <w:r w:rsidRPr="002C4B48">
              <w:rPr>
                <w:sz w:val="20"/>
                <w:vertAlign w:val="superscript"/>
              </w:rPr>
              <w:t>2</w:t>
            </w:r>
          </w:p>
        </w:tc>
        <w:tc>
          <w:tcPr>
            <w:tcW w:w="1124" w:type="dxa"/>
            <w:shd w:val="clear" w:color="auto" w:fill="auto"/>
            <w:vAlign w:val="center"/>
          </w:tcPr>
          <w:p w:rsidR="002C4B48" w:rsidRPr="002C4B48" w:rsidRDefault="002C4B48" w:rsidP="002C4B48">
            <w:pPr>
              <w:spacing w:after="0"/>
              <w:rPr>
                <w:sz w:val="20"/>
              </w:rPr>
            </w:pPr>
            <w:r w:rsidRPr="002C4B48">
              <w:rPr>
                <w:sz w:val="20"/>
              </w:rPr>
              <w:t>15 850</w:t>
            </w:r>
          </w:p>
        </w:tc>
        <w:tc>
          <w:tcPr>
            <w:tcW w:w="1559" w:type="dxa"/>
            <w:shd w:val="clear" w:color="auto" w:fill="auto"/>
            <w:vAlign w:val="center"/>
          </w:tcPr>
          <w:p w:rsidR="002C4B48" w:rsidRPr="002C4B48" w:rsidRDefault="002C4B48" w:rsidP="002C4B48">
            <w:pPr>
              <w:spacing w:after="0"/>
              <w:rPr>
                <w:sz w:val="20"/>
              </w:rPr>
            </w:pPr>
            <w:r w:rsidRPr="002C4B48">
              <w:rPr>
                <w:sz w:val="20"/>
              </w:rPr>
              <w:t>$1 585 000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Approved arrangement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tcMar>
              <w:left w:w="28" w:type="dxa"/>
              <w:right w:w="28" w:type="dxa"/>
            </w:tcMar>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$180</w:t>
            </w:r>
          </w:p>
        </w:tc>
        <w:tc>
          <w:tcPr>
            <w:tcW w:w="1853" w:type="dxa"/>
            <w:shd w:val="clear" w:color="auto" w:fill="auto"/>
            <w:vAlign w:val="center"/>
          </w:tcPr>
          <w:p w:rsidR="002C4B48" w:rsidRPr="002C4B48" w:rsidRDefault="002C4B48" w:rsidP="002C4B48">
            <w:pPr>
              <w:spacing w:after="0"/>
              <w:rPr>
                <w:sz w:val="20"/>
              </w:rPr>
            </w:pPr>
            <w:r w:rsidRPr="002C4B48">
              <w:rPr>
                <w:sz w:val="20"/>
              </w:rPr>
              <w:t>Per new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75</w:t>
            </w:r>
          </w:p>
        </w:tc>
        <w:tc>
          <w:tcPr>
            <w:tcW w:w="1559" w:type="dxa"/>
            <w:shd w:val="clear" w:color="auto" w:fill="auto"/>
            <w:vAlign w:val="center"/>
          </w:tcPr>
          <w:p w:rsidR="002C4B48" w:rsidRPr="002C4B48" w:rsidRDefault="002C4B48" w:rsidP="002C4B48">
            <w:pPr>
              <w:spacing w:after="0"/>
              <w:rPr>
                <w:sz w:val="20"/>
              </w:rPr>
            </w:pPr>
            <w:r w:rsidRPr="002C4B48">
              <w:rPr>
                <w:sz w:val="20"/>
              </w:rPr>
              <w:t>$13 500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annual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$2 900</w:t>
            </w:r>
          </w:p>
        </w:tc>
        <w:tc>
          <w:tcPr>
            <w:tcW w:w="1853" w:type="dxa"/>
            <w:shd w:val="clear" w:color="auto" w:fill="auto"/>
            <w:vAlign w:val="center"/>
          </w:tcPr>
          <w:p w:rsidR="002C4B48" w:rsidRPr="002C4B48" w:rsidRDefault="002C4B48" w:rsidP="002C4B48">
            <w:pPr>
              <w:spacing w:after="0"/>
              <w:rPr>
                <w:sz w:val="20"/>
              </w:rPr>
            </w:pPr>
            <w:r w:rsidRPr="002C4B48">
              <w:rPr>
                <w:sz w:val="20"/>
              </w:rPr>
              <w:t>Per entity</w:t>
            </w:r>
          </w:p>
        </w:tc>
        <w:tc>
          <w:tcPr>
            <w:tcW w:w="1124" w:type="dxa"/>
            <w:shd w:val="clear" w:color="auto" w:fill="auto"/>
            <w:vAlign w:val="center"/>
          </w:tcPr>
          <w:p w:rsidR="002C4B48" w:rsidRPr="002C4B48" w:rsidRDefault="002C4B48" w:rsidP="002C4B48">
            <w:pPr>
              <w:spacing w:after="0"/>
              <w:rPr>
                <w:sz w:val="20"/>
              </w:rPr>
            </w:pPr>
            <w:r w:rsidRPr="002C4B48">
              <w:rPr>
                <w:sz w:val="20"/>
              </w:rPr>
              <w:t>2 499</w:t>
            </w:r>
          </w:p>
        </w:tc>
        <w:tc>
          <w:tcPr>
            <w:tcW w:w="1559" w:type="dxa"/>
            <w:tcBorders>
              <w:right w:val="single" w:sz="4" w:space="0" w:color="auto"/>
            </w:tcBorders>
            <w:shd w:val="clear" w:color="auto" w:fill="auto"/>
            <w:vAlign w:val="center"/>
          </w:tcPr>
          <w:p w:rsidR="002C4B48" w:rsidRPr="002C4B48" w:rsidRDefault="002C4B48" w:rsidP="002C4B48">
            <w:pPr>
              <w:spacing w:after="0"/>
              <w:rPr>
                <w:sz w:val="20"/>
              </w:rPr>
            </w:pPr>
            <w:r w:rsidRPr="002C4B48">
              <w:rPr>
                <w:sz w:val="20"/>
              </w:rPr>
              <w:t>$7 247 100</w:t>
            </w:r>
          </w:p>
        </w:tc>
      </w:tr>
      <w:tr w:rsidR="002C4B48" w:rsidRPr="002C4B48" w:rsidTr="002C4B48">
        <w:trPr>
          <w:trHeight w:val="680"/>
          <w:jc w:val="center"/>
        </w:trPr>
        <w:tc>
          <w:tcPr>
            <w:tcW w:w="3526"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Vessel operator levies</w:t>
            </w:r>
          </w:p>
        </w:tc>
        <w:tc>
          <w:tcPr>
            <w:tcW w:w="992"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 xml:space="preserve">Vessel (≥25m) arrival charge </w:t>
            </w:r>
          </w:p>
        </w:tc>
        <w:tc>
          <w:tcPr>
            <w:tcW w:w="992"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Levy</w:t>
            </w:r>
          </w:p>
        </w:tc>
        <w:tc>
          <w:tcPr>
            <w:tcW w:w="113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$650</w:t>
            </w:r>
          </w:p>
        </w:tc>
        <w:tc>
          <w:tcPr>
            <w:tcW w:w="1853"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20 410</w:t>
            </w:r>
          </w:p>
        </w:tc>
        <w:tc>
          <w:tcPr>
            <w:tcW w:w="1559"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$13 266 500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Vessel (&lt;25m) arrival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853" w:type="dxa"/>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shd w:val="clear" w:color="auto" w:fill="auto"/>
            <w:vAlign w:val="center"/>
          </w:tcPr>
          <w:p w:rsidR="002C4B48" w:rsidRPr="002C4B48" w:rsidRDefault="002C4B48" w:rsidP="002C4B48">
            <w:pPr>
              <w:spacing w:after="0"/>
              <w:rPr>
                <w:sz w:val="20"/>
              </w:rPr>
            </w:pPr>
            <w:r w:rsidRPr="002C4B48">
              <w:rPr>
                <w:sz w:val="20"/>
              </w:rPr>
              <w:t>508</w:t>
            </w:r>
          </w:p>
        </w:tc>
        <w:tc>
          <w:tcPr>
            <w:tcW w:w="1559" w:type="dxa"/>
            <w:shd w:val="clear" w:color="auto" w:fill="auto"/>
            <w:vAlign w:val="center"/>
          </w:tcPr>
          <w:p w:rsidR="002C4B48" w:rsidRPr="002C4B48" w:rsidRDefault="002C4B48" w:rsidP="002C4B48">
            <w:pPr>
              <w:spacing w:after="0"/>
              <w:rPr>
                <w:sz w:val="20"/>
              </w:rPr>
            </w:pPr>
            <w:r w:rsidRPr="002C4B48">
              <w:rPr>
                <w:sz w:val="20"/>
              </w:rPr>
              <w:t>$50 800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lastRenderedPageBreak/>
              <w:t>Biosecurity Arrangement fees—assessment, approval, inspection, treatment and audit</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In-office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$30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961 646</w:t>
            </w:r>
          </w:p>
        </w:tc>
        <w:tc>
          <w:tcPr>
            <w:tcW w:w="1559" w:type="dxa"/>
            <w:shd w:val="clear" w:color="auto" w:fill="auto"/>
            <w:vAlign w:val="center"/>
          </w:tcPr>
          <w:p w:rsidR="002C4B48" w:rsidRPr="002C4B48" w:rsidRDefault="002C4B48" w:rsidP="002C4B48">
            <w:pPr>
              <w:spacing w:after="0"/>
              <w:rPr>
                <w:sz w:val="20"/>
              </w:rPr>
            </w:pPr>
            <w:r w:rsidRPr="002C4B48">
              <w:rPr>
                <w:sz w:val="20"/>
              </w:rPr>
              <w:t>$28 849 380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Out–of-office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$50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663 903</w:t>
            </w:r>
          </w:p>
        </w:tc>
        <w:tc>
          <w:tcPr>
            <w:tcW w:w="1559" w:type="dxa"/>
            <w:shd w:val="clear" w:color="auto" w:fill="auto"/>
            <w:vAlign w:val="center"/>
          </w:tcPr>
          <w:p w:rsidR="002C4B48" w:rsidRPr="002C4B48" w:rsidRDefault="002C4B48" w:rsidP="002C4B48">
            <w:pPr>
              <w:spacing w:after="0"/>
              <w:rPr>
                <w:sz w:val="20"/>
              </w:rPr>
            </w:pPr>
            <w:r w:rsidRPr="002C4B48">
              <w:rPr>
                <w:sz w:val="20"/>
              </w:rPr>
              <w:t>$33 195 150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fees—husbandry</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fee—horses or ruminants or animals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$60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6 020</w:t>
            </w:r>
          </w:p>
        </w:tc>
        <w:tc>
          <w:tcPr>
            <w:tcW w:w="1559" w:type="dxa"/>
            <w:shd w:val="clear" w:color="auto" w:fill="auto"/>
            <w:vAlign w:val="center"/>
          </w:tcPr>
          <w:p w:rsidR="002C4B48" w:rsidRPr="002C4B48" w:rsidRDefault="002C4B48" w:rsidP="002C4B48">
            <w:pPr>
              <w:spacing w:after="0"/>
              <w:rPr>
                <w:sz w:val="20"/>
              </w:rPr>
            </w:pPr>
            <w:r w:rsidRPr="002C4B48">
              <w:rPr>
                <w:sz w:val="20"/>
              </w:rPr>
              <w:t>$361 200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$29</w:t>
            </w:r>
          </w:p>
        </w:tc>
        <w:tc>
          <w:tcPr>
            <w:tcW w:w="1853" w:type="dxa"/>
            <w:shd w:val="clear" w:color="auto" w:fill="auto"/>
            <w:vAlign w:val="center"/>
          </w:tcPr>
          <w:p w:rsidR="002C4B48" w:rsidRPr="002C4B48" w:rsidRDefault="002C4B48" w:rsidP="002C4B48">
            <w:pPr>
              <w:spacing w:after="0"/>
              <w:rPr>
                <w:sz w:val="20"/>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51 474</w:t>
            </w:r>
          </w:p>
        </w:tc>
        <w:tc>
          <w:tcPr>
            <w:tcW w:w="1559" w:type="dxa"/>
            <w:shd w:val="clear" w:color="auto" w:fill="auto"/>
            <w:vAlign w:val="center"/>
          </w:tcPr>
          <w:p w:rsidR="002C4B48" w:rsidRPr="002C4B48" w:rsidRDefault="002C4B48" w:rsidP="002C4B48">
            <w:pPr>
              <w:spacing w:after="0"/>
              <w:rPr>
                <w:sz w:val="20"/>
              </w:rPr>
            </w:pPr>
            <w:r w:rsidRPr="002C4B48">
              <w:rPr>
                <w:sz w:val="20"/>
              </w:rPr>
              <w:t>$1 492 746</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fee—bees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$280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bee consignment monthly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20</w:t>
            </w:r>
          </w:p>
        </w:tc>
        <w:tc>
          <w:tcPr>
            <w:tcW w:w="1559" w:type="dxa"/>
            <w:shd w:val="clear" w:color="auto" w:fill="auto"/>
            <w:vAlign w:val="center"/>
          </w:tcPr>
          <w:p w:rsidR="002C4B48" w:rsidRPr="002C4B48" w:rsidRDefault="002C4B48" w:rsidP="002C4B48">
            <w:pPr>
              <w:spacing w:after="0"/>
              <w:rPr>
                <w:sz w:val="20"/>
              </w:rPr>
            </w:pPr>
            <w:r w:rsidRPr="002C4B48">
              <w:rPr>
                <w:sz w:val="20"/>
              </w:rPr>
              <w:t>$5 600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$200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egg consignment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293</w:t>
            </w:r>
          </w:p>
        </w:tc>
        <w:tc>
          <w:tcPr>
            <w:tcW w:w="1559" w:type="dxa"/>
            <w:shd w:val="clear" w:color="auto" w:fill="auto"/>
            <w:vAlign w:val="center"/>
          </w:tcPr>
          <w:p w:rsidR="002C4B48" w:rsidRPr="002C4B48" w:rsidRDefault="002C4B48" w:rsidP="002C4B48">
            <w:pPr>
              <w:spacing w:after="0"/>
              <w:rPr>
                <w:sz w:val="20"/>
              </w:rPr>
            </w:pPr>
            <w:r w:rsidRPr="002C4B48">
              <w:rPr>
                <w:sz w:val="20"/>
              </w:rPr>
              <w:t>$58 600</w:t>
            </w:r>
          </w:p>
        </w:tc>
      </w:tr>
      <w:tr w:rsidR="002C4B48" w:rsidRPr="002C4B48" w:rsidTr="002C4B48">
        <w:trPr>
          <w:trHeight w:val="680"/>
          <w:jc w:val="center"/>
        </w:trPr>
        <w:tc>
          <w:tcPr>
            <w:tcW w:w="3526"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(live birds)</w:t>
            </w:r>
          </w:p>
        </w:tc>
        <w:tc>
          <w:tcPr>
            <w:tcW w:w="992"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Fee</w:t>
            </w:r>
          </w:p>
        </w:tc>
        <w:tc>
          <w:tcPr>
            <w:tcW w:w="113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$150</w:t>
            </w:r>
          </w:p>
        </w:tc>
        <w:tc>
          <w:tcPr>
            <w:tcW w:w="1853" w:type="dxa"/>
            <w:tcBorders>
              <w:bottom w:val="single" w:sz="4" w:space="0" w:color="000000"/>
            </w:tcBorders>
            <w:shd w:val="clear" w:color="auto" w:fill="auto"/>
            <w:vAlign w:val="center"/>
          </w:tcPr>
          <w:p w:rsidR="002C4B48" w:rsidRPr="002C4B48" w:rsidRDefault="002C4B48" w:rsidP="002C4B48">
            <w:pPr>
              <w:spacing w:after="0"/>
              <w:rPr>
                <w:sz w:val="18"/>
                <w:szCs w:val="18"/>
              </w:rPr>
            </w:pPr>
            <w:r w:rsidRPr="002C4B48">
              <w:rPr>
                <w:sz w:val="20"/>
              </w:rPr>
              <w:t>Per live bird consignment per day</w:t>
            </w:r>
            <w:r w:rsidRPr="002C4B48">
              <w:rPr>
                <w:sz w:val="20"/>
              </w:rPr>
              <w:br/>
            </w:r>
            <w:r w:rsidRPr="002C4B48">
              <w:rPr>
                <w:rFonts w:cs="Arial"/>
                <w:sz w:val="18"/>
                <w:szCs w:val="18"/>
              </w:rPr>
              <w:t>(or part thereof)</w:t>
            </w:r>
          </w:p>
        </w:tc>
        <w:tc>
          <w:tcPr>
            <w:tcW w:w="112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160</w:t>
            </w:r>
          </w:p>
        </w:tc>
        <w:tc>
          <w:tcPr>
            <w:tcW w:w="1559"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$24 000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fee—plants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$16</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m</w:t>
            </w:r>
            <w:r w:rsidRPr="002C4B48">
              <w:rPr>
                <w:sz w:val="20"/>
                <w:vertAlign w:val="superscript"/>
              </w:rPr>
              <w:t xml:space="preserve">2 </w:t>
            </w:r>
            <w:r w:rsidRPr="002C4B48">
              <w:rPr>
                <w:sz w:val="20"/>
              </w:rPr>
              <w:t>monthly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15 850</w:t>
            </w:r>
          </w:p>
        </w:tc>
        <w:tc>
          <w:tcPr>
            <w:tcW w:w="1559" w:type="dxa"/>
            <w:shd w:val="clear" w:color="auto" w:fill="auto"/>
            <w:vAlign w:val="center"/>
          </w:tcPr>
          <w:p w:rsidR="002C4B48" w:rsidRPr="002C4B48" w:rsidRDefault="002C4B48" w:rsidP="002C4B48">
            <w:pPr>
              <w:spacing w:after="0"/>
              <w:rPr>
                <w:sz w:val="20"/>
              </w:rPr>
            </w:pPr>
            <w:r w:rsidRPr="002C4B48">
              <w:rPr>
                <w:sz w:val="20"/>
              </w:rPr>
              <w:t>$253 600</w:t>
            </w:r>
          </w:p>
        </w:tc>
      </w:tr>
    </w:tbl>
    <w:p w:rsidR="002C4B48" w:rsidRPr="002C4B48" w:rsidRDefault="002C4B48" w:rsidP="002C4B48">
      <w:pPr>
        <w:spacing w:before="360" w:after="120"/>
        <w:ind w:left="794" w:hanging="794"/>
        <w:outlineLvl w:val="2"/>
        <w:rPr>
          <w:b/>
          <w:sz w:val="32"/>
          <w:szCs w:val="20"/>
          <w:lang w:val="x-none"/>
        </w:rPr>
      </w:pPr>
      <w:bookmarkStart w:id="114" w:name="_Toc424755482"/>
      <w:bookmarkStart w:id="115" w:name="_Toc433713891"/>
      <w:r w:rsidRPr="002C4B48">
        <w:rPr>
          <w:b/>
          <w:sz w:val="32"/>
          <w:szCs w:val="20"/>
          <w:lang w:val="x-none"/>
        </w:rPr>
        <w:t>Proposed charging structure 2018–19</w:t>
      </w:r>
      <w:bookmarkEnd w:id="114"/>
      <w:bookmarkEnd w:id="115"/>
    </w:p>
    <w:p w:rsidR="002C4B48" w:rsidRPr="002C4B48" w:rsidRDefault="002C4B48" w:rsidP="002C4B48">
      <w:pPr>
        <w:keepNext/>
        <w:keepLines/>
        <w:spacing w:before="120" w:after="0"/>
        <w:rPr>
          <w:b/>
          <w:bCs/>
          <w:color w:val="548DD4"/>
          <w:szCs w:val="18"/>
        </w:rPr>
      </w:pPr>
      <w:r w:rsidRPr="002C4B48">
        <w:rPr>
          <w:b/>
          <w:bCs/>
          <w:color w:val="548DD4"/>
          <w:szCs w:val="18"/>
        </w:rPr>
        <w:t xml:space="preserve">Table </w:t>
      </w:r>
      <w:r w:rsidRPr="002C4B48">
        <w:rPr>
          <w:b/>
          <w:bCs/>
          <w:color w:val="548DD4"/>
          <w:szCs w:val="18"/>
        </w:rPr>
        <w:fldChar w:fldCharType="begin"/>
      </w:r>
      <w:r w:rsidRPr="002C4B48">
        <w:rPr>
          <w:b/>
          <w:bCs/>
          <w:color w:val="548DD4"/>
          <w:szCs w:val="18"/>
        </w:rPr>
        <w:instrText xml:space="preserve"> SEQ Table \* ARABIC </w:instrText>
      </w:r>
      <w:r w:rsidRPr="002C4B48">
        <w:rPr>
          <w:b/>
          <w:bCs/>
          <w:color w:val="548DD4"/>
          <w:szCs w:val="18"/>
        </w:rPr>
        <w:fldChar w:fldCharType="separate"/>
      </w:r>
      <w:r w:rsidR="00CF2C84">
        <w:rPr>
          <w:b/>
          <w:bCs/>
          <w:noProof/>
          <w:color w:val="548DD4"/>
          <w:szCs w:val="18"/>
        </w:rPr>
        <w:t>11</w:t>
      </w:r>
      <w:r w:rsidRPr="002C4B48">
        <w:rPr>
          <w:b/>
          <w:bCs/>
          <w:noProof/>
          <w:color w:val="548DD4"/>
          <w:szCs w:val="18"/>
        </w:rPr>
        <w:fldChar w:fldCharType="end"/>
      </w:r>
      <w:r w:rsidRPr="002C4B48">
        <w:rPr>
          <w:b/>
          <w:bCs/>
          <w:color w:val="548DD4"/>
          <w:szCs w:val="18"/>
        </w:rPr>
        <w:t>: fees, levies and volumes—biosecurity cost recovery arrangements (2018–19)</w:t>
      </w: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26"/>
        <w:gridCol w:w="992"/>
        <w:gridCol w:w="1134"/>
        <w:gridCol w:w="1853"/>
        <w:gridCol w:w="1124"/>
        <w:gridCol w:w="1559"/>
      </w:tblGrid>
      <w:tr w:rsidR="002C4B48" w:rsidRPr="002C4B48" w:rsidTr="002C4B48">
        <w:trPr>
          <w:trHeight w:val="453"/>
          <w:tblHeader/>
          <w:jc w:val="center"/>
        </w:trPr>
        <w:tc>
          <w:tcPr>
            <w:tcW w:w="3526" w:type="dxa"/>
            <w:shd w:val="clear" w:color="auto" w:fill="C6D9F1"/>
            <w:vAlign w:val="center"/>
          </w:tcPr>
          <w:p w:rsidR="002C4B48" w:rsidRPr="002C4B48" w:rsidRDefault="002C4B48" w:rsidP="002C4B48">
            <w:pPr>
              <w:spacing w:after="0"/>
              <w:rPr>
                <w:b/>
                <w:bCs/>
                <w:sz w:val="20"/>
              </w:rPr>
            </w:pPr>
            <w:r w:rsidRPr="002C4B48">
              <w:rPr>
                <w:b/>
                <w:bCs/>
                <w:sz w:val="20"/>
              </w:rPr>
              <w:t>Charge title</w:t>
            </w:r>
          </w:p>
        </w:tc>
        <w:tc>
          <w:tcPr>
            <w:tcW w:w="992" w:type="dxa"/>
            <w:shd w:val="clear" w:color="auto" w:fill="C6D9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C6D9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C6D9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C6D9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C6D9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szCs w:val="24"/>
              </w:rPr>
              <w:t>Importer levies</w:t>
            </w:r>
          </w:p>
        </w:tc>
        <w:tc>
          <w:tcPr>
            <w:tcW w:w="992" w:type="dxa"/>
            <w:shd w:val="clear" w:color="auto" w:fill="auto"/>
            <w:vAlign w:val="center"/>
          </w:tcPr>
          <w:p w:rsidR="002C4B48" w:rsidRPr="002C4B48" w:rsidRDefault="002C4B48" w:rsidP="002C4B48">
            <w:pPr>
              <w:spacing w:after="0"/>
              <w:rPr>
                <w:sz w:val="20"/>
              </w:rPr>
            </w:pPr>
            <w:r w:rsidRPr="002C4B48">
              <w:rPr>
                <w:sz w:val="20"/>
              </w:rPr>
              <w:t>Type</w:t>
            </w:r>
          </w:p>
        </w:tc>
        <w:tc>
          <w:tcPr>
            <w:tcW w:w="1134" w:type="dxa"/>
            <w:shd w:val="clear" w:color="auto" w:fill="auto"/>
            <w:vAlign w:val="center"/>
          </w:tcPr>
          <w:p w:rsidR="002C4B48" w:rsidRPr="002C4B48" w:rsidRDefault="002C4B48" w:rsidP="002C4B48">
            <w:pPr>
              <w:spacing w:after="0"/>
              <w:rPr>
                <w:sz w:val="20"/>
              </w:rPr>
            </w:pPr>
            <w:r w:rsidRPr="002C4B48">
              <w:rPr>
                <w:sz w:val="20"/>
              </w:rPr>
              <w:t>Rate</w:t>
            </w:r>
          </w:p>
        </w:tc>
        <w:tc>
          <w:tcPr>
            <w:tcW w:w="1853" w:type="dxa"/>
            <w:shd w:val="clear" w:color="auto" w:fill="auto"/>
            <w:vAlign w:val="center"/>
          </w:tcPr>
          <w:p w:rsidR="002C4B48" w:rsidRPr="002C4B48" w:rsidRDefault="002C4B48" w:rsidP="002C4B48">
            <w:pPr>
              <w:spacing w:after="0"/>
              <w:rPr>
                <w:sz w:val="20"/>
              </w:rPr>
            </w:pPr>
            <w:r w:rsidRPr="002C4B48">
              <w:rPr>
                <w:sz w:val="20"/>
              </w:rPr>
              <w:t>Unit</w:t>
            </w:r>
          </w:p>
        </w:tc>
        <w:tc>
          <w:tcPr>
            <w:tcW w:w="1124" w:type="dxa"/>
            <w:shd w:val="clear" w:color="auto" w:fill="auto"/>
            <w:vAlign w:val="center"/>
          </w:tcPr>
          <w:p w:rsidR="002C4B48" w:rsidRPr="002C4B48" w:rsidRDefault="002C4B48" w:rsidP="002C4B48">
            <w:pPr>
              <w:spacing w:after="0"/>
              <w:rPr>
                <w:sz w:val="20"/>
              </w:rPr>
            </w:pPr>
            <w:r w:rsidRPr="002C4B48">
              <w:rPr>
                <w:sz w:val="20"/>
              </w:rPr>
              <w:t>Estimated volume</w:t>
            </w:r>
          </w:p>
        </w:tc>
        <w:tc>
          <w:tcPr>
            <w:tcW w:w="1559" w:type="dxa"/>
            <w:shd w:val="clear" w:color="auto" w:fill="auto"/>
            <w:vAlign w:val="center"/>
          </w:tcPr>
          <w:p w:rsidR="002C4B48" w:rsidRPr="002C4B48" w:rsidRDefault="002C4B48" w:rsidP="002C4B48">
            <w:pPr>
              <w:spacing w:after="0"/>
              <w:rPr>
                <w:sz w:val="20"/>
              </w:rPr>
            </w:pPr>
            <w:r w:rsidRPr="002C4B48">
              <w:rPr>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charge—air</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$29</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2 048 900</w:t>
            </w:r>
          </w:p>
        </w:tc>
        <w:tc>
          <w:tcPr>
            <w:tcW w:w="1559" w:type="dxa"/>
            <w:shd w:val="clear" w:color="auto" w:fill="auto"/>
            <w:vAlign w:val="center"/>
          </w:tcPr>
          <w:p w:rsidR="002C4B48" w:rsidRPr="002C4B48" w:rsidRDefault="002C4B48" w:rsidP="002C4B48">
            <w:pPr>
              <w:spacing w:after="0"/>
              <w:rPr>
                <w:sz w:val="20"/>
              </w:rPr>
            </w:pPr>
            <w:r w:rsidRPr="002C4B48">
              <w:rPr>
                <w:sz w:val="20"/>
              </w:rPr>
              <w:t>$59 418 100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Full Import Declaration charge—sea</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$39</w:t>
            </w:r>
          </w:p>
        </w:tc>
        <w:tc>
          <w:tcPr>
            <w:tcW w:w="1853" w:type="dxa"/>
            <w:shd w:val="clear" w:color="auto" w:fill="auto"/>
            <w:vAlign w:val="center"/>
          </w:tcPr>
          <w:p w:rsidR="002C4B48" w:rsidRPr="002C4B48" w:rsidRDefault="002C4B48" w:rsidP="002C4B48">
            <w:pPr>
              <w:spacing w:after="0"/>
              <w:rPr>
                <w:sz w:val="20"/>
              </w:rPr>
            </w:pPr>
            <w:r w:rsidRPr="002C4B48">
              <w:rPr>
                <w:sz w:val="20"/>
              </w:rPr>
              <w:t>Per import declaration</w:t>
            </w:r>
          </w:p>
        </w:tc>
        <w:tc>
          <w:tcPr>
            <w:tcW w:w="1124" w:type="dxa"/>
            <w:shd w:val="clear" w:color="auto" w:fill="auto"/>
            <w:vAlign w:val="center"/>
          </w:tcPr>
          <w:p w:rsidR="002C4B48" w:rsidRPr="002C4B48" w:rsidRDefault="002C4B48" w:rsidP="002C4B48">
            <w:pPr>
              <w:spacing w:after="0"/>
              <w:rPr>
                <w:sz w:val="20"/>
              </w:rPr>
            </w:pPr>
            <w:r w:rsidRPr="002C4B48">
              <w:rPr>
                <w:sz w:val="20"/>
              </w:rPr>
              <w:t>1 899 745</w:t>
            </w:r>
          </w:p>
        </w:tc>
        <w:tc>
          <w:tcPr>
            <w:tcW w:w="1559" w:type="dxa"/>
            <w:shd w:val="clear" w:color="auto" w:fill="auto"/>
            <w:vAlign w:val="center"/>
          </w:tcPr>
          <w:p w:rsidR="002C4B48" w:rsidRPr="002C4B48" w:rsidRDefault="002C4B48" w:rsidP="002C4B48">
            <w:pPr>
              <w:spacing w:after="0"/>
              <w:rPr>
                <w:sz w:val="20"/>
              </w:rPr>
            </w:pPr>
            <w:r w:rsidRPr="002C4B48">
              <w:rPr>
                <w:sz w:val="20"/>
              </w:rPr>
              <w:t>$74 090 055</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Permit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$120</w:t>
            </w:r>
          </w:p>
        </w:tc>
        <w:tc>
          <w:tcPr>
            <w:tcW w:w="1853" w:type="dxa"/>
            <w:shd w:val="clear" w:color="auto" w:fill="auto"/>
            <w:vAlign w:val="center"/>
          </w:tcPr>
          <w:p w:rsidR="002C4B48" w:rsidRPr="002C4B48" w:rsidRDefault="002C4B48" w:rsidP="002C4B48">
            <w:pPr>
              <w:spacing w:after="0"/>
              <w:rPr>
                <w:sz w:val="20"/>
              </w:rPr>
            </w:pPr>
            <w:r w:rsidRPr="002C4B48">
              <w:rPr>
                <w:sz w:val="20"/>
              </w:rPr>
              <w:t>Per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19 198</w:t>
            </w:r>
          </w:p>
        </w:tc>
        <w:tc>
          <w:tcPr>
            <w:tcW w:w="1559" w:type="dxa"/>
            <w:shd w:val="clear" w:color="auto" w:fill="auto"/>
            <w:vAlign w:val="center"/>
          </w:tcPr>
          <w:p w:rsidR="002C4B48" w:rsidRPr="002C4B48" w:rsidRDefault="002C4B48" w:rsidP="002C4B48">
            <w:pPr>
              <w:spacing w:after="0"/>
              <w:rPr>
                <w:sz w:val="20"/>
              </w:rPr>
            </w:pPr>
            <w:r w:rsidRPr="002C4B48">
              <w:rPr>
                <w:sz w:val="20"/>
              </w:rPr>
              <w:t>$2 303 760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charge—horses or ruminants or animal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$2 700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450</w:t>
            </w:r>
          </w:p>
        </w:tc>
        <w:tc>
          <w:tcPr>
            <w:tcW w:w="1559" w:type="dxa"/>
            <w:shd w:val="clear" w:color="auto" w:fill="auto"/>
            <w:vAlign w:val="center"/>
          </w:tcPr>
          <w:p w:rsidR="002C4B48" w:rsidRPr="002C4B48" w:rsidRDefault="002C4B48" w:rsidP="002C4B48">
            <w:pPr>
              <w:spacing w:after="0"/>
              <w:rPr>
                <w:sz w:val="20"/>
              </w:rPr>
            </w:pPr>
            <w:r w:rsidRPr="002C4B48">
              <w:rPr>
                <w:sz w:val="20"/>
              </w:rPr>
              <w:t>$1 215 000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importation charge—cats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$1 200</w:t>
            </w:r>
          </w:p>
        </w:tc>
        <w:tc>
          <w:tcPr>
            <w:tcW w:w="1853" w:type="dxa"/>
            <w:shd w:val="clear" w:color="auto" w:fill="auto"/>
            <w:vAlign w:val="center"/>
          </w:tcPr>
          <w:p w:rsidR="002C4B48" w:rsidRPr="002C4B48" w:rsidRDefault="002C4B48" w:rsidP="002C4B48">
            <w:pPr>
              <w:spacing w:after="0"/>
              <w:rPr>
                <w:sz w:val="20"/>
              </w:rPr>
            </w:pPr>
            <w:r w:rsidRPr="002C4B48">
              <w:rPr>
                <w:sz w:val="20"/>
              </w:rPr>
              <w:t>Per animal</w:t>
            </w:r>
          </w:p>
        </w:tc>
        <w:tc>
          <w:tcPr>
            <w:tcW w:w="1124" w:type="dxa"/>
            <w:shd w:val="clear" w:color="auto" w:fill="auto"/>
            <w:vAlign w:val="center"/>
          </w:tcPr>
          <w:p w:rsidR="002C4B48" w:rsidRPr="002C4B48" w:rsidRDefault="002C4B48" w:rsidP="002C4B48">
            <w:pPr>
              <w:spacing w:after="0"/>
              <w:rPr>
                <w:sz w:val="20"/>
              </w:rPr>
            </w:pPr>
            <w:r w:rsidRPr="002C4B48">
              <w:rPr>
                <w:sz w:val="20"/>
              </w:rPr>
              <w:t>5 097</w:t>
            </w:r>
          </w:p>
        </w:tc>
        <w:tc>
          <w:tcPr>
            <w:tcW w:w="1559" w:type="dxa"/>
            <w:shd w:val="clear" w:color="auto" w:fill="auto"/>
            <w:vAlign w:val="center"/>
          </w:tcPr>
          <w:p w:rsidR="002C4B48" w:rsidRPr="002C4B48" w:rsidRDefault="002C4B48" w:rsidP="002C4B48">
            <w:pPr>
              <w:spacing w:after="0"/>
              <w:rPr>
                <w:sz w:val="20"/>
              </w:rPr>
            </w:pPr>
            <w:r w:rsidRPr="002C4B48">
              <w:rPr>
                <w:sz w:val="20"/>
              </w:rPr>
              <w:t>$6 116 400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lastRenderedPageBreak/>
              <w:t>PEQ importation charge—bees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$2 460</w:t>
            </w:r>
          </w:p>
        </w:tc>
        <w:tc>
          <w:tcPr>
            <w:tcW w:w="1853" w:type="dxa"/>
            <w:shd w:val="clear" w:color="auto" w:fill="auto"/>
            <w:vAlign w:val="center"/>
          </w:tcPr>
          <w:p w:rsidR="002C4B48" w:rsidRPr="002C4B48" w:rsidRDefault="002C4B48" w:rsidP="002C4B48">
            <w:pPr>
              <w:spacing w:after="0"/>
              <w:rPr>
                <w:sz w:val="20"/>
              </w:rPr>
            </w:pPr>
            <w:r w:rsidRPr="002C4B48">
              <w:rPr>
                <w:sz w:val="20"/>
              </w:rPr>
              <w:t>Per bees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10</w:t>
            </w:r>
          </w:p>
        </w:tc>
        <w:tc>
          <w:tcPr>
            <w:tcW w:w="1559" w:type="dxa"/>
            <w:shd w:val="clear" w:color="auto" w:fill="auto"/>
            <w:vAlign w:val="center"/>
          </w:tcPr>
          <w:p w:rsidR="002C4B48" w:rsidRPr="002C4B48" w:rsidRDefault="002C4B48" w:rsidP="002C4B48">
            <w:pPr>
              <w:spacing w:after="0"/>
              <w:rPr>
                <w:sz w:val="20"/>
              </w:rPr>
            </w:pPr>
            <w:r w:rsidRPr="002C4B48">
              <w:rPr>
                <w:sz w:val="20"/>
              </w:rPr>
              <w:t>$24 600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$36 990</w:t>
            </w:r>
          </w:p>
        </w:tc>
        <w:tc>
          <w:tcPr>
            <w:tcW w:w="1853" w:type="dxa"/>
            <w:shd w:val="clear" w:color="auto" w:fill="auto"/>
            <w:vAlign w:val="center"/>
          </w:tcPr>
          <w:p w:rsidR="002C4B48" w:rsidRPr="002C4B48" w:rsidRDefault="002C4B48" w:rsidP="002C4B48">
            <w:pPr>
              <w:spacing w:after="0"/>
              <w:rPr>
                <w:sz w:val="20"/>
              </w:rPr>
            </w:pPr>
            <w:r w:rsidRPr="002C4B48">
              <w:rPr>
                <w:sz w:val="20"/>
              </w:rPr>
              <w:t>Per hatching egg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3</w:t>
            </w:r>
          </w:p>
        </w:tc>
        <w:tc>
          <w:tcPr>
            <w:tcW w:w="1559" w:type="dxa"/>
            <w:shd w:val="clear" w:color="auto" w:fill="auto"/>
            <w:vAlign w:val="center"/>
          </w:tcPr>
          <w:p w:rsidR="002C4B48" w:rsidRPr="002C4B48" w:rsidRDefault="002C4B48" w:rsidP="002C4B48">
            <w:pPr>
              <w:spacing w:after="0"/>
              <w:rPr>
                <w:sz w:val="20"/>
              </w:rPr>
            </w:pPr>
            <w:r w:rsidRPr="002C4B48">
              <w:rPr>
                <w:sz w:val="20"/>
              </w:rPr>
              <w:t>$110 970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w:t>
            </w:r>
            <w:proofErr w:type="spellStart"/>
            <w:r w:rsidRPr="002C4B48">
              <w:rPr>
                <w:sz w:val="20"/>
              </w:rPr>
              <w:t>avians</w:t>
            </w:r>
            <w:proofErr w:type="spellEnd"/>
            <w:r w:rsidRPr="002C4B48">
              <w:rPr>
                <w:sz w:val="20"/>
              </w:rPr>
              <w:t xml:space="preserve"> </w:t>
            </w:r>
          </w:p>
          <w:p w:rsidR="002C4B48" w:rsidRPr="002C4B48" w:rsidRDefault="002C4B48" w:rsidP="002C4B48">
            <w:pPr>
              <w:spacing w:after="0"/>
              <w:rPr>
                <w:sz w:val="20"/>
              </w:rPr>
            </w:pPr>
            <w:r w:rsidRPr="002C4B48">
              <w:rPr>
                <w:sz w:val="20"/>
              </w:rPr>
              <w:t>(live bird)</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$13 280</w:t>
            </w:r>
          </w:p>
        </w:tc>
        <w:tc>
          <w:tcPr>
            <w:tcW w:w="1853" w:type="dxa"/>
            <w:shd w:val="clear" w:color="auto" w:fill="auto"/>
            <w:vAlign w:val="center"/>
          </w:tcPr>
          <w:p w:rsidR="002C4B48" w:rsidRPr="002C4B48" w:rsidRDefault="002C4B48" w:rsidP="002C4B48">
            <w:pPr>
              <w:spacing w:after="0"/>
              <w:rPr>
                <w:sz w:val="20"/>
              </w:rPr>
            </w:pPr>
            <w:r w:rsidRPr="002C4B48">
              <w:rPr>
                <w:sz w:val="20"/>
              </w:rPr>
              <w:t>Per live bird consignment</w:t>
            </w:r>
          </w:p>
        </w:tc>
        <w:tc>
          <w:tcPr>
            <w:tcW w:w="1124" w:type="dxa"/>
            <w:shd w:val="clear" w:color="auto" w:fill="auto"/>
            <w:vAlign w:val="center"/>
          </w:tcPr>
          <w:p w:rsidR="002C4B48" w:rsidRPr="002C4B48" w:rsidRDefault="002C4B48" w:rsidP="002C4B48">
            <w:pPr>
              <w:spacing w:after="0"/>
              <w:rPr>
                <w:sz w:val="20"/>
              </w:rPr>
            </w:pPr>
            <w:r w:rsidRPr="002C4B48">
              <w:rPr>
                <w:sz w:val="20"/>
              </w:rPr>
              <w:t>5</w:t>
            </w:r>
          </w:p>
        </w:tc>
        <w:tc>
          <w:tcPr>
            <w:tcW w:w="1559" w:type="dxa"/>
            <w:shd w:val="clear" w:color="auto" w:fill="auto"/>
            <w:vAlign w:val="center"/>
          </w:tcPr>
          <w:p w:rsidR="002C4B48" w:rsidRPr="002C4B48" w:rsidRDefault="002C4B48" w:rsidP="002C4B48">
            <w:pPr>
              <w:spacing w:after="0"/>
              <w:rPr>
                <w:sz w:val="20"/>
              </w:rPr>
            </w:pPr>
            <w:r w:rsidRPr="002C4B48">
              <w:rPr>
                <w:sz w:val="20"/>
              </w:rPr>
              <w:t>$66 400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importation charge—plants</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853" w:type="dxa"/>
            <w:shd w:val="clear" w:color="auto" w:fill="auto"/>
            <w:vAlign w:val="center"/>
          </w:tcPr>
          <w:p w:rsidR="002C4B48" w:rsidRPr="002C4B48" w:rsidRDefault="002C4B48" w:rsidP="002C4B48">
            <w:pPr>
              <w:spacing w:after="0"/>
              <w:rPr>
                <w:sz w:val="20"/>
              </w:rPr>
            </w:pPr>
            <w:r w:rsidRPr="002C4B48">
              <w:rPr>
                <w:sz w:val="20"/>
              </w:rPr>
              <w:t>Per m</w:t>
            </w:r>
            <w:r w:rsidRPr="002C4B48">
              <w:rPr>
                <w:sz w:val="20"/>
                <w:vertAlign w:val="superscript"/>
              </w:rPr>
              <w:t>2</w:t>
            </w:r>
          </w:p>
        </w:tc>
        <w:tc>
          <w:tcPr>
            <w:tcW w:w="1124" w:type="dxa"/>
            <w:shd w:val="clear" w:color="auto" w:fill="auto"/>
            <w:vAlign w:val="center"/>
          </w:tcPr>
          <w:p w:rsidR="002C4B48" w:rsidRPr="002C4B48" w:rsidRDefault="002C4B48" w:rsidP="002C4B48">
            <w:pPr>
              <w:spacing w:after="0"/>
              <w:rPr>
                <w:sz w:val="20"/>
              </w:rPr>
            </w:pPr>
            <w:r w:rsidRPr="002C4B48">
              <w:rPr>
                <w:sz w:val="20"/>
              </w:rPr>
              <w:t>16 326</w:t>
            </w:r>
          </w:p>
        </w:tc>
        <w:tc>
          <w:tcPr>
            <w:tcW w:w="1559" w:type="dxa"/>
            <w:shd w:val="clear" w:color="auto" w:fill="auto"/>
            <w:vAlign w:val="center"/>
          </w:tcPr>
          <w:p w:rsidR="002C4B48" w:rsidRPr="002C4B48" w:rsidRDefault="002C4B48" w:rsidP="002C4B48">
            <w:pPr>
              <w:spacing w:after="0"/>
              <w:rPr>
                <w:sz w:val="20"/>
              </w:rPr>
            </w:pPr>
            <w:r w:rsidRPr="002C4B48">
              <w:rPr>
                <w:sz w:val="20"/>
              </w:rPr>
              <w:t>$1 632 600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Approved arrangement levies</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application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$180</w:t>
            </w:r>
          </w:p>
        </w:tc>
        <w:tc>
          <w:tcPr>
            <w:tcW w:w="1853" w:type="dxa"/>
            <w:shd w:val="clear" w:color="auto" w:fill="auto"/>
            <w:vAlign w:val="center"/>
          </w:tcPr>
          <w:p w:rsidR="002C4B48" w:rsidRPr="002C4B48" w:rsidRDefault="002C4B48" w:rsidP="002C4B48">
            <w:pPr>
              <w:spacing w:after="0"/>
              <w:rPr>
                <w:sz w:val="20"/>
              </w:rPr>
            </w:pPr>
            <w:r w:rsidRPr="002C4B48">
              <w:rPr>
                <w:sz w:val="20"/>
              </w:rPr>
              <w:t>Per new application</w:t>
            </w:r>
          </w:p>
        </w:tc>
        <w:tc>
          <w:tcPr>
            <w:tcW w:w="1124" w:type="dxa"/>
            <w:shd w:val="clear" w:color="auto" w:fill="auto"/>
            <w:vAlign w:val="center"/>
          </w:tcPr>
          <w:p w:rsidR="002C4B48" w:rsidRPr="002C4B48" w:rsidRDefault="002C4B48" w:rsidP="002C4B48">
            <w:pPr>
              <w:spacing w:after="0"/>
              <w:rPr>
                <w:sz w:val="20"/>
              </w:rPr>
            </w:pPr>
            <w:r w:rsidRPr="002C4B48">
              <w:rPr>
                <w:sz w:val="20"/>
              </w:rPr>
              <w:t>75</w:t>
            </w:r>
          </w:p>
        </w:tc>
        <w:tc>
          <w:tcPr>
            <w:tcW w:w="1559" w:type="dxa"/>
            <w:shd w:val="clear" w:color="auto" w:fill="auto"/>
            <w:vAlign w:val="center"/>
          </w:tcPr>
          <w:p w:rsidR="002C4B48" w:rsidRPr="002C4B48" w:rsidRDefault="002C4B48" w:rsidP="002C4B48">
            <w:pPr>
              <w:spacing w:after="0"/>
              <w:rPr>
                <w:sz w:val="20"/>
              </w:rPr>
            </w:pPr>
            <w:r w:rsidRPr="002C4B48">
              <w:rPr>
                <w:sz w:val="20"/>
              </w:rPr>
              <w:t>$13 500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Approved arrangement annual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$2 900</w:t>
            </w:r>
          </w:p>
        </w:tc>
        <w:tc>
          <w:tcPr>
            <w:tcW w:w="1853" w:type="dxa"/>
            <w:shd w:val="clear" w:color="auto" w:fill="auto"/>
            <w:vAlign w:val="center"/>
          </w:tcPr>
          <w:p w:rsidR="002C4B48" w:rsidRPr="002C4B48" w:rsidRDefault="002C4B48" w:rsidP="002C4B48">
            <w:pPr>
              <w:spacing w:after="0"/>
              <w:rPr>
                <w:sz w:val="20"/>
              </w:rPr>
            </w:pPr>
            <w:r w:rsidRPr="002C4B48">
              <w:rPr>
                <w:sz w:val="20"/>
              </w:rPr>
              <w:t>Per entity</w:t>
            </w:r>
          </w:p>
        </w:tc>
        <w:tc>
          <w:tcPr>
            <w:tcW w:w="1124" w:type="dxa"/>
            <w:shd w:val="clear" w:color="auto" w:fill="auto"/>
            <w:vAlign w:val="center"/>
          </w:tcPr>
          <w:p w:rsidR="002C4B48" w:rsidRPr="002C4B48" w:rsidRDefault="002C4B48" w:rsidP="002C4B48">
            <w:pPr>
              <w:spacing w:after="0"/>
              <w:rPr>
                <w:sz w:val="20"/>
              </w:rPr>
            </w:pPr>
            <w:r w:rsidRPr="002C4B48">
              <w:rPr>
                <w:sz w:val="20"/>
              </w:rPr>
              <w:t>2 499</w:t>
            </w:r>
          </w:p>
        </w:tc>
        <w:tc>
          <w:tcPr>
            <w:tcW w:w="1559" w:type="dxa"/>
            <w:tcBorders>
              <w:right w:val="single" w:sz="4" w:space="0" w:color="auto"/>
            </w:tcBorders>
            <w:shd w:val="clear" w:color="auto" w:fill="auto"/>
            <w:vAlign w:val="center"/>
          </w:tcPr>
          <w:p w:rsidR="002C4B48" w:rsidRPr="002C4B48" w:rsidRDefault="002C4B48" w:rsidP="002C4B48">
            <w:pPr>
              <w:spacing w:after="0"/>
              <w:rPr>
                <w:sz w:val="20"/>
              </w:rPr>
            </w:pPr>
            <w:r w:rsidRPr="002C4B48">
              <w:rPr>
                <w:sz w:val="20"/>
              </w:rPr>
              <w:t>$7 247 100</w:t>
            </w:r>
          </w:p>
        </w:tc>
      </w:tr>
      <w:tr w:rsidR="002C4B48" w:rsidRPr="002C4B48" w:rsidTr="002C4B48">
        <w:trPr>
          <w:trHeight w:val="680"/>
          <w:jc w:val="center"/>
        </w:trPr>
        <w:tc>
          <w:tcPr>
            <w:tcW w:w="3526"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Vessel operator levies</w:t>
            </w:r>
          </w:p>
        </w:tc>
        <w:tc>
          <w:tcPr>
            <w:tcW w:w="992"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tcBorders>
              <w:top w:val="single" w:sz="4" w:space="0" w:color="auto"/>
            </w:tcBorders>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 xml:space="preserve">Vessel (≥25m) arrival charge </w:t>
            </w:r>
          </w:p>
        </w:tc>
        <w:tc>
          <w:tcPr>
            <w:tcW w:w="992"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Levy</w:t>
            </w:r>
          </w:p>
        </w:tc>
        <w:tc>
          <w:tcPr>
            <w:tcW w:w="113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$625</w:t>
            </w:r>
          </w:p>
        </w:tc>
        <w:tc>
          <w:tcPr>
            <w:tcW w:w="1853"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21 410</w:t>
            </w:r>
          </w:p>
        </w:tc>
        <w:tc>
          <w:tcPr>
            <w:tcW w:w="1559" w:type="dxa"/>
            <w:tcBorders>
              <w:top w:val="single" w:sz="4" w:space="0" w:color="auto"/>
            </w:tcBorders>
            <w:shd w:val="clear" w:color="auto" w:fill="auto"/>
            <w:vAlign w:val="center"/>
          </w:tcPr>
          <w:p w:rsidR="002C4B48" w:rsidRPr="002C4B48" w:rsidRDefault="002C4B48" w:rsidP="002C4B48">
            <w:pPr>
              <w:spacing w:after="0"/>
              <w:rPr>
                <w:sz w:val="20"/>
              </w:rPr>
            </w:pPr>
            <w:r w:rsidRPr="002C4B48">
              <w:rPr>
                <w:sz w:val="20"/>
              </w:rPr>
              <w:t>$13 381 250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Vessel (&lt;25m) arrival charge</w:t>
            </w:r>
          </w:p>
        </w:tc>
        <w:tc>
          <w:tcPr>
            <w:tcW w:w="992" w:type="dxa"/>
            <w:shd w:val="clear" w:color="auto" w:fill="auto"/>
            <w:vAlign w:val="center"/>
          </w:tcPr>
          <w:p w:rsidR="002C4B48" w:rsidRPr="002C4B48" w:rsidRDefault="002C4B48" w:rsidP="002C4B48">
            <w:pPr>
              <w:spacing w:after="0"/>
              <w:rPr>
                <w:sz w:val="20"/>
              </w:rPr>
            </w:pPr>
            <w:r w:rsidRPr="002C4B48">
              <w:rPr>
                <w:sz w:val="20"/>
              </w:rPr>
              <w:t>Levy</w:t>
            </w:r>
          </w:p>
        </w:tc>
        <w:tc>
          <w:tcPr>
            <w:tcW w:w="1134" w:type="dxa"/>
            <w:shd w:val="clear" w:color="auto" w:fill="auto"/>
            <w:vAlign w:val="center"/>
          </w:tcPr>
          <w:p w:rsidR="002C4B48" w:rsidRPr="002C4B48" w:rsidRDefault="002C4B48" w:rsidP="002C4B48">
            <w:pPr>
              <w:spacing w:after="0"/>
              <w:rPr>
                <w:sz w:val="20"/>
              </w:rPr>
            </w:pPr>
            <w:r w:rsidRPr="002C4B48">
              <w:rPr>
                <w:sz w:val="20"/>
              </w:rPr>
              <w:t>$100</w:t>
            </w:r>
          </w:p>
        </w:tc>
        <w:tc>
          <w:tcPr>
            <w:tcW w:w="1853" w:type="dxa"/>
            <w:shd w:val="clear" w:color="auto" w:fill="auto"/>
            <w:vAlign w:val="center"/>
          </w:tcPr>
          <w:p w:rsidR="002C4B48" w:rsidRPr="002C4B48" w:rsidRDefault="002C4B48" w:rsidP="002C4B48">
            <w:pPr>
              <w:spacing w:after="0"/>
              <w:rPr>
                <w:sz w:val="20"/>
              </w:rPr>
            </w:pPr>
            <w:r w:rsidRPr="002C4B48">
              <w:rPr>
                <w:sz w:val="20"/>
              </w:rPr>
              <w:t>Per vessel</w:t>
            </w:r>
          </w:p>
        </w:tc>
        <w:tc>
          <w:tcPr>
            <w:tcW w:w="1124" w:type="dxa"/>
            <w:shd w:val="clear" w:color="auto" w:fill="auto"/>
            <w:vAlign w:val="center"/>
          </w:tcPr>
          <w:p w:rsidR="002C4B48" w:rsidRPr="002C4B48" w:rsidRDefault="002C4B48" w:rsidP="002C4B48">
            <w:pPr>
              <w:spacing w:after="0"/>
              <w:rPr>
                <w:sz w:val="20"/>
              </w:rPr>
            </w:pPr>
            <w:r w:rsidRPr="002C4B48">
              <w:rPr>
                <w:sz w:val="20"/>
              </w:rPr>
              <w:t>521</w:t>
            </w:r>
          </w:p>
        </w:tc>
        <w:tc>
          <w:tcPr>
            <w:tcW w:w="1559" w:type="dxa"/>
            <w:shd w:val="clear" w:color="auto" w:fill="auto"/>
            <w:vAlign w:val="center"/>
          </w:tcPr>
          <w:p w:rsidR="002C4B48" w:rsidRPr="002C4B48" w:rsidRDefault="002C4B48" w:rsidP="002C4B48">
            <w:pPr>
              <w:spacing w:after="0"/>
              <w:rPr>
                <w:sz w:val="20"/>
              </w:rPr>
            </w:pPr>
            <w:r w:rsidRPr="002C4B48">
              <w:rPr>
                <w:sz w:val="20"/>
              </w:rPr>
              <w:t>$52 100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fees—assessment, approval, inspection, treatment and audit</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In-office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$30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962 021</w:t>
            </w:r>
          </w:p>
        </w:tc>
        <w:tc>
          <w:tcPr>
            <w:tcW w:w="1559" w:type="dxa"/>
            <w:shd w:val="clear" w:color="auto" w:fill="auto"/>
            <w:vAlign w:val="center"/>
          </w:tcPr>
          <w:p w:rsidR="002C4B48" w:rsidRPr="002C4B48" w:rsidRDefault="002C4B48" w:rsidP="002C4B48">
            <w:pPr>
              <w:spacing w:after="0"/>
              <w:rPr>
                <w:sz w:val="20"/>
              </w:rPr>
            </w:pPr>
            <w:r w:rsidRPr="002C4B48">
              <w:rPr>
                <w:sz w:val="20"/>
              </w:rPr>
              <w:t>$28 860 630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Out–of-office fee</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$50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15 minutes</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657 255</w:t>
            </w:r>
          </w:p>
        </w:tc>
        <w:tc>
          <w:tcPr>
            <w:tcW w:w="1559" w:type="dxa"/>
            <w:shd w:val="clear" w:color="auto" w:fill="auto"/>
            <w:vAlign w:val="center"/>
          </w:tcPr>
          <w:p w:rsidR="002C4B48" w:rsidRPr="002C4B48" w:rsidRDefault="002C4B48" w:rsidP="002C4B48">
            <w:pPr>
              <w:spacing w:after="0"/>
              <w:rPr>
                <w:sz w:val="20"/>
              </w:rPr>
            </w:pPr>
            <w:r w:rsidRPr="002C4B48">
              <w:rPr>
                <w:sz w:val="20"/>
              </w:rPr>
              <w:t>$32 862 750</w:t>
            </w:r>
          </w:p>
        </w:tc>
      </w:tr>
      <w:tr w:rsidR="002C4B48" w:rsidRPr="002C4B48" w:rsidTr="002C4B48">
        <w:trPr>
          <w:trHeight w:val="680"/>
          <w:jc w:val="center"/>
        </w:trPr>
        <w:tc>
          <w:tcPr>
            <w:tcW w:w="3526" w:type="dxa"/>
            <w:shd w:val="clear" w:color="auto" w:fill="DBE5F1"/>
            <w:vAlign w:val="center"/>
          </w:tcPr>
          <w:p w:rsidR="002C4B48" w:rsidRPr="002C4B48" w:rsidRDefault="002C4B48" w:rsidP="002C4B48">
            <w:pPr>
              <w:spacing w:after="0"/>
              <w:rPr>
                <w:b/>
                <w:bCs/>
                <w:sz w:val="20"/>
              </w:rPr>
            </w:pPr>
            <w:r w:rsidRPr="002C4B48">
              <w:rPr>
                <w:b/>
                <w:bCs/>
                <w:sz w:val="20"/>
              </w:rPr>
              <w:t>Biosecurity Arrangement fees—husbandry</w:t>
            </w:r>
          </w:p>
        </w:tc>
        <w:tc>
          <w:tcPr>
            <w:tcW w:w="992" w:type="dxa"/>
            <w:shd w:val="clear" w:color="auto" w:fill="DBE5F1"/>
            <w:vAlign w:val="center"/>
          </w:tcPr>
          <w:p w:rsidR="002C4B48" w:rsidRPr="002C4B48" w:rsidRDefault="002C4B48" w:rsidP="002C4B48">
            <w:pPr>
              <w:spacing w:after="0"/>
              <w:rPr>
                <w:b/>
                <w:bCs/>
                <w:sz w:val="20"/>
              </w:rPr>
            </w:pPr>
            <w:r w:rsidRPr="002C4B48">
              <w:rPr>
                <w:b/>
                <w:bCs/>
                <w:sz w:val="20"/>
              </w:rPr>
              <w:t>Type</w:t>
            </w:r>
          </w:p>
        </w:tc>
        <w:tc>
          <w:tcPr>
            <w:tcW w:w="1134" w:type="dxa"/>
            <w:shd w:val="clear" w:color="auto" w:fill="DBE5F1"/>
            <w:vAlign w:val="center"/>
          </w:tcPr>
          <w:p w:rsidR="002C4B48" w:rsidRPr="002C4B48" w:rsidRDefault="002C4B48" w:rsidP="002C4B48">
            <w:pPr>
              <w:spacing w:after="0"/>
              <w:rPr>
                <w:b/>
                <w:bCs/>
                <w:sz w:val="20"/>
              </w:rPr>
            </w:pPr>
            <w:r w:rsidRPr="002C4B48">
              <w:rPr>
                <w:b/>
                <w:bCs/>
                <w:sz w:val="20"/>
              </w:rPr>
              <w:t>Rate</w:t>
            </w:r>
          </w:p>
        </w:tc>
        <w:tc>
          <w:tcPr>
            <w:tcW w:w="1853" w:type="dxa"/>
            <w:shd w:val="clear" w:color="auto" w:fill="DBE5F1"/>
            <w:vAlign w:val="center"/>
          </w:tcPr>
          <w:p w:rsidR="002C4B48" w:rsidRPr="002C4B48" w:rsidRDefault="002C4B48" w:rsidP="002C4B48">
            <w:pPr>
              <w:spacing w:after="0"/>
              <w:rPr>
                <w:b/>
                <w:bCs/>
                <w:sz w:val="20"/>
              </w:rPr>
            </w:pPr>
            <w:r w:rsidRPr="002C4B48">
              <w:rPr>
                <w:b/>
                <w:bCs/>
                <w:sz w:val="20"/>
              </w:rPr>
              <w:t>Unit</w:t>
            </w:r>
          </w:p>
        </w:tc>
        <w:tc>
          <w:tcPr>
            <w:tcW w:w="1124" w:type="dxa"/>
            <w:shd w:val="clear" w:color="auto" w:fill="DBE5F1"/>
            <w:vAlign w:val="center"/>
          </w:tcPr>
          <w:p w:rsidR="002C4B48" w:rsidRPr="002C4B48" w:rsidRDefault="002C4B48" w:rsidP="002C4B48">
            <w:pPr>
              <w:spacing w:after="0"/>
              <w:rPr>
                <w:b/>
                <w:bCs/>
                <w:sz w:val="20"/>
              </w:rPr>
            </w:pPr>
            <w:r w:rsidRPr="002C4B48">
              <w:rPr>
                <w:b/>
                <w:bCs/>
                <w:sz w:val="20"/>
              </w:rPr>
              <w:t>Estimated volume</w:t>
            </w:r>
          </w:p>
        </w:tc>
        <w:tc>
          <w:tcPr>
            <w:tcW w:w="1559" w:type="dxa"/>
            <w:shd w:val="clear" w:color="auto" w:fill="DBE5F1"/>
            <w:vAlign w:val="center"/>
          </w:tcPr>
          <w:p w:rsidR="002C4B48" w:rsidRPr="002C4B48" w:rsidRDefault="002C4B48" w:rsidP="002C4B48">
            <w:pPr>
              <w:spacing w:after="0"/>
              <w:rPr>
                <w:b/>
                <w:bCs/>
                <w:sz w:val="20"/>
              </w:rPr>
            </w:pPr>
            <w:r w:rsidRPr="002C4B48">
              <w:rPr>
                <w:b/>
                <w:bCs/>
                <w:sz w:val="20"/>
              </w:rPr>
              <w:t>Estimated total revenue</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fee—horses or ruminants or animals &gt;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$60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6 300</w:t>
            </w:r>
          </w:p>
        </w:tc>
        <w:tc>
          <w:tcPr>
            <w:tcW w:w="1559" w:type="dxa"/>
            <w:shd w:val="clear" w:color="auto" w:fill="auto"/>
            <w:vAlign w:val="center"/>
          </w:tcPr>
          <w:p w:rsidR="002C4B48" w:rsidRPr="002C4B48" w:rsidRDefault="002C4B48" w:rsidP="002C4B48">
            <w:pPr>
              <w:spacing w:after="0"/>
              <w:rPr>
                <w:sz w:val="20"/>
              </w:rPr>
            </w:pPr>
            <w:r w:rsidRPr="002C4B48">
              <w:rPr>
                <w:sz w:val="20"/>
              </w:rPr>
              <w:t>$378 000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 xml:space="preserve">PEQ husbandry fee—cats or dogs or animals ≤ 25 </w:t>
            </w:r>
            <w:proofErr w:type="spellStart"/>
            <w:r w:rsidRPr="002C4B48">
              <w:rPr>
                <w:sz w:val="20"/>
              </w:rPr>
              <w:t>kgs</w:t>
            </w:r>
            <w:proofErr w:type="spellEnd"/>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$29</w:t>
            </w:r>
          </w:p>
        </w:tc>
        <w:tc>
          <w:tcPr>
            <w:tcW w:w="1853" w:type="dxa"/>
            <w:shd w:val="clear" w:color="auto" w:fill="auto"/>
            <w:vAlign w:val="center"/>
          </w:tcPr>
          <w:p w:rsidR="002C4B48" w:rsidRPr="002C4B48" w:rsidRDefault="002C4B48" w:rsidP="002C4B48">
            <w:pPr>
              <w:spacing w:after="0"/>
              <w:rPr>
                <w:sz w:val="20"/>
              </w:rPr>
            </w:pPr>
            <w:r w:rsidRPr="002C4B48">
              <w:rPr>
                <w:sz w:val="20"/>
              </w:rPr>
              <w:t>Per animal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50 972</w:t>
            </w:r>
          </w:p>
        </w:tc>
        <w:tc>
          <w:tcPr>
            <w:tcW w:w="1559" w:type="dxa"/>
            <w:shd w:val="clear" w:color="auto" w:fill="auto"/>
            <w:vAlign w:val="center"/>
          </w:tcPr>
          <w:p w:rsidR="002C4B48" w:rsidRPr="002C4B48" w:rsidRDefault="002C4B48" w:rsidP="002C4B48">
            <w:pPr>
              <w:spacing w:after="0"/>
              <w:rPr>
                <w:sz w:val="20"/>
              </w:rPr>
            </w:pPr>
            <w:r w:rsidRPr="002C4B48">
              <w:rPr>
                <w:sz w:val="20"/>
              </w:rPr>
              <w:t>$1 478 188</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fee—bees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$280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bee consignment monthly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20</w:t>
            </w:r>
          </w:p>
        </w:tc>
        <w:tc>
          <w:tcPr>
            <w:tcW w:w="1559" w:type="dxa"/>
            <w:shd w:val="clear" w:color="auto" w:fill="auto"/>
            <w:vAlign w:val="center"/>
          </w:tcPr>
          <w:p w:rsidR="002C4B48" w:rsidRPr="002C4B48" w:rsidRDefault="002C4B48" w:rsidP="002C4B48">
            <w:pPr>
              <w:spacing w:after="0"/>
              <w:rPr>
                <w:sz w:val="20"/>
              </w:rPr>
            </w:pPr>
            <w:r w:rsidRPr="002C4B48">
              <w:rPr>
                <w:sz w:val="20"/>
              </w:rPr>
              <w:t>$5 600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(fertile eggs)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$200</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egg consignment per day</w:t>
            </w:r>
            <w:r w:rsidRPr="002C4B48">
              <w:rPr>
                <w:sz w:val="20"/>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293</w:t>
            </w:r>
          </w:p>
        </w:tc>
        <w:tc>
          <w:tcPr>
            <w:tcW w:w="1559" w:type="dxa"/>
            <w:shd w:val="clear" w:color="auto" w:fill="auto"/>
            <w:vAlign w:val="center"/>
          </w:tcPr>
          <w:p w:rsidR="002C4B48" w:rsidRPr="002C4B48" w:rsidRDefault="002C4B48" w:rsidP="002C4B48">
            <w:pPr>
              <w:spacing w:after="0"/>
              <w:rPr>
                <w:sz w:val="20"/>
              </w:rPr>
            </w:pPr>
            <w:r w:rsidRPr="002C4B48">
              <w:rPr>
                <w:sz w:val="20"/>
              </w:rPr>
              <w:t>$58 600</w:t>
            </w:r>
          </w:p>
        </w:tc>
      </w:tr>
      <w:tr w:rsidR="002C4B48" w:rsidRPr="002C4B48" w:rsidTr="002C4B48">
        <w:trPr>
          <w:trHeight w:val="680"/>
          <w:jc w:val="center"/>
        </w:trPr>
        <w:tc>
          <w:tcPr>
            <w:tcW w:w="3526"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PEQ husbandry fee—</w:t>
            </w:r>
            <w:proofErr w:type="spellStart"/>
            <w:r w:rsidRPr="002C4B48">
              <w:rPr>
                <w:sz w:val="20"/>
              </w:rPr>
              <w:t>avians</w:t>
            </w:r>
            <w:proofErr w:type="spellEnd"/>
          </w:p>
          <w:p w:rsidR="002C4B48" w:rsidRPr="002C4B48" w:rsidRDefault="002C4B48" w:rsidP="002C4B48">
            <w:pPr>
              <w:spacing w:after="0"/>
              <w:rPr>
                <w:sz w:val="20"/>
              </w:rPr>
            </w:pPr>
            <w:r w:rsidRPr="002C4B48">
              <w:rPr>
                <w:sz w:val="20"/>
              </w:rPr>
              <w:t>(live birds)</w:t>
            </w:r>
          </w:p>
        </w:tc>
        <w:tc>
          <w:tcPr>
            <w:tcW w:w="992"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Fee</w:t>
            </w:r>
          </w:p>
        </w:tc>
        <w:tc>
          <w:tcPr>
            <w:tcW w:w="113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$150</w:t>
            </w:r>
          </w:p>
        </w:tc>
        <w:tc>
          <w:tcPr>
            <w:tcW w:w="1853" w:type="dxa"/>
            <w:tcBorders>
              <w:bottom w:val="single" w:sz="4" w:space="0" w:color="000000"/>
            </w:tcBorders>
            <w:shd w:val="clear" w:color="auto" w:fill="auto"/>
            <w:vAlign w:val="center"/>
          </w:tcPr>
          <w:p w:rsidR="002C4B48" w:rsidRPr="002C4B48" w:rsidRDefault="002C4B48" w:rsidP="002C4B48">
            <w:pPr>
              <w:spacing w:after="0"/>
              <w:rPr>
                <w:sz w:val="18"/>
                <w:szCs w:val="18"/>
              </w:rPr>
            </w:pPr>
            <w:r w:rsidRPr="002C4B48">
              <w:rPr>
                <w:sz w:val="20"/>
              </w:rPr>
              <w:t>Per live bird consignment per day</w:t>
            </w:r>
            <w:r w:rsidRPr="002C4B48">
              <w:rPr>
                <w:sz w:val="20"/>
              </w:rPr>
              <w:br/>
            </w:r>
            <w:r w:rsidRPr="002C4B48">
              <w:rPr>
                <w:rFonts w:cs="Arial"/>
                <w:sz w:val="18"/>
                <w:szCs w:val="18"/>
              </w:rPr>
              <w:t>(or part thereof)</w:t>
            </w:r>
          </w:p>
        </w:tc>
        <w:tc>
          <w:tcPr>
            <w:tcW w:w="1124"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160</w:t>
            </w:r>
          </w:p>
        </w:tc>
        <w:tc>
          <w:tcPr>
            <w:tcW w:w="1559" w:type="dxa"/>
            <w:tcBorders>
              <w:bottom w:val="single" w:sz="4" w:space="0" w:color="000000"/>
            </w:tcBorders>
            <w:shd w:val="clear" w:color="auto" w:fill="auto"/>
            <w:vAlign w:val="center"/>
          </w:tcPr>
          <w:p w:rsidR="002C4B48" w:rsidRPr="002C4B48" w:rsidRDefault="002C4B48" w:rsidP="002C4B48">
            <w:pPr>
              <w:spacing w:after="0"/>
              <w:rPr>
                <w:sz w:val="20"/>
              </w:rPr>
            </w:pPr>
            <w:r w:rsidRPr="002C4B48">
              <w:rPr>
                <w:sz w:val="20"/>
              </w:rPr>
              <w:t>$24 000</w:t>
            </w:r>
          </w:p>
        </w:tc>
      </w:tr>
      <w:tr w:rsidR="002C4B48" w:rsidRPr="002C4B48" w:rsidTr="002C4B48">
        <w:trPr>
          <w:trHeight w:val="680"/>
          <w:jc w:val="center"/>
        </w:trPr>
        <w:tc>
          <w:tcPr>
            <w:tcW w:w="3526" w:type="dxa"/>
            <w:shd w:val="clear" w:color="auto" w:fill="auto"/>
            <w:vAlign w:val="center"/>
          </w:tcPr>
          <w:p w:rsidR="002C4B48" w:rsidRPr="002C4B48" w:rsidRDefault="002C4B48" w:rsidP="002C4B48">
            <w:pPr>
              <w:spacing w:after="0"/>
              <w:rPr>
                <w:sz w:val="20"/>
              </w:rPr>
            </w:pPr>
            <w:r w:rsidRPr="002C4B48">
              <w:rPr>
                <w:sz w:val="20"/>
              </w:rPr>
              <w:lastRenderedPageBreak/>
              <w:t>PEQ husbandry fee—plants</w:t>
            </w:r>
          </w:p>
        </w:tc>
        <w:tc>
          <w:tcPr>
            <w:tcW w:w="992" w:type="dxa"/>
            <w:shd w:val="clear" w:color="auto" w:fill="auto"/>
            <w:vAlign w:val="center"/>
          </w:tcPr>
          <w:p w:rsidR="002C4B48" w:rsidRPr="002C4B48" w:rsidRDefault="002C4B48" w:rsidP="002C4B48">
            <w:pPr>
              <w:spacing w:after="0"/>
              <w:rPr>
                <w:sz w:val="20"/>
              </w:rPr>
            </w:pPr>
            <w:r w:rsidRPr="002C4B48">
              <w:rPr>
                <w:sz w:val="20"/>
              </w:rPr>
              <w:t>Fee</w:t>
            </w:r>
          </w:p>
        </w:tc>
        <w:tc>
          <w:tcPr>
            <w:tcW w:w="1134" w:type="dxa"/>
            <w:shd w:val="clear" w:color="auto" w:fill="auto"/>
            <w:vAlign w:val="center"/>
          </w:tcPr>
          <w:p w:rsidR="002C4B48" w:rsidRPr="002C4B48" w:rsidRDefault="002C4B48" w:rsidP="002C4B48">
            <w:pPr>
              <w:spacing w:after="0"/>
              <w:rPr>
                <w:sz w:val="20"/>
              </w:rPr>
            </w:pPr>
            <w:r w:rsidRPr="002C4B48">
              <w:rPr>
                <w:sz w:val="20"/>
              </w:rPr>
              <w:t>$15</w:t>
            </w:r>
          </w:p>
        </w:tc>
        <w:tc>
          <w:tcPr>
            <w:tcW w:w="1853" w:type="dxa"/>
            <w:shd w:val="clear" w:color="auto" w:fill="auto"/>
            <w:vAlign w:val="center"/>
          </w:tcPr>
          <w:p w:rsidR="002C4B48" w:rsidRPr="002C4B48" w:rsidRDefault="002C4B48" w:rsidP="002C4B48">
            <w:pPr>
              <w:spacing w:after="0"/>
              <w:rPr>
                <w:sz w:val="18"/>
                <w:szCs w:val="18"/>
              </w:rPr>
            </w:pPr>
            <w:r w:rsidRPr="002C4B48">
              <w:rPr>
                <w:sz w:val="20"/>
              </w:rPr>
              <w:t>Per m</w:t>
            </w:r>
            <w:r w:rsidRPr="002C4B48">
              <w:rPr>
                <w:sz w:val="20"/>
                <w:vertAlign w:val="superscript"/>
              </w:rPr>
              <w:t xml:space="preserve">2 </w:t>
            </w:r>
            <w:r w:rsidRPr="002C4B48">
              <w:rPr>
                <w:sz w:val="18"/>
                <w:szCs w:val="18"/>
              </w:rPr>
              <w:t>monthly</w:t>
            </w:r>
            <w:r w:rsidRPr="002C4B48">
              <w:rPr>
                <w:sz w:val="18"/>
                <w:szCs w:val="18"/>
              </w:rPr>
              <w:br/>
            </w:r>
            <w:r w:rsidRPr="002C4B48">
              <w:rPr>
                <w:rFonts w:cs="Arial"/>
                <w:sz w:val="18"/>
                <w:szCs w:val="18"/>
              </w:rPr>
              <w:t>(or part thereof)</w:t>
            </w:r>
          </w:p>
        </w:tc>
        <w:tc>
          <w:tcPr>
            <w:tcW w:w="1124" w:type="dxa"/>
            <w:shd w:val="clear" w:color="auto" w:fill="auto"/>
            <w:vAlign w:val="center"/>
          </w:tcPr>
          <w:p w:rsidR="002C4B48" w:rsidRPr="002C4B48" w:rsidRDefault="002C4B48" w:rsidP="002C4B48">
            <w:pPr>
              <w:spacing w:after="0"/>
              <w:rPr>
                <w:sz w:val="20"/>
              </w:rPr>
            </w:pPr>
            <w:r w:rsidRPr="002C4B48">
              <w:rPr>
                <w:sz w:val="20"/>
              </w:rPr>
              <w:t>16 326</w:t>
            </w:r>
          </w:p>
        </w:tc>
        <w:tc>
          <w:tcPr>
            <w:tcW w:w="1559" w:type="dxa"/>
            <w:shd w:val="clear" w:color="auto" w:fill="auto"/>
            <w:vAlign w:val="center"/>
          </w:tcPr>
          <w:p w:rsidR="002C4B48" w:rsidRPr="002C4B48" w:rsidRDefault="002C4B48" w:rsidP="002C4B48">
            <w:pPr>
              <w:spacing w:after="0"/>
              <w:rPr>
                <w:sz w:val="20"/>
              </w:rPr>
            </w:pPr>
            <w:r w:rsidRPr="002C4B48">
              <w:rPr>
                <w:sz w:val="20"/>
              </w:rPr>
              <w:t>$244 890</w:t>
            </w:r>
          </w:p>
        </w:tc>
      </w:tr>
    </w:tbl>
    <w:p w:rsidR="002C4B48" w:rsidRPr="002C4B48" w:rsidRDefault="002C4B48" w:rsidP="00530A65">
      <w:pPr>
        <w:pStyle w:val="Heading2"/>
      </w:pPr>
      <w:bookmarkStart w:id="116" w:name="_Toc424755483"/>
      <w:bookmarkStart w:id="117" w:name="_Toc433713892"/>
      <w:r w:rsidRPr="002C4B48">
        <w:lastRenderedPageBreak/>
        <w:t>Attachm</w:t>
      </w:r>
      <w:bookmarkStart w:id="118" w:name="_GoBack"/>
      <w:bookmarkEnd w:id="118"/>
      <w:r w:rsidRPr="002C4B48">
        <w:t>ent B—Description of cost model activities</w:t>
      </w:r>
      <w:bookmarkEnd w:id="116"/>
      <w:bookmarkEnd w:id="117"/>
    </w:p>
    <w:p w:rsidR="002C4B48" w:rsidRPr="002C4B48" w:rsidRDefault="002C4B48" w:rsidP="002C4B48">
      <w:r w:rsidRPr="002C4B48">
        <w:t xml:space="preserve">Four broad categories of activities </w:t>
      </w:r>
      <w:proofErr w:type="gramStart"/>
      <w:r w:rsidRPr="002C4B48">
        <w:t>are undertaken</w:t>
      </w:r>
      <w:proofErr w:type="gramEnd"/>
      <w:r w:rsidRPr="002C4B48">
        <w:t xml:space="preserve"> in the cost model for the biosecurity cost recovery arrangements.</w:t>
      </w:r>
    </w:p>
    <w:p w:rsidR="002C4B48" w:rsidRPr="002C4B48" w:rsidRDefault="002C4B48" w:rsidP="002C4B48">
      <w:pPr>
        <w:spacing w:before="360" w:after="120"/>
        <w:ind w:left="794" w:hanging="794"/>
        <w:outlineLvl w:val="2"/>
        <w:rPr>
          <w:b/>
          <w:sz w:val="32"/>
          <w:szCs w:val="20"/>
          <w:lang w:val="x-none"/>
        </w:rPr>
      </w:pPr>
      <w:bookmarkStart w:id="119" w:name="_Toc424755484"/>
      <w:bookmarkStart w:id="120" w:name="_Toc433713893"/>
      <w:r w:rsidRPr="002C4B48">
        <w:rPr>
          <w:b/>
          <w:sz w:val="32"/>
          <w:szCs w:val="20"/>
          <w:lang w:val="x-none"/>
        </w:rPr>
        <w:t>Intervention activities</w:t>
      </w:r>
      <w:bookmarkEnd w:id="119"/>
      <w:bookmarkEnd w:id="120"/>
    </w:p>
    <w:p w:rsidR="002C4B48" w:rsidRPr="002C4B48" w:rsidRDefault="002C4B48" w:rsidP="002C4B48">
      <w:pPr>
        <w:rPr>
          <w:b/>
        </w:rPr>
      </w:pPr>
      <w:r w:rsidRPr="002C4B48">
        <w:rPr>
          <w:b/>
        </w:rPr>
        <w:t>Assessment</w:t>
      </w:r>
      <w:r w:rsidRPr="002C4B48">
        <w:t>—involves assessing information to determine if it meets the department’s requirements. This includes the assessment of import related documentation for cargo, vessels, plants, animals, food, biological and genetic material, including administration of applications.</w:t>
      </w:r>
    </w:p>
    <w:p w:rsidR="002C4B48" w:rsidRPr="002C4B48" w:rsidRDefault="002C4B48" w:rsidP="002C4B48">
      <w:pPr>
        <w:rPr>
          <w:b/>
          <w:szCs w:val="24"/>
        </w:rPr>
      </w:pPr>
      <w:r w:rsidRPr="002C4B48">
        <w:rPr>
          <w:b/>
          <w:szCs w:val="24"/>
        </w:rPr>
        <w:t>Issue approvals/certification</w:t>
      </w:r>
      <w:r w:rsidRPr="002C4B48">
        <w:rPr>
          <w:szCs w:val="24"/>
        </w:rPr>
        <w:t>—includes issuing of a decision in relation to an assessment for cargo, vessels, plants, animals, food, biological and genetic material. This includes the work from the end of the assessment period to the completion of the decision notification process.</w:t>
      </w:r>
    </w:p>
    <w:p w:rsidR="002C4B48" w:rsidRPr="002C4B48" w:rsidRDefault="002C4B48" w:rsidP="002C4B48">
      <w:r w:rsidRPr="002C4B48">
        <w:rPr>
          <w:b/>
          <w:szCs w:val="24"/>
        </w:rPr>
        <w:t>Inspections</w:t>
      </w:r>
      <w:r w:rsidRPr="002C4B48">
        <w:t xml:space="preserve">—includes the physical examination (and supervision of a physical examination) of </w:t>
      </w:r>
      <w:r w:rsidRPr="002C4B48">
        <w:rPr>
          <w:szCs w:val="24"/>
        </w:rPr>
        <w:t>cargo, vessels, plants, animals, food, biological and genetic material</w:t>
      </w:r>
      <w:r w:rsidRPr="002C4B48">
        <w:t xml:space="preserve"> to determine compliance with biosecurity and food safety requirements. Inspections also include activities related to post-quarantine detections of biosecurity risk goods.</w:t>
      </w:r>
    </w:p>
    <w:p w:rsidR="002C4B48" w:rsidRPr="002C4B48" w:rsidRDefault="002C4B48" w:rsidP="002C4B48">
      <w:r w:rsidRPr="002C4B48">
        <w:rPr>
          <w:b/>
          <w:szCs w:val="24"/>
        </w:rPr>
        <w:t>Treatments</w:t>
      </w:r>
      <w:r w:rsidRPr="002C4B48">
        <w:t xml:space="preserve">—includes the physical treatment of </w:t>
      </w:r>
      <w:r w:rsidRPr="002C4B48">
        <w:rPr>
          <w:szCs w:val="24"/>
        </w:rPr>
        <w:t>cargo, vessels, plants, animals, food, biological and genetic material</w:t>
      </w:r>
      <w:r w:rsidRPr="002C4B48">
        <w:t>, other conveyances or premises to prevent an adverse biosecurity outcome from occurring.</w:t>
      </w:r>
    </w:p>
    <w:p w:rsidR="002C4B48" w:rsidRPr="002C4B48" w:rsidRDefault="002C4B48" w:rsidP="002C4B48">
      <w:r w:rsidRPr="002C4B48">
        <w:rPr>
          <w:b/>
          <w:szCs w:val="24"/>
        </w:rPr>
        <w:t>Husbandry</w:t>
      </w:r>
      <w:r w:rsidRPr="002C4B48">
        <w:t>—includes activities relating to the care of plants and animals that the department is responsible for, including transport of plants and animals, housing, daily monitoring, feeding, cleaning of facilities, administering of medication, bookings and client assistance.</w:t>
      </w:r>
    </w:p>
    <w:p w:rsidR="002C4B48" w:rsidRPr="002C4B48" w:rsidRDefault="002C4B48" w:rsidP="002C4B48">
      <w:pPr>
        <w:rPr>
          <w:b/>
          <w:szCs w:val="24"/>
        </w:rPr>
      </w:pPr>
      <w:r w:rsidRPr="002C4B48">
        <w:rPr>
          <w:b/>
          <w:szCs w:val="24"/>
        </w:rPr>
        <w:lastRenderedPageBreak/>
        <w:t>Audit</w:t>
      </w:r>
      <w:r w:rsidRPr="002C4B48">
        <w:rPr>
          <w:szCs w:val="24"/>
        </w:rPr>
        <w:t xml:space="preserve">—includes the systematic and functionally independent examination of industry systems and processes to determine whether activities and related results comply with legislative or documented requirements. This includes desktop audits, site audits (including travel), </w:t>
      </w:r>
      <w:proofErr w:type="gramStart"/>
      <w:r w:rsidRPr="002C4B48">
        <w:rPr>
          <w:szCs w:val="24"/>
        </w:rPr>
        <w:t>reviews</w:t>
      </w:r>
      <w:proofErr w:type="gramEnd"/>
      <w:r w:rsidRPr="002C4B48">
        <w:rPr>
          <w:szCs w:val="24"/>
        </w:rPr>
        <w:t xml:space="preserve"> of standard operating procedures for new and existing quarantine approved premises, overseas manufacturing facilities and pre-export quarantine facilities and their procedures.</w:t>
      </w:r>
    </w:p>
    <w:p w:rsidR="002C4B48" w:rsidRPr="002C4B48" w:rsidRDefault="002C4B48" w:rsidP="002C4B48">
      <w:pPr>
        <w:spacing w:before="360" w:after="120"/>
        <w:ind w:left="794" w:hanging="794"/>
        <w:outlineLvl w:val="2"/>
        <w:rPr>
          <w:b/>
          <w:sz w:val="32"/>
          <w:szCs w:val="20"/>
          <w:lang w:val="x-none"/>
        </w:rPr>
      </w:pPr>
      <w:bookmarkStart w:id="121" w:name="_Toc424755485"/>
      <w:bookmarkStart w:id="122" w:name="_Toc433713894"/>
      <w:r w:rsidRPr="002C4B48">
        <w:rPr>
          <w:b/>
          <w:sz w:val="32"/>
          <w:szCs w:val="20"/>
          <w:lang w:val="x-none"/>
        </w:rPr>
        <w:t>Incident management activities</w:t>
      </w:r>
      <w:bookmarkEnd w:id="121"/>
      <w:bookmarkEnd w:id="122"/>
    </w:p>
    <w:p w:rsidR="002C4B48" w:rsidRPr="002C4B48" w:rsidRDefault="002C4B48" w:rsidP="002C4B48">
      <w:r w:rsidRPr="002C4B48">
        <w:rPr>
          <w:b/>
          <w:bCs/>
        </w:rPr>
        <w:t>Incident management</w:t>
      </w:r>
      <w:r w:rsidRPr="002C4B48">
        <w:t xml:space="preserve">—includes the coordination and management of any incident including post border detections and biosecurity and imported food incidents. </w:t>
      </w:r>
      <w:r w:rsidRPr="002C4B48">
        <w:rPr>
          <w:szCs w:val="24"/>
        </w:rPr>
        <w:t>This includes all associated pre and post work, travel and client assistance in relation to an incident. It excludes cost sharing for emergency responses under the formal national disease and pest response arrangements.</w:t>
      </w:r>
    </w:p>
    <w:p w:rsidR="002C4B48" w:rsidRPr="002C4B48" w:rsidRDefault="002C4B48" w:rsidP="002C4B48">
      <w:r w:rsidRPr="002C4B48">
        <w:rPr>
          <w:b/>
          <w:bCs/>
        </w:rPr>
        <w:t>Investigation support</w:t>
      </w:r>
      <w:r w:rsidRPr="002C4B48">
        <w:t xml:space="preserve">—involves providing </w:t>
      </w:r>
      <w:r w:rsidRPr="002C4B48">
        <w:rPr>
          <w:szCs w:val="24"/>
        </w:rPr>
        <w:t>support for enforcement activities relating to an alleged breach of portfolio legislation, including any related client assistance and travel. It does not include the work of the enforcement officers. Examples of investigation support include</w:t>
      </w:r>
      <w:r w:rsidRPr="002C4B48">
        <w:t xml:space="preserve"> data extraction and analysis to support an investigation.</w:t>
      </w:r>
    </w:p>
    <w:p w:rsidR="002C4B48" w:rsidRPr="002C4B48" w:rsidRDefault="002C4B48" w:rsidP="002C4B48">
      <w:r w:rsidRPr="002C4B48">
        <w:rPr>
          <w:b/>
          <w:bCs/>
        </w:rPr>
        <w:t>Corrective action</w:t>
      </w:r>
      <w:r w:rsidRPr="002C4B48">
        <w:t xml:space="preserve">—includes </w:t>
      </w:r>
      <w:r w:rsidRPr="002C4B48">
        <w:rPr>
          <w:szCs w:val="24"/>
        </w:rPr>
        <w:t xml:space="preserve">actions taken in response to non-compliance or contravention of legislation or procedures that </w:t>
      </w:r>
      <w:proofErr w:type="gramStart"/>
      <w:r w:rsidRPr="002C4B48">
        <w:rPr>
          <w:szCs w:val="24"/>
        </w:rPr>
        <w:t>are managed</w:t>
      </w:r>
      <w:proofErr w:type="gramEnd"/>
      <w:r w:rsidRPr="002C4B48">
        <w:rPr>
          <w:szCs w:val="24"/>
        </w:rPr>
        <w:t xml:space="preserve"> without a formal investigation by an Enforcement officer. Corrective action activities includes a</w:t>
      </w:r>
      <w:r w:rsidRPr="002C4B48">
        <w:t xml:space="preserve">dvice and support to operational staff and clients on the management of non-compliance and the development of options </w:t>
      </w:r>
      <w:proofErr w:type="gramStart"/>
      <w:r w:rsidRPr="002C4B48">
        <w:t>to effectively manage</w:t>
      </w:r>
      <w:proofErr w:type="gramEnd"/>
      <w:r w:rsidRPr="002C4B48">
        <w:t xml:space="preserve"> the risk.</w:t>
      </w:r>
    </w:p>
    <w:p w:rsidR="002C4B48" w:rsidRPr="002C4B48" w:rsidRDefault="002C4B48" w:rsidP="002C4B48">
      <w:pPr>
        <w:spacing w:before="360" w:after="120"/>
        <w:ind w:left="794" w:hanging="794"/>
        <w:outlineLvl w:val="2"/>
        <w:rPr>
          <w:b/>
          <w:sz w:val="32"/>
          <w:szCs w:val="20"/>
          <w:lang w:val="x-none"/>
        </w:rPr>
      </w:pPr>
      <w:bookmarkStart w:id="123" w:name="_Toc424755486"/>
      <w:bookmarkStart w:id="124" w:name="_Toc433713895"/>
      <w:r w:rsidRPr="002C4B48">
        <w:rPr>
          <w:b/>
          <w:sz w:val="32"/>
          <w:szCs w:val="20"/>
          <w:lang w:val="x-none"/>
        </w:rPr>
        <w:t>Assurance activities</w:t>
      </w:r>
      <w:bookmarkEnd w:id="123"/>
      <w:bookmarkEnd w:id="124"/>
    </w:p>
    <w:p w:rsidR="002C4B48" w:rsidRPr="002C4B48" w:rsidRDefault="002C4B48" w:rsidP="002C4B48">
      <w:pPr>
        <w:rPr>
          <w:b/>
          <w:szCs w:val="24"/>
        </w:rPr>
      </w:pPr>
      <w:r w:rsidRPr="002C4B48">
        <w:rPr>
          <w:b/>
          <w:bCs/>
        </w:rPr>
        <w:t>Risk management</w:t>
      </w:r>
      <w:r w:rsidRPr="002C4B48">
        <w:t xml:space="preserve">—involves </w:t>
      </w:r>
      <w:r w:rsidRPr="002C4B48">
        <w:rPr>
          <w:szCs w:val="24"/>
        </w:rPr>
        <w:t>assessing and managing the risks posed to Australia’s biosecurity and imported food systems. This includes communicating results of risk analysis, modelling and forecasting to operational areas and the collection, receipt and use of data, infor</w:t>
      </w:r>
      <w:r w:rsidRPr="002C4B48">
        <w:rPr>
          <w:szCs w:val="24"/>
        </w:rPr>
        <w:lastRenderedPageBreak/>
        <w:t>mation and intelligence to meet the department’s compliance objectives. This work also includes any associated travel and client assistance work. This includes assessment of</w:t>
      </w:r>
      <w:r w:rsidRPr="002C4B48">
        <w:t xml:space="preserve"> risks associated with </w:t>
      </w:r>
      <w:r w:rsidRPr="002C4B48">
        <w:rPr>
          <w:szCs w:val="24"/>
        </w:rPr>
        <w:t>cargo, vessels, plants, animals, food, biological and genetic material</w:t>
      </w:r>
      <w:r w:rsidRPr="002C4B48">
        <w:t>.</w:t>
      </w:r>
    </w:p>
    <w:p w:rsidR="002C4B48" w:rsidRPr="002C4B48" w:rsidRDefault="002C4B48" w:rsidP="002C4B48">
      <w:pPr>
        <w:rPr>
          <w:szCs w:val="24"/>
        </w:rPr>
      </w:pPr>
      <w:r w:rsidRPr="002C4B48">
        <w:rPr>
          <w:b/>
          <w:bCs/>
        </w:rPr>
        <w:t>Verification</w:t>
      </w:r>
      <w:r w:rsidRPr="002C4B48">
        <w:t xml:space="preserve">—includes </w:t>
      </w:r>
      <w:r w:rsidRPr="002C4B48">
        <w:rPr>
          <w:szCs w:val="24"/>
        </w:rPr>
        <w:t>activities that provide departmental executive and stakeholders with confidence that the department’s systems and processes are operating in accordance with their intended design and associated documentation. For example, internal quality assurance systems and verification activities to ensure officers are following procedures, processes or instructional material and are making appropriate decisions.</w:t>
      </w:r>
    </w:p>
    <w:p w:rsidR="002C4B48" w:rsidRPr="002C4B48" w:rsidRDefault="002C4B48" w:rsidP="002C4B48">
      <w:r w:rsidRPr="002C4B48">
        <w:rPr>
          <w:b/>
          <w:bCs/>
        </w:rPr>
        <w:t>Surveillance</w:t>
      </w:r>
      <w:r w:rsidRPr="002C4B48">
        <w:t xml:space="preserve">—includes formal and informal monitoring to detect changes in Australia’s pest or disease status, or the presence of food safety </w:t>
      </w:r>
      <w:proofErr w:type="gramStart"/>
      <w:r w:rsidRPr="002C4B48">
        <w:t>concerns which</w:t>
      </w:r>
      <w:proofErr w:type="gramEnd"/>
      <w:r w:rsidRPr="002C4B48">
        <w:t xml:space="preserve"> may affect imports and onshore production. Surveillance differs from an </w:t>
      </w:r>
      <w:proofErr w:type="gramStart"/>
      <w:r w:rsidRPr="002C4B48">
        <w:t>inspection</w:t>
      </w:r>
      <w:proofErr w:type="gramEnd"/>
      <w:r w:rsidRPr="002C4B48">
        <w:t xml:space="preserve"> as it is not done for a specific client.</w:t>
      </w:r>
    </w:p>
    <w:p w:rsidR="002C4B48" w:rsidRPr="002C4B48" w:rsidRDefault="002C4B48" w:rsidP="002C4B48">
      <w:r w:rsidRPr="002C4B48">
        <w:t>It includes all pre and post work, travel and client assistance in relation to surveillance. Examples include deploying detector dogs, wharf surveillance, vector monitoring at proclaimed ports, new car surveillance, break bulk surveillance, monitoring the entry of exotic pests, weeds and disease across passenger and cargo pathways, monitoring of animal welfare issues and monitoring for microbiological or chemical hazards in food.</w:t>
      </w:r>
    </w:p>
    <w:p w:rsidR="002C4B48" w:rsidRPr="002C4B48" w:rsidRDefault="002C4B48" w:rsidP="002C4B48">
      <w:pPr>
        <w:spacing w:before="360" w:after="120"/>
        <w:ind w:left="794" w:hanging="794"/>
        <w:outlineLvl w:val="2"/>
        <w:rPr>
          <w:b/>
          <w:sz w:val="32"/>
          <w:szCs w:val="20"/>
          <w:lang w:val="x-none"/>
        </w:rPr>
      </w:pPr>
      <w:bookmarkStart w:id="125" w:name="_Toc424755487"/>
      <w:bookmarkStart w:id="126" w:name="_Toc433713896"/>
      <w:r w:rsidRPr="002C4B48">
        <w:rPr>
          <w:b/>
          <w:sz w:val="32"/>
          <w:szCs w:val="20"/>
          <w:lang w:val="x-none"/>
        </w:rPr>
        <w:t>Programme management and administration activities</w:t>
      </w:r>
      <w:bookmarkEnd w:id="125"/>
      <w:bookmarkEnd w:id="126"/>
    </w:p>
    <w:p w:rsidR="002C4B48" w:rsidRPr="002C4B48" w:rsidRDefault="002C4B48" w:rsidP="002C4B48">
      <w:pPr>
        <w:spacing w:after="120"/>
        <w:rPr>
          <w:szCs w:val="24"/>
        </w:rPr>
      </w:pPr>
      <w:r w:rsidRPr="002C4B48">
        <w:rPr>
          <w:b/>
          <w:bCs/>
        </w:rPr>
        <w:t>Workforce and business management</w:t>
      </w:r>
      <w:r w:rsidRPr="002C4B48">
        <w:t>—</w:t>
      </w:r>
      <w:r w:rsidRPr="002C4B48">
        <w:rPr>
          <w:szCs w:val="24"/>
        </w:rPr>
        <w:t xml:space="preserve"> this activity has four categories:</w:t>
      </w:r>
    </w:p>
    <w:p w:rsidR="002C4B48" w:rsidRPr="002C4B48" w:rsidRDefault="002C4B48" w:rsidP="002C4B48">
      <w:pPr>
        <w:numPr>
          <w:ilvl w:val="0"/>
          <w:numId w:val="2"/>
        </w:numPr>
        <w:spacing w:before="120" w:after="120"/>
      </w:pPr>
      <w:r w:rsidRPr="002C4B48">
        <w:rPr>
          <w:i/>
        </w:rPr>
        <w:t>Workforce management</w:t>
      </w:r>
      <w:r w:rsidRPr="002C4B48">
        <w:t xml:space="preserve"> activities include staff supervision, allocating workforce resources, managing employee performance, leave, training and other conditions, managing Work, Health and Safety requirements, recruitment and termination.</w:t>
      </w:r>
    </w:p>
    <w:p w:rsidR="002C4B48" w:rsidRPr="002C4B48" w:rsidRDefault="002C4B48" w:rsidP="002C4B48">
      <w:pPr>
        <w:numPr>
          <w:ilvl w:val="0"/>
          <w:numId w:val="2"/>
        </w:numPr>
        <w:spacing w:before="120" w:after="120"/>
      </w:pPr>
      <w:r w:rsidRPr="002C4B48">
        <w:rPr>
          <w:i/>
        </w:rPr>
        <w:lastRenderedPageBreak/>
        <w:t>Business management activities</w:t>
      </w:r>
      <w:r w:rsidRPr="002C4B48">
        <w:t xml:space="preserve"> include business planning and continuity; requesting legal advice; procurement and contracts; programme and project administration, design and management; management of fixtures, facilities, equipment, supplies and logistics.</w:t>
      </w:r>
    </w:p>
    <w:p w:rsidR="002C4B48" w:rsidRPr="002C4B48" w:rsidRDefault="002C4B48" w:rsidP="002C4B48">
      <w:pPr>
        <w:numPr>
          <w:ilvl w:val="0"/>
          <w:numId w:val="2"/>
        </w:numPr>
        <w:spacing w:before="120" w:after="120"/>
      </w:pPr>
      <w:r w:rsidRPr="002C4B48">
        <w:rPr>
          <w:i/>
        </w:rPr>
        <w:t>Financial management</w:t>
      </w:r>
      <w:r w:rsidRPr="002C4B48">
        <w:t xml:space="preserve"> activities include billing and accounting, budgeting, charges and payments, collections and receivables, debt management, financial accounts, reporting and policy development.</w:t>
      </w:r>
    </w:p>
    <w:p w:rsidR="002C4B48" w:rsidRPr="002C4B48" w:rsidRDefault="002C4B48" w:rsidP="002C4B48">
      <w:pPr>
        <w:numPr>
          <w:ilvl w:val="0"/>
          <w:numId w:val="2"/>
        </w:numPr>
        <w:spacing w:before="120" w:after="120"/>
      </w:pPr>
      <w:r w:rsidRPr="002C4B48">
        <w:rPr>
          <w:i/>
        </w:rPr>
        <w:t>Information management</w:t>
      </w:r>
      <w:r w:rsidRPr="002C4B48">
        <w:t xml:space="preserve"> activities such as data management, information and records management, and information sharing and collaboration.</w:t>
      </w:r>
    </w:p>
    <w:p w:rsidR="002C4B48" w:rsidRPr="002C4B48" w:rsidRDefault="002C4B48" w:rsidP="002C4B48">
      <w:pPr>
        <w:rPr>
          <w:szCs w:val="24"/>
        </w:rPr>
      </w:pPr>
      <w:r w:rsidRPr="002C4B48">
        <w:rPr>
          <w:b/>
          <w:bCs/>
        </w:rPr>
        <w:t>Business systems administration</w:t>
      </w:r>
      <w:r w:rsidRPr="002C4B48">
        <w:t xml:space="preserve">—includes </w:t>
      </w:r>
      <w:r w:rsidRPr="002C4B48">
        <w:rPr>
          <w:szCs w:val="24"/>
        </w:rPr>
        <w:t>developing, acquiring, testing, implementing and supporting applications and business systems. This includes technical support and maintenance of all business systems including information and communications technology.</w:t>
      </w:r>
    </w:p>
    <w:p w:rsidR="002C4B48" w:rsidRPr="002C4B48" w:rsidRDefault="002C4B48" w:rsidP="002C4B48">
      <w:pPr>
        <w:rPr>
          <w:szCs w:val="24"/>
        </w:rPr>
      </w:pPr>
      <w:r w:rsidRPr="002C4B48">
        <w:rPr>
          <w:b/>
          <w:bCs/>
        </w:rPr>
        <w:t>Stakeholder engagement</w:t>
      </w:r>
      <w:r w:rsidRPr="002C4B48">
        <w:t xml:space="preserve">—involves </w:t>
      </w:r>
      <w:r w:rsidRPr="002C4B48">
        <w:rPr>
          <w:szCs w:val="24"/>
        </w:rPr>
        <w:t>proactive engagement with any person, business, or organisation including any associated travel. This includes, engaging with peak industry bodies, secretariat support and attendance at industry consultative committee meetings, consultation on new standards and requirements, publishing website content and other information.</w:t>
      </w:r>
    </w:p>
    <w:p w:rsidR="002C4B48" w:rsidRPr="002C4B48" w:rsidRDefault="002C4B48" w:rsidP="002C4B48">
      <w:pPr>
        <w:rPr>
          <w:b/>
          <w:bCs/>
          <w:szCs w:val="24"/>
        </w:rPr>
      </w:pPr>
      <w:r w:rsidRPr="002C4B48">
        <w:rPr>
          <w:b/>
          <w:bCs/>
        </w:rPr>
        <w:t>Policy and instructional material</w:t>
      </w:r>
      <w:r w:rsidRPr="002C4B48">
        <w:rPr>
          <w:bCs/>
          <w:szCs w:val="24"/>
        </w:rPr>
        <w:t>—includes developing, maintaining and communicating the department’s policy and instructional material, such as operational and corporate policies, scientific advice, departmental guidelines and work instructions, and associated training development and delivery.</w:t>
      </w:r>
    </w:p>
    <w:p w:rsidR="002C4B48" w:rsidRPr="002C4B48" w:rsidRDefault="002C4B48" w:rsidP="002C4B48">
      <w:r w:rsidRPr="002C4B48">
        <w:rPr>
          <w:b/>
          <w:bCs/>
        </w:rPr>
        <w:t>Business improvement</w:t>
      </w:r>
      <w:r w:rsidRPr="002C4B48">
        <w:rPr>
          <w:bCs/>
          <w:szCs w:val="24"/>
        </w:rPr>
        <w:t>—includes assessment, monitoring and management of business performance and business improvement activities. Examples include adjustments to improve programme and service delivery, business performance reports against KPIs and similar activities.</w:t>
      </w:r>
    </w:p>
    <w:p w:rsidR="000250FC" w:rsidRPr="002C4B48" w:rsidRDefault="000250FC" w:rsidP="002C4B48"/>
    <w:sectPr w:rsidR="000250FC" w:rsidRPr="002C4B48" w:rsidSect="00DD7CA6">
      <w:headerReference w:type="first" r:id="rId36"/>
      <w:pgSz w:w="11906" w:h="16838"/>
      <w:pgMar w:top="1276" w:right="1418" w:bottom="1276" w:left="1418" w:header="567" w:footer="37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570" w:rsidRDefault="006B2570">
      <w:r>
        <w:separator/>
      </w:r>
    </w:p>
  </w:endnote>
  <w:endnote w:type="continuationSeparator" w:id="0">
    <w:p w:rsidR="006B2570" w:rsidRDefault="006B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928904"/>
      <w:docPartObj>
        <w:docPartGallery w:val="Page Numbers (Bottom of Page)"/>
        <w:docPartUnique/>
      </w:docPartObj>
    </w:sdtPr>
    <w:sdtEndPr>
      <w:rPr>
        <w:noProof/>
      </w:rPr>
    </w:sdtEndPr>
    <w:sdtContent>
      <w:p w:rsidR="002C4B48" w:rsidRDefault="002C4B48" w:rsidP="002C4B48">
        <w:pPr>
          <w:pStyle w:val="Footer"/>
        </w:pPr>
        <w:r>
          <w:rPr>
            <w:lang w:val="en-AU"/>
          </w:rPr>
          <w:t xml:space="preserve">Department of Agriculture and Water Resources  </w:t>
        </w:r>
        <w:r w:rsidR="00115781">
          <w:rPr>
            <w:lang w:val="en-AU"/>
          </w:rPr>
          <w:t xml:space="preserve">                                             </w:t>
        </w:r>
        <w:r>
          <w:rPr>
            <w:lang w:val="en-AU"/>
          </w:rPr>
          <w:t xml:space="preserve">                                                              </w:t>
        </w:r>
        <w:r>
          <w:t xml:space="preserve"> </w:t>
        </w:r>
        <w:r>
          <w:fldChar w:fldCharType="begin"/>
        </w:r>
        <w:r>
          <w:instrText xml:space="preserve"> PAGE   \* MERGEFORMAT </w:instrText>
        </w:r>
        <w:r>
          <w:fldChar w:fldCharType="separate"/>
        </w:r>
        <w:r w:rsidR="00CF2C84">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48" w:rsidRPr="00B432AB" w:rsidRDefault="002C4B48" w:rsidP="002C4B48">
    <w:pPr>
      <w:pStyle w:val="Footer"/>
      <w:jc w:val="right"/>
      <w:rPr>
        <w:vanish/>
        <w:sz w:val="22"/>
        <w:szCs w:val="22"/>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570" w:rsidRDefault="006B2570">
      <w:r>
        <w:separator/>
      </w:r>
    </w:p>
  </w:footnote>
  <w:footnote w:type="continuationSeparator" w:id="0">
    <w:p w:rsidR="006B2570" w:rsidRDefault="006B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48" w:rsidRDefault="002C4B48">
    <w:pPr>
      <w:pStyle w:val="Header"/>
    </w:pPr>
    <w:r>
      <w:t>Cost Recovery I</w:t>
    </w:r>
    <w:r w:rsidRPr="00066EC8">
      <w:t>mplementation</w:t>
    </w:r>
    <w:r>
      <w:t xml:space="preserve"> Statement: Biosecurity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B48" w:rsidRDefault="002C4B48">
    <w:pPr>
      <w:pStyle w:val="Header"/>
    </w:pPr>
    <w:r>
      <w:rPr>
        <w:noProof/>
        <w:lang w:eastAsia="en-AU"/>
      </w:rPr>
      <w:drawing>
        <wp:inline distT="0" distB="0" distL="0" distR="0" wp14:anchorId="2C53342F" wp14:editId="0F05B91B">
          <wp:extent cx="3556000" cy="736600"/>
          <wp:effectExtent l="0" t="0" r="0" b="0"/>
          <wp:docPr id="14" name="Picture 14"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R_Master Brandmark_Strip_trans-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000" cy="7366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570" w:rsidRDefault="006B2570" w:rsidP="00DD7CA6">
    <w:pPr>
      <w:pStyle w:val="Header"/>
    </w:pPr>
    <w:r>
      <w:t>Cost Recovery I</w:t>
    </w:r>
    <w:r w:rsidRPr="00066EC8">
      <w:t>mplementation</w:t>
    </w:r>
    <w:r>
      <w:t xml:space="preserve"> Statement: Biosecurity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EB667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11DA2690"/>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D80FD2"/>
    <w:multiLevelType w:val="hybridMultilevel"/>
    <w:tmpl w:val="4506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00E7D"/>
    <w:multiLevelType w:val="multilevel"/>
    <w:tmpl w:val="4E5A2D8C"/>
    <w:styleLink w:val="numberedlist"/>
    <w:lvl w:ilvl="0">
      <w:start w:val="1"/>
      <w:numFmt w:val="decimal"/>
      <w:lvlText w:val="%1."/>
      <w:lvlJc w:val="left"/>
      <w:pPr>
        <w:ind w:left="567" w:hanging="567"/>
      </w:pPr>
      <w:rPr>
        <w:rFonts w:ascii="Arial" w:hAnsi="Arial" w:hint="default"/>
        <w:sz w:val="22"/>
      </w:rPr>
    </w:lvl>
    <w:lvl w:ilvl="1">
      <w:start w:val="1"/>
      <w:numFmt w:val="lowerLetter"/>
      <w:pStyle w:val="ListNumber2"/>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none"/>
      <w:lvlText w:val="%4"/>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06AA694C"/>
    <w:multiLevelType w:val="multilevel"/>
    <w:tmpl w:val="FB883D64"/>
    <w:styleLink w:val="headinglist"/>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5" w15:restartNumberingAfterBreak="0">
    <w:nsid w:val="0D1D370D"/>
    <w:multiLevelType w:val="hybridMultilevel"/>
    <w:tmpl w:val="541C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E7DF2"/>
    <w:multiLevelType w:val="multilevel"/>
    <w:tmpl w:val="FB883D64"/>
    <w:numStyleLink w:val="headinglist"/>
  </w:abstractNum>
  <w:abstractNum w:abstractNumId="7" w15:restartNumberingAfterBreak="0">
    <w:nsid w:val="18B214EE"/>
    <w:multiLevelType w:val="multilevel"/>
    <w:tmpl w:val="0EECD10A"/>
    <w:styleLink w:val="Bulletlist0"/>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8" w15:restartNumberingAfterBreak="0">
    <w:nsid w:val="1CED5D62"/>
    <w:multiLevelType w:val="multilevel"/>
    <w:tmpl w:val="A634B388"/>
    <w:styleLink w:val="listheading"/>
    <w:lvl w:ilvl="0">
      <w:start w:val="1"/>
      <w:numFmt w:val="decimal"/>
      <w:pStyle w:val="Heading2"/>
      <w:lvlText w:val="%1"/>
      <w:lvlJc w:val="left"/>
      <w:pPr>
        <w:ind w:left="794" w:hanging="794"/>
      </w:pPr>
      <w:rPr>
        <w:rFonts w:hint="default"/>
      </w:rPr>
    </w:lvl>
    <w:lvl w:ilvl="1">
      <w:start w:val="1"/>
      <w:numFmt w:val="decimal"/>
      <w:pStyle w:val="Heading3"/>
      <w:lvlText w:val="%1.%2"/>
      <w:lvlJc w:val="left"/>
      <w:pPr>
        <w:ind w:left="794" w:hanging="794"/>
      </w:pPr>
      <w:rPr>
        <w:rFonts w:hint="default"/>
      </w:rPr>
    </w:lvl>
    <w:lvl w:ilvl="2">
      <w:start w:val="1"/>
      <w:numFmt w:val="lowerRoman"/>
      <w:lvlText w:val="%3)"/>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lef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left"/>
      <w:pPr>
        <w:ind w:left="794" w:hanging="794"/>
      </w:pPr>
      <w:rPr>
        <w:rFonts w:hint="default"/>
      </w:rPr>
    </w:lvl>
  </w:abstractNum>
  <w:abstractNum w:abstractNumId="9" w15:restartNumberingAfterBreak="0">
    <w:nsid w:val="1F745BC2"/>
    <w:multiLevelType w:val="multilevel"/>
    <w:tmpl w:val="59E891BE"/>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0" w15:restartNumberingAfterBreak="0">
    <w:nsid w:val="26776184"/>
    <w:multiLevelType w:val="hybridMultilevel"/>
    <w:tmpl w:val="A802EE36"/>
    <w:lvl w:ilvl="0" w:tplc="0C09000F">
      <w:start w:val="1"/>
      <w:numFmt w:val="decimal"/>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11" w15:restartNumberingAfterBreak="0">
    <w:nsid w:val="3098052F"/>
    <w:multiLevelType w:val="multilevel"/>
    <w:tmpl w:val="F984DD5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7A6922"/>
    <w:multiLevelType w:val="hybridMultilevel"/>
    <w:tmpl w:val="9A8681D6"/>
    <w:lvl w:ilvl="0" w:tplc="8FF4265C">
      <w:start w:val="1"/>
      <w:numFmt w:val="bullet"/>
      <w:lvlText w:val=""/>
      <w:lvlJc w:val="left"/>
      <w:pPr>
        <w:ind w:left="360" w:hanging="360"/>
      </w:pPr>
      <w:rPr>
        <w:rFonts w:ascii="Symbol" w:hAnsi="Symbol" w:hint="default"/>
      </w:rPr>
    </w:lvl>
    <w:lvl w:ilvl="1" w:tplc="46905E86">
      <w:start w:val="1"/>
      <w:numFmt w:val="bullet"/>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8FA2675"/>
    <w:multiLevelType w:val="multilevel"/>
    <w:tmpl w:val="2CE0E38C"/>
    <w:styleLink w:val="Heading"/>
    <w:lvl w:ilvl="0">
      <w:start w:val="1"/>
      <w:numFmt w:val="decimal"/>
      <w:lvlText w:val="%1."/>
      <w:lvlJc w:val="left"/>
      <w:pPr>
        <w:ind w:left="567" w:hanging="567"/>
      </w:pPr>
      <w:rPr>
        <w:rFonts w:hint="default"/>
      </w:rPr>
    </w:lvl>
    <w:lvl w:ilvl="1">
      <w:start w:val="1"/>
      <w:numFmt w:val="bullet"/>
      <w:lvlText w:val="–"/>
      <w:lvlJc w:val="left"/>
      <w:pPr>
        <w:tabs>
          <w:tab w:val="num" w:pos="851"/>
        </w:tabs>
        <w:ind w:left="567" w:firstLine="0"/>
      </w:pPr>
      <w:rPr>
        <w:rFonts w:ascii="Calibri" w:hAnsi="Calibri" w:hint="default"/>
      </w:rPr>
    </w:lvl>
    <w:lvl w:ilvl="2">
      <w:start w:val="1"/>
      <w:numFmt w:val="bullet"/>
      <w:lvlRestart w:val="0"/>
      <w:lvlText w:val=":"/>
      <w:lvlJc w:val="left"/>
      <w:pPr>
        <w:tabs>
          <w:tab w:val="num" w:pos="340"/>
        </w:tabs>
        <w:ind w:left="851" w:hanging="851"/>
      </w:pPr>
      <w:rPr>
        <w:rFonts w:ascii="Calibri" w:hAnsi="Calibri" w:hint="default"/>
      </w:rPr>
    </w:lvl>
    <w:lvl w:ilvl="3">
      <w:start w:val="1"/>
      <w:numFmt w:val="none"/>
      <w:lvlText w:val="%4"/>
      <w:lvlJc w:val="left"/>
      <w:pPr>
        <w:tabs>
          <w:tab w:val="num" w:pos="340"/>
        </w:tabs>
        <w:ind w:left="851" w:hanging="851"/>
      </w:pPr>
      <w:rPr>
        <w:rFonts w:ascii="Times New Roman" w:hAnsi="Times New Roman" w:hint="default"/>
      </w:rPr>
    </w:lvl>
    <w:lvl w:ilvl="4">
      <w:start w:val="1"/>
      <w:numFmt w:val="none"/>
      <w:lvlText w:val=""/>
      <w:lvlJc w:val="left"/>
      <w:pPr>
        <w:tabs>
          <w:tab w:val="num" w:pos="340"/>
        </w:tabs>
        <w:ind w:left="851" w:hanging="851"/>
      </w:pPr>
      <w:rPr>
        <w:rFonts w:hint="default"/>
      </w:rPr>
    </w:lvl>
    <w:lvl w:ilvl="5">
      <w:start w:val="1"/>
      <w:numFmt w:val="none"/>
      <w:lvlText w:val=""/>
      <w:lvlJc w:val="left"/>
      <w:pPr>
        <w:tabs>
          <w:tab w:val="num" w:pos="340"/>
        </w:tabs>
        <w:ind w:left="851" w:hanging="851"/>
      </w:pPr>
      <w:rPr>
        <w:rFonts w:hint="default"/>
      </w:rPr>
    </w:lvl>
    <w:lvl w:ilvl="6">
      <w:start w:val="1"/>
      <w:numFmt w:val="none"/>
      <w:lvlText w:val=""/>
      <w:lvlJc w:val="left"/>
      <w:pPr>
        <w:tabs>
          <w:tab w:val="num" w:pos="340"/>
        </w:tabs>
        <w:ind w:left="851" w:hanging="851"/>
      </w:pPr>
      <w:rPr>
        <w:rFonts w:hint="default"/>
      </w:rPr>
    </w:lvl>
    <w:lvl w:ilvl="7">
      <w:start w:val="1"/>
      <w:numFmt w:val="none"/>
      <w:lvlText w:val=""/>
      <w:lvlJc w:val="left"/>
      <w:pPr>
        <w:tabs>
          <w:tab w:val="num" w:pos="340"/>
        </w:tabs>
        <w:ind w:left="851" w:hanging="851"/>
      </w:pPr>
      <w:rPr>
        <w:rFonts w:hint="default"/>
      </w:rPr>
    </w:lvl>
    <w:lvl w:ilvl="8">
      <w:start w:val="1"/>
      <w:numFmt w:val="none"/>
      <w:lvlRestart w:val="0"/>
      <w:lvlText w:val=""/>
      <w:lvlJc w:val="left"/>
      <w:pPr>
        <w:tabs>
          <w:tab w:val="num" w:pos="340"/>
        </w:tabs>
        <w:ind w:left="851" w:hanging="851"/>
      </w:pPr>
      <w:rPr>
        <w:rFonts w:hint="default"/>
      </w:rPr>
    </w:lvl>
  </w:abstractNum>
  <w:abstractNum w:abstractNumId="15" w15:restartNumberingAfterBreak="0">
    <w:nsid w:val="65456429"/>
    <w:multiLevelType w:val="multilevel"/>
    <w:tmpl w:val="A6B29914"/>
    <w:lvl w:ilvl="0">
      <w:start w:val="1"/>
      <w:numFmt w:val="decimal"/>
      <w:pStyle w:val="ListNumber"/>
      <w:lvlText w:val="%1."/>
      <w:lvlJc w:val="left"/>
      <w:pPr>
        <w:ind w:left="369" w:hanging="369"/>
      </w:pPr>
      <w:rPr>
        <w:rFonts w:hint="default"/>
        <w:sz w:val="24"/>
        <w:szCs w:val="24"/>
      </w:rPr>
    </w:lvl>
    <w:lvl w:ilvl="1">
      <w:start w:val="1"/>
      <w:numFmt w:val="bullet"/>
      <w:lvlText w:val=""/>
      <w:lvlJc w:val="left"/>
      <w:pPr>
        <w:ind w:left="738" w:hanging="369"/>
      </w:pPr>
      <w:rPr>
        <w:rFonts w:ascii="Symbol" w:hAnsi="Symbol"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6B777603"/>
    <w:multiLevelType w:val="multilevel"/>
    <w:tmpl w:val="A634B388"/>
    <w:numStyleLink w:val="listheading"/>
  </w:abstractNum>
  <w:abstractNum w:abstractNumId="17"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7"/>
  </w:num>
  <w:num w:numId="2">
    <w:abstractNumId w:val="7"/>
  </w:num>
  <w:num w:numId="3">
    <w:abstractNumId w:val="10"/>
  </w:num>
  <w:num w:numId="4">
    <w:abstractNumId w:val="1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1"/>
  </w:num>
  <w:num w:numId="9">
    <w:abstractNumId w:val="12"/>
  </w:num>
  <w:num w:numId="10">
    <w:abstractNumId w:val="1"/>
  </w:num>
  <w:num w:numId="11">
    <w:abstractNumId w:val="7"/>
  </w:num>
  <w:num w:numId="12">
    <w:abstractNumId w:val="14"/>
  </w:num>
  <w:num w:numId="13">
    <w:abstractNumId w:val="4"/>
  </w:num>
  <w:num w:numId="14">
    <w:abstractNumId w:val="7"/>
  </w:num>
  <w:num w:numId="15">
    <w:abstractNumId w:val="9"/>
  </w:num>
  <w:num w:numId="16">
    <w:abstractNumId w:val="8"/>
  </w:num>
  <w:num w:numId="17">
    <w:abstractNumId w:val="15"/>
  </w:num>
  <w:num w:numId="18">
    <w:abstractNumId w:val="3"/>
  </w:num>
  <w:num w:numId="19">
    <w:abstractNumId w:val="6"/>
  </w:num>
  <w:num w:numId="20">
    <w:abstractNumId w:val="16"/>
  </w:num>
  <w:num w:numId="2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AU" w:vendorID="64" w:dllVersion="131078" w:nlCheck="1" w:checkStyle="0"/>
  <w:activeWritingStyle w:appName="MSWord" w:lang="en-US" w:vendorID="64" w:dllVersion="131078" w:nlCheck="1" w:checkStyle="1"/>
  <w:proofState w:spelling="clean" w:grammar="clean"/>
  <w:stylePaneSortMethod w:val="000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3313" style="mso-position-horizontal:center;mso-position-horizontal-relative:page;mso-position-vertical:center;mso-position-vertical-relative:pag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A06E7F"/>
    <w:rsid w:val="000250FC"/>
    <w:rsid w:val="00115781"/>
    <w:rsid w:val="00175657"/>
    <w:rsid w:val="00232235"/>
    <w:rsid w:val="00265EF4"/>
    <w:rsid w:val="002C4B48"/>
    <w:rsid w:val="0030249C"/>
    <w:rsid w:val="00316148"/>
    <w:rsid w:val="003C2CCA"/>
    <w:rsid w:val="00400A4E"/>
    <w:rsid w:val="00427A34"/>
    <w:rsid w:val="00530A65"/>
    <w:rsid w:val="00663725"/>
    <w:rsid w:val="006B2570"/>
    <w:rsid w:val="00755572"/>
    <w:rsid w:val="007C3C92"/>
    <w:rsid w:val="007C5412"/>
    <w:rsid w:val="00852954"/>
    <w:rsid w:val="008579B0"/>
    <w:rsid w:val="008B5D82"/>
    <w:rsid w:val="009639FC"/>
    <w:rsid w:val="00990C2C"/>
    <w:rsid w:val="009C7B08"/>
    <w:rsid w:val="009F5B11"/>
    <w:rsid w:val="00A06E7F"/>
    <w:rsid w:val="00A309C4"/>
    <w:rsid w:val="00AA0670"/>
    <w:rsid w:val="00AE0B8F"/>
    <w:rsid w:val="00BE2559"/>
    <w:rsid w:val="00BF500C"/>
    <w:rsid w:val="00C251C3"/>
    <w:rsid w:val="00C879B2"/>
    <w:rsid w:val="00CF2C84"/>
    <w:rsid w:val="00D31AA4"/>
    <w:rsid w:val="00DC7ACF"/>
    <w:rsid w:val="00DD7CA6"/>
    <w:rsid w:val="00E41A0A"/>
    <w:rsid w:val="00F464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center;mso-position-horizontal-relative:page;mso-position-vertical:center;mso-position-vertical-relative:page" o:allowoverlap="f" fill="f" fillcolor="white" stroke="f">
      <v:fill color="white" on="f"/>
      <v:stroke on="f"/>
    </o:shapedefaults>
    <o:shapelayout v:ext="edit">
      <o:idmap v:ext="edit" data="1"/>
    </o:shapelayout>
  </w:shapeDefaults>
  <w:decimalSymbol w:val="."/>
  <w:listSeparator w:val=","/>
  <w15:chartTrackingRefBased/>
  <w15:docId w15:val="{E9BC6E4C-51D5-4526-BD67-BDE6EC6B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657"/>
    <w:pPr>
      <w:spacing w:after="200"/>
    </w:pPr>
    <w:rPr>
      <w:rFonts w:ascii="Calibri" w:hAnsi="Calibri"/>
      <w:sz w:val="22"/>
      <w:szCs w:val="22"/>
      <w:lang w:eastAsia="en-US"/>
    </w:rPr>
  </w:style>
  <w:style w:type="paragraph" w:styleId="Heading1">
    <w:name w:val="heading 1"/>
    <w:basedOn w:val="Normal"/>
    <w:next w:val="Normal"/>
    <w:link w:val="Heading1Char"/>
    <w:autoRedefine/>
    <w:uiPriority w:val="9"/>
    <w:qFormat/>
    <w:rsid w:val="00530A65"/>
    <w:pPr>
      <w:keepNext/>
      <w:spacing w:before="480" w:after="480"/>
      <w:ind w:left="1276"/>
      <w:outlineLvl w:val="0"/>
    </w:pPr>
    <w:rPr>
      <w:b/>
      <w:sz w:val="44"/>
      <w:szCs w:val="20"/>
      <w:lang w:val="x-none"/>
    </w:rPr>
  </w:style>
  <w:style w:type="paragraph" w:styleId="Heading2">
    <w:name w:val="heading 2"/>
    <w:basedOn w:val="Normal"/>
    <w:next w:val="Normal"/>
    <w:link w:val="Heading2Char"/>
    <w:autoRedefine/>
    <w:uiPriority w:val="9"/>
    <w:qFormat/>
    <w:rsid w:val="00530A65"/>
    <w:pPr>
      <w:pageBreakBefore/>
      <w:numPr>
        <w:numId w:val="20"/>
      </w:numPr>
      <w:spacing w:before="120" w:after="240"/>
      <w:ind w:left="0" w:firstLine="0"/>
      <w:outlineLvl w:val="1"/>
    </w:pPr>
    <w:rPr>
      <w:b/>
      <w:sz w:val="40"/>
      <w:szCs w:val="20"/>
      <w:lang w:val="x-none"/>
    </w:rPr>
  </w:style>
  <w:style w:type="paragraph" w:styleId="Heading3">
    <w:name w:val="heading 3"/>
    <w:basedOn w:val="Normal"/>
    <w:next w:val="Normal"/>
    <w:link w:val="Heading3Char"/>
    <w:uiPriority w:val="9"/>
    <w:qFormat/>
    <w:rsid w:val="00530A65"/>
    <w:pPr>
      <w:numPr>
        <w:ilvl w:val="1"/>
        <w:numId w:val="20"/>
      </w:numPr>
      <w:spacing w:before="360" w:after="120"/>
      <w:outlineLvl w:val="2"/>
    </w:pPr>
    <w:rPr>
      <w:b/>
      <w:sz w:val="32"/>
      <w:szCs w:val="20"/>
      <w:lang w:val="x-none"/>
    </w:rPr>
  </w:style>
  <w:style w:type="paragraph" w:styleId="Heading4">
    <w:name w:val="heading 4"/>
    <w:basedOn w:val="Normal"/>
    <w:next w:val="Normal"/>
    <w:link w:val="Heading4Char"/>
    <w:uiPriority w:val="9"/>
    <w:qFormat/>
    <w:rsid w:val="00175657"/>
    <w:pPr>
      <w:spacing w:before="120" w:after="0"/>
      <w:outlineLvl w:val="3"/>
    </w:pPr>
    <w:rPr>
      <w:b/>
      <w:sz w:val="28"/>
      <w:szCs w:val="20"/>
      <w:lang w:val="x-none"/>
    </w:rPr>
  </w:style>
  <w:style w:type="paragraph" w:styleId="Heading5">
    <w:name w:val="heading 5"/>
    <w:basedOn w:val="Normal"/>
    <w:next w:val="Normal"/>
    <w:link w:val="Heading5Char"/>
    <w:uiPriority w:val="9"/>
    <w:unhideWhenUsed/>
    <w:qFormat/>
    <w:rsid w:val="00175657"/>
    <w:pPr>
      <w:spacing w:before="120" w:after="0"/>
      <w:outlineLvl w:val="4"/>
    </w:pPr>
    <w:rPr>
      <w:rFonts w:eastAsia="Times New Roman"/>
      <w:b/>
      <w:bCs/>
      <w:i/>
      <w:iCs/>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unhideWhenUsed/>
    <w:rsid w:val="00175657"/>
    <w:pPr>
      <w:tabs>
        <w:tab w:val="center" w:pos="4513"/>
        <w:tab w:val="right" w:pos="9026"/>
      </w:tabs>
      <w:spacing w:after="240"/>
    </w:pPr>
    <w:rPr>
      <w:rFonts w:ascii="Calibri" w:hAnsi="Calibri" w:cs="Arial"/>
      <w:color w:val="000000"/>
      <w:lang w:eastAsia="en-US"/>
    </w:rPr>
  </w:style>
  <w:style w:type="character" w:customStyle="1" w:styleId="HeaderChar">
    <w:name w:val="Header Char"/>
    <w:link w:val="Header"/>
    <w:uiPriority w:val="99"/>
    <w:rsid w:val="00175657"/>
    <w:rPr>
      <w:rFonts w:ascii="Calibri" w:hAnsi="Calibri" w:cs="Arial"/>
      <w:color w:val="000000"/>
      <w:lang w:eastAsia="en-US"/>
    </w:rPr>
  </w:style>
  <w:style w:type="paragraph" w:styleId="Footer">
    <w:name w:val="footer"/>
    <w:basedOn w:val="Normal"/>
    <w:link w:val="FooterChar"/>
    <w:uiPriority w:val="99"/>
    <w:unhideWhenUsed/>
    <w:rsid w:val="00175657"/>
    <w:pPr>
      <w:tabs>
        <w:tab w:val="right" w:pos="9026"/>
      </w:tabs>
    </w:pPr>
    <w:rPr>
      <w:sz w:val="20"/>
      <w:szCs w:val="20"/>
      <w:lang w:val="x-none"/>
    </w:rPr>
  </w:style>
  <w:style w:type="character" w:customStyle="1" w:styleId="FooterChar">
    <w:name w:val="Footer Char"/>
    <w:link w:val="Footer"/>
    <w:uiPriority w:val="99"/>
    <w:rsid w:val="00175657"/>
    <w:rPr>
      <w:rFonts w:ascii="Calibri" w:hAnsi="Calibri"/>
      <w:lang w:val="x-none" w:eastAsia="en-US"/>
    </w:rPr>
  </w:style>
  <w:style w:type="paragraph" w:styleId="BalloonText">
    <w:name w:val="Balloon Text"/>
    <w:basedOn w:val="Normal"/>
    <w:link w:val="BalloonTextChar"/>
    <w:uiPriority w:val="99"/>
    <w:semiHidden/>
    <w:unhideWhenUsed/>
    <w:rsid w:val="00175657"/>
    <w:rPr>
      <w:rFonts w:ascii="Tahoma" w:hAnsi="Tahoma"/>
      <w:sz w:val="16"/>
      <w:szCs w:val="16"/>
      <w:lang w:val="x-none" w:eastAsia="x-none"/>
    </w:rPr>
  </w:style>
  <w:style w:type="character" w:customStyle="1" w:styleId="BalloonTextChar">
    <w:name w:val="Balloon Text Char"/>
    <w:link w:val="BalloonText"/>
    <w:uiPriority w:val="99"/>
    <w:semiHidden/>
    <w:rsid w:val="00175657"/>
    <w:rPr>
      <w:rFonts w:ascii="Tahoma" w:hAnsi="Tahoma"/>
      <w:sz w:val="16"/>
      <w:szCs w:val="16"/>
      <w:lang w:val="x-none" w:eastAsia="x-none"/>
    </w:rPr>
  </w:style>
  <w:style w:type="numbering" w:customStyle="1" w:styleId="KeyPoints">
    <w:name w:val="Key Points"/>
    <w:basedOn w:val="NoList"/>
    <w:uiPriority w:val="99"/>
    <w:pPr>
      <w:numPr>
        <w:numId w:val="1"/>
      </w:numPr>
    </w:pPr>
  </w:style>
  <w:style w:type="paragraph" w:customStyle="1" w:styleId="1NumberedPointsStyle">
    <w:name w:val="1. Numbered Points Style"/>
    <w:basedOn w:val="ListParagraph"/>
    <w:uiPriority w:val="99"/>
    <w:semiHidden/>
    <w:rsid w:val="00175657"/>
    <w:pPr>
      <w:numPr>
        <w:numId w:val="0"/>
      </w:numPr>
    </w:pPr>
  </w:style>
  <w:style w:type="numbering" w:customStyle="1" w:styleId="BulletList">
    <w:name w:val="Bullet List"/>
    <w:uiPriority w:val="99"/>
    <w:rsid w:val="00175657"/>
    <w:pPr>
      <w:numPr>
        <w:numId w:val="10"/>
      </w:numPr>
    </w:pPr>
  </w:style>
  <w:style w:type="paragraph" w:customStyle="1" w:styleId="1BulletStyleList">
    <w:name w:val="1. Bullet Style List"/>
    <w:basedOn w:val="Normal"/>
    <w:uiPriority w:val="99"/>
    <w:semiHidden/>
    <w:rsid w:val="00175657"/>
    <w:rPr>
      <w:rFonts w:eastAsia="Times New Roman"/>
      <w:szCs w:val="20"/>
      <w:lang w:eastAsia="en-AU"/>
    </w:rPr>
  </w:style>
  <w:style w:type="character" w:customStyle="1" w:styleId="Heading1Char">
    <w:name w:val="Heading 1 Char"/>
    <w:link w:val="Heading1"/>
    <w:uiPriority w:val="9"/>
    <w:rsid w:val="00530A65"/>
    <w:rPr>
      <w:rFonts w:ascii="Calibri" w:hAnsi="Calibri"/>
      <w:b/>
      <w:sz w:val="44"/>
      <w:lang w:val="x-none" w:eastAsia="en-US"/>
    </w:rPr>
  </w:style>
  <w:style w:type="character" w:customStyle="1" w:styleId="Heading2Char">
    <w:name w:val="Heading 2 Char"/>
    <w:link w:val="Heading2"/>
    <w:uiPriority w:val="9"/>
    <w:rsid w:val="00530A65"/>
    <w:rPr>
      <w:rFonts w:ascii="Calibri" w:hAnsi="Calibri"/>
      <w:b/>
      <w:sz w:val="40"/>
      <w:lang w:val="x-none" w:eastAsia="en-US"/>
    </w:rPr>
  </w:style>
  <w:style w:type="character" w:customStyle="1" w:styleId="Heading3Char">
    <w:name w:val="Heading 3 Char"/>
    <w:link w:val="Heading3"/>
    <w:uiPriority w:val="9"/>
    <w:rsid w:val="00530A65"/>
    <w:rPr>
      <w:rFonts w:ascii="Calibri" w:hAnsi="Calibri"/>
      <w:b/>
      <w:sz w:val="32"/>
      <w:lang w:val="x-none" w:eastAsia="en-US"/>
    </w:rPr>
  </w:style>
  <w:style w:type="character" w:customStyle="1" w:styleId="Heading4Char">
    <w:name w:val="Heading 4 Char"/>
    <w:link w:val="Heading4"/>
    <w:uiPriority w:val="9"/>
    <w:rsid w:val="00175657"/>
    <w:rPr>
      <w:rFonts w:ascii="Calibri" w:hAnsi="Calibri"/>
      <w:b/>
      <w:sz w:val="28"/>
      <w:lang w:val="x-none" w:eastAsia="en-US"/>
    </w:rPr>
  </w:style>
  <w:style w:type="paragraph" w:styleId="ListBullet">
    <w:name w:val="List Bullet"/>
    <w:basedOn w:val="Normal"/>
    <w:autoRedefine/>
    <w:uiPriority w:val="99"/>
    <w:unhideWhenUsed/>
    <w:qFormat/>
    <w:rsid w:val="00175657"/>
    <w:pPr>
      <w:numPr>
        <w:numId w:val="14"/>
      </w:numPr>
      <w:spacing w:before="120" w:after="120"/>
    </w:pPr>
  </w:style>
  <w:style w:type="paragraph" w:styleId="ListBullet2">
    <w:name w:val="List Bullet 2"/>
    <w:basedOn w:val="Normal"/>
    <w:link w:val="ListBullet2Char"/>
    <w:autoRedefine/>
    <w:uiPriority w:val="8"/>
    <w:unhideWhenUsed/>
    <w:qFormat/>
    <w:rsid w:val="0030249C"/>
    <w:pPr>
      <w:numPr>
        <w:ilvl w:val="1"/>
        <w:numId w:val="14"/>
      </w:numPr>
      <w:spacing w:after="120"/>
      <w:ind w:left="851" w:hanging="284"/>
    </w:pPr>
    <w:rPr>
      <w:szCs w:val="20"/>
      <w:lang w:val="x-none"/>
    </w:rPr>
  </w:style>
  <w:style w:type="paragraph" w:styleId="ListBullet3">
    <w:name w:val="List Bullet 3"/>
    <w:basedOn w:val="Normal"/>
    <w:uiPriority w:val="99"/>
    <w:rsid w:val="00175657"/>
    <w:pPr>
      <w:numPr>
        <w:ilvl w:val="2"/>
        <w:numId w:val="15"/>
      </w:numPr>
    </w:pPr>
  </w:style>
  <w:style w:type="paragraph" w:styleId="ListBullet4">
    <w:name w:val="List Bullet 4"/>
    <w:basedOn w:val="Normal"/>
    <w:uiPriority w:val="99"/>
    <w:rsid w:val="00175657"/>
    <w:pPr>
      <w:numPr>
        <w:ilvl w:val="3"/>
        <w:numId w:val="15"/>
      </w:numPr>
    </w:pPr>
  </w:style>
  <w:style w:type="paragraph" w:styleId="ListBullet5">
    <w:name w:val="List Bullet 5"/>
    <w:basedOn w:val="Normal"/>
    <w:uiPriority w:val="99"/>
    <w:rsid w:val="00175657"/>
    <w:pPr>
      <w:numPr>
        <w:ilvl w:val="4"/>
        <w:numId w:val="15"/>
      </w:numPr>
    </w:pPr>
  </w:style>
  <w:style w:type="numbering" w:customStyle="1" w:styleId="Attach">
    <w:name w:val="Attach"/>
    <w:basedOn w:val="NoList"/>
    <w:uiPriority w:val="99"/>
    <w:rsid w:val="00175657"/>
    <w:pPr>
      <w:numPr>
        <w:numId w:val="9"/>
      </w:numPr>
    </w:pPr>
  </w:style>
  <w:style w:type="paragraph" w:styleId="ListParagraph">
    <w:name w:val="List Paragraph"/>
    <w:basedOn w:val="Normal"/>
    <w:uiPriority w:val="34"/>
    <w:qFormat/>
    <w:rsid w:val="00175657"/>
    <w:pPr>
      <w:numPr>
        <w:numId w:val="8"/>
      </w:numPr>
    </w:pPr>
  </w:style>
  <w:style w:type="paragraph" w:customStyle="1" w:styleId="Picture">
    <w:name w:val="Picture"/>
    <w:qFormat/>
    <w:rsid w:val="00175657"/>
    <w:pPr>
      <w:spacing w:before="120" w:after="360"/>
    </w:pPr>
    <w:rPr>
      <w:rFonts w:ascii="Calibri" w:hAnsi="Calibri"/>
      <w:b/>
      <w:i/>
      <w:sz w:val="24"/>
      <w:lang w:eastAsia="en-US"/>
    </w:rPr>
  </w:style>
  <w:style w:type="paragraph" w:styleId="ListNumber">
    <w:name w:val="List Number"/>
    <w:basedOn w:val="Normal"/>
    <w:autoRedefine/>
    <w:uiPriority w:val="99"/>
    <w:qFormat/>
    <w:rsid w:val="00175657"/>
    <w:pPr>
      <w:numPr>
        <w:numId w:val="17"/>
      </w:numPr>
    </w:pPr>
  </w:style>
  <w:style w:type="paragraph" w:styleId="ListNumber2">
    <w:name w:val="List Number 2"/>
    <w:basedOn w:val="Normal"/>
    <w:autoRedefine/>
    <w:uiPriority w:val="99"/>
    <w:rsid w:val="00175657"/>
    <w:pPr>
      <w:numPr>
        <w:ilvl w:val="1"/>
        <w:numId w:val="18"/>
      </w:numPr>
    </w:pPr>
  </w:style>
  <w:style w:type="paragraph" w:styleId="ListNumber3">
    <w:name w:val="List Number 3"/>
    <w:basedOn w:val="Normal"/>
    <w:uiPriority w:val="99"/>
    <w:rsid w:val="00175657"/>
    <w:pPr>
      <w:numPr>
        <w:ilvl w:val="2"/>
        <w:numId w:val="17"/>
      </w:numPr>
    </w:pPr>
  </w:style>
  <w:style w:type="paragraph" w:styleId="ListNumber4">
    <w:name w:val="List Number 4"/>
    <w:basedOn w:val="Normal"/>
    <w:uiPriority w:val="99"/>
    <w:rsid w:val="00175657"/>
    <w:pPr>
      <w:numPr>
        <w:ilvl w:val="3"/>
        <w:numId w:val="17"/>
      </w:numPr>
    </w:pPr>
  </w:style>
  <w:style w:type="paragraph" w:styleId="ListNumber5">
    <w:name w:val="List Number 5"/>
    <w:basedOn w:val="Normal"/>
    <w:uiPriority w:val="99"/>
  </w:style>
  <w:style w:type="table" w:styleId="TableGrid">
    <w:name w:val="Table Grid"/>
    <w:basedOn w:val="TableNormal"/>
    <w:uiPriority w:val="59"/>
    <w:rsid w:val="001756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uiPriority w:val="9"/>
    <w:qFormat/>
    <w:rsid w:val="00175657"/>
    <w:pPr>
      <w:spacing w:after="0"/>
    </w:pPr>
    <w:rPr>
      <w:sz w:val="20"/>
    </w:rPr>
  </w:style>
  <w:style w:type="paragraph" w:customStyle="1" w:styleId="Default">
    <w:name w:val="Default"/>
    <w:rsid w:val="00175657"/>
    <w:pPr>
      <w:autoSpaceDE w:val="0"/>
      <w:autoSpaceDN w:val="0"/>
      <w:adjustRightInd w:val="0"/>
      <w:spacing w:after="200"/>
    </w:pPr>
    <w:rPr>
      <w:rFonts w:ascii="Cambria" w:hAnsi="Cambria" w:cs="Cambria"/>
      <w:color w:val="000000"/>
      <w:sz w:val="24"/>
      <w:szCs w:val="24"/>
    </w:rPr>
  </w:style>
  <w:style w:type="paragraph" w:styleId="TOCHeading">
    <w:name w:val="TOC Heading"/>
    <w:next w:val="Normal"/>
    <w:uiPriority w:val="39"/>
    <w:unhideWhenUsed/>
    <w:qFormat/>
    <w:rsid w:val="00175657"/>
    <w:pPr>
      <w:keepLines/>
      <w:pageBreakBefore/>
      <w:spacing w:before="480" w:line="276" w:lineRule="auto"/>
    </w:pPr>
    <w:rPr>
      <w:rFonts w:ascii="Calibri" w:eastAsia="Times New Roman" w:hAnsi="Calibri"/>
      <w:b/>
      <w:bCs/>
      <w:color w:val="000000"/>
      <w:sz w:val="36"/>
      <w:szCs w:val="28"/>
      <w:lang w:val="en-US" w:eastAsia="en-US"/>
    </w:rPr>
  </w:style>
  <w:style w:type="paragraph" w:styleId="TOC1">
    <w:name w:val="toc 1"/>
    <w:basedOn w:val="Normal"/>
    <w:next w:val="Normal"/>
    <w:autoRedefine/>
    <w:uiPriority w:val="39"/>
    <w:unhideWhenUsed/>
    <w:qFormat/>
    <w:rsid w:val="00175657"/>
    <w:pPr>
      <w:tabs>
        <w:tab w:val="right" w:leader="dot" w:pos="9202"/>
      </w:tabs>
      <w:spacing w:before="120" w:after="120"/>
    </w:pPr>
  </w:style>
  <w:style w:type="paragraph" w:styleId="TOC2">
    <w:name w:val="toc 2"/>
    <w:basedOn w:val="Normal"/>
    <w:next w:val="Normal"/>
    <w:autoRedefine/>
    <w:uiPriority w:val="39"/>
    <w:unhideWhenUsed/>
    <w:qFormat/>
    <w:rsid w:val="00175657"/>
    <w:pPr>
      <w:tabs>
        <w:tab w:val="left" w:pos="880"/>
        <w:tab w:val="right" w:leader="dot" w:pos="9202"/>
      </w:tabs>
      <w:spacing w:after="100"/>
      <w:ind w:left="240"/>
    </w:pPr>
  </w:style>
  <w:style w:type="character" w:styleId="Hyperlink">
    <w:name w:val="Hyperlink"/>
    <w:uiPriority w:val="99"/>
    <w:unhideWhenUsed/>
    <w:rsid w:val="00175657"/>
    <w:rPr>
      <w:color w:val="0000FF"/>
      <w:u w:val="single"/>
    </w:rPr>
  </w:style>
  <w:style w:type="character" w:styleId="FollowedHyperlink">
    <w:name w:val="FollowedHyperlink"/>
    <w:uiPriority w:val="99"/>
    <w:semiHidden/>
    <w:unhideWhenUsed/>
    <w:rsid w:val="00175657"/>
    <w:rPr>
      <w:color w:val="800080"/>
      <w:u w:val="single"/>
    </w:rPr>
  </w:style>
  <w:style w:type="paragraph" w:styleId="TOC3">
    <w:name w:val="toc 3"/>
    <w:basedOn w:val="Normal"/>
    <w:next w:val="Normal"/>
    <w:autoRedefine/>
    <w:uiPriority w:val="39"/>
    <w:unhideWhenUsed/>
    <w:qFormat/>
    <w:rsid w:val="00175657"/>
    <w:pPr>
      <w:spacing w:after="100"/>
      <w:ind w:left="480"/>
    </w:pPr>
  </w:style>
  <w:style w:type="table" w:customStyle="1" w:styleId="LightList-Accent11">
    <w:name w:val="Light List - Accent 11"/>
    <w:basedOn w:val="TableNormal"/>
    <w:next w:val="TableNormal"/>
    <w:uiPriority w:val="61"/>
    <w:rsid w:val="00175657"/>
    <w:rPr>
      <w:rFonts w:ascii="Calibri" w:hAnsi="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uiPriority w:val="99"/>
    <w:semiHidden/>
    <w:unhideWhenUsed/>
    <w:rsid w:val="00175657"/>
    <w:rPr>
      <w:sz w:val="16"/>
      <w:szCs w:val="16"/>
    </w:rPr>
  </w:style>
  <w:style w:type="paragraph" w:styleId="CommentText">
    <w:name w:val="annotation text"/>
    <w:basedOn w:val="Normal"/>
    <w:link w:val="CommentTextChar"/>
    <w:uiPriority w:val="99"/>
    <w:semiHidden/>
    <w:unhideWhenUsed/>
    <w:rsid w:val="00175657"/>
    <w:rPr>
      <w:sz w:val="20"/>
      <w:szCs w:val="20"/>
      <w:lang w:val="x-none"/>
    </w:rPr>
  </w:style>
  <w:style w:type="character" w:customStyle="1" w:styleId="CommentTextChar">
    <w:name w:val="Comment Text Char"/>
    <w:link w:val="CommentText"/>
    <w:uiPriority w:val="99"/>
    <w:semiHidden/>
    <w:rsid w:val="00175657"/>
    <w:rPr>
      <w:rFonts w:ascii="Calibri" w:hAnsi="Calibri"/>
      <w:lang w:val="x-none" w:eastAsia="en-US"/>
    </w:rPr>
  </w:style>
  <w:style w:type="paragraph" w:styleId="CommentSubject">
    <w:name w:val="annotation subject"/>
    <w:basedOn w:val="CommentText"/>
    <w:next w:val="CommentText"/>
    <w:link w:val="CommentSubjectChar"/>
    <w:uiPriority w:val="99"/>
    <w:semiHidden/>
    <w:unhideWhenUsed/>
    <w:rsid w:val="00175657"/>
    <w:rPr>
      <w:b/>
      <w:bCs/>
    </w:rPr>
  </w:style>
  <w:style w:type="character" w:customStyle="1" w:styleId="CommentSubjectChar">
    <w:name w:val="Comment Subject Char"/>
    <w:link w:val="CommentSubject"/>
    <w:uiPriority w:val="99"/>
    <w:semiHidden/>
    <w:rsid w:val="00175657"/>
    <w:rPr>
      <w:rFonts w:ascii="Calibri" w:hAnsi="Calibri"/>
      <w:b/>
      <w:bCs/>
      <w:lang w:val="x-none" w:eastAsia="en-US"/>
    </w:rPr>
  </w:style>
  <w:style w:type="numbering" w:customStyle="1" w:styleId="Bulletlist0">
    <w:name w:val="Bullet list"/>
    <w:uiPriority w:val="99"/>
    <w:rsid w:val="00175657"/>
    <w:pPr>
      <w:numPr>
        <w:numId w:val="2"/>
      </w:numPr>
    </w:pPr>
  </w:style>
  <w:style w:type="paragraph" w:customStyle="1" w:styleId="sourcenotesreferences">
    <w:name w:val="source/notes/references"/>
    <w:qFormat/>
    <w:rsid w:val="00175657"/>
    <w:pPr>
      <w:tabs>
        <w:tab w:val="left" w:pos="1230"/>
      </w:tabs>
      <w:spacing w:before="120" w:after="240"/>
      <w:contextualSpacing/>
    </w:pPr>
    <w:rPr>
      <w:rFonts w:ascii="Calibri" w:hAnsi="Calibri"/>
      <w:lang w:eastAsia="en-US"/>
    </w:rPr>
  </w:style>
  <w:style w:type="character" w:customStyle="1" w:styleId="ListBullet2Char">
    <w:name w:val="List Bullet 2 Char"/>
    <w:link w:val="ListBullet2"/>
    <w:uiPriority w:val="8"/>
    <w:rsid w:val="0030249C"/>
    <w:rPr>
      <w:rFonts w:ascii="Calibri" w:hAnsi="Calibri"/>
      <w:sz w:val="22"/>
      <w:lang w:val="x-none" w:eastAsia="en-US"/>
    </w:rPr>
  </w:style>
  <w:style w:type="paragraph" w:styleId="Caption">
    <w:name w:val="caption"/>
    <w:basedOn w:val="Normal"/>
    <w:next w:val="Normal"/>
    <w:uiPriority w:val="35"/>
    <w:unhideWhenUsed/>
    <w:qFormat/>
    <w:rsid w:val="00175657"/>
    <w:pPr>
      <w:spacing w:before="120" w:after="0"/>
    </w:pPr>
    <w:rPr>
      <w:b/>
      <w:bCs/>
      <w:color w:val="548DD4"/>
      <w:szCs w:val="18"/>
    </w:rPr>
  </w:style>
  <w:style w:type="paragraph" w:styleId="Revision">
    <w:name w:val="Revision"/>
    <w:hidden/>
    <w:uiPriority w:val="99"/>
    <w:semiHidden/>
    <w:rPr>
      <w:rFonts w:ascii="Calibri" w:hAnsi="Calibri"/>
      <w:sz w:val="24"/>
      <w:szCs w:val="22"/>
      <w:lang w:eastAsia="en-US"/>
    </w:rPr>
  </w:style>
  <w:style w:type="paragraph" w:styleId="Subtitle">
    <w:name w:val="Subtitle"/>
    <w:basedOn w:val="Normal"/>
    <w:next w:val="Normal"/>
    <w:link w:val="SubtitleChar"/>
    <w:uiPriority w:val="11"/>
    <w:semiHidden/>
    <w:unhideWhenUsed/>
    <w:qFormat/>
    <w:rsid w:val="00175657"/>
    <w:pPr>
      <w:numPr>
        <w:ilvl w:val="1"/>
      </w:numPr>
      <w:spacing w:after="160"/>
    </w:pPr>
    <w:rPr>
      <w:rFonts w:eastAsia="Times New Roman"/>
      <w:color w:val="5A5A5A"/>
      <w:spacing w:val="15"/>
      <w:sz w:val="20"/>
      <w:szCs w:val="20"/>
      <w:lang w:val="x-none"/>
    </w:rPr>
  </w:style>
  <w:style w:type="character" w:customStyle="1" w:styleId="SubtitleChar">
    <w:name w:val="Subtitle Char"/>
    <w:link w:val="Subtitle"/>
    <w:uiPriority w:val="11"/>
    <w:semiHidden/>
    <w:rsid w:val="00175657"/>
    <w:rPr>
      <w:rFonts w:ascii="Calibri" w:eastAsia="Times New Roman" w:hAnsi="Calibri"/>
      <w:color w:val="5A5A5A"/>
      <w:spacing w:val="15"/>
      <w:lang w:val="x-none" w:eastAsia="en-US"/>
    </w:rPr>
  </w:style>
  <w:style w:type="numbering" w:customStyle="1" w:styleId="Heading">
    <w:name w:val="Heading"/>
    <w:uiPriority w:val="99"/>
    <w:rsid w:val="00175657"/>
    <w:pPr>
      <w:numPr>
        <w:numId w:val="12"/>
      </w:numPr>
    </w:pPr>
  </w:style>
  <w:style w:type="character" w:styleId="Strong">
    <w:name w:val="Strong"/>
    <w:uiPriority w:val="99"/>
    <w:qFormat/>
    <w:rsid w:val="00175657"/>
    <w:rPr>
      <w:b/>
      <w:bCs/>
    </w:rPr>
  </w:style>
  <w:style w:type="character" w:styleId="Emphasis">
    <w:name w:val="Emphasis"/>
    <w:uiPriority w:val="20"/>
    <w:qFormat/>
    <w:rsid w:val="00175657"/>
    <w:rPr>
      <w:i/>
      <w:iCs/>
    </w:rPr>
  </w:style>
  <w:style w:type="character" w:customStyle="1" w:styleId="Heading5Char">
    <w:name w:val="Heading 5 Char"/>
    <w:link w:val="Heading5"/>
    <w:uiPriority w:val="9"/>
    <w:rsid w:val="00175657"/>
    <w:rPr>
      <w:rFonts w:ascii="Calibri" w:eastAsia="Times New Roman" w:hAnsi="Calibri"/>
      <w:b/>
      <w:bCs/>
      <w:i/>
      <w:iCs/>
      <w:sz w:val="22"/>
      <w:szCs w:val="26"/>
      <w:lang w:val="x-none" w:eastAsia="en-US"/>
    </w:rPr>
  </w:style>
  <w:style w:type="numbering" w:customStyle="1" w:styleId="headinglist">
    <w:name w:val="heading list"/>
    <w:uiPriority w:val="99"/>
    <w:rsid w:val="00BF500C"/>
    <w:pPr>
      <w:numPr>
        <w:numId w:val="13"/>
      </w:numPr>
    </w:pPr>
  </w:style>
  <w:style w:type="paragraph" w:styleId="List">
    <w:name w:val="List"/>
    <w:basedOn w:val="Normal"/>
    <w:uiPriority w:val="99"/>
    <w:rsid w:val="00175657"/>
    <w:pPr>
      <w:ind w:left="283" w:hanging="283"/>
      <w:contextualSpacing/>
    </w:pPr>
  </w:style>
  <w:style w:type="numbering" w:customStyle="1" w:styleId="listheading">
    <w:name w:val="list heading"/>
    <w:uiPriority w:val="99"/>
    <w:rsid w:val="00BF500C"/>
    <w:pPr>
      <w:numPr>
        <w:numId w:val="16"/>
      </w:numPr>
    </w:pPr>
  </w:style>
  <w:style w:type="paragraph" w:styleId="NormalWeb">
    <w:name w:val="Normal (Web)"/>
    <w:basedOn w:val="Normal"/>
    <w:uiPriority w:val="99"/>
    <w:semiHidden/>
    <w:unhideWhenUsed/>
    <w:rsid w:val="00175657"/>
    <w:rPr>
      <w:rFonts w:ascii="Times New Roman" w:hAnsi="Times New Roman"/>
      <w:szCs w:val="24"/>
    </w:rPr>
  </w:style>
  <w:style w:type="numbering" w:customStyle="1" w:styleId="numberedlist">
    <w:name w:val="numbered list"/>
    <w:basedOn w:val="NoList"/>
    <w:uiPriority w:val="99"/>
    <w:rsid w:val="00175657"/>
    <w:pPr>
      <w:numPr>
        <w:numId w:val="18"/>
      </w:numPr>
    </w:pPr>
  </w:style>
  <w:style w:type="paragraph" w:styleId="Title">
    <w:name w:val="Title"/>
    <w:basedOn w:val="Normal"/>
    <w:next w:val="Normal"/>
    <w:link w:val="TitleChar"/>
    <w:uiPriority w:val="10"/>
    <w:qFormat/>
    <w:rsid w:val="0017565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657"/>
    <w:rPr>
      <w:rFonts w:asciiTheme="majorHAnsi" w:eastAsiaTheme="majorEastAsia" w:hAnsiTheme="majorHAnsi" w:cstheme="majorBidi"/>
      <w:spacing w:val="-10"/>
      <w:kern w:val="28"/>
      <w:sz w:val="56"/>
      <w:szCs w:val="56"/>
      <w:lang w:eastAsia="en-US"/>
    </w:rPr>
  </w:style>
  <w:style w:type="character" w:styleId="SubtleEmphasis">
    <w:name w:val="Subtle Emphasis"/>
    <w:basedOn w:val="DefaultParagraphFont"/>
    <w:uiPriority w:val="19"/>
    <w:qFormat/>
    <w:rsid w:val="009C7B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659">
      <w:bodyDiv w:val="1"/>
      <w:marLeft w:val="0"/>
      <w:marRight w:val="0"/>
      <w:marTop w:val="0"/>
      <w:marBottom w:val="0"/>
      <w:divBdr>
        <w:top w:val="none" w:sz="0" w:space="0" w:color="auto"/>
        <w:left w:val="none" w:sz="0" w:space="0" w:color="auto"/>
        <w:bottom w:val="none" w:sz="0" w:space="0" w:color="auto"/>
        <w:right w:val="none" w:sz="0" w:space="0" w:color="auto"/>
      </w:divBdr>
    </w:div>
    <w:div w:id="40176698">
      <w:bodyDiv w:val="1"/>
      <w:marLeft w:val="0"/>
      <w:marRight w:val="0"/>
      <w:marTop w:val="0"/>
      <w:marBottom w:val="0"/>
      <w:divBdr>
        <w:top w:val="none" w:sz="0" w:space="0" w:color="auto"/>
        <w:left w:val="none" w:sz="0" w:space="0" w:color="auto"/>
        <w:bottom w:val="none" w:sz="0" w:space="0" w:color="auto"/>
        <w:right w:val="none" w:sz="0" w:space="0" w:color="auto"/>
      </w:divBdr>
      <w:divsChild>
        <w:div w:id="1231619736">
          <w:marLeft w:val="0"/>
          <w:marRight w:val="0"/>
          <w:marTop w:val="0"/>
          <w:marBottom w:val="0"/>
          <w:divBdr>
            <w:top w:val="none" w:sz="0" w:space="0" w:color="auto"/>
            <w:left w:val="none" w:sz="0" w:space="0" w:color="auto"/>
            <w:bottom w:val="none" w:sz="0" w:space="0" w:color="auto"/>
            <w:right w:val="none" w:sz="0" w:space="0" w:color="auto"/>
          </w:divBdr>
          <w:divsChild>
            <w:div w:id="910039120">
              <w:marLeft w:val="0"/>
              <w:marRight w:val="0"/>
              <w:marTop w:val="0"/>
              <w:marBottom w:val="0"/>
              <w:divBdr>
                <w:top w:val="none" w:sz="0" w:space="0" w:color="auto"/>
                <w:left w:val="none" w:sz="0" w:space="0" w:color="auto"/>
                <w:bottom w:val="none" w:sz="0" w:space="0" w:color="auto"/>
                <w:right w:val="none" w:sz="0" w:space="0" w:color="auto"/>
              </w:divBdr>
              <w:divsChild>
                <w:div w:id="1466002641">
                  <w:marLeft w:val="0"/>
                  <w:marRight w:val="0"/>
                  <w:marTop w:val="0"/>
                  <w:marBottom w:val="0"/>
                  <w:divBdr>
                    <w:top w:val="none" w:sz="0" w:space="0" w:color="auto"/>
                    <w:left w:val="none" w:sz="0" w:space="0" w:color="auto"/>
                    <w:bottom w:val="none" w:sz="0" w:space="0" w:color="auto"/>
                    <w:right w:val="none" w:sz="0" w:space="0" w:color="auto"/>
                  </w:divBdr>
                  <w:divsChild>
                    <w:div w:id="182942337">
                      <w:marLeft w:val="0"/>
                      <w:marRight w:val="0"/>
                      <w:marTop w:val="240"/>
                      <w:marBottom w:val="0"/>
                      <w:divBdr>
                        <w:top w:val="none" w:sz="0" w:space="0" w:color="auto"/>
                        <w:left w:val="none" w:sz="0" w:space="0" w:color="auto"/>
                        <w:bottom w:val="none" w:sz="0" w:space="0" w:color="auto"/>
                        <w:right w:val="none" w:sz="0" w:space="0" w:color="auto"/>
                      </w:divBdr>
                      <w:divsChild>
                        <w:div w:id="197623640">
                          <w:marLeft w:val="0"/>
                          <w:marRight w:val="0"/>
                          <w:marTop w:val="0"/>
                          <w:marBottom w:val="0"/>
                          <w:divBdr>
                            <w:top w:val="none" w:sz="0" w:space="0" w:color="auto"/>
                            <w:left w:val="none" w:sz="0" w:space="0" w:color="auto"/>
                            <w:bottom w:val="none" w:sz="0" w:space="0" w:color="auto"/>
                            <w:right w:val="none" w:sz="0" w:space="0" w:color="auto"/>
                          </w:divBdr>
                          <w:divsChild>
                            <w:div w:id="14477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9266">
      <w:bodyDiv w:val="1"/>
      <w:marLeft w:val="0"/>
      <w:marRight w:val="0"/>
      <w:marTop w:val="0"/>
      <w:marBottom w:val="0"/>
      <w:divBdr>
        <w:top w:val="none" w:sz="0" w:space="0" w:color="auto"/>
        <w:left w:val="none" w:sz="0" w:space="0" w:color="auto"/>
        <w:bottom w:val="none" w:sz="0" w:space="0" w:color="auto"/>
        <w:right w:val="none" w:sz="0" w:space="0" w:color="auto"/>
      </w:divBdr>
      <w:divsChild>
        <w:div w:id="258608839">
          <w:marLeft w:val="0"/>
          <w:marRight w:val="0"/>
          <w:marTop w:val="0"/>
          <w:marBottom w:val="0"/>
          <w:divBdr>
            <w:top w:val="none" w:sz="0" w:space="0" w:color="auto"/>
            <w:left w:val="none" w:sz="0" w:space="0" w:color="auto"/>
            <w:bottom w:val="none" w:sz="0" w:space="0" w:color="auto"/>
            <w:right w:val="none" w:sz="0" w:space="0" w:color="auto"/>
          </w:divBdr>
          <w:divsChild>
            <w:div w:id="1475753551">
              <w:marLeft w:val="0"/>
              <w:marRight w:val="0"/>
              <w:marTop w:val="0"/>
              <w:marBottom w:val="0"/>
              <w:divBdr>
                <w:top w:val="none" w:sz="0" w:space="0" w:color="auto"/>
                <w:left w:val="none" w:sz="0" w:space="0" w:color="auto"/>
                <w:bottom w:val="none" w:sz="0" w:space="0" w:color="auto"/>
                <w:right w:val="none" w:sz="0" w:space="0" w:color="auto"/>
              </w:divBdr>
              <w:divsChild>
                <w:div w:id="78408737">
                  <w:marLeft w:val="0"/>
                  <w:marRight w:val="0"/>
                  <w:marTop w:val="0"/>
                  <w:marBottom w:val="0"/>
                  <w:divBdr>
                    <w:top w:val="none" w:sz="0" w:space="0" w:color="auto"/>
                    <w:left w:val="none" w:sz="0" w:space="0" w:color="auto"/>
                    <w:bottom w:val="none" w:sz="0" w:space="0" w:color="auto"/>
                    <w:right w:val="none" w:sz="0" w:space="0" w:color="auto"/>
                  </w:divBdr>
                  <w:divsChild>
                    <w:div w:id="910044784">
                      <w:marLeft w:val="0"/>
                      <w:marRight w:val="0"/>
                      <w:marTop w:val="240"/>
                      <w:marBottom w:val="0"/>
                      <w:divBdr>
                        <w:top w:val="none" w:sz="0" w:space="0" w:color="auto"/>
                        <w:left w:val="none" w:sz="0" w:space="0" w:color="auto"/>
                        <w:bottom w:val="none" w:sz="0" w:space="0" w:color="auto"/>
                        <w:right w:val="none" w:sz="0" w:space="0" w:color="auto"/>
                      </w:divBdr>
                      <w:divsChild>
                        <w:div w:id="231888780">
                          <w:marLeft w:val="0"/>
                          <w:marRight w:val="0"/>
                          <w:marTop w:val="0"/>
                          <w:marBottom w:val="0"/>
                          <w:divBdr>
                            <w:top w:val="none" w:sz="0" w:space="0" w:color="auto"/>
                            <w:left w:val="none" w:sz="0" w:space="0" w:color="auto"/>
                            <w:bottom w:val="none" w:sz="0" w:space="0" w:color="auto"/>
                            <w:right w:val="none" w:sz="0" w:space="0" w:color="auto"/>
                          </w:divBdr>
                          <w:divsChild>
                            <w:div w:id="183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20179">
      <w:bodyDiv w:val="1"/>
      <w:marLeft w:val="0"/>
      <w:marRight w:val="0"/>
      <w:marTop w:val="0"/>
      <w:marBottom w:val="0"/>
      <w:divBdr>
        <w:top w:val="none" w:sz="0" w:space="0" w:color="auto"/>
        <w:left w:val="none" w:sz="0" w:space="0" w:color="auto"/>
        <w:bottom w:val="none" w:sz="0" w:space="0" w:color="auto"/>
        <w:right w:val="none" w:sz="0" w:space="0" w:color="auto"/>
      </w:divBdr>
      <w:divsChild>
        <w:div w:id="1239828799">
          <w:marLeft w:val="0"/>
          <w:marRight w:val="0"/>
          <w:marTop w:val="0"/>
          <w:marBottom w:val="0"/>
          <w:divBdr>
            <w:top w:val="none" w:sz="0" w:space="0" w:color="auto"/>
            <w:left w:val="none" w:sz="0" w:space="0" w:color="auto"/>
            <w:bottom w:val="none" w:sz="0" w:space="0" w:color="auto"/>
            <w:right w:val="none" w:sz="0" w:space="0" w:color="auto"/>
          </w:divBdr>
          <w:divsChild>
            <w:div w:id="1811821166">
              <w:marLeft w:val="0"/>
              <w:marRight w:val="0"/>
              <w:marTop w:val="0"/>
              <w:marBottom w:val="0"/>
              <w:divBdr>
                <w:top w:val="none" w:sz="0" w:space="0" w:color="auto"/>
                <w:left w:val="none" w:sz="0" w:space="0" w:color="auto"/>
                <w:bottom w:val="none" w:sz="0" w:space="0" w:color="auto"/>
                <w:right w:val="none" w:sz="0" w:space="0" w:color="auto"/>
              </w:divBdr>
              <w:divsChild>
                <w:div w:id="1080641921">
                  <w:marLeft w:val="0"/>
                  <w:marRight w:val="0"/>
                  <w:marTop w:val="0"/>
                  <w:marBottom w:val="0"/>
                  <w:divBdr>
                    <w:top w:val="none" w:sz="0" w:space="0" w:color="auto"/>
                    <w:left w:val="none" w:sz="0" w:space="0" w:color="auto"/>
                    <w:bottom w:val="none" w:sz="0" w:space="0" w:color="auto"/>
                    <w:right w:val="none" w:sz="0" w:space="0" w:color="auto"/>
                  </w:divBdr>
                  <w:divsChild>
                    <w:div w:id="196885233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8395698">
      <w:bodyDiv w:val="1"/>
      <w:marLeft w:val="0"/>
      <w:marRight w:val="0"/>
      <w:marTop w:val="0"/>
      <w:marBottom w:val="0"/>
      <w:divBdr>
        <w:top w:val="none" w:sz="0" w:space="0" w:color="auto"/>
        <w:left w:val="none" w:sz="0" w:space="0" w:color="auto"/>
        <w:bottom w:val="none" w:sz="0" w:space="0" w:color="auto"/>
        <w:right w:val="none" w:sz="0" w:space="0" w:color="auto"/>
      </w:divBdr>
    </w:div>
    <w:div w:id="203909291">
      <w:bodyDiv w:val="1"/>
      <w:marLeft w:val="0"/>
      <w:marRight w:val="0"/>
      <w:marTop w:val="0"/>
      <w:marBottom w:val="0"/>
      <w:divBdr>
        <w:top w:val="none" w:sz="0" w:space="0" w:color="auto"/>
        <w:left w:val="none" w:sz="0" w:space="0" w:color="auto"/>
        <w:bottom w:val="none" w:sz="0" w:space="0" w:color="auto"/>
        <w:right w:val="none" w:sz="0" w:space="0" w:color="auto"/>
      </w:divBdr>
    </w:div>
    <w:div w:id="309988343">
      <w:bodyDiv w:val="1"/>
      <w:marLeft w:val="0"/>
      <w:marRight w:val="0"/>
      <w:marTop w:val="0"/>
      <w:marBottom w:val="0"/>
      <w:divBdr>
        <w:top w:val="none" w:sz="0" w:space="0" w:color="auto"/>
        <w:left w:val="none" w:sz="0" w:space="0" w:color="auto"/>
        <w:bottom w:val="none" w:sz="0" w:space="0" w:color="auto"/>
        <w:right w:val="none" w:sz="0" w:space="0" w:color="auto"/>
      </w:divBdr>
      <w:divsChild>
        <w:div w:id="526599457">
          <w:marLeft w:val="0"/>
          <w:marRight w:val="0"/>
          <w:marTop w:val="0"/>
          <w:marBottom w:val="0"/>
          <w:divBdr>
            <w:top w:val="none" w:sz="0" w:space="0" w:color="auto"/>
            <w:left w:val="none" w:sz="0" w:space="0" w:color="auto"/>
            <w:bottom w:val="none" w:sz="0" w:space="0" w:color="auto"/>
            <w:right w:val="none" w:sz="0" w:space="0" w:color="auto"/>
          </w:divBdr>
          <w:divsChild>
            <w:div w:id="234752805">
              <w:marLeft w:val="0"/>
              <w:marRight w:val="0"/>
              <w:marTop w:val="0"/>
              <w:marBottom w:val="0"/>
              <w:divBdr>
                <w:top w:val="none" w:sz="0" w:space="0" w:color="auto"/>
                <w:left w:val="none" w:sz="0" w:space="0" w:color="auto"/>
                <w:bottom w:val="none" w:sz="0" w:space="0" w:color="auto"/>
                <w:right w:val="none" w:sz="0" w:space="0" w:color="auto"/>
              </w:divBdr>
              <w:divsChild>
                <w:div w:id="1360280520">
                  <w:marLeft w:val="0"/>
                  <w:marRight w:val="0"/>
                  <w:marTop w:val="0"/>
                  <w:marBottom w:val="0"/>
                  <w:divBdr>
                    <w:top w:val="none" w:sz="0" w:space="0" w:color="auto"/>
                    <w:left w:val="none" w:sz="0" w:space="0" w:color="auto"/>
                    <w:bottom w:val="none" w:sz="0" w:space="0" w:color="auto"/>
                    <w:right w:val="none" w:sz="0" w:space="0" w:color="auto"/>
                  </w:divBdr>
                  <w:divsChild>
                    <w:div w:id="1173451533">
                      <w:marLeft w:val="0"/>
                      <w:marRight w:val="0"/>
                      <w:marTop w:val="240"/>
                      <w:marBottom w:val="0"/>
                      <w:divBdr>
                        <w:top w:val="none" w:sz="0" w:space="0" w:color="auto"/>
                        <w:left w:val="none" w:sz="0" w:space="0" w:color="auto"/>
                        <w:bottom w:val="none" w:sz="0" w:space="0" w:color="auto"/>
                        <w:right w:val="none" w:sz="0" w:space="0" w:color="auto"/>
                      </w:divBdr>
                      <w:divsChild>
                        <w:div w:id="2042782378">
                          <w:marLeft w:val="0"/>
                          <w:marRight w:val="0"/>
                          <w:marTop w:val="0"/>
                          <w:marBottom w:val="0"/>
                          <w:divBdr>
                            <w:top w:val="none" w:sz="0" w:space="0" w:color="auto"/>
                            <w:left w:val="none" w:sz="0" w:space="0" w:color="auto"/>
                            <w:bottom w:val="none" w:sz="0" w:space="0" w:color="auto"/>
                            <w:right w:val="none" w:sz="0" w:space="0" w:color="auto"/>
                          </w:divBdr>
                          <w:divsChild>
                            <w:div w:id="1449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003857">
      <w:bodyDiv w:val="1"/>
      <w:marLeft w:val="0"/>
      <w:marRight w:val="0"/>
      <w:marTop w:val="0"/>
      <w:marBottom w:val="0"/>
      <w:divBdr>
        <w:top w:val="none" w:sz="0" w:space="0" w:color="auto"/>
        <w:left w:val="none" w:sz="0" w:space="0" w:color="auto"/>
        <w:bottom w:val="none" w:sz="0" w:space="0" w:color="auto"/>
        <w:right w:val="none" w:sz="0" w:space="0" w:color="auto"/>
      </w:divBdr>
    </w:div>
    <w:div w:id="344672000">
      <w:bodyDiv w:val="1"/>
      <w:marLeft w:val="0"/>
      <w:marRight w:val="0"/>
      <w:marTop w:val="0"/>
      <w:marBottom w:val="0"/>
      <w:divBdr>
        <w:top w:val="none" w:sz="0" w:space="0" w:color="auto"/>
        <w:left w:val="none" w:sz="0" w:space="0" w:color="auto"/>
        <w:bottom w:val="none" w:sz="0" w:space="0" w:color="auto"/>
        <w:right w:val="none" w:sz="0" w:space="0" w:color="auto"/>
      </w:divBdr>
      <w:divsChild>
        <w:div w:id="216011664">
          <w:marLeft w:val="0"/>
          <w:marRight w:val="0"/>
          <w:marTop w:val="0"/>
          <w:marBottom w:val="0"/>
          <w:divBdr>
            <w:top w:val="none" w:sz="0" w:space="0" w:color="auto"/>
            <w:left w:val="none" w:sz="0" w:space="0" w:color="auto"/>
            <w:bottom w:val="none" w:sz="0" w:space="0" w:color="auto"/>
            <w:right w:val="none" w:sz="0" w:space="0" w:color="auto"/>
          </w:divBdr>
          <w:divsChild>
            <w:div w:id="1658920856">
              <w:marLeft w:val="0"/>
              <w:marRight w:val="0"/>
              <w:marTop w:val="0"/>
              <w:marBottom w:val="0"/>
              <w:divBdr>
                <w:top w:val="none" w:sz="0" w:space="0" w:color="auto"/>
                <w:left w:val="none" w:sz="0" w:space="0" w:color="auto"/>
                <w:bottom w:val="none" w:sz="0" w:space="0" w:color="auto"/>
                <w:right w:val="none" w:sz="0" w:space="0" w:color="auto"/>
              </w:divBdr>
              <w:divsChild>
                <w:div w:id="1979721420">
                  <w:marLeft w:val="0"/>
                  <w:marRight w:val="0"/>
                  <w:marTop w:val="0"/>
                  <w:marBottom w:val="0"/>
                  <w:divBdr>
                    <w:top w:val="none" w:sz="0" w:space="0" w:color="auto"/>
                    <w:left w:val="none" w:sz="0" w:space="0" w:color="auto"/>
                    <w:bottom w:val="none" w:sz="0" w:space="0" w:color="auto"/>
                    <w:right w:val="none" w:sz="0" w:space="0" w:color="auto"/>
                  </w:divBdr>
                  <w:divsChild>
                    <w:div w:id="1396137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88043620">
      <w:bodyDiv w:val="1"/>
      <w:marLeft w:val="0"/>
      <w:marRight w:val="0"/>
      <w:marTop w:val="0"/>
      <w:marBottom w:val="0"/>
      <w:divBdr>
        <w:top w:val="none" w:sz="0" w:space="0" w:color="auto"/>
        <w:left w:val="none" w:sz="0" w:space="0" w:color="auto"/>
        <w:bottom w:val="none" w:sz="0" w:space="0" w:color="auto"/>
        <w:right w:val="none" w:sz="0" w:space="0" w:color="auto"/>
      </w:divBdr>
    </w:div>
    <w:div w:id="502430397">
      <w:bodyDiv w:val="1"/>
      <w:marLeft w:val="0"/>
      <w:marRight w:val="0"/>
      <w:marTop w:val="0"/>
      <w:marBottom w:val="0"/>
      <w:divBdr>
        <w:top w:val="none" w:sz="0" w:space="0" w:color="auto"/>
        <w:left w:val="none" w:sz="0" w:space="0" w:color="auto"/>
        <w:bottom w:val="none" w:sz="0" w:space="0" w:color="auto"/>
        <w:right w:val="none" w:sz="0" w:space="0" w:color="auto"/>
      </w:divBdr>
      <w:divsChild>
        <w:div w:id="1844129112">
          <w:marLeft w:val="0"/>
          <w:marRight w:val="0"/>
          <w:marTop w:val="0"/>
          <w:marBottom w:val="0"/>
          <w:divBdr>
            <w:top w:val="none" w:sz="0" w:space="0" w:color="auto"/>
            <w:left w:val="none" w:sz="0" w:space="0" w:color="auto"/>
            <w:bottom w:val="none" w:sz="0" w:space="0" w:color="auto"/>
            <w:right w:val="none" w:sz="0" w:space="0" w:color="auto"/>
          </w:divBdr>
          <w:divsChild>
            <w:div w:id="294021180">
              <w:marLeft w:val="0"/>
              <w:marRight w:val="0"/>
              <w:marTop w:val="0"/>
              <w:marBottom w:val="0"/>
              <w:divBdr>
                <w:top w:val="none" w:sz="0" w:space="0" w:color="auto"/>
                <w:left w:val="none" w:sz="0" w:space="0" w:color="auto"/>
                <w:bottom w:val="none" w:sz="0" w:space="0" w:color="auto"/>
                <w:right w:val="none" w:sz="0" w:space="0" w:color="auto"/>
              </w:divBdr>
              <w:divsChild>
                <w:div w:id="624314200">
                  <w:marLeft w:val="0"/>
                  <w:marRight w:val="0"/>
                  <w:marTop w:val="0"/>
                  <w:marBottom w:val="0"/>
                  <w:divBdr>
                    <w:top w:val="none" w:sz="0" w:space="0" w:color="auto"/>
                    <w:left w:val="none" w:sz="0" w:space="0" w:color="auto"/>
                    <w:bottom w:val="none" w:sz="0" w:space="0" w:color="auto"/>
                    <w:right w:val="none" w:sz="0" w:space="0" w:color="auto"/>
                  </w:divBdr>
                  <w:divsChild>
                    <w:div w:id="2014410114">
                      <w:marLeft w:val="0"/>
                      <w:marRight w:val="0"/>
                      <w:marTop w:val="240"/>
                      <w:marBottom w:val="0"/>
                      <w:divBdr>
                        <w:top w:val="none" w:sz="0" w:space="0" w:color="auto"/>
                        <w:left w:val="none" w:sz="0" w:space="0" w:color="auto"/>
                        <w:bottom w:val="none" w:sz="0" w:space="0" w:color="auto"/>
                        <w:right w:val="none" w:sz="0" w:space="0" w:color="auto"/>
                      </w:divBdr>
                      <w:divsChild>
                        <w:div w:id="114793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876403">
      <w:bodyDiv w:val="1"/>
      <w:marLeft w:val="0"/>
      <w:marRight w:val="0"/>
      <w:marTop w:val="0"/>
      <w:marBottom w:val="0"/>
      <w:divBdr>
        <w:top w:val="none" w:sz="0" w:space="0" w:color="auto"/>
        <w:left w:val="none" w:sz="0" w:space="0" w:color="auto"/>
        <w:bottom w:val="none" w:sz="0" w:space="0" w:color="auto"/>
        <w:right w:val="none" w:sz="0" w:space="0" w:color="auto"/>
      </w:divBdr>
    </w:div>
    <w:div w:id="599266312">
      <w:bodyDiv w:val="1"/>
      <w:marLeft w:val="0"/>
      <w:marRight w:val="0"/>
      <w:marTop w:val="0"/>
      <w:marBottom w:val="0"/>
      <w:divBdr>
        <w:top w:val="none" w:sz="0" w:space="0" w:color="auto"/>
        <w:left w:val="none" w:sz="0" w:space="0" w:color="auto"/>
        <w:bottom w:val="none" w:sz="0" w:space="0" w:color="auto"/>
        <w:right w:val="none" w:sz="0" w:space="0" w:color="auto"/>
      </w:divBdr>
    </w:div>
    <w:div w:id="612633620">
      <w:bodyDiv w:val="1"/>
      <w:marLeft w:val="0"/>
      <w:marRight w:val="0"/>
      <w:marTop w:val="0"/>
      <w:marBottom w:val="0"/>
      <w:divBdr>
        <w:top w:val="none" w:sz="0" w:space="0" w:color="auto"/>
        <w:left w:val="none" w:sz="0" w:space="0" w:color="auto"/>
        <w:bottom w:val="none" w:sz="0" w:space="0" w:color="auto"/>
        <w:right w:val="none" w:sz="0" w:space="0" w:color="auto"/>
      </w:divBdr>
    </w:div>
    <w:div w:id="640229272">
      <w:bodyDiv w:val="1"/>
      <w:marLeft w:val="0"/>
      <w:marRight w:val="0"/>
      <w:marTop w:val="0"/>
      <w:marBottom w:val="0"/>
      <w:divBdr>
        <w:top w:val="none" w:sz="0" w:space="0" w:color="auto"/>
        <w:left w:val="none" w:sz="0" w:space="0" w:color="auto"/>
        <w:bottom w:val="none" w:sz="0" w:space="0" w:color="auto"/>
        <w:right w:val="none" w:sz="0" w:space="0" w:color="auto"/>
      </w:divBdr>
    </w:div>
    <w:div w:id="676470540">
      <w:bodyDiv w:val="1"/>
      <w:marLeft w:val="0"/>
      <w:marRight w:val="0"/>
      <w:marTop w:val="0"/>
      <w:marBottom w:val="0"/>
      <w:divBdr>
        <w:top w:val="none" w:sz="0" w:space="0" w:color="auto"/>
        <w:left w:val="none" w:sz="0" w:space="0" w:color="auto"/>
        <w:bottom w:val="none" w:sz="0" w:space="0" w:color="auto"/>
        <w:right w:val="none" w:sz="0" w:space="0" w:color="auto"/>
      </w:divBdr>
    </w:div>
    <w:div w:id="700981092">
      <w:bodyDiv w:val="1"/>
      <w:marLeft w:val="0"/>
      <w:marRight w:val="0"/>
      <w:marTop w:val="0"/>
      <w:marBottom w:val="0"/>
      <w:divBdr>
        <w:top w:val="none" w:sz="0" w:space="0" w:color="auto"/>
        <w:left w:val="none" w:sz="0" w:space="0" w:color="auto"/>
        <w:bottom w:val="none" w:sz="0" w:space="0" w:color="auto"/>
        <w:right w:val="none" w:sz="0" w:space="0" w:color="auto"/>
      </w:divBdr>
      <w:divsChild>
        <w:div w:id="1878354135">
          <w:marLeft w:val="0"/>
          <w:marRight w:val="0"/>
          <w:marTop w:val="0"/>
          <w:marBottom w:val="0"/>
          <w:divBdr>
            <w:top w:val="none" w:sz="0" w:space="0" w:color="auto"/>
            <w:left w:val="none" w:sz="0" w:space="0" w:color="auto"/>
            <w:bottom w:val="none" w:sz="0" w:space="0" w:color="auto"/>
            <w:right w:val="none" w:sz="0" w:space="0" w:color="auto"/>
          </w:divBdr>
          <w:divsChild>
            <w:div w:id="497500891">
              <w:marLeft w:val="0"/>
              <w:marRight w:val="0"/>
              <w:marTop w:val="0"/>
              <w:marBottom w:val="0"/>
              <w:divBdr>
                <w:top w:val="none" w:sz="0" w:space="0" w:color="auto"/>
                <w:left w:val="none" w:sz="0" w:space="0" w:color="auto"/>
                <w:bottom w:val="none" w:sz="0" w:space="0" w:color="auto"/>
                <w:right w:val="none" w:sz="0" w:space="0" w:color="auto"/>
              </w:divBdr>
              <w:divsChild>
                <w:div w:id="739250388">
                  <w:marLeft w:val="0"/>
                  <w:marRight w:val="0"/>
                  <w:marTop w:val="0"/>
                  <w:marBottom w:val="0"/>
                  <w:divBdr>
                    <w:top w:val="none" w:sz="0" w:space="0" w:color="auto"/>
                    <w:left w:val="none" w:sz="0" w:space="0" w:color="auto"/>
                    <w:bottom w:val="none" w:sz="0" w:space="0" w:color="auto"/>
                    <w:right w:val="none" w:sz="0" w:space="0" w:color="auto"/>
                  </w:divBdr>
                  <w:divsChild>
                    <w:div w:id="1893037172">
                      <w:marLeft w:val="0"/>
                      <w:marRight w:val="0"/>
                      <w:marTop w:val="240"/>
                      <w:marBottom w:val="0"/>
                      <w:divBdr>
                        <w:top w:val="none" w:sz="0" w:space="0" w:color="auto"/>
                        <w:left w:val="none" w:sz="0" w:space="0" w:color="auto"/>
                        <w:bottom w:val="none" w:sz="0" w:space="0" w:color="auto"/>
                        <w:right w:val="none" w:sz="0" w:space="0" w:color="auto"/>
                      </w:divBdr>
                      <w:divsChild>
                        <w:div w:id="671104614">
                          <w:marLeft w:val="0"/>
                          <w:marRight w:val="0"/>
                          <w:marTop w:val="0"/>
                          <w:marBottom w:val="0"/>
                          <w:divBdr>
                            <w:top w:val="none" w:sz="0" w:space="0" w:color="auto"/>
                            <w:left w:val="none" w:sz="0" w:space="0" w:color="auto"/>
                            <w:bottom w:val="none" w:sz="0" w:space="0" w:color="auto"/>
                            <w:right w:val="none" w:sz="0" w:space="0" w:color="auto"/>
                          </w:divBdr>
                          <w:divsChild>
                            <w:div w:id="1308439984">
                              <w:marLeft w:val="0"/>
                              <w:marRight w:val="0"/>
                              <w:marTop w:val="0"/>
                              <w:marBottom w:val="0"/>
                              <w:divBdr>
                                <w:top w:val="none" w:sz="0" w:space="0" w:color="auto"/>
                                <w:left w:val="none" w:sz="0" w:space="0" w:color="auto"/>
                                <w:bottom w:val="none" w:sz="0" w:space="0" w:color="auto"/>
                                <w:right w:val="none" w:sz="0" w:space="0" w:color="auto"/>
                              </w:divBdr>
                              <w:divsChild>
                                <w:div w:id="6357930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
    <w:div w:id="776868264">
      <w:bodyDiv w:val="1"/>
      <w:marLeft w:val="0"/>
      <w:marRight w:val="0"/>
      <w:marTop w:val="0"/>
      <w:marBottom w:val="0"/>
      <w:divBdr>
        <w:top w:val="none" w:sz="0" w:space="0" w:color="auto"/>
        <w:left w:val="none" w:sz="0" w:space="0" w:color="auto"/>
        <w:bottom w:val="none" w:sz="0" w:space="0" w:color="auto"/>
        <w:right w:val="none" w:sz="0" w:space="0" w:color="auto"/>
      </w:divBdr>
      <w:divsChild>
        <w:div w:id="1550385240">
          <w:marLeft w:val="0"/>
          <w:marRight w:val="0"/>
          <w:marTop w:val="0"/>
          <w:marBottom w:val="0"/>
          <w:divBdr>
            <w:top w:val="none" w:sz="0" w:space="0" w:color="auto"/>
            <w:left w:val="none" w:sz="0" w:space="0" w:color="auto"/>
            <w:bottom w:val="none" w:sz="0" w:space="0" w:color="auto"/>
            <w:right w:val="none" w:sz="0" w:space="0" w:color="auto"/>
          </w:divBdr>
          <w:divsChild>
            <w:div w:id="1727727956">
              <w:marLeft w:val="0"/>
              <w:marRight w:val="0"/>
              <w:marTop w:val="0"/>
              <w:marBottom w:val="0"/>
              <w:divBdr>
                <w:top w:val="none" w:sz="0" w:space="0" w:color="auto"/>
                <w:left w:val="none" w:sz="0" w:space="0" w:color="auto"/>
                <w:bottom w:val="none" w:sz="0" w:space="0" w:color="auto"/>
                <w:right w:val="none" w:sz="0" w:space="0" w:color="auto"/>
              </w:divBdr>
              <w:divsChild>
                <w:div w:id="305622210">
                  <w:marLeft w:val="0"/>
                  <w:marRight w:val="0"/>
                  <w:marTop w:val="0"/>
                  <w:marBottom w:val="0"/>
                  <w:divBdr>
                    <w:top w:val="none" w:sz="0" w:space="0" w:color="auto"/>
                    <w:left w:val="none" w:sz="0" w:space="0" w:color="auto"/>
                    <w:bottom w:val="none" w:sz="0" w:space="0" w:color="auto"/>
                    <w:right w:val="none" w:sz="0" w:space="0" w:color="auto"/>
                  </w:divBdr>
                  <w:divsChild>
                    <w:div w:id="1435976546">
                      <w:marLeft w:val="0"/>
                      <w:marRight w:val="0"/>
                      <w:marTop w:val="240"/>
                      <w:marBottom w:val="0"/>
                      <w:divBdr>
                        <w:top w:val="none" w:sz="0" w:space="0" w:color="auto"/>
                        <w:left w:val="none" w:sz="0" w:space="0" w:color="auto"/>
                        <w:bottom w:val="none" w:sz="0" w:space="0" w:color="auto"/>
                        <w:right w:val="none" w:sz="0" w:space="0" w:color="auto"/>
                      </w:divBdr>
                      <w:divsChild>
                        <w:div w:id="1493256189">
                          <w:marLeft w:val="0"/>
                          <w:marRight w:val="0"/>
                          <w:marTop w:val="0"/>
                          <w:marBottom w:val="0"/>
                          <w:divBdr>
                            <w:top w:val="none" w:sz="0" w:space="0" w:color="auto"/>
                            <w:left w:val="none" w:sz="0" w:space="0" w:color="auto"/>
                            <w:bottom w:val="none" w:sz="0" w:space="0" w:color="auto"/>
                            <w:right w:val="none" w:sz="0" w:space="0" w:color="auto"/>
                          </w:divBdr>
                          <w:divsChild>
                            <w:div w:id="1562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980178">
      <w:bodyDiv w:val="1"/>
      <w:marLeft w:val="0"/>
      <w:marRight w:val="0"/>
      <w:marTop w:val="0"/>
      <w:marBottom w:val="0"/>
      <w:divBdr>
        <w:top w:val="none" w:sz="0" w:space="0" w:color="auto"/>
        <w:left w:val="none" w:sz="0" w:space="0" w:color="auto"/>
        <w:bottom w:val="none" w:sz="0" w:space="0" w:color="auto"/>
        <w:right w:val="none" w:sz="0" w:space="0" w:color="auto"/>
      </w:divBdr>
    </w:div>
    <w:div w:id="842164983">
      <w:bodyDiv w:val="1"/>
      <w:marLeft w:val="0"/>
      <w:marRight w:val="0"/>
      <w:marTop w:val="0"/>
      <w:marBottom w:val="0"/>
      <w:divBdr>
        <w:top w:val="none" w:sz="0" w:space="0" w:color="auto"/>
        <w:left w:val="none" w:sz="0" w:space="0" w:color="auto"/>
        <w:bottom w:val="none" w:sz="0" w:space="0" w:color="auto"/>
        <w:right w:val="none" w:sz="0" w:space="0" w:color="auto"/>
      </w:divBdr>
      <w:divsChild>
        <w:div w:id="580258691">
          <w:marLeft w:val="0"/>
          <w:marRight w:val="0"/>
          <w:marTop w:val="0"/>
          <w:marBottom w:val="0"/>
          <w:divBdr>
            <w:top w:val="none" w:sz="0" w:space="0" w:color="auto"/>
            <w:left w:val="none" w:sz="0" w:space="0" w:color="auto"/>
            <w:bottom w:val="none" w:sz="0" w:space="0" w:color="auto"/>
            <w:right w:val="none" w:sz="0" w:space="0" w:color="auto"/>
          </w:divBdr>
          <w:divsChild>
            <w:div w:id="1843549845">
              <w:marLeft w:val="0"/>
              <w:marRight w:val="0"/>
              <w:marTop w:val="0"/>
              <w:marBottom w:val="0"/>
              <w:divBdr>
                <w:top w:val="none" w:sz="0" w:space="0" w:color="auto"/>
                <w:left w:val="none" w:sz="0" w:space="0" w:color="auto"/>
                <w:bottom w:val="none" w:sz="0" w:space="0" w:color="auto"/>
                <w:right w:val="none" w:sz="0" w:space="0" w:color="auto"/>
              </w:divBdr>
              <w:divsChild>
                <w:div w:id="109860232">
                  <w:marLeft w:val="0"/>
                  <w:marRight w:val="0"/>
                  <w:marTop w:val="0"/>
                  <w:marBottom w:val="0"/>
                  <w:divBdr>
                    <w:top w:val="none" w:sz="0" w:space="0" w:color="auto"/>
                    <w:left w:val="none" w:sz="0" w:space="0" w:color="auto"/>
                    <w:bottom w:val="none" w:sz="0" w:space="0" w:color="auto"/>
                    <w:right w:val="none" w:sz="0" w:space="0" w:color="auto"/>
                  </w:divBdr>
                  <w:divsChild>
                    <w:div w:id="2107773793">
                      <w:marLeft w:val="0"/>
                      <w:marRight w:val="0"/>
                      <w:marTop w:val="240"/>
                      <w:marBottom w:val="0"/>
                      <w:divBdr>
                        <w:top w:val="none" w:sz="0" w:space="0" w:color="auto"/>
                        <w:left w:val="none" w:sz="0" w:space="0" w:color="auto"/>
                        <w:bottom w:val="none" w:sz="0" w:space="0" w:color="auto"/>
                        <w:right w:val="none" w:sz="0" w:space="0" w:color="auto"/>
                      </w:divBdr>
                      <w:divsChild>
                        <w:div w:id="1076584498">
                          <w:marLeft w:val="0"/>
                          <w:marRight w:val="0"/>
                          <w:marTop w:val="0"/>
                          <w:marBottom w:val="0"/>
                          <w:divBdr>
                            <w:top w:val="none" w:sz="0" w:space="0" w:color="auto"/>
                            <w:left w:val="none" w:sz="0" w:space="0" w:color="auto"/>
                            <w:bottom w:val="none" w:sz="0" w:space="0" w:color="auto"/>
                            <w:right w:val="none" w:sz="0" w:space="0" w:color="auto"/>
                          </w:divBdr>
                          <w:divsChild>
                            <w:div w:id="10727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340400">
      <w:bodyDiv w:val="1"/>
      <w:marLeft w:val="0"/>
      <w:marRight w:val="0"/>
      <w:marTop w:val="0"/>
      <w:marBottom w:val="0"/>
      <w:divBdr>
        <w:top w:val="none" w:sz="0" w:space="0" w:color="auto"/>
        <w:left w:val="none" w:sz="0" w:space="0" w:color="auto"/>
        <w:bottom w:val="none" w:sz="0" w:space="0" w:color="auto"/>
        <w:right w:val="none" w:sz="0" w:space="0" w:color="auto"/>
      </w:divBdr>
    </w:div>
    <w:div w:id="889069410">
      <w:bodyDiv w:val="1"/>
      <w:marLeft w:val="0"/>
      <w:marRight w:val="0"/>
      <w:marTop w:val="0"/>
      <w:marBottom w:val="0"/>
      <w:divBdr>
        <w:top w:val="none" w:sz="0" w:space="0" w:color="auto"/>
        <w:left w:val="none" w:sz="0" w:space="0" w:color="auto"/>
        <w:bottom w:val="none" w:sz="0" w:space="0" w:color="auto"/>
        <w:right w:val="none" w:sz="0" w:space="0" w:color="auto"/>
      </w:divBdr>
    </w:div>
    <w:div w:id="889657097">
      <w:bodyDiv w:val="1"/>
      <w:marLeft w:val="0"/>
      <w:marRight w:val="0"/>
      <w:marTop w:val="0"/>
      <w:marBottom w:val="0"/>
      <w:divBdr>
        <w:top w:val="none" w:sz="0" w:space="0" w:color="auto"/>
        <w:left w:val="none" w:sz="0" w:space="0" w:color="auto"/>
        <w:bottom w:val="none" w:sz="0" w:space="0" w:color="auto"/>
        <w:right w:val="none" w:sz="0" w:space="0" w:color="auto"/>
      </w:divBdr>
    </w:div>
    <w:div w:id="1094133065">
      <w:bodyDiv w:val="1"/>
      <w:marLeft w:val="0"/>
      <w:marRight w:val="0"/>
      <w:marTop w:val="0"/>
      <w:marBottom w:val="0"/>
      <w:divBdr>
        <w:top w:val="none" w:sz="0" w:space="0" w:color="auto"/>
        <w:left w:val="none" w:sz="0" w:space="0" w:color="auto"/>
        <w:bottom w:val="none" w:sz="0" w:space="0" w:color="auto"/>
        <w:right w:val="none" w:sz="0" w:space="0" w:color="auto"/>
      </w:divBdr>
    </w:div>
    <w:div w:id="1195726531">
      <w:bodyDiv w:val="1"/>
      <w:marLeft w:val="0"/>
      <w:marRight w:val="0"/>
      <w:marTop w:val="0"/>
      <w:marBottom w:val="0"/>
      <w:divBdr>
        <w:top w:val="none" w:sz="0" w:space="0" w:color="auto"/>
        <w:left w:val="none" w:sz="0" w:space="0" w:color="auto"/>
        <w:bottom w:val="none" w:sz="0" w:space="0" w:color="auto"/>
        <w:right w:val="none" w:sz="0" w:space="0" w:color="auto"/>
      </w:divBdr>
      <w:divsChild>
        <w:div w:id="970093001">
          <w:marLeft w:val="0"/>
          <w:marRight w:val="0"/>
          <w:marTop w:val="0"/>
          <w:marBottom w:val="0"/>
          <w:divBdr>
            <w:top w:val="none" w:sz="0" w:space="0" w:color="auto"/>
            <w:left w:val="none" w:sz="0" w:space="0" w:color="auto"/>
            <w:bottom w:val="none" w:sz="0" w:space="0" w:color="auto"/>
            <w:right w:val="none" w:sz="0" w:space="0" w:color="auto"/>
          </w:divBdr>
          <w:divsChild>
            <w:div w:id="727991155">
              <w:marLeft w:val="0"/>
              <w:marRight w:val="0"/>
              <w:marTop w:val="0"/>
              <w:marBottom w:val="0"/>
              <w:divBdr>
                <w:top w:val="none" w:sz="0" w:space="0" w:color="auto"/>
                <w:left w:val="none" w:sz="0" w:space="0" w:color="auto"/>
                <w:bottom w:val="none" w:sz="0" w:space="0" w:color="auto"/>
                <w:right w:val="none" w:sz="0" w:space="0" w:color="auto"/>
              </w:divBdr>
              <w:divsChild>
                <w:div w:id="134493312">
                  <w:marLeft w:val="0"/>
                  <w:marRight w:val="0"/>
                  <w:marTop w:val="0"/>
                  <w:marBottom w:val="0"/>
                  <w:divBdr>
                    <w:top w:val="none" w:sz="0" w:space="0" w:color="auto"/>
                    <w:left w:val="none" w:sz="0" w:space="0" w:color="auto"/>
                    <w:bottom w:val="none" w:sz="0" w:space="0" w:color="auto"/>
                    <w:right w:val="none" w:sz="0" w:space="0" w:color="auto"/>
                  </w:divBdr>
                  <w:divsChild>
                    <w:div w:id="541720786">
                      <w:marLeft w:val="0"/>
                      <w:marRight w:val="0"/>
                      <w:marTop w:val="240"/>
                      <w:marBottom w:val="0"/>
                      <w:divBdr>
                        <w:top w:val="none" w:sz="0" w:space="0" w:color="auto"/>
                        <w:left w:val="none" w:sz="0" w:space="0" w:color="auto"/>
                        <w:bottom w:val="none" w:sz="0" w:space="0" w:color="auto"/>
                        <w:right w:val="none" w:sz="0" w:space="0" w:color="auto"/>
                      </w:divBdr>
                      <w:divsChild>
                        <w:div w:id="1831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843660">
      <w:bodyDiv w:val="1"/>
      <w:marLeft w:val="0"/>
      <w:marRight w:val="0"/>
      <w:marTop w:val="0"/>
      <w:marBottom w:val="0"/>
      <w:divBdr>
        <w:top w:val="none" w:sz="0" w:space="0" w:color="auto"/>
        <w:left w:val="none" w:sz="0" w:space="0" w:color="auto"/>
        <w:bottom w:val="none" w:sz="0" w:space="0" w:color="auto"/>
        <w:right w:val="none" w:sz="0" w:space="0" w:color="auto"/>
      </w:divBdr>
      <w:divsChild>
        <w:div w:id="1196193712">
          <w:marLeft w:val="0"/>
          <w:marRight w:val="0"/>
          <w:marTop w:val="0"/>
          <w:marBottom w:val="0"/>
          <w:divBdr>
            <w:top w:val="none" w:sz="0" w:space="0" w:color="auto"/>
            <w:left w:val="none" w:sz="0" w:space="0" w:color="auto"/>
            <w:bottom w:val="none" w:sz="0" w:space="0" w:color="auto"/>
            <w:right w:val="none" w:sz="0" w:space="0" w:color="auto"/>
          </w:divBdr>
          <w:divsChild>
            <w:div w:id="165170326">
              <w:marLeft w:val="0"/>
              <w:marRight w:val="0"/>
              <w:marTop w:val="178"/>
              <w:marBottom w:val="178"/>
              <w:divBdr>
                <w:top w:val="none" w:sz="0" w:space="0" w:color="auto"/>
                <w:left w:val="none" w:sz="0" w:space="0" w:color="auto"/>
                <w:bottom w:val="none" w:sz="0" w:space="0" w:color="auto"/>
                <w:right w:val="none" w:sz="0" w:space="0" w:color="auto"/>
              </w:divBdr>
              <w:divsChild>
                <w:div w:id="1398284247">
                  <w:marLeft w:val="0"/>
                  <w:marRight w:val="178"/>
                  <w:marTop w:val="0"/>
                  <w:marBottom w:val="0"/>
                  <w:divBdr>
                    <w:top w:val="none" w:sz="0" w:space="0" w:color="auto"/>
                    <w:left w:val="none" w:sz="0" w:space="0" w:color="auto"/>
                    <w:bottom w:val="none" w:sz="0" w:space="0" w:color="auto"/>
                    <w:right w:val="none" w:sz="0" w:space="0" w:color="auto"/>
                  </w:divBdr>
                  <w:divsChild>
                    <w:div w:id="1930966092">
                      <w:marLeft w:val="0"/>
                      <w:marRight w:val="0"/>
                      <w:marTop w:val="0"/>
                      <w:marBottom w:val="0"/>
                      <w:divBdr>
                        <w:top w:val="none" w:sz="0" w:space="0" w:color="auto"/>
                        <w:left w:val="none" w:sz="0" w:space="0" w:color="auto"/>
                        <w:bottom w:val="none" w:sz="0" w:space="0" w:color="auto"/>
                        <w:right w:val="none" w:sz="0" w:space="0" w:color="auto"/>
                      </w:divBdr>
                      <w:divsChild>
                        <w:div w:id="4723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501750">
      <w:bodyDiv w:val="1"/>
      <w:marLeft w:val="0"/>
      <w:marRight w:val="0"/>
      <w:marTop w:val="0"/>
      <w:marBottom w:val="0"/>
      <w:divBdr>
        <w:top w:val="none" w:sz="0" w:space="0" w:color="auto"/>
        <w:left w:val="none" w:sz="0" w:space="0" w:color="auto"/>
        <w:bottom w:val="none" w:sz="0" w:space="0" w:color="auto"/>
        <w:right w:val="none" w:sz="0" w:space="0" w:color="auto"/>
      </w:divBdr>
      <w:divsChild>
        <w:div w:id="205920303">
          <w:marLeft w:val="0"/>
          <w:marRight w:val="0"/>
          <w:marTop w:val="0"/>
          <w:marBottom w:val="0"/>
          <w:divBdr>
            <w:top w:val="none" w:sz="0" w:space="0" w:color="auto"/>
            <w:left w:val="none" w:sz="0" w:space="0" w:color="auto"/>
            <w:bottom w:val="none" w:sz="0" w:space="0" w:color="auto"/>
            <w:right w:val="none" w:sz="0" w:space="0" w:color="auto"/>
          </w:divBdr>
          <w:divsChild>
            <w:div w:id="689376637">
              <w:marLeft w:val="0"/>
              <w:marRight w:val="0"/>
              <w:marTop w:val="178"/>
              <w:marBottom w:val="178"/>
              <w:divBdr>
                <w:top w:val="none" w:sz="0" w:space="0" w:color="auto"/>
                <w:left w:val="none" w:sz="0" w:space="0" w:color="auto"/>
                <w:bottom w:val="none" w:sz="0" w:space="0" w:color="auto"/>
                <w:right w:val="none" w:sz="0" w:space="0" w:color="auto"/>
              </w:divBdr>
              <w:divsChild>
                <w:div w:id="587425784">
                  <w:marLeft w:val="0"/>
                  <w:marRight w:val="178"/>
                  <w:marTop w:val="0"/>
                  <w:marBottom w:val="0"/>
                  <w:divBdr>
                    <w:top w:val="none" w:sz="0" w:space="0" w:color="auto"/>
                    <w:left w:val="none" w:sz="0" w:space="0" w:color="auto"/>
                    <w:bottom w:val="none" w:sz="0" w:space="0" w:color="auto"/>
                    <w:right w:val="none" w:sz="0" w:space="0" w:color="auto"/>
                  </w:divBdr>
                  <w:divsChild>
                    <w:div w:id="524950961">
                      <w:marLeft w:val="0"/>
                      <w:marRight w:val="0"/>
                      <w:marTop w:val="0"/>
                      <w:marBottom w:val="0"/>
                      <w:divBdr>
                        <w:top w:val="none" w:sz="0" w:space="0" w:color="auto"/>
                        <w:left w:val="none" w:sz="0" w:space="0" w:color="auto"/>
                        <w:bottom w:val="none" w:sz="0" w:space="0" w:color="auto"/>
                        <w:right w:val="none" w:sz="0" w:space="0" w:color="auto"/>
                      </w:divBdr>
                      <w:divsChild>
                        <w:div w:id="10720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131605">
      <w:bodyDiv w:val="1"/>
      <w:marLeft w:val="0"/>
      <w:marRight w:val="0"/>
      <w:marTop w:val="0"/>
      <w:marBottom w:val="0"/>
      <w:divBdr>
        <w:top w:val="none" w:sz="0" w:space="0" w:color="auto"/>
        <w:left w:val="none" w:sz="0" w:space="0" w:color="auto"/>
        <w:bottom w:val="none" w:sz="0" w:space="0" w:color="auto"/>
        <w:right w:val="none" w:sz="0" w:space="0" w:color="auto"/>
      </w:divBdr>
      <w:divsChild>
        <w:div w:id="377632931">
          <w:marLeft w:val="0"/>
          <w:marRight w:val="0"/>
          <w:marTop w:val="0"/>
          <w:marBottom w:val="0"/>
          <w:divBdr>
            <w:top w:val="none" w:sz="0" w:space="0" w:color="auto"/>
            <w:left w:val="none" w:sz="0" w:space="0" w:color="auto"/>
            <w:bottom w:val="none" w:sz="0" w:space="0" w:color="auto"/>
            <w:right w:val="none" w:sz="0" w:space="0" w:color="auto"/>
          </w:divBdr>
          <w:divsChild>
            <w:div w:id="345987983">
              <w:marLeft w:val="0"/>
              <w:marRight w:val="0"/>
              <w:marTop w:val="0"/>
              <w:marBottom w:val="0"/>
              <w:divBdr>
                <w:top w:val="none" w:sz="0" w:space="0" w:color="auto"/>
                <w:left w:val="none" w:sz="0" w:space="0" w:color="auto"/>
                <w:bottom w:val="none" w:sz="0" w:space="0" w:color="auto"/>
                <w:right w:val="none" w:sz="0" w:space="0" w:color="auto"/>
              </w:divBdr>
              <w:divsChild>
                <w:div w:id="833641015">
                  <w:marLeft w:val="0"/>
                  <w:marRight w:val="0"/>
                  <w:marTop w:val="0"/>
                  <w:marBottom w:val="0"/>
                  <w:divBdr>
                    <w:top w:val="none" w:sz="0" w:space="0" w:color="auto"/>
                    <w:left w:val="none" w:sz="0" w:space="0" w:color="auto"/>
                    <w:bottom w:val="none" w:sz="0" w:space="0" w:color="auto"/>
                    <w:right w:val="none" w:sz="0" w:space="0" w:color="auto"/>
                  </w:divBdr>
                  <w:divsChild>
                    <w:div w:id="451363425">
                      <w:marLeft w:val="0"/>
                      <w:marRight w:val="0"/>
                      <w:marTop w:val="240"/>
                      <w:marBottom w:val="0"/>
                      <w:divBdr>
                        <w:top w:val="none" w:sz="0" w:space="0" w:color="auto"/>
                        <w:left w:val="none" w:sz="0" w:space="0" w:color="auto"/>
                        <w:bottom w:val="none" w:sz="0" w:space="0" w:color="auto"/>
                        <w:right w:val="none" w:sz="0" w:space="0" w:color="auto"/>
                      </w:divBdr>
                      <w:divsChild>
                        <w:div w:id="1283607821">
                          <w:marLeft w:val="0"/>
                          <w:marRight w:val="0"/>
                          <w:marTop w:val="0"/>
                          <w:marBottom w:val="0"/>
                          <w:divBdr>
                            <w:top w:val="none" w:sz="0" w:space="0" w:color="auto"/>
                            <w:left w:val="none" w:sz="0" w:space="0" w:color="auto"/>
                            <w:bottom w:val="none" w:sz="0" w:space="0" w:color="auto"/>
                            <w:right w:val="none" w:sz="0" w:space="0" w:color="auto"/>
                          </w:divBdr>
                          <w:divsChild>
                            <w:div w:id="21218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784940">
      <w:bodyDiv w:val="1"/>
      <w:marLeft w:val="0"/>
      <w:marRight w:val="0"/>
      <w:marTop w:val="0"/>
      <w:marBottom w:val="0"/>
      <w:divBdr>
        <w:top w:val="none" w:sz="0" w:space="0" w:color="auto"/>
        <w:left w:val="none" w:sz="0" w:space="0" w:color="auto"/>
        <w:bottom w:val="none" w:sz="0" w:space="0" w:color="auto"/>
        <w:right w:val="none" w:sz="0" w:space="0" w:color="auto"/>
      </w:divBdr>
    </w:div>
    <w:div w:id="1419905408">
      <w:bodyDiv w:val="1"/>
      <w:marLeft w:val="0"/>
      <w:marRight w:val="0"/>
      <w:marTop w:val="0"/>
      <w:marBottom w:val="0"/>
      <w:divBdr>
        <w:top w:val="none" w:sz="0" w:space="0" w:color="auto"/>
        <w:left w:val="none" w:sz="0" w:space="0" w:color="auto"/>
        <w:bottom w:val="none" w:sz="0" w:space="0" w:color="auto"/>
        <w:right w:val="none" w:sz="0" w:space="0" w:color="auto"/>
      </w:divBdr>
      <w:divsChild>
        <w:div w:id="275674312">
          <w:marLeft w:val="0"/>
          <w:marRight w:val="0"/>
          <w:marTop w:val="0"/>
          <w:marBottom w:val="0"/>
          <w:divBdr>
            <w:top w:val="none" w:sz="0" w:space="0" w:color="auto"/>
            <w:left w:val="none" w:sz="0" w:space="0" w:color="auto"/>
            <w:bottom w:val="none" w:sz="0" w:space="0" w:color="auto"/>
            <w:right w:val="none" w:sz="0" w:space="0" w:color="auto"/>
          </w:divBdr>
          <w:divsChild>
            <w:div w:id="1477794299">
              <w:marLeft w:val="0"/>
              <w:marRight w:val="0"/>
              <w:marTop w:val="0"/>
              <w:marBottom w:val="0"/>
              <w:divBdr>
                <w:top w:val="none" w:sz="0" w:space="0" w:color="auto"/>
                <w:left w:val="none" w:sz="0" w:space="0" w:color="auto"/>
                <w:bottom w:val="none" w:sz="0" w:space="0" w:color="auto"/>
                <w:right w:val="none" w:sz="0" w:space="0" w:color="auto"/>
              </w:divBdr>
              <w:divsChild>
                <w:div w:id="2057269205">
                  <w:marLeft w:val="0"/>
                  <w:marRight w:val="0"/>
                  <w:marTop w:val="0"/>
                  <w:marBottom w:val="0"/>
                  <w:divBdr>
                    <w:top w:val="none" w:sz="0" w:space="0" w:color="auto"/>
                    <w:left w:val="none" w:sz="0" w:space="0" w:color="auto"/>
                    <w:bottom w:val="none" w:sz="0" w:space="0" w:color="auto"/>
                    <w:right w:val="none" w:sz="0" w:space="0" w:color="auto"/>
                  </w:divBdr>
                  <w:divsChild>
                    <w:div w:id="633293996">
                      <w:marLeft w:val="0"/>
                      <w:marRight w:val="0"/>
                      <w:marTop w:val="240"/>
                      <w:marBottom w:val="0"/>
                      <w:divBdr>
                        <w:top w:val="none" w:sz="0" w:space="0" w:color="auto"/>
                        <w:left w:val="none" w:sz="0" w:space="0" w:color="auto"/>
                        <w:bottom w:val="none" w:sz="0" w:space="0" w:color="auto"/>
                        <w:right w:val="none" w:sz="0" w:space="0" w:color="auto"/>
                      </w:divBdr>
                      <w:divsChild>
                        <w:div w:id="1697996247">
                          <w:marLeft w:val="0"/>
                          <w:marRight w:val="0"/>
                          <w:marTop w:val="0"/>
                          <w:marBottom w:val="0"/>
                          <w:divBdr>
                            <w:top w:val="none" w:sz="0" w:space="0" w:color="auto"/>
                            <w:left w:val="none" w:sz="0" w:space="0" w:color="auto"/>
                            <w:bottom w:val="none" w:sz="0" w:space="0" w:color="auto"/>
                            <w:right w:val="none" w:sz="0" w:space="0" w:color="auto"/>
                          </w:divBdr>
                          <w:divsChild>
                            <w:div w:id="17905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94202">
      <w:bodyDiv w:val="1"/>
      <w:marLeft w:val="0"/>
      <w:marRight w:val="0"/>
      <w:marTop w:val="0"/>
      <w:marBottom w:val="0"/>
      <w:divBdr>
        <w:top w:val="none" w:sz="0" w:space="0" w:color="auto"/>
        <w:left w:val="none" w:sz="0" w:space="0" w:color="auto"/>
        <w:bottom w:val="none" w:sz="0" w:space="0" w:color="auto"/>
        <w:right w:val="none" w:sz="0" w:space="0" w:color="auto"/>
      </w:divBdr>
      <w:divsChild>
        <w:div w:id="1870533215">
          <w:marLeft w:val="0"/>
          <w:marRight w:val="0"/>
          <w:marTop w:val="0"/>
          <w:marBottom w:val="0"/>
          <w:divBdr>
            <w:top w:val="none" w:sz="0" w:space="0" w:color="auto"/>
            <w:left w:val="none" w:sz="0" w:space="0" w:color="auto"/>
            <w:bottom w:val="none" w:sz="0" w:space="0" w:color="auto"/>
            <w:right w:val="none" w:sz="0" w:space="0" w:color="auto"/>
          </w:divBdr>
          <w:divsChild>
            <w:div w:id="600259441">
              <w:marLeft w:val="0"/>
              <w:marRight w:val="0"/>
              <w:marTop w:val="0"/>
              <w:marBottom w:val="0"/>
              <w:divBdr>
                <w:top w:val="none" w:sz="0" w:space="0" w:color="auto"/>
                <w:left w:val="none" w:sz="0" w:space="0" w:color="auto"/>
                <w:bottom w:val="none" w:sz="0" w:space="0" w:color="auto"/>
                <w:right w:val="none" w:sz="0" w:space="0" w:color="auto"/>
              </w:divBdr>
              <w:divsChild>
                <w:div w:id="920412982">
                  <w:marLeft w:val="-107"/>
                  <w:marRight w:val="-107"/>
                  <w:marTop w:val="0"/>
                  <w:marBottom w:val="0"/>
                  <w:divBdr>
                    <w:top w:val="none" w:sz="0" w:space="0" w:color="auto"/>
                    <w:left w:val="none" w:sz="0" w:space="0" w:color="auto"/>
                    <w:bottom w:val="none" w:sz="0" w:space="0" w:color="auto"/>
                    <w:right w:val="none" w:sz="0" w:space="0" w:color="auto"/>
                  </w:divBdr>
                  <w:divsChild>
                    <w:div w:id="2140567301">
                      <w:marLeft w:val="0"/>
                      <w:marRight w:val="0"/>
                      <w:marTop w:val="0"/>
                      <w:marBottom w:val="0"/>
                      <w:divBdr>
                        <w:top w:val="none" w:sz="0" w:space="0" w:color="auto"/>
                        <w:left w:val="none" w:sz="0" w:space="0" w:color="auto"/>
                        <w:bottom w:val="none" w:sz="0" w:space="0" w:color="auto"/>
                        <w:right w:val="none" w:sz="0" w:space="0" w:color="auto"/>
                      </w:divBdr>
                      <w:divsChild>
                        <w:div w:id="1434281978">
                          <w:marLeft w:val="0"/>
                          <w:marRight w:val="0"/>
                          <w:marTop w:val="0"/>
                          <w:marBottom w:val="0"/>
                          <w:divBdr>
                            <w:top w:val="single" w:sz="2" w:space="7" w:color="869CA6"/>
                            <w:left w:val="none" w:sz="0" w:space="0" w:color="auto"/>
                            <w:bottom w:val="none" w:sz="0" w:space="0" w:color="auto"/>
                            <w:right w:val="none" w:sz="0" w:space="0" w:color="auto"/>
                          </w:divBdr>
                        </w:div>
                      </w:divsChild>
                    </w:div>
                  </w:divsChild>
                </w:div>
              </w:divsChild>
            </w:div>
          </w:divsChild>
        </w:div>
      </w:divsChild>
    </w:div>
    <w:div w:id="1478692653">
      <w:bodyDiv w:val="1"/>
      <w:marLeft w:val="0"/>
      <w:marRight w:val="0"/>
      <w:marTop w:val="0"/>
      <w:marBottom w:val="0"/>
      <w:divBdr>
        <w:top w:val="none" w:sz="0" w:space="0" w:color="auto"/>
        <w:left w:val="none" w:sz="0" w:space="0" w:color="auto"/>
        <w:bottom w:val="none" w:sz="0" w:space="0" w:color="auto"/>
        <w:right w:val="none" w:sz="0" w:space="0" w:color="auto"/>
      </w:divBdr>
    </w:div>
    <w:div w:id="1501384503">
      <w:bodyDiv w:val="1"/>
      <w:marLeft w:val="0"/>
      <w:marRight w:val="0"/>
      <w:marTop w:val="0"/>
      <w:marBottom w:val="0"/>
      <w:divBdr>
        <w:top w:val="none" w:sz="0" w:space="0" w:color="auto"/>
        <w:left w:val="none" w:sz="0" w:space="0" w:color="auto"/>
        <w:bottom w:val="none" w:sz="0" w:space="0" w:color="auto"/>
        <w:right w:val="none" w:sz="0" w:space="0" w:color="auto"/>
      </w:divBdr>
      <w:divsChild>
        <w:div w:id="1272401357">
          <w:marLeft w:val="0"/>
          <w:marRight w:val="0"/>
          <w:marTop w:val="0"/>
          <w:marBottom w:val="0"/>
          <w:divBdr>
            <w:top w:val="none" w:sz="0" w:space="0" w:color="auto"/>
            <w:left w:val="none" w:sz="0" w:space="0" w:color="auto"/>
            <w:bottom w:val="none" w:sz="0" w:space="0" w:color="auto"/>
            <w:right w:val="none" w:sz="0" w:space="0" w:color="auto"/>
          </w:divBdr>
          <w:divsChild>
            <w:div w:id="265164497">
              <w:marLeft w:val="0"/>
              <w:marRight w:val="0"/>
              <w:marTop w:val="178"/>
              <w:marBottom w:val="178"/>
              <w:divBdr>
                <w:top w:val="none" w:sz="0" w:space="0" w:color="auto"/>
                <w:left w:val="none" w:sz="0" w:space="0" w:color="auto"/>
                <w:bottom w:val="none" w:sz="0" w:space="0" w:color="auto"/>
                <w:right w:val="none" w:sz="0" w:space="0" w:color="auto"/>
              </w:divBdr>
              <w:divsChild>
                <w:div w:id="2055737115">
                  <w:marLeft w:val="0"/>
                  <w:marRight w:val="178"/>
                  <w:marTop w:val="0"/>
                  <w:marBottom w:val="0"/>
                  <w:divBdr>
                    <w:top w:val="none" w:sz="0" w:space="0" w:color="auto"/>
                    <w:left w:val="none" w:sz="0" w:space="0" w:color="auto"/>
                    <w:bottom w:val="none" w:sz="0" w:space="0" w:color="auto"/>
                    <w:right w:val="none" w:sz="0" w:space="0" w:color="auto"/>
                  </w:divBdr>
                  <w:divsChild>
                    <w:div w:id="970987718">
                      <w:marLeft w:val="0"/>
                      <w:marRight w:val="0"/>
                      <w:marTop w:val="0"/>
                      <w:marBottom w:val="0"/>
                      <w:divBdr>
                        <w:top w:val="none" w:sz="0" w:space="0" w:color="auto"/>
                        <w:left w:val="none" w:sz="0" w:space="0" w:color="auto"/>
                        <w:bottom w:val="none" w:sz="0" w:space="0" w:color="auto"/>
                        <w:right w:val="none" w:sz="0" w:space="0" w:color="auto"/>
                      </w:divBdr>
                      <w:divsChild>
                        <w:div w:id="10227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3883">
      <w:bodyDiv w:val="1"/>
      <w:marLeft w:val="0"/>
      <w:marRight w:val="0"/>
      <w:marTop w:val="0"/>
      <w:marBottom w:val="0"/>
      <w:divBdr>
        <w:top w:val="none" w:sz="0" w:space="0" w:color="auto"/>
        <w:left w:val="none" w:sz="0" w:space="0" w:color="auto"/>
        <w:bottom w:val="none" w:sz="0" w:space="0" w:color="auto"/>
        <w:right w:val="none" w:sz="0" w:space="0" w:color="auto"/>
      </w:divBdr>
      <w:divsChild>
        <w:div w:id="187642172">
          <w:marLeft w:val="0"/>
          <w:marRight w:val="0"/>
          <w:marTop w:val="0"/>
          <w:marBottom w:val="0"/>
          <w:divBdr>
            <w:top w:val="none" w:sz="0" w:space="0" w:color="auto"/>
            <w:left w:val="none" w:sz="0" w:space="0" w:color="auto"/>
            <w:bottom w:val="none" w:sz="0" w:space="0" w:color="auto"/>
            <w:right w:val="none" w:sz="0" w:space="0" w:color="auto"/>
          </w:divBdr>
          <w:divsChild>
            <w:div w:id="344406581">
              <w:marLeft w:val="0"/>
              <w:marRight w:val="0"/>
              <w:marTop w:val="0"/>
              <w:marBottom w:val="0"/>
              <w:divBdr>
                <w:top w:val="none" w:sz="0" w:space="0" w:color="auto"/>
                <w:left w:val="none" w:sz="0" w:space="0" w:color="auto"/>
                <w:bottom w:val="none" w:sz="0" w:space="0" w:color="auto"/>
                <w:right w:val="none" w:sz="0" w:space="0" w:color="auto"/>
              </w:divBdr>
              <w:divsChild>
                <w:div w:id="690105938">
                  <w:marLeft w:val="0"/>
                  <w:marRight w:val="0"/>
                  <w:marTop w:val="0"/>
                  <w:marBottom w:val="0"/>
                  <w:divBdr>
                    <w:top w:val="none" w:sz="0" w:space="0" w:color="auto"/>
                    <w:left w:val="none" w:sz="0" w:space="0" w:color="auto"/>
                    <w:bottom w:val="none" w:sz="0" w:space="0" w:color="auto"/>
                    <w:right w:val="none" w:sz="0" w:space="0" w:color="auto"/>
                  </w:divBdr>
                  <w:divsChild>
                    <w:div w:id="875384241">
                      <w:marLeft w:val="0"/>
                      <w:marRight w:val="0"/>
                      <w:marTop w:val="240"/>
                      <w:marBottom w:val="0"/>
                      <w:divBdr>
                        <w:top w:val="none" w:sz="0" w:space="0" w:color="auto"/>
                        <w:left w:val="none" w:sz="0" w:space="0" w:color="auto"/>
                        <w:bottom w:val="none" w:sz="0" w:space="0" w:color="auto"/>
                        <w:right w:val="none" w:sz="0" w:space="0" w:color="auto"/>
                      </w:divBdr>
                      <w:divsChild>
                        <w:div w:id="1673796408">
                          <w:marLeft w:val="0"/>
                          <w:marRight w:val="0"/>
                          <w:marTop w:val="0"/>
                          <w:marBottom w:val="0"/>
                          <w:divBdr>
                            <w:top w:val="none" w:sz="0" w:space="0" w:color="auto"/>
                            <w:left w:val="none" w:sz="0" w:space="0" w:color="auto"/>
                            <w:bottom w:val="none" w:sz="0" w:space="0" w:color="auto"/>
                            <w:right w:val="none" w:sz="0" w:space="0" w:color="auto"/>
                          </w:divBdr>
                          <w:divsChild>
                            <w:div w:id="1021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837699">
      <w:bodyDiv w:val="1"/>
      <w:marLeft w:val="0"/>
      <w:marRight w:val="0"/>
      <w:marTop w:val="0"/>
      <w:marBottom w:val="0"/>
      <w:divBdr>
        <w:top w:val="none" w:sz="0" w:space="0" w:color="auto"/>
        <w:left w:val="none" w:sz="0" w:space="0" w:color="auto"/>
        <w:bottom w:val="none" w:sz="0" w:space="0" w:color="auto"/>
        <w:right w:val="none" w:sz="0" w:space="0" w:color="auto"/>
      </w:divBdr>
    </w:div>
    <w:div w:id="1687706416">
      <w:bodyDiv w:val="1"/>
      <w:marLeft w:val="0"/>
      <w:marRight w:val="0"/>
      <w:marTop w:val="0"/>
      <w:marBottom w:val="0"/>
      <w:divBdr>
        <w:top w:val="none" w:sz="0" w:space="0" w:color="auto"/>
        <w:left w:val="none" w:sz="0" w:space="0" w:color="auto"/>
        <w:bottom w:val="none" w:sz="0" w:space="0" w:color="auto"/>
        <w:right w:val="none" w:sz="0" w:space="0" w:color="auto"/>
      </w:divBdr>
    </w:div>
    <w:div w:id="1687829443">
      <w:bodyDiv w:val="1"/>
      <w:marLeft w:val="0"/>
      <w:marRight w:val="0"/>
      <w:marTop w:val="0"/>
      <w:marBottom w:val="0"/>
      <w:divBdr>
        <w:top w:val="none" w:sz="0" w:space="0" w:color="auto"/>
        <w:left w:val="none" w:sz="0" w:space="0" w:color="auto"/>
        <w:bottom w:val="none" w:sz="0" w:space="0" w:color="auto"/>
        <w:right w:val="none" w:sz="0" w:space="0" w:color="auto"/>
      </w:divBdr>
      <w:divsChild>
        <w:div w:id="1094588987">
          <w:marLeft w:val="0"/>
          <w:marRight w:val="0"/>
          <w:marTop w:val="0"/>
          <w:marBottom w:val="0"/>
          <w:divBdr>
            <w:top w:val="none" w:sz="0" w:space="0" w:color="auto"/>
            <w:left w:val="none" w:sz="0" w:space="0" w:color="auto"/>
            <w:bottom w:val="none" w:sz="0" w:space="0" w:color="auto"/>
            <w:right w:val="none" w:sz="0" w:space="0" w:color="auto"/>
          </w:divBdr>
          <w:divsChild>
            <w:div w:id="1412770644">
              <w:marLeft w:val="0"/>
              <w:marRight w:val="0"/>
              <w:marTop w:val="178"/>
              <w:marBottom w:val="178"/>
              <w:divBdr>
                <w:top w:val="none" w:sz="0" w:space="0" w:color="auto"/>
                <w:left w:val="none" w:sz="0" w:space="0" w:color="auto"/>
                <w:bottom w:val="none" w:sz="0" w:space="0" w:color="auto"/>
                <w:right w:val="none" w:sz="0" w:space="0" w:color="auto"/>
              </w:divBdr>
              <w:divsChild>
                <w:div w:id="635138855">
                  <w:marLeft w:val="0"/>
                  <w:marRight w:val="178"/>
                  <w:marTop w:val="0"/>
                  <w:marBottom w:val="0"/>
                  <w:divBdr>
                    <w:top w:val="none" w:sz="0" w:space="0" w:color="auto"/>
                    <w:left w:val="none" w:sz="0" w:space="0" w:color="auto"/>
                    <w:bottom w:val="none" w:sz="0" w:space="0" w:color="auto"/>
                    <w:right w:val="none" w:sz="0" w:space="0" w:color="auto"/>
                  </w:divBdr>
                  <w:divsChild>
                    <w:div w:id="2044016635">
                      <w:marLeft w:val="0"/>
                      <w:marRight w:val="0"/>
                      <w:marTop w:val="0"/>
                      <w:marBottom w:val="0"/>
                      <w:divBdr>
                        <w:top w:val="none" w:sz="0" w:space="0" w:color="auto"/>
                        <w:left w:val="none" w:sz="0" w:space="0" w:color="auto"/>
                        <w:bottom w:val="none" w:sz="0" w:space="0" w:color="auto"/>
                        <w:right w:val="none" w:sz="0" w:space="0" w:color="auto"/>
                      </w:divBdr>
                      <w:divsChild>
                        <w:div w:id="2772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285925">
      <w:bodyDiv w:val="1"/>
      <w:marLeft w:val="0"/>
      <w:marRight w:val="0"/>
      <w:marTop w:val="0"/>
      <w:marBottom w:val="0"/>
      <w:divBdr>
        <w:top w:val="none" w:sz="0" w:space="0" w:color="auto"/>
        <w:left w:val="none" w:sz="0" w:space="0" w:color="auto"/>
        <w:bottom w:val="none" w:sz="0" w:space="0" w:color="auto"/>
        <w:right w:val="none" w:sz="0" w:space="0" w:color="auto"/>
      </w:divBdr>
      <w:divsChild>
        <w:div w:id="119614777">
          <w:marLeft w:val="0"/>
          <w:marRight w:val="0"/>
          <w:marTop w:val="0"/>
          <w:marBottom w:val="0"/>
          <w:divBdr>
            <w:top w:val="none" w:sz="0" w:space="0" w:color="auto"/>
            <w:left w:val="none" w:sz="0" w:space="0" w:color="auto"/>
            <w:bottom w:val="none" w:sz="0" w:space="0" w:color="auto"/>
            <w:right w:val="none" w:sz="0" w:space="0" w:color="auto"/>
          </w:divBdr>
          <w:divsChild>
            <w:div w:id="381295368">
              <w:marLeft w:val="0"/>
              <w:marRight w:val="0"/>
              <w:marTop w:val="0"/>
              <w:marBottom w:val="0"/>
              <w:divBdr>
                <w:top w:val="none" w:sz="0" w:space="0" w:color="auto"/>
                <w:left w:val="none" w:sz="0" w:space="0" w:color="auto"/>
                <w:bottom w:val="none" w:sz="0" w:space="0" w:color="auto"/>
                <w:right w:val="none" w:sz="0" w:space="0" w:color="auto"/>
              </w:divBdr>
              <w:divsChild>
                <w:div w:id="282199541">
                  <w:marLeft w:val="0"/>
                  <w:marRight w:val="0"/>
                  <w:marTop w:val="0"/>
                  <w:marBottom w:val="0"/>
                  <w:divBdr>
                    <w:top w:val="none" w:sz="0" w:space="0" w:color="auto"/>
                    <w:left w:val="none" w:sz="0" w:space="0" w:color="auto"/>
                    <w:bottom w:val="none" w:sz="0" w:space="0" w:color="auto"/>
                    <w:right w:val="none" w:sz="0" w:space="0" w:color="auto"/>
                  </w:divBdr>
                  <w:divsChild>
                    <w:div w:id="5415526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810590351">
      <w:bodyDiv w:val="1"/>
      <w:marLeft w:val="0"/>
      <w:marRight w:val="0"/>
      <w:marTop w:val="0"/>
      <w:marBottom w:val="0"/>
      <w:divBdr>
        <w:top w:val="none" w:sz="0" w:space="0" w:color="auto"/>
        <w:left w:val="none" w:sz="0" w:space="0" w:color="auto"/>
        <w:bottom w:val="none" w:sz="0" w:space="0" w:color="auto"/>
        <w:right w:val="none" w:sz="0" w:space="0" w:color="auto"/>
      </w:divBdr>
      <w:divsChild>
        <w:div w:id="1902982894">
          <w:marLeft w:val="0"/>
          <w:marRight w:val="0"/>
          <w:marTop w:val="0"/>
          <w:marBottom w:val="0"/>
          <w:divBdr>
            <w:top w:val="none" w:sz="0" w:space="0" w:color="auto"/>
            <w:left w:val="none" w:sz="0" w:space="0" w:color="auto"/>
            <w:bottom w:val="none" w:sz="0" w:space="0" w:color="auto"/>
            <w:right w:val="none" w:sz="0" w:space="0" w:color="auto"/>
          </w:divBdr>
          <w:divsChild>
            <w:div w:id="868181712">
              <w:marLeft w:val="0"/>
              <w:marRight w:val="0"/>
              <w:marTop w:val="0"/>
              <w:marBottom w:val="0"/>
              <w:divBdr>
                <w:top w:val="none" w:sz="0" w:space="0" w:color="auto"/>
                <w:left w:val="none" w:sz="0" w:space="0" w:color="auto"/>
                <w:bottom w:val="none" w:sz="0" w:space="0" w:color="auto"/>
                <w:right w:val="none" w:sz="0" w:space="0" w:color="auto"/>
              </w:divBdr>
              <w:divsChild>
                <w:div w:id="299070977">
                  <w:marLeft w:val="0"/>
                  <w:marRight w:val="0"/>
                  <w:marTop w:val="0"/>
                  <w:marBottom w:val="0"/>
                  <w:divBdr>
                    <w:top w:val="none" w:sz="0" w:space="0" w:color="auto"/>
                    <w:left w:val="none" w:sz="0" w:space="0" w:color="auto"/>
                    <w:bottom w:val="none" w:sz="0" w:space="0" w:color="auto"/>
                    <w:right w:val="none" w:sz="0" w:space="0" w:color="auto"/>
                  </w:divBdr>
                  <w:divsChild>
                    <w:div w:id="1030179702">
                      <w:marLeft w:val="0"/>
                      <w:marRight w:val="0"/>
                      <w:marTop w:val="240"/>
                      <w:marBottom w:val="0"/>
                      <w:divBdr>
                        <w:top w:val="none" w:sz="0" w:space="0" w:color="auto"/>
                        <w:left w:val="none" w:sz="0" w:space="0" w:color="auto"/>
                        <w:bottom w:val="none" w:sz="0" w:space="0" w:color="auto"/>
                        <w:right w:val="none" w:sz="0" w:space="0" w:color="auto"/>
                      </w:divBdr>
                      <w:divsChild>
                        <w:div w:id="112796746">
                          <w:marLeft w:val="0"/>
                          <w:marRight w:val="0"/>
                          <w:marTop w:val="0"/>
                          <w:marBottom w:val="0"/>
                          <w:divBdr>
                            <w:top w:val="none" w:sz="0" w:space="0" w:color="auto"/>
                            <w:left w:val="none" w:sz="0" w:space="0" w:color="auto"/>
                            <w:bottom w:val="none" w:sz="0" w:space="0" w:color="auto"/>
                            <w:right w:val="none" w:sz="0" w:space="0" w:color="auto"/>
                          </w:divBdr>
                          <w:divsChild>
                            <w:div w:id="112338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697543">
      <w:bodyDiv w:val="1"/>
      <w:marLeft w:val="0"/>
      <w:marRight w:val="0"/>
      <w:marTop w:val="0"/>
      <w:marBottom w:val="0"/>
      <w:divBdr>
        <w:top w:val="none" w:sz="0" w:space="0" w:color="auto"/>
        <w:left w:val="none" w:sz="0" w:space="0" w:color="auto"/>
        <w:bottom w:val="none" w:sz="0" w:space="0" w:color="auto"/>
        <w:right w:val="none" w:sz="0" w:space="0" w:color="auto"/>
      </w:divBdr>
    </w:div>
    <w:div w:id="1838617037">
      <w:bodyDiv w:val="1"/>
      <w:marLeft w:val="0"/>
      <w:marRight w:val="0"/>
      <w:marTop w:val="0"/>
      <w:marBottom w:val="0"/>
      <w:divBdr>
        <w:top w:val="none" w:sz="0" w:space="0" w:color="auto"/>
        <w:left w:val="none" w:sz="0" w:space="0" w:color="auto"/>
        <w:bottom w:val="none" w:sz="0" w:space="0" w:color="auto"/>
        <w:right w:val="none" w:sz="0" w:space="0" w:color="auto"/>
      </w:divBdr>
      <w:divsChild>
        <w:div w:id="541552414">
          <w:marLeft w:val="0"/>
          <w:marRight w:val="0"/>
          <w:marTop w:val="0"/>
          <w:marBottom w:val="0"/>
          <w:divBdr>
            <w:top w:val="none" w:sz="0" w:space="0" w:color="auto"/>
            <w:left w:val="none" w:sz="0" w:space="0" w:color="auto"/>
            <w:bottom w:val="none" w:sz="0" w:space="0" w:color="auto"/>
            <w:right w:val="none" w:sz="0" w:space="0" w:color="auto"/>
          </w:divBdr>
          <w:divsChild>
            <w:div w:id="121967381">
              <w:marLeft w:val="0"/>
              <w:marRight w:val="0"/>
              <w:marTop w:val="0"/>
              <w:marBottom w:val="0"/>
              <w:divBdr>
                <w:top w:val="none" w:sz="0" w:space="0" w:color="auto"/>
                <w:left w:val="none" w:sz="0" w:space="0" w:color="auto"/>
                <w:bottom w:val="none" w:sz="0" w:space="0" w:color="auto"/>
                <w:right w:val="none" w:sz="0" w:space="0" w:color="auto"/>
              </w:divBdr>
              <w:divsChild>
                <w:div w:id="680745797">
                  <w:marLeft w:val="-125"/>
                  <w:marRight w:val="-125"/>
                  <w:marTop w:val="0"/>
                  <w:marBottom w:val="0"/>
                  <w:divBdr>
                    <w:top w:val="none" w:sz="0" w:space="0" w:color="auto"/>
                    <w:left w:val="none" w:sz="0" w:space="0" w:color="auto"/>
                    <w:bottom w:val="none" w:sz="0" w:space="0" w:color="auto"/>
                    <w:right w:val="none" w:sz="0" w:space="0" w:color="auto"/>
                  </w:divBdr>
                  <w:divsChild>
                    <w:div w:id="520123054">
                      <w:marLeft w:val="0"/>
                      <w:marRight w:val="0"/>
                      <w:marTop w:val="0"/>
                      <w:marBottom w:val="0"/>
                      <w:divBdr>
                        <w:top w:val="none" w:sz="0" w:space="0" w:color="auto"/>
                        <w:left w:val="none" w:sz="0" w:space="0" w:color="auto"/>
                        <w:bottom w:val="none" w:sz="0" w:space="0" w:color="auto"/>
                        <w:right w:val="none" w:sz="0" w:space="0" w:color="auto"/>
                      </w:divBdr>
                      <w:divsChild>
                        <w:div w:id="1192958111">
                          <w:marLeft w:val="0"/>
                          <w:marRight w:val="0"/>
                          <w:marTop w:val="0"/>
                          <w:marBottom w:val="0"/>
                          <w:divBdr>
                            <w:top w:val="single" w:sz="2" w:space="8" w:color="869CA6"/>
                            <w:left w:val="none" w:sz="0" w:space="0" w:color="auto"/>
                            <w:bottom w:val="none" w:sz="0" w:space="0" w:color="auto"/>
                            <w:right w:val="none" w:sz="0" w:space="0" w:color="auto"/>
                          </w:divBdr>
                        </w:div>
                      </w:divsChild>
                    </w:div>
                  </w:divsChild>
                </w:div>
              </w:divsChild>
            </w:div>
          </w:divsChild>
        </w:div>
      </w:divsChild>
    </w:div>
    <w:div w:id="1894534209">
      <w:bodyDiv w:val="1"/>
      <w:marLeft w:val="0"/>
      <w:marRight w:val="0"/>
      <w:marTop w:val="0"/>
      <w:marBottom w:val="0"/>
      <w:divBdr>
        <w:top w:val="none" w:sz="0" w:space="0" w:color="auto"/>
        <w:left w:val="none" w:sz="0" w:space="0" w:color="auto"/>
        <w:bottom w:val="none" w:sz="0" w:space="0" w:color="auto"/>
        <w:right w:val="none" w:sz="0" w:space="0" w:color="auto"/>
      </w:divBdr>
      <w:divsChild>
        <w:div w:id="667631233">
          <w:marLeft w:val="0"/>
          <w:marRight w:val="0"/>
          <w:marTop w:val="0"/>
          <w:marBottom w:val="0"/>
          <w:divBdr>
            <w:top w:val="none" w:sz="0" w:space="0" w:color="auto"/>
            <w:left w:val="none" w:sz="0" w:space="0" w:color="auto"/>
            <w:bottom w:val="none" w:sz="0" w:space="0" w:color="auto"/>
            <w:right w:val="none" w:sz="0" w:space="0" w:color="auto"/>
          </w:divBdr>
          <w:divsChild>
            <w:div w:id="1522402292">
              <w:marLeft w:val="0"/>
              <w:marRight w:val="0"/>
              <w:marTop w:val="208"/>
              <w:marBottom w:val="208"/>
              <w:divBdr>
                <w:top w:val="none" w:sz="0" w:space="0" w:color="auto"/>
                <w:left w:val="none" w:sz="0" w:space="0" w:color="auto"/>
                <w:bottom w:val="none" w:sz="0" w:space="0" w:color="auto"/>
                <w:right w:val="none" w:sz="0" w:space="0" w:color="auto"/>
              </w:divBdr>
              <w:divsChild>
                <w:div w:id="1943763035">
                  <w:marLeft w:val="0"/>
                  <w:marRight w:val="208"/>
                  <w:marTop w:val="0"/>
                  <w:marBottom w:val="0"/>
                  <w:divBdr>
                    <w:top w:val="none" w:sz="0" w:space="0" w:color="auto"/>
                    <w:left w:val="none" w:sz="0" w:space="0" w:color="auto"/>
                    <w:bottom w:val="none" w:sz="0" w:space="0" w:color="auto"/>
                    <w:right w:val="none" w:sz="0" w:space="0" w:color="auto"/>
                  </w:divBdr>
                  <w:divsChild>
                    <w:div w:id="1907259310">
                      <w:marLeft w:val="0"/>
                      <w:marRight w:val="0"/>
                      <w:marTop w:val="0"/>
                      <w:marBottom w:val="0"/>
                      <w:divBdr>
                        <w:top w:val="none" w:sz="0" w:space="0" w:color="auto"/>
                        <w:left w:val="none" w:sz="0" w:space="0" w:color="auto"/>
                        <w:bottom w:val="none" w:sz="0" w:space="0" w:color="auto"/>
                        <w:right w:val="none" w:sz="0" w:space="0" w:color="auto"/>
                      </w:divBdr>
                      <w:divsChild>
                        <w:div w:id="1389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03280">
      <w:bodyDiv w:val="1"/>
      <w:marLeft w:val="0"/>
      <w:marRight w:val="0"/>
      <w:marTop w:val="0"/>
      <w:marBottom w:val="0"/>
      <w:divBdr>
        <w:top w:val="none" w:sz="0" w:space="0" w:color="auto"/>
        <w:left w:val="none" w:sz="0" w:space="0" w:color="auto"/>
        <w:bottom w:val="none" w:sz="0" w:space="0" w:color="auto"/>
        <w:right w:val="none" w:sz="0" w:space="0" w:color="auto"/>
      </w:divBdr>
    </w:div>
    <w:div w:id="1938707795">
      <w:bodyDiv w:val="1"/>
      <w:marLeft w:val="0"/>
      <w:marRight w:val="0"/>
      <w:marTop w:val="0"/>
      <w:marBottom w:val="0"/>
      <w:divBdr>
        <w:top w:val="none" w:sz="0" w:space="0" w:color="auto"/>
        <w:left w:val="none" w:sz="0" w:space="0" w:color="auto"/>
        <w:bottom w:val="none" w:sz="0" w:space="0" w:color="auto"/>
        <w:right w:val="none" w:sz="0" w:space="0" w:color="auto"/>
      </w:divBdr>
      <w:divsChild>
        <w:div w:id="55589455">
          <w:marLeft w:val="0"/>
          <w:marRight w:val="0"/>
          <w:marTop w:val="0"/>
          <w:marBottom w:val="0"/>
          <w:divBdr>
            <w:top w:val="none" w:sz="0" w:space="0" w:color="auto"/>
            <w:left w:val="none" w:sz="0" w:space="0" w:color="auto"/>
            <w:bottom w:val="none" w:sz="0" w:space="0" w:color="auto"/>
            <w:right w:val="none" w:sz="0" w:space="0" w:color="auto"/>
          </w:divBdr>
          <w:divsChild>
            <w:div w:id="497112660">
              <w:marLeft w:val="0"/>
              <w:marRight w:val="0"/>
              <w:marTop w:val="0"/>
              <w:marBottom w:val="0"/>
              <w:divBdr>
                <w:top w:val="none" w:sz="0" w:space="0" w:color="auto"/>
                <w:left w:val="none" w:sz="0" w:space="0" w:color="auto"/>
                <w:bottom w:val="none" w:sz="0" w:space="0" w:color="auto"/>
                <w:right w:val="none" w:sz="0" w:space="0" w:color="auto"/>
              </w:divBdr>
              <w:divsChild>
                <w:div w:id="1542863900">
                  <w:marLeft w:val="0"/>
                  <w:marRight w:val="0"/>
                  <w:marTop w:val="0"/>
                  <w:marBottom w:val="0"/>
                  <w:divBdr>
                    <w:top w:val="none" w:sz="0" w:space="0" w:color="auto"/>
                    <w:left w:val="none" w:sz="0" w:space="0" w:color="auto"/>
                    <w:bottom w:val="none" w:sz="0" w:space="0" w:color="auto"/>
                    <w:right w:val="none" w:sz="0" w:space="0" w:color="auto"/>
                  </w:divBdr>
                  <w:divsChild>
                    <w:div w:id="415596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982490909">
      <w:bodyDiv w:val="1"/>
      <w:marLeft w:val="0"/>
      <w:marRight w:val="0"/>
      <w:marTop w:val="0"/>
      <w:marBottom w:val="0"/>
      <w:divBdr>
        <w:top w:val="none" w:sz="0" w:space="0" w:color="auto"/>
        <w:left w:val="none" w:sz="0" w:space="0" w:color="auto"/>
        <w:bottom w:val="none" w:sz="0" w:space="0" w:color="auto"/>
        <w:right w:val="none" w:sz="0" w:space="0" w:color="auto"/>
      </w:divBdr>
    </w:div>
    <w:div w:id="1984657380">
      <w:bodyDiv w:val="1"/>
      <w:marLeft w:val="0"/>
      <w:marRight w:val="0"/>
      <w:marTop w:val="0"/>
      <w:marBottom w:val="0"/>
      <w:divBdr>
        <w:top w:val="none" w:sz="0" w:space="0" w:color="auto"/>
        <w:left w:val="none" w:sz="0" w:space="0" w:color="auto"/>
        <w:bottom w:val="none" w:sz="0" w:space="0" w:color="auto"/>
        <w:right w:val="none" w:sz="0" w:space="0" w:color="auto"/>
      </w:divBdr>
    </w:div>
    <w:div w:id="2002612189">
      <w:bodyDiv w:val="1"/>
      <w:marLeft w:val="0"/>
      <w:marRight w:val="0"/>
      <w:marTop w:val="0"/>
      <w:marBottom w:val="0"/>
      <w:divBdr>
        <w:top w:val="none" w:sz="0" w:space="0" w:color="auto"/>
        <w:left w:val="none" w:sz="0" w:space="0" w:color="auto"/>
        <w:bottom w:val="none" w:sz="0" w:space="0" w:color="auto"/>
        <w:right w:val="none" w:sz="0" w:space="0" w:color="auto"/>
      </w:divBdr>
      <w:divsChild>
        <w:div w:id="1623614024">
          <w:marLeft w:val="0"/>
          <w:marRight w:val="0"/>
          <w:marTop w:val="0"/>
          <w:marBottom w:val="0"/>
          <w:divBdr>
            <w:top w:val="none" w:sz="0" w:space="0" w:color="auto"/>
            <w:left w:val="none" w:sz="0" w:space="0" w:color="auto"/>
            <w:bottom w:val="none" w:sz="0" w:space="0" w:color="auto"/>
            <w:right w:val="none" w:sz="0" w:space="0" w:color="auto"/>
          </w:divBdr>
          <w:divsChild>
            <w:div w:id="1825047268">
              <w:marLeft w:val="0"/>
              <w:marRight w:val="0"/>
              <w:marTop w:val="0"/>
              <w:marBottom w:val="0"/>
              <w:divBdr>
                <w:top w:val="none" w:sz="0" w:space="0" w:color="auto"/>
                <w:left w:val="none" w:sz="0" w:space="0" w:color="auto"/>
                <w:bottom w:val="none" w:sz="0" w:space="0" w:color="auto"/>
                <w:right w:val="none" w:sz="0" w:space="0" w:color="auto"/>
              </w:divBdr>
              <w:divsChild>
                <w:div w:id="1621063081">
                  <w:marLeft w:val="0"/>
                  <w:marRight w:val="0"/>
                  <w:marTop w:val="0"/>
                  <w:marBottom w:val="0"/>
                  <w:divBdr>
                    <w:top w:val="none" w:sz="0" w:space="0" w:color="auto"/>
                    <w:left w:val="none" w:sz="0" w:space="0" w:color="auto"/>
                    <w:bottom w:val="none" w:sz="0" w:space="0" w:color="auto"/>
                    <w:right w:val="none" w:sz="0" w:space="0" w:color="auto"/>
                  </w:divBdr>
                  <w:divsChild>
                    <w:div w:id="2129857122">
                      <w:marLeft w:val="0"/>
                      <w:marRight w:val="0"/>
                      <w:marTop w:val="240"/>
                      <w:marBottom w:val="0"/>
                      <w:divBdr>
                        <w:top w:val="none" w:sz="0" w:space="0" w:color="auto"/>
                        <w:left w:val="none" w:sz="0" w:space="0" w:color="auto"/>
                        <w:bottom w:val="none" w:sz="0" w:space="0" w:color="auto"/>
                        <w:right w:val="none" w:sz="0" w:space="0" w:color="auto"/>
                      </w:divBdr>
                      <w:divsChild>
                        <w:div w:id="865217566">
                          <w:marLeft w:val="0"/>
                          <w:marRight w:val="0"/>
                          <w:marTop w:val="0"/>
                          <w:marBottom w:val="0"/>
                          <w:divBdr>
                            <w:top w:val="none" w:sz="0" w:space="0" w:color="auto"/>
                            <w:left w:val="none" w:sz="0" w:space="0" w:color="auto"/>
                            <w:bottom w:val="none" w:sz="0" w:space="0" w:color="auto"/>
                            <w:right w:val="none" w:sz="0" w:space="0" w:color="auto"/>
                          </w:divBdr>
                          <w:divsChild>
                            <w:div w:id="20223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156135">
      <w:bodyDiv w:val="1"/>
      <w:marLeft w:val="0"/>
      <w:marRight w:val="0"/>
      <w:marTop w:val="0"/>
      <w:marBottom w:val="0"/>
      <w:divBdr>
        <w:top w:val="none" w:sz="0" w:space="0" w:color="auto"/>
        <w:left w:val="none" w:sz="0" w:space="0" w:color="auto"/>
        <w:bottom w:val="none" w:sz="0" w:space="0" w:color="auto"/>
        <w:right w:val="none" w:sz="0" w:space="0" w:color="auto"/>
      </w:divBdr>
    </w:div>
    <w:div w:id="2099447928">
      <w:bodyDiv w:val="1"/>
      <w:marLeft w:val="0"/>
      <w:marRight w:val="0"/>
      <w:marTop w:val="0"/>
      <w:marBottom w:val="0"/>
      <w:divBdr>
        <w:top w:val="none" w:sz="0" w:space="0" w:color="auto"/>
        <w:left w:val="none" w:sz="0" w:space="0" w:color="auto"/>
        <w:bottom w:val="none" w:sz="0" w:space="0" w:color="auto"/>
        <w:right w:val="none" w:sz="0" w:space="0" w:color="auto"/>
      </w:divBdr>
    </w:div>
    <w:div w:id="2106614845">
      <w:bodyDiv w:val="1"/>
      <w:marLeft w:val="0"/>
      <w:marRight w:val="0"/>
      <w:marTop w:val="0"/>
      <w:marBottom w:val="0"/>
      <w:divBdr>
        <w:top w:val="none" w:sz="0" w:space="0" w:color="auto"/>
        <w:left w:val="none" w:sz="0" w:space="0" w:color="auto"/>
        <w:bottom w:val="none" w:sz="0" w:space="0" w:color="auto"/>
        <w:right w:val="none" w:sz="0" w:space="0" w:color="auto"/>
      </w:divBdr>
      <w:divsChild>
        <w:div w:id="484206002">
          <w:marLeft w:val="0"/>
          <w:marRight w:val="0"/>
          <w:marTop w:val="0"/>
          <w:marBottom w:val="0"/>
          <w:divBdr>
            <w:top w:val="none" w:sz="0" w:space="0" w:color="auto"/>
            <w:left w:val="none" w:sz="0" w:space="0" w:color="auto"/>
            <w:bottom w:val="none" w:sz="0" w:space="0" w:color="auto"/>
            <w:right w:val="none" w:sz="0" w:space="0" w:color="auto"/>
          </w:divBdr>
          <w:divsChild>
            <w:div w:id="1886334306">
              <w:marLeft w:val="0"/>
              <w:marRight w:val="0"/>
              <w:marTop w:val="0"/>
              <w:marBottom w:val="0"/>
              <w:divBdr>
                <w:top w:val="none" w:sz="0" w:space="0" w:color="auto"/>
                <w:left w:val="none" w:sz="0" w:space="0" w:color="auto"/>
                <w:bottom w:val="none" w:sz="0" w:space="0" w:color="auto"/>
                <w:right w:val="none" w:sz="0" w:space="0" w:color="auto"/>
              </w:divBdr>
              <w:divsChild>
                <w:div w:id="810947161">
                  <w:marLeft w:val="0"/>
                  <w:marRight w:val="0"/>
                  <w:marTop w:val="0"/>
                  <w:marBottom w:val="0"/>
                  <w:divBdr>
                    <w:top w:val="none" w:sz="0" w:space="0" w:color="auto"/>
                    <w:left w:val="none" w:sz="0" w:space="0" w:color="auto"/>
                    <w:bottom w:val="none" w:sz="0" w:space="0" w:color="auto"/>
                    <w:right w:val="none" w:sz="0" w:space="0" w:color="auto"/>
                  </w:divBdr>
                  <w:divsChild>
                    <w:div w:id="1093669894">
                      <w:marLeft w:val="0"/>
                      <w:marRight w:val="0"/>
                      <w:marTop w:val="240"/>
                      <w:marBottom w:val="0"/>
                      <w:divBdr>
                        <w:top w:val="none" w:sz="0" w:space="0" w:color="auto"/>
                        <w:left w:val="none" w:sz="0" w:space="0" w:color="auto"/>
                        <w:bottom w:val="none" w:sz="0" w:space="0" w:color="auto"/>
                        <w:right w:val="none" w:sz="0" w:space="0" w:color="auto"/>
                      </w:divBdr>
                      <w:divsChild>
                        <w:div w:id="446048674">
                          <w:marLeft w:val="0"/>
                          <w:marRight w:val="0"/>
                          <w:marTop w:val="0"/>
                          <w:marBottom w:val="0"/>
                          <w:divBdr>
                            <w:top w:val="none" w:sz="0" w:space="0" w:color="auto"/>
                            <w:left w:val="none" w:sz="0" w:space="0" w:color="auto"/>
                            <w:bottom w:val="none" w:sz="0" w:space="0" w:color="auto"/>
                            <w:right w:val="none" w:sz="0" w:space="0" w:color="auto"/>
                          </w:divBdr>
                          <w:divsChild>
                            <w:div w:id="10333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eader" Target="header1.xml"/><Relationship Id="rId26" Type="http://schemas.openxmlformats.org/officeDocument/2006/relationships/hyperlink" Target="http://www.comlaw.gov.au/Series/C2014A00016/Amendments" TargetMode="External"/><Relationship Id="rId21" Type="http://schemas.openxmlformats.org/officeDocument/2006/relationships/footer" Target="footer2.xml"/><Relationship Id="rId34" Type="http://schemas.openxmlformats.org/officeDocument/2006/relationships/image" Target="media/image4.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hyperlink" Target="http://www.agriculture.gov.au/biosecurity/legislation/new-biosecurity-legislation" TargetMode="External"/><Relationship Id="rId33" Type="http://schemas.openxmlformats.org/officeDocument/2006/relationships/hyperlink" Target="file:///C:/Users/fullam%20greg/AppData/Local/Microsoft/Windows/Temporary%20Internet%20Files/Content.Outlook/755Z3CFY/www.comlaw.gov.au/Details/C2015A0009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griculture.gov.au/publications" TargetMode="External"/><Relationship Id="rId20" Type="http://schemas.openxmlformats.org/officeDocument/2006/relationships/header" Target="header2.xml"/><Relationship Id="rId29" Type="http://schemas.openxmlformats.org/officeDocument/2006/relationships/hyperlink" Target="file:///C:/Users/fullam%20greg/AppData/Local/Microsoft/Windows/Temporary%20Internet%20Files/Content.Outlook/755Z3CFY/www.comlaw.gov.au/Series/C2014A00015/Compil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comlaw.gov.au/Series/C2004A04512/Compilations" TargetMode="External"/><Relationship Id="rId32" Type="http://schemas.openxmlformats.org/officeDocument/2006/relationships/hyperlink" Target="https://www.comlaw.gov.au/Details/C2015A0009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hyperlink" Target="http://www.agriculture.gov.au/biosecurity/legislation/imported-food" TargetMode="External"/><Relationship Id="rId28" Type="http://schemas.openxmlformats.org/officeDocument/2006/relationships/hyperlink" Target="https://www.comlaw.gov.au/Series/C2014A00018"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comlaw.gov.au/Details/C2015A0009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yperlink" Target="http://www.comlaw.gov.au/Series/C1908A00003/Compilations" TargetMode="External"/><Relationship Id="rId27" Type="http://schemas.openxmlformats.org/officeDocument/2006/relationships/hyperlink" Target="https://www.comlaw.gov.au/Series/C2014A00017" TargetMode="External"/><Relationship Id="rId30" Type="http://schemas.openxmlformats.org/officeDocument/2006/relationships/hyperlink" Target="file:///C:/Users/fullam%20greg/AppData/Local/Microsoft/Windows/Temporary%20Internet%20Files/Content.Outlook/755Z3CFY/www.comlaw.gov.au/Details/C2015A00097" TargetMode="External"/><Relationship Id="rId35" Type="http://schemas.openxmlformats.org/officeDocument/2006/relationships/image" Target="media/image5.emf"/><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71AC7-5C1A-4630-826C-4BED242D779C}"/>
</file>

<file path=customXml/itemProps2.xml><?xml version="1.0" encoding="utf-8"?>
<ds:datastoreItem xmlns:ds="http://schemas.openxmlformats.org/officeDocument/2006/customXml" ds:itemID="{9E15A735-99C8-413D-8676-D98717969B8A}"/>
</file>

<file path=customXml/itemProps3.xml><?xml version="1.0" encoding="utf-8"?>
<ds:datastoreItem xmlns:ds="http://schemas.openxmlformats.org/officeDocument/2006/customXml" ds:itemID="{44039BD5-8A7B-40CA-AECA-12B0FB6C4022}"/>
</file>

<file path=customXml/itemProps4.xml><?xml version="1.0" encoding="utf-8"?>
<ds:datastoreItem xmlns:ds="http://schemas.openxmlformats.org/officeDocument/2006/customXml" ds:itemID="{A4C71ADB-22CD-4FE2-9FAE-1406F8A34867}"/>
</file>

<file path=docProps/app.xml><?xml version="1.0" encoding="utf-8"?>
<Properties xmlns="http://schemas.openxmlformats.org/officeDocument/2006/extended-properties" xmlns:vt="http://schemas.openxmlformats.org/officeDocument/2006/docPropsVTypes">
  <Template>Normal</Template>
  <TotalTime>1</TotalTime>
  <Pages>40</Pages>
  <Words>12377</Words>
  <Characters>73460</Characters>
  <Application>Microsoft Office Word</Application>
  <DocSecurity>0</DocSecurity>
  <Lines>612</Lines>
  <Paragraphs>171</Paragraphs>
  <ScaleCrop>false</ScaleCrop>
  <HeadingPairs>
    <vt:vector size="2" baseType="variant">
      <vt:variant>
        <vt:lpstr>Title</vt:lpstr>
      </vt:variant>
      <vt:variant>
        <vt:i4>1</vt:i4>
      </vt:variant>
    </vt:vector>
  </HeadingPairs>
  <TitlesOfParts>
    <vt:vector size="1" baseType="lpstr">
      <vt:lpstr>BLANK TEMPLATE</vt:lpstr>
    </vt:vector>
  </TitlesOfParts>
  <Company>DEWHA</Company>
  <LinksUpToDate>false</LinksUpToDate>
  <CharactersWithSpaces>85666</CharactersWithSpaces>
  <SharedDoc>false</SharedDoc>
  <HLinks>
    <vt:vector size="342" baseType="variant">
      <vt:variant>
        <vt:i4>1376345</vt:i4>
      </vt:variant>
      <vt:variant>
        <vt:i4>306</vt:i4>
      </vt:variant>
      <vt:variant>
        <vt:i4>0</vt:i4>
      </vt:variant>
      <vt:variant>
        <vt:i4>5</vt:i4>
      </vt:variant>
      <vt:variant>
        <vt:lpwstr>C:\Users\fullam greg\AppData\Local\Microsoft\Windows\Temporary Internet Files\Content.Outlook\755Z3CFY\www.comlaw.gov.au\Details\C2015A00096</vt:lpwstr>
      </vt:variant>
      <vt:variant>
        <vt:lpwstr/>
      </vt:variant>
      <vt:variant>
        <vt:i4>5177433</vt:i4>
      </vt:variant>
      <vt:variant>
        <vt:i4>303</vt:i4>
      </vt:variant>
      <vt:variant>
        <vt:i4>0</vt:i4>
      </vt:variant>
      <vt:variant>
        <vt:i4>5</vt:i4>
      </vt:variant>
      <vt:variant>
        <vt:lpwstr>https://www.comlaw.gov.au/Details/C2015A00099</vt:lpwstr>
      </vt:variant>
      <vt:variant>
        <vt:lpwstr/>
      </vt:variant>
      <vt:variant>
        <vt:i4>5177433</vt:i4>
      </vt:variant>
      <vt:variant>
        <vt:i4>300</vt:i4>
      </vt:variant>
      <vt:variant>
        <vt:i4>0</vt:i4>
      </vt:variant>
      <vt:variant>
        <vt:i4>5</vt:i4>
      </vt:variant>
      <vt:variant>
        <vt:lpwstr>https://www.comlaw.gov.au/Details/C2015A00098</vt:lpwstr>
      </vt:variant>
      <vt:variant>
        <vt:lpwstr/>
      </vt:variant>
      <vt:variant>
        <vt:i4>1310809</vt:i4>
      </vt:variant>
      <vt:variant>
        <vt:i4>297</vt:i4>
      </vt:variant>
      <vt:variant>
        <vt:i4>0</vt:i4>
      </vt:variant>
      <vt:variant>
        <vt:i4>5</vt:i4>
      </vt:variant>
      <vt:variant>
        <vt:lpwstr>C:\Users\fullam greg\AppData\Local\Microsoft\Windows\Temporary Internet Files\Content.Outlook\755Z3CFY\www.comlaw.gov.au\Details\C2015A00097</vt:lpwstr>
      </vt:variant>
      <vt:variant>
        <vt:lpwstr/>
      </vt:variant>
      <vt:variant>
        <vt:i4>5439530</vt:i4>
      </vt:variant>
      <vt:variant>
        <vt:i4>294</vt:i4>
      </vt:variant>
      <vt:variant>
        <vt:i4>0</vt:i4>
      </vt:variant>
      <vt:variant>
        <vt:i4>5</vt:i4>
      </vt:variant>
      <vt:variant>
        <vt:lpwstr>C:\Users\fullam greg\AppData\Local\Microsoft\Windows\Temporary Internet Files\Content.Outlook\755Z3CFY\www.comlaw.gov.au\Series\C2014A00015\Compilations</vt:lpwstr>
      </vt:variant>
      <vt:variant>
        <vt:lpwstr/>
      </vt:variant>
      <vt:variant>
        <vt:i4>4390941</vt:i4>
      </vt:variant>
      <vt:variant>
        <vt:i4>291</vt:i4>
      </vt:variant>
      <vt:variant>
        <vt:i4>0</vt:i4>
      </vt:variant>
      <vt:variant>
        <vt:i4>5</vt:i4>
      </vt:variant>
      <vt:variant>
        <vt:lpwstr>https://www.comlaw.gov.au/Series/C2014A00018</vt:lpwstr>
      </vt:variant>
      <vt:variant>
        <vt:lpwstr/>
      </vt:variant>
      <vt:variant>
        <vt:i4>4980765</vt:i4>
      </vt:variant>
      <vt:variant>
        <vt:i4>288</vt:i4>
      </vt:variant>
      <vt:variant>
        <vt:i4>0</vt:i4>
      </vt:variant>
      <vt:variant>
        <vt:i4>5</vt:i4>
      </vt:variant>
      <vt:variant>
        <vt:lpwstr>https://www.comlaw.gov.au/Series/C2014A00017</vt:lpwstr>
      </vt:variant>
      <vt:variant>
        <vt:lpwstr/>
      </vt:variant>
      <vt:variant>
        <vt:i4>2752548</vt:i4>
      </vt:variant>
      <vt:variant>
        <vt:i4>285</vt:i4>
      </vt:variant>
      <vt:variant>
        <vt:i4>0</vt:i4>
      </vt:variant>
      <vt:variant>
        <vt:i4>5</vt:i4>
      </vt:variant>
      <vt:variant>
        <vt:lpwstr>http://www.comlaw.gov.au/Series/C2014A00016/Amendments</vt:lpwstr>
      </vt:variant>
      <vt:variant>
        <vt:lpwstr/>
      </vt:variant>
      <vt:variant>
        <vt:i4>1900608</vt:i4>
      </vt:variant>
      <vt:variant>
        <vt:i4>282</vt:i4>
      </vt:variant>
      <vt:variant>
        <vt:i4>0</vt:i4>
      </vt:variant>
      <vt:variant>
        <vt:i4>5</vt:i4>
      </vt:variant>
      <vt:variant>
        <vt:lpwstr>http://www.agriculture.gov.au/biosecurity/legislation/new-biosecurity-legislation</vt:lpwstr>
      </vt:variant>
      <vt:variant>
        <vt:lpwstr/>
      </vt:variant>
      <vt:variant>
        <vt:i4>4653141</vt:i4>
      </vt:variant>
      <vt:variant>
        <vt:i4>279</vt:i4>
      </vt:variant>
      <vt:variant>
        <vt:i4>0</vt:i4>
      </vt:variant>
      <vt:variant>
        <vt:i4>5</vt:i4>
      </vt:variant>
      <vt:variant>
        <vt:lpwstr>http://www.comlaw.gov.au/Series/C2004A04512/Compilations</vt:lpwstr>
      </vt:variant>
      <vt:variant>
        <vt:lpwstr/>
      </vt:variant>
      <vt:variant>
        <vt:i4>6750312</vt:i4>
      </vt:variant>
      <vt:variant>
        <vt:i4>276</vt:i4>
      </vt:variant>
      <vt:variant>
        <vt:i4>0</vt:i4>
      </vt:variant>
      <vt:variant>
        <vt:i4>5</vt:i4>
      </vt:variant>
      <vt:variant>
        <vt:lpwstr>http://www.agriculture.gov.au/biosecurity/legislation/imported-food</vt:lpwstr>
      </vt:variant>
      <vt:variant>
        <vt:lpwstr/>
      </vt:variant>
      <vt:variant>
        <vt:i4>4259924</vt:i4>
      </vt:variant>
      <vt:variant>
        <vt:i4>273</vt:i4>
      </vt:variant>
      <vt:variant>
        <vt:i4>0</vt:i4>
      </vt:variant>
      <vt:variant>
        <vt:i4>5</vt:i4>
      </vt:variant>
      <vt:variant>
        <vt:lpwstr>http://www.comlaw.gov.au/Series/C1908A00003/Compilations</vt:lpwstr>
      </vt:variant>
      <vt:variant>
        <vt:lpwstr/>
      </vt:variant>
      <vt:variant>
        <vt:i4>1245246</vt:i4>
      </vt:variant>
      <vt:variant>
        <vt:i4>266</vt:i4>
      </vt:variant>
      <vt:variant>
        <vt:i4>0</vt:i4>
      </vt:variant>
      <vt:variant>
        <vt:i4>5</vt:i4>
      </vt:variant>
      <vt:variant>
        <vt:lpwstr/>
      </vt:variant>
      <vt:variant>
        <vt:lpwstr>_Toc432511934</vt:lpwstr>
      </vt:variant>
      <vt:variant>
        <vt:i4>1245246</vt:i4>
      </vt:variant>
      <vt:variant>
        <vt:i4>260</vt:i4>
      </vt:variant>
      <vt:variant>
        <vt:i4>0</vt:i4>
      </vt:variant>
      <vt:variant>
        <vt:i4>5</vt:i4>
      </vt:variant>
      <vt:variant>
        <vt:lpwstr/>
      </vt:variant>
      <vt:variant>
        <vt:lpwstr>_Toc432511933</vt:lpwstr>
      </vt:variant>
      <vt:variant>
        <vt:i4>1245246</vt:i4>
      </vt:variant>
      <vt:variant>
        <vt:i4>254</vt:i4>
      </vt:variant>
      <vt:variant>
        <vt:i4>0</vt:i4>
      </vt:variant>
      <vt:variant>
        <vt:i4>5</vt:i4>
      </vt:variant>
      <vt:variant>
        <vt:lpwstr/>
      </vt:variant>
      <vt:variant>
        <vt:lpwstr>_Toc432511932</vt:lpwstr>
      </vt:variant>
      <vt:variant>
        <vt:i4>1245246</vt:i4>
      </vt:variant>
      <vt:variant>
        <vt:i4>248</vt:i4>
      </vt:variant>
      <vt:variant>
        <vt:i4>0</vt:i4>
      </vt:variant>
      <vt:variant>
        <vt:i4>5</vt:i4>
      </vt:variant>
      <vt:variant>
        <vt:lpwstr/>
      </vt:variant>
      <vt:variant>
        <vt:lpwstr>_Toc432511931</vt:lpwstr>
      </vt:variant>
      <vt:variant>
        <vt:i4>1245246</vt:i4>
      </vt:variant>
      <vt:variant>
        <vt:i4>242</vt:i4>
      </vt:variant>
      <vt:variant>
        <vt:i4>0</vt:i4>
      </vt:variant>
      <vt:variant>
        <vt:i4>5</vt:i4>
      </vt:variant>
      <vt:variant>
        <vt:lpwstr/>
      </vt:variant>
      <vt:variant>
        <vt:lpwstr>_Toc432511930</vt:lpwstr>
      </vt:variant>
      <vt:variant>
        <vt:i4>1179710</vt:i4>
      </vt:variant>
      <vt:variant>
        <vt:i4>236</vt:i4>
      </vt:variant>
      <vt:variant>
        <vt:i4>0</vt:i4>
      </vt:variant>
      <vt:variant>
        <vt:i4>5</vt:i4>
      </vt:variant>
      <vt:variant>
        <vt:lpwstr/>
      </vt:variant>
      <vt:variant>
        <vt:lpwstr>_Toc432511929</vt:lpwstr>
      </vt:variant>
      <vt:variant>
        <vt:i4>1179710</vt:i4>
      </vt:variant>
      <vt:variant>
        <vt:i4>230</vt:i4>
      </vt:variant>
      <vt:variant>
        <vt:i4>0</vt:i4>
      </vt:variant>
      <vt:variant>
        <vt:i4>5</vt:i4>
      </vt:variant>
      <vt:variant>
        <vt:lpwstr/>
      </vt:variant>
      <vt:variant>
        <vt:lpwstr>_Toc432511928</vt:lpwstr>
      </vt:variant>
      <vt:variant>
        <vt:i4>1179710</vt:i4>
      </vt:variant>
      <vt:variant>
        <vt:i4>224</vt:i4>
      </vt:variant>
      <vt:variant>
        <vt:i4>0</vt:i4>
      </vt:variant>
      <vt:variant>
        <vt:i4>5</vt:i4>
      </vt:variant>
      <vt:variant>
        <vt:lpwstr/>
      </vt:variant>
      <vt:variant>
        <vt:lpwstr>_Toc432511927</vt:lpwstr>
      </vt:variant>
      <vt:variant>
        <vt:i4>1179710</vt:i4>
      </vt:variant>
      <vt:variant>
        <vt:i4>218</vt:i4>
      </vt:variant>
      <vt:variant>
        <vt:i4>0</vt:i4>
      </vt:variant>
      <vt:variant>
        <vt:i4>5</vt:i4>
      </vt:variant>
      <vt:variant>
        <vt:lpwstr/>
      </vt:variant>
      <vt:variant>
        <vt:lpwstr>_Toc432511926</vt:lpwstr>
      </vt:variant>
      <vt:variant>
        <vt:i4>1179710</vt:i4>
      </vt:variant>
      <vt:variant>
        <vt:i4>212</vt:i4>
      </vt:variant>
      <vt:variant>
        <vt:i4>0</vt:i4>
      </vt:variant>
      <vt:variant>
        <vt:i4>5</vt:i4>
      </vt:variant>
      <vt:variant>
        <vt:lpwstr/>
      </vt:variant>
      <vt:variant>
        <vt:lpwstr>_Toc432511925</vt:lpwstr>
      </vt:variant>
      <vt:variant>
        <vt:i4>1179710</vt:i4>
      </vt:variant>
      <vt:variant>
        <vt:i4>206</vt:i4>
      </vt:variant>
      <vt:variant>
        <vt:i4>0</vt:i4>
      </vt:variant>
      <vt:variant>
        <vt:i4>5</vt:i4>
      </vt:variant>
      <vt:variant>
        <vt:lpwstr/>
      </vt:variant>
      <vt:variant>
        <vt:lpwstr>_Toc432511924</vt:lpwstr>
      </vt:variant>
      <vt:variant>
        <vt:i4>1179710</vt:i4>
      </vt:variant>
      <vt:variant>
        <vt:i4>200</vt:i4>
      </vt:variant>
      <vt:variant>
        <vt:i4>0</vt:i4>
      </vt:variant>
      <vt:variant>
        <vt:i4>5</vt:i4>
      </vt:variant>
      <vt:variant>
        <vt:lpwstr/>
      </vt:variant>
      <vt:variant>
        <vt:lpwstr>_Toc432511923</vt:lpwstr>
      </vt:variant>
      <vt:variant>
        <vt:i4>1179710</vt:i4>
      </vt:variant>
      <vt:variant>
        <vt:i4>194</vt:i4>
      </vt:variant>
      <vt:variant>
        <vt:i4>0</vt:i4>
      </vt:variant>
      <vt:variant>
        <vt:i4>5</vt:i4>
      </vt:variant>
      <vt:variant>
        <vt:lpwstr/>
      </vt:variant>
      <vt:variant>
        <vt:lpwstr>_Toc432511922</vt:lpwstr>
      </vt:variant>
      <vt:variant>
        <vt:i4>1179710</vt:i4>
      </vt:variant>
      <vt:variant>
        <vt:i4>188</vt:i4>
      </vt:variant>
      <vt:variant>
        <vt:i4>0</vt:i4>
      </vt:variant>
      <vt:variant>
        <vt:i4>5</vt:i4>
      </vt:variant>
      <vt:variant>
        <vt:lpwstr/>
      </vt:variant>
      <vt:variant>
        <vt:lpwstr>_Toc432511921</vt:lpwstr>
      </vt:variant>
      <vt:variant>
        <vt:i4>1179710</vt:i4>
      </vt:variant>
      <vt:variant>
        <vt:i4>182</vt:i4>
      </vt:variant>
      <vt:variant>
        <vt:i4>0</vt:i4>
      </vt:variant>
      <vt:variant>
        <vt:i4>5</vt:i4>
      </vt:variant>
      <vt:variant>
        <vt:lpwstr/>
      </vt:variant>
      <vt:variant>
        <vt:lpwstr>_Toc432511920</vt:lpwstr>
      </vt:variant>
      <vt:variant>
        <vt:i4>1114174</vt:i4>
      </vt:variant>
      <vt:variant>
        <vt:i4>176</vt:i4>
      </vt:variant>
      <vt:variant>
        <vt:i4>0</vt:i4>
      </vt:variant>
      <vt:variant>
        <vt:i4>5</vt:i4>
      </vt:variant>
      <vt:variant>
        <vt:lpwstr/>
      </vt:variant>
      <vt:variant>
        <vt:lpwstr>_Toc432511919</vt:lpwstr>
      </vt:variant>
      <vt:variant>
        <vt:i4>1114174</vt:i4>
      </vt:variant>
      <vt:variant>
        <vt:i4>170</vt:i4>
      </vt:variant>
      <vt:variant>
        <vt:i4>0</vt:i4>
      </vt:variant>
      <vt:variant>
        <vt:i4>5</vt:i4>
      </vt:variant>
      <vt:variant>
        <vt:lpwstr/>
      </vt:variant>
      <vt:variant>
        <vt:lpwstr>_Toc432511918</vt:lpwstr>
      </vt:variant>
      <vt:variant>
        <vt:i4>1114174</vt:i4>
      </vt:variant>
      <vt:variant>
        <vt:i4>164</vt:i4>
      </vt:variant>
      <vt:variant>
        <vt:i4>0</vt:i4>
      </vt:variant>
      <vt:variant>
        <vt:i4>5</vt:i4>
      </vt:variant>
      <vt:variant>
        <vt:lpwstr/>
      </vt:variant>
      <vt:variant>
        <vt:lpwstr>_Toc432511917</vt:lpwstr>
      </vt:variant>
      <vt:variant>
        <vt:i4>1114174</vt:i4>
      </vt:variant>
      <vt:variant>
        <vt:i4>158</vt:i4>
      </vt:variant>
      <vt:variant>
        <vt:i4>0</vt:i4>
      </vt:variant>
      <vt:variant>
        <vt:i4>5</vt:i4>
      </vt:variant>
      <vt:variant>
        <vt:lpwstr/>
      </vt:variant>
      <vt:variant>
        <vt:lpwstr>_Toc432511916</vt:lpwstr>
      </vt:variant>
      <vt:variant>
        <vt:i4>1114174</vt:i4>
      </vt:variant>
      <vt:variant>
        <vt:i4>152</vt:i4>
      </vt:variant>
      <vt:variant>
        <vt:i4>0</vt:i4>
      </vt:variant>
      <vt:variant>
        <vt:i4>5</vt:i4>
      </vt:variant>
      <vt:variant>
        <vt:lpwstr/>
      </vt:variant>
      <vt:variant>
        <vt:lpwstr>_Toc432511915</vt:lpwstr>
      </vt:variant>
      <vt:variant>
        <vt:i4>1114174</vt:i4>
      </vt:variant>
      <vt:variant>
        <vt:i4>146</vt:i4>
      </vt:variant>
      <vt:variant>
        <vt:i4>0</vt:i4>
      </vt:variant>
      <vt:variant>
        <vt:i4>5</vt:i4>
      </vt:variant>
      <vt:variant>
        <vt:lpwstr/>
      </vt:variant>
      <vt:variant>
        <vt:lpwstr>_Toc432511914</vt:lpwstr>
      </vt:variant>
      <vt:variant>
        <vt:i4>1114174</vt:i4>
      </vt:variant>
      <vt:variant>
        <vt:i4>140</vt:i4>
      </vt:variant>
      <vt:variant>
        <vt:i4>0</vt:i4>
      </vt:variant>
      <vt:variant>
        <vt:i4>5</vt:i4>
      </vt:variant>
      <vt:variant>
        <vt:lpwstr/>
      </vt:variant>
      <vt:variant>
        <vt:lpwstr>_Toc432511913</vt:lpwstr>
      </vt:variant>
      <vt:variant>
        <vt:i4>1114174</vt:i4>
      </vt:variant>
      <vt:variant>
        <vt:i4>134</vt:i4>
      </vt:variant>
      <vt:variant>
        <vt:i4>0</vt:i4>
      </vt:variant>
      <vt:variant>
        <vt:i4>5</vt:i4>
      </vt:variant>
      <vt:variant>
        <vt:lpwstr/>
      </vt:variant>
      <vt:variant>
        <vt:lpwstr>_Toc432511912</vt:lpwstr>
      </vt:variant>
      <vt:variant>
        <vt:i4>1114174</vt:i4>
      </vt:variant>
      <vt:variant>
        <vt:i4>128</vt:i4>
      </vt:variant>
      <vt:variant>
        <vt:i4>0</vt:i4>
      </vt:variant>
      <vt:variant>
        <vt:i4>5</vt:i4>
      </vt:variant>
      <vt:variant>
        <vt:lpwstr/>
      </vt:variant>
      <vt:variant>
        <vt:lpwstr>_Toc432511911</vt:lpwstr>
      </vt:variant>
      <vt:variant>
        <vt:i4>1114174</vt:i4>
      </vt:variant>
      <vt:variant>
        <vt:i4>122</vt:i4>
      </vt:variant>
      <vt:variant>
        <vt:i4>0</vt:i4>
      </vt:variant>
      <vt:variant>
        <vt:i4>5</vt:i4>
      </vt:variant>
      <vt:variant>
        <vt:lpwstr/>
      </vt:variant>
      <vt:variant>
        <vt:lpwstr>_Toc432511910</vt:lpwstr>
      </vt:variant>
      <vt:variant>
        <vt:i4>1048638</vt:i4>
      </vt:variant>
      <vt:variant>
        <vt:i4>116</vt:i4>
      </vt:variant>
      <vt:variant>
        <vt:i4>0</vt:i4>
      </vt:variant>
      <vt:variant>
        <vt:i4>5</vt:i4>
      </vt:variant>
      <vt:variant>
        <vt:lpwstr/>
      </vt:variant>
      <vt:variant>
        <vt:lpwstr>_Toc432511909</vt:lpwstr>
      </vt:variant>
      <vt:variant>
        <vt:i4>1048638</vt:i4>
      </vt:variant>
      <vt:variant>
        <vt:i4>110</vt:i4>
      </vt:variant>
      <vt:variant>
        <vt:i4>0</vt:i4>
      </vt:variant>
      <vt:variant>
        <vt:i4>5</vt:i4>
      </vt:variant>
      <vt:variant>
        <vt:lpwstr/>
      </vt:variant>
      <vt:variant>
        <vt:lpwstr>_Toc432511908</vt:lpwstr>
      </vt:variant>
      <vt:variant>
        <vt:i4>1048638</vt:i4>
      </vt:variant>
      <vt:variant>
        <vt:i4>104</vt:i4>
      </vt:variant>
      <vt:variant>
        <vt:i4>0</vt:i4>
      </vt:variant>
      <vt:variant>
        <vt:i4>5</vt:i4>
      </vt:variant>
      <vt:variant>
        <vt:lpwstr/>
      </vt:variant>
      <vt:variant>
        <vt:lpwstr>_Toc432511907</vt:lpwstr>
      </vt:variant>
      <vt:variant>
        <vt:i4>1048638</vt:i4>
      </vt:variant>
      <vt:variant>
        <vt:i4>98</vt:i4>
      </vt:variant>
      <vt:variant>
        <vt:i4>0</vt:i4>
      </vt:variant>
      <vt:variant>
        <vt:i4>5</vt:i4>
      </vt:variant>
      <vt:variant>
        <vt:lpwstr/>
      </vt:variant>
      <vt:variant>
        <vt:lpwstr>_Toc432511906</vt:lpwstr>
      </vt:variant>
      <vt:variant>
        <vt:i4>1048638</vt:i4>
      </vt:variant>
      <vt:variant>
        <vt:i4>92</vt:i4>
      </vt:variant>
      <vt:variant>
        <vt:i4>0</vt:i4>
      </vt:variant>
      <vt:variant>
        <vt:i4>5</vt:i4>
      </vt:variant>
      <vt:variant>
        <vt:lpwstr/>
      </vt:variant>
      <vt:variant>
        <vt:lpwstr>_Toc432511905</vt:lpwstr>
      </vt:variant>
      <vt:variant>
        <vt:i4>1048638</vt:i4>
      </vt:variant>
      <vt:variant>
        <vt:i4>86</vt:i4>
      </vt:variant>
      <vt:variant>
        <vt:i4>0</vt:i4>
      </vt:variant>
      <vt:variant>
        <vt:i4>5</vt:i4>
      </vt:variant>
      <vt:variant>
        <vt:lpwstr/>
      </vt:variant>
      <vt:variant>
        <vt:lpwstr>_Toc432511904</vt:lpwstr>
      </vt:variant>
      <vt:variant>
        <vt:i4>1048638</vt:i4>
      </vt:variant>
      <vt:variant>
        <vt:i4>80</vt:i4>
      </vt:variant>
      <vt:variant>
        <vt:i4>0</vt:i4>
      </vt:variant>
      <vt:variant>
        <vt:i4>5</vt:i4>
      </vt:variant>
      <vt:variant>
        <vt:lpwstr/>
      </vt:variant>
      <vt:variant>
        <vt:lpwstr>_Toc432511903</vt:lpwstr>
      </vt:variant>
      <vt:variant>
        <vt:i4>1048638</vt:i4>
      </vt:variant>
      <vt:variant>
        <vt:i4>74</vt:i4>
      </vt:variant>
      <vt:variant>
        <vt:i4>0</vt:i4>
      </vt:variant>
      <vt:variant>
        <vt:i4>5</vt:i4>
      </vt:variant>
      <vt:variant>
        <vt:lpwstr/>
      </vt:variant>
      <vt:variant>
        <vt:lpwstr>_Toc432511902</vt:lpwstr>
      </vt:variant>
      <vt:variant>
        <vt:i4>1048638</vt:i4>
      </vt:variant>
      <vt:variant>
        <vt:i4>68</vt:i4>
      </vt:variant>
      <vt:variant>
        <vt:i4>0</vt:i4>
      </vt:variant>
      <vt:variant>
        <vt:i4>5</vt:i4>
      </vt:variant>
      <vt:variant>
        <vt:lpwstr/>
      </vt:variant>
      <vt:variant>
        <vt:lpwstr>_Toc432511901</vt:lpwstr>
      </vt:variant>
      <vt:variant>
        <vt:i4>1048638</vt:i4>
      </vt:variant>
      <vt:variant>
        <vt:i4>62</vt:i4>
      </vt:variant>
      <vt:variant>
        <vt:i4>0</vt:i4>
      </vt:variant>
      <vt:variant>
        <vt:i4>5</vt:i4>
      </vt:variant>
      <vt:variant>
        <vt:lpwstr/>
      </vt:variant>
      <vt:variant>
        <vt:lpwstr>_Toc432511900</vt:lpwstr>
      </vt:variant>
      <vt:variant>
        <vt:i4>1638463</vt:i4>
      </vt:variant>
      <vt:variant>
        <vt:i4>56</vt:i4>
      </vt:variant>
      <vt:variant>
        <vt:i4>0</vt:i4>
      </vt:variant>
      <vt:variant>
        <vt:i4>5</vt:i4>
      </vt:variant>
      <vt:variant>
        <vt:lpwstr/>
      </vt:variant>
      <vt:variant>
        <vt:lpwstr>_Toc432511899</vt:lpwstr>
      </vt:variant>
      <vt:variant>
        <vt:i4>1638463</vt:i4>
      </vt:variant>
      <vt:variant>
        <vt:i4>50</vt:i4>
      </vt:variant>
      <vt:variant>
        <vt:i4>0</vt:i4>
      </vt:variant>
      <vt:variant>
        <vt:i4>5</vt:i4>
      </vt:variant>
      <vt:variant>
        <vt:lpwstr/>
      </vt:variant>
      <vt:variant>
        <vt:lpwstr>_Toc432511898</vt:lpwstr>
      </vt:variant>
      <vt:variant>
        <vt:i4>1638463</vt:i4>
      </vt:variant>
      <vt:variant>
        <vt:i4>44</vt:i4>
      </vt:variant>
      <vt:variant>
        <vt:i4>0</vt:i4>
      </vt:variant>
      <vt:variant>
        <vt:i4>5</vt:i4>
      </vt:variant>
      <vt:variant>
        <vt:lpwstr/>
      </vt:variant>
      <vt:variant>
        <vt:lpwstr>_Toc432511897</vt:lpwstr>
      </vt:variant>
      <vt:variant>
        <vt:i4>1638463</vt:i4>
      </vt:variant>
      <vt:variant>
        <vt:i4>38</vt:i4>
      </vt:variant>
      <vt:variant>
        <vt:i4>0</vt:i4>
      </vt:variant>
      <vt:variant>
        <vt:i4>5</vt:i4>
      </vt:variant>
      <vt:variant>
        <vt:lpwstr/>
      </vt:variant>
      <vt:variant>
        <vt:lpwstr>_Toc432511896</vt:lpwstr>
      </vt:variant>
      <vt:variant>
        <vt:i4>1638463</vt:i4>
      </vt:variant>
      <vt:variant>
        <vt:i4>32</vt:i4>
      </vt:variant>
      <vt:variant>
        <vt:i4>0</vt:i4>
      </vt:variant>
      <vt:variant>
        <vt:i4>5</vt:i4>
      </vt:variant>
      <vt:variant>
        <vt:lpwstr/>
      </vt:variant>
      <vt:variant>
        <vt:lpwstr>_Toc432511895</vt:lpwstr>
      </vt:variant>
      <vt:variant>
        <vt:i4>1638463</vt:i4>
      </vt:variant>
      <vt:variant>
        <vt:i4>26</vt:i4>
      </vt:variant>
      <vt:variant>
        <vt:i4>0</vt:i4>
      </vt:variant>
      <vt:variant>
        <vt:i4>5</vt:i4>
      </vt:variant>
      <vt:variant>
        <vt:lpwstr/>
      </vt:variant>
      <vt:variant>
        <vt:lpwstr>_Toc432511894</vt:lpwstr>
      </vt:variant>
      <vt:variant>
        <vt:i4>1638463</vt:i4>
      </vt:variant>
      <vt:variant>
        <vt:i4>20</vt:i4>
      </vt:variant>
      <vt:variant>
        <vt:i4>0</vt:i4>
      </vt:variant>
      <vt:variant>
        <vt:i4>5</vt:i4>
      </vt:variant>
      <vt:variant>
        <vt:lpwstr/>
      </vt:variant>
      <vt:variant>
        <vt:lpwstr>_Toc432511893</vt:lpwstr>
      </vt:variant>
      <vt:variant>
        <vt:i4>1638463</vt:i4>
      </vt:variant>
      <vt:variant>
        <vt:i4>14</vt:i4>
      </vt:variant>
      <vt:variant>
        <vt:i4>0</vt:i4>
      </vt:variant>
      <vt:variant>
        <vt:i4>5</vt:i4>
      </vt:variant>
      <vt:variant>
        <vt:lpwstr/>
      </vt:variant>
      <vt:variant>
        <vt:lpwstr>_Toc432511892</vt:lpwstr>
      </vt:variant>
      <vt:variant>
        <vt:i4>1638463</vt:i4>
      </vt:variant>
      <vt:variant>
        <vt:i4>8</vt:i4>
      </vt:variant>
      <vt:variant>
        <vt:i4>0</vt:i4>
      </vt:variant>
      <vt:variant>
        <vt:i4>5</vt:i4>
      </vt:variant>
      <vt:variant>
        <vt:lpwstr/>
      </vt:variant>
      <vt:variant>
        <vt:lpwstr>_Toc432511891</vt:lpwstr>
      </vt:variant>
      <vt:variant>
        <vt:i4>1638463</vt:i4>
      </vt:variant>
      <vt:variant>
        <vt:i4>2</vt:i4>
      </vt:variant>
      <vt:variant>
        <vt:i4>0</vt:i4>
      </vt:variant>
      <vt:variant>
        <vt:i4>5</vt:i4>
      </vt:variant>
      <vt:variant>
        <vt:lpwstr/>
      </vt:variant>
      <vt:variant>
        <vt:lpwstr>_Toc432511890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dc:title>
  <dc:subject/>
  <dc:creator>J Francis</dc:creator>
  <cp:keywords/>
  <cp:lastModifiedBy>Dang, Van</cp:lastModifiedBy>
  <cp:revision>3</cp:revision>
  <cp:lastPrinted>2015-10-30T05:56:00Z</cp:lastPrinted>
  <dcterms:created xsi:type="dcterms:W3CDTF">2015-10-30T05:56:00Z</dcterms:created>
  <dcterms:modified xsi:type="dcterms:W3CDTF">2015-10-30T05:56:00Z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Publishing Section">
    <vt:lpwstr>Information Management Division</vt:lpwstr>
  </property>
  <property fmtid="{D5CDD505-2E9C-101B-9397-08002B2CF9AE}" pid="4" name="SecurityClassification">
    <vt:lpwstr/>
  </property>
  <property fmtid="{D5CDD505-2E9C-101B-9397-08002B2CF9AE}" pid="5" name="DLM">
    <vt:lpwstr/>
  </property>
  <property fmtid="{D5CDD505-2E9C-101B-9397-08002B2CF9AE}" pid="6" name="Sensitivity">
    <vt:lpwstr/>
  </property>
  <property fmtid="{D5CDD505-2E9C-101B-9397-08002B2CF9AE}" pid="7" name="Spacer">
    <vt:lpwstr/>
  </property>
  <property fmtid="{D5CDD505-2E9C-101B-9397-08002B2CF9AE}" pid="8" name="Legislation">
    <vt:lpwstr/>
  </property>
</Properties>
</file>